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6495" w14:textId="77777777" w:rsidR="00B83843" w:rsidRPr="00264AD9" w:rsidRDefault="00753DD5" w:rsidP="00264AD9">
      <w:pPr>
        <w:pStyle w:val="Title"/>
        <w:spacing w:before="0" w:beforeAutospacing="0" w:after="240" w:afterAutospacing="0"/>
        <w:rPr>
          <w:sz w:val="52"/>
          <w:szCs w:val="52"/>
        </w:rPr>
      </w:pPr>
      <w:r w:rsidRPr="00264AD9">
        <w:rPr>
          <w:sz w:val="52"/>
          <w:szCs w:val="52"/>
        </w:rPr>
        <w:t>P</w:t>
      </w:r>
      <w:r w:rsidR="00B83843" w:rsidRPr="00264AD9">
        <w:rPr>
          <w:sz w:val="52"/>
          <w:szCs w:val="52"/>
        </w:rPr>
        <w:t xml:space="preserve">resident’s meeting with </w:t>
      </w:r>
      <w:r w:rsidRPr="00264AD9">
        <w:rPr>
          <w:sz w:val="52"/>
          <w:szCs w:val="52"/>
        </w:rPr>
        <w:br/>
      </w:r>
      <w:r w:rsidR="00C6488E" w:rsidRPr="00264AD9">
        <w:rPr>
          <w:sz w:val="52"/>
          <w:szCs w:val="52"/>
        </w:rPr>
        <w:t>M</w:t>
      </w:r>
      <w:r w:rsidR="00B83843" w:rsidRPr="00264AD9">
        <w:rPr>
          <w:sz w:val="52"/>
          <w:szCs w:val="52"/>
        </w:rPr>
        <w:t>s</w:t>
      </w:r>
      <w:r w:rsidR="00C6488E" w:rsidRPr="00264AD9">
        <w:rPr>
          <w:sz w:val="52"/>
          <w:szCs w:val="52"/>
        </w:rPr>
        <w:t xml:space="preserve">. </w:t>
      </w:r>
      <w:proofErr w:type="spellStart"/>
      <w:r w:rsidR="00456D8E" w:rsidRPr="00264AD9">
        <w:rPr>
          <w:sz w:val="52"/>
          <w:szCs w:val="52"/>
        </w:rPr>
        <w:t>G</w:t>
      </w:r>
      <w:r w:rsidR="00B83843" w:rsidRPr="00264AD9">
        <w:rPr>
          <w:sz w:val="52"/>
          <w:szCs w:val="52"/>
        </w:rPr>
        <w:t>itane</w:t>
      </w:r>
      <w:proofErr w:type="spellEnd"/>
      <w:r w:rsidR="00B83843" w:rsidRPr="00264AD9">
        <w:rPr>
          <w:sz w:val="52"/>
          <w:szCs w:val="52"/>
        </w:rPr>
        <w:t xml:space="preserve"> </w:t>
      </w:r>
      <w:r w:rsidR="00456D8E" w:rsidRPr="00264AD9">
        <w:rPr>
          <w:sz w:val="52"/>
          <w:szCs w:val="52"/>
        </w:rPr>
        <w:t>D</w:t>
      </w:r>
      <w:r w:rsidR="00B83843" w:rsidRPr="00264AD9">
        <w:rPr>
          <w:sz w:val="52"/>
          <w:szCs w:val="52"/>
        </w:rPr>
        <w:t>e</w:t>
      </w:r>
      <w:r w:rsidR="00456D8E" w:rsidRPr="00264AD9">
        <w:rPr>
          <w:sz w:val="52"/>
          <w:szCs w:val="52"/>
        </w:rPr>
        <w:t xml:space="preserve"> S</w:t>
      </w:r>
      <w:r w:rsidR="00B83843" w:rsidRPr="00264AD9">
        <w:rPr>
          <w:sz w:val="52"/>
          <w:szCs w:val="52"/>
        </w:rPr>
        <w:t>ilva</w:t>
      </w:r>
      <w:r w:rsidR="00C6488E" w:rsidRPr="00264AD9">
        <w:rPr>
          <w:sz w:val="52"/>
          <w:szCs w:val="52"/>
        </w:rPr>
        <w:t>, C</w:t>
      </w:r>
      <w:r w:rsidR="00B83843" w:rsidRPr="00264AD9">
        <w:rPr>
          <w:sz w:val="52"/>
          <w:szCs w:val="52"/>
        </w:rPr>
        <w:t>hief</w:t>
      </w:r>
      <w:r w:rsidR="00C6488E" w:rsidRPr="00264AD9">
        <w:rPr>
          <w:sz w:val="52"/>
          <w:szCs w:val="52"/>
        </w:rPr>
        <w:t xml:space="preserve"> </w:t>
      </w:r>
      <w:r w:rsidR="00B83843" w:rsidRPr="00264AD9">
        <w:rPr>
          <w:sz w:val="52"/>
          <w:szCs w:val="52"/>
        </w:rPr>
        <w:t>Executive</w:t>
      </w:r>
      <w:r w:rsidR="00C6488E" w:rsidRPr="00264AD9">
        <w:rPr>
          <w:sz w:val="52"/>
          <w:szCs w:val="52"/>
        </w:rPr>
        <w:t xml:space="preserve"> O</w:t>
      </w:r>
      <w:r w:rsidR="00B83843" w:rsidRPr="00264AD9">
        <w:rPr>
          <w:sz w:val="52"/>
          <w:szCs w:val="52"/>
        </w:rPr>
        <w:t>fficer</w:t>
      </w:r>
      <w:r w:rsidR="00C6488E" w:rsidRPr="00264AD9">
        <w:rPr>
          <w:sz w:val="52"/>
          <w:szCs w:val="52"/>
        </w:rPr>
        <w:t xml:space="preserve">, </w:t>
      </w:r>
    </w:p>
    <w:p w14:paraId="38E9297D" w14:textId="6A675967" w:rsidR="00753DD5" w:rsidRPr="00264AD9" w:rsidRDefault="00C6488E" w:rsidP="00264AD9">
      <w:pPr>
        <w:pStyle w:val="Title"/>
        <w:spacing w:before="0" w:beforeAutospacing="0" w:after="240" w:afterAutospacing="0"/>
        <w:rPr>
          <w:sz w:val="52"/>
          <w:szCs w:val="52"/>
        </w:rPr>
      </w:pPr>
      <w:r w:rsidRPr="00264AD9">
        <w:rPr>
          <w:sz w:val="52"/>
          <w:szCs w:val="52"/>
        </w:rPr>
        <w:t>C</w:t>
      </w:r>
      <w:r w:rsidR="00B83843" w:rsidRPr="00264AD9">
        <w:rPr>
          <w:sz w:val="52"/>
          <w:szCs w:val="52"/>
        </w:rPr>
        <w:t>anada</w:t>
      </w:r>
      <w:r w:rsidRPr="00264AD9">
        <w:rPr>
          <w:sz w:val="52"/>
          <w:szCs w:val="52"/>
        </w:rPr>
        <w:t xml:space="preserve"> </w:t>
      </w:r>
      <w:r w:rsidR="00B83843" w:rsidRPr="00264AD9">
        <w:rPr>
          <w:sz w:val="52"/>
          <w:szCs w:val="52"/>
        </w:rPr>
        <w:t>Energy</w:t>
      </w:r>
      <w:r w:rsidRPr="00264AD9">
        <w:rPr>
          <w:sz w:val="52"/>
          <w:szCs w:val="52"/>
        </w:rPr>
        <w:t xml:space="preserve"> R</w:t>
      </w:r>
      <w:r w:rsidR="00B83843" w:rsidRPr="00264AD9">
        <w:rPr>
          <w:sz w:val="52"/>
          <w:szCs w:val="52"/>
        </w:rPr>
        <w:t>egulator</w:t>
      </w:r>
      <w:r w:rsidR="001B597B" w:rsidRPr="00264AD9">
        <w:rPr>
          <w:sz w:val="52"/>
          <w:szCs w:val="52"/>
        </w:rPr>
        <w:t xml:space="preserve"> </w:t>
      </w:r>
    </w:p>
    <w:p w14:paraId="63E97D05" w14:textId="7F67050A" w:rsidR="00753DD5" w:rsidRPr="00264AD9" w:rsidRDefault="00753DD5" w:rsidP="00264AD9">
      <w:pPr>
        <w:pStyle w:val="Title"/>
        <w:spacing w:before="0" w:beforeAutospacing="0" w:after="240" w:afterAutospacing="0"/>
        <w:rPr>
          <w:sz w:val="52"/>
          <w:szCs w:val="52"/>
        </w:rPr>
      </w:pPr>
      <w:r w:rsidRPr="00264AD9">
        <w:rPr>
          <w:sz w:val="52"/>
          <w:szCs w:val="52"/>
        </w:rPr>
        <w:t xml:space="preserve">Information valid as of </w:t>
      </w:r>
      <w:r w:rsidR="00531BC2" w:rsidRPr="00264AD9">
        <w:rPr>
          <w:sz w:val="52"/>
          <w:szCs w:val="52"/>
        </w:rPr>
        <w:t>September 1, 2020</w:t>
      </w:r>
    </w:p>
    <w:p w14:paraId="0F6E1624" w14:textId="77777777" w:rsidR="00753DD5" w:rsidRPr="00264AD9" w:rsidRDefault="00753DD5" w:rsidP="00264AD9">
      <w:pPr>
        <w:pStyle w:val="Heading1"/>
        <w:spacing w:after="120"/>
        <w:rPr>
          <w:rFonts w:cstheme="majorHAnsi"/>
          <w:lang w:val="en-CA"/>
        </w:rPr>
      </w:pPr>
      <w:r w:rsidRPr="00264AD9">
        <w:rPr>
          <w:rFonts w:cstheme="majorHAnsi"/>
          <w:lang w:val="en-CA"/>
        </w:rPr>
        <w:t>Introduction</w:t>
      </w:r>
    </w:p>
    <w:p w14:paraId="0D541715" w14:textId="77777777" w:rsidR="00753DD5" w:rsidRPr="00264AD9" w:rsidRDefault="00753DD5" w:rsidP="00264AD9">
      <w:pPr>
        <w:pStyle w:val="Heading2"/>
        <w:spacing w:after="120"/>
        <w:rPr>
          <w:lang w:val="en-CA"/>
        </w:rPr>
      </w:pPr>
      <w:r w:rsidRPr="00264AD9">
        <w:rPr>
          <w:lang w:val="en-CA"/>
        </w:rPr>
        <w:t>Deputy Head</w:t>
      </w:r>
    </w:p>
    <w:p w14:paraId="2090CDCC" w14:textId="43452319" w:rsidR="00753DD5" w:rsidRPr="00C04D30" w:rsidRDefault="00381EF5" w:rsidP="00264AD9">
      <w:pPr>
        <w:pStyle w:val="NoSpacing"/>
        <w:spacing w:after="120"/>
        <w:rPr>
          <w:rFonts w:asciiTheme="minorHAnsi" w:hAnsiTheme="minorHAnsi" w:cstheme="minorHAnsi"/>
          <w:sz w:val="22"/>
          <w:szCs w:val="22"/>
          <w:lang w:val="en-CA"/>
        </w:rPr>
      </w:pPr>
      <w:proofErr w:type="spellStart"/>
      <w:r w:rsidRPr="00C04D30">
        <w:rPr>
          <w:rFonts w:asciiTheme="minorHAnsi" w:hAnsiTheme="minorHAnsi" w:cstheme="minorHAnsi"/>
          <w:sz w:val="22"/>
          <w:szCs w:val="22"/>
          <w:lang w:val="en-CA"/>
        </w:rPr>
        <w:t>Gitane</w:t>
      </w:r>
      <w:proofErr w:type="spellEnd"/>
      <w:r w:rsidRPr="00C04D30">
        <w:rPr>
          <w:rFonts w:asciiTheme="minorHAnsi" w:hAnsiTheme="minorHAnsi" w:cstheme="minorHAnsi"/>
          <w:sz w:val="22"/>
          <w:szCs w:val="22"/>
          <w:lang w:val="en-CA"/>
        </w:rPr>
        <w:t xml:space="preserve"> De Silva </w:t>
      </w:r>
      <w:r w:rsidR="00DD0938" w:rsidRPr="00C04D30">
        <w:rPr>
          <w:rFonts w:asciiTheme="minorHAnsi" w:hAnsiTheme="minorHAnsi" w:cstheme="minorHAnsi"/>
          <w:sz w:val="22"/>
          <w:szCs w:val="22"/>
          <w:lang w:val="en-CA"/>
        </w:rPr>
        <w:t xml:space="preserve">was appointed as the </w:t>
      </w:r>
      <w:r w:rsidRPr="00C04D30">
        <w:rPr>
          <w:rFonts w:asciiTheme="minorHAnsi" w:hAnsiTheme="minorHAnsi" w:cstheme="minorHAnsi"/>
          <w:sz w:val="22"/>
          <w:szCs w:val="22"/>
          <w:lang w:val="en-CA"/>
        </w:rPr>
        <w:t>Chief Executive Officer of the Canadian Energy Regulator</w:t>
      </w:r>
      <w:r w:rsidR="00DC0C53" w:rsidRPr="00C04D30">
        <w:rPr>
          <w:rFonts w:asciiTheme="minorHAnsi" w:hAnsiTheme="minorHAnsi" w:cstheme="minorHAnsi"/>
          <w:sz w:val="22"/>
          <w:szCs w:val="22"/>
          <w:lang w:val="en-CA"/>
        </w:rPr>
        <w:t xml:space="preserve"> (CER)</w:t>
      </w:r>
      <w:r w:rsidRPr="00C04D30">
        <w:rPr>
          <w:rFonts w:asciiTheme="minorHAnsi" w:hAnsiTheme="minorHAnsi" w:cstheme="minorHAnsi"/>
          <w:sz w:val="22"/>
          <w:szCs w:val="22"/>
          <w:lang w:val="en-CA"/>
        </w:rPr>
        <w:t>,</w:t>
      </w:r>
      <w:r w:rsidR="00DD0938" w:rsidRPr="00C04D30">
        <w:rPr>
          <w:rFonts w:asciiTheme="minorHAnsi" w:hAnsiTheme="minorHAnsi" w:cstheme="minorHAnsi"/>
          <w:sz w:val="22"/>
          <w:szCs w:val="22"/>
          <w:lang w:val="en-CA"/>
        </w:rPr>
        <w:t xml:space="preserve"> to hold office </w:t>
      </w:r>
      <w:r w:rsidRPr="00C04D30">
        <w:rPr>
          <w:rFonts w:asciiTheme="minorHAnsi" w:hAnsiTheme="minorHAnsi" w:cstheme="minorHAnsi"/>
          <w:sz w:val="22"/>
          <w:szCs w:val="22"/>
          <w:lang w:val="en-CA"/>
        </w:rPr>
        <w:t>for a term of five years, effective August 10, 2020.</w:t>
      </w:r>
    </w:p>
    <w:p w14:paraId="27560602" w14:textId="6644C347" w:rsidR="00381EF5" w:rsidRPr="00C04D30" w:rsidRDefault="00C741D8" w:rsidP="00C04D30">
      <w:pPr>
        <w:pStyle w:val="NoSpacing"/>
        <w:spacing w:after="120"/>
        <w:rPr>
          <w:rFonts w:asciiTheme="minorHAnsi" w:hAnsiTheme="minorHAnsi" w:cstheme="minorHAnsi"/>
          <w:sz w:val="22"/>
          <w:szCs w:val="22"/>
          <w:lang w:val="en-CA"/>
        </w:rPr>
      </w:pPr>
      <w:r w:rsidRPr="00C04D30">
        <w:rPr>
          <w:rFonts w:asciiTheme="minorHAnsi" w:hAnsiTheme="minorHAnsi" w:cstheme="minorHAnsi"/>
          <w:sz w:val="22"/>
          <w:szCs w:val="22"/>
          <w:lang w:val="en-CA"/>
        </w:rPr>
        <w:t>Ms. De Silva</w:t>
      </w:r>
      <w:r w:rsidR="00BB3E94" w:rsidRPr="00C04D30">
        <w:rPr>
          <w:rFonts w:asciiTheme="minorHAnsi" w:hAnsiTheme="minorHAnsi" w:cstheme="minorHAnsi"/>
          <w:sz w:val="22"/>
          <w:szCs w:val="22"/>
          <w:lang w:val="en-CA"/>
        </w:rPr>
        <w:t xml:space="preserve"> is</w:t>
      </w:r>
      <w:r w:rsidR="00753DD5" w:rsidRPr="00C04D30">
        <w:rPr>
          <w:rFonts w:asciiTheme="minorHAnsi" w:hAnsiTheme="minorHAnsi" w:cstheme="minorHAnsi"/>
          <w:sz w:val="22"/>
          <w:szCs w:val="22"/>
          <w:lang w:val="en-CA"/>
        </w:rPr>
        <w:t xml:space="preserve"> exercising the Public Service Commission</w:t>
      </w:r>
      <w:r w:rsidR="00381EF5" w:rsidRPr="00C04D30">
        <w:rPr>
          <w:rFonts w:asciiTheme="minorHAnsi" w:hAnsiTheme="minorHAnsi" w:cstheme="minorHAnsi"/>
          <w:sz w:val="22"/>
          <w:szCs w:val="22"/>
          <w:lang w:val="en-CA"/>
        </w:rPr>
        <w:t xml:space="preserve">’s (PSC) authority for the second time as </w:t>
      </w:r>
      <w:r w:rsidR="00DC0C53" w:rsidRPr="00C04D30">
        <w:rPr>
          <w:rFonts w:asciiTheme="minorHAnsi" w:hAnsiTheme="minorHAnsi" w:cstheme="minorHAnsi"/>
          <w:sz w:val="22"/>
          <w:szCs w:val="22"/>
          <w:lang w:val="en-CA"/>
        </w:rPr>
        <w:t>Deputy Head</w:t>
      </w:r>
      <w:r w:rsidR="00381EF5" w:rsidRPr="00C04D30">
        <w:rPr>
          <w:rFonts w:asciiTheme="minorHAnsi" w:hAnsiTheme="minorHAnsi" w:cstheme="minorHAnsi"/>
          <w:sz w:val="22"/>
          <w:szCs w:val="22"/>
          <w:lang w:val="en-CA"/>
        </w:rPr>
        <w:t xml:space="preserve">. It is </w:t>
      </w:r>
      <w:r w:rsidR="00753DD5" w:rsidRPr="00C04D30">
        <w:rPr>
          <w:rFonts w:asciiTheme="minorHAnsi" w:hAnsiTheme="minorHAnsi" w:cstheme="minorHAnsi"/>
          <w:sz w:val="22"/>
          <w:szCs w:val="22"/>
          <w:lang w:val="en-CA"/>
        </w:rPr>
        <w:t xml:space="preserve">suggested that the New Direction in Staffing (NDS) </w:t>
      </w:r>
      <w:r w:rsidR="00190EB1" w:rsidRPr="00C04D30">
        <w:rPr>
          <w:rFonts w:asciiTheme="minorHAnsi" w:hAnsiTheme="minorHAnsi" w:cstheme="minorHAnsi"/>
          <w:sz w:val="22"/>
          <w:szCs w:val="22"/>
          <w:lang w:val="en-CA"/>
        </w:rPr>
        <w:t>highlights</w:t>
      </w:r>
      <w:r w:rsidR="00BB3E94" w:rsidRPr="00C04D30">
        <w:rPr>
          <w:rFonts w:asciiTheme="minorHAnsi" w:hAnsiTheme="minorHAnsi" w:cstheme="minorHAnsi"/>
          <w:sz w:val="22"/>
          <w:szCs w:val="22"/>
          <w:lang w:val="en-CA"/>
        </w:rPr>
        <w:t xml:space="preserve"> for DHs be shared with </w:t>
      </w:r>
      <w:r w:rsidR="00753DD5" w:rsidRPr="00C04D30">
        <w:rPr>
          <w:rFonts w:asciiTheme="minorHAnsi" w:hAnsiTheme="minorHAnsi" w:cstheme="minorHAnsi"/>
          <w:sz w:val="22"/>
          <w:szCs w:val="22"/>
          <w:lang w:val="en-CA"/>
        </w:rPr>
        <w:t xml:space="preserve">her. A copy of this </w:t>
      </w:r>
      <w:r w:rsidR="00190EB1" w:rsidRPr="00C04D30">
        <w:rPr>
          <w:rFonts w:asciiTheme="minorHAnsi" w:hAnsiTheme="minorHAnsi" w:cstheme="minorHAnsi"/>
          <w:sz w:val="22"/>
          <w:szCs w:val="22"/>
          <w:lang w:val="en-CA"/>
        </w:rPr>
        <w:t>document</w:t>
      </w:r>
      <w:r w:rsidR="00753DD5" w:rsidRPr="00C04D30">
        <w:rPr>
          <w:rFonts w:asciiTheme="minorHAnsi" w:hAnsiTheme="minorHAnsi" w:cstheme="minorHAnsi"/>
          <w:sz w:val="22"/>
          <w:szCs w:val="22"/>
          <w:lang w:val="en-CA"/>
        </w:rPr>
        <w:t xml:space="preserve"> is attached as </w:t>
      </w:r>
      <w:hyperlink w:anchor="AnnexA" w:history="1">
        <w:r w:rsidR="00DB08B9" w:rsidRPr="000374EB">
          <w:rPr>
            <w:rStyle w:val="Hyperlink"/>
            <w:rFonts w:asciiTheme="minorHAnsi" w:hAnsiTheme="minorHAnsi" w:cstheme="minorHAnsi"/>
            <w:sz w:val="22"/>
            <w:szCs w:val="22"/>
            <w:lang w:val="en-CA"/>
          </w:rPr>
          <w:t>Annex A</w:t>
        </w:r>
      </w:hyperlink>
      <w:r w:rsidR="00753DD5" w:rsidRPr="00C04D30">
        <w:rPr>
          <w:rFonts w:asciiTheme="minorHAnsi" w:hAnsiTheme="minorHAnsi" w:cstheme="minorHAnsi"/>
          <w:sz w:val="22"/>
          <w:szCs w:val="22"/>
          <w:lang w:val="en-CA"/>
        </w:rPr>
        <w:t>.</w:t>
      </w:r>
    </w:p>
    <w:p w14:paraId="5A0AB79D" w14:textId="77777777" w:rsidR="00753DD5" w:rsidRPr="00C04D30" w:rsidRDefault="00753DD5" w:rsidP="00C04D30">
      <w:pPr>
        <w:pStyle w:val="Heading1"/>
        <w:spacing w:after="120"/>
        <w:rPr>
          <w:rFonts w:cstheme="majorHAnsi"/>
          <w:lang w:val="en-CA"/>
        </w:rPr>
      </w:pPr>
      <w:r w:rsidRPr="00C04D30">
        <w:rPr>
          <w:rFonts w:cstheme="majorHAnsi"/>
          <w:lang w:val="en-CA"/>
        </w:rPr>
        <w:t>Organizational Context</w:t>
      </w:r>
    </w:p>
    <w:p w14:paraId="6832E277" w14:textId="77777777" w:rsidR="00753DD5" w:rsidRPr="00264AD9" w:rsidRDefault="00753DD5" w:rsidP="00C04D30">
      <w:pPr>
        <w:pStyle w:val="Heading2"/>
        <w:spacing w:after="120"/>
        <w:rPr>
          <w:lang w:val="en-CA"/>
        </w:rPr>
      </w:pPr>
      <w:r w:rsidRPr="00264AD9">
        <w:rPr>
          <w:lang w:val="en-CA"/>
        </w:rPr>
        <w:t>Mandate</w:t>
      </w:r>
    </w:p>
    <w:p w14:paraId="0326E6AC" w14:textId="77777777" w:rsidR="00A1151E" w:rsidRPr="00C04D30" w:rsidRDefault="00A1151E" w:rsidP="00C04D30">
      <w:pPr>
        <w:pStyle w:val="NoSpacing"/>
        <w:spacing w:after="120"/>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On June 21, 2019, Parliament passed Bill C-69 which replaced the </w:t>
      </w:r>
      <w:r w:rsidRPr="0022695A">
        <w:rPr>
          <w:rStyle w:val="Emphasis"/>
        </w:rPr>
        <w:t>National Energy Board Act</w:t>
      </w:r>
      <w:r w:rsidRPr="00C04D30">
        <w:rPr>
          <w:rFonts w:asciiTheme="minorHAnsi" w:hAnsiTheme="minorHAnsi" w:cstheme="minorHAnsi"/>
          <w:color w:val="000000"/>
          <w:sz w:val="22"/>
          <w:szCs w:val="22"/>
          <w:lang w:val="en-CA"/>
        </w:rPr>
        <w:t xml:space="preserve"> with the </w:t>
      </w:r>
      <w:r w:rsidRPr="00C04D30">
        <w:rPr>
          <w:rStyle w:val="Emphasis"/>
          <w:rFonts w:asciiTheme="minorHAnsi" w:hAnsiTheme="minorHAnsi" w:cstheme="minorHAnsi"/>
          <w:szCs w:val="18"/>
          <w:lang w:val="en-CA"/>
        </w:rPr>
        <w:t>Canadian Energy Regulator Act</w:t>
      </w:r>
      <w:r w:rsidRPr="00C04D30">
        <w:rPr>
          <w:rFonts w:asciiTheme="minorHAnsi" w:hAnsiTheme="minorHAnsi" w:cstheme="minorHAnsi"/>
          <w:color w:val="000000"/>
          <w:sz w:val="22"/>
          <w:szCs w:val="22"/>
          <w:lang w:val="en-CA"/>
        </w:rPr>
        <w:t>. On August 28, 2019, the National Energy Board officially became the CER.</w:t>
      </w:r>
    </w:p>
    <w:p w14:paraId="066BF622" w14:textId="77777777" w:rsidR="00A1151E" w:rsidRPr="00C04D30" w:rsidRDefault="00A1151E" w:rsidP="00C04D30">
      <w:pPr>
        <w:pStyle w:val="NoSpacing"/>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The CER oversees how energy moves </w:t>
      </w:r>
      <w:r w:rsidR="00552B29" w:rsidRPr="00C04D30">
        <w:rPr>
          <w:rFonts w:asciiTheme="minorHAnsi" w:hAnsiTheme="minorHAnsi" w:cstheme="minorHAnsi"/>
          <w:color w:val="000000"/>
          <w:sz w:val="22"/>
          <w:szCs w:val="22"/>
          <w:lang w:val="en-CA"/>
        </w:rPr>
        <w:t>with</w:t>
      </w:r>
      <w:r w:rsidRPr="00C04D30">
        <w:rPr>
          <w:rFonts w:asciiTheme="minorHAnsi" w:hAnsiTheme="minorHAnsi" w:cstheme="minorHAnsi"/>
          <w:color w:val="000000"/>
          <w:sz w:val="22"/>
          <w:szCs w:val="22"/>
          <w:lang w:val="en-CA"/>
        </w:rPr>
        <w:t xml:space="preserve">in Canada. It is responsible </w:t>
      </w:r>
      <w:r w:rsidR="00552B29" w:rsidRPr="00C04D30">
        <w:rPr>
          <w:rFonts w:asciiTheme="minorHAnsi" w:hAnsiTheme="minorHAnsi" w:cstheme="minorHAnsi"/>
          <w:color w:val="000000"/>
          <w:sz w:val="22"/>
          <w:szCs w:val="22"/>
          <w:lang w:val="en-CA"/>
        </w:rPr>
        <w:t>for</w:t>
      </w:r>
      <w:r w:rsidRPr="00C04D30">
        <w:rPr>
          <w:rFonts w:asciiTheme="minorHAnsi" w:hAnsiTheme="minorHAnsi" w:cstheme="minorHAnsi"/>
          <w:color w:val="000000"/>
          <w:sz w:val="22"/>
          <w:szCs w:val="22"/>
          <w:lang w:val="en-CA"/>
        </w:rPr>
        <w:t xml:space="preserve"> keeping watch over the companies operating oil and gas pipelines and electrical powerlines that cross a national, </w:t>
      </w:r>
      <w:proofErr w:type="gramStart"/>
      <w:r w:rsidRPr="00C04D30">
        <w:rPr>
          <w:rFonts w:asciiTheme="minorHAnsi" w:hAnsiTheme="minorHAnsi" w:cstheme="minorHAnsi"/>
          <w:color w:val="000000"/>
          <w:sz w:val="22"/>
          <w:szCs w:val="22"/>
          <w:lang w:val="en-CA"/>
        </w:rPr>
        <w:t>provincial</w:t>
      </w:r>
      <w:proofErr w:type="gramEnd"/>
      <w:r w:rsidRPr="00C04D30">
        <w:rPr>
          <w:rFonts w:asciiTheme="minorHAnsi" w:hAnsiTheme="minorHAnsi" w:cstheme="minorHAnsi"/>
          <w:color w:val="000000"/>
          <w:sz w:val="22"/>
          <w:szCs w:val="22"/>
          <w:lang w:val="en-CA"/>
        </w:rPr>
        <w:t xml:space="preserve"> or territorial border</w:t>
      </w:r>
      <w:r w:rsidR="00552B29" w:rsidRPr="00C04D30">
        <w:rPr>
          <w:rFonts w:asciiTheme="minorHAnsi" w:hAnsiTheme="minorHAnsi" w:cstheme="minorHAnsi"/>
          <w:color w:val="000000"/>
          <w:sz w:val="22"/>
          <w:szCs w:val="22"/>
          <w:lang w:val="en-CA"/>
        </w:rPr>
        <w:t>. The CER:</w:t>
      </w:r>
    </w:p>
    <w:p w14:paraId="76CE18D1" w14:textId="2A3810BE" w:rsidR="00A1151E" w:rsidRPr="00C04D30" w:rsidRDefault="00A1151E" w:rsidP="00C04D30">
      <w:pPr>
        <w:pStyle w:val="NoSpacing"/>
        <w:numPr>
          <w:ilvl w:val="0"/>
          <w:numId w:val="48"/>
        </w:numPr>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reviews applications for new projects and upgrades to current </w:t>
      </w:r>
      <w:proofErr w:type="gramStart"/>
      <w:r w:rsidRPr="00C04D30">
        <w:rPr>
          <w:rFonts w:asciiTheme="minorHAnsi" w:hAnsiTheme="minorHAnsi" w:cstheme="minorHAnsi"/>
          <w:color w:val="000000"/>
          <w:sz w:val="22"/>
          <w:szCs w:val="22"/>
          <w:lang w:val="en-CA"/>
        </w:rPr>
        <w:t>ones;</w:t>
      </w:r>
      <w:proofErr w:type="gramEnd"/>
    </w:p>
    <w:p w14:paraId="5B9B1009" w14:textId="43E71D51" w:rsidR="00A1151E" w:rsidRPr="00C04D30" w:rsidRDefault="00A1151E" w:rsidP="00C04D30">
      <w:pPr>
        <w:pStyle w:val="NoSpacing"/>
        <w:numPr>
          <w:ilvl w:val="0"/>
          <w:numId w:val="48"/>
        </w:numPr>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provides oversight of oil and gas exploration and activities on frontier lands and offshore not otherwise regulated under territorial law or joint federal/provincial </w:t>
      </w:r>
      <w:proofErr w:type="gramStart"/>
      <w:r w:rsidRPr="00C04D30">
        <w:rPr>
          <w:rFonts w:asciiTheme="minorHAnsi" w:hAnsiTheme="minorHAnsi" w:cstheme="minorHAnsi"/>
          <w:color w:val="000000"/>
          <w:sz w:val="22"/>
          <w:szCs w:val="22"/>
          <w:lang w:val="en-CA"/>
        </w:rPr>
        <w:t>accord;</w:t>
      </w:r>
      <w:proofErr w:type="gramEnd"/>
    </w:p>
    <w:p w14:paraId="66C31F94" w14:textId="145C9388" w:rsidR="00A1151E" w:rsidRPr="00C04D30" w:rsidRDefault="00A1151E" w:rsidP="00C04D30">
      <w:pPr>
        <w:pStyle w:val="NoSpacing"/>
        <w:numPr>
          <w:ilvl w:val="0"/>
          <w:numId w:val="48"/>
        </w:numPr>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decides what can be transported in pipelines and how much companies are allowed to charge for their </w:t>
      </w:r>
      <w:proofErr w:type="gramStart"/>
      <w:r w:rsidRPr="00C04D30">
        <w:rPr>
          <w:rFonts w:asciiTheme="minorHAnsi" w:hAnsiTheme="minorHAnsi" w:cstheme="minorHAnsi"/>
          <w:color w:val="000000"/>
          <w:sz w:val="22"/>
          <w:szCs w:val="22"/>
          <w:lang w:val="en-CA"/>
        </w:rPr>
        <w:t>services;</w:t>
      </w:r>
      <w:proofErr w:type="gramEnd"/>
    </w:p>
    <w:p w14:paraId="669F69B3" w14:textId="3E94797C" w:rsidR="00A1151E" w:rsidRPr="00C04D30" w:rsidRDefault="00A1151E" w:rsidP="00C04D30">
      <w:pPr>
        <w:pStyle w:val="NoSpacing"/>
        <w:numPr>
          <w:ilvl w:val="0"/>
          <w:numId w:val="48"/>
        </w:numPr>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approves the export and import of natural gas and the export of oil; and</w:t>
      </w:r>
    </w:p>
    <w:p w14:paraId="0CA6D850" w14:textId="610562E9" w:rsidR="00A1151E" w:rsidRPr="00C04D30" w:rsidRDefault="00A1151E" w:rsidP="00C04D30">
      <w:pPr>
        <w:pStyle w:val="NoSpacing"/>
        <w:numPr>
          <w:ilvl w:val="0"/>
          <w:numId w:val="48"/>
        </w:numPr>
        <w:spacing w:after="120"/>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provides people with energy statistics, </w:t>
      </w:r>
      <w:proofErr w:type="gramStart"/>
      <w:r w:rsidRPr="00C04D30">
        <w:rPr>
          <w:rFonts w:asciiTheme="minorHAnsi" w:hAnsiTheme="minorHAnsi" w:cstheme="minorHAnsi"/>
          <w:color w:val="000000"/>
          <w:sz w:val="22"/>
          <w:szCs w:val="22"/>
          <w:lang w:val="en-CA"/>
        </w:rPr>
        <w:t>analysis</w:t>
      </w:r>
      <w:proofErr w:type="gramEnd"/>
      <w:r w:rsidRPr="00C04D30">
        <w:rPr>
          <w:rFonts w:asciiTheme="minorHAnsi" w:hAnsiTheme="minorHAnsi" w:cstheme="minorHAnsi"/>
          <w:color w:val="000000"/>
          <w:sz w:val="22"/>
          <w:szCs w:val="22"/>
          <w:lang w:val="en-CA"/>
        </w:rPr>
        <w:t xml:space="preserve"> and information.</w:t>
      </w:r>
    </w:p>
    <w:p w14:paraId="6DDB9DC5" w14:textId="47E3FD28" w:rsidR="005D779E" w:rsidRPr="00C04D30" w:rsidRDefault="00A1151E" w:rsidP="0022695A">
      <w:pPr>
        <w:pStyle w:val="NoSpacing"/>
        <w:spacing w:after="120"/>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While the CER is a separate agency named in Schedule V of the </w:t>
      </w:r>
      <w:r w:rsidRPr="00C04D30">
        <w:rPr>
          <w:rStyle w:val="Emphasis"/>
          <w:rFonts w:asciiTheme="minorHAnsi" w:hAnsiTheme="minorHAnsi" w:cstheme="minorHAnsi"/>
          <w:szCs w:val="18"/>
          <w:lang w:val="en-CA"/>
        </w:rPr>
        <w:t>Financial Administration Act</w:t>
      </w:r>
      <w:r w:rsidRPr="00C04D30">
        <w:rPr>
          <w:rFonts w:asciiTheme="minorHAnsi" w:hAnsiTheme="minorHAnsi" w:cstheme="minorHAnsi"/>
          <w:color w:val="000000"/>
          <w:sz w:val="20"/>
          <w:lang w:val="en-CA"/>
        </w:rPr>
        <w:t xml:space="preserve"> </w:t>
      </w:r>
      <w:r w:rsidRPr="00C04D30">
        <w:rPr>
          <w:rFonts w:asciiTheme="minorHAnsi" w:hAnsiTheme="minorHAnsi" w:cstheme="minorHAnsi"/>
          <w:color w:val="000000"/>
          <w:sz w:val="22"/>
          <w:szCs w:val="22"/>
          <w:lang w:val="en-CA"/>
        </w:rPr>
        <w:t>(FAA), its employees are sub</w:t>
      </w:r>
      <w:r w:rsidR="00FE6947" w:rsidRPr="00C04D30">
        <w:rPr>
          <w:rFonts w:asciiTheme="minorHAnsi" w:hAnsiTheme="minorHAnsi" w:cstheme="minorHAnsi"/>
          <w:color w:val="000000"/>
          <w:sz w:val="22"/>
          <w:szCs w:val="22"/>
          <w:lang w:val="en-CA"/>
        </w:rPr>
        <w:t>ject</w:t>
      </w:r>
      <w:r w:rsidRPr="00C04D30">
        <w:rPr>
          <w:rFonts w:asciiTheme="minorHAnsi" w:hAnsiTheme="minorHAnsi" w:cstheme="minorHAnsi"/>
          <w:color w:val="000000"/>
          <w:sz w:val="22"/>
          <w:szCs w:val="22"/>
          <w:lang w:val="en-CA"/>
        </w:rPr>
        <w:t xml:space="preserve"> to the </w:t>
      </w:r>
      <w:r w:rsidRPr="00C04D30">
        <w:rPr>
          <w:rStyle w:val="Emphasis"/>
          <w:rFonts w:asciiTheme="minorHAnsi" w:hAnsiTheme="minorHAnsi" w:cstheme="minorHAnsi"/>
          <w:szCs w:val="18"/>
          <w:lang w:val="en-CA"/>
        </w:rPr>
        <w:t>Public Service Employment Act</w:t>
      </w:r>
      <w:r w:rsidRPr="00C04D30">
        <w:rPr>
          <w:rFonts w:asciiTheme="minorHAnsi" w:hAnsiTheme="minorHAnsi" w:cstheme="minorHAnsi"/>
          <w:color w:val="000000"/>
          <w:sz w:val="20"/>
          <w:lang w:val="en-CA"/>
        </w:rPr>
        <w:t xml:space="preserve"> </w:t>
      </w:r>
      <w:r w:rsidRPr="00C04D30">
        <w:rPr>
          <w:rFonts w:asciiTheme="minorHAnsi" w:hAnsiTheme="minorHAnsi" w:cstheme="minorHAnsi"/>
          <w:color w:val="000000"/>
          <w:sz w:val="22"/>
          <w:szCs w:val="22"/>
          <w:lang w:val="en-CA"/>
        </w:rPr>
        <w:t>(PSEA). It also has its own classification system that is different tha</w:t>
      </w:r>
      <w:r w:rsidR="005D779E" w:rsidRPr="00C04D30">
        <w:rPr>
          <w:rFonts w:asciiTheme="minorHAnsi" w:hAnsiTheme="minorHAnsi" w:cstheme="minorHAnsi"/>
          <w:color w:val="000000"/>
          <w:sz w:val="22"/>
          <w:szCs w:val="22"/>
          <w:lang w:val="en-CA"/>
        </w:rPr>
        <w:t xml:space="preserve">n the one for organizations with </w:t>
      </w:r>
      <w:r w:rsidRPr="00C04D30">
        <w:rPr>
          <w:rFonts w:asciiTheme="minorHAnsi" w:hAnsiTheme="minorHAnsi" w:cstheme="minorHAnsi"/>
          <w:color w:val="000000"/>
          <w:sz w:val="22"/>
          <w:szCs w:val="22"/>
          <w:lang w:val="en-CA"/>
        </w:rPr>
        <w:t>Treasury Board Secretariat is the employer (</w:t>
      </w:r>
      <w:proofErr w:type="gramStart"/>
      <w:r w:rsidRPr="00C04D30">
        <w:rPr>
          <w:rFonts w:asciiTheme="minorHAnsi" w:hAnsiTheme="minorHAnsi" w:cstheme="minorHAnsi"/>
          <w:color w:val="000000"/>
          <w:sz w:val="22"/>
          <w:szCs w:val="22"/>
          <w:lang w:val="en-CA"/>
        </w:rPr>
        <w:t>i.e.</w:t>
      </w:r>
      <w:proofErr w:type="gramEnd"/>
      <w:r w:rsidRPr="00C04D30">
        <w:rPr>
          <w:rFonts w:asciiTheme="minorHAnsi" w:hAnsiTheme="minorHAnsi" w:cstheme="minorHAnsi"/>
          <w:color w:val="000000"/>
          <w:sz w:val="22"/>
          <w:szCs w:val="22"/>
          <w:lang w:val="en-CA"/>
        </w:rPr>
        <w:t xml:space="preserve"> </w:t>
      </w:r>
      <w:r w:rsidR="00C06D5C" w:rsidRPr="00C04D30">
        <w:rPr>
          <w:rFonts w:asciiTheme="minorHAnsi" w:hAnsiTheme="minorHAnsi" w:cstheme="minorHAnsi"/>
          <w:color w:val="000000"/>
          <w:sz w:val="22"/>
          <w:szCs w:val="22"/>
          <w:lang w:val="en-CA"/>
        </w:rPr>
        <w:t xml:space="preserve">all positions are classified as </w:t>
      </w:r>
      <w:r w:rsidRPr="00C04D30">
        <w:rPr>
          <w:rFonts w:asciiTheme="minorHAnsi" w:hAnsiTheme="minorHAnsi" w:cstheme="minorHAnsi"/>
          <w:color w:val="000000"/>
          <w:sz w:val="22"/>
          <w:szCs w:val="22"/>
          <w:lang w:val="en-CA"/>
        </w:rPr>
        <w:t>NB</w:t>
      </w:r>
      <w:r w:rsidR="00C06D5C" w:rsidRPr="00C04D30">
        <w:rPr>
          <w:rFonts w:asciiTheme="minorHAnsi" w:hAnsiTheme="minorHAnsi" w:cstheme="minorHAnsi"/>
          <w:color w:val="000000"/>
          <w:sz w:val="22"/>
          <w:szCs w:val="22"/>
          <w:lang w:val="en-CA"/>
        </w:rPr>
        <w:t xml:space="preserve"> from levels</w:t>
      </w:r>
      <w:r w:rsidR="005D779E" w:rsidRPr="00C04D30">
        <w:rPr>
          <w:rFonts w:asciiTheme="minorHAnsi" w:hAnsiTheme="minorHAnsi" w:cstheme="minorHAnsi"/>
          <w:color w:val="000000"/>
          <w:sz w:val="22"/>
          <w:szCs w:val="22"/>
          <w:lang w:val="en-CA"/>
        </w:rPr>
        <w:t xml:space="preserve"> 1 to 16).</w:t>
      </w:r>
    </w:p>
    <w:p w14:paraId="77C53832" w14:textId="56B214C9" w:rsidR="00356BA9" w:rsidRPr="00C04D30" w:rsidRDefault="00A1151E" w:rsidP="00C04D30">
      <w:pPr>
        <w:pStyle w:val="NoSpacing"/>
        <w:spacing w:after="120"/>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lastRenderedPageBreak/>
        <w:t xml:space="preserve">The organization is headquartered in Calgary, Alberta with 3 regional offices (Montréal, </w:t>
      </w:r>
      <w:proofErr w:type="gramStart"/>
      <w:r w:rsidRPr="00C04D30">
        <w:rPr>
          <w:rFonts w:asciiTheme="minorHAnsi" w:hAnsiTheme="minorHAnsi" w:cstheme="minorHAnsi"/>
          <w:color w:val="000000"/>
          <w:sz w:val="22"/>
          <w:szCs w:val="22"/>
          <w:lang w:val="en-CA"/>
        </w:rPr>
        <w:t>Vancouver</w:t>
      </w:r>
      <w:proofErr w:type="gramEnd"/>
      <w:r w:rsidRPr="00C04D30">
        <w:rPr>
          <w:rFonts w:asciiTheme="minorHAnsi" w:hAnsiTheme="minorHAnsi" w:cstheme="minorHAnsi"/>
          <w:color w:val="000000"/>
          <w:sz w:val="22"/>
          <w:szCs w:val="22"/>
          <w:lang w:val="en-CA"/>
        </w:rPr>
        <w:t xml:space="preserve"> and Yellowknife). There were </w:t>
      </w:r>
      <w:r w:rsidR="005D779E" w:rsidRPr="00C04D30">
        <w:rPr>
          <w:rFonts w:asciiTheme="minorHAnsi" w:hAnsiTheme="minorHAnsi" w:cstheme="minorHAnsi"/>
          <w:color w:val="000000"/>
          <w:sz w:val="22"/>
          <w:szCs w:val="22"/>
          <w:lang w:val="en-CA"/>
        </w:rPr>
        <w:t>500</w:t>
      </w:r>
      <w:r w:rsidRPr="00C04D30">
        <w:rPr>
          <w:rFonts w:asciiTheme="minorHAnsi" w:hAnsiTheme="minorHAnsi" w:cstheme="minorHAnsi"/>
          <w:color w:val="000000"/>
          <w:sz w:val="22"/>
          <w:szCs w:val="22"/>
          <w:lang w:val="en-CA"/>
        </w:rPr>
        <w:t xml:space="preserve"> employees (indeterminate, term, casual and</w:t>
      </w:r>
      <w:r w:rsidR="005D779E" w:rsidRPr="00C04D30">
        <w:rPr>
          <w:rFonts w:asciiTheme="minorHAnsi" w:hAnsiTheme="minorHAnsi" w:cstheme="minorHAnsi"/>
          <w:color w:val="000000"/>
          <w:sz w:val="22"/>
          <w:szCs w:val="22"/>
          <w:lang w:val="en-CA"/>
        </w:rPr>
        <w:t xml:space="preserve"> student) as of March 31, 2020</w:t>
      </w:r>
      <w:r w:rsidR="00356BA9" w:rsidRPr="00C04D30">
        <w:rPr>
          <w:rFonts w:asciiTheme="minorHAnsi" w:hAnsiTheme="minorHAnsi" w:cstheme="minorHAnsi"/>
          <w:color w:val="000000"/>
          <w:sz w:val="22"/>
          <w:szCs w:val="22"/>
          <w:lang w:val="en-CA"/>
        </w:rPr>
        <w:t>.</w:t>
      </w:r>
    </w:p>
    <w:p w14:paraId="6409CCC6" w14:textId="5428CB44" w:rsidR="00A1151E" w:rsidRPr="00C04D30" w:rsidRDefault="00A1151E" w:rsidP="00C04D30">
      <w:pPr>
        <w:pStyle w:val="NoSpacing"/>
        <w:spacing w:after="120"/>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 xml:space="preserve">Of note, the </w:t>
      </w:r>
      <w:r w:rsidR="003E4498" w:rsidRPr="00C04D30">
        <w:rPr>
          <w:rFonts w:asciiTheme="minorHAnsi" w:hAnsiTheme="minorHAnsi" w:cstheme="minorHAnsi"/>
          <w:color w:val="000000"/>
          <w:sz w:val="22"/>
          <w:szCs w:val="22"/>
          <w:lang w:val="en-CA"/>
        </w:rPr>
        <w:t xml:space="preserve">CER </w:t>
      </w:r>
      <w:r w:rsidRPr="00C04D30">
        <w:rPr>
          <w:rFonts w:asciiTheme="minorHAnsi" w:hAnsiTheme="minorHAnsi" w:cstheme="minorHAnsi"/>
          <w:color w:val="000000"/>
          <w:sz w:val="22"/>
          <w:szCs w:val="22"/>
          <w:lang w:val="en-CA"/>
        </w:rPr>
        <w:t xml:space="preserve">was </w:t>
      </w:r>
      <w:r w:rsidR="00754DD8" w:rsidRPr="00C04D30">
        <w:rPr>
          <w:rFonts w:asciiTheme="minorHAnsi" w:hAnsiTheme="minorHAnsi" w:cstheme="minorHAnsi"/>
          <w:color w:val="000000"/>
          <w:sz w:val="22"/>
          <w:szCs w:val="22"/>
          <w:lang w:val="en-CA"/>
        </w:rPr>
        <w:t>chosen as one of</w:t>
      </w:r>
      <w:r w:rsidR="003E4498" w:rsidRPr="00C04D30">
        <w:rPr>
          <w:rFonts w:asciiTheme="minorHAnsi" w:hAnsiTheme="minorHAnsi" w:cstheme="minorHAnsi"/>
          <w:color w:val="000000"/>
          <w:sz w:val="22"/>
          <w:szCs w:val="22"/>
          <w:lang w:val="en-CA"/>
        </w:rPr>
        <w:t xml:space="preserve"> Canada’s Top 100 Employers</w:t>
      </w:r>
      <w:r w:rsidR="00FC2CE0" w:rsidRPr="00C04D30">
        <w:rPr>
          <w:rFonts w:asciiTheme="minorHAnsi" w:hAnsiTheme="minorHAnsi" w:cstheme="minorHAnsi"/>
          <w:color w:val="000000"/>
          <w:sz w:val="22"/>
          <w:szCs w:val="22"/>
          <w:lang w:val="en-CA"/>
        </w:rPr>
        <w:t xml:space="preserve"> in 2020</w:t>
      </w:r>
      <w:r w:rsidR="00754DD8" w:rsidRPr="00C04D30">
        <w:rPr>
          <w:rFonts w:asciiTheme="minorHAnsi" w:hAnsiTheme="minorHAnsi" w:cstheme="minorHAnsi"/>
          <w:color w:val="000000"/>
          <w:sz w:val="22"/>
          <w:szCs w:val="22"/>
          <w:lang w:val="en-CA"/>
        </w:rPr>
        <w:t>, which is announced annually in a special feature published in The Globe and Mail</w:t>
      </w:r>
      <w:r w:rsidR="003E4498" w:rsidRPr="00C04D30">
        <w:rPr>
          <w:rFonts w:asciiTheme="minorHAnsi" w:hAnsiTheme="minorHAnsi" w:cstheme="minorHAnsi"/>
          <w:color w:val="000000"/>
          <w:sz w:val="22"/>
          <w:szCs w:val="22"/>
          <w:lang w:val="en-CA"/>
        </w:rPr>
        <w:t>.</w:t>
      </w:r>
    </w:p>
    <w:p w14:paraId="6701B672" w14:textId="77777777" w:rsidR="00753DD5" w:rsidRPr="00264AD9" w:rsidRDefault="00753DD5" w:rsidP="00C04D30">
      <w:pPr>
        <w:pStyle w:val="Heading2"/>
        <w:spacing w:after="120"/>
        <w:rPr>
          <w:u w:val="single"/>
          <w:lang w:val="en-CA"/>
        </w:rPr>
      </w:pPr>
      <w:r w:rsidRPr="00264AD9">
        <w:rPr>
          <w:lang w:val="en-CA"/>
        </w:rPr>
        <w:t>Challenges</w:t>
      </w:r>
    </w:p>
    <w:p w14:paraId="7BD3A637" w14:textId="42B9398A" w:rsidR="00853613" w:rsidRPr="00C04D30" w:rsidRDefault="007B3302" w:rsidP="00C04D30">
      <w:pPr>
        <w:pStyle w:val="NoSpacing"/>
        <w:spacing w:after="120"/>
        <w:rPr>
          <w:rFonts w:asciiTheme="minorHAnsi" w:hAnsiTheme="minorHAnsi" w:cstheme="minorHAnsi"/>
          <w:sz w:val="22"/>
          <w:szCs w:val="22"/>
          <w:lang w:val="en-CA"/>
        </w:rPr>
      </w:pPr>
      <w:r w:rsidRPr="00C04D30">
        <w:rPr>
          <w:rFonts w:asciiTheme="minorHAnsi" w:hAnsiTheme="minorHAnsi" w:cstheme="minorHAnsi"/>
          <w:sz w:val="22"/>
          <w:szCs w:val="22"/>
          <w:lang w:val="en-CA"/>
        </w:rPr>
        <w:t>T</w:t>
      </w:r>
      <w:r w:rsidR="00C31696" w:rsidRPr="00C04D30">
        <w:rPr>
          <w:rFonts w:asciiTheme="minorHAnsi" w:hAnsiTheme="minorHAnsi" w:cstheme="minorHAnsi"/>
          <w:sz w:val="22"/>
          <w:szCs w:val="22"/>
          <w:lang w:val="en-CA"/>
        </w:rPr>
        <w:t>he determination of the linguistic identification of a position, establishing the appropriate linguistic profile of a bilingual position (</w:t>
      </w:r>
      <w:proofErr w:type="gramStart"/>
      <w:r w:rsidR="00C31696" w:rsidRPr="00C04D30">
        <w:rPr>
          <w:rFonts w:asciiTheme="minorHAnsi" w:hAnsiTheme="minorHAnsi" w:cstheme="minorHAnsi"/>
          <w:sz w:val="22"/>
          <w:szCs w:val="22"/>
          <w:lang w:val="en-CA"/>
        </w:rPr>
        <w:t>e.g.</w:t>
      </w:r>
      <w:proofErr w:type="gramEnd"/>
      <w:r w:rsidR="00C31696" w:rsidRPr="00C04D30">
        <w:rPr>
          <w:rFonts w:asciiTheme="minorHAnsi" w:hAnsiTheme="minorHAnsi" w:cstheme="minorHAnsi"/>
          <w:sz w:val="22"/>
          <w:szCs w:val="22"/>
          <w:lang w:val="en-CA"/>
        </w:rPr>
        <w:t xml:space="preserve"> CBC/CBC) and the staffing of bilingual positions present challenges for the CER</w:t>
      </w:r>
      <w:r w:rsidR="00356BA9" w:rsidRPr="00C04D30">
        <w:rPr>
          <w:rFonts w:asciiTheme="minorHAnsi" w:hAnsiTheme="minorHAnsi" w:cstheme="minorHAnsi"/>
          <w:sz w:val="22"/>
          <w:szCs w:val="22"/>
          <w:lang w:val="en-CA"/>
        </w:rPr>
        <w:t>,</w:t>
      </w:r>
      <w:r w:rsidR="00C31696" w:rsidRPr="00C04D30">
        <w:rPr>
          <w:rFonts w:asciiTheme="minorHAnsi" w:hAnsiTheme="minorHAnsi" w:cstheme="minorHAnsi"/>
          <w:sz w:val="22"/>
          <w:szCs w:val="22"/>
          <w:lang w:val="en-CA"/>
        </w:rPr>
        <w:t xml:space="preserve"> given that the majority of the organization’s workforce is </w:t>
      </w:r>
      <w:r w:rsidR="00853613" w:rsidRPr="00C04D30">
        <w:rPr>
          <w:rFonts w:asciiTheme="minorHAnsi" w:hAnsiTheme="minorHAnsi" w:cstheme="minorHAnsi"/>
          <w:sz w:val="22"/>
          <w:szCs w:val="22"/>
          <w:lang w:val="en-CA"/>
        </w:rPr>
        <w:t>located in a unilingual region.</w:t>
      </w:r>
    </w:p>
    <w:p w14:paraId="48C93540" w14:textId="77777777" w:rsidR="00853613" w:rsidRPr="00C04D30" w:rsidRDefault="00F24384" w:rsidP="00C04D30">
      <w:pPr>
        <w:pStyle w:val="NoSpacing"/>
        <w:spacing w:after="120"/>
        <w:rPr>
          <w:rFonts w:asciiTheme="minorHAnsi" w:hAnsiTheme="minorHAnsi" w:cstheme="minorHAnsi"/>
          <w:sz w:val="22"/>
          <w:szCs w:val="22"/>
          <w:lang w:val="en-CA"/>
        </w:rPr>
      </w:pPr>
      <w:r w:rsidRPr="00C04D30">
        <w:rPr>
          <w:rFonts w:asciiTheme="minorHAnsi" w:hAnsiTheme="minorHAnsi" w:cstheme="minorHAnsi"/>
          <w:sz w:val="22"/>
          <w:szCs w:val="22"/>
          <w:lang w:val="en-CA"/>
        </w:rPr>
        <w:t xml:space="preserve">Acting appointments to bilingual positions present a particular challenge because employees in subordinate positions often do not have the </w:t>
      </w:r>
      <w:r w:rsidR="00853613" w:rsidRPr="00C04D30">
        <w:rPr>
          <w:rFonts w:asciiTheme="minorHAnsi" w:hAnsiTheme="minorHAnsi" w:cstheme="minorHAnsi"/>
          <w:sz w:val="22"/>
          <w:szCs w:val="22"/>
          <w:lang w:val="en-CA"/>
        </w:rPr>
        <w:t>required level of bilingualism. In addition</w:t>
      </w:r>
      <w:r w:rsidRPr="00C04D30">
        <w:rPr>
          <w:rFonts w:asciiTheme="minorHAnsi" w:hAnsiTheme="minorHAnsi" w:cstheme="minorHAnsi"/>
          <w:sz w:val="22"/>
          <w:szCs w:val="22"/>
          <w:lang w:val="en-CA"/>
        </w:rPr>
        <w:t>, the organization finds it difficult to recruit bilingual Technical Writers to work at its headquarters in Calgary, however it has had some success in finding bilingual employees to fill these positions in its Montreal regional office.</w:t>
      </w:r>
    </w:p>
    <w:p w14:paraId="59702B5F" w14:textId="6A0CAA85" w:rsidR="00F24384" w:rsidRPr="00C04D30" w:rsidRDefault="00F24384" w:rsidP="00C04D30">
      <w:pPr>
        <w:pStyle w:val="NoSpacing"/>
        <w:spacing w:after="120"/>
        <w:rPr>
          <w:rFonts w:asciiTheme="minorHAnsi" w:hAnsiTheme="minorHAnsi" w:cstheme="minorHAnsi"/>
          <w:sz w:val="22"/>
          <w:szCs w:val="22"/>
          <w:lang w:val="en-CA"/>
        </w:rPr>
      </w:pPr>
      <w:r w:rsidRPr="00C04D30">
        <w:rPr>
          <w:rFonts w:asciiTheme="minorHAnsi" w:hAnsiTheme="minorHAnsi" w:cstheme="minorHAnsi"/>
          <w:sz w:val="22"/>
          <w:szCs w:val="22"/>
          <w:lang w:val="en-CA"/>
        </w:rPr>
        <w:t xml:space="preserve">The </w:t>
      </w:r>
      <w:r w:rsidR="00853613" w:rsidRPr="00C04D30">
        <w:rPr>
          <w:rFonts w:asciiTheme="minorHAnsi" w:hAnsiTheme="minorHAnsi" w:cstheme="minorHAnsi"/>
          <w:sz w:val="22"/>
          <w:szCs w:val="22"/>
          <w:lang w:val="en-CA"/>
        </w:rPr>
        <w:t>Staffing Support Advisor (</w:t>
      </w:r>
      <w:r w:rsidRPr="00C04D30">
        <w:rPr>
          <w:rFonts w:asciiTheme="minorHAnsi" w:hAnsiTheme="minorHAnsi" w:cstheme="minorHAnsi"/>
          <w:sz w:val="22"/>
          <w:szCs w:val="22"/>
          <w:lang w:val="en-CA"/>
        </w:rPr>
        <w:t>SSA</w:t>
      </w:r>
      <w:r w:rsidR="00853613" w:rsidRPr="00C04D30">
        <w:rPr>
          <w:rFonts w:asciiTheme="minorHAnsi" w:hAnsiTheme="minorHAnsi" w:cstheme="minorHAnsi"/>
          <w:sz w:val="22"/>
          <w:szCs w:val="22"/>
          <w:lang w:val="en-CA"/>
        </w:rPr>
        <w:t>)</w:t>
      </w:r>
      <w:r w:rsidRPr="00C04D30">
        <w:rPr>
          <w:rFonts w:asciiTheme="minorHAnsi" w:hAnsiTheme="minorHAnsi" w:cstheme="minorHAnsi"/>
          <w:sz w:val="22"/>
          <w:szCs w:val="22"/>
          <w:lang w:val="en-CA"/>
        </w:rPr>
        <w:t xml:space="preserve"> is working with the CER on potential recruitment strategie</w:t>
      </w:r>
      <w:r w:rsidR="0008173C" w:rsidRPr="00C04D30">
        <w:rPr>
          <w:rFonts w:asciiTheme="minorHAnsi" w:hAnsiTheme="minorHAnsi" w:cstheme="minorHAnsi"/>
          <w:sz w:val="22"/>
          <w:szCs w:val="22"/>
          <w:lang w:val="en-CA"/>
        </w:rPr>
        <w:t>s and is providing ongoing support with respect to official languages in assessment and recruitment.</w:t>
      </w:r>
    </w:p>
    <w:p w14:paraId="3F3CC469" w14:textId="77777777" w:rsidR="00753DD5" w:rsidRPr="00264AD9" w:rsidRDefault="00753DD5" w:rsidP="00C04D30">
      <w:pPr>
        <w:pStyle w:val="Heading2"/>
        <w:spacing w:after="120"/>
        <w:rPr>
          <w:u w:val="single"/>
          <w:lang w:val="en-CA"/>
        </w:rPr>
      </w:pPr>
      <w:r w:rsidRPr="00264AD9">
        <w:rPr>
          <w:lang w:val="en-CA"/>
        </w:rPr>
        <w:t>Experimentation</w:t>
      </w:r>
    </w:p>
    <w:p w14:paraId="095298EB" w14:textId="77777777" w:rsidR="00F91EE3" w:rsidRPr="00C04D30" w:rsidRDefault="001305BD" w:rsidP="00C04D30">
      <w:pPr>
        <w:pStyle w:val="NoSpacing"/>
        <w:spacing w:after="120"/>
        <w:rPr>
          <w:rFonts w:asciiTheme="minorHAnsi" w:hAnsiTheme="minorHAnsi" w:cstheme="minorHAnsi"/>
          <w:sz w:val="22"/>
          <w:szCs w:val="22"/>
          <w:lang w:val="en-CA"/>
        </w:rPr>
      </w:pPr>
      <w:r w:rsidRPr="00C04D30">
        <w:rPr>
          <w:rFonts w:asciiTheme="minorHAnsi" w:hAnsiTheme="minorHAnsi" w:cstheme="minorHAnsi"/>
          <w:sz w:val="22"/>
          <w:szCs w:val="22"/>
          <w:lang w:val="en-CA"/>
        </w:rPr>
        <w:t xml:space="preserve">The CER does not have any examples of innovative practices that they are implementing, but </w:t>
      </w:r>
      <w:r w:rsidR="009A53AD" w:rsidRPr="00C04D30">
        <w:rPr>
          <w:rFonts w:asciiTheme="minorHAnsi" w:hAnsiTheme="minorHAnsi" w:cstheme="minorHAnsi"/>
          <w:sz w:val="22"/>
          <w:szCs w:val="22"/>
          <w:lang w:val="en-CA"/>
        </w:rPr>
        <w:t>it is</w:t>
      </w:r>
      <w:r w:rsidRPr="00C04D30">
        <w:rPr>
          <w:rFonts w:asciiTheme="minorHAnsi" w:hAnsiTheme="minorHAnsi" w:cstheme="minorHAnsi"/>
          <w:sz w:val="22"/>
          <w:szCs w:val="22"/>
          <w:lang w:val="en-CA"/>
        </w:rPr>
        <w:t xml:space="preserve"> </w:t>
      </w:r>
      <w:r w:rsidR="009A53AD" w:rsidRPr="00C04D30">
        <w:rPr>
          <w:rFonts w:asciiTheme="minorHAnsi" w:hAnsiTheme="minorHAnsi" w:cstheme="minorHAnsi"/>
          <w:sz w:val="22"/>
          <w:szCs w:val="22"/>
          <w:lang w:val="en-CA"/>
        </w:rPr>
        <w:t>focussing its</w:t>
      </w:r>
      <w:r w:rsidRPr="00C04D30">
        <w:rPr>
          <w:rFonts w:asciiTheme="minorHAnsi" w:hAnsiTheme="minorHAnsi" w:cstheme="minorHAnsi"/>
          <w:sz w:val="22"/>
          <w:szCs w:val="22"/>
          <w:lang w:val="en-CA"/>
        </w:rPr>
        <w:t xml:space="preserve"> efforts on better human resources planning, which </w:t>
      </w:r>
      <w:r w:rsidR="009A53AD" w:rsidRPr="00C04D30">
        <w:rPr>
          <w:rFonts w:asciiTheme="minorHAnsi" w:hAnsiTheme="minorHAnsi" w:cstheme="minorHAnsi"/>
          <w:sz w:val="22"/>
          <w:szCs w:val="22"/>
          <w:lang w:val="en-CA"/>
        </w:rPr>
        <w:t>it</w:t>
      </w:r>
      <w:r w:rsidRPr="00C04D30">
        <w:rPr>
          <w:rFonts w:asciiTheme="minorHAnsi" w:hAnsiTheme="minorHAnsi" w:cstheme="minorHAnsi"/>
          <w:sz w:val="22"/>
          <w:szCs w:val="22"/>
          <w:lang w:val="en-CA"/>
        </w:rPr>
        <w:t xml:space="preserve"> hope</w:t>
      </w:r>
      <w:r w:rsidR="009A53AD" w:rsidRPr="00C04D30">
        <w:rPr>
          <w:rFonts w:asciiTheme="minorHAnsi" w:hAnsiTheme="minorHAnsi" w:cstheme="minorHAnsi"/>
          <w:sz w:val="22"/>
          <w:szCs w:val="22"/>
          <w:lang w:val="en-CA"/>
        </w:rPr>
        <w:t>s</w:t>
      </w:r>
      <w:r w:rsidRPr="00C04D30">
        <w:rPr>
          <w:rFonts w:asciiTheme="minorHAnsi" w:hAnsiTheme="minorHAnsi" w:cstheme="minorHAnsi"/>
          <w:sz w:val="22"/>
          <w:szCs w:val="22"/>
          <w:lang w:val="en-CA"/>
        </w:rPr>
        <w:t xml:space="preserve"> will lead to better staffing outcomes for </w:t>
      </w:r>
      <w:r w:rsidR="009A53AD" w:rsidRPr="00C04D30">
        <w:rPr>
          <w:rFonts w:asciiTheme="minorHAnsi" w:hAnsiTheme="minorHAnsi" w:cstheme="minorHAnsi"/>
          <w:sz w:val="22"/>
          <w:szCs w:val="22"/>
          <w:lang w:val="en-CA"/>
        </w:rPr>
        <w:t xml:space="preserve">its </w:t>
      </w:r>
      <w:r w:rsidRPr="00C04D30">
        <w:rPr>
          <w:rFonts w:asciiTheme="minorHAnsi" w:hAnsiTheme="minorHAnsi" w:cstheme="minorHAnsi"/>
          <w:sz w:val="22"/>
          <w:szCs w:val="22"/>
          <w:lang w:val="en-CA"/>
        </w:rPr>
        <w:t>hiring managers.</w:t>
      </w:r>
    </w:p>
    <w:p w14:paraId="73D1868F" w14:textId="40C11BBB" w:rsidR="00753DD5" w:rsidRPr="00C04D30" w:rsidRDefault="00753DD5" w:rsidP="008D0AC6">
      <w:pPr>
        <w:pStyle w:val="Heading1"/>
        <w:spacing w:after="120"/>
        <w:rPr>
          <w:lang w:val="en-CA"/>
        </w:rPr>
      </w:pPr>
      <w:r w:rsidRPr="00C04D30">
        <w:rPr>
          <w:lang w:val="en-CA"/>
        </w:rPr>
        <w:t>Population and Staffing Activities</w:t>
      </w:r>
    </w:p>
    <w:p w14:paraId="48240F1D" w14:textId="77777777" w:rsidR="00473C63" w:rsidRPr="00264AD9" w:rsidRDefault="00753DD5" w:rsidP="00C04D30">
      <w:pPr>
        <w:pStyle w:val="Heading2"/>
        <w:spacing w:after="120"/>
        <w:rPr>
          <w:u w:val="single"/>
          <w:lang w:val="en-CA"/>
        </w:rPr>
      </w:pPr>
      <w:r w:rsidRPr="00264AD9">
        <w:rPr>
          <w:lang w:val="en-CA"/>
        </w:rPr>
        <w:t>Population</w:t>
      </w:r>
    </w:p>
    <w:p w14:paraId="2A64AC6B" w14:textId="57154F19" w:rsidR="00753DD5" w:rsidRPr="00C04D30" w:rsidRDefault="00473C63" w:rsidP="00C04D30">
      <w:pPr>
        <w:pStyle w:val="NoSpacing"/>
        <w:spacing w:after="120"/>
        <w:rPr>
          <w:rFonts w:asciiTheme="minorHAnsi" w:hAnsiTheme="minorHAnsi" w:cstheme="minorHAnsi"/>
          <w:color w:val="000000"/>
          <w:sz w:val="22"/>
          <w:szCs w:val="22"/>
          <w:lang w:val="en-CA"/>
        </w:rPr>
      </w:pPr>
      <w:r w:rsidRPr="00C04D30">
        <w:rPr>
          <w:rFonts w:asciiTheme="minorHAnsi" w:hAnsiTheme="minorHAnsi" w:cstheme="minorHAnsi"/>
          <w:color w:val="000000"/>
          <w:sz w:val="22"/>
          <w:szCs w:val="22"/>
          <w:lang w:val="en-CA"/>
        </w:rPr>
        <w:t>The CER is a small organization with</w:t>
      </w:r>
      <w:r w:rsidR="00753DD5" w:rsidRPr="00C04D30">
        <w:rPr>
          <w:rFonts w:asciiTheme="minorHAnsi" w:hAnsiTheme="minorHAnsi" w:cstheme="minorHAnsi"/>
          <w:color w:val="000000"/>
          <w:sz w:val="22"/>
          <w:szCs w:val="22"/>
          <w:lang w:val="en-CA"/>
        </w:rPr>
        <w:t xml:space="preserve"> a population of</w:t>
      </w:r>
      <w:r w:rsidRPr="00C04D30">
        <w:rPr>
          <w:rFonts w:asciiTheme="minorHAnsi" w:hAnsiTheme="minorHAnsi" w:cstheme="minorHAnsi"/>
          <w:color w:val="000000"/>
          <w:sz w:val="22"/>
          <w:szCs w:val="22"/>
          <w:lang w:val="en-CA"/>
        </w:rPr>
        <w:t xml:space="preserve"> </w:t>
      </w:r>
      <w:r w:rsidR="004F3A81" w:rsidRPr="00C04D30">
        <w:rPr>
          <w:rFonts w:asciiTheme="minorHAnsi" w:hAnsiTheme="minorHAnsi" w:cstheme="minorHAnsi"/>
          <w:color w:val="000000"/>
          <w:sz w:val="22"/>
          <w:szCs w:val="22"/>
          <w:lang w:val="en-CA"/>
        </w:rPr>
        <w:t>500 employees (as of March 31, 2020</w:t>
      </w:r>
      <w:r w:rsidRPr="00C04D30">
        <w:rPr>
          <w:rFonts w:asciiTheme="minorHAnsi" w:hAnsiTheme="minorHAnsi" w:cstheme="minorHAnsi"/>
          <w:color w:val="000000"/>
          <w:sz w:val="22"/>
          <w:szCs w:val="22"/>
          <w:lang w:val="en-CA"/>
        </w:rPr>
        <w:t>).</w:t>
      </w:r>
      <w:r w:rsidR="006A60CF" w:rsidRPr="00C04D30">
        <w:rPr>
          <w:rFonts w:asciiTheme="minorHAnsi" w:hAnsiTheme="minorHAnsi" w:cstheme="minorHAnsi"/>
          <w:color w:val="000000"/>
          <w:sz w:val="22"/>
          <w:szCs w:val="22"/>
          <w:lang w:val="en-CA"/>
        </w:rPr>
        <w:t xml:space="preserve"> Most employees work at the CER’s headquartered in downtown Calgary, Alberta</w:t>
      </w:r>
      <w:r w:rsidR="009D1233" w:rsidRPr="00C04D30">
        <w:rPr>
          <w:rFonts w:asciiTheme="minorHAnsi" w:hAnsiTheme="minorHAnsi" w:cstheme="minorHAnsi"/>
          <w:color w:val="000000"/>
          <w:sz w:val="22"/>
          <w:szCs w:val="22"/>
          <w:lang w:val="en-CA"/>
        </w:rPr>
        <w:t>. The</w:t>
      </w:r>
      <w:r w:rsidR="00A764CD" w:rsidRPr="00C04D30">
        <w:rPr>
          <w:rFonts w:asciiTheme="minorHAnsi" w:hAnsiTheme="minorHAnsi" w:cstheme="minorHAnsi"/>
          <w:color w:val="000000"/>
          <w:sz w:val="22"/>
          <w:szCs w:val="22"/>
          <w:lang w:val="en-CA"/>
        </w:rPr>
        <w:t xml:space="preserve"> remaining employees work in the 3 regional offices in </w:t>
      </w:r>
      <w:r w:rsidR="006A60CF" w:rsidRPr="00C04D30">
        <w:rPr>
          <w:rFonts w:asciiTheme="minorHAnsi" w:hAnsiTheme="minorHAnsi" w:cstheme="minorHAnsi"/>
          <w:color w:val="000000"/>
          <w:sz w:val="22"/>
          <w:szCs w:val="22"/>
          <w:lang w:val="en-CA"/>
        </w:rPr>
        <w:t>Mont</w:t>
      </w:r>
      <w:r w:rsidR="00A764CD" w:rsidRPr="00C04D30">
        <w:rPr>
          <w:rFonts w:asciiTheme="minorHAnsi" w:hAnsiTheme="minorHAnsi" w:cstheme="minorHAnsi"/>
          <w:color w:val="000000"/>
          <w:sz w:val="22"/>
          <w:szCs w:val="22"/>
          <w:lang w:val="en-CA"/>
        </w:rPr>
        <w:t xml:space="preserve">réal, </w:t>
      </w:r>
      <w:proofErr w:type="gramStart"/>
      <w:r w:rsidR="00A764CD" w:rsidRPr="00C04D30">
        <w:rPr>
          <w:rFonts w:asciiTheme="minorHAnsi" w:hAnsiTheme="minorHAnsi" w:cstheme="minorHAnsi"/>
          <w:color w:val="000000"/>
          <w:sz w:val="22"/>
          <w:szCs w:val="22"/>
          <w:lang w:val="en-CA"/>
        </w:rPr>
        <w:t>Vancouver</w:t>
      </w:r>
      <w:proofErr w:type="gramEnd"/>
      <w:r w:rsidR="00A764CD" w:rsidRPr="00C04D30">
        <w:rPr>
          <w:rFonts w:asciiTheme="minorHAnsi" w:hAnsiTheme="minorHAnsi" w:cstheme="minorHAnsi"/>
          <w:color w:val="000000"/>
          <w:sz w:val="22"/>
          <w:szCs w:val="22"/>
          <w:lang w:val="en-CA"/>
        </w:rPr>
        <w:t xml:space="preserve"> and Yellowknife</w:t>
      </w:r>
      <w:r w:rsidR="006A60CF" w:rsidRPr="00C04D30">
        <w:rPr>
          <w:rFonts w:asciiTheme="minorHAnsi" w:hAnsiTheme="minorHAnsi" w:cstheme="minorHAnsi"/>
          <w:color w:val="000000"/>
          <w:sz w:val="22"/>
          <w:szCs w:val="22"/>
          <w:lang w:val="en-CA"/>
        </w:rPr>
        <w:t>.</w:t>
      </w:r>
      <w:r w:rsidR="00A764CD" w:rsidRPr="00C04D30">
        <w:rPr>
          <w:rFonts w:asciiTheme="minorHAnsi" w:hAnsiTheme="minorHAnsi" w:cstheme="minorHAnsi"/>
          <w:color w:val="000000"/>
          <w:sz w:val="22"/>
          <w:szCs w:val="22"/>
          <w:lang w:val="en-CA"/>
        </w:rPr>
        <w:t xml:space="preserve"> No CER employees work in the National Capital Region.</w:t>
      </w:r>
    </w:p>
    <w:p w14:paraId="2D6D26F9" w14:textId="77777777" w:rsidR="00753DD5" w:rsidRPr="00264AD9" w:rsidRDefault="00753DD5" w:rsidP="00C04D30">
      <w:pPr>
        <w:pStyle w:val="Heading2"/>
        <w:spacing w:after="120"/>
        <w:rPr>
          <w:u w:val="single"/>
          <w:lang w:val="en-CA"/>
        </w:rPr>
      </w:pPr>
      <w:r w:rsidRPr="00264AD9">
        <w:rPr>
          <w:lang w:val="en-CA"/>
        </w:rPr>
        <w:t>Staffing Activities</w:t>
      </w:r>
    </w:p>
    <w:p w14:paraId="4F7CE99C" w14:textId="7C51D14B" w:rsidR="00753DD5" w:rsidRPr="00C04D30" w:rsidRDefault="006A60CF" w:rsidP="00C04D30">
      <w:pPr>
        <w:pStyle w:val="NoSpacing"/>
        <w:rPr>
          <w:rFonts w:asciiTheme="minorHAnsi" w:hAnsiTheme="minorHAnsi" w:cstheme="minorHAnsi"/>
          <w:sz w:val="22"/>
          <w:szCs w:val="22"/>
          <w:lang w:val="en-CA"/>
        </w:rPr>
      </w:pPr>
      <w:r w:rsidRPr="00C04D30">
        <w:rPr>
          <w:rFonts w:asciiTheme="minorHAnsi" w:hAnsiTheme="minorHAnsi" w:cstheme="minorHAnsi"/>
          <w:sz w:val="22"/>
          <w:szCs w:val="22"/>
          <w:lang w:val="en-CA"/>
        </w:rPr>
        <w:t>In the 20</w:t>
      </w:r>
      <w:r w:rsidR="004F3A81" w:rsidRPr="00C04D30">
        <w:rPr>
          <w:rFonts w:asciiTheme="minorHAnsi" w:hAnsiTheme="minorHAnsi" w:cstheme="minorHAnsi"/>
          <w:sz w:val="22"/>
          <w:szCs w:val="22"/>
          <w:lang w:val="en-CA"/>
        </w:rPr>
        <w:t>19-2020</w:t>
      </w:r>
      <w:r w:rsidRPr="00C04D30">
        <w:rPr>
          <w:rFonts w:asciiTheme="minorHAnsi" w:hAnsiTheme="minorHAnsi" w:cstheme="minorHAnsi"/>
          <w:sz w:val="22"/>
          <w:szCs w:val="22"/>
          <w:lang w:val="en-CA"/>
        </w:rPr>
        <w:t xml:space="preserve"> fiscal year, the CER </w:t>
      </w:r>
      <w:r w:rsidR="009D1233" w:rsidRPr="00C04D30">
        <w:rPr>
          <w:rFonts w:asciiTheme="minorHAnsi" w:hAnsiTheme="minorHAnsi" w:cstheme="minorHAnsi"/>
          <w:sz w:val="22"/>
          <w:szCs w:val="22"/>
          <w:lang w:val="en-CA"/>
        </w:rPr>
        <w:t>conducted</w:t>
      </w:r>
      <w:r w:rsidR="00753DD5" w:rsidRPr="00C04D30">
        <w:rPr>
          <w:rFonts w:asciiTheme="minorHAnsi" w:hAnsiTheme="minorHAnsi" w:cstheme="minorHAnsi"/>
          <w:sz w:val="22"/>
          <w:szCs w:val="22"/>
          <w:lang w:val="en-CA"/>
        </w:rPr>
        <w:t xml:space="preserve"> a total of </w:t>
      </w:r>
      <w:r w:rsidR="00916681" w:rsidRPr="00C04D30">
        <w:rPr>
          <w:rFonts w:asciiTheme="minorHAnsi" w:hAnsiTheme="minorHAnsi" w:cstheme="minorHAnsi"/>
          <w:sz w:val="22"/>
          <w:szCs w:val="22"/>
          <w:lang w:val="en-CA"/>
        </w:rPr>
        <w:t>207</w:t>
      </w:r>
      <w:r w:rsidR="00753DD5" w:rsidRPr="00C04D30">
        <w:rPr>
          <w:rFonts w:asciiTheme="minorHAnsi" w:hAnsiTheme="minorHAnsi" w:cstheme="minorHAnsi"/>
          <w:sz w:val="22"/>
          <w:szCs w:val="22"/>
          <w:lang w:val="en-CA"/>
        </w:rPr>
        <w:t xml:space="preserve"> staffing activities:</w:t>
      </w:r>
    </w:p>
    <w:p w14:paraId="061AE6A2" w14:textId="15C35757" w:rsidR="00936EB0" w:rsidRPr="00C04D30" w:rsidRDefault="004F3A81" w:rsidP="00C04D30">
      <w:pPr>
        <w:pStyle w:val="NoSpacing"/>
        <w:numPr>
          <w:ilvl w:val="0"/>
          <w:numId w:val="49"/>
        </w:numPr>
        <w:rPr>
          <w:rFonts w:asciiTheme="minorHAnsi" w:hAnsiTheme="minorHAnsi" w:cstheme="minorHAnsi"/>
          <w:sz w:val="22"/>
          <w:szCs w:val="22"/>
          <w:lang w:val="en-CA"/>
        </w:rPr>
      </w:pPr>
      <w:r w:rsidRPr="00C04D30">
        <w:rPr>
          <w:rFonts w:asciiTheme="minorHAnsi" w:hAnsiTheme="minorHAnsi" w:cstheme="minorHAnsi"/>
          <w:sz w:val="22"/>
          <w:szCs w:val="22"/>
          <w:lang w:val="en-CA"/>
        </w:rPr>
        <w:t>62</w:t>
      </w:r>
      <w:r w:rsidR="00936EB0" w:rsidRPr="00C04D30">
        <w:rPr>
          <w:rFonts w:asciiTheme="minorHAnsi" w:hAnsiTheme="minorHAnsi" w:cstheme="minorHAnsi"/>
          <w:sz w:val="22"/>
          <w:szCs w:val="22"/>
          <w:lang w:val="en-CA"/>
        </w:rPr>
        <w:t xml:space="preserve"> promotions made within the public </w:t>
      </w:r>
      <w:proofErr w:type="gramStart"/>
      <w:r w:rsidR="00C90FCF" w:rsidRPr="00C04D30">
        <w:rPr>
          <w:rFonts w:asciiTheme="minorHAnsi" w:hAnsiTheme="minorHAnsi" w:cstheme="minorHAnsi"/>
          <w:sz w:val="22"/>
          <w:szCs w:val="22"/>
          <w:lang w:val="en-CA"/>
        </w:rPr>
        <w:t>service;</w:t>
      </w:r>
      <w:proofErr w:type="gramEnd"/>
    </w:p>
    <w:p w14:paraId="510E89FA" w14:textId="5D11B7B7" w:rsidR="00753DD5" w:rsidRPr="00C04D30" w:rsidRDefault="00F302D2" w:rsidP="00E73952">
      <w:pPr>
        <w:pStyle w:val="NoSpacing"/>
        <w:numPr>
          <w:ilvl w:val="0"/>
          <w:numId w:val="49"/>
        </w:numPr>
        <w:rPr>
          <w:rFonts w:asciiTheme="minorHAnsi" w:hAnsiTheme="minorHAnsi" w:cstheme="minorHAnsi"/>
          <w:sz w:val="22"/>
          <w:szCs w:val="22"/>
          <w:lang w:val="en-CA"/>
        </w:rPr>
      </w:pPr>
      <w:r w:rsidRPr="00C04D30">
        <w:rPr>
          <w:rFonts w:asciiTheme="minorHAnsi" w:hAnsiTheme="minorHAnsi" w:cstheme="minorHAnsi"/>
          <w:sz w:val="22"/>
          <w:szCs w:val="22"/>
          <w:lang w:val="en-CA"/>
        </w:rPr>
        <w:t>41</w:t>
      </w:r>
      <w:r w:rsidR="00753DD5" w:rsidRPr="00C04D30">
        <w:rPr>
          <w:rFonts w:asciiTheme="minorHAnsi" w:hAnsiTheme="minorHAnsi" w:cstheme="minorHAnsi"/>
          <w:sz w:val="22"/>
          <w:szCs w:val="22"/>
          <w:lang w:val="en-CA"/>
        </w:rPr>
        <w:t xml:space="preserve"> </w:t>
      </w:r>
      <w:r w:rsidR="00936EB0" w:rsidRPr="00C04D30">
        <w:rPr>
          <w:rFonts w:asciiTheme="minorHAnsi" w:hAnsiTheme="minorHAnsi" w:cstheme="minorHAnsi"/>
          <w:sz w:val="22"/>
          <w:szCs w:val="22"/>
          <w:lang w:val="en-CA"/>
        </w:rPr>
        <w:t xml:space="preserve">indeterminate and term </w:t>
      </w:r>
      <w:r w:rsidR="00753DD5" w:rsidRPr="00C04D30">
        <w:rPr>
          <w:rFonts w:asciiTheme="minorHAnsi" w:hAnsiTheme="minorHAnsi" w:cstheme="minorHAnsi"/>
          <w:sz w:val="22"/>
          <w:szCs w:val="22"/>
          <w:lang w:val="en-CA"/>
        </w:rPr>
        <w:t xml:space="preserve">appointments to the public </w:t>
      </w:r>
      <w:proofErr w:type="gramStart"/>
      <w:r w:rsidR="00753DD5" w:rsidRPr="00C04D30">
        <w:rPr>
          <w:rFonts w:asciiTheme="minorHAnsi" w:hAnsiTheme="minorHAnsi" w:cstheme="minorHAnsi"/>
          <w:sz w:val="22"/>
          <w:szCs w:val="22"/>
          <w:lang w:val="en-CA"/>
        </w:rPr>
        <w:t>service</w:t>
      </w:r>
      <w:r w:rsidR="00936EB0" w:rsidRPr="00C04D30">
        <w:rPr>
          <w:rFonts w:asciiTheme="minorHAnsi" w:hAnsiTheme="minorHAnsi" w:cstheme="minorHAnsi"/>
          <w:sz w:val="22"/>
          <w:szCs w:val="22"/>
          <w:lang w:val="en-CA"/>
        </w:rPr>
        <w:t>;</w:t>
      </w:r>
      <w:proofErr w:type="gramEnd"/>
    </w:p>
    <w:p w14:paraId="35D00D58" w14:textId="5BED307C" w:rsidR="00753DD5" w:rsidRPr="00C04D30" w:rsidRDefault="003D1BA1" w:rsidP="00E73952">
      <w:pPr>
        <w:pStyle w:val="NoSpacing"/>
        <w:numPr>
          <w:ilvl w:val="0"/>
          <w:numId w:val="49"/>
        </w:numPr>
        <w:rPr>
          <w:rFonts w:asciiTheme="minorHAnsi" w:hAnsiTheme="minorHAnsi" w:cstheme="minorHAnsi"/>
          <w:sz w:val="22"/>
          <w:szCs w:val="22"/>
          <w:lang w:val="en-CA"/>
        </w:rPr>
      </w:pPr>
      <w:r w:rsidRPr="00C04D30">
        <w:rPr>
          <w:rFonts w:asciiTheme="minorHAnsi" w:hAnsiTheme="minorHAnsi" w:cstheme="minorHAnsi"/>
          <w:sz w:val="22"/>
          <w:szCs w:val="22"/>
          <w:lang w:val="en-CA"/>
        </w:rPr>
        <w:t>43</w:t>
      </w:r>
      <w:r w:rsidR="00753DD5" w:rsidRPr="00C04D30">
        <w:rPr>
          <w:rFonts w:asciiTheme="minorHAnsi" w:hAnsiTheme="minorHAnsi" w:cstheme="minorHAnsi"/>
          <w:sz w:val="22"/>
          <w:szCs w:val="22"/>
          <w:lang w:val="en-CA"/>
        </w:rPr>
        <w:t xml:space="preserve"> acting appointments</w:t>
      </w:r>
      <w:r w:rsidR="00936EB0" w:rsidRPr="00C04D30">
        <w:rPr>
          <w:rFonts w:asciiTheme="minorHAnsi" w:hAnsiTheme="minorHAnsi" w:cstheme="minorHAnsi"/>
          <w:sz w:val="22"/>
          <w:szCs w:val="22"/>
          <w:lang w:val="en-CA"/>
        </w:rPr>
        <w:t xml:space="preserve"> (excluding acting appointments of less than 4 months</w:t>
      </w:r>
      <w:proofErr w:type="gramStart"/>
      <w:r w:rsidR="00936EB0" w:rsidRPr="00C04D30">
        <w:rPr>
          <w:rFonts w:asciiTheme="minorHAnsi" w:hAnsiTheme="minorHAnsi" w:cstheme="minorHAnsi"/>
          <w:sz w:val="22"/>
          <w:szCs w:val="22"/>
          <w:lang w:val="en-CA"/>
        </w:rPr>
        <w:t>)</w:t>
      </w:r>
      <w:r w:rsidR="00753DD5" w:rsidRPr="00C04D30">
        <w:rPr>
          <w:rFonts w:asciiTheme="minorHAnsi" w:hAnsiTheme="minorHAnsi" w:cstheme="minorHAnsi"/>
          <w:sz w:val="22"/>
          <w:szCs w:val="22"/>
          <w:lang w:val="en-CA"/>
        </w:rPr>
        <w:t>;</w:t>
      </w:r>
      <w:proofErr w:type="gramEnd"/>
    </w:p>
    <w:p w14:paraId="099CB46D" w14:textId="1177F8F4" w:rsidR="00753DD5" w:rsidRPr="00C04D30" w:rsidRDefault="003D1BA1" w:rsidP="00E73952">
      <w:pPr>
        <w:pStyle w:val="NoSpacing"/>
        <w:numPr>
          <w:ilvl w:val="0"/>
          <w:numId w:val="49"/>
        </w:numPr>
        <w:rPr>
          <w:rFonts w:asciiTheme="minorHAnsi" w:hAnsiTheme="minorHAnsi" w:cstheme="minorHAnsi"/>
          <w:sz w:val="22"/>
          <w:szCs w:val="22"/>
          <w:lang w:val="en-CA"/>
        </w:rPr>
      </w:pPr>
      <w:r w:rsidRPr="00C04D30">
        <w:rPr>
          <w:rFonts w:asciiTheme="minorHAnsi" w:hAnsiTheme="minorHAnsi" w:cstheme="minorHAnsi"/>
          <w:sz w:val="22"/>
          <w:szCs w:val="22"/>
          <w:lang w:val="en-CA"/>
        </w:rPr>
        <w:t>17</w:t>
      </w:r>
      <w:r w:rsidR="00936EB0" w:rsidRPr="00C04D30">
        <w:rPr>
          <w:rFonts w:asciiTheme="minorHAnsi" w:hAnsiTheme="minorHAnsi" w:cstheme="minorHAnsi"/>
          <w:sz w:val="22"/>
          <w:szCs w:val="22"/>
          <w:lang w:val="en-CA"/>
        </w:rPr>
        <w:t xml:space="preserve"> casual </w:t>
      </w:r>
      <w:proofErr w:type="gramStart"/>
      <w:r w:rsidR="00936EB0" w:rsidRPr="00C04D30">
        <w:rPr>
          <w:rFonts w:asciiTheme="minorHAnsi" w:hAnsiTheme="minorHAnsi" w:cstheme="minorHAnsi"/>
          <w:sz w:val="22"/>
          <w:szCs w:val="22"/>
          <w:lang w:val="en-CA"/>
        </w:rPr>
        <w:t>workers;</w:t>
      </w:r>
      <w:proofErr w:type="gramEnd"/>
    </w:p>
    <w:p w14:paraId="5BC269B3" w14:textId="1BCC0E6B" w:rsidR="00753DD5" w:rsidRPr="005A39A5" w:rsidRDefault="003D1BA1" w:rsidP="00E73952">
      <w:pPr>
        <w:pStyle w:val="NoSpacing"/>
        <w:numPr>
          <w:ilvl w:val="0"/>
          <w:numId w:val="49"/>
        </w:numPr>
        <w:rPr>
          <w:rFonts w:asciiTheme="minorHAnsi" w:hAnsiTheme="minorHAnsi" w:cstheme="minorHAnsi"/>
          <w:sz w:val="22"/>
          <w:szCs w:val="22"/>
          <w:lang w:val="en-CA"/>
        </w:rPr>
      </w:pPr>
      <w:r w:rsidRPr="005A39A5">
        <w:rPr>
          <w:rFonts w:asciiTheme="minorHAnsi" w:hAnsiTheme="minorHAnsi" w:cstheme="minorHAnsi"/>
          <w:sz w:val="22"/>
          <w:szCs w:val="22"/>
          <w:lang w:val="en-CA"/>
        </w:rPr>
        <w:t>9</w:t>
      </w:r>
      <w:r w:rsidR="00753DD5" w:rsidRPr="005A39A5">
        <w:rPr>
          <w:rFonts w:asciiTheme="minorHAnsi" w:hAnsiTheme="minorHAnsi" w:cstheme="minorHAnsi"/>
          <w:sz w:val="22"/>
          <w:szCs w:val="22"/>
          <w:lang w:val="en-CA"/>
        </w:rPr>
        <w:t xml:space="preserve"> </w:t>
      </w:r>
      <w:r w:rsidR="00936EB0" w:rsidRPr="005A39A5">
        <w:rPr>
          <w:rFonts w:asciiTheme="minorHAnsi" w:hAnsiTheme="minorHAnsi" w:cstheme="minorHAnsi"/>
          <w:sz w:val="22"/>
          <w:szCs w:val="22"/>
          <w:lang w:val="en-CA"/>
        </w:rPr>
        <w:t>students; and</w:t>
      </w:r>
    </w:p>
    <w:p w14:paraId="4C5DE965" w14:textId="276DF8F9" w:rsidR="00753DD5" w:rsidRPr="008D0AC6" w:rsidRDefault="00F302D2" w:rsidP="008D0AC6">
      <w:pPr>
        <w:pStyle w:val="NoSpacing"/>
        <w:numPr>
          <w:ilvl w:val="0"/>
          <w:numId w:val="49"/>
        </w:numPr>
        <w:spacing w:after="120"/>
        <w:rPr>
          <w:rFonts w:asciiTheme="minorHAnsi" w:hAnsiTheme="minorHAnsi" w:cstheme="minorHAnsi"/>
          <w:sz w:val="22"/>
          <w:szCs w:val="22"/>
          <w:lang w:val="en-CA"/>
        </w:rPr>
      </w:pPr>
      <w:r w:rsidRPr="008D0AC6">
        <w:rPr>
          <w:rFonts w:asciiTheme="minorHAnsi" w:hAnsiTheme="minorHAnsi" w:cstheme="minorHAnsi"/>
          <w:sz w:val="22"/>
          <w:szCs w:val="22"/>
          <w:lang w:val="en-CA"/>
        </w:rPr>
        <w:t>35</w:t>
      </w:r>
      <w:r w:rsidR="00753DD5" w:rsidRPr="008D0AC6">
        <w:rPr>
          <w:rFonts w:asciiTheme="minorHAnsi" w:hAnsiTheme="minorHAnsi" w:cstheme="minorHAnsi"/>
          <w:sz w:val="22"/>
          <w:szCs w:val="22"/>
          <w:lang w:val="en-CA"/>
        </w:rPr>
        <w:t xml:space="preserve"> lateral and downward movements</w:t>
      </w:r>
      <w:r w:rsidR="00936EB0" w:rsidRPr="008D0AC6">
        <w:rPr>
          <w:rFonts w:asciiTheme="minorHAnsi" w:hAnsiTheme="minorHAnsi" w:cstheme="minorHAnsi"/>
          <w:sz w:val="22"/>
          <w:szCs w:val="22"/>
          <w:lang w:val="en-CA"/>
        </w:rPr>
        <w:t>.</w:t>
      </w:r>
    </w:p>
    <w:p w14:paraId="3C6F1BD9" w14:textId="0458D473" w:rsidR="00816688" w:rsidRPr="008D0AC6" w:rsidRDefault="00753DD5" w:rsidP="008D0AC6">
      <w:pPr>
        <w:pStyle w:val="NoSpacing"/>
        <w:spacing w:after="120"/>
        <w:rPr>
          <w:rFonts w:asciiTheme="minorHAnsi" w:hAnsiTheme="minorHAnsi" w:cstheme="minorHAnsi"/>
          <w:sz w:val="22"/>
          <w:szCs w:val="22"/>
          <w:lang w:val="en-CA" w:eastAsia="en-CA"/>
        </w:rPr>
      </w:pPr>
      <w:r w:rsidRPr="008D0AC6">
        <w:rPr>
          <w:rFonts w:asciiTheme="minorHAnsi" w:hAnsiTheme="minorHAnsi" w:cstheme="minorHAnsi"/>
          <w:sz w:val="22"/>
          <w:szCs w:val="22"/>
          <w:lang w:val="en-CA" w:eastAsia="en-CA"/>
        </w:rPr>
        <w:t xml:space="preserve">Please refer to </w:t>
      </w:r>
      <w:hyperlink w:anchor="AnnexB" w:history="1">
        <w:r w:rsidRPr="000374EB">
          <w:rPr>
            <w:rStyle w:val="Hyperlink"/>
            <w:rFonts w:asciiTheme="minorHAnsi" w:hAnsiTheme="minorHAnsi" w:cstheme="minorHAnsi"/>
            <w:sz w:val="22"/>
            <w:szCs w:val="22"/>
            <w:lang w:val="en-CA" w:eastAsia="en-CA"/>
          </w:rPr>
          <w:t xml:space="preserve">Annex </w:t>
        </w:r>
        <w:r w:rsidR="00DB08B9" w:rsidRPr="000374EB">
          <w:rPr>
            <w:rStyle w:val="Hyperlink"/>
            <w:rFonts w:asciiTheme="minorHAnsi" w:hAnsiTheme="minorHAnsi" w:cstheme="minorHAnsi"/>
            <w:sz w:val="22"/>
            <w:szCs w:val="22"/>
            <w:lang w:val="en-CA" w:eastAsia="en-CA"/>
          </w:rPr>
          <w:t>B</w:t>
        </w:r>
      </w:hyperlink>
      <w:r w:rsidRPr="008D0AC6">
        <w:rPr>
          <w:rFonts w:asciiTheme="minorHAnsi" w:hAnsiTheme="minorHAnsi" w:cstheme="minorHAnsi"/>
          <w:sz w:val="22"/>
          <w:szCs w:val="22"/>
          <w:lang w:val="en-CA" w:eastAsia="en-CA"/>
        </w:rPr>
        <w:t xml:space="preserve"> for additional details</w:t>
      </w:r>
      <w:r w:rsidR="008D0AC6" w:rsidRPr="008D0AC6">
        <w:rPr>
          <w:rFonts w:asciiTheme="minorHAnsi" w:hAnsiTheme="minorHAnsi" w:cstheme="minorHAnsi"/>
          <w:sz w:val="22"/>
          <w:szCs w:val="22"/>
          <w:lang w:val="en-CA" w:eastAsia="en-CA"/>
        </w:rPr>
        <w:t xml:space="preserve"> on staffing activities</w:t>
      </w:r>
      <w:r w:rsidRPr="008D0AC6">
        <w:rPr>
          <w:rFonts w:asciiTheme="minorHAnsi" w:hAnsiTheme="minorHAnsi" w:cstheme="minorHAnsi"/>
          <w:sz w:val="22"/>
          <w:szCs w:val="22"/>
          <w:lang w:val="en-CA" w:eastAsia="en-CA"/>
        </w:rPr>
        <w:t>.</w:t>
      </w:r>
    </w:p>
    <w:p w14:paraId="0D8C249C" w14:textId="2EF4EA0D" w:rsidR="00816688" w:rsidRPr="008D0AC6" w:rsidRDefault="006719EE" w:rsidP="008D0AC6">
      <w:pPr>
        <w:pStyle w:val="NoSpacing"/>
        <w:spacing w:after="120"/>
        <w:rPr>
          <w:rFonts w:asciiTheme="minorHAnsi" w:hAnsiTheme="minorHAnsi" w:cstheme="minorHAnsi"/>
          <w:sz w:val="22"/>
          <w:szCs w:val="22"/>
          <w:lang w:val="en-CA" w:eastAsia="en-CA"/>
        </w:rPr>
      </w:pPr>
      <w:r w:rsidRPr="008D0AC6">
        <w:rPr>
          <w:rFonts w:asciiTheme="minorHAnsi" w:hAnsiTheme="minorHAnsi" w:cstheme="minorHAnsi"/>
          <w:sz w:val="22"/>
          <w:szCs w:val="22"/>
          <w:lang w:val="en-CA" w:eastAsia="en-CA"/>
        </w:rPr>
        <w:t>Since the beginning of 2020, it made 13 FSWEP referrals and previously hired 9 students through the progra</w:t>
      </w:r>
      <w:r w:rsidR="005B3C36" w:rsidRPr="008D0AC6">
        <w:rPr>
          <w:rFonts w:asciiTheme="minorHAnsi" w:hAnsiTheme="minorHAnsi" w:cstheme="minorHAnsi"/>
          <w:sz w:val="22"/>
          <w:szCs w:val="22"/>
          <w:lang w:val="en-CA" w:eastAsia="en-CA"/>
        </w:rPr>
        <w:t>m in the 2019-2020 fiscal year.</w:t>
      </w:r>
    </w:p>
    <w:p w14:paraId="7C325D8B" w14:textId="104BBFCA" w:rsidR="00670821" w:rsidRPr="008D0AC6" w:rsidRDefault="007A43F7" w:rsidP="008D0AC6">
      <w:pPr>
        <w:pStyle w:val="NoSpacing"/>
        <w:spacing w:after="120"/>
        <w:rPr>
          <w:rFonts w:asciiTheme="minorHAnsi" w:hAnsiTheme="minorHAnsi" w:cstheme="minorHAnsi"/>
          <w:sz w:val="22"/>
          <w:szCs w:val="22"/>
          <w:lang w:val="en-CA" w:eastAsia="en-CA"/>
        </w:rPr>
      </w:pPr>
      <w:r w:rsidRPr="008D0AC6">
        <w:rPr>
          <w:rFonts w:asciiTheme="minorHAnsi" w:hAnsiTheme="minorHAnsi" w:cstheme="minorHAnsi"/>
          <w:sz w:val="22"/>
          <w:szCs w:val="22"/>
          <w:lang w:val="en-CA" w:eastAsia="en-CA"/>
        </w:rPr>
        <w:lastRenderedPageBreak/>
        <w:t>N</w:t>
      </w:r>
      <w:r w:rsidR="004F4BB9" w:rsidRPr="008D0AC6">
        <w:rPr>
          <w:rFonts w:asciiTheme="minorHAnsi" w:hAnsiTheme="minorHAnsi" w:cstheme="minorHAnsi"/>
          <w:sz w:val="22"/>
          <w:szCs w:val="22"/>
          <w:lang w:val="en-CA" w:eastAsia="en-CA"/>
        </w:rPr>
        <w:t xml:space="preserve">otable </w:t>
      </w:r>
      <w:r w:rsidR="001409B4" w:rsidRPr="008D0AC6">
        <w:rPr>
          <w:rFonts w:asciiTheme="minorHAnsi" w:hAnsiTheme="minorHAnsi" w:cstheme="minorHAnsi"/>
          <w:sz w:val="22"/>
          <w:szCs w:val="22"/>
          <w:lang w:val="en-CA" w:eastAsia="en-CA"/>
        </w:rPr>
        <w:t xml:space="preserve">staffing </w:t>
      </w:r>
      <w:r w:rsidR="004F4BB9" w:rsidRPr="008D0AC6">
        <w:rPr>
          <w:rFonts w:asciiTheme="minorHAnsi" w:hAnsiTheme="minorHAnsi" w:cstheme="minorHAnsi"/>
          <w:sz w:val="22"/>
          <w:szCs w:val="22"/>
          <w:lang w:val="en-CA" w:eastAsia="en-CA"/>
        </w:rPr>
        <w:t xml:space="preserve">priorities include expanding the human resources team and adding over 30 new positions related to conducting analysis and </w:t>
      </w:r>
      <w:r w:rsidR="00CE0785" w:rsidRPr="008D0AC6">
        <w:rPr>
          <w:rFonts w:asciiTheme="minorHAnsi" w:hAnsiTheme="minorHAnsi" w:cstheme="minorHAnsi"/>
          <w:sz w:val="22"/>
          <w:szCs w:val="22"/>
          <w:lang w:val="en-CA" w:eastAsia="en-CA"/>
        </w:rPr>
        <w:t>increasing its capacity to communicate</w:t>
      </w:r>
      <w:r w:rsidR="004F4BB9" w:rsidRPr="008D0AC6">
        <w:rPr>
          <w:rFonts w:asciiTheme="minorHAnsi" w:hAnsiTheme="minorHAnsi" w:cstheme="minorHAnsi"/>
          <w:sz w:val="22"/>
          <w:szCs w:val="22"/>
          <w:lang w:val="en-CA" w:eastAsia="en-CA"/>
        </w:rPr>
        <w:t xml:space="preserve"> with Canadians.</w:t>
      </w:r>
      <w:r w:rsidRPr="008D0AC6">
        <w:rPr>
          <w:rFonts w:asciiTheme="minorHAnsi" w:hAnsiTheme="minorHAnsi" w:cstheme="minorHAnsi"/>
          <w:sz w:val="22"/>
          <w:szCs w:val="22"/>
          <w:lang w:val="en-CA" w:eastAsia="en-CA"/>
        </w:rPr>
        <w:t xml:space="preserve"> </w:t>
      </w:r>
      <w:r w:rsidR="009D1233" w:rsidRPr="008D0AC6">
        <w:rPr>
          <w:rFonts w:asciiTheme="minorHAnsi" w:hAnsiTheme="minorHAnsi" w:cstheme="minorHAnsi"/>
          <w:sz w:val="22"/>
          <w:szCs w:val="22"/>
          <w:lang w:val="en-CA" w:eastAsia="en-CA"/>
        </w:rPr>
        <w:t>Also, i</w:t>
      </w:r>
      <w:r w:rsidRPr="008D0AC6">
        <w:rPr>
          <w:rFonts w:asciiTheme="minorHAnsi" w:hAnsiTheme="minorHAnsi" w:cstheme="minorHAnsi"/>
          <w:sz w:val="22"/>
          <w:szCs w:val="22"/>
          <w:lang w:val="en-CA" w:eastAsia="en-CA"/>
        </w:rPr>
        <w:t xml:space="preserve">n </w:t>
      </w:r>
      <w:r w:rsidR="00AB6E97" w:rsidRPr="008D0AC6">
        <w:rPr>
          <w:rFonts w:asciiTheme="minorHAnsi" w:hAnsiTheme="minorHAnsi" w:cstheme="minorHAnsi"/>
          <w:sz w:val="22"/>
          <w:szCs w:val="22"/>
          <w:lang w:val="en-CA" w:eastAsia="en-CA"/>
        </w:rPr>
        <w:t xml:space="preserve">support its mandate, the CER is </w:t>
      </w:r>
      <w:r w:rsidR="00186FBD" w:rsidRPr="008D0AC6">
        <w:rPr>
          <w:rFonts w:asciiTheme="minorHAnsi" w:hAnsiTheme="minorHAnsi" w:cstheme="minorHAnsi"/>
          <w:sz w:val="22"/>
          <w:szCs w:val="22"/>
          <w:lang w:val="en-CA" w:eastAsia="en-CA"/>
        </w:rPr>
        <w:t xml:space="preserve">interested in </w:t>
      </w:r>
      <w:r w:rsidR="00AB6E97" w:rsidRPr="008D0AC6">
        <w:rPr>
          <w:rFonts w:asciiTheme="minorHAnsi" w:hAnsiTheme="minorHAnsi" w:cstheme="minorHAnsi"/>
          <w:sz w:val="22"/>
          <w:szCs w:val="22"/>
          <w:lang w:val="en-CA" w:eastAsia="en-CA"/>
        </w:rPr>
        <w:t>attract</w:t>
      </w:r>
      <w:r w:rsidR="009D1233" w:rsidRPr="008D0AC6">
        <w:rPr>
          <w:rFonts w:asciiTheme="minorHAnsi" w:hAnsiTheme="minorHAnsi" w:cstheme="minorHAnsi"/>
          <w:sz w:val="22"/>
          <w:szCs w:val="22"/>
          <w:lang w:val="en-CA" w:eastAsia="en-CA"/>
        </w:rPr>
        <w:t>ing</w:t>
      </w:r>
      <w:r w:rsidR="00AB6E97" w:rsidRPr="008D0AC6">
        <w:rPr>
          <w:rFonts w:asciiTheme="minorHAnsi" w:hAnsiTheme="minorHAnsi" w:cstheme="minorHAnsi"/>
          <w:sz w:val="22"/>
          <w:szCs w:val="22"/>
          <w:lang w:val="en-CA" w:eastAsia="en-CA"/>
        </w:rPr>
        <w:t xml:space="preserve"> more indigenous employees. For example, part of its </w:t>
      </w:r>
      <w:r w:rsidR="009D1233" w:rsidRPr="008D0AC6">
        <w:rPr>
          <w:rFonts w:asciiTheme="minorHAnsi" w:hAnsiTheme="minorHAnsi" w:cstheme="minorHAnsi"/>
          <w:sz w:val="22"/>
          <w:szCs w:val="22"/>
          <w:lang w:val="en-CA" w:eastAsia="en-CA"/>
        </w:rPr>
        <w:t xml:space="preserve">indigenous recruitment </w:t>
      </w:r>
      <w:r w:rsidR="00AB6E97" w:rsidRPr="008D0AC6">
        <w:rPr>
          <w:rFonts w:asciiTheme="minorHAnsi" w:hAnsiTheme="minorHAnsi" w:cstheme="minorHAnsi"/>
          <w:sz w:val="22"/>
          <w:szCs w:val="22"/>
          <w:lang w:val="en-CA" w:eastAsia="en-CA"/>
        </w:rPr>
        <w:t>strategy involves working with other federal public service organizations in the region, such as Indian Oil and Gas</w:t>
      </w:r>
      <w:r w:rsidR="00186FBD" w:rsidRPr="008D0AC6">
        <w:rPr>
          <w:rFonts w:asciiTheme="minorHAnsi" w:hAnsiTheme="minorHAnsi" w:cstheme="minorHAnsi"/>
          <w:sz w:val="22"/>
          <w:szCs w:val="22"/>
          <w:lang w:val="en-CA" w:eastAsia="en-CA"/>
        </w:rPr>
        <w:t xml:space="preserve"> Canada</w:t>
      </w:r>
      <w:r w:rsidR="00AB6E97" w:rsidRPr="008D0AC6">
        <w:rPr>
          <w:rFonts w:asciiTheme="minorHAnsi" w:hAnsiTheme="minorHAnsi" w:cstheme="minorHAnsi"/>
          <w:sz w:val="22"/>
          <w:szCs w:val="22"/>
          <w:lang w:val="en-CA" w:eastAsia="en-CA"/>
        </w:rPr>
        <w:t>.</w:t>
      </w:r>
      <w:r w:rsidR="0038556F" w:rsidRPr="008D0AC6">
        <w:rPr>
          <w:rFonts w:asciiTheme="minorHAnsi" w:hAnsiTheme="minorHAnsi" w:cstheme="minorHAnsi"/>
          <w:sz w:val="22"/>
          <w:szCs w:val="22"/>
          <w:lang w:val="en-CA" w:eastAsia="en-CA"/>
        </w:rPr>
        <w:t xml:space="preserve"> The CER also plans to continue to participate in indigenous job fairs and is considering </w:t>
      </w:r>
      <w:r w:rsidR="007C0D88" w:rsidRPr="008D0AC6">
        <w:rPr>
          <w:rFonts w:asciiTheme="minorHAnsi" w:hAnsiTheme="minorHAnsi" w:cstheme="minorHAnsi"/>
          <w:sz w:val="22"/>
          <w:szCs w:val="22"/>
          <w:lang w:val="en-CA" w:eastAsia="en-CA"/>
        </w:rPr>
        <w:t>exploring</w:t>
      </w:r>
      <w:r w:rsidR="0038556F" w:rsidRPr="008D0AC6">
        <w:rPr>
          <w:rFonts w:asciiTheme="minorHAnsi" w:hAnsiTheme="minorHAnsi" w:cstheme="minorHAnsi"/>
          <w:sz w:val="22"/>
          <w:szCs w:val="22"/>
          <w:lang w:val="en-CA" w:eastAsia="en-CA"/>
        </w:rPr>
        <w:t xml:space="preserve"> PSR </w:t>
      </w:r>
      <w:r w:rsidR="007C0D88" w:rsidRPr="008D0AC6">
        <w:rPr>
          <w:rFonts w:asciiTheme="minorHAnsi" w:hAnsiTheme="minorHAnsi" w:cstheme="minorHAnsi"/>
          <w:sz w:val="22"/>
          <w:szCs w:val="22"/>
          <w:lang w:val="en-CA" w:eastAsia="en-CA"/>
        </w:rPr>
        <w:t xml:space="preserve">and other PSC </w:t>
      </w:r>
      <w:r w:rsidR="00186FBD" w:rsidRPr="008D0AC6">
        <w:rPr>
          <w:rFonts w:asciiTheme="minorHAnsi" w:hAnsiTheme="minorHAnsi" w:cstheme="minorHAnsi"/>
          <w:sz w:val="22"/>
          <w:szCs w:val="22"/>
          <w:lang w:val="en-CA" w:eastAsia="en-CA"/>
        </w:rPr>
        <w:t xml:space="preserve">recruitment </w:t>
      </w:r>
      <w:r w:rsidR="007C0D88" w:rsidRPr="008D0AC6">
        <w:rPr>
          <w:rFonts w:asciiTheme="minorHAnsi" w:hAnsiTheme="minorHAnsi" w:cstheme="minorHAnsi"/>
          <w:sz w:val="22"/>
          <w:szCs w:val="22"/>
          <w:lang w:val="en-CA" w:eastAsia="en-CA"/>
        </w:rPr>
        <w:t xml:space="preserve">programs </w:t>
      </w:r>
      <w:r w:rsidR="00186FBD" w:rsidRPr="008D0AC6">
        <w:rPr>
          <w:rFonts w:asciiTheme="minorHAnsi" w:hAnsiTheme="minorHAnsi" w:cstheme="minorHAnsi"/>
          <w:sz w:val="22"/>
          <w:szCs w:val="22"/>
          <w:lang w:val="en-CA" w:eastAsia="en-CA"/>
        </w:rPr>
        <w:t xml:space="preserve">to conduct </w:t>
      </w:r>
      <w:r w:rsidR="0038556F" w:rsidRPr="008D0AC6">
        <w:rPr>
          <w:rFonts w:asciiTheme="minorHAnsi" w:hAnsiTheme="minorHAnsi" w:cstheme="minorHAnsi"/>
          <w:sz w:val="22"/>
          <w:szCs w:val="22"/>
          <w:lang w:val="en-CA" w:eastAsia="en-CA"/>
        </w:rPr>
        <w:t>employment equity hiring.</w:t>
      </w:r>
    </w:p>
    <w:p w14:paraId="50918294" w14:textId="77777777" w:rsidR="00670821" w:rsidRPr="008D0AC6" w:rsidRDefault="00753DD5" w:rsidP="008D0AC6">
      <w:pPr>
        <w:pStyle w:val="Heading1"/>
        <w:spacing w:after="120"/>
        <w:rPr>
          <w:rFonts w:cstheme="majorHAnsi"/>
          <w:lang w:val="en-CA"/>
        </w:rPr>
      </w:pPr>
      <w:r w:rsidRPr="008D0AC6">
        <w:rPr>
          <w:rFonts w:cstheme="majorHAnsi"/>
          <w:lang w:val="en-CA"/>
        </w:rPr>
        <w:t>Time to Staff</w:t>
      </w:r>
    </w:p>
    <w:p w14:paraId="46A85826" w14:textId="0D6ED832" w:rsidR="00C108D5" w:rsidRPr="008D0AC6" w:rsidRDefault="00670821" w:rsidP="008D0AC6">
      <w:pPr>
        <w:pStyle w:val="NoSpacing"/>
        <w:spacing w:after="120"/>
        <w:rPr>
          <w:rFonts w:asciiTheme="minorHAnsi" w:hAnsiTheme="minorHAnsi" w:cstheme="minorHAnsi"/>
          <w:sz w:val="48"/>
          <w:szCs w:val="48"/>
          <w:lang w:val="en-CA"/>
        </w:rPr>
      </w:pPr>
      <w:r w:rsidRPr="008D0AC6">
        <w:rPr>
          <w:rFonts w:asciiTheme="minorHAnsi" w:hAnsiTheme="minorHAnsi" w:cstheme="minorHAnsi"/>
          <w:sz w:val="22"/>
          <w:szCs w:val="22"/>
          <w:lang w:val="en-CA" w:eastAsia="en-CA"/>
        </w:rPr>
        <w:t>T</w:t>
      </w:r>
      <w:r w:rsidR="00C108D5" w:rsidRPr="008D0AC6">
        <w:rPr>
          <w:rFonts w:asciiTheme="minorHAnsi" w:hAnsiTheme="minorHAnsi" w:cstheme="minorHAnsi"/>
          <w:sz w:val="22"/>
          <w:szCs w:val="22"/>
          <w:lang w:val="en-CA" w:eastAsia="en-CA"/>
        </w:rPr>
        <w:t xml:space="preserve">here </w:t>
      </w:r>
      <w:r w:rsidR="00F6161B" w:rsidRPr="008D0AC6">
        <w:rPr>
          <w:rFonts w:asciiTheme="minorHAnsi" w:hAnsiTheme="minorHAnsi" w:cstheme="minorHAnsi"/>
          <w:sz w:val="22"/>
          <w:szCs w:val="22"/>
          <w:lang w:val="en-CA" w:eastAsia="en-CA"/>
        </w:rPr>
        <w:t>are</w:t>
      </w:r>
      <w:r w:rsidR="00C108D5" w:rsidRPr="008D0AC6">
        <w:rPr>
          <w:rFonts w:asciiTheme="minorHAnsi" w:hAnsiTheme="minorHAnsi" w:cstheme="minorHAnsi"/>
          <w:sz w:val="22"/>
          <w:szCs w:val="22"/>
          <w:lang w:val="en-CA" w:eastAsia="en-CA"/>
        </w:rPr>
        <w:t xml:space="preserve"> insufficient data to provide time to staff results for internal or external staffing processes at the CER.</w:t>
      </w:r>
    </w:p>
    <w:p w14:paraId="434A976D" w14:textId="77777777" w:rsidR="00753DD5" w:rsidRPr="008D0AC6" w:rsidRDefault="00753DD5" w:rsidP="008D0AC6">
      <w:pPr>
        <w:pStyle w:val="Heading1"/>
        <w:spacing w:after="120"/>
        <w:rPr>
          <w:rFonts w:cstheme="majorHAnsi"/>
          <w:lang w:val="en-CA"/>
        </w:rPr>
      </w:pPr>
      <w:r w:rsidRPr="008D0AC6">
        <w:rPr>
          <w:rFonts w:cstheme="majorHAnsi"/>
          <w:lang w:val="en-CA"/>
        </w:rPr>
        <w:t>Staffing Framework</w:t>
      </w:r>
    </w:p>
    <w:p w14:paraId="1FA00079" w14:textId="77777777" w:rsidR="00753DD5" w:rsidRPr="00264AD9" w:rsidRDefault="00753DD5" w:rsidP="008D0AC6">
      <w:pPr>
        <w:pStyle w:val="Heading2"/>
        <w:spacing w:after="120"/>
        <w:rPr>
          <w:lang w:val="en-CA"/>
        </w:rPr>
      </w:pPr>
      <w:r w:rsidRPr="00264AD9">
        <w:rPr>
          <w:lang w:val="en-CA"/>
        </w:rPr>
        <w:t>New Direction in Staffing Implementation</w:t>
      </w:r>
    </w:p>
    <w:p w14:paraId="583EED8F" w14:textId="77777777" w:rsidR="00187BE5" w:rsidRPr="008D0AC6" w:rsidRDefault="00187BE5"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The CER has completed all the mandatory documentation (</w:t>
      </w:r>
      <w:proofErr w:type="gramStart"/>
      <w:r w:rsidRPr="008D0AC6">
        <w:rPr>
          <w:rFonts w:asciiTheme="minorHAnsi" w:hAnsiTheme="minorHAnsi" w:cstheme="minorHAnsi"/>
          <w:color w:val="000000"/>
          <w:sz w:val="22"/>
          <w:szCs w:val="22"/>
          <w:lang w:val="en-CA"/>
        </w:rPr>
        <w:t>i.e.</w:t>
      </w:r>
      <w:proofErr w:type="gramEnd"/>
      <w:r w:rsidRPr="008D0AC6">
        <w:rPr>
          <w:rFonts w:asciiTheme="minorHAnsi" w:hAnsiTheme="minorHAnsi" w:cstheme="minorHAnsi"/>
          <w:color w:val="000000"/>
          <w:sz w:val="22"/>
          <w:szCs w:val="22"/>
          <w:lang w:val="en-CA"/>
        </w:rPr>
        <w:t xml:space="preserve"> policy on area of selection, direction on the use of advertised and non-advertised appointment processes and the articulation of selection decisions) related to new requirements stemming from the NDS.</w:t>
      </w:r>
    </w:p>
    <w:p w14:paraId="201F44D2" w14:textId="72A6A1AD" w:rsidR="00187BE5" w:rsidRPr="008D0AC6" w:rsidRDefault="00187BE5"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In addition to the mandatory requirements,</w:t>
      </w:r>
      <w:r w:rsidR="0064589B" w:rsidRPr="008D0AC6">
        <w:rPr>
          <w:rFonts w:asciiTheme="minorHAnsi" w:hAnsiTheme="minorHAnsi" w:cstheme="minorHAnsi"/>
          <w:color w:val="000000"/>
          <w:sz w:val="22"/>
          <w:szCs w:val="22"/>
          <w:lang w:val="en-CA"/>
        </w:rPr>
        <w:t xml:space="preserve"> the</w:t>
      </w:r>
      <w:r w:rsidRPr="008D0AC6">
        <w:rPr>
          <w:rFonts w:asciiTheme="minorHAnsi" w:hAnsiTheme="minorHAnsi" w:cstheme="minorHAnsi"/>
          <w:color w:val="000000"/>
          <w:sz w:val="22"/>
          <w:szCs w:val="22"/>
          <w:lang w:val="en-CA"/>
        </w:rPr>
        <w:t xml:space="preserve"> CER has established additional policies and/or work instructions in support of </w:t>
      </w:r>
      <w:r w:rsidR="009C5FFA" w:rsidRPr="008D0AC6">
        <w:rPr>
          <w:rFonts w:asciiTheme="minorHAnsi" w:hAnsiTheme="minorHAnsi" w:cstheme="minorHAnsi"/>
          <w:color w:val="000000"/>
          <w:sz w:val="22"/>
          <w:szCs w:val="22"/>
          <w:lang w:val="en-CA"/>
        </w:rPr>
        <w:t>its</w:t>
      </w:r>
      <w:r w:rsidRPr="008D0AC6">
        <w:rPr>
          <w:rFonts w:asciiTheme="minorHAnsi" w:hAnsiTheme="minorHAnsi" w:cstheme="minorHAnsi"/>
          <w:color w:val="000000"/>
          <w:sz w:val="22"/>
          <w:szCs w:val="22"/>
          <w:lang w:val="en-CA"/>
        </w:rPr>
        <w:t xml:space="preserve"> Appointment P</w:t>
      </w:r>
      <w:r w:rsidR="009C5FFA" w:rsidRPr="008D0AC6">
        <w:rPr>
          <w:rFonts w:asciiTheme="minorHAnsi" w:hAnsiTheme="minorHAnsi" w:cstheme="minorHAnsi"/>
          <w:color w:val="000000"/>
          <w:sz w:val="22"/>
          <w:szCs w:val="22"/>
          <w:lang w:val="en-CA"/>
        </w:rPr>
        <w:t>olicy on the following topics: a</w:t>
      </w:r>
      <w:r w:rsidRPr="008D0AC6">
        <w:rPr>
          <w:rFonts w:asciiTheme="minorHAnsi" w:hAnsiTheme="minorHAnsi" w:cstheme="minorHAnsi"/>
          <w:color w:val="000000"/>
          <w:sz w:val="22"/>
          <w:szCs w:val="22"/>
          <w:lang w:val="en-CA"/>
        </w:rPr>
        <w:t>ssign</w:t>
      </w:r>
      <w:r w:rsidR="009C5FFA" w:rsidRPr="008D0AC6">
        <w:rPr>
          <w:rFonts w:asciiTheme="minorHAnsi" w:hAnsiTheme="minorHAnsi" w:cstheme="minorHAnsi"/>
          <w:color w:val="000000"/>
          <w:sz w:val="22"/>
          <w:szCs w:val="22"/>
          <w:lang w:val="en-CA"/>
        </w:rPr>
        <w:t>ments, interchange and acting; recourse and investigations; and p</w:t>
      </w:r>
      <w:r w:rsidRPr="008D0AC6">
        <w:rPr>
          <w:rFonts w:asciiTheme="minorHAnsi" w:hAnsiTheme="minorHAnsi" w:cstheme="minorHAnsi"/>
          <w:color w:val="000000"/>
          <w:sz w:val="22"/>
          <w:szCs w:val="22"/>
          <w:lang w:val="en-CA"/>
        </w:rPr>
        <w:t>robation a</w:t>
      </w:r>
      <w:r w:rsidR="009C5FFA" w:rsidRPr="008D0AC6">
        <w:rPr>
          <w:rFonts w:asciiTheme="minorHAnsi" w:hAnsiTheme="minorHAnsi" w:cstheme="minorHAnsi"/>
          <w:color w:val="000000"/>
          <w:sz w:val="22"/>
          <w:szCs w:val="22"/>
          <w:lang w:val="en-CA"/>
        </w:rPr>
        <w:t>nd t</w:t>
      </w:r>
      <w:r w:rsidRPr="008D0AC6">
        <w:rPr>
          <w:rFonts w:asciiTheme="minorHAnsi" w:hAnsiTheme="minorHAnsi" w:cstheme="minorHAnsi"/>
          <w:color w:val="000000"/>
          <w:sz w:val="22"/>
          <w:szCs w:val="22"/>
          <w:lang w:val="en-CA"/>
        </w:rPr>
        <w:t>erm employment.</w:t>
      </w:r>
    </w:p>
    <w:p w14:paraId="172F27A4" w14:textId="5FAEF79A" w:rsidR="00187BE5" w:rsidRPr="008D0AC6" w:rsidRDefault="00187BE5"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The CER has shared </w:t>
      </w:r>
      <w:r w:rsidR="009D4995" w:rsidRPr="008D0AC6">
        <w:rPr>
          <w:rFonts w:asciiTheme="minorHAnsi" w:hAnsiTheme="minorHAnsi" w:cstheme="minorHAnsi"/>
          <w:color w:val="000000"/>
          <w:sz w:val="22"/>
          <w:szCs w:val="22"/>
          <w:lang w:val="en-CA"/>
        </w:rPr>
        <w:t xml:space="preserve">its Appointment Policy, </w:t>
      </w:r>
      <w:r w:rsidRPr="008D0AC6">
        <w:rPr>
          <w:rFonts w:asciiTheme="minorHAnsi" w:hAnsiTheme="minorHAnsi" w:cstheme="minorHAnsi"/>
          <w:color w:val="000000"/>
          <w:sz w:val="22"/>
          <w:szCs w:val="22"/>
          <w:lang w:val="en-CA"/>
        </w:rPr>
        <w:t>a</w:t>
      </w:r>
      <w:r w:rsidR="009D4995" w:rsidRPr="008D0AC6">
        <w:rPr>
          <w:rFonts w:asciiTheme="minorHAnsi" w:hAnsiTheme="minorHAnsi" w:cstheme="minorHAnsi"/>
          <w:color w:val="000000"/>
          <w:sz w:val="22"/>
          <w:szCs w:val="22"/>
          <w:lang w:val="en-CA"/>
        </w:rPr>
        <w:t>nd associated work instructions,</w:t>
      </w:r>
      <w:r w:rsidR="001409B4" w:rsidRPr="008D0AC6">
        <w:rPr>
          <w:rFonts w:asciiTheme="minorHAnsi" w:hAnsiTheme="minorHAnsi" w:cstheme="minorHAnsi"/>
          <w:color w:val="000000"/>
          <w:sz w:val="22"/>
          <w:szCs w:val="22"/>
          <w:lang w:val="en-CA"/>
        </w:rPr>
        <w:t xml:space="preserve"> with the PSC, as well as </w:t>
      </w:r>
      <w:r w:rsidR="009069A3" w:rsidRPr="008D0AC6">
        <w:rPr>
          <w:rFonts w:asciiTheme="minorHAnsi" w:hAnsiTheme="minorHAnsi" w:cstheme="minorHAnsi"/>
          <w:color w:val="000000"/>
          <w:sz w:val="22"/>
          <w:szCs w:val="22"/>
          <w:lang w:val="en-CA"/>
        </w:rPr>
        <w:t xml:space="preserve">its sub-delegation instrument. </w:t>
      </w:r>
      <w:r w:rsidR="0085583C" w:rsidRPr="008D0AC6">
        <w:rPr>
          <w:rFonts w:asciiTheme="minorHAnsi" w:hAnsiTheme="minorHAnsi" w:cstheme="minorHAnsi"/>
          <w:color w:val="000000"/>
          <w:sz w:val="22"/>
          <w:szCs w:val="22"/>
          <w:lang w:val="en-CA"/>
        </w:rPr>
        <w:t>Of note is that the CER is starting a review of its Appointment Policy</w:t>
      </w:r>
      <w:r w:rsidR="007C5CAC" w:rsidRPr="008D0AC6">
        <w:rPr>
          <w:rFonts w:asciiTheme="minorHAnsi" w:hAnsiTheme="minorHAnsi" w:cstheme="minorHAnsi"/>
          <w:color w:val="000000"/>
          <w:sz w:val="22"/>
          <w:szCs w:val="22"/>
          <w:lang w:val="en-CA"/>
        </w:rPr>
        <w:t xml:space="preserve">, </w:t>
      </w:r>
      <w:r w:rsidR="0064589B" w:rsidRPr="008D0AC6">
        <w:rPr>
          <w:rFonts w:asciiTheme="minorHAnsi" w:hAnsiTheme="minorHAnsi" w:cstheme="minorHAnsi"/>
          <w:color w:val="000000"/>
          <w:sz w:val="22"/>
          <w:szCs w:val="22"/>
          <w:lang w:val="en-CA"/>
        </w:rPr>
        <w:t>notably</w:t>
      </w:r>
      <w:r w:rsidR="001409B4" w:rsidRPr="008D0AC6">
        <w:rPr>
          <w:rFonts w:asciiTheme="minorHAnsi" w:hAnsiTheme="minorHAnsi" w:cstheme="minorHAnsi"/>
          <w:color w:val="000000"/>
          <w:sz w:val="22"/>
          <w:szCs w:val="22"/>
          <w:lang w:val="en-CA"/>
        </w:rPr>
        <w:t xml:space="preserve"> with respect to the deputy head’s direction on the use of advertised and non-advertised appointments. Also, in the summer of 2020, the CER </w:t>
      </w:r>
      <w:r w:rsidR="0064589B" w:rsidRPr="008D0AC6">
        <w:rPr>
          <w:rFonts w:asciiTheme="minorHAnsi" w:hAnsiTheme="minorHAnsi" w:cstheme="minorHAnsi"/>
          <w:color w:val="000000"/>
          <w:sz w:val="22"/>
          <w:szCs w:val="22"/>
          <w:lang w:val="en-CA"/>
        </w:rPr>
        <w:t>commenced a</w:t>
      </w:r>
      <w:r w:rsidR="001409B4" w:rsidRPr="008D0AC6">
        <w:rPr>
          <w:rFonts w:asciiTheme="minorHAnsi" w:hAnsiTheme="minorHAnsi" w:cstheme="minorHAnsi"/>
          <w:color w:val="000000"/>
          <w:sz w:val="22"/>
          <w:szCs w:val="22"/>
          <w:lang w:val="en-CA"/>
        </w:rPr>
        <w:t xml:space="preserve"> review of its</w:t>
      </w:r>
      <w:r w:rsidR="007C5CAC" w:rsidRPr="008D0AC6">
        <w:rPr>
          <w:rFonts w:asciiTheme="minorHAnsi" w:hAnsiTheme="minorHAnsi" w:cstheme="minorHAnsi"/>
          <w:color w:val="000000"/>
          <w:sz w:val="22"/>
          <w:szCs w:val="22"/>
          <w:lang w:val="en-CA"/>
        </w:rPr>
        <w:t xml:space="preserve"> </w:t>
      </w:r>
      <w:r w:rsidR="004D7CF6" w:rsidRPr="008D0AC6">
        <w:rPr>
          <w:rFonts w:asciiTheme="minorHAnsi" w:hAnsiTheme="minorHAnsi" w:cstheme="minorHAnsi"/>
          <w:color w:val="000000"/>
          <w:sz w:val="22"/>
          <w:szCs w:val="22"/>
          <w:lang w:val="en-CA"/>
        </w:rPr>
        <w:t>Student Employment Program Policy and Guidelines</w:t>
      </w:r>
      <w:r w:rsidR="001409B4" w:rsidRPr="008D0AC6">
        <w:rPr>
          <w:rFonts w:asciiTheme="minorHAnsi" w:hAnsiTheme="minorHAnsi" w:cstheme="minorHAnsi"/>
          <w:color w:val="000000"/>
          <w:sz w:val="22"/>
          <w:szCs w:val="22"/>
          <w:lang w:val="en-CA"/>
        </w:rPr>
        <w:t>. The organization’s SSA has already started providing support related to thes</w:t>
      </w:r>
      <w:r w:rsidR="0064589B" w:rsidRPr="008D0AC6">
        <w:rPr>
          <w:rFonts w:asciiTheme="minorHAnsi" w:hAnsiTheme="minorHAnsi" w:cstheme="minorHAnsi"/>
          <w:color w:val="000000"/>
          <w:sz w:val="22"/>
          <w:szCs w:val="22"/>
          <w:lang w:val="en-CA"/>
        </w:rPr>
        <w:t xml:space="preserve">e initiatives, including </w:t>
      </w:r>
      <w:r w:rsidR="000D3530" w:rsidRPr="008D0AC6">
        <w:rPr>
          <w:rFonts w:asciiTheme="minorHAnsi" w:hAnsiTheme="minorHAnsi" w:cstheme="minorHAnsi"/>
          <w:color w:val="000000"/>
          <w:sz w:val="22"/>
          <w:szCs w:val="22"/>
          <w:lang w:val="en-CA"/>
        </w:rPr>
        <w:t>recommending that the CER</w:t>
      </w:r>
      <w:r w:rsidR="007D3AAA" w:rsidRPr="008D0AC6">
        <w:rPr>
          <w:rFonts w:asciiTheme="minorHAnsi" w:hAnsiTheme="minorHAnsi" w:cstheme="minorHAnsi"/>
          <w:color w:val="000000"/>
          <w:sz w:val="22"/>
          <w:szCs w:val="22"/>
          <w:lang w:val="en-CA"/>
        </w:rPr>
        <w:t xml:space="preserve"> </w:t>
      </w:r>
      <w:r w:rsidR="000D3530" w:rsidRPr="008D0AC6">
        <w:rPr>
          <w:rFonts w:asciiTheme="minorHAnsi" w:hAnsiTheme="minorHAnsi" w:cstheme="minorHAnsi"/>
          <w:color w:val="000000"/>
          <w:sz w:val="22"/>
          <w:szCs w:val="22"/>
          <w:lang w:val="en-CA"/>
        </w:rPr>
        <w:t>increase its</w:t>
      </w:r>
      <w:r w:rsidR="0096021A" w:rsidRPr="008D0AC6">
        <w:rPr>
          <w:rFonts w:asciiTheme="minorHAnsi" w:hAnsiTheme="minorHAnsi" w:cstheme="minorHAnsi"/>
          <w:color w:val="000000"/>
          <w:sz w:val="22"/>
          <w:szCs w:val="22"/>
          <w:lang w:val="en-CA"/>
        </w:rPr>
        <w:t xml:space="preserve"> use of </w:t>
      </w:r>
      <w:r w:rsidR="007D3AAA" w:rsidRPr="008D0AC6">
        <w:rPr>
          <w:rFonts w:asciiTheme="minorHAnsi" w:hAnsiTheme="minorHAnsi" w:cstheme="minorHAnsi"/>
          <w:color w:val="000000"/>
          <w:sz w:val="22"/>
          <w:szCs w:val="22"/>
          <w:lang w:val="en-CA"/>
        </w:rPr>
        <w:t>t</w:t>
      </w:r>
      <w:r w:rsidR="001409B4" w:rsidRPr="008D0AC6">
        <w:rPr>
          <w:rFonts w:asciiTheme="minorHAnsi" w:hAnsiTheme="minorHAnsi" w:cstheme="minorHAnsi"/>
          <w:color w:val="000000"/>
          <w:sz w:val="22"/>
          <w:szCs w:val="22"/>
          <w:lang w:val="en-CA"/>
        </w:rPr>
        <w:t>he recognized Student Employment Programs.</w:t>
      </w:r>
    </w:p>
    <w:p w14:paraId="1D5EAFFA" w14:textId="457CA5E2" w:rsidR="00187BE5" w:rsidRPr="008D0AC6" w:rsidRDefault="00541BA9"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During</w:t>
      </w:r>
      <w:r w:rsidR="00187BE5" w:rsidRPr="008D0AC6">
        <w:rPr>
          <w:rFonts w:asciiTheme="minorHAnsi" w:hAnsiTheme="minorHAnsi" w:cstheme="minorHAnsi"/>
          <w:color w:val="000000"/>
          <w:sz w:val="22"/>
          <w:szCs w:val="22"/>
          <w:lang w:val="en-CA"/>
        </w:rPr>
        <w:t xml:space="preserve"> Septem</w:t>
      </w:r>
      <w:r w:rsidRPr="008D0AC6">
        <w:rPr>
          <w:rFonts w:asciiTheme="minorHAnsi" w:hAnsiTheme="minorHAnsi" w:cstheme="minorHAnsi"/>
          <w:color w:val="000000"/>
          <w:sz w:val="22"/>
          <w:szCs w:val="22"/>
          <w:lang w:val="en-CA"/>
        </w:rPr>
        <w:t xml:space="preserve">ber 2018 and April 2019 </w:t>
      </w:r>
      <w:r w:rsidR="00187BE5" w:rsidRPr="008D0AC6">
        <w:rPr>
          <w:rFonts w:asciiTheme="minorHAnsi" w:hAnsiTheme="minorHAnsi" w:cstheme="minorHAnsi"/>
          <w:color w:val="000000"/>
          <w:sz w:val="22"/>
          <w:szCs w:val="22"/>
          <w:lang w:val="en-CA"/>
        </w:rPr>
        <w:t xml:space="preserve">in-person visits to </w:t>
      </w:r>
      <w:r w:rsidRPr="008D0AC6">
        <w:rPr>
          <w:rFonts w:asciiTheme="minorHAnsi" w:hAnsiTheme="minorHAnsi" w:cstheme="minorHAnsi"/>
          <w:color w:val="000000"/>
          <w:sz w:val="22"/>
          <w:szCs w:val="22"/>
          <w:lang w:val="en-CA"/>
        </w:rPr>
        <w:t xml:space="preserve">the CER headquarter in </w:t>
      </w:r>
      <w:r w:rsidR="00187BE5" w:rsidRPr="008D0AC6">
        <w:rPr>
          <w:rFonts w:asciiTheme="minorHAnsi" w:hAnsiTheme="minorHAnsi" w:cstheme="minorHAnsi"/>
          <w:color w:val="000000"/>
          <w:sz w:val="22"/>
          <w:szCs w:val="22"/>
          <w:lang w:val="en-CA"/>
        </w:rPr>
        <w:t xml:space="preserve">Calgary, the SSA </w:t>
      </w:r>
      <w:r w:rsidRPr="008D0AC6">
        <w:rPr>
          <w:rFonts w:asciiTheme="minorHAnsi" w:hAnsiTheme="minorHAnsi" w:cstheme="minorHAnsi"/>
          <w:color w:val="000000"/>
          <w:sz w:val="22"/>
          <w:szCs w:val="22"/>
          <w:lang w:val="en-CA"/>
        </w:rPr>
        <w:t xml:space="preserve">delivered </w:t>
      </w:r>
      <w:r w:rsidR="00187BE5" w:rsidRPr="008D0AC6">
        <w:rPr>
          <w:rFonts w:asciiTheme="minorHAnsi" w:hAnsiTheme="minorHAnsi" w:cstheme="minorHAnsi"/>
          <w:color w:val="000000"/>
          <w:sz w:val="22"/>
          <w:szCs w:val="22"/>
          <w:lang w:val="en-CA"/>
        </w:rPr>
        <w:t xml:space="preserve">various sessions for CER </w:t>
      </w:r>
      <w:r w:rsidR="00F92EEA" w:rsidRPr="008D0AC6">
        <w:rPr>
          <w:rFonts w:asciiTheme="minorHAnsi" w:hAnsiTheme="minorHAnsi" w:cstheme="minorHAnsi"/>
          <w:color w:val="000000"/>
          <w:sz w:val="22"/>
          <w:szCs w:val="22"/>
          <w:lang w:val="en-CA"/>
        </w:rPr>
        <w:t>human resources p</w:t>
      </w:r>
      <w:r w:rsidR="00187BE5" w:rsidRPr="008D0AC6">
        <w:rPr>
          <w:rFonts w:asciiTheme="minorHAnsi" w:hAnsiTheme="minorHAnsi" w:cstheme="minorHAnsi"/>
          <w:color w:val="000000"/>
          <w:sz w:val="22"/>
          <w:szCs w:val="22"/>
          <w:lang w:val="en-CA"/>
        </w:rPr>
        <w:t>rofessionals to discuss areas of interest identified by the organization such as: the renewal of job advertisements, how to improve communication about job openings with potential candidates, approaches to develop</w:t>
      </w:r>
      <w:r w:rsidR="00187BE5" w:rsidRPr="00264AD9">
        <w:rPr>
          <w:rFonts w:ascii="Segoe UI" w:hAnsi="Segoe UI" w:cs="Segoe UI"/>
          <w:color w:val="000000"/>
          <w:sz w:val="22"/>
          <w:szCs w:val="22"/>
          <w:lang w:val="en-CA"/>
        </w:rPr>
        <w:t xml:space="preserve"> better merit criteria and the use of performance management information in the context of staffing. The SSA also presented updates on various PSC initiatives, discussed trending topics and </w:t>
      </w:r>
      <w:r w:rsidR="00187BE5" w:rsidRPr="008D0AC6">
        <w:rPr>
          <w:rFonts w:asciiTheme="minorHAnsi" w:hAnsiTheme="minorHAnsi" w:cstheme="minorHAnsi"/>
          <w:color w:val="000000"/>
          <w:sz w:val="22"/>
          <w:szCs w:val="22"/>
          <w:lang w:val="en-CA"/>
        </w:rPr>
        <w:t xml:space="preserve">experimentation in staffing and reviewed </w:t>
      </w:r>
      <w:r w:rsidRPr="008D0AC6">
        <w:rPr>
          <w:rFonts w:asciiTheme="minorHAnsi" w:hAnsiTheme="minorHAnsi" w:cstheme="minorHAnsi"/>
          <w:color w:val="000000"/>
          <w:sz w:val="22"/>
          <w:szCs w:val="22"/>
          <w:lang w:val="en-CA"/>
        </w:rPr>
        <w:t xml:space="preserve">NDS </w:t>
      </w:r>
      <w:r w:rsidR="00187BE5" w:rsidRPr="008D0AC6">
        <w:rPr>
          <w:rFonts w:asciiTheme="minorHAnsi" w:hAnsiTheme="minorHAnsi" w:cstheme="minorHAnsi"/>
          <w:color w:val="000000"/>
          <w:sz w:val="22"/>
          <w:szCs w:val="22"/>
          <w:lang w:val="en-CA"/>
        </w:rPr>
        <w:t xml:space="preserve">staffing scenarios. In addition, the Personnel Psychology Centre (PPC) presented an overview </w:t>
      </w:r>
      <w:r w:rsidRPr="008D0AC6">
        <w:rPr>
          <w:rFonts w:asciiTheme="minorHAnsi" w:hAnsiTheme="minorHAnsi" w:cstheme="minorHAnsi"/>
          <w:color w:val="000000"/>
          <w:sz w:val="22"/>
          <w:szCs w:val="22"/>
          <w:lang w:val="en-CA"/>
        </w:rPr>
        <w:t>its</w:t>
      </w:r>
      <w:r w:rsidR="00187BE5" w:rsidRPr="008D0AC6">
        <w:rPr>
          <w:rFonts w:asciiTheme="minorHAnsi" w:hAnsiTheme="minorHAnsi" w:cstheme="minorHAnsi"/>
          <w:color w:val="000000"/>
          <w:sz w:val="22"/>
          <w:szCs w:val="22"/>
          <w:lang w:val="en-CA"/>
        </w:rPr>
        <w:t xml:space="preserve"> PPC products and services. </w:t>
      </w:r>
    </w:p>
    <w:p w14:paraId="762BFD5F" w14:textId="57171E4A" w:rsidR="00187BE5" w:rsidRPr="008D0AC6" w:rsidRDefault="00A05E76"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During the</w:t>
      </w:r>
      <w:r w:rsidR="00187BE5" w:rsidRPr="008D0AC6">
        <w:rPr>
          <w:rFonts w:asciiTheme="minorHAnsi" w:hAnsiTheme="minorHAnsi" w:cstheme="minorHAnsi"/>
          <w:color w:val="000000"/>
          <w:sz w:val="22"/>
          <w:szCs w:val="22"/>
          <w:lang w:val="en-CA"/>
        </w:rPr>
        <w:t xml:space="preserve"> visit in Apr</w:t>
      </w:r>
      <w:r w:rsidRPr="008D0AC6">
        <w:rPr>
          <w:rFonts w:asciiTheme="minorHAnsi" w:hAnsiTheme="minorHAnsi" w:cstheme="minorHAnsi"/>
          <w:color w:val="000000"/>
          <w:sz w:val="22"/>
          <w:szCs w:val="22"/>
          <w:lang w:val="en-CA"/>
        </w:rPr>
        <w:t>il 2019, the SSA also provided a customised NDS overview session to CER union representatives</w:t>
      </w:r>
      <w:r w:rsidR="00187BE5" w:rsidRPr="008D0AC6">
        <w:rPr>
          <w:rFonts w:asciiTheme="minorHAnsi" w:hAnsiTheme="minorHAnsi" w:cstheme="minorHAnsi"/>
          <w:color w:val="000000"/>
          <w:sz w:val="22"/>
          <w:szCs w:val="22"/>
          <w:lang w:val="en-CA"/>
        </w:rPr>
        <w:t xml:space="preserve">. </w:t>
      </w:r>
      <w:r w:rsidRPr="008D0AC6">
        <w:rPr>
          <w:rFonts w:asciiTheme="minorHAnsi" w:hAnsiTheme="minorHAnsi" w:cstheme="minorHAnsi"/>
          <w:color w:val="000000"/>
          <w:sz w:val="22"/>
          <w:szCs w:val="22"/>
          <w:lang w:val="en-CA"/>
        </w:rPr>
        <w:t xml:space="preserve">Members of </w:t>
      </w:r>
      <w:r w:rsidR="00187BE5" w:rsidRPr="008D0AC6">
        <w:rPr>
          <w:rFonts w:asciiTheme="minorHAnsi" w:hAnsiTheme="minorHAnsi" w:cstheme="minorHAnsi"/>
          <w:color w:val="000000"/>
          <w:sz w:val="22"/>
          <w:szCs w:val="22"/>
          <w:lang w:val="en-CA"/>
        </w:rPr>
        <w:t xml:space="preserve">the CER’s </w:t>
      </w:r>
      <w:r w:rsidR="00F92EEA" w:rsidRPr="008D0AC6">
        <w:rPr>
          <w:rFonts w:asciiTheme="minorHAnsi" w:hAnsiTheme="minorHAnsi" w:cstheme="minorHAnsi"/>
          <w:color w:val="000000"/>
          <w:sz w:val="22"/>
          <w:szCs w:val="22"/>
          <w:lang w:val="en-CA"/>
        </w:rPr>
        <w:t>human resources</w:t>
      </w:r>
      <w:r w:rsidR="00187BE5" w:rsidRPr="008D0AC6">
        <w:rPr>
          <w:rFonts w:asciiTheme="minorHAnsi" w:hAnsiTheme="minorHAnsi" w:cstheme="minorHAnsi"/>
          <w:color w:val="000000"/>
          <w:sz w:val="22"/>
          <w:szCs w:val="22"/>
          <w:lang w:val="en-CA"/>
        </w:rPr>
        <w:t xml:space="preserve"> team were </w:t>
      </w:r>
      <w:r w:rsidRPr="008D0AC6">
        <w:rPr>
          <w:rFonts w:asciiTheme="minorHAnsi" w:hAnsiTheme="minorHAnsi" w:cstheme="minorHAnsi"/>
          <w:color w:val="000000"/>
          <w:sz w:val="22"/>
          <w:szCs w:val="22"/>
          <w:lang w:val="en-CA"/>
        </w:rPr>
        <w:t xml:space="preserve">also </w:t>
      </w:r>
      <w:r w:rsidR="00187BE5" w:rsidRPr="008D0AC6">
        <w:rPr>
          <w:rFonts w:asciiTheme="minorHAnsi" w:hAnsiTheme="minorHAnsi" w:cstheme="minorHAnsi"/>
          <w:color w:val="000000"/>
          <w:sz w:val="22"/>
          <w:szCs w:val="22"/>
          <w:lang w:val="en-CA"/>
        </w:rPr>
        <w:t>in attenda</w:t>
      </w:r>
      <w:r w:rsidRPr="008D0AC6">
        <w:rPr>
          <w:rFonts w:asciiTheme="minorHAnsi" w:hAnsiTheme="minorHAnsi" w:cstheme="minorHAnsi"/>
          <w:color w:val="000000"/>
          <w:sz w:val="22"/>
          <w:szCs w:val="22"/>
          <w:lang w:val="en-CA"/>
        </w:rPr>
        <w:t xml:space="preserve">nce and available to answer </w:t>
      </w:r>
      <w:r w:rsidR="00187BE5" w:rsidRPr="008D0AC6">
        <w:rPr>
          <w:rFonts w:asciiTheme="minorHAnsi" w:hAnsiTheme="minorHAnsi" w:cstheme="minorHAnsi"/>
          <w:color w:val="000000"/>
          <w:sz w:val="22"/>
          <w:szCs w:val="22"/>
          <w:lang w:val="en-CA"/>
        </w:rPr>
        <w:t xml:space="preserve">organizational-specific questions. Staffing-related scenarios were selected for discussion and resulted in a candid and effective exchange between the organization and </w:t>
      </w:r>
      <w:r w:rsidRPr="008D0AC6">
        <w:rPr>
          <w:rFonts w:asciiTheme="minorHAnsi" w:hAnsiTheme="minorHAnsi" w:cstheme="minorHAnsi"/>
          <w:color w:val="000000"/>
          <w:sz w:val="22"/>
          <w:szCs w:val="22"/>
          <w:lang w:val="en-CA"/>
        </w:rPr>
        <w:t>its bargaining agents</w:t>
      </w:r>
      <w:r w:rsidR="00187BE5" w:rsidRPr="008D0AC6">
        <w:rPr>
          <w:rFonts w:asciiTheme="minorHAnsi" w:hAnsiTheme="minorHAnsi" w:cstheme="minorHAnsi"/>
          <w:color w:val="000000"/>
          <w:sz w:val="22"/>
          <w:szCs w:val="22"/>
          <w:lang w:val="en-CA"/>
        </w:rPr>
        <w:t xml:space="preserve">. </w:t>
      </w:r>
    </w:p>
    <w:p w14:paraId="05A37F82" w14:textId="58C69FF1" w:rsidR="0037735D" w:rsidRPr="008D0AC6" w:rsidRDefault="00CB6F15"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lastRenderedPageBreak/>
        <w:t>When the SSA last visited the CER in</w:t>
      </w:r>
      <w:r w:rsidR="006A4246" w:rsidRPr="008D0AC6">
        <w:rPr>
          <w:rFonts w:asciiTheme="minorHAnsi" w:hAnsiTheme="minorHAnsi" w:cstheme="minorHAnsi"/>
          <w:color w:val="000000"/>
          <w:sz w:val="22"/>
          <w:szCs w:val="22"/>
          <w:lang w:val="en-CA"/>
        </w:rPr>
        <w:t xml:space="preserve">-person in </w:t>
      </w:r>
      <w:r w:rsidRPr="008D0AC6">
        <w:rPr>
          <w:rFonts w:asciiTheme="minorHAnsi" w:hAnsiTheme="minorHAnsi" w:cstheme="minorHAnsi"/>
          <w:color w:val="000000"/>
          <w:sz w:val="22"/>
          <w:szCs w:val="22"/>
          <w:lang w:val="en-CA"/>
        </w:rPr>
        <w:t xml:space="preserve">October 2019, the SSA </w:t>
      </w:r>
      <w:r w:rsidR="006A4246" w:rsidRPr="008D0AC6">
        <w:rPr>
          <w:rFonts w:asciiTheme="minorHAnsi" w:hAnsiTheme="minorHAnsi" w:cstheme="minorHAnsi"/>
          <w:color w:val="000000"/>
          <w:sz w:val="22"/>
          <w:szCs w:val="22"/>
          <w:lang w:val="en-CA"/>
        </w:rPr>
        <w:t>delivered the following sessions over a two-day period</w:t>
      </w:r>
      <w:r w:rsidRPr="008D0AC6">
        <w:rPr>
          <w:rFonts w:asciiTheme="minorHAnsi" w:hAnsiTheme="minorHAnsi" w:cstheme="minorHAnsi"/>
          <w:color w:val="000000"/>
          <w:sz w:val="22"/>
          <w:szCs w:val="22"/>
          <w:lang w:val="en-CA"/>
        </w:rPr>
        <w:t>:</w:t>
      </w:r>
      <w:r w:rsidR="0037735D" w:rsidRPr="008D0AC6">
        <w:rPr>
          <w:rFonts w:asciiTheme="minorHAnsi" w:hAnsiTheme="minorHAnsi" w:cstheme="minorHAnsi"/>
          <w:color w:val="000000"/>
          <w:sz w:val="22"/>
          <w:szCs w:val="22"/>
          <w:lang w:val="en-CA"/>
        </w:rPr>
        <w:t xml:space="preserve"> a customized</w:t>
      </w:r>
      <w:r w:rsidRPr="008D0AC6">
        <w:rPr>
          <w:rFonts w:asciiTheme="minorHAnsi" w:hAnsiTheme="minorHAnsi" w:cstheme="minorHAnsi"/>
          <w:color w:val="000000"/>
          <w:sz w:val="22"/>
          <w:szCs w:val="22"/>
          <w:lang w:val="en-CA"/>
        </w:rPr>
        <w:t xml:space="preserve"> </w:t>
      </w:r>
      <w:r w:rsidR="00187BE5" w:rsidRPr="008D0AC6">
        <w:rPr>
          <w:rFonts w:asciiTheme="minorHAnsi" w:hAnsiTheme="minorHAnsi" w:cstheme="minorHAnsi"/>
          <w:color w:val="000000"/>
          <w:sz w:val="22"/>
          <w:szCs w:val="22"/>
          <w:lang w:val="en-CA"/>
        </w:rPr>
        <w:t>NDS</w:t>
      </w:r>
      <w:r w:rsidRPr="008D0AC6">
        <w:rPr>
          <w:rFonts w:asciiTheme="minorHAnsi" w:hAnsiTheme="minorHAnsi" w:cstheme="minorHAnsi"/>
          <w:color w:val="000000"/>
          <w:sz w:val="22"/>
          <w:szCs w:val="22"/>
          <w:lang w:val="en-CA"/>
        </w:rPr>
        <w:t xml:space="preserve"> scenarios session with over 30 managers</w:t>
      </w:r>
      <w:r w:rsidR="0037735D" w:rsidRPr="008D0AC6">
        <w:rPr>
          <w:rFonts w:asciiTheme="minorHAnsi" w:hAnsiTheme="minorHAnsi" w:cstheme="minorHAnsi"/>
          <w:color w:val="000000"/>
          <w:sz w:val="22"/>
          <w:szCs w:val="22"/>
          <w:lang w:val="en-CA"/>
        </w:rPr>
        <w:t xml:space="preserve">, </w:t>
      </w:r>
      <w:r w:rsidRPr="008D0AC6">
        <w:rPr>
          <w:rFonts w:asciiTheme="minorHAnsi" w:hAnsiTheme="minorHAnsi" w:cstheme="minorHAnsi"/>
          <w:color w:val="000000"/>
          <w:sz w:val="22"/>
          <w:szCs w:val="22"/>
          <w:lang w:val="en-CA"/>
        </w:rPr>
        <w:t xml:space="preserve">two NDS for employee sessions in partnership </w:t>
      </w:r>
      <w:r w:rsidR="006A4246" w:rsidRPr="008D0AC6">
        <w:rPr>
          <w:rFonts w:asciiTheme="minorHAnsi" w:hAnsiTheme="minorHAnsi" w:cstheme="minorHAnsi"/>
          <w:color w:val="000000"/>
          <w:sz w:val="22"/>
          <w:szCs w:val="22"/>
          <w:lang w:val="en-CA"/>
        </w:rPr>
        <w:t xml:space="preserve">with CER human resources </w:t>
      </w:r>
      <w:r w:rsidRPr="008D0AC6">
        <w:rPr>
          <w:rFonts w:asciiTheme="minorHAnsi" w:hAnsiTheme="minorHAnsi" w:cstheme="minorHAnsi"/>
          <w:color w:val="000000"/>
          <w:sz w:val="22"/>
          <w:szCs w:val="22"/>
          <w:lang w:val="en-CA"/>
        </w:rPr>
        <w:t>for over 50 employees</w:t>
      </w:r>
      <w:r w:rsidR="006A4246" w:rsidRPr="008D0AC6">
        <w:rPr>
          <w:rFonts w:asciiTheme="minorHAnsi" w:hAnsiTheme="minorHAnsi" w:cstheme="minorHAnsi"/>
          <w:color w:val="000000"/>
          <w:sz w:val="22"/>
          <w:szCs w:val="22"/>
          <w:lang w:val="en-CA"/>
        </w:rPr>
        <w:t xml:space="preserve"> </w:t>
      </w:r>
      <w:proofErr w:type="gramStart"/>
      <w:r w:rsidR="006A4246" w:rsidRPr="008D0AC6">
        <w:rPr>
          <w:rFonts w:asciiTheme="minorHAnsi" w:hAnsiTheme="minorHAnsi" w:cstheme="minorHAnsi"/>
          <w:color w:val="000000"/>
          <w:sz w:val="22"/>
          <w:szCs w:val="22"/>
          <w:lang w:val="en-CA"/>
        </w:rPr>
        <w:t>each</w:t>
      </w:r>
      <w:r w:rsidRPr="008D0AC6">
        <w:rPr>
          <w:rFonts w:asciiTheme="minorHAnsi" w:hAnsiTheme="minorHAnsi" w:cstheme="minorHAnsi"/>
          <w:color w:val="000000"/>
          <w:sz w:val="22"/>
          <w:szCs w:val="22"/>
          <w:lang w:val="en-CA"/>
        </w:rPr>
        <w:t>,</w:t>
      </w:r>
      <w:r w:rsidR="0037735D" w:rsidRPr="008D0AC6">
        <w:rPr>
          <w:rFonts w:asciiTheme="minorHAnsi" w:hAnsiTheme="minorHAnsi" w:cstheme="minorHAnsi"/>
          <w:color w:val="000000"/>
          <w:sz w:val="22"/>
          <w:szCs w:val="22"/>
          <w:lang w:val="en-CA"/>
        </w:rPr>
        <w:t xml:space="preserve"> and</w:t>
      </w:r>
      <w:proofErr w:type="gramEnd"/>
      <w:r w:rsidR="0037735D" w:rsidRPr="008D0AC6">
        <w:rPr>
          <w:rFonts w:asciiTheme="minorHAnsi" w:hAnsiTheme="minorHAnsi" w:cstheme="minorHAnsi"/>
          <w:color w:val="000000"/>
          <w:sz w:val="22"/>
          <w:szCs w:val="22"/>
          <w:lang w:val="en-CA"/>
        </w:rPr>
        <w:t xml:space="preserve"> </w:t>
      </w:r>
      <w:r w:rsidRPr="008D0AC6">
        <w:rPr>
          <w:rFonts w:asciiTheme="minorHAnsi" w:hAnsiTheme="minorHAnsi" w:cstheme="minorHAnsi"/>
          <w:color w:val="000000"/>
          <w:sz w:val="22"/>
          <w:szCs w:val="22"/>
          <w:lang w:val="en-CA"/>
        </w:rPr>
        <w:t xml:space="preserve">met with the </w:t>
      </w:r>
      <w:r w:rsidR="0037735D" w:rsidRPr="008D0AC6">
        <w:rPr>
          <w:rFonts w:asciiTheme="minorHAnsi" w:hAnsiTheme="minorHAnsi" w:cstheme="minorHAnsi"/>
          <w:color w:val="000000"/>
          <w:sz w:val="22"/>
          <w:szCs w:val="22"/>
          <w:lang w:val="en-CA"/>
        </w:rPr>
        <w:t xml:space="preserve">CER </w:t>
      </w:r>
      <w:r w:rsidRPr="008D0AC6">
        <w:rPr>
          <w:rFonts w:asciiTheme="minorHAnsi" w:hAnsiTheme="minorHAnsi" w:cstheme="minorHAnsi"/>
          <w:color w:val="000000"/>
          <w:sz w:val="22"/>
          <w:szCs w:val="22"/>
          <w:lang w:val="en-CA"/>
        </w:rPr>
        <w:t xml:space="preserve">human resources team to provide </w:t>
      </w:r>
      <w:r w:rsidR="006A4246" w:rsidRPr="008D0AC6">
        <w:rPr>
          <w:rFonts w:asciiTheme="minorHAnsi" w:hAnsiTheme="minorHAnsi" w:cstheme="minorHAnsi"/>
          <w:color w:val="000000"/>
          <w:sz w:val="22"/>
          <w:szCs w:val="22"/>
          <w:lang w:val="en-CA"/>
        </w:rPr>
        <w:t xml:space="preserve">them with PSC </w:t>
      </w:r>
      <w:r w:rsidRPr="008D0AC6">
        <w:rPr>
          <w:rFonts w:asciiTheme="minorHAnsi" w:hAnsiTheme="minorHAnsi" w:cstheme="minorHAnsi"/>
          <w:color w:val="000000"/>
          <w:sz w:val="22"/>
          <w:szCs w:val="22"/>
          <w:lang w:val="en-CA"/>
        </w:rPr>
        <w:t xml:space="preserve">updates and answer </w:t>
      </w:r>
      <w:r w:rsidR="0037735D" w:rsidRPr="008D0AC6">
        <w:rPr>
          <w:rFonts w:asciiTheme="minorHAnsi" w:hAnsiTheme="minorHAnsi" w:cstheme="minorHAnsi"/>
          <w:color w:val="000000"/>
          <w:sz w:val="22"/>
          <w:szCs w:val="22"/>
          <w:lang w:val="en-CA"/>
        </w:rPr>
        <w:t xml:space="preserve">their </w:t>
      </w:r>
      <w:r w:rsidRPr="008D0AC6">
        <w:rPr>
          <w:rFonts w:asciiTheme="minorHAnsi" w:hAnsiTheme="minorHAnsi" w:cstheme="minorHAnsi"/>
          <w:color w:val="000000"/>
          <w:sz w:val="22"/>
          <w:szCs w:val="22"/>
          <w:lang w:val="en-CA"/>
        </w:rPr>
        <w:t>questions.</w:t>
      </w:r>
      <w:r w:rsidR="0037735D" w:rsidRPr="008D0AC6">
        <w:rPr>
          <w:rFonts w:asciiTheme="minorHAnsi" w:hAnsiTheme="minorHAnsi" w:cstheme="minorHAnsi"/>
          <w:color w:val="000000"/>
          <w:sz w:val="22"/>
          <w:szCs w:val="22"/>
          <w:lang w:val="en-CA"/>
        </w:rPr>
        <w:t xml:space="preserve"> Each of these four sessions generated discussion and engagement, </w:t>
      </w:r>
      <w:r w:rsidR="00045CAE" w:rsidRPr="008D0AC6">
        <w:rPr>
          <w:rFonts w:asciiTheme="minorHAnsi" w:hAnsiTheme="minorHAnsi" w:cstheme="minorHAnsi"/>
          <w:color w:val="000000"/>
          <w:sz w:val="22"/>
          <w:szCs w:val="22"/>
          <w:lang w:val="en-CA"/>
        </w:rPr>
        <w:t>most notably</w:t>
      </w:r>
      <w:r w:rsidR="0037735D" w:rsidRPr="008D0AC6">
        <w:rPr>
          <w:rFonts w:asciiTheme="minorHAnsi" w:hAnsiTheme="minorHAnsi" w:cstheme="minorHAnsi"/>
          <w:color w:val="000000"/>
          <w:sz w:val="22"/>
          <w:szCs w:val="22"/>
          <w:lang w:val="en-CA"/>
        </w:rPr>
        <w:t xml:space="preserve"> the NDS sessions for managers and employees.</w:t>
      </w:r>
    </w:p>
    <w:p w14:paraId="1FBFD8B6" w14:textId="5496D90B" w:rsidR="0037735D" w:rsidRPr="008D0AC6" w:rsidRDefault="0037735D" w:rsidP="008D0AC6">
      <w:pPr>
        <w:pStyle w:val="NoSpacing"/>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The SSA </w:t>
      </w:r>
      <w:r w:rsidR="006A4246" w:rsidRPr="008D0AC6">
        <w:rPr>
          <w:rFonts w:asciiTheme="minorHAnsi" w:hAnsiTheme="minorHAnsi" w:cstheme="minorHAnsi"/>
          <w:color w:val="000000"/>
          <w:sz w:val="22"/>
          <w:szCs w:val="22"/>
          <w:lang w:val="en-CA"/>
        </w:rPr>
        <w:t xml:space="preserve">is currently in </w:t>
      </w:r>
      <w:r w:rsidRPr="008D0AC6">
        <w:rPr>
          <w:rFonts w:asciiTheme="minorHAnsi" w:hAnsiTheme="minorHAnsi" w:cstheme="minorHAnsi"/>
          <w:color w:val="000000"/>
          <w:sz w:val="22"/>
          <w:szCs w:val="22"/>
          <w:lang w:val="en-CA"/>
        </w:rPr>
        <w:t xml:space="preserve">discussions </w:t>
      </w:r>
      <w:r w:rsidR="006A4246" w:rsidRPr="008D0AC6">
        <w:rPr>
          <w:rFonts w:asciiTheme="minorHAnsi" w:hAnsiTheme="minorHAnsi" w:cstheme="minorHAnsi"/>
          <w:color w:val="000000"/>
          <w:sz w:val="22"/>
          <w:szCs w:val="22"/>
          <w:lang w:val="en-CA"/>
        </w:rPr>
        <w:t xml:space="preserve">with the organization </w:t>
      </w:r>
      <w:r w:rsidRPr="008D0AC6">
        <w:rPr>
          <w:rFonts w:asciiTheme="minorHAnsi" w:hAnsiTheme="minorHAnsi" w:cstheme="minorHAnsi"/>
          <w:color w:val="000000"/>
          <w:sz w:val="22"/>
          <w:szCs w:val="22"/>
          <w:lang w:val="en-CA"/>
        </w:rPr>
        <w:t>about possible topics of interest</w:t>
      </w:r>
      <w:r w:rsidR="006A4246" w:rsidRPr="008D0AC6">
        <w:rPr>
          <w:rFonts w:asciiTheme="minorHAnsi" w:hAnsiTheme="minorHAnsi" w:cstheme="minorHAnsi"/>
          <w:color w:val="000000"/>
          <w:sz w:val="22"/>
          <w:szCs w:val="22"/>
          <w:lang w:val="en-CA"/>
        </w:rPr>
        <w:t xml:space="preserve"> for</w:t>
      </w:r>
      <w:r w:rsidR="00326D6B" w:rsidRPr="008D0AC6">
        <w:rPr>
          <w:rFonts w:asciiTheme="minorHAnsi" w:hAnsiTheme="minorHAnsi" w:cstheme="minorHAnsi"/>
          <w:color w:val="000000"/>
          <w:sz w:val="22"/>
          <w:szCs w:val="22"/>
          <w:lang w:val="en-CA"/>
        </w:rPr>
        <w:t xml:space="preserve"> </w:t>
      </w:r>
      <w:r w:rsidRPr="008D0AC6">
        <w:rPr>
          <w:rFonts w:asciiTheme="minorHAnsi" w:hAnsiTheme="minorHAnsi" w:cstheme="minorHAnsi"/>
          <w:color w:val="000000"/>
          <w:sz w:val="22"/>
          <w:szCs w:val="22"/>
          <w:lang w:val="en-CA"/>
        </w:rPr>
        <w:t xml:space="preserve">future virtual </w:t>
      </w:r>
      <w:r w:rsidR="009C5464" w:rsidRPr="008D0AC6">
        <w:rPr>
          <w:rFonts w:asciiTheme="minorHAnsi" w:hAnsiTheme="minorHAnsi" w:cstheme="minorHAnsi"/>
          <w:color w:val="000000"/>
          <w:sz w:val="22"/>
          <w:szCs w:val="22"/>
          <w:lang w:val="en-CA"/>
        </w:rPr>
        <w:t>sessions</w:t>
      </w:r>
      <w:r w:rsidRPr="008D0AC6">
        <w:rPr>
          <w:rFonts w:asciiTheme="minorHAnsi" w:hAnsiTheme="minorHAnsi" w:cstheme="minorHAnsi"/>
          <w:color w:val="000000"/>
          <w:sz w:val="22"/>
          <w:szCs w:val="22"/>
          <w:lang w:val="en-CA"/>
        </w:rPr>
        <w:t>.</w:t>
      </w:r>
      <w:r w:rsidR="00AA4D6D" w:rsidRPr="008D0AC6">
        <w:rPr>
          <w:rFonts w:asciiTheme="minorHAnsi" w:hAnsiTheme="minorHAnsi" w:cstheme="minorHAnsi"/>
          <w:color w:val="000000"/>
          <w:sz w:val="22"/>
          <w:szCs w:val="22"/>
          <w:lang w:val="en-CA"/>
        </w:rPr>
        <w:t xml:space="preserve"> To date, the following </w:t>
      </w:r>
      <w:r w:rsidR="009C5464" w:rsidRPr="008D0AC6">
        <w:rPr>
          <w:rFonts w:asciiTheme="minorHAnsi" w:hAnsiTheme="minorHAnsi" w:cstheme="minorHAnsi"/>
          <w:color w:val="000000"/>
          <w:sz w:val="22"/>
          <w:szCs w:val="22"/>
          <w:lang w:val="en-CA"/>
        </w:rPr>
        <w:t xml:space="preserve">presentations </w:t>
      </w:r>
      <w:r w:rsidR="00AA4D6D" w:rsidRPr="008D0AC6">
        <w:rPr>
          <w:rFonts w:asciiTheme="minorHAnsi" w:hAnsiTheme="minorHAnsi" w:cstheme="minorHAnsi"/>
          <w:color w:val="000000"/>
          <w:sz w:val="22"/>
          <w:szCs w:val="22"/>
          <w:lang w:val="en-CA"/>
        </w:rPr>
        <w:t>are planned to take place in the fall of 2020:</w:t>
      </w:r>
    </w:p>
    <w:p w14:paraId="57831F8F" w14:textId="3A115F53" w:rsidR="00AA4D6D" w:rsidRPr="008D0AC6" w:rsidRDefault="00AA4D6D" w:rsidP="008D0AC6">
      <w:pPr>
        <w:pStyle w:val="NoSpacing"/>
        <w:numPr>
          <w:ilvl w:val="0"/>
          <w:numId w:val="52"/>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Em</w:t>
      </w:r>
      <w:r w:rsidR="009C5464" w:rsidRPr="008D0AC6">
        <w:rPr>
          <w:rFonts w:asciiTheme="minorHAnsi" w:hAnsiTheme="minorHAnsi" w:cstheme="minorHAnsi"/>
          <w:color w:val="000000"/>
          <w:sz w:val="22"/>
          <w:szCs w:val="22"/>
          <w:lang w:val="en-CA"/>
        </w:rPr>
        <w:t xml:space="preserve">ployment Equity and </w:t>
      </w:r>
      <w:r w:rsidR="00326D6B" w:rsidRPr="008D0AC6">
        <w:rPr>
          <w:rFonts w:asciiTheme="minorHAnsi" w:hAnsiTheme="minorHAnsi" w:cstheme="minorHAnsi"/>
          <w:color w:val="000000"/>
          <w:sz w:val="22"/>
          <w:szCs w:val="22"/>
          <w:lang w:val="en-CA"/>
        </w:rPr>
        <w:t xml:space="preserve">possible </w:t>
      </w:r>
      <w:r w:rsidR="00722EAD" w:rsidRPr="008D0AC6">
        <w:rPr>
          <w:rFonts w:asciiTheme="minorHAnsi" w:hAnsiTheme="minorHAnsi" w:cstheme="minorHAnsi"/>
          <w:color w:val="000000"/>
          <w:sz w:val="22"/>
          <w:szCs w:val="22"/>
          <w:lang w:val="en-CA"/>
        </w:rPr>
        <w:t xml:space="preserve">ways </w:t>
      </w:r>
      <w:r w:rsidR="00477B10" w:rsidRPr="008D0AC6">
        <w:rPr>
          <w:rFonts w:asciiTheme="minorHAnsi" w:hAnsiTheme="minorHAnsi" w:cstheme="minorHAnsi"/>
          <w:color w:val="000000"/>
          <w:sz w:val="22"/>
          <w:szCs w:val="22"/>
          <w:lang w:val="en-CA"/>
        </w:rPr>
        <w:t xml:space="preserve">that </w:t>
      </w:r>
      <w:r w:rsidR="00722EAD" w:rsidRPr="008D0AC6">
        <w:rPr>
          <w:rFonts w:asciiTheme="minorHAnsi" w:hAnsiTheme="minorHAnsi" w:cstheme="minorHAnsi"/>
          <w:color w:val="000000"/>
          <w:sz w:val="22"/>
          <w:szCs w:val="22"/>
          <w:lang w:val="en-CA"/>
        </w:rPr>
        <w:t xml:space="preserve">the legislative framework </w:t>
      </w:r>
      <w:r w:rsidR="00477B10" w:rsidRPr="008D0AC6">
        <w:rPr>
          <w:rFonts w:asciiTheme="minorHAnsi" w:hAnsiTheme="minorHAnsi" w:cstheme="minorHAnsi"/>
          <w:color w:val="000000"/>
          <w:sz w:val="22"/>
          <w:szCs w:val="22"/>
          <w:lang w:val="en-CA"/>
        </w:rPr>
        <w:t>could</w:t>
      </w:r>
      <w:r w:rsidR="00722EAD" w:rsidRPr="008D0AC6">
        <w:rPr>
          <w:rFonts w:asciiTheme="minorHAnsi" w:hAnsiTheme="minorHAnsi" w:cstheme="minorHAnsi"/>
          <w:color w:val="000000"/>
          <w:sz w:val="22"/>
          <w:szCs w:val="22"/>
          <w:lang w:val="en-CA"/>
        </w:rPr>
        <w:t xml:space="preserve"> </w:t>
      </w:r>
      <w:r w:rsidR="009C5464" w:rsidRPr="008D0AC6">
        <w:rPr>
          <w:rFonts w:asciiTheme="minorHAnsi" w:hAnsiTheme="minorHAnsi" w:cstheme="minorHAnsi"/>
          <w:color w:val="000000"/>
          <w:sz w:val="22"/>
          <w:szCs w:val="22"/>
          <w:lang w:val="en-CA"/>
        </w:rPr>
        <w:t xml:space="preserve">be used to </w:t>
      </w:r>
      <w:r w:rsidR="00477B10" w:rsidRPr="008D0AC6">
        <w:rPr>
          <w:rFonts w:asciiTheme="minorHAnsi" w:hAnsiTheme="minorHAnsi" w:cstheme="minorHAnsi"/>
          <w:color w:val="000000"/>
          <w:sz w:val="22"/>
          <w:szCs w:val="22"/>
          <w:lang w:val="en-CA"/>
        </w:rPr>
        <w:t xml:space="preserve">support efforts to </w:t>
      </w:r>
      <w:r w:rsidR="00722EAD" w:rsidRPr="008D0AC6">
        <w:rPr>
          <w:rFonts w:asciiTheme="minorHAnsi" w:hAnsiTheme="minorHAnsi" w:cstheme="minorHAnsi"/>
          <w:color w:val="000000"/>
          <w:sz w:val="22"/>
          <w:szCs w:val="22"/>
          <w:lang w:val="en-CA"/>
        </w:rPr>
        <w:t>hire</w:t>
      </w:r>
      <w:r w:rsidRPr="008D0AC6">
        <w:rPr>
          <w:rFonts w:asciiTheme="minorHAnsi" w:hAnsiTheme="minorHAnsi" w:cstheme="minorHAnsi"/>
          <w:color w:val="000000"/>
          <w:sz w:val="22"/>
          <w:szCs w:val="22"/>
          <w:lang w:val="en-CA"/>
        </w:rPr>
        <w:t xml:space="preserve"> indigenous employees; and</w:t>
      </w:r>
    </w:p>
    <w:p w14:paraId="62826FDA" w14:textId="29476797" w:rsidR="00AA4D6D" w:rsidRPr="008D0AC6" w:rsidRDefault="00AA4D6D" w:rsidP="008D0AC6">
      <w:pPr>
        <w:pStyle w:val="NoSpacing"/>
        <w:numPr>
          <w:ilvl w:val="0"/>
          <w:numId w:val="52"/>
        </w:numPr>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Cyclical assessment.</w:t>
      </w:r>
    </w:p>
    <w:p w14:paraId="76747A33" w14:textId="37527312" w:rsidR="00AA4D6D" w:rsidRPr="008D0AC6" w:rsidRDefault="00AA4D6D" w:rsidP="008D0AC6">
      <w:pPr>
        <w:pStyle w:val="NoSpacing"/>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In addition, </w:t>
      </w:r>
      <w:proofErr w:type="gramStart"/>
      <w:r w:rsidR="00326D6B" w:rsidRPr="008D0AC6">
        <w:rPr>
          <w:rFonts w:asciiTheme="minorHAnsi" w:hAnsiTheme="minorHAnsi" w:cstheme="minorHAnsi"/>
          <w:color w:val="000000"/>
          <w:sz w:val="22"/>
          <w:szCs w:val="22"/>
          <w:lang w:val="en-CA"/>
        </w:rPr>
        <w:t xml:space="preserve">a </w:t>
      </w:r>
      <w:r w:rsidR="009C5464" w:rsidRPr="008D0AC6">
        <w:rPr>
          <w:rFonts w:asciiTheme="minorHAnsi" w:hAnsiTheme="minorHAnsi" w:cstheme="minorHAnsi"/>
          <w:color w:val="000000"/>
          <w:sz w:val="22"/>
          <w:szCs w:val="22"/>
          <w:lang w:val="en-CA"/>
        </w:rPr>
        <w:t>number of</w:t>
      </w:r>
      <w:proofErr w:type="gramEnd"/>
      <w:r w:rsidRPr="008D0AC6">
        <w:rPr>
          <w:rFonts w:asciiTheme="minorHAnsi" w:hAnsiTheme="minorHAnsi" w:cstheme="minorHAnsi"/>
          <w:color w:val="000000"/>
          <w:sz w:val="22"/>
          <w:szCs w:val="22"/>
          <w:lang w:val="en-CA"/>
        </w:rPr>
        <w:t xml:space="preserve"> sessions are currently in the planning phase for the fall of 2020</w:t>
      </w:r>
      <w:r w:rsidR="009C5464" w:rsidRPr="008D0AC6">
        <w:rPr>
          <w:rFonts w:asciiTheme="minorHAnsi" w:hAnsiTheme="minorHAnsi" w:cstheme="minorHAnsi"/>
          <w:color w:val="000000"/>
          <w:sz w:val="22"/>
          <w:szCs w:val="22"/>
          <w:lang w:val="en-CA"/>
        </w:rPr>
        <w:t xml:space="preserve">, </w:t>
      </w:r>
      <w:r w:rsidR="00326D6B" w:rsidRPr="008D0AC6">
        <w:rPr>
          <w:rFonts w:asciiTheme="minorHAnsi" w:hAnsiTheme="minorHAnsi" w:cstheme="minorHAnsi"/>
          <w:color w:val="000000"/>
          <w:sz w:val="22"/>
          <w:szCs w:val="22"/>
          <w:lang w:val="en-CA"/>
        </w:rPr>
        <w:t>including</w:t>
      </w:r>
      <w:r w:rsidRPr="008D0AC6">
        <w:rPr>
          <w:rFonts w:asciiTheme="minorHAnsi" w:hAnsiTheme="minorHAnsi" w:cstheme="minorHAnsi"/>
          <w:color w:val="000000"/>
          <w:sz w:val="22"/>
          <w:szCs w:val="22"/>
          <w:lang w:val="en-CA"/>
        </w:rPr>
        <w:t>:</w:t>
      </w:r>
    </w:p>
    <w:p w14:paraId="54FEE364" w14:textId="0744EA45" w:rsidR="00AA4D6D" w:rsidRPr="008D0AC6" w:rsidRDefault="00AA4D6D" w:rsidP="008D0AC6">
      <w:pPr>
        <w:pStyle w:val="NoSpacing"/>
        <w:numPr>
          <w:ilvl w:val="0"/>
          <w:numId w:val="53"/>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Overview</w:t>
      </w:r>
      <w:r w:rsidR="009C5464" w:rsidRPr="008D0AC6">
        <w:rPr>
          <w:rFonts w:asciiTheme="minorHAnsi" w:hAnsiTheme="minorHAnsi" w:cstheme="minorHAnsi"/>
          <w:color w:val="000000"/>
          <w:sz w:val="22"/>
          <w:szCs w:val="22"/>
          <w:lang w:val="en-CA"/>
        </w:rPr>
        <w:t xml:space="preserve"> of the PSC’s data </w:t>
      </w:r>
      <w:proofErr w:type="gramStart"/>
      <w:r w:rsidR="009C5464" w:rsidRPr="008D0AC6">
        <w:rPr>
          <w:rFonts w:asciiTheme="minorHAnsi" w:hAnsiTheme="minorHAnsi" w:cstheme="minorHAnsi"/>
          <w:color w:val="000000"/>
          <w:sz w:val="22"/>
          <w:szCs w:val="22"/>
          <w:lang w:val="en-CA"/>
        </w:rPr>
        <w:t>products;</w:t>
      </w:r>
      <w:proofErr w:type="gramEnd"/>
    </w:p>
    <w:p w14:paraId="2A3F5AB7" w14:textId="4DE4430C" w:rsidR="00AA4D6D" w:rsidRPr="008D0AC6" w:rsidRDefault="00AA4D6D" w:rsidP="008D0AC6">
      <w:pPr>
        <w:pStyle w:val="NoSpacing"/>
        <w:numPr>
          <w:ilvl w:val="0"/>
          <w:numId w:val="53"/>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PSC’s recruitment programs and assessment services</w:t>
      </w:r>
      <w:r w:rsidR="008B5432" w:rsidRPr="008D0AC6">
        <w:rPr>
          <w:rFonts w:asciiTheme="minorHAnsi" w:hAnsiTheme="minorHAnsi" w:cstheme="minorHAnsi"/>
          <w:color w:val="000000"/>
          <w:sz w:val="22"/>
          <w:szCs w:val="22"/>
          <w:lang w:val="en-CA"/>
        </w:rPr>
        <w:t>; and</w:t>
      </w:r>
    </w:p>
    <w:p w14:paraId="78FF635E" w14:textId="791FFE07" w:rsidR="00E73E57" w:rsidRPr="008D0AC6" w:rsidRDefault="008B5432" w:rsidP="008D0AC6">
      <w:pPr>
        <w:pStyle w:val="NoSpacing"/>
        <w:numPr>
          <w:ilvl w:val="0"/>
          <w:numId w:val="53"/>
        </w:numPr>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Official languages in the staffing process and bilingual non-imperative appointments.</w:t>
      </w:r>
    </w:p>
    <w:p w14:paraId="67DCCF53" w14:textId="10C6DB7A" w:rsidR="00F84671" w:rsidRPr="008D0AC6" w:rsidRDefault="00F84671"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In the fall of 2020, the SSA </w:t>
      </w:r>
      <w:r w:rsidR="009C5464" w:rsidRPr="008D0AC6">
        <w:rPr>
          <w:rFonts w:asciiTheme="minorHAnsi" w:hAnsiTheme="minorHAnsi" w:cstheme="minorHAnsi"/>
          <w:color w:val="000000"/>
          <w:sz w:val="22"/>
          <w:szCs w:val="22"/>
          <w:lang w:val="en-CA"/>
        </w:rPr>
        <w:t xml:space="preserve">also </w:t>
      </w:r>
      <w:r w:rsidRPr="008D0AC6">
        <w:rPr>
          <w:rFonts w:asciiTheme="minorHAnsi" w:hAnsiTheme="minorHAnsi" w:cstheme="minorHAnsi"/>
          <w:color w:val="000000"/>
          <w:sz w:val="22"/>
          <w:szCs w:val="22"/>
          <w:lang w:val="en-CA"/>
        </w:rPr>
        <w:t>plans</w:t>
      </w:r>
      <w:r w:rsidR="00B84BB3" w:rsidRPr="008D0AC6">
        <w:rPr>
          <w:rFonts w:asciiTheme="minorHAnsi" w:hAnsiTheme="minorHAnsi" w:cstheme="minorHAnsi"/>
          <w:color w:val="000000"/>
          <w:sz w:val="22"/>
          <w:szCs w:val="22"/>
          <w:lang w:val="en-CA"/>
        </w:rPr>
        <w:t xml:space="preserve"> to</w:t>
      </w:r>
      <w:r w:rsidRPr="008D0AC6">
        <w:rPr>
          <w:rFonts w:asciiTheme="minorHAnsi" w:hAnsiTheme="minorHAnsi" w:cstheme="minorHAnsi"/>
          <w:color w:val="000000"/>
          <w:sz w:val="22"/>
          <w:szCs w:val="22"/>
          <w:lang w:val="en-CA"/>
        </w:rPr>
        <w:t xml:space="preserve"> </w:t>
      </w:r>
      <w:r w:rsidR="00326D6B" w:rsidRPr="008D0AC6">
        <w:rPr>
          <w:rFonts w:asciiTheme="minorHAnsi" w:hAnsiTheme="minorHAnsi" w:cstheme="minorHAnsi"/>
          <w:color w:val="000000"/>
          <w:sz w:val="22"/>
          <w:szCs w:val="22"/>
          <w:lang w:val="en-CA"/>
        </w:rPr>
        <w:t xml:space="preserve">invite </w:t>
      </w:r>
      <w:r w:rsidRPr="008D0AC6">
        <w:rPr>
          <w:rFonts w:asciiTheme="minorHAnsi" w:hAnsiTheme="minorHAnsi" w:cstheme="minorHAnsi"/>
          <w:color w:val="000000"/>
          <w:sz w:val="22"/>
          <w:szCs w:val="22"/>
          <w:lang w:val="en-CA"/>
        </w:rPr>
        <w:t xml:space="preserve">the CER’s human resources team </w:t>
      </w:r>
      <w:r w:rsidR="00326D6B" w:rsidRPr="008D0AC6">
        <w:rPr>
          <w:rFonts w:asciiTheme="minorHAnsi" w:hAnsiTheme="minorHAnsi" w:cstheme="minorHAnsi"/>
          <w:color w:val="000000"/>
          <w:sz w:val="22"/>
          <w:szCs w:val="22"/>
          <w:lang w:val="en-CA"/>
        </w:rPr>
        <w:t xml:space="preserve">to a virtual visit </w:t>
      </w:r>
      <w:r w:rsidRPr="008D0AC6">
        <w:rPr>
          <w:rFonts w:asciiTheme="minorHAnsi" w:hAnsiTheme="minorHAnsi" w:cstheme="minorHAnsi"/>
          <w:color w:val="000000"/>
          <w:sz w:val="22"/>
          <w:szCs w:val="22"/>
          <w:lang w:val="en-CA"/>
        </w:rPr>
        <w:t>a</w:t>
      </w:r>
      <w:r w:rsidR="009C5464" w:rsidRPr="008D0AC6">
        <w:rPr>
          <w:rFonts w:asciiTheme="minorHAnsi" w:hAnsiTheme="minorHAnsi" w:cstheme="minorHAnsi"/>
          <w:color w:val="000000"/>
          <w:sz w:val="22"/>
          <w:szCs w:val="22"/>
          <w:lang w:val="en-CA"/>
        </w:rPr>
        <w:t xml:space="preserve">nd has recently started having </w:t>
      </w:r>
      <w:r w:rsidRPr="008D0AC6">
        <w:rPr>
          <w:rFonts w:asciiTheme="minorHAnsi" w:hAnsiTheme="minorHAnsi" w:cstheme="minorHAnsi"/>
          <w:color w:val="000000"/>
          <w:sz w:val="22"/>
          <w:szCs w:val="22"/>
          <w:lang w:val="en-CA"/>
        </w:rPr>
        <w:t>monthly meetings with the organizational contact.</w:t>
      </w:r>
    </w:p>
    <w:p w14:paraId="1DE985D3" w14:textId="77777777" w:rsidR="00753DD5" w:rsidRPr="008D0AC6" w:rsidRDefault="00753DD5" w:rsidP="008D0AC6">
      <w:pPr>
        <w:pStyle w:val="Heading1"/>
        <w:spacing w:after="120"/>
        <w:rPr>
          <w:rFonts w:cstheme="majorHAnsi"/>
          <w:lang w:val="en-CA"/>
        </w:rPr>
      </w:pPr>
      <w:r w:rsidRPr="008D0AC6">
        <w:rPr>
          <w:rFonts w:cstheme="majorHAnsi"/>
          <w:lang w:val="en-CA"/>
        </w:rPr>
        <w:t xml:space="preserve">Appointment Delegation and Accountability Instrument </w:t>
      </w:r>
      <w:r w:rsidR="00BB1D0F" w:rsidRPr="008D0AC6">
        <w:rPr>
          <w:rFonts w:cstheme="majorHAnsi"/>
          <w:lang w:val="en-CA"/>
        </w:rPr>
        <w:t>A</w:t>
      </w:r>
      <w:r w:rsidRPr="008D0AC6">
        <w:rPr>
          <w:rFonts w:cstheme="majorHAnsi"/>
          <w:lang w:val="en-CA"/>
        </w:rPr>
        <w:t>nnex D Reporting</w:t>
      </w:r>
    </w:p>
    <w:p w14:paraId="22BFC2FA" w14:textId="77777777" w:rsidR="00753DD5" w:rsidRPr="00264AD9" w:rsidRDefault="00753DD5" w:rsidP="008D0AC6">
      <w:pPr>
        <w:pStyle w:val="Heading2"/>
        <w:spacing w:after="120"/>
        <w:rPr>
          <w:lang w:val="en-CA"/>
        </w:rPr>
      </w:pPr>
      <w:r w:rsidRPr="00264AD9">
        <w:rPr>
          <w:lang w:val="en-CA"/>
        </w:rPr>
        <w:t xml:space="preserve">Use of the </w:t>
      </w:r>
      <w:r w:rsidRPr="0022695A">
        <w:rPr>
          <w:rStyle w:val="Emphasis"/>
          <w:rFonts w:ascii="Segoe UI" w:hAnsi="Segoe UI"/>
          <w:sz w:val="32"/>
          <w:lang w:val="en-CA"/>
        </w:rPr>
        <w:t>Public Service Official Languages Exclusion Approval Order</w:t>
      </w:r>
      <w:r w:rsidRPr="00264AD9">
        <w:rPr>
          <w:lang w:val="en-CA"/>
        </w:rPr>
        <w:t xml:space="preserve"> </w:t>
      </w:r>
      <w:r w:rsidR="00E26903" w:rsidRPr="00264AD9">
        <w:rPr>
          <w:lang w:val="en-CA"/>
        </w:rPr>
        <w:t xml:space="preserve">(PSOLEAO) </w:t>
      </w:r>
      <w:r w:rsidRPr="00264AD9">
        <w:rPr>
          <w:lang w:val="en-CA"/>
        </w:rPr>
        <w:t xml:space="preserve">and </w:t>
      </w:r>
      <w:r w:rsidRPr="0022695A">
        <w:rPr>
          <w:lang w:val="en-CA"/>
        </w:rPr>
        <w:t xml:space="preserve">the </w:t>
      </w:r>
      <w:r w:rsidRPr="0022695A">
        <w:rPr>
          <w:rStyle w:val="Emphasis"/>
          <w:rFonts w:ascii="Segoe UI" w:hAnsi="Segoe UI"/>
          <w:sz w:val="32"/>
          <w:lang w:val="en-CA"/>
        </w:rPr>
        <w:t>Public Service Official Languages Appointment Regulations</w:t>
      </w:r>
      <w:r w:rsidR="00E26903" w:rsidRPr="0022695A">
        <w:rPr>
          <w:sz w:val="40"/>
          <w:szCs w:val="40"/>
          <w:lang w:val="en-CA"/>
        </w:rPr>
        <w:t xml:space="preserve"> </w:t>
      </w:r>
      <w:r w:rsidR="00E26903" w:rsidRPr="00264AD9">
        <w:rPr>
          <w:lang w:val="en-CA"/>
        </w:rPr>
        <w:t>(PSOLAR)</w:t>
      </w:r>
    </w:p>
    <w:p w14:paraId="613A9CCA" w14:textId="03D645B8" w:rsidR="0083500E" w:rsidRPr="008D0AC6" w:rsidRDefault="00E26903" w:rsidP="008D0AC6">
      <w:pPr>
        <w:pStyle w:val="NoSpacing"/>
        <w:spacing w:after="120"/>
        <w:rPr>
          <w:rFonts w:asciiTheme="minorHAnsi" w:hAnsiTheme="minorHAnsi" w:cstheme="minorHAnsi"/>
          <w:color w:val="222222"/>
          <w:sz w:val="22"/>
          <w:szCs w:val="22"/>
          <w:lang w:val="en-CA"/>
        </w:rPr>
      </w:pPr>
      <w:r w:rsidRPr="008D0AC6">
        <w:rPr>
          <w:rFonts w:asciiTheme="minorHAnsi" w:hAnsiTheme="minorHAnsi" w:cstheme="minorHAnsi"/>
          <w:color w:val="000000"/>
          <w:sz w:val="22"/>
          <w:szCs w:val="22"/>
          <w:lang w:val="en-CA"/>
        </w:rPr>
        <w:t xml:space="preserve">The CER </w:t>
      </w:r>
      <w:r w:rsidR="00753DD5" w:rsidRPr="008D0AC6">
        <w:rPr>
          <w:rFonts w:asciiTheme="minorHAnsi" w:hAnsiTheme="minorHAnsi" w:cstheme="minorHAnsi"/>
          <w:color w:val="222222"/>
          <w:sz w:val="22"/>
          <w:szCs w:val="22"/>
          <w:lang w:val="en-CA"/>
        </w:rPr>
        <w:t xml:space="preserve">reported that </w:t>
      </w:r>
      <w:r w:rsidRPr="008D0AC6">
        <w:rPr>
          <w:rFonts w:asciiTheme="minorHAnsi" w:hAnsiTheme="minorHAnsi" w:cstheme="minorHAnsi"/>
          <w:color w:val="222222"/>
          <w:sz w:val="22"/>
          <w:szCs w:val="22"/>
          <w:lang w:val="en-CA"/>
        </w:rPr>
        <w:t>the organization</w:t>
      </w:r>
      <w:r w:rsidR="00753DD5" w:rsidRPr="008D0AC6">
        <w:rPr>
          <w:rFonts w:asciiTheme="minorHAnsi" w:hAnsiTheme="minorHAnsi" w:cstheme="minorHAnsi"/>
          <w:color w:val="222222"/>
          <w:sz w:val="22"/>
          <w:szCs w:val="22"/>
          <w:lang w:val="en-CA"/>
        </w:rPr>
        <w:t xml:space="preserve"> made</w:t>
      </w:r>
      <w:r w:rsidRPr="008D0AC6">
        <w:rPr>
          <w:rFonts w:asciiTheme="minorHAnsi" w:hAnsiTheme="minorHAnsi" w:cstheme="minorHAnsi"/>
          <w:color w:val="222222"/>
          <w:sz w:val="22"/>
          <w:szCs w:val="22"/>
          <w:lang w:val="en-CA"/>
        </w:rPr>
        <w:t xml:space="preserve"> use </w:t>
      </w:r>
      <w:r w:rsidR="00753DD5" w:rsidRPr="008D0AC6">
        <w:rPr>
          <w:rFonts w:asciiTheme="minorHAnsi" w:hAnsiTheme="minorHAnsi" w:cstheme="minorHAnsi"/>
          <w:color w:val="222222"/>
          <w:sz w:val="22"/>
          <w:szCs w:val="22"/>
          <w:lang w:val="en-CA"/>
        </w:rPr>
        <w:t>of the PSOLEAO</w:t>
      </w:r>
      <w:r w:rsidRPr="008D0AC6">
        <w:rPr>
          <w:rFonts w:asciiTheme="minorHAnsi" w:hAnsiTheme="minorHAnsi" w:cstheme="minorHAnsi"/>
          <w:color w:val="222222"/>
          <w:sz w:val="22"/>
          <w:szCs w:val="22"/>
          <w:lang w:val="en-CA"/>
        </w:rPr>
        <w:t xml:space="preserve"> </w:t>
      </w:r>
      <w:r w:rsidR="006243EE" w:rsidRPr="008D0AC6">
        <w:rPr>
          <w:rFonts w:asciiTheme="minorHAnsi" w:hAnsiTheme="minorHAnsi" w:cstheme="minorHAnsi"/>
          <w:color w:val="222222"/>
          <w:sz w:val="22"/>
          <w:szCs w:val="22"/>
          <w:lang w:val="en-CA"/>
        </w:rPr>
        <w:t xml:space="preserve">and </w:t>
      </w:r>
      <w:r w:rsidR="00753DD5" w:rsidRPr="008D0AC6">
        <w:rPr>
          <w:rFonts w:asciiTheme="minorHAnsi" w:hAnsiTheme="minorHAnsi" w:cstheme="minorHAnsi"/>
          <w:color w:val="222222"/>
          <w:sz w:val="22"/>
          <w:szCs w:val="22"/>
          <w:lang w:val="en-CA"/>
        </w:rPr>
        <w:t xml:space="preserve">the </w:t>
      </w:r>
      <w:r w:rsidR="00237B04" w:rsidRPr="008D0AC6">
        <w:rPr>
          <w:rFonts w:asciiTheme="minorHAnsi" w:hAnsiTheme="minorHAnsi" w:cstheme="minorHAnsi"/>
          <w:color w:val="222222"/>
          <w:sz w:val="22"/>
          <w:szCs w:val="22"/>
          <w:lang w:val="en-CA"/>
        </w:rPr>
        <w:t xml:space="preserve">PSOLAR </w:t>
      </w:r>
      <w:r w:rsidR="006243EE" w:rsidRPr="008D0AC6">
        <w:rPr>
          <w:rFonts w:asciiTheme="minorHAnsi" w:hAnsiTheme="minorHAnsi" w:cstheme="minorHAnsi"/>
          <w:color w:val="222222"/>
          <w:sz w:val="22"/>
          <w:szCs w:val="22"/>
          <w:lang w:val="en-CA"/>
        </w:rPr>
        <w:t xml:space="preserve">four times </w:t>
      </w:r>
      <w:r w:rsidR="00237B04" w:rsidRPr="008D0AC6">
        <w:rPr>
          <w:rFonts w:asciiTheme="minorHAnsi" w:hAnsiTheme="minorHAnsi" w:cstheme="minorHAnsi"/>
          <w:color w:val="222222"/>
          <w:sz w:val="22"/>
          <w:szCs w:val="22"/>
          <w:lang w:val="en-CA"/>
        </w:rPr>
        <w:t>for the period of April 1,</w:t>
      </w:r>
      <w:r w:rsidR="00E209B4" w:rsidRPr="008D0AC6">
        <w:rPr>
          <w:rFonts w:asciiTheme="minorHAnsi" w:hAnsiTheme="minorHAnsi" w:cstheme="minorHAnsi"/>
          <w:color w:val="222222"/>
          <w:sz w:val="22"/>
          <w:szCs w:val="22"/>
          <w:lang w:val="en-CA"/>
        </w:rPr>
        <w:t xml:space="preserve"> </w:t>
      </w:r>
      <w:proofErr w:type="gramStart"/>
      <w:r w:rsidR="00E209B4" w:rsidRPr="008D0AC6">
        <w:rPr>
          <w:rFonts w:asciiTheme="minorHAnsi" w:hAnsiTheme="minorHAnsi" w:cstheme="minorHAnsi"/>
          <w:color w:val="222222"/>
          <w:sz w:val="22"/>
          <w:szCs w:val="22"/>
          <w:lang w:val="en-CA"/>
        </w:rPr>
        <w:t>2019</w:t>
      </w:r>
      <w:proofErr w:type="gramEnd"/>
      <w:r w:rsidR="00753DD5" w:rsidRPr="008D0AC6">
        <w:rPr>
          <w:rFonts w:asciiTheme="minorHAnsi" w:hAnsiTheme="minorHAnsi" w:cstheme="minorHAnsi"/>
          <w:color w:val="222222"/>
          <w:sz w:val="22"/>
          <w:szCs w:val="22"/>
          <w:lang w:val="en-CA"/>
        </w:rPr>
        <w:t xml:space="preserve"> </w:t>
      </w:r>
      <w:r w:rsidRPr="008D0AC6">
        <w:rPr>
          <w:rFonts w:asciiTheme="minorHAnsi" w:hAnsiTheme="minorHAnsi" w:cstheme="minorHAnsi"/>
          <w:color w:val="222222"/>
          <w:sz w:val="22"/>
          <w:szCs w:val="22"/>
          <w:lang w:val="en-CA"/>
        </w:rPr>
        <w:t>to</w:t>
      </w:r>
      <w:r w:rsidR="00753DD5" w:rsidRPr="008D0AC6">
        <w:rPr>
          <w:rFonts w:asciiTheme="minorHAnsi" w:hAnsiTheme="minorHAnsi" w:cstheme="minorHAnsi"/>
          <w:color w:val="222222"/>
          <w:sz w:val="22"/>
          <w:szCs w:val="22"/>
          <w:lang w:val="en-CA"/>
        </w:rPr>
        <w:t xml:space="preserve"> March 31,</w:t>
      </w:r>
      <w:r w:rsidRPr="008D0AC6">
        <w:rPr>
          <w:rFonts w:asciiTheme="minorHAnsi" w:hAnsiTheme="minorHAnsi" w:cstheme="minorHAnsi"/>
          <w:color w:val="222222"/>
          <w:sz w:val="22"/>
          <w:szCs w:val="22"/>
          <w:lang w:val="en-CA"/>
        </w:rPr>
        <w:t xml:space="preserve"> 20</w:t>
      </w:r>
      <w:r w:rsidR="00E209B4" w:rsidRPr="008D0AC6">
        <w:rPr>
          <w:rFonts w:asciiTheme="minorHAnsi" w:hAnsiTheme="minorHAnsi" w:cstheme="minorHAnsi"/>
          <w:color w:val="222222"/>
          <w:sz w:val="22"/>
          <w:szCs w:val="22"/>
          <w:lang w:val="en-CA"/>
        </w:rPr>
        <w:t>20</w:t>
      </w:r>
      <w:r w:rsidRPr="008D0AC6">
        <w:rPr>
          <w:rFonts w:asciiTheme="minorHAnsi" w:hAnsiTheme="minorHAnsi" w:cstheme="minorHAnsi"/>
          <w:color w:val="222222"/>
          <w:sz w:val="22"/>
          <w:szCs w:val="22"/>
          <w:lang w:val="en-CA"/>
        </w:rPr>
        <w:t xml:space="preserve">. </w:t>
      </w:r>
      <w:r w:rsidR="0083500E" w:rsidRPr="008D0AC6">
        <w:rPr>
          <w:rFonts w:asciiTheme="minorHAnsi" w:hAnsiTheme="minorHAnsi" w:cstheme="minorHAnsi"/>
          <w:color w:val="222222"/>
          <w:sz w:val="22"/>
          <w:szCs w:val="22"/>
          <w:lang w:val="en-CA"/>
        </w:rPr>
        <w:t>T</w:t>
      </w:r>
      <w:r w:rsidRPr="008D0AC6">
        <w:rPr>
          <w:rFonts w:asciiTheme="minorHAnsi" w:hAnsiTheme="minorHAnsi" w:cstheme="minorHAnsi"/>
          <w:color w:val="222222"/>
          <w:sz w:val="22"/>
          <w:szCs w:val="22"/>
          <w:lang w:val="en-CA"/>
        </w:rPr>
        <w:t>here were no unresolved situations where the employee did not meet the initial two-year period referred to in an</w:t>
      </w:r>
      <w:r w:rsidR="00E01020" w:rsidRPr="008D0AC6">
        <w:rPr>
          <w:rFonts w:asciiTheme="minorHAnsi" w:hAnsiTheme="minorHAnsi" w:cstheme="minorHAnsi"/>
          <w:color w:val="222222"/>
          <w:sz w:val="22"/>
          <w:szCs w:val="22"/>
          <w:lang w:val="en-CA"/>
        </w:rPr>
        <w:t xml:space="preserve"> agreement to become bilingual and no situations</w:t>
      </w:r>
      <w:r w:rsidR="00B326B9" w:rsidRPr="008D0AC6">
        <w:rPr>
          <w:rFonts w:asciiTheme="minorHAnsi" w:hAnsiTheme="minorHAnsi" w:cstheme="minorHAnsi"/>
          <w:color w:val="222222"/>
          <w:sz w:val="22"/>
          <w:szCs w:val="22"/>
          <w:lang w:val="en-CA"/>
        </w:rPr>
        <w:t xml:space="preserve"> requiring follow up by the PSC</w:t>
      </w:r>
      <w:r w:rsidR="0083500E" w:rsidRPr="008D0AC6">
        <w:rPr>
          <w:rFonts w:asciiTheme="minorHAnsi" w:hAnsiTheme="minorHAnsi" w:cstheme="minorHAnsi"/>
          <w:color w:val="222222"/>
          <w:sz w:val="22"/>
          <w:szCs w:val="22"/>
          <w:lang w:val="en-CA"/>
        </w:rPr>
        <w:t>.</w:t>
      </w:r>
    </w:p>
    <w:p w14:paraId="073FCA52" w14:textId="299B6512" w:rsidR="00753DD5" w:rsidRPr="00264AD9" w:rsidRDefault="00753DD5" w:rsidP="008D0AC6">
      <w:pPr>
        <w:pStyle w:val="Heading2"/>
        <w:spacing w:after="120"/>
        <w:rPr>
          <w:lang w:val="en-CA"/>
        </w:rPr>
      </w:pPr>
      <w:r w:rsidRPr="00264AD9">
        <w:rPr>
          <w:lang w:val="en-CA"/>
        </w:rPr>
        <w:t xml:space="preserve">Approved Deputy Head Exceptions to the National Area of Selection </w:t>
      </w:r>
      <w:r w:rsidR="00403390" w:rsidRPr="00264AD9">
        <w:rPr>
          <w:lang w:val="en-CA"/>
        </w:rPr>
        <w:t xml:space="preserve">(NAOS) </w:t>
      </w:r>
      <w:r w:rsidRPr="00264AD9">
        <w:rPr>
          <w:lang w:val="en-CA"/>
        </w:rPr>
        <w:t xml:space="preserve">Requirements for </w:t>
      </w:r>
      <w:r w:rsidR="006C45D3" w:rsidRPr="00264AD9">
        <w:rPr>
          <w:lang w:val="en-CA"/>
        </w:rPr>
        <w:t xml:space="preserve">an </w:t>
      </w:r>
      <w:r w:rsidRPr="00264AD9">
        <w:rPr>
          <w:lang w:val="en-CA"/>
        </w:rPr>
        <w:t>External Advertised Appointment Process</w:t>
      </w:r>
    </w:p>
    <w:p w14:paraId="3541596C" w14:textId="3983C091" w:rsidR="00753DD5" w:rsidRPr="008D0AC6" w:rsidRDefault="00403390" w:rsidP="008D0AC6">
      <w:pPr>
        <w:pStyle w:val="NormalWeb"/>
        <w:spacing w:before="0" w:beforeAutospacing="0" w:after="120" w:afterAutospacing="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The CER did not report any deputy head exceptions </w:t>
      </w:r>
      <w:r w:rsidR="006777AD" w:rsidRPr="008D0AC6">
        <w:rPr>
          <w:rFonts w:asciiTheme="minorHAnsi" w:hAnsiTheme="minorHAnsi" w:cstheme="minorHAnsi"/>
          <w:color w:val="000000"/>
          <w:sz w:val="22"/>
          <w:szCs w:val="22"/>
          <w:lang w:val="en-CA"/>
        </w:rPr>
        <w:t xml:space="preserve">to the NAOS </w:t>
      </w:r>
      <w:r w:rsidRPr="008D0AC6">
        <w:rPr>
          <w:rFonts w:asciiTheme="minorHAnsi" w:hAnsiTheme="minorHAnsi" w:cstheme="minorHAnsi"/>
          <w:color w:val="000000"/>
          <w:sz w:val="22"/>
          <w:szCs w:val="22"/>
          <w:lang w:val="en-CA"/>
        </w:rPr>
        <w:t xml:space="preserve">between </w:t>
      </w:r>
      <w:r w:rsidR="00E209B4" w:rsidRPr="008D0AC6">
        <w:rPr>
          <w:rFonts w:asciiTheme="minorHAnsi" w:hAnsiTheme="minorHAnsi" w:cstheme="minorHAnsi"/>
          <w:color w:val="000000"/>
          <w:sz w:val="22"/>
          <w:szCs w:val="22"/>
          <w:lang w:val="en-CA"/>
        </w:rPr>
        <w:t xml:space="preserve">April 1, </w:t>
      </w:r>
      <w:proofErr w:type="gramStart"/>
      <w:r w:rsidR="00E209B4" w:rsidRPr="008D0AC6">
        <w:rPr>
          <w:rFonts w:asciiTheme="minorHAnsi" w:hAnsiTheme="minorHAnsi" w:cstheme="minorHAnsi"/>
          <w:color w:val="000000"/>
          <w:sz w:val="22"/>
          <w:szCs w:val="22"/>
          <w:lang w:val="en-CA"/>
        </w:rPr>
        <w:t>2019</w:t>
      </w:r>
      <w:proofErr w:type="gramEnd"/>
      <w:r w:rsidRPr="008D0AC6">
        <w:rPr>
          <w:rFonts w:asciiTheme="minorHAnsi" w:hAnsiTheme="minorHAnsi" w:cstheme="minorHAnsi"/>
          <w:color w:val="000000"/>
          <w:sz w:val="22"/>
          <w:szCs w:val="22"/>
          <w:lang w:val="en-CA"/>
        </w:rPr>
        <w:t xml:space="preserve"> and</w:t>
      </w:r>
      <w:r w:rsidR="00E209B4" w:rsidRPr="008D0AC6">
        <w:rPr>
          <w:rFonts w:asciiTheme="minorHAnsi" w:hAnsiTheme="minorHAnsi" w:cstheme="minorHAnsi"/>
          <w:color w:val="000000"/>
          <w:sz w:val="22"/>
          <w:szCs w:val="22"/>
          <w:lang w:val="en-CA"/>
        </w:rPr>
        <w:t xml:space="preserve"> March 31, 2020</w:t>
      </w:r>
      <w:r w:rsidRPr="008D0AC6">
        <w:rPr>
          <w:rFonts w:asciiTheme="minorHAnsi" w:hAnsiTheme="minorHAnsi" w:cstheme="minorHAnsi"/>
          <w:color w:val="000000"/>
          <w:sz w:val="22"/>
          <w:szCs w:val="22"/>
          <w:lang w:val="en-CA"/>
        </w:rPr>
        <w:t>.</w:t>
      </w:r>
    </w:p>
    <w:p w14:paraId="27104F77" w14:textId="77777777" w:rsidR="00753DD5" w:rsidRPr="00264AD9" w:rsidRDefault="00753DD5" w:rsidP="008D0AC6">
      <w:pPr>
        <w:pStyle w:val="Heading2"/>
        <w:spacing w:after="120"/>
        <w:rPr>
          <w:lang w:val="en-CA"/>
        </w:rPr>
      </w:pPr>
      <w:r w:rsidRPr="00264AD9">
        <w:rPr>
          <w:lang w:val="en-CA"/>
        </w:rPr>
        <w:t>Results of Organizational Cyclical Assessment</w:t>
      </w:r>
    </w:p>
    <w:p w14:paraId="37C549CB" w14:textId="60A4A60E" w:rsidR="00753DD5" w:rsidRPr="008D0AC6" w:rsidRDefault="0055497D" w:rsidP="008D0AC6">
      <w:pPr>
        <w:pStyle w:val="NormalWeb"/>
        <w:spacing w:before="0" w:beforeAutospacing="0" w:after="120" w:afterAutospacing="0"/>
        <w:rPr>
          <w:rFonts w:asciiTheme="minorHAnsi" w:hAnsiTheme="minorHAnsi" w:cstheme="minorHAnsi"/>
          <w:sz w:val="22"/>
          <w:szCs w:val="22"/>
          <w:lang w:val="en-CA"/>
        </w:rPr>
      </w:pPr>
      <w:r w:rsidRPr="008D0AC6">
        <w:rPr>
          <w:rFonts w:asciiTheme="minorHAnsi" w:hAnsiTheme="minorHAnsi" w:cstheme="minorHAnsi"/>
          <w:sz w:val="22"/>
          <w:szCs w:val="22"/>
          <w:lang w:val="en-CA"/>
        </w:rPr>
        <w:t>The CER has not yet conducted a cyclical assessment; however, it is planning to do so starting in the fall of 2020. The SSA</w:t>
      </w:r>
      <w:r w:rsidR="00640645" w:rsidRPr="008D0AC6">
        <w:rPr>
          <w:rFonts w:asciiTheme="minorHAnsi" w:hAnsiTheme="minorHAnsi" w:cstheme="minorHAnsi"/>
          <w:sz w:val="22"/>
          <w:szCs w:val="22"/>
          <w:lang w:val="en-CA"/>
        </w:rPr>
        <w:t xml:space="preserve"> will provide support to</w:t>
      </w:r>
      <w:r w:rsidRPr="008D0AC6">
        <w:rPr>
          <w:rFonts w:asciiTheme="minorHAnsi" w:hAnsiTheme="minorHAnsi" w:cstheme="minorHAnsi"/>
          <w:sz w:val="22"/>
          <w:szCs w:val="22"/>
          <w:lang w:val="en-CA"/>
        </w:rPr>
        <w:t xml:space="preserve"> the organization </w:t>
      </w:r>
      <w:r w:rsidR="00646AA9" w:rsidRPr="008D0AC6">
        <w:rPr>
          <w:rFonts w:asciiTheme="minorHAnsi" w:hAnsiTheme="minorHAnsi" w:cstheme="minorHAnsi"/>
          <w:sz w:val="22"/>
          <w:szCs w:val="22"/>
          <w:lang w:val="en-CA"/>
        </w:rPr>
        <w:t>throughout</w:t>
      </w:r>
      <w:r w:rsidRPr="008D0AC6">
        <w:rPr>
          <w:rFonts w:asciiTheme="minorHAnsi" w:hAnsiTheme="minorHAnsi" w:cstheme="minorHAnsi"/>
          <w:sz w:val="22"/>
          <w:szCs w:val="22"/>
          <w:lang w:val="en-CA"/>
        </w:rPr>
        <w:t xml:space="preserve"> this project.</w:t>
      </w:r>
    </w:p>
    <w:p w14:paraId="26ACC81D" w14:textId="77777777" w:rsidR="006E5155" w:rsidRPr="00264AD9" w:rsidRDefault="00753DD5" w:rsidP="008D0AC6">
      <w:pPr>
        <w:pStyle w:val="Heading2"/>
        <w:spacing w:after="120"/>
        <w:rPr>
          <w:rStyle w:val="Hyperlink"/>
          <w:color w:val="5B315E" w:themeColor="accent2"/>
          <w:u w:val="none"/>
          <w:lang w:val="en-CA"/>
        </w:rPr>
      </w:pPr>
      <w:r w:rsidRPr="00264AD9">
        <w:rPr>
          <w:lang w:val="en-CA"/>
        </w:rPr>
        <w:lastRenderedPageBreak/>
        <w:t>Inquiries and Trends</w:t>
      </w:r>
    </w:p>
    <w:p w14:paraId="5626BB60" w14:textId="631E5F69" w:rsidR="00377667" w:rsidRPr="008D0AC6" w:rsidRDefault="005354F7" w:rsidP="008D0AC6">
      <w:pPr>
        <w:spacing w:after="120"/>
        <w:rPr>
          <w:rFonts w:asciiTheme="minorHAnsi" w:hAnsiTheme="minorHAnsi" w:cstheme="minorHAnsi"/>
          <w:sz w:val="22"/>
          <w:szCs w:val="22"/>
          <w:lang w:val="en-CA"/>
        </w:rPr>
      </w:pPr>
      <w:r w:rsidRPr="008D0AC6">
        <w:rPr>
          <w:rFonts w:asciiTheme="minorHAnsi" w:hAnsiTheme="minorHAnsi" w:cstheme="minorHAnsi"/>
          <w:sz w:val="22"/>
          <w:szCs w:val="22"/>
          <w:lang w:val="en-CA"/>
        </w:rPr>
        <w:t>Since the NDS came into effect on April 1, 2016</w:t>
      </w:r>
      <w:r w:rsidR="006E5155" w:rsidRPr="008D0AC6">
        <w:rPr>
          <w:rFonts w:asciiTheme="minorHAnsi" w:hAnsiTheme="minorHAnsi" w:cstheme="minorHAnsi"/>
          <w:sz w:val="22"/>
          <w:szCs w:val="22"/>
          <w:lang w:val="en-CA"/>
        </w:rPr>
        <w:t xml:space="preserve">, the majority of CER’s questions were related to the Appointment Policy, more specifically about assessment. </w:t>
      </w:r>
      <w:r w:rsidRPr="008D0AC6">
        <w:rPr>
          <w:rFonts w:asciiTheme="minorHAnsi" w:hAnsiTheme="minorHAnsi" w:cstheme="minorHAnsi"/>
          <w:sz w:val="22"/>
          <w:szCs w:val="22"/>
          <w:lang w:val="en-CA"/>
        </w:rPr>
        <w:t>Overall, the questi</w:t>
      </w:r>
      <w:r w:rsidR="00B3741C" w:rsidRPr="008D0AC6">
        <w:rPr>
          <w:rFonts w:asciiTheme="minorHAnsi" w:hAnsiTheme="minorHAnsi" w:cstheme="minorHAnsi"/>
          <w:sz w:val="22"/>
          <w:szCs w:val="22"/>
          <w:lang w:val="en-CA"/>
        </w:rPr>
        <w:t>ons received were quite varied.</w:t>
      </w:r>
      <w:r w:rsidR="0022695A">
        <w:rPr>
          <w:rFonts w:asciiTheme="minorHAnsi" w:hAnsiTheme="minorHAnsi" w:cstheme="minorHAnsi"/>
          <w:sz w:val="22"/>
          <w:szCs w:val="22"/>
          <w:lang w:val="en-CA"/>
        </w:rPr>
        <w:t xml:space="preserve"> </w:t>
      </w:r>
      <w:r w:rsidRPr="008D0AC6">
        <w:rPr>
          <w:rFonts w:asciiTheme="minorHAnsi" w:hAnsiTheme="minorHAnsi" w:cstheme="minorHAnsi"/>
          <w:sz w:val="22"/>
          <w:szCs w:val="22"/>
          <w:lang w:val="en-CA"/>
        </w:rPr>
        <w:t xml:space="preserve">More recently, since April 1, 2020, </w:t>
      </w:r>
      <w:r w:rsidR="004E4120" w:rsidRPr="008D0AC6">
        <w:rPr>
          <w:rFonts w:asciiTheme="minorHAnsi" w:hAnsiTheme="minorHAnsi" w:cstheme="minorHAnsi"/>
          <w:sz w:val="22"/>
          <w:szCs w:val="22"/>
          <w:lang w:val="en-CA"/>
        </w:rPr>
        <w:t xml:space="preserve">the </w:t>
      </w:r>
      <w:r w:rsidR="00972EC5" w:rsidRPr="008D0AC6">
        <w:rPr>
          <w:rFonts w:asciiTheme="minorHAnsi" w:hAnsiTheme="minorHAnsi" w:cstheme="minorHAnsi"/>
          <w:sz w:val="22"/>
          <w:szCs w:val="22"/>
          <w:lang w:val="en-CA"/>
        </w:rPr>
        <w:t xml:space="preserve">organization’s </w:t>
      </w:r>
      <w:r w:rsidR="004E4120" w:rsidRPr="008D0AC6">
        <w:rPr>
          <w:rFonts w:asciiTheme="minorHAnsi" w:hAnsiTheme="minorHAnsi" w:cstheme="minorHAnsi"/>
          <w:sz w:val="22"/>
          <w:szCs w:val="22"/>
          <w:lang w:val="en-CA"/>
        </w:rPr>
        <w:t>questions have focussed on official languages, including making non-imperative appointments, the PSC’s new measures related to Covid-19, and the PSC’s new suite of second language</w:t>
      </w:r>
      <w:r w:rsidR="00972EC5" w:rsidRPr="008D0AC6">
        <w:rPr>
          <w:rFonts w:asciiTheme="minorHAnsi" w:hAnsiTheme="minorHAnsi" w:cstheme="minorHAnsi"/>
          <w:sz w:val="22"/>
          <w:szCs w:val="22"/>
          <w:lang w:val="en-CA"/>
        </w:rPr>
        <w:t xml:space="preserve"> assessment tools and resources.</w:t>
      </w:r>
      <w:r w:rsidR="006528D5" w:rsidRPr="008D0AC6">
        <w:rPr>
          <w:rFonts w:asciiTheme="minorHAnsi" w:hAnsiTheme="minorHAnsi" w:cstheme="minorHAnsi"/>
          <w:sz w:val="22"/>
          <w:szCs w:val="22"/>
          <w:lang w:val="en-CA"/>
        </w:rPr>
        <w:t xml:space="preserve"> </w:t>
      </w:r>
      <w:r w:rsidR="00377667" w:rsidRPr="008D0AC6">
        <w:rPr>
          <w:rFonts w:asciiTheme="minorHAnsi" w:hAnsiTheme="minorHAnsi" w:cstheme="minorHAnsi"/>
          <w:sz w:val="22"/>
          <w:szCs w:val="22"/>
          <w:lang w:val="en-CA"/>
        </w:rPr>
        <w:t>Since February 2020, the CER has submitted 4 inquiries to its SSA related to C</w:t>
      </w:r>
      <w:r w:rsidR="00B3741C" w:rsidRPr="008D0AC6">
        <w:rPr>
          <w:rFonts w:asciiTheme="minorHAnsi" w:hAnsiTheme="minorHAnsi" w:cstheme="minorHAnsi"/>
          <w:sz w:val="22"/>
          <w:szCs w:val="22"/>
          <w:lang w:val="en-CA"/>
        </w:rPr>
        <w:t>ovid</w:t>
      </w:r>
      <w:r w:rsidR="00377667" w:rsidRPr="008D0AC6">
        <w:rPr>
          <w:rFonts w:asciiTheme="minorHAnsi" w:hAnsiTheme="minorHAnsi" w:cstheme="minorHAnsi"/>
          <w:sz w:val="22"/>
          <w:szCs w:val="22"/>
          <w:lang w:val="en-CA"/>
        </w:rPr>
        <w:t xml:space="preserve">-19. These questions were related to </w:t>
      </w:r>
      <w:r w:rsidR="007537E8" w:rsidRPr="008D0AC6">
        <w:rPr>
          <w:rFonts w:asciiTheme="minorHAnsi" w:hAnsiTheme="minorHAnsi" w:cstheme="minorHAnsi"/>
          <w:sz w:val="22"/>
          <w:szCs w:val="22"/>
          <w:lang w:val="en-CA"/>
        </w:rPr>
        <w:t>accommodations</w:t>
      </w:r>
      <w:r w:rsidR="00377667" w:rsidRPr="008D0AC6">
        <w:rPr>
          <w:rFonts w:asciiTheme="minorHAnsi" w:hAnsiTheme="minorHAnsi" w:cstheme="minorHAnsi"/>
          <w:sz w:val="22"/>
          <w:szCs w:val="22"/>
          <w:lang w:val="en-CA"/>
        </w:rPr>
        <w:t>, job poster</w:t>
      </w:r>
      <w:r w:rsidR="007537E8" w:rsidRPr="008D0AC6">
        <w:rPr>
          <w:rFonts w:asciiTheme="minorHAnsi" w:hAnsiTheme="minorHAnsi" w:cstheme="minorHAnsi"/>
          <w:sz w:val="22"/>
          <w:szCs w:val="22"/>
          <w:lang w:val="en-CA"/>
        </w:rPr>
        <w:t>s for remote work</w:t>
      </w:r>
      <w:r w:rsidR="00377667" w:rsidRPr="008D0AC6">
        <w:rPr>
          <w:rFonts w:asciiTheme="minorHAnsi" w:hAnsiTheme="minorHAnsi" w:cstheme="minorHAnsi"/>
          <w:sz w:val="22"/>
          <w:szCs w:val="22"/>
          <w:lang w:val="en-CA"/>
        </w:rPr>
        <w:t xml:space="preserve">, </w:t>
      </w:r>
      <w:r w:rsidR="00B3741C" w:rsidRPr="008D0AC6">
        <w:rPr>
          <w:rFonts w:asciiTheme="minorHAnsi" w:hAnsiTheme="minorHAnsi" w:cstheme="minorHAnsi"/>
          <w:sz w:val="22"/>
          <w:szCs w:val="22"/>
          <w:lang w:val="en-CA"/>
        </w:rPr>
        <w:t xml:space="preserve">and </w:t>
      </w:r>
      <w:r w:rsidR="00377667" w:rsidRPr="008D0AC6">
        <w:rPr>
          <w:rFonts w:asciiTheme="minorHAnsi" w:hAnsiTheme="minorHAnsi" w:cstheme="minorHAnsi"/>
          <w:sz w:val="22"/>
          <w:szCs w:val="22"/>
          <w:lang w:val="en-CA"/>
        </w:rPr>
        <w:t>the PSC’s new measure exempting deputy heads from the requirement to use the PSC’s second language evaluation tests when assessing second language proficiency.</w:t>
      </w:r>
    </w:p>
    <w:p w14:paraId="0BEC49FC" w14:textId="14D1E61D" w:rsidR="00972EC5" w:rsidRPr="008D0AC6" w:rsidRDefault="004E4120" w:rsidP="008D0AC6">
      <w:pPr>
        <w:spacing w:after="120"/>
        <w:contextualSpacing/>
        <w:rPr>
          <w:rFonts w:asciiTheme="minorHAnsi" w:hAnsiTheme="minorHAnsi" w:cstheme="minorHAnsi"/>
          <w:sz w:val="22"/>
          <w:szCs w:val="22"/>
          <w:lang w:val="en-CA"/>
        </w:rPr>
      </w:pPr>
      <w:r w:rsidRPr="008D0AC6">
        <w:rPr>
          <w:rFonts w:asciiTheme="minorHAnsi" w:hAnsiTheme="minorHAnsi" w:cstheme="minorHAnsi"/>
          <w:sz w:val="22"/>
          <w:szCs w:val="22"/>
          <w:lang w:val="en-CA"/>
        </w:rPr>
        <w:t>The organization has also asked the SSA to provide feedback as it updates its staffing framework to better reflect the intent of the NDS and the organization’s context</w:t>
      </w:r>
      <w:r w:rsidR="003B12FB" w:rsidRPr="008D0AC6">
        <w:rPr>
          <w:rFonts w:asciiTheme="minorHAnsi" w:hAnsiTheme="minorHAnsi" w:cstheme="minorHAnsi"/>
          <w:sz w:val="22"/>
          <w:szCs w:val="22"/>
          <w:lang w:val="en-CA"/>
        </w:rPr>
        <w:t>, as well as for assistance with it</w:t>
      </w:r>
      <w:r w:rsidR="00B3741C" w:rsidRPr="008D0AC6">
        <w:rPr>
          <w:rFonts w:asciiTheme="minorHAnsi" w:hAnsiTheme="minorHAnsi" w:cstheme="minorHAnsi"/>
          <w:sz w:val="22"/>
          <w:szCs w:val="22"/>
          <w:lang w:val="en-CA"/>
        </w:rPr>
        <w:t>s</w:t>
      </w:r>
      <w:r w:rsidR="003B12FB" w:rsidRPr="008D0AC6">
        <w:rPr>
          <w:rFonts w:asciiTheme="minorHAnsi" w:hAnsiTheme="minorHAnsi" w:cstheme="minorHAnsi"/>
          <w:sz w:val="22"/>
          <w:szCs w:val="22"/>
          <w:lang w:val="en-CA"/>
        </w:rPr>
        <w:t xml:space="preserve"> cyclical assessment, which is intends to start later this fall</w:t>
      </w:r>
      <w:r w:rsidRPr="008D0AC6">
        <w:rPr>
          <w:rFonts w:asciiTheme="minorHAnsi" w:hAnsiTheme="minorHAnsi" w:cstheme="minorHAnsi"/>
          <w:sz w:val="22"/>
          <w:szCs w:val="22"/>
          <w:lang w:val="en-CA"/>
        </w:rPr>
        <w:t>.</w:t>
      </w:r>
    </w:p>
    <w:p w14:paraId="7FD1346E" w14:textId="77777777" w:rsidR="00753DD5" w:rsidRPr="008D0AC6" w:rsidRDefault="00753DD5" w:rsidP="008D0AC6">
      <w:pPr>
        <w:pStyle w:val="Heading1"/>
        <w:spacing w:after="120"/>
        <w:rPr>
          <w:rFonts w:cstheme="majorHAnsi"/>
          <w:lang w:val="en-CA"/>
        </w:rPr>
      </w:pPr>
      <w:r w:rsidRPr="008D0AC6">
        <w:rPr>
          <w:rFonts w:cstheme="majorHAnsi"/>
          <w:lang w:val="en-CA"/>
        </w:rPr>
        <w:t>Oversight</w:t>
      </w:r>
    </w:p>
    <w:p w14:paraId="17D56C9B" w14:textId="77777777" w:rsidR="00753DD5" w:rsidRPr="00264AD9" w:rsidRDefault="00753DD5" w:rsidP="008D0AC6">
      <w:pPr>
        <w:pStyle w:val="Heading2"/>
        <w:spacing w:after="120"/>
        <w:rPr>
          <w:u w:val="single"/>
          <w:lang w:val="en-CA"/>
        </w:rPr>
      </w:pPr>
      <w:r w:rsidRPr="00264AD9">
        <w:rPr>
          <w:lang w:val="en-CA"/>
        </w:rPr>
        <w:t>Audits</w:t>
      </w:r>
    </w:p>
    <w:p w14:paraId="71B42789" w14:textId="77777777" w:rsidR="00163487" w:rsidRPr="008D0AC6" w:rsidRDefault="00163487" w:rsidP="008D0AC6">
      <w:pPr>
        <w:spacing w:after="120"/>
        <w:rPr>
          <w:rFonts w:asciiTheme="minorHAnsi" w:hAnsiTheme="minorHAnsi" w:cstheme="minorHAnsi"/>
          <w:sz w:val="22"/>
          <w:szCs w:val="22"/>
          <w:lang w:val="en-CA"/>
        </w:rPr>
      </w:pPr>
      <w:r w:rsidRPr="008D0AC6">
        <w:rPr>
          <w:rFonts w:asciiTheme="minorHAnsi" w:hAnsiTheme="minorHAnsi" w:cstheme="minorHAnsi"/>
          <w:sz w:val="22"/>
          <w:szCs w:val="22"/>
          <w:lang w:val="en-CA"/>
        </w:rPr>
        <w:t>The CER was audited by the PSC in 2011 and is included in the audit sample of one of its current performance audits.</w:t>
      </w:r>
    </w:p>
    <w:p w14:paraId="76D92DC8" w14:textId="77777777" w:rsidR="00163487" w:rsidRPr="008D0AC6" w:rsidRDefault="00163487" w:rsidP="008D0AC6">
      <w:pPr>
        <w:pStyle w:val="Heading3"/>
        <w:spacing w:after="120"/>
        <w:rPr>
          <w:rFonts w:ascii="Segoe UI" w:hAnsi="Segoe UI" w:cs="Segoe UI"/>
          <w:b/>
          <w:bCs/>
          <w:lang w:val="en-CA"/>
        </w:rPr>
      </w:pPr>
      <w:r w:rsidRPr="008D0AC6">
        <w:rPr>
          <w:rFonts w:ascii="Segoe UI" w:hAnsi="Segoe UI" w:cs="Segoe UI"/>
          <w:b/>
          <w:bCs/>
          <w:lang w:val="en-CA"/>
        </w:rPr>
        <w:t>Current Audits:</w:t>
      </w:r>
    </w:p>
    <w:p w14:paraId="14151992" w14:textId="77777777" w:rsidR="00163487" w:rsidRPr="008D0AC6" w:rsidRDefault="00163487" w:rsidP="008D0AC6">
      <w:pPr>
        <w:rPr>
          <w:rFonts w:asciiTheme="minorHAnsi" w:hAnsiTheme="minorHAnsi" w:cstheme="minorHAnsi"/>
          <w:sz w:val="22"/>
          <w:szCs w:val="22"/>
          <w:lang w:val="en-CA"/>
        </w:rPr>
      </w:pPr>
      <w:r w:rsidRPr="008D0AC6">
        <w:rPr>
          <w:rFonts w:asciiTheme="minorHAnsi" w:hAnsiTheme="minorHAnsi" w:cstheme="minorHAnsi"/>
          <w:sz w:val="22"/>
          <w:szCs w:val="22"/>
          <w:lang w:val="en-CA"/>
        </w:rPr>
        <w:t>The CER is among the organizations selected as part of the Audit of Employment Equity Representation in Recruitment that is currently underway. The objectives of this audit are as follows:</w:t>
      </w:r>
    </w:p>
    <w:p w14:paraId="0882BB20" w14:textId="77777777" w:rsidR="00163487" w:rsidRPr="008D0AC6" w:rsidRDefault="00163487" w:rsidP="008D0AC6">
      <w:pPr>
        <w:pStyle w:val="ListParagraph"/>
        <w:numPr>
          <w:ilvl w:val="0"/>
          <w:numId w:val="40"/>
        </w:numPr>
        <w:autoSpaceDE w:val="0"/>
        <w:autoSpaceDN w:val="0"/>
        <w:adjustRightInd w:val="0"/>
        <w:spacing w:after="0"/>
        <w:ind w:left="360"/>
        <w:rPr>
          <w:rFonts w:asciiTheme="minorHAnsi" w:hAnsiTheme="minorHAnsi" w:cstheme="minorHAnsi"/>
          <w:sz w:val="22"/>
          <w:szCs w:val="22"/>
          <w:lang w:val="en-CA"/>
        </w:rPr>
      </w:pPr>
      <w:r w:rsidRPr="008D0AC6">
        <w:rPr>
          <w:rFonts w:asciiTheme="minorHAnsi" w:hAnsiTheme="minorHAnsi" w:cstheme="minorHAnsi"/>
          <w:sz w:val="22"/>
          <w:szCs w:val="22"/>
          <w:lang w:val="en-CA"/>
        </w:rPr>
        <w:t>To determine whether the four designated employment equity groups are proportionately represented in recruitment processes.</w:t>
      </w:r>
    </w:p>
    <w:p w14:paraId="1A51803C" w14:textId="1FF6B9BF" w:rsidR="00163487" w:rsidRDefault="00163487" w:rsidP="000E53B8">
      <w:pPr>
        <w:pStyle w:val="ListParagraph"/>
        <w:numPr>
          <w:ilvl w:val="0"/>
          <w:numId w:val="40"/>
        </w:numPr>
        <w:autoSpaceDE w:val="0"/>
        <w:autoSpaceDN w:val="0"/>
        <w:adjustRightInd w:val="0"/>
        <w:spacing w:after="0"/>
        <w:ind w:left="360"/>
        <w:rPr>
          <w:rFonts w:asciiTheme="minorHAnsi" w:hAnsiTheme="minorHAnsi" w:cstheme="minorHAnsi"/>
          <w:sz w:val="22"/>
          <w:szCs w:val="22"/>
          <w:lang w:val="en-CA"/>
        </w:rPr>
      </w:pPr>
      <w:r w:rsidRPr="005A39A5">
        <w:rPr>
          <w:rFonts w:asciiTheme="minorHAnsi" w:hAnsiTheme="minorHAnsi" w:cstheme="minorHAnsi"/>
          <w:sz w:val="22"/>
          <w:szCs w:val="22"/>
          <w:lang w:val="en-CA"/>
        </w:rPr>
        <w:t>To identify key factors that influence representation in the appointment system among the four designated employment equity groups.</w:t>
      </w:r>
    </w:p>
    <w:p w14:paraId="57409B45" w14:textId="77777777" w:rsidR="000E53B8" w:rsidRPr="005A39A5" w:rsidRDefault="000E53B8" w:rsidP="005A39A5">
      <w:pPr>
        <w:autoSpaceDE w:val="0"/>
        <w:autoSpaceDN w:val="0"/>
        <w:adjustRightInd w:val="0"/>
        <w:rPr>
          <w:rFonts w:asciiTheme="minorHAnsi" w:hAnsiTheme="minorHAnsi" w:cstheme="minorHAnsi"/>
          <w:sz w:val="22"/>
          <w:szCs w:val="22"/>
          <w:lang w:val="en-CA"/>
        </w:rPr>
      </w:pPr>
    </w:p>
    <w:p w14:paraId="04034AD5" w14:textId="77777777" w:rsidR="00163487" w:rsidRPr="008D0AC6" w:rsidRDefault="00163487" w:rsidP="008D0AC6">
      <w:pPr>
        <w:spacing w:after="120"/>
        <w:rPr>
          <w:rFonts w:asciiTheme="minorHAnsi" w:hAnsiTheme="minorHAnsi" w:cstheme="minorHAnsi"/>
          <w:sz w:val="22"/>
          <w:szCs w:val="22"/>
          <w:lang w:val="en-CA"/>
        </w:rPr>
      </w:pPr>
      <w:r w:rsidRPr="008D0AC6">
        <w:rPr>
          <w:rFonts w:asciiTheme="minorHAnsi" w:hAnsiTheme="minorHAnsi" w:cstheme="minorHAnsi"/>
          <w:sz w:val="22"/>
          <w:szCs w:val="22"/>
          <w:lang w:val="en-CA"/>
        </w:rPr>
        <w:t>It is important to note that results will be presented at an aggregate level in the final report and not at the level of the organization. Two CER staffing processes were included in the overall sample of 181 processes selected from 30 organizations.</w:t>
      </w:r>
    </w:p>
    <w:p w14:paraId="64673F38" w14:textId="67393B22" w:rsidR="00163487" w:rsidRPr="008D0AC6" w:rsidRDefault="00163487" w:rsidP="008D0AC6">
      <w:pPr>
        <w:spacing w:after="120"/>
        <w:rPr>
          <w:rFonts w:asciiTheme="minorHAnsi" w:hAnsiTheme="minorHAnsi" w:cstheme="minorHAnsi"/>
          <w:sz w:val="22"/>
          <w:szCs w:val="22"/>
          <w:lang w:val="en-CA"/>
        </w:rPr>
      </w:pPr>
      <w:r w:rsidRPr="008D0AC6">
        <w:rPr>
          <w:rFonts w:asciiTheme="minorHAnsi" w:hAnsiTheme="minorHAnsi" w:cstheme="minorHAnsi"/>
          <w:sz w:val="22"/>
          <w:szCs w:val="22"/>
          <w:lang w:val="en-CA"/>
        </w:rPr>
        <w:t xml:space="preserve">The final report will be published in </w:t>
      </w:r>
      <w:r w:rsidR="00A27868" w:rsidRPr="008D0AC6">
        <w:rPr>
          <w:rFonts w:asciiTheme="minorHAnsi" w:hAnsiTheme="minorHAnsi" w:cstheme="minorHAnsi"/>
          <w:sz w:val="22"/>
          <w:szCs w:val="22"/>
          <w:lang w:val="en-CA"/>
        </w:rPr>
        <w:t>the 2020-</w:t>
      </w:r>
      <w:r w:rsidRPr="008D0AC6">
        <w:rPr>
          <w:rFonts w:asciiTheme="minorHAnsi" w:hAnsiTheme="minorHAnsi" w:cstheme="minorHAnsi"/>
          <w:sz w:val="22"/>
          <w:szCs w:val="22"/>
          <w:lang w:val="en-CA"/>
        </w:rPr>
        <w:t>2021</w:t>
      </w:r>
      <w:r w:rsidR="00A27868" w:rsidRPr="008D0AC6">
        <w:rPr>
          <w:rFonts w:asciiTheme="minorHAnsi" w:hAnsiTheme="minorHAnsi" w:cstheme="minorHAnsi"/>
          <w:sz w:val="22"/>
          <w:szCs w:val="22"/>
          <w:lang w:val="en-CA"/>
        </w:rPr>
        <w:t xml:space="preserve"> fiscal year</w:t>
      </w:r>
      <w:r w:rsidRPr="008D0AC6">
        <w:rPr>
          <w:rFonts w:asciiTheme="minorHAnsi" w:hAnsiTheme="minorHAnsi" w:cstheme="minorHAnsi"/>
          <w:sz w:val="22"/>
          <w:szCs w:val="22"/>
          <w:lang w:val="en-CA"/>
        </w:rPr>
        <w:t>.</w:t>
      </w:r>
    </w:p>
    <w:p w14:paraId="2C5B8E2A" w14:textId="77777777" w:rsidR="00753DD5" w:rsidRPr="00264AD9" w:rsidRDefault="00753DD5" w:rsidP="008D0AC6">
      <w:pPr>
        <w:pStyle w:val="Heading2"/>
        <w:spacing w:after="120"/>
        <w:rPr>
          <w:u w:val="single"/>
          <w:lang w:val="en-CA"/>
        </w:rPr>
      </w:pPr>
      <w:r w:rsidRPr="00264AD9">
        <w:rPr>
          <w:lang w:val="en-CA"/>
        </w:rPr>
        <w:t>Investigations</w:t>
      </w:r>
    </w:p>
    <w:p w14:paraId="4F69B2EE" w14:textId="20C801C0" w:rsidR="00753DD5" w:rsidRPr="008D0AC6" w:rsidRDefault="00B556ED" w:rsidP="008D0AC6">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Between </w:t>
      </w:r>
      <w:r w:rsidR="00A620EB" w:rsidRPr="008D0AC6">
        <w:rPr>
          <w:rFonts w:asciiTheme="minorHAnsi" w:hAnsiTheme="minorHAnsi" w:cstheme="minorHAnsi"/>
          <w:color w:val="000000"/>
          <w:sz w:val="22"/>
          <w:szCs w:val="22"/>
          <w:lang w:val="en-CA"/>
        </w:rPr>
        <w:t>August 21</w:t>
      </w:r>
      <w:r w:rsidRPr="008D0AC6">
        <w:rPr>
          <w:rFonts w:asciiTheme="minorHAnsi" w:hAnsiTheme="minorHAnsi" w:cstheme="minorHAnsi"/>
          <w:color w:val="000000"/>
          <w:sz w:val="22"/>
          <w:szCs w:val="22"/>
          <w:lang w:val="en-CA"/>
        </w:rPr>
        <w:t xml:space="preserve">, </w:t>
      </w:r>
      <w:proofErr w:type="gramStart"/>
      <w:r w:rsidRPr="008D0AC6">
        <w:rPr>
          <w:rFonts w:asciiTheme="minorHAnsi" w:hAnsiTheme="minorHAnsi" w:cstheme="minorHAnsi"/>
          <w:color w:val="000000"/>
          <w:sz w:val="22"/>
          <w:szCs w:val="22"/>
          <w:lang w:val="en-CA"/>
        </w:rPr>
        <w:t>2017</w:t>
      </w:r>
      <w:proofErr w:type="gramEnd"/>
      <w:r w:rsidRPr="008D0AC6">
        <w:rPr>
          <w:rFonts w:asciiTheme="minorHAnsi" w:hAnsiTheme="minorHAnsi" w:cstheme="minorHAnsi"/>
          <w:color w:val="000000"/>
          <w:sz w:val="22"/>
          <w:szCs w:val="22"/>
          <w:lang w:val="en-CA"/>
        </w:rPr>
        <w:t xml:space="preserve"> and </w:t>
      </w:r>
      <w:r w:rsidR="00A620EB" w:rsidRPr="008D0AC6">
        <w:rPr>
          <w:rFonts w:asciiTheme="minorHAnsi" w:hAnsiTheme="minorHAnsi" w:cstheme="minorHAnsi"/>
          <w:color w:val="000000"/>
          <w:sz w:val="22"/>
          <w:szCs w:val="22"/>
          <w:lang w:val="en-CA"/>
        </w:rPr>
        <w:t>August 21</w:t>
      </w:r>
      <w:r w:rsidRPr="008D0AC6">
        <w:rPr>
          <w:rFonts w:asciiTheme="minorHAnsi" w:hAnsiTheme="minorHAnsi" w:cstheme="minorHAnsi"/>
          <w:color w:val="000000"/>
          <w:sz w:val="22"/>
          <w:szCs w:val="22"/>
          <w:lang w:val="en-CA"/>
        </w:rPr>
        <w:t xml:space="preserve">, 2020, </w:t>
      </w:r>
      <w:r w:rsidR="00A620EB" w:rsidRPr="008D0AC6">
        <w:rPr>
          <w:rFonts w:asciiTheme="minorHAnsi" w:hAnsiTheme="minorHAnsi" w:cstheme="minorHAnsi"/>
          <w:color w:val="000000"/>
          <w:sz w:val="22"/>
          <w:szCs w:val="22"/>
          <w:lang w:val="en-CA"/>
        </w:rPr>
        <w:t>one</w:t>
      </w:r>
      <w:r w:rsidR="00EC0220" w:rsidRPr="008D0AC6">
        <w:rPr>
          <w:rFonts w:asciiTheme="minorHAnsi" w:hAnsiTheme="minorHAnsi" w:cstheme="minorHAnsi"/>
          <w:color w:val="000000"/>
          <w:sz w:val="22"/>
          <w:szCs w:val="22"/>
          <w:lang w:val="en-CA"/>
        </w:rPr>
        <w:t xml:space="preserve"> allegation </w:t>
      </w:r>
      <w:r w:rsidR="00A620EB" w:rsidRPr="008D0AC6">
        <w:rPr>
          <w:rFonts w:asciiTheme="minorHAnsi" w:hAnsiTheme="minorHAnsi" w:cstheme="minorHAnsi"/>
          <w:color w:val="000000"/>
          <w:sz w:val="22"/>
          <w:szCs w:val="22"/>
          <w:lang w:val="en-CA"/>
        </w:rPr>
        <w:t xml:space="preserve">was </w:t>
      </w:r>
      <w:r w:rsidR="00EC0220" w:rsidRPr="008D0AC6">
        <w:rPr>
          <w:rFonts w:asciiTheme="minorHAnsi" w:hAnsiTheme="minorHAnsi" w:cstheme="minorHAnsi"/>
          <w:color w:val="000000"/>
          <w:sz w:val="22"/>
          <w:szCs w:val="22"/>
          <w:lang w:val="en-CA"/>
        </w:rPr>
        <w:t xml:space="preserve">referred </w:t>
      </w:r>
      <w:r w:rsidRPr="008D0AC6">
        <w:rPr>
          <w:rFonts w:asciiTheme="minorHAnsi" w:hAnsiTheme="minorHAnsi" w:cstheme="minorHAnsi"/>
          <w:color w:val="000000"/>
          <w:sz w:val="22"/>
          <w:szCs w:val="22"/>
          <w:lang w:val="en-CA"/>
        </w:rPr>
        <w:t xml:space="preserve">by the CER </w:t>
      </w:r>
      <w:r w:rsidR="00EC0220" w:rsidRPr="008D0AC6">
        <w:rPr>
          <w:rFonts w:asciiTheme="minorHAnsi" w:hAnsiTheme="minorHAnsi" w:cstheme="minorHAnsi"/>
          <w:color w:val="000000"/>
          <w:sz w:val="22"/>
          <w:szCs w:val="22"/>
          <w:lang w:val="en-CA"/>
        </w:rPr>
        <w:t xml:space="preserve">to the PSC under </w:t>
      </w:r>
      <w:r w:rsidRPr="008D0AC6">
        <w:rPr>
          <w:rFonts w:asciiTheme="minorHAnsi" w:hAnsiTheme="minorHAnsi" w:cstheme="minorHAnsi"/>
          <w:color w:val="000000"/>
          <w:sz w:val="22"/>
          <w:szCs w:val="22"/>
          <w:lang w:val="en-CA"/>
        </w:rPr>
        <w:t>s.66 External Appointments (i.e. merit, error, omission, improper c</w:t>
      </w:r>
      <w:r w:rsidR="00EC0220" w:rsidRPr="008D0AC6">
        <w:rPr>
          <w:rFonts w:asciiTheme="minorHAnsi" w:hAnsiTheme="minorHAnsi" w:cstheme="minorHAnsi"/>
          <w:color w:val="000000"/>
          <w:sz w:val="22"/>
          <w:szCs w:val="22"/>
          <w:lang w:val="en-CA"/>
        </w:rPr>
        <w:t xml:space="preserve">onduct). However, it </w:t>
      </w:r>
      <w:r w:rsidRPr="008D0AC6">
        <w:rPr>
          <w:rFonts w:asciiTheme="minorHAnsi" w:hAnsiTheme="minorHAnsi" w:cstheme="minorHAnsi"/>
          <w:color w:val="000000"/>
          <w:sz w:val="22"/>
          <w:szCs w:val="22"/>
          <w:lang w:val="en-CA"/>
        </w:rPr>
        <w:t>was closed by the PSC upon receipt.</w:t>
      </w:r>
      <w:r w:rsidR="00A620EB" w:rsidRPr="008D0AC6">
        <w:rPr>
          <w:rFonts w:asciiTheme="minorHAnsi" w:hAnsiTheme="minorHAnsi" w:cstheme="minorHAnsi"/>
          <w:color w:val="000000"/>
          <w:sz w:val="22"/>
          <w:szCs w:val="22"/>
          <w:lang w:val="en-CA"/>
        </w:rPr>
        <w:t xml:space="preserve"> A second allegation was received b</w:t>
      </w:r>
      <w:r w:rsidR="007D1C83" w:rsidRPr="008D0AC6">
        <w:rPr>
          <w:rFonts w:asciiTheme="minorHAnsi" w:hAnsiTheme="minorHAnsi" w:cstheme="minorHAnsi"/>
          <w:color w:val="000000"/>
          <w:sz w:val="22"/>
          <w:szCs w:val="22"/>
          <w:lang w:val="en-CA"/>
        </w:rPr>
        <w:t>y the PSC under s.69 Fraud. The</w:t>
      </w:r>
      <w:r w:rsidR="00A620EB" w:rsidRPr="008D0AC6">
        <w:rPr>
          <w:rFonts w:asciiTheme="minorHAnsi" w:hAnsiTheme="minorHAnsi" w:cstheme="minorHAnsi"/>
          <w:color w:val="000000"/>
          <w:sz w:val="22"/>
          <w:szCs w:val="22"/>
          <w:lang w:val="en-CA"/>
        </w:rPr>
        <w:t xml:space="preserve"> status of this investigation is ongoing.</w:t>
      </w:r>
    </w:p>
    <w:p w14:paraId="041C1228" w14:textId="3EB6E32A" w:rsidR="007E04E5" w:rsidRPr="007E04E5" w:rsidRDefault="007E04E5" w:rsidP="007E04E5">
      <w:pPr>
        <w:pStyle w:val="Caption"/>
        <w:keepNext/>
        <w:spacing w:after="0"/>
        <w:rPr>
          <w:rFonts w:asciiTheme="minorHAnsi" w:hAnsiTheme="minorHAnsi" w:cstheme="minorHAnsi"/>
          <w:i w:val="0"/>
          <w:iCs w:val="0"/>
          <w:color w:val="auto"/>
        </w:rPr>
      </w:pPr>
      <w:r w:rsidRPr="007E04E5">
        <w:rPr>
          <w:rFonts w:asciiTheme="minorHAnsi" w:hAnsiTheme="minorHAnsi" w:cstheme="minorHAnsi"/>
          <w:i w:val="0"/>
          <w:iCs w:val="0"/>
          <w:color w:val="auto"/>
        </w:rPr>
        <w:lastRenderedPageBreak/>
        <w:t xml:space="preserve">Table </w:t>
      </w:r>
      <w:r w:rsidRPr="007E04E5">
        <w:rPr>
          <w:rFonts w:asciiTheme="minorHAnsi" w:hAnsiTheme="minorHAnsi" w:cstheme="minorHAnsi"/>
          <w:i w:val="0"/>
          <w:iCs w:val="0"/>
          <w:color w:val="auto"/>
        </w:rPr>
        <w:fldChar w:fldCharType="begin"/>
      </w:r>
      <w:r w:rsidRPr="007E04E5">
        <w:rPr>
          <w:rFonts w:asciiTheme="minorHAnsi" w:hAnsiTheme="minorHAnsi" w:cstheme="minorHAnsi"/>
          <w:i w:val="0"/>
          <w:iCs w:val="0"/>
          <w:color w:val="auto"/>
        </w:rPr>
        <w:instrText xml:space="preserve"> SEQ Table \* ARABIC </w:instrText>
      </w:r>
      <w:r w:rsidRPr="007E04E5">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1</w:t>
      </w:r>
      <w:r w:rsidRPr="007E04E5">
        <w:rPr>
          <w:rFonts w:asciiTheme="minorHAnsi" w:hAnsiTheme="minorHAnsi" w:cstheme="minorHAnsi"/>
          <w:i w:val="0"/>
          <w:iCs w:val="0"/>
          <w:color w:val="auto"/>
        </w:rPr>
        <w:fldChar w:fldCharType="end"/>
      </w:r>
      <w:r w:rsidRPr="007E04E5">
        <w:rPr>
          <w:rFonts w:asciiTheme="minorHAnsi" w:hAnsiTheme="minorHAnsi" w:cstheme="minorHAnsi"/>
          <w:i w:val="0"/>
          <w:iCs w:val="0"/>
          <w:color w:val="auto"/>
        </w:rPr>
        <w:t xml:space="preserve"> - Investigations</w:t>
      </w:r>
    </w:p>
    <w:tbl>
      <w:tblPr>
        <w:tblStyle w:val="TableGrid"/>
        <w:tblW w:w="5000" w:type="pct"/>
        <w:jc w:val="center"/>
        <w:tblLook w:val="04A0" w:firstRow="1" w:lastRow="0" w:firstColumn="1" w:lastColumn="0" w:noHBand="0" w:noVBand="1"/>
        <w:tblDescription w:val="Investigations"/>
      </w:tblPr>
      <w:tblGrid>
        <w:gridCol w:w="1815"/>
        <w:gridCol w:w="1210"/>
        <w:gridCol w:w="1676"/>
        <w:gridCol w:w="1273"/>
        <w:gridCol w:w="1480"/>
        <w:gridCol w:w="1442"/>
        <w:gridCol w:w="1174"/>
      </w:tblGrid>
      <w:tr w:rsidR="00EB5282" w:rsidRPr="00EB5282" w14:paraId="7A51A987" w14:textId="77777777" w:rsidTr="0047330E">
        <w:trPr>
          <w:cantSplit/>
          <w:trHeight w:val="900"/>
          <w:tblHeader/>
          <w:jc w:val="center"/>
        </w:trPr>
        <w:tc>
          <w:tcPr>
            <w:tcW w:w="901" w:type="pct"/>
            <w:shd w:val="clear" w:color="auto" w:fill="54575A" w:themeFill="text1"/>
            <w:hideMark/>
          </w:tcPr>
          <w:p w14:paraId="2F5B8AE3" w14:textId="3CE9104E" w:rsidR="00210D24" w:rsidRPr="00EB5282" w:rsidRDefault="00EB5282" w:rsidP="007E04E5">
            <w:pPr>
              <w:pStyle w:val="TableTitle"/>
              <w:contextualSpacing/>
              <w:rPr>
                <w:rFonts w:cs="Segoe UI Semibold"/>
                <w:color w:val="FFFFFF" w:themeColor="background1"/>
                <w:sz w:val="22"/>
                <w:szCs w:val="22"/>
                <w:lang w:val="en-CA"/>
              </w:rPr>
            </w:pPr>
            <w:r>
              <w:rPr>
                <w:rFonts w:cs="Segoe UI Semibold"/>
                <w:color w:val="FFFFFF" w:themeColor="background1"/>
                <w:sz w:val="22"/>
                <w:szCs w:val="22"/>
                <w:lang w:val="en-CA"/>
              </w:rPr>
              <w:t>Nature of Issue</w:t>
            </w:r>
          </w:p>
        </w:tc>
        <w:tc>
          <w:tcPr>
            <w:tcW w:w="601" w:type="pct"/>
            <w:shd w:val="clear" w:color="auto" w:fill="54575A" w:themeFill="text1"/>
            <w:hideMark/>
          </w:tcPr>
          <w:p w14:paraId="65EBFD3B" w14:textId="77777777" w:rsidR="00210D24" w:rsidRPr="00EB5282" w:rsidRDefault="00210D24" w:rsidP="007E04E5">
            <w:pPr>
              <w:pStyle w:val="TableTitle"/>
              <w:contextualSpacing/>
              <w:rPr>
                <w:rFonts w:cs="Segoe UI Semibold"/>
                <w:color w:val="FFFFFF" w:themeColor="background1"/>
                <w:sz w:val="22"/>
                <w:szCs w:val="22"/>
                <w:lang w:val="en-CA"/>
              </w:rPr>
            </w:pPr>
            <w:r w:rsidRPr="00EB5282">
              <w:rPr>
                <w:rFonts w:cs="Segoe UI Semibold"/>
                <w:color w:val="FFFFFF" w:themeColor="background1"/>
                <w:sz w:val="22"/>
                <w:szCs w:val="22"/>
                <w:lang w:val="en-CA"/>
              </w:rPr>
              <w:t>Cases Received</w:t>
            </w:r>
          </w:p>
        </w:tc>
        <w:tc>
          <w:tcPr>
            <w:tcW w:w="832" w:type="pct"/>
            <w:shd w:val="clear" w:color="auto" w:fill="54575A" w:themeFill="text1"/>
            <w:hideMark/>
          </w:tcPr>
          <w:p w14:paraId="295EA750" w14:textId="77777777" w:rsidR="00210D24" w:rsidRPr="00EB5282" w:rsidRDefault="00210D24" w:rsidP="007E04E5">
            <w:pPr>
              <w:pStyle w:val="TableTitle"/>
              <w:contextualSpacing/>
              <w:rPr>
                <w:rFonts w:cs="Segoe UI Semibold"/>
                <w:color w:val="FFFFFF" w:themeColor="background1"/>
                <w:sz w:val="22"/>
                <w:szCs w:val="22"/>
                <w:lang w:val="en-CA"/>
              </w:rPr>
            </w:pPr>
            <w:r w:rsidRPr="00EB5282">
              <w:rPr>
                <w:rFonts w:cs="Segoe UI Semibold"/>
                <w:color w:val="FFFFFF" w:themeColor="background1"/>
                <w:sz w:val="22"/>
                <w:szCs w:val="22"/>
                <w:lang w:val="en-CA"/>
              </w:rPr>
              <w:t>Cases Referred by Organization</w:t>
            </w:r>
          </w:p>
        </w:tc>
        <w:tc>
          <w:tcPr>
            <w:tcW w:w="632" w:type="pct"/>
            <w:shd w:val="clear" w:color="auto" w:fill="54575A" w:themeFill="text1"/>
            <w:hideMark/>
          </w:tcPr>
          <w:p w14:paraId="2F456A9A" w14:textId="77777777" w:rsidR="00210D24" w:rsidRPr="00EB5282" w:rsidRDefault="00210D24" w:rsidP="007E04E5">
            <w:pPr>
              <w:pStyle w:val="TableTitle"/>
              <w:contextualSpacing/>
              <w:rPr>
                <w:rFonts w:cs="Segoe UI Semibold"/>
                <w:color w:val="FFFFFF" w:themeColor="background1"/>
                <w:sz w:val="22"/>
                <w:szCs w:val="22"/>
                <w:lang w:val="en-CA"/>
              </w:rPr>
            </w:pPr>
            <w:r w:rsidRPr="00EB5282">
              <w:rPr>
                <w:rFonts w:cs="Segoe UI Semibold"/>
                <w:color w:val="FFFFFF" w:themeColor="background1"/>
                <w:sz w:val="22"/>
                <w:szCs w:val="22"/>
                <w:lang w:val="en-CA"/>
              </w:rPr>
              <w:t>Closed - Not Accepted</w:t>
            </w:r>
          </w:p>
        </w:tc>
        <w:tc>
          <w:tcPr>
            <w:tcW w:w="735" w:type="pct"/>
            <w:shd w:val="clear" w:color="auto" w:fill="54575A" w:themeFill="text1"/>
            <w:hideMark/>
          </w:tcPr>
          <w:p w14:paraId="151754D0" w14:textId="77777777" w:rsidR="00210D24" w:rsidRPr="00EB5282" w:rsidRDefault="00210D24" w:rsidP="007E04E5">
            <w:pPr>
              <w:pStyle w:val="TableTitle"/>
              <w:contextualSpacing/>
              <w:rPr>
                <w:rFonts w:cs="Segoe UI Semibold"/>
                <w:color w:val="FFFFFF" w:themeColor="background1"/>
                <w:sz w:val="22"/>
                <w:szCs w:val="22"/>
                <w:lang w:val="en-CA"/>
              </w:rPr>
            </w:pPr>
            <w:r w:rsidRPr="00EB5282">
              <w:rPr>
                <w:rFonts w:cs="Segoe UI Semibold"/>
                <w:color w:val="FFFFFF" w:themeColor="background1"/>
                <w:sz w:val="22"/>
                <w:szCs w:val="22"/>
                <w:lang w:val="en-CA"/>
              </w:rPr>
              <w:t>Completed Unfounded</w:t>
            </w:r>
          </w:p>
        </w:tc>
        <w:tc>
          <w:tcPr>
            <w:tcW w:w="716" w:type="pct"/>
            <w:shd w:val="clear" w:color="auto" w:fill="54575A" w:themeFill="text1"/>
            <w:hideMark/>
          </w:tcPr>
          <w:p w14:paraId="3B1D7240" w14:textId="77777777" w:rsidR="00210D24" w:rsidRPr="00EB5282" w:rsidRDefault="00210D24" w:rsidP="007E04E5">
            <w:pPr>
              <w:pStyle w:val="TableTitle"/>
              <w:contextualSpacing/>
              <w:rPr>
                <w:rFonts w:cs="Segoe UI Semibold"/>
                <w:color w:val="FFFFFF" w:themeColor="background1"/>
                <w:sz w:val="22"/>
                <w:szCs w:val="22"/>
                <w:lang w:val="en-CA"/>
              </w:rPr>
            </w:pPr>
            <w:r w:rsidRPr="00EB5282">
              <w:rPr>
                <w:rFonts w:cs="Segoe UI Semibold"/>
                <w:color w:val="FFFFFF" w:themeColor="background1"/>
                <w:sz w:val="22"/>
                <w:szCs w:val="22"/>
                <w:lang w:val="en-CA"/>
              </w:rPr>
              <w:t>Completed Founded</w:t>
            </w:r>
          </w:p>
        </w:tc>
        <w:tc>
          <w:tcPr>
            <w:tcW w:w="583" w:type="pct"/>
            <w:shd w:val="clear" w:color="auto" w:fill="54575A" w:themeFill="text1"/>
            <w:hideMark/>
          </w:tcPr>
          <w:p w14:paraId="73B4CE0C" w14:textId="77777777" w:rsidR="00210D24" w:rsidRPr="00EB5282" w:rsidRDefault="00210D24" w:rsidP="007E04E5">
            <w:pPr>
              <w:pStyle w:val="TableTitle"/>
              <w:contextualSpacing/>
              <w:rPr>
                <w:rFonts w:cs="Segoe UI Semibold"/>
                <w:color w:val="FFFFFF" w:themeColor="background1"/>
                <w:sz w:val="22"/>
                <w:szCs w:val="22"/>
                <w:lang w:val="en-CA"/>
              </w:rPr>
            </w:pPr>
            <w:r w:rsidRPr="00EB5282">
              <w:rPr>
                <w:rFonts w:cs="Segoe UI Semibold"/>
                <w:color w:val="FFFFFF" w:themeColor="background1"/>
                <w:sz w:val="22"/>
                <w:szCs w:val="22"/>
                <w:lang w:val="en-CA"/>
              </w:rPr>
              <w:t>Ongoing</w:t>
            </w:r>
          </w:p>
        </w:tc>
      </w:tr>
      <w:tr w:rsidR="00EB5282" w:rsidRPr="00EB5282" w14:paraId="08BC0C8C" w14:textId="77777777" w:rsidTr="0047330E">
        <w:trPr>
          <w:cantSplit/>
          <w:trHeight w:val="600"/>
          <w:tblHeader/>
          <w:jc w:val="center"/>
        </w:trPr>
        <w:tc>
          <w:tcPr>
            <w:tcW w:w="901" w:type="pct"/>
            <w:shd w:val="clear" w:color="auto" w:fill="54575A" w:themeFill="text1"/>
            <w:hideMark/>
          </w:tcPr>
          <w:p w14:paraId="29E193F5" w14:textId="77777777" w:rsidR="00210D24" w:rsidRPr="00EB5282" w:rsidRDefault="00210D24" w:rsidP="007E04E5">
            <w:pPr>
              <w:pStyle w:val="ListParagraph"/>
              <w:rPr>
                <w:rFonts w:asciiTheme="minorHAnsi" w:hAnsiTheme="minorHAnsi" w:cstheme="minorHAnsi"/>
                <w:color w:val="FFFFFF" w:themeColor="background1"/>
                <w:sz w:val="22"/>
                <w:szCs w:val="22"/>
                <w:lang w:val="en-CA"/>
              </w:rPr>
            </w:pPr>
            <w:r w:rsidRPr="00EB5282">
              <w:rPr>
                <w:rFonts w:asciiTheme="minorHAnsi" w:hAnsiTheme="minorHAnsi" w:cstheme="minorHAnsi"/>
                <w:color w:val="FFFFFF" w:themeColor="background1"/>
                <w:sz w:val="22"/>
                <w:szCs w:val="22"/>
                <w:lang w:val="en-CA"/>
              </w:rPr>
              <w:t>s.66 External Appointments (Merit, Error, Omission, Improper Conduct)</w:t>
            </w:r>
          </w:p>
        </w:tc>
        <w:tc>
          <w:tcPr>
            <w:tcW w:w="601" w:type="pct"/>
            <w:noWrap/>
            <w:hideMark/>
          </w:tcPr>
          <w:p w14:paraId="4DF5F7D8"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c>
          <w:tcPr>
            <w:tcW w:w="832" w:type="pct"/>
            <w:noWrap/>
            <w:hideMark/>
          </w:tcPr>
          <w:p w14:paraId="7031EB23"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c>
          <w:tcPr>
            <w:tcW w:w="632" w:type="pct"/>
            <w:noWrap/>
            <w:hideMark/>
          </w:tcPr>
          <w:p w14:paraId="46169D78"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c>
          <w:tcPr>
            <w:tcW w:w="735" w:type="pct"/>
            <w:noWrap/>
            <w:hideMark/>
          </w:tcPr>
          <w:p w14:paraId="6CA3D2E4"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16" w:type="pct"/>
            <w:noWrap/>
            <w:hideMark/>
          </w:tcPr>
          <w:p w14:paraId="63DE6DE9"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583" w:type="pct"/>
            <w:noWrap/>
            <w:hideMark/>
          </w:tcPr>
          <w:p w14:paraId="672B71DD"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r>
      <w:tr w:rsidR="00EB5282" w:rsidRPr="00EB5282" w14:paraId="24A9DB89" w14:textId="77777777" w:rsidTr="0047330E">
        <w:trPr>
          <w:cantSplit/>
          <w:trHeight w:val="600"/>
          <w:tblHeader/>
          <w:jc w:val="center"/>
        </w:trPr>
        <w:tc>
          <w:tcPr>
            <w:tcW w:w="901" w:type="pct"/>
            <w:shd w:val="clear" w:color="auto" w:fill="54575A" w:themeFill="text1"/>
            <w:hideMark/>
          </w:tcPr>
          <w:p w14:paraId="313A017F" w14:textId="77777777" w:rsidR="00210D24" w:rsidRPr="00EB5282" w:rsidRDefault="00210D24" w:rsidP="007E04E5">
            <w:pPr>
              <w:pStyle w:val="ListParagraph"/>
              <w:rPr>
                <w:rFonts w:asciiTheme="minorHAnsi" w:hAnsiTheme="minorHAnsi" w:cstheme="minorHAnsi"/>
                <w:color w:val="FFFFFF" w:themeColor="background1"/>
                <w:sz w:val="22"/>
                <w:szCs w:val="22"/>
                <w:lang w:val="en-CA"/>
              </w:rPr>
            </w:pPr>
            <w:r w:rsidRPr="00EB5282">
              <w:rPr>
                <w:rFonts w:asciiTheme="minorHAnsi" w:hAnsiTheme="minorHAnsi" w:cstheme="minorHAnsi"/>
                <w:color w:val="FFFFFF" w:themeColor="background1"/>
                <w:sz w:val="22"/>
                <w:szCs w:val="22"/>
                <w:lang w:val="en-CA"/>
              </w:rPr>
              <w:t>s.67.2 Internal Appointment - Deputy Head Request</w:t>
            </w:r>
          </w:p>
        </w:tc>
        <w:tc>
          <w:tcPr>
            <w:tcW w:w="601" w:type="pct"/>
            <w:noWrap/>
            <w:hideMark/>
          </w:tcPr>
          <w:p w14:paraId="1958262D"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832" w:type="pct"/>
            <w:noWrap/>
            <w:hideMark/>
          </w:tcPr>
          <w:p w14:paraId="65BD594C"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632" w:type="pct"/>
            <w:noWrap/>
            <w:hideMark/>
          </w:tcPr>
          <w:p w14:paraId="2C17A75B"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35" w:type="pct"/>
            <w:noWrap/>
            <w:hideMark/>
          </w:tcPr>
          <w:p w14:paraId="227C135F"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16" w:type="pct"/>
            <w:noWrap/>
            <w:hideMark/>
          </w:tcPr>
          <w:p w14:paraId="0CFFD7AA"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583" w:type="pct"/>
            <w:noWrap/>
            <w:hideMark/>
          </w:tcPr>
          <w:p w14:paraId="4E01586B"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r>
      <w:tr w:rsidR="00EB5282" w:rsidRPr="00EB5282" w14:paraId="4FD86BD0" w14:textId="77777777" w:rsidTr="0047330E">
        <w:trPr>
          <w:cantSplit/>
          <w:trHeight w:val="300"/>
          <w:tblHeader/>
          <w:jc w:val="center"/>
        </w:trPr>
        <w:tc>
          <w:tcPr>
            <w:tcW w:w="901" w:type="pct"/>
            <w:shd w:val="clear" w:color="auto" w:fill="54575A" w:themeFill="text1"/>
            <w:hideMark/>
          </w:tcPr>
          <w:p w14:paraId="2357E85E" w14:textId="77777777" w:rsidR="00210D24" w:rsidRPr="00EB5282" w:rsidRDefault="00210D24" w:rsidP="007E04E5">
            <w:pPr>
              <w:pStyle w:val="ListParagraph"/>
              <w:rPr>
                <w:rFonts w:asciiTheme="minorHAnsi" w:hAnsiTheme="minorHAnsi" w:cstheme="minorHAnsi"/>
                <w:color w:val="FFFFFF" w:themeColor="background1"/>
                <w:sz w:val="22"/>
                <w:szCs w:val="22"/>
                <w:lang w:val="en-CA"/>
              </w:rPr>
            </w:pPr>
            <w:r w:rsidRPr="00EB5282">
              <w:rPr>
                <w:rFonts w:asciiTheme="minorHAnsi" w:hAnsiTheme="minorHAnsi" w:cstheme="minorHAnsi"/>
                <w:color w:val="FFFFFF" w:themeColor="background1"/>
                <w:sz w:val="22"/>
                <w:szCs w:val="22"/>
                <w:lang w:val="en-CA"/>
              </w:rPr>
              <w:t>s.68 Political Influence</w:t>
            </w:r>
          </w:p>
        </w:tc>
        <w:tc>
          <w:tcPr>
            <w:tcW w:w="601" w:type="pct"/>
            <w:noWrap/>
            <w:hideMark/>
          </w:tcPr>
          <w:p w14:paraId="7E7A3091"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832" w:type="pct"/>
            <w:noWrap/>
            <w:hideMark/>
          </w:tcPr>
          <w:p w14:paraId="30A62363"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632" w:type="pct"/>
            <w:noWrap/>
            <w:hideMark/>
          </w:tcPr>
          <w:p w14:paraId="70A8586A"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35" w:type="pct"/>
            <w:noWrap/>
            <w:hideMark/>
          </w:tcPr>
          <w:p w14:paraId="0554D758"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16" w:type="pct"/>
            <w:noWrap/>
            <w:hideMark/>
          </w:tcPr>
          <w:p w14:paraId="22D5EFC3"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583" w:type="pct"/>
            <w:noWrap/>
            <w:hideMark/>
          </w:tcPr>
          <w:p w14:paraId="045BC670"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r>
      <w:tr w:rsidR="00EB5282" w:rsidRPr="00EB5282" w14:paraId="554EB864" w14:textId="77777777" w:rsidTr="0047330E">
        <w:trPr>
          <w:cantSplit/>
          <w:trHeight w:val="300"/>
          <w:tblHeader/>
          <w:jc w:val="center"/>
        </w:trPr>
        <w:tc>
          <w:tcPr>
            <w:tcW w:w="901" w:type="pct"/>
            <w:shd w:val="clear" w:color="auto" w:fill="54575A" w:themeFill="text1"/>
            <w:hideMark/>
          </w:tcPr>
          <w:p w14:paraId="3CACDC16" w14:textId="77777777" w:rsidR="00210D24" w:rsidRPr="00EB5282" w:rsidRDefault="00210D24" w:rsidP="007E04E5">
            <w:pPr>
              <w:pStyle w:val="ListParagraph"/>
              <w:rPr>
                <w:rFonts w:asciiTheme="minorHAnsi" w:hAnsiTheme="minorHAnsi" w:cstheme="minorHAnsi"/>
                <w:color w:val="FFFFFF" w:themeColor="background1"/>
                <w:sz w:val="22"/>
                <w:szCs w:val="22"/>
                <w:lang w:val="en-CA"/>
              </w:rPr>
            </w:pPr>
            <w:r w:rsidRPr="00EB5282">
              <w:rPr>
                <w:rFonts w:asciiTheme="minorHAnsi" w:hAnsiTheme="minorHAnsi" w:cstheme="minorHAnsi"/>
                <w:color w:val="FFFFFF" w:themeColor="background1"/>
                <w:sz w:val="22"/>
                <w:szCs w:val="22"/>
                <w:lang w:val="en-CA"/>
              </w:rPr>
              <w:t>s.69 Fraud</w:t>
            </w:r>
          </w:p>
        </w:tc>
        <w:tc>
          <w:tcPr>
            <w:tcW w:w="601" w:type="pct"/>
            <w:noWrap/>
            <w:hideMark/>
          </w:tcPr>
          <w:p w14:paraId="4E840372"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c>
          <w:tcPr>
            <w:tcW w:w="832" w:type="pct"/>
            <w:noWrap/>
            <w:hideMark/>
          </w:tcPr>
          <w:p w14:paraId="398502E2"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632" w:type="pct"/>
            <w:noWrap/>
            <w:hideMark/>
          </w:tcPr>
          <w:p w14:paraId="3ECC631B"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35" w:type="pct"/>
            <w:noWrap/>
            <w:hideMark/>
          </w:tcPr>
          <w:p w14:paraId="4202D5D4"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16" w:type="pct"/>
            <w:noWrap/>
            <w:hideMark/>
          </w:tcPr>
          <w:p w14:paraId="01D209C0"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583" w:type="pct"/>
            <w:noWrap/>
            <w:hideMark/>
          </w:tcPr>
          <w:p w14:paraId="71CCB528"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r>
      <w:tr w:rsidR="00EB5282" w:rsidRPr="00EB5282" w14:paraId="2994181B" w14:textId="77777777" w:rsidTr="0047330E">
        <w:trPr>
          <w:cantSplit/>
          <w:trHeight w:val="600"/>
          <w:tblHeader/>
          <w:jc w:val="center"/>
        </w:trPr>
        <w:tc>
          <w:tcPr>
            <w:tcW w:w="901" w:type="pct"/>
            <w:shd w:val="clear" w:color="auto" w:fill="54575A" w:themeFill="text1"/>
            <w:hideMark/>
          </w:tcPr>
          <w:p w14:paraId="4804C4A5" w14:textId="77777777" w:rsidR="00210D24" w:rsidRPr="00EB5282" w:rsidRDefault="00210D24" w:rsidP="007E04E5">
            <w:pPr>
              <w:pStyle w:val="ListParagraph"/>
              <w:rPr>
                <w:rFonts w:asciiTheme="minorHAnsi" w:hAnsiTheme="minorHAnsi" w:cstheme="minorHAnsi"/>
                <w:color w:val="FFFFFF" w:themeColor="background1"/>
                <w:sz w:val="22"/>
                <w:szCs w:val="22"/>
                <w:lang w:val="en-CA"/>
              </w:rPr>
            </w:pPr>
            <w:r w:rsidRPr="00EB5282">
              <w:rPr>
                <w:rFonts w:asciiTheme="minorHAnsi" w:hAnsiTheme="minorHAnsi" w:cstheme="minorHAnsi"/>
                <w:color w:val="FFFFFF" w:themeColor="background1"/>
                <w:sz w:val="22"/>
                <w:szCs w:val="22"/>
                <w:lang w:val="en-CA"/>
              </w:rPr>
              <w:t>s.118 Improper Political Activities - Employees</w:t>
            </w:r>
          </w:p>
        </w:tc>
        <w:tc>
          <w:tcPr>
            <w:tcW w:w="601" w:type="pct"/>
            <w:noWrap/>
            <w:hideMark/>
          </w:tcPr>
          <w:p w14:paraId="79F8D27E"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832" w:type="pct"/>
            <w:noWrap/>
            <w:hideMark/>
          </w:tcPr>
          <w:p w14:paraId="59B022D5"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632" w:type="pct"/>
            <w:noWrap/>
            <w:hideMark/>
          </w:tcPr>
          <w:p w14:paraId="55353758"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35" w:type="pct"/>
            <w:noWrap/>
            <w:hideMark/>
          </w:tcPr>
          <w:p w14:paraId="75990F5F"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16" w:type="pct"/>
            <w:noWrap/>
            <w:hideMark/>
          </w:tcPr>
          <w:p w14:paraId="0BEF98A4"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583" w:type="pct"/>
            <w:noWrap/>
            <w:hideMark/>
          </w:tcPr>
          <w:p w14:paraId="01BF7910"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r>
      <w:tr w:rsidR="00EB5282" w:rsidRPr="00EB5282" w14:paraId="7F5C37E5" w14:textId="77777777" w:rsidTr="0047330E">
        <w:trPr>
          <w:cantSplit/>
          <w:trHeight w:val="300"/>
          <w:tblHeader/>
          <w:jc w:val="center"/>
        </w:trPr>
        <w:tc>
          <w:tcPr>
            <w:tcW w:w="901" w:type="pct"/>
            <w:shd w:val="clear" w:color="auto" w:fill="54575A" w:themeFill="text1"/>
            <w:hideMark/>
          </w:tcPr>
          <w:p w14:paraId="316D8D9E" w14:textId="77777777" w:rsidR="00210D24" w:rsidRPr="00EB5282" w:rsidRDefault="00210D24" w:rsidP="007E04E5">
            <w:pPr>
              <w:pStyle w:val="ListParagraph"/>
              <w:rPr>
                <w:rFonts w:asciiTheme="minorHAnsi" w:hAnsiTheme="minorHAnsi" w:cstheme="minorHAnsi"/>
                <w:color w:val="FFFFFF" w:themeColor="background1"/>
                <w:sz w:val="22"/>
                <w:szCs w:val="22"/>
                <w:lang w:val="en-CA"/>
              </w:rPr>
            </w:pPr>
            <w:r w:rsidRPr="00EB5282">
              <w:rPr>
                <w:rFonts w:asciiTheme="minorHAnsi" w:hAnsiTheme="minorHAnsi" w:cstheme="minorHAnsi"/>
                <w:color w:val="FFFFFF" w:themeColor="background1"/>
                <w:sz w:val="22"/>
                <w:szCs w:val="22"/>
                <w:lang w:val="en-CA"/>
              </w:rPr>
              <w:t>Total</w:t>
            </w:r>
          </w:p>
        </w:tc>
        <w:tc>
          <w:tcPr>
            <w:tcW w:w="601" w:type="pct"/>
            <w:noWrap/>
            <w:hideMark/>
          </w:tcPr>
          <w:p w14:paraId="52DEADA8"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2</w:t>
            </w:r>
          </w:p>
        </w:tc>
        <w:tc>
          <w:tcPr>
            <w:tcW w:w="832" w:type="pct"/>
            <w:noWrap/>
            <w:hideMark/>
          </w:tcPr>
          <w:p w14:paraId="43B8D5E8"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c>
          <w:tcPr>
            <w:tcW w:w="632" w:type="pct"/>
            <w:noWrap/>
            <w:hideMark/>
          </w:tcPr>
          <w:p w14:paraId="24F2F0E3"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c>
          <w:tcPr>
            <w:tcW w:w="735" w:type="pct"/>
            <w:noWrap/>
            <w:hideMark/>
          </w:tcPr>
          <w:p w14:paraId="170FF282"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716" w:type="pct"/>
            <w:noWrap/>
            <w:hideMark/>
          </w:tcPr>
          <w:p w14:paraId="59D727FD"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0</w:t>
            </w:r>
          </w:p>
        </w:tc>
        <w:tc>
          <w:tcPr>
            <w:tcW w:w="583" w:type="pct"/>
            <w:noWrap/>
            <w:hideMark/>
          </w:tcPr>
          <w:p w14:paraId="2E25E8AE" w14:textId="77777777" w:rsidR="00210D24" w:rsidRPr="00EB5282" w:rsidRDefault="00210D24" w:rsidP="007E04E5">
            <w:pPr>
              <w:pStyle w:val="ListParagraph"/>
              <w:rPr>
                <w:rFonts w:asciiTheme="minorHAnsi" w:hAnsiTheme="minorHAnsi" w:cstheme="minorHAnsi"/>
                <w:sz w:val="22"/>
                <w:szCs w:val="22"/>
                <w:lang w:val="en-CA"/>
              </w:rPr>
            </w:pPr>
            <w:r w:rsidRPr="00EB5282">
              <w:rPr>
                <w:rFonts w:asciiTheme="minorHAnsi" w:hAnsiTheme="minorHAnsi" w:cstheme="minorHAnsi"/>
                <w:sz w:val="22"/>
                <w:szCs w:val="22"/>
                <w:lang w:val="en-CA"/>
              </w:rPr>
              <w:t>1</w:t>
            </w:r>
          </w:p>
        </w:tc>
      </w:tr>
    </w:tbl>
    <w:p w14:paraId="0FD9407C" w14:textId="77777777" w:rsidR="00210D24" w:rsidRPr="00EB5282" w:rsidRDefault="00210D24" w:rsidP="00EB5282">
      <w:pPr>
        <w:pStyle w:val="ListParagraph"/>
        <w:spacing w:after="0"/>
        <w:rPr>
          <w:rFonts w:asciiTheme="minorHAnsi" w:hAnsiTheme="minorHAnsi" w:cstheme="minorHAnsi"/>
          <w:sz w:val="22"/>
          <w:szCs w:val="22"/>
          <w:lang w:val="en-CA"/>
        </w:rPr>
      </w:pPr>
      <w:r w:rsidRPr="00EB5282">
        <w:rPr>
          <w:rFonts w:asciiTheme="minorHAnsi" w:hAnsiTheme="minorHAnsi" w:cstheme="minorHAnsi"/>
          <w:sz w:val="22"/>
          <w:szCs w:val="22"/>
          <w:lang w:val="en-CA"/>
        </w:rPr>
        <w:t>Note: The numbers may not add up as discontinued cases, cases resolved via early intervention and rare cases (s.119, s.67.1) are not included in this table.</w:t>
      </w:r>
    </w:p>
    <w:p w14:paraId="1C8B84EE" w14:textId="77777777" w:rsidR="00210D24" w:rsidRPr="00EB5282" w:rsidRDefault="00210D24" w:rsidP="00EB5282">
      <w:pPr>
        <w:pStyle w:val="ListParagraph"/>
        <w:spacing w:after="120"/>
        <w:rPr>
          <w:rFonts w:asciiTheme="minorHAnsi" w:hAnsiTheme="minorHAnsi" w:cstheme="minorHAnsi"/>
          <w:sz w:val="22"/>
          <w:szCs w:val="22"/>
          <w:lang w:val="en-CA"/>
        </w:rPr>
      </w:pPr>
      <w:r w:rsidRPr="00EB5282">
        <w:rPr>
          <w:rFonts w:asciiTheme="minorHAnsi" w:hAnsiTheme="minorHAnsi" w:cstheme="minorHAnsi"/>
          <w:sz w:val="22"/>
          <w:szCs w:val="22"/>
          <w:lang w:val="en-CA"/>
        </w:rPr>
        <w:t xml:space="preserve">Note: Each column is an independent calculation of the others. Cases received are cases received in the </w:t>
      </w:r>
      <w:proofErr w:type="gramStart"/>
      <w:r w:rsidRPr="00EB5282">
        <w:rPr>
          <w:rFonts w:asciiTheme="minorHAnsi" w:hAnsiTheme="minorHAnsi" w:cstheme="minorHAnsi"/>
          <w:sz w:val="22"/>
          <w:szCs w:val="22"/>
          <w:lang w:val="en-CA"/>
        </w:rPr>
        <w:t>time period</w:t>
      </w:r>
      <w:proofErr w:type="gramEnd"/>
      <w:r w:rsidRPr="00EB5282">
        <w:rPr>
          <w:rFonts w:asciiTheme="minorHAnsi" w:hAnsiTheme="minorHAnsi" w:cstheme="minorHAnsi"/>
          <w:sz w:val="22"/>
          <w:szCs w:val="22"/>
          <w:lang w:val="en-CA"/>
        </w:rPr>
        <w:t>, cases completed are those completed in the period, not necessarily cases completed out of those received.</w:t>
      </w:r>
    </w:p>
    <w:p w14:paraId="0D578CAC" w14:textId="77777777" w:rsidR="00753DD5" w:rsidRPr="00264AD9" w:rsidRDefault="00753DD5" w:rsidP="008D0AC6">
      <w:pPr>
        <w:pStyle w:val="Heading2"/>
        <w:spacing w:after="120"/>
        <w:rPr>
          <w:u w:val="single"/>
          <w:lang w:val="en-CA"/>
        </w:rPr>
      </w:pPr>
      <w:r w:rsidRPr="00264AD9">
        <w:rPr>
          <w:lang w:val="en-CA"/>
        </w:rPr>
        <w:t>Staffing and Non-Partisanship Survey Results</w:t>
      </w:r>
    </w:p>
    <w:p w14:paraId="72BC507D" w14:textId="7404C835" w:rsidR="00AC4C15" w:rsidRPr="008D0AC6" w:rsidRDefault="00AC4C15" w:rsidP="008D0AC6">
      <w:pPr>
        <w:spacing w:after="120"/>
        <w:rPr>
          <w:rFonts w:asciiTheme="minorHAnsi" w:eastAsia="Calibri" w:hAnsiTheme="minorHAnsi" w:cstheme="minorHAnsi"/>
          <w:color w:val="000000"/>
          <w:sz w:val="22"/>
          <w:szCs w:val="22"/>
          <w:lang w:val="en-CA"/>
        </w:rPr>
      </w:pPr>
      <w:r w:rsidRPr="008D0AC6">
        <w:rPr>
          <w:rFonts w:asciiTheme="minorHAnsi" w:hAnsiTheme="minorHAnsi" w:cstheme="minorHAnsi"/>
          <w:sz w:val="22"/>
          <w:szCs w:val="22"/>
          <w:lang w:val="en-CA" w:eastAsia="en-CA"/>
        </w:rPr>
        <w:t xml:space="preserve">Overall, </w:t>
      </w:r>
      <w:r w:rsidR="00CD547E" w:rsidRPr="008D0AC6">
        <w:rPr>
          <w:rFonts w:asciiTheme="minorHAnsi" w:hAnsiTheme="minorHAnsi" w:cstheme="minorHAnsi"/>
          <w:sz w:val="22"/>
          <w:szCs w:val="22"/>
          <w:lang w:val="en-CA" w:eastAsia="en-CA"/>
        </w:rPr>
        <w:t xml:space="preserve">the </w:t>
      </w:r>
      <w:r w:rsidRPr="008D0AC6">
        <w:rPr>
          <w:rFonts w:asciiTheme="minorHAnsi" w:hAnsiTheme="minorHAnsi" w:cstheme="minorHAnsi"/>
          <w:sz w:val="22"/>
          <w:szCs w:val="22"/>
          <w:lang w:val="en-CA" w:eastAsia="en-CA"/>
        </w:rPr>
        <w:t xml:space="preserve">CER’s </w:t>
      </w:r>
      <w:proofErr w:type="gramStart"/>
      <w:r w:rsidRPr="008D0AC6">
        <w:rPr>
          <w:rFonts w:asciiTheme="minorHAnsi" w:hAnsiTheme="minorHAnsi" w:cstheme="minorHAnsi"/>
          <w:sz w:val="22"/>
          <w:szCs w:val="22"/>
          <w:lang w:val="en-CA" w:eastAsia="en-CA"/>
        </w:rPr>
        <w:t>Staffing</w:t>
      </w:r>
      <w:proofErr w:type="gramEnd"/>
      <w:r w:rsidRPr="008D0AC6">
        <w:rPr>
          <w:rFonts w:asciiTheme="minorHAnsi" w:hAnsiTheme="minorHAnsi" w:cstheme="minorHAnsi"/>
          <w:sz w:val="22"/>
          <w:szCs w:val="22"/>
          <w:lang w:val="en-CA" w:eastAsia="en-CA"/>
        </w:rPr>
        <w:t xml:space="preserve"> and Non-Partisanship Survey (SNPS) results </w:t>
      </w:r>
      <w:r w:rsidRPr="008D0AC6">
        <w:rPr>
          <w:rFonts w:asciiTheme="minorHAnsi" w:eastAsia="Calibri" w:hAnsiTheme="minorHAnsi" w:cstheme="minorHAnsi"/>
          <w:color w:val="000000"/>
          <w:sz w:val="22"/>
          <w:szCs w:val="22"/>
          <w:lang w:val="en-CA"/>
        </w:rPr>
        <w:t>are ge</w:t>
      </w:r>
      <w:r w:rsidR="00561F51" w:rsidRPr="008D0AC6">
        <w:rPr>
          <w:rFonts w:asciiTheme="minorHAnsi" w:eastAsia="Calibri" w:hAnsiTheme="minorHAnsi" w:cstheme="minorHAnsi"/>
          <w:color w:val="000000"/>
          <w:sz w:val="22"/>
          <w:szCs w:val="22"/>
          <w:lang w:val="en-CA"/>
        </w:rPr>
        <w:t xml:space="preserve">nerally comparable </w:t>
      </w:r>
      <w:r w:rsidR="006039A6" w:rsidRPr="008D0AC6">
        <w:rPr>
          <w:rFonts w:asciiTheme="minorHAnsi" w:eastAsia="Calibri" w:hAnsiTheme="minorHAnsi" w:cstheme="minorHAnsi"/>
          <w:color w:val="000000"/>
          <w:sz w:val="22"/>
          <w:szCs w:val="22"/>
          <w:lang w:val="en-CA"/>
        </w:rPr>
        <w:t>to</w:t>
      </w:r>
      <w:r w:rsidRPr="008D0AC6">
        <w:rPr>
          <w:rFonts w:asciiTheme="minorHAnsi" w:eastAsia="Calibri" w:hAnsiTheme="minorHAnsi" w:cstheme="minorHAnsi"/>
          <w:color w:val="000000"/>
          <w:sz w:val="22"/>
          <w:szCs w:val="22"/>
          <w:lang w:val="en-CA"/>
        </w:rPr>
        <w:t xml:space="preserve"> public service-wide results</w:t>
      </w:r>
      <w:r w:rsidR="00561F51" w:rsidRPr="008D0AC6">
        <w:rPr>
          <w:rFonts w:asciiTheme="minorHAnsi" w:eastAsia="Calibri" w:hAnsiTheme="minorHAnsi" w:cstheme="minorHAnsi"/>
          <w:color w:val="000000"/>
          <w:sz w:val="22"/>
          <w:szCs w:val="22"/>
          <w:lang w:val="en-CA"/>
        </w:rPr>
        <w:t xml:space="preserve"> and</w:t>
      </w:r>
      <w:r w:rsidRPr="008D0AC6">
        <w:rPr>
          <w:rFonts w:asciiTheme="minorHAnsi" w:eastAsia="Calibri" w:hAnsiTheme="minorHAnsi" w:cstheme="minorHAnsi"/>
          <w:color w:val="000000"/>
          <w:sz w:val="22"/>
          <w:szCs w:val="22"/>
          <w:lang w:val="en-CA"/>
        </w:rPr>
        <w:t xml:space="preserve"> </w:t>
      </w:r>
      <w:r w:rsidR="007812F1" w:rsidRPr="008D0AC6">
        <w:rPr>
          <w:rFonts w:asciiTheme="minorHAnsi" w:eastAsia="Calibri" w:hAnsiTheme="minorHAnsi" w:cstheme="minorHAnsi"/>
          <w:color w:val="000000"/>
          <w:sz w:val="22"/>
          <w:szCs w:val="22"/>
          <w:lang w:val="en-CA"/>
        </w:rPr>
        <w:t xml:space="preserve">to those of </w:t>
      </w:r>
      <w:r w:rsidRPr="008D0AC6">
        <w:rPr>
          <w:rFonts w:asciiTheme="minorHAnsi" w:hAnsiTheme="minorHAnsi" w:cstheme="minorHAnsi"/>
          <w:sz w:val="22"/>
          <w:szCs w:val="22"/>
          <w:lang w:val="en-CA" w:eastAsia="en-CA"/>
        </w:rPr>
        <w:t>other similar-sized organizations (i.e. small)</w:t>
      </w:r>
      <w:r w:rsidR="00561F51" w:rsidRPr="008D0AC6">
        <w:rPr>
          <w:rFonts w:asciiTheme="minorHAnsi" w:hAnsiTheme="minorHAnsi" w:cstheme="minorHAnsi"/>
          <w:sz w:val="22"/>
          <w:szCs w:val="22"/>
          <w:lang w:val="en-CA" w:eastAsia="en-CA"/>
        </w:rPr>
        <w:t>, with some notable exceptions</w:t>
      </w:r>
      <w:r w:rsidRPr="008D0AC6">
        <w:rPr>
          <w:rFonts w:asciiTheme="minorHAnsi" w:hAnsiTheme="minorHAnsi" w:cstheme="minorHAnsi"/>
          <w:sz w:val="22"/>
          <w:szCs w:val="22"/>
          <w:lang w:val="en-CA" w:eastAsia="en-CA"/>
        </w:rPr>
        <w:t xml:space="preserve">. </w:t>
      </w:r>
      <w:r w:rsidR="00561F51" w:rsidRPr="008D0AC6">
        <w:rPr>
          <w:rFonts w:asciiTheme="minorHAnsi" w:hAnsiTheme="minorHAnsi" w:cstheme="minorHAnsi"/>
          <w:sz w:val="22"/>
          <w:szCs w:val="22"/>
          <w:lang w:val="en-CA" w:eastAsia="en-CA"/>
        </w:rPr>
        <w:t>T</w:t>
      </w:r>
      <w:r w:rsidRPr="008D0AC6">
        <w:rPr>
          <w:rFonts w:asciiTheme="minorHAnsi" w:hAnsiTheme="minorHAnsi" w:cstheme="minorHAnsi"/>
          <w:sz w:val="22"/>
          <w:szCs w:val="22"/>
          <w:lang w:val="en-CA" w:eastAsia="en-CA"/>
        </w:rPr>
        <w:t>he organization did not receive results for questions in the SNPS intended for staffing advisors</w:t>
      </w:r>
      <w:r w:rsidR="00CD547E" w:rsidRPr="008D0AC6">
        <w:rPr>
          <w:rFonts w:asciiTheme="minorHAnsi" w:hAnsiTheme="minorHAnsi" w:cstheme="minorHAnsi"/>
          <w:sz w:val="22"/>
          <w:szCs w:val="22"/>
          <w:lang w:val="en-CA" w:eastAsia="en-CA"/>
        </w:rPr>
        <w:t>, as results were</w:t>
      </w:r>
      <w:r w:rsidRPr="008D0AC6">
        <w:rPr>
          <w:rFonts w:asciiTheme="minorHAnsi" w:hAnsiTheme="minorHAnsi" w:cstheme="minorHAnsi"/>
          <w:sz w:val="22"/>
          <w:szCs w:val="22"/>
          <w:lang w:val="en-CA" w:eastAsia="en-CA"/>
        </w:rPr>
        <w:t xml:space="preserve"> only provid</w:t>
      </w:r>
      <w:r w:rsidR="00561F51" w:rsidRPr="008D0AC6">
        <w:rPr>
          <w:rFonts w:asciiTheme="minorHAnsi" w:hAnsiTheme="minorHAnsi" w:cstheme="minorHAnsi"/>
          <w:sz w:val="22"/>
          <w:szCs w:val="22"/>
          <w:lang w:val="en-CA" w:eastAsia="en-CA"/>
        </w:rPr>
        <w:t>ed for questions with a minimum of</w:t>
      </w:r>
      <w:r w:rsidRPr="008D0AC6">
        <w:rPr>
          <w:rFonts w:asciiTheme="minorHAnsi" w:hAnsiTheme="minorHAnsi" w:cstheme="minorHAnsi"/>
          <w:sz w:val="22"/>
          <w:szCs w:val="22"/>
          <w:lang w:val="en-CA" w:eastAsia="en-CA"/>
        </w:rPr>
        <w:t xml:space="preserve"> 10 respondents.</w:t>
      </w:r>
    </w:p>
    <w:p w14:paraId="28051A7A" w14:textId="56413A12" w:rsidR="00AC4C15" w:rsidRPr="008D0AC6" w:rsidRDefault="00AC4C15" w:rsidP="008D0AC6">
      <w:pPr>
        <w:contextualSpacing/>
        <w:rPr>
          <w:rFonts w:asciiTheme="minorHAnsi" w:eastAsia="Calibri" w:hAnsiTheme="minorHAnsi" w:cstheme="minorHAnsi"/>
          <w:sz w:val="22"/>
          <w:szCs w:val="22"/>
          <w:lang w:val="en-CA"/>
        </w:rPr>
      </w:pPr>
      <w:r w:rsidRPr="008D0AC6">
        <w:rPr>
          <w:rFonts w:asciiTheme="minorHAnsi" w:eastAsia="Calibri" w:hAnsiTheme="minorHAnsi" w:cstheme="minorHAnsi"/>
          <w:sz w:val="22"/>
          <w:szCs w:val="22"/>
          <w:lang w:val="en-CA"/>
        </w:rPr>
        <w:t xml:space="preserve">Below are </w:t>
      </w:r>
      <w:r w:rsidR="00372539" w:rsidRPr="008D0AC6">
        <w:rPr>
          <w:rFonts w:asciiTheme="minorHAnsi" w:eastAsia="Calibri" w:hAnsiTheme="minorHAnsi" w:cstheme="minorHAnsi"/>
          <w:sz w:val="22"/>
          <w:szCs w:val="22"/>
          <w:lang w:val="en-CA"/>
        </w:rPr>
        <w:t xml:space="preserve">some </w:t>
      </w:r>
      <w:r w:rsidRPr="008D0AC6">
        <w:rPr>
          <w:rFonts w:asciiTheme="minorHAnsi" w:eastAsia="Calibri" w:hAnsiTheme="minorHAnsi" w:cstheme="minorHAnsi"/>
          <w:sz w:val="22"/>
          <w:szCs w:val="22"/>
          <w:lang w:val="en-CA"/>
        </w:rPr>
        <w:t xml:space="preserve">key findings from </w:t>
      </w:r>
      <w:r w:rsidR="00372539" w:rsidRPr="008D0AC6">
        <w:rPr>
          <w:rFonts w:asciiTheme="minorHAnsi" w:eastAsia="Calibri" w:hAnsiTheme="minorHAnsi" w:cstheme="minorHAnsi"/>
          <w:sz w:val="22"/>
          <w:szCs w:val="22"/>
          <w:lang w:val="en-CA"/>
        </w:rPr>
        <w:t xml:space="preserve">the </w:t>
      </w:r>
      <w:r w:rsidRPr="008D0AC6">
        <w:rPr>
          <w:rFonts w:asciiTheme="minorHAnsi" w:eastAsia="Calibri" w:hAnsiTheme="minorHAnsi" w:cstheme="minorHAnsi"/>
          <w:sz w:val="22"/>
          <w:szCs w:val="22"/>
          <w:lang w:val="en-CA"/>
        </w:rPr>
        <w:t>CER’s 2018 SNPS results:</w:t>
      </w:r>
    </w:p>
    <w:p w14:paraId="66D5767C" w14:textId="77777777" w:rsidR="00AC4C15" w:rsidRPr="008D0AC6" w:rsidRDefault="00AC4C15" w:rsidP="008D0AC6">
      <w:pPr>
        <w:numPr>
          <w:ilvl w:val="0"/>
          <w:numId w:val="21"/>
        </w:numPr>
        <w:rPr>
          <w:rFonts w:asciiTheme="minorHAnsi" w:eastAsia="Calibri" w:hAnsiTheme="minorHAnsi" w:cstheme="minorHAnsi"/>
          <w:sz w:val="22"/>
          <w:szCs w:val="22"/>
          <w:lang w:val="en-CA" w:eastAsia="en-CA"/>
        </w:rPr>
      </w:pPr>
      <w:r w:rsidRPr="008D0AC6">
        <w:rPr>
          <w:rFonts w:asciiTheme="minorHAnsi" w:eastAsia="Calibri" w:hAnsiTheme="minorHAnsi" w:cstheme="minorHAnsi"/>
          <w:sz w:val="22"/>
          <w:szCs w:val="22"/>
          <w:lang w:val="en-CA" w:eastAsia="en-CA"/>
        </w:rPr>
        <w:t xml:space="preserve">47.9% of </w:t>
      </w:r>
      <w:r w:rsidRPr="008D0AC6">
        <w:rPr>
          <w:rStyle w:val="Strong"/>
          <w:rFonts w:asciiTheme="minorHAnsi" w:eastAsia="Calibri" w:hAnsiTheme="minorHAnsi" w:cstheme="minorHAnsi"/>
          <w:sz w:val="22"/>
          <w:szCs w:val="18"/>
          <w:lang w:val="en-CA"/>
        </w:rPr>
        <w:t>employees</w:t>
      </w:r>
      <w:r w:rsidRPr="008D0AC6">
        <w:rPr>
          <w:rFonts w:asciiTheme="minorHAnsi" w:eastAsia="Calibri" w:hAnsiTheme="minorHAnsi" w:cstheme="minorHAnsi"/>
          <w:sz w:val="22"/>
          <w:szCs w:val="22"/>
          <w:lang w:val="en-CA" w:eastAsia="en-CA"/>
        </w:rPr>
        <w:t xml:space="preserve"> indicated that, in their work units, staffing activities are conducted fairly, as compared to 56.9% in similar size organizations and 46.4% across all organizations in the federal public service.</w:t>
      </w:r>
    </w:p>
    <w:p w14:paraId="62CD7F57" w14:textId="77777777" w:rsidR="00226071" w:rsidRPr="008D0AC6" w:rsidRDefault="00283DF2" w:rsidP="008D0AC6">
      <w:pPr>
        <w:numPr>
          <w:ilvl w:val="0"/>
          <w:numId w:val="21"/>
        </w:numPr>
        <w:rPr>
          <w:rFonts w:asciiTheme="minorHAnsi" w:eastAsia="Calibri" w:hAnsiTheme="minorHAnsi" w:cstheme="minorHAnsi"/>
          <w:sz w:val="22"/>
          <w:szCs w:val="22"/>
          <w:lang w:val="en-CA" w:eastAsia="en-CA"/>
        </w:rPr>
      </w:pPr>
      <w:r w:rsidRPr="008D0AC6">
        <w:rPr>
          <w:rFonts w:asciiTheme="minorHAnsi" w:eastAsia="Calibri" w:hAnsiTheme="minorHAnsi" w:cstheme="minorHAnsi"/>
          <w:sz w:val="22"/>
          <w:szCs w:val="22"/>
          <w:lang w:val="en-CA" w:eastAsia="en-CA"/>
        </w:rPr>
        <w:t xml:space="preserve">58.8% of </w:t>
      </w:r>
      <w:r w:rsidRPr="008D0AC6">
        <w:rPr>
          <w:rStyle w:val="Strong"/>
          <w:rFonts w:asciiTheme="minorHAnsi" w:eastAsia="Calibri" w:hAnsiTheme="minorHAnsi" w:cstheme="minorHAnsi"/>
          <w:sz w:val="22"/>
          <w:szCs w:val="18"/>
          <w:lang w:val="en-CA"/>
        </w:rPr>
        <w:t>employees</w:t>
      </w:r>
      <w:r w:rsidRPr="008D0AC6">
        <w:rPr>
          <w:rFonts w:asciiTheme="minorHAnsi" w:eastAsia="Calibri" w:hAnsiTheme="minorHAnsi" w:cstheme="minorHAnsi"/>
          <w:sz w:val="22"/>
          <w:szCs w:val="22"/>
          <w:lang w:val="en-CA" w:eastAsia="en-CA"/>
        </w:rPr>
        <w:t xml:space="preserve"> agreed that people hired can do the job, compared to 67.1% in organizations of similar size, and 53.8% in the federal public service.</w:t>
      </w:r>
    </w:p>
    <w:p w14:paraId="0E3E4E88" w14:textId="77777777" w:rsidR="00226071" w:rsidRPr="008D0AC6" w:rsidRDefault="00AC4C15" w:rsidP="008D0AC6">
      <w:pPr>
        <w:numPr>
          <w:ilvl w:val="0"/>
          <w:numId w:val="21"/>
        </w:numPr>
        <w:rPr>
          <w:rFonts w:asciiTheme="minorHAnsi" w:eastAsia="Calibri" w:hAnsiTheme="minorHAnsi" w:cstheme="minorHAnsi"/>
          <w:sz w:val="22"/>
          <w:szCs w:val="22"/>
          <w:lang w:val="en-CA" w:eastAsia="en-CA"/>
        </w:rPr>
      </w:pPr>
      <w:r w:rsidRPr="008D0AC6">
        <w:rPr>
          <w:rFonts w:asciiTheme="minorHAnsi" w:eastAsia="Calibri" w:hAnsiTheme="minorHAnsi" w:cstheme="minorHAnsi"/>
          <w:sz w:val="22"/>
          <w:szCs w:val="22"/>
          <w:lang w:val="en-CA" w:eastAsia="en-CA"/>
        </w:rPr>
        <w:lastRenderedPageBreak/>
        <w:t xml:space="preserve">50% of </w:t>
      </w:r>
      <w:r w:rsidRPr="008D0AC6">
        <w:rPr>
          <w:rStyle w:val="Strong"/>
          <w:rFonts w:asciiTheme="minorHAnsi" w:eastAsia="Calibri" w:hAnsiTheme="minorHAnsi" w:cstheme="minorHAnsi"/>
          <w:sz w:val="22"/>
          <w:szCs w:val="18"/>
          <w:lang w:val="en-CA"/>
        </w:rPr>
        <w:t>employees</w:t>
      </w:r>
      <w:r w:rsidRPr="008D0AC6">
        <w:rPr>
          <w:rFonts w:asciiTheme="minorHAnsi" w:eastAsia="Calibri" w:hAnsiTheme="minorHAnsi" w:cstheme="minorHAnsi"/>
          <w:sz w:val="22"/>
          <w:szCs w:val="22"/>
          <w:lang w:val="en-CA" w:eastAsia="en-CA"/>
        </w:rPr>
        <w:t xml:space="preserve"> indicated that, in their work units, appointments depend on who you know, as compared to 45.5% in similar size organizations and 54% across all organizations in the federal public service.</w:t>
      </w:r>
    </w:p>
    <w:p w14:paraId="26CC1FFF" w14:textId="77777777" w:rsidR="00226071" w:rsidRPr="008D0AC6" w:rsidRDefault="00AC4C15" w:rsidP="008D0AC6">
      <w:pPr>
        <w:numPr>
          <w:ilvl w:val="0"/>
          <w:numId w:val="21"/>
        </w:numPr>
        <w:rPr>
          <w:rFonts w:asciiTheme="minorHAnsi" w:eastAsia="Calibri" w:hAnsiTheme="minorHAnsi" w:cstheme="minorHAnsi"/>
          <w:sz w:val="22"/>
          <w:szCs w:val="22"/>
          <w:lang w:val="en-CA" w:eastAsia="en-CA"/>
        </w:rPr>
      </w:pPr>
      <w:r w:rsidRPr="008D0AC6">
        <w:rPr>
          <w:rFonts w:asciiTheme="minorHAnsi" w:eastAsia="Calibri" w:hAnsiTheme="minorHAnsi" w:cstheme="minorHAnsi"/>
          <w:sz w:val="22"/>
          <w:szCs w:val="22"/>
          <w:lang w:val="en-CA" w:eastAsia="en-CA"/>
        </w:rPr>
        <w:t xml:space="preserve">44.3% of </w:t>
      </w:r>
      <w:r w:rsidRPr="008D0AC6">
        <w:rPr>
          <w:rStyle w:val="Strong"/>
          <w:rFonts w:asciiTheme="minorHAnsi" w:eastAsia="Calibri" w:hAnsiTheme="minorHAnsi" w:cstheme="minorHAnsi"/>
          <w:sz w:val="22"/>
          <w:szCs w:val="18"/>
          <w:lang w:val="en-CA"/>
        </w:rPr>
        <w:t xml:space="preserve">employees </w:t>
      </w:r>
      <w:r w:rsidRPr="008D0AC6">
        <w:rPr>
          <w:rFonts w:asciiTheme="minorHAnsi" w:eastAsia="Calibri" w:hAnsiTheme="minorHAnsi" w:cstheme="minorHAnsi"/>
          <w:sz w:val="22"/>
          <w:szCs w:val="22"/>
          <w:lang w:val="en-CA" w:eastAsia="en-CA"/>
        </w:rPr>
        <w:t>indicated that, in their work units, staffing activities are carried out in a transparent way, as compared to 51.3% in similar size organizations and 44.3% across all organizations in the federal public service.</w:t>
      </w:r>
    </w:p>
    <w:p w14:paraId="2603F33D" w14:textId="77777777" w:rsidR="00226071" w:rsidRPr="008D0AC6" w:rsidRDefault="00AC4C15" w:rsidP="008D0AC6">
      <w:pPr>
        <w:numPr>
          <w:ilvl w:val="0"/>
          <w:numId w:val="21"/>
        </w:numPr>
        <w:rPr>
          <w:rFonts w:asciiTheme="minorHAnsi" w:eastAsia="Calibri" w:hAnsiTheme="minorHAnsi" w:cstheme="minorHAnsi"/>
          <w:sz w:val="22"/>
          <w:szCs w:val="22"/>
          <w:lang w:val="en-CA" w:eastAsia="en-CA"/>
        </w:rPr>
      </w:pPr>
      <w:r w:rsidRPr="008D0AC6">
        <w:rPr>
          <w:rFonts w:asciiTheme="minorHAnsi" w:eastAsia="Calibri" w:hAnsiTheme="minorHAnsi" w:cstheme="minorHAnsi"/>
          <w:sz w:val="22"/>
          <w:szCs w:val="22"/>
          <w:lang w:val="en-CA" w:eastAsia="en-CA"/>
        </w:rPr>
        <w:t xml:space="preserve">54.5% of </w:t>
      </w:r>
      <w:r w:rsidRPr="008D0AC6">
        <w:rPr>
          <w:rStyle w:val="Strong"/>
          <w:rFonts w:asciiTheme="minorHAnsi" w:eastAsia="Calibri" w:hAnsiTheme="minorHAnsi" w:cstheme="minorHAnsi"/>
          <w:sz w:val="22"/>
          <w:szCs w:val="18"/>
          <w:lang w:val="en-CA"/>
        </w:rPr>
        <w:t xml:space="preserve">managers </w:t>
      </w:r>
      <w:r w:rsidRPr="008D0AC6">
        <w:rPr>
          <w:rFonts w:asciiTheme="minorHAnsi" w:eastAsia="Calibri" w:hAnsiTheme="minorHAnsi" w:cstheme="minorHAnsi"/>
          <w:sz w:val="22"/>
          <w:szCs w:val="22"/>
          <w:lang w:val="en-CA" w:eastAsia="en-CA"/>
        </w:rPr>
        <w:t>indicated that they understand the NDS, as compared to 72.8% in similar size organizations and 61.4% across all organizations in the federal public service.</w:t>
      </w:r>
    </w:p>
    <w:p w14:paraId="2DB43051" w14:textId="77777777" w:rsidR="00226071" w:rsidRPr="008D0AC6" w:rsidRDefault="00AC4C15" w:rsidP="008D0AC6">
      <w:pPr>
        <w:numPr>
          <w:ilvl w:val="0"/>
          <w:numId w:val="21"/>
        </w:numPr>
        <w:rPr>
          <w:rFonts w:asciiTheme="minorHAnsi" w:eastAsia="Calibri" w:hAnsiTheme="minorHAnsi" w:cstheme="minorHAnsi"/>
          <w:sz w:val="22"/>
          <w:szCs w:val="22"/>
          <w:lang w:val="en-CA" w:eastAsia="en-CA"/>
        </w:rPr>
      </w:pPr>
      <w:r w:rsidRPr="008D0AC6">
        <w:rPr>
          <w:rFonts w:asciiTheme="minorHAnsi" w:hAnsiTheme="minorHAnsi" w:cstheme="minorHAnsi"/>
          <w:sz w:val="22"/>
          <w:szCs w:val="22"/>
          <w:lang w:val="en-CA" w:eastAsia="en-CA"/>
        </w:rPr>
        <w:t xml:space="preserve">50% of </w:t>
      </w:r>
      <w:r w:rsidRPr="008D0AC6">
        <w:rPr>
          <w:rStyle w:val="Strong"/>
          <w:rFonts w:asciiTheme="minorHAnsi" w:hAnsiTheme="minorHAnsi" w:cstheme="minorHAnsi"/>
          <w:sz w:val="22"/>
          <w:szCs w:val="18"/>
          <w:lang w:val="en-CA"/>
        </w:rPr>
        <w:t>managers</w:t>
      </w:r>
      <w:r w:rsidRPr="008D0AC6">
        <w:rPr>
          <w:rFonts w:asciiTheme="minorHAnsi" w:hAnsiTheme="minorHAnsi" w:cstheme="minorHAnsi"/>
          <w:sz w:val="22"/>
          <w:szCs w:val="22"/>
          <w:lang w:val="en-CA" w:eastAsia="en-CA"/>
        </w:rPr>
        <w:t xml:space="preserve"> indicated that the NDS has improved the way they hire and appoint persons to and within their organizations, as compared to 69.7% in</w:t>
      </w:r>
      <w:r w:rsidRPr="008D0AC6">
        <w:rPr>
          <w:rFonts w:asciiTheme="minorHAnsi" w:eastAsia="Calibri" w:hAnsiTheme="minorHAnsi" w:cstheme="minorHAnsi"/>
          <w:sz w:val="22"/>
          <w:szCs w:val="22"/>
          <w:lang w:val="en-CA" w:eastAsia="en-CA"/>
        </w:rPr>
        <w:t xml:space="preserve"> similar size organizations and 56</w:t>
      </w:r>
      <w:r w:rsidR="00283DF2" w:rsidRPr="008D0AC6">
        <w:rPr>
          <w:rFonts w:asciiTheme="minorHAnsi" w:eastAsia="Calibri" w:hAnsiTheme="minorHAnsi" w:cstheme="minorHAnsi"/>
          <w:sz w:val="22"/>
          <w:szCs w:val="22"/>
          <w:lang w:val="en-CA" w:eastAsia="en-CA"/>
        </w:rPr>
        <w:t>.1</w:t>
      </w:r>
      <w:r w:rsidRPr="008D0AC6">
        <w:rPr>
          <w:rFonts w:asciiTheme="minorHAnsi" w:eastAsia="Calibri" w:hAnsiTheme="minorHAnsi" w:cstheme="minorHAnsi"/>
          <w:sz w:val="22"/>
          <w:szCs w:val="22"/>
          <w:lang w:val="en-CA" w:eastAsia="en-CA"/>
        </w:rPr>
        <w:t>% across all organizations in the federal public service.</w:t>
      </w:r>
    </w:p>
    <w:p w14:paraId="26F9A5F7" w14:textId="77777777" w:rsidR="00226071" w:rsidRPr="008D0AC6" w:rsidRDefault="00AC4C15" w:rsidP="008D0AC6">
      <w:pPr>
        <w:numPr>
          <w:ilvl w:val="0"/>
          <w:numId w:val="21"/>
        </w:numPr>
        <w:rPr>
          <w:rFonts w:asciiTheme="minorHAnsi" w:eastAsia="Calibri" w:hAnsiTheme="minorHAnsi" w:cstheme="minorHAnsi"/>
          <w:sz w:val="22"/>
          <w:szCs w:val="22"/>
          <w:lang w:val="en-CA" w:eastAsia="en-CA"/>
        </w:rPr>
      </w:pPr>
      <w:r w:rsidRPr="008D0AC6">
        <w:rPr>
          <w:rFonts w:asciiTheme="minorHAnsi" w:eastAsia="Calibri" w:hAnsiTheme="minorHAnsi" w:cstheme="minorHAnsi"/>
          <w:sz w:val="22"/>
          <w:szCs w:val="22"/>
          <w:lang w:val="en-CA" w:eastAsia="en-CA"/>
        </w:rPr>
        <w:t xml:space="preserve">66.6% of </w:t>
      </w:r>
      <w:r w:rsidRPr="008D0AC6">
        <w:rPr>
          <w:rStyle w:val="Strong"/>
          <w:rFonts w:asciiTheme="minorHAnsi" w:eastAsia="Calibri" w:hAnsiTheme="minorHAnsi" w:cstheme="minorHAnsi"/>
          <w:sz w:val="22"/>
          <w:szCs w:val="18"/>
          <w:lang w:val="en-CA"/>
        </w:rPr>
        <w:t xml:space="preserve">managers </w:t>
      </w:r>
      <w:r w:rsidRPr="008D0AC6">
        <w:rPr>
          <w:rFonts w:asciiTheme="minorHAnsi" w:eastAsia="Calibri" w:hAnsiTheme="minorHAnsi" w:cstheme="minorHAnsi"/>
          <w:sz w:val="22"/>
          <w:szCs w:val="22"/>
          <w:lang w:val="en-CA" w:eastAsia="en-CA"/>
        </w:rPr>
        <w:t xml:space="preserve">indicated that the NDS </w:t>
      </w:r>
      <w:r w:rsidRPr="005A39A5">
        <w:rPr>
          <w:rFonts w:asciiTheme="minorHAnsi" w:eastAsia="Calibri" w:hAnsiTheme="minorHAnsi" w:cstheme="minorHAnsi"/>
          <w:sz w:val="22"/>
          <w:szCs w:val="22"/>
          <w:lang w:val="en-CA" w:eastAsia="en-CA"/>
        </w:rPr>
        <w:t>did not</w:t>
      </w:r>
      <w:r w:rsidRPr="008D0AC6">
        <w:rPr>
          <w:rFonts w:asciiTheme="minorHAnsi" w:eastAsia="Calibri" w:hAnsiTheme="minorHAnsi" w:cstheme="minorHAnsi"/>
          <w:sz w:val="22"/>
          <w:szCs w:val="22"/>
          <w:lang w:val="en-CA" w:eastAsia="en-CA"/>
        </w:rPr>
        <w:t xml:space="preserve"> make staffing simpler in their organization, as compared to 41.7% </w:t>
      </w:r>
      <w:r w:rsidRPr="008D0AC6">
        <w:rPr>
          <w:rFonts w:asciiTheme="minorHAnsi" w:hAnsiTheme="minorHAnsi" w:cstheme="minorHAnsi"/>
          <w:sz w:val="22"/>
          <w:szCs w:val="22"/>
          <w:lang w:val="en-CA" w:eastAsia="en-CA"/>
        </w:rPr>
        <w:t>in</w:t>
      </w:r>
      <w:r w:rsidRPr="008D0AC6">
        <w:rPr>
          <w:rFonts w:asciiTheme="minorHAnsi" w:eastAsia="Calibri" w:hAnsiTheme="minorHAnsi" w:cstheme="minorHAnsi"/>
          <w:sz w:val="22"/>
          <w:szCs w:val="22"/>
          <w:lang w:val="en-CA" w:eastAsia="en-CA"/>
        </w:rPr>
        <w:t xml:space="preserve"> similar size organizations and 53.8% across all organizations in the federal public service.</w:t>
      </w:r>
    </w:p>
    <w:p w14:paraId="482A0575" w14:textId="77777777" w:rsidR="00226071" w:rsidRPr="008D0AC6" w:rsidRDefault="00AC4C15" w:rsidP="008D0AC6">
      <w:pPr>
        <w:numPr>
          <w:ilvl w:val="0"/>
          <w:numId w:val="21"/>
        </w:numPr>
        <w:rPr>
          <w:rFonts w:asciiTheme="minorHAnsi" w:eastAsia="Calibri" w:hAnsiTheme="minorHAnsi" w:cstheme="minorHAnsi"/>
          <w:sz w:val="22"/>
          <w:szCs w:val="22"/>
          <w:lang w:val="en-CA" w:eastAsia="en-CA"/>
        </w:rPr>
      </w:pPr>
      <w:r w:rsidRPr="008D0AC6">
        <w:rPr>
          <w:rFonts w:asciiTheme="minorHAnsi" w:hAnsiTheme="minorHAnsi" w:cstheme="minorHAnsi"/>
          <w:sz w:val="22"/>
          <w:szCs w:val="22"/>
          <w:lang w:val="en-CA" w:eastAsia="en-CA"/>
        </w:rPr>
        <w:t xml:space="preserve">78.7% </w:t>
      </w:r>
      <w:r w:rsidRPr="005A39A5">
        <w:rPr>
          <w:rStyle w:val="Strong"/>
          <w:rFonts w:asciiTheme="minorHAnsi" w:eastAsia="Calibri" w:hAnsiTheme="minorHAnsi" w:cstheme="minorHAnsi"/>
          <w:sz w:val="22"/>
          <w:szCs w:val="18"/>
          <w:lang w:val="en-CA"/>
        </w:rPr>
        <w:t>managers</w:t>
      </w:r>
      <w:r w:rsidRPr="008D0AC6">
        <w:rPr>
          <w:rStyle w:val="Strong"/>
          <w:rFonts w:ascii="Segoe UI" w:hAnsi="Segoe UI" w:cs="Segoe UI"/>
          <w:sz w:val="22"/>
          <w:szCs w:val="18"/>
          <w:lang w:val="en-CA"/>
        </w:rPr>
        <w:t xml:space="preserve"> </w:t>
      </w:r>
      <w:r w:rsidRPr="008D0AC6">
        <w:rPr>
          <w:rFonts w:asciiTheme="minorHAnsi" w:hAnsiTheme="minorHAnsi" w:cstheme="minorHAnsi"/>
          <w:sz w:val="22"/>
          <w:szCs w:val="22"/>
          <w:lang w:val="en-CA" w:eastAsia="en-CA"/>
        </w:rPr>
        <w:t>feel staffing is burdensome, as compared to 79.3% in similar size organizations and 87.9% across all organizations</w:t>
      </w:r>
      <w:r w:rsidR="00226071" w:rsidRPr="008D0AC6">
        <w:rPr>
          <w:rFonts w:asciiTheme="minorHAnsi" w:hAnsiTheme="minorHAnsi" w:cstheme="minorHAnsi"/>
          <w:sz w:val="22"/>
          <w:szCs w:val="22"/>
          <w:lang w:val="en-CA" w:eastAsia="en-CA"/>
        </w:rPr>
        <w:t xml:space="preserve"> in the federal public service.</w:t>
      </w:r>
    </w:p>
    <w:p w14:paraId="3B6E7E39" w14:textId="0F2040D5" w:rsidR="00AC4C15" w:rsidRPr="00264AD9" w:rsidRDefault="00AC4C15" w:rsidP="00A32318">
      <w:pPr>
        <w:numPr>
          <w:ilvl w:val="0"/>
          <w:numId w:val="21"/>
        </w:numPr>
        <w:spacing w:after="120"/>
        <w:rPr>
          <w:rFonts w:ascii="Segoe UI" w:eastAsia="Calibri" w:hAnsi="Segoe UI" w:cs="Segoe UI"/>
          <w:sz w:val="22"/>
          <w:szCs w:val="22"/>
          <w:lang w:val="en-CA" w:eastAsia="en-CA"/>
        </w:rPr>
      </w:pPr>
      <w:r w:rsidRPr="00264AD9">
        <w:rPr>
          <w:rFonts w:ascii="Segoe UI" w:hAnsi="Segoe UI" w:cs="Segoe UI"/>
          <w:sz w:val="22"/>
          <w:szCs w:val="22"/>
          <w:lang w:val="en-CA" w:eastAsia="en-CA"/>
        </w:rPr>
        <w:t xml:space="preserve">60% of </w:t>
      </w:r>
      <w:r w:rsidRPr="005A39A5">
        <w:rPr>
          <w:rStyle w:val="Strong"/>
          <w:rFonts w:asciiTheme="minorHAnsi" w:eastAsia="Calibri" w:hAnsiTheme="minorHAnsi" w:cstheme="minorHAnsi"/>
          <w:sz w:val="22"/>
          <w:szCs w:val="18"/>
          <w:lang w:val="en-CA"/>
        </w:rPr>
        <w:t>managers</w:t>
      </w:r>
      <w:r w:rsidRPr="00264AD9">
        <w:rPr>
          <w:rFonts w:ascii="Segoe UI" w:hAnsi="Segoe UI" w:cs="Segoe UI"/>
          <w:sz w:val="22"/>
          <w:szCs w:val="22"/>
          <w:lang w:val="en-CA" w:eastAsia="en-CA"/>
        </w:rPr>
        <w:t xml:space="preserve"> </w:t>
      </w:r>
      <w:r w:rsidRPr="005A39A5">
        <w:rPr>
          <w:rFonts w:asciiTheme="minorHAnsi" w:hAnsiTheme="minorHAnsi" w:cstheme="minorHAnsi"/>
          <w:sz w:val="22"/>
          <w:szCs w:val="22"/>
          <w:lang w:val="en-CA" w:eastAsia="en-CA"/>
        </w:rPr>
        <w:t>feel staffing is not quick enough, as compared to 45% in similar size organizations and 62.4% across all organizations in the federal public service.</w:t>
      </w:r>
    </w:p>
    <w:p w14:paraId="59E2C6D1" w14:textId="5B817735" w:rsidR="00753DD5" w:rsidRPr="008D0AC6" w:rsidRDefault="00372539" w:rsidP="008D0AC6">
      <w:pPr>
        <w:spacing w:after="120"/>
        <w:contextualSpacing/>
        <w:rPr>
          <w:rFonts w:asciiTheme="minorHAnsi" w:hAnsiTheme="minorHAnsi" w:cstheme="minorHAnsi"/>
          <w:sz w:val="22"/>
          <w:szCs w:val="22"/>
          <w:lang w:val="en-CA" w:eastAsia="en-CA"/>
        </w:rPr>
      </w:pPr>
      <w:r w:rsidRPr="008D0AC6">
        <w:rPr>
          <w:rFonts w:asciiTheme="minorHAnsi" w:hAnsiTheme="minorHAnsi" w:cstheme="minorHAnsi"/>
          <w:sz w:val="22"/>
          <w:szCs w:val="22"/>
          <w:lang w:val="en-CA" w:eastAsia="en-CA"/>
        </w:rPr>
        <w:t xml:space="preserve">These results were used to inform </w:t>
      </w:r>
      <w:r w:rsidR="00772D34" w:rsidRPr="008D0AC6">
        <w:rPr>
          <w:rFonts w:asciiTheme="minorHAnsi" w:hAnsiTheme="minorHAnsi" w:cstheme="minorHAnsi"/>
          <w:sz w:val="22"/>
          <w:szCs w:val="22"/>
          <w:lang w:val="en-CA" w:eastAsia="en-CA"/>
        </w:rPr>
        <w:t xml:space="preserve">the choice of </w:t>
      </w:r>
      <w:r w:rsidRPr="008D0AC6">
        <w:rPr>
          <w:rFonts w:asciiTheme="minorHAnsi" w:hAnsiTheme="minorHAnsi" w:cstheme="minorHAnsi"/>
          <w:sz w:val="22"/>
          <w:szCs w:val="22"/>
          <w:lang w:val="en-CA" w:eastAsia="en-CA"/>
        </w:rPr>
        <w:t>various customized sessions that were delivered</w:t>
      </w:r>
      <w:r w:rsidR="00640645" w:rsidRPr="008D0AC6">
        <w:rPr>
          <w:rFonts w:asciiTheme="minorHAnsi" w:hAnsiTheme="minorHAnsi" w:cstheme="minorHAnsi"/>
          <w:sz w:val="22"/>
          <w:szCs w:val="22"/>
          <w:lang w:val="en-CA" w:eastAsia="en-CA"/>
        </w:rPr>
        <w:t xml:space="preserve"> by the SSA</w:t>
      </w:r>
      <w:r w:rsidRPr="008D0AC6">
        <w:rPr>
          <w:rFonts w:asciiTheme="minorHAnsi" w:hAnsiTheme="minorHAnsi" w:cstheme="minorHAnsi"/>
          <w:sz w:val="22"/>
          <w:szCs w:val="22"/>
          <w:lang w:val="en-CA" w:eastAsia="en-CA"/>
        </w:rPr>
        <w:t xml:space="preserve"> to CER human resources, managers and employees </w:t>
      </w:r>
      <w:r w:rsidR="00772D34" w:rsidRPr="008D0AC6">
        <w:rPr>
          <w:rFonts w:asciiTheme="minorHAnsi" w:hAnsiTheme="minorHAnsi" w:cstheme="minorHAnsi"/>
          <w:sz w:val="22"/>
          <w:szCs w:val="22"/>
          <w:lang w:val="en-CA" w:eastAsia="en-CA"/>
        </w:rPr>
        <w:t>i</w:t>
      </w:r>
      <w:r w:rsidRPr="008D0AC6">
        <w:rPr>
          <w:rFonts w:asciiTheme="minorHAnsi" w:hAnsiTheme="minorHAnsi" w:cstheme="minorHAnsi"/>
          <w:sz w:val="22"/>
          <w:szCs w:val="22"/>
          <w:lang w:val="en-CA" w:eastAsia="en-CA"/>
        </w:rPr>
        <w:t>n April and October of 2019.</w:t>
      </w:r>
    </w:p>
    <w:p w14:paraId="6BF23363" w14:textId="77777777" w:rsidR="00753DD5" w:rsidRPr="008D0AC6" w:rsidRDefault="00753DD5" w:rsidP="008D0AC6">
      <w:pPr>
        <w:pStyle w:val="Heading1"/>
        <w:spacing w:after="120"/>
        <w:rPr>
          <w:rFonts w:cstheme="majorHAnsi"/>
          <w:lang w:val="en-CA"/>
        </w:rPr>
      </w:pPr>
      <w:r w:rsidRPr="008D0AC6">
        <w:rPr>
          <w:rStyle w:val="Heading1Char"/>
          <w:rFonts w:cstheme="majorHAnsi"/>
          <w:color w:val="auto"/>
          <w:lang w:val="en-CA"/>
        </w:rPr>
        <w:t>Diversity Profile</w:t>
      </w:r>
    </w:p>
    <w:p w14:paraId="1FF39EE9" w14:textId="77777777" w:rsidR="007E04E5" w:rsidRDefault="00AE3AE1" w:rsidP="008D0AC6">
      <w:pPr>
        <w:pStyle w:val="NoSpacing"/>
        <w:spacing w:after="120"/>
        <w:rPr>
          <w:rFonts w:asciiTheme="minorHAnsi" w:hAnsiTheme="minorHAnsi" w:cstheme="minorHAnsi"/>
          <w:color w:val="000000"/>
          <w:sz w:val="22"/>
          <w:szCs w:val="22"/>
          <w:lang w:val="en-CA"/>
        </w:rPr>
        <w:sectPr w:rsidR="007E04E5" w:rsidSect="00235799">
          <w:footerReference w:type="default" r:id="rId8"/>
          <w:headerReference w:type="first" r:id="rId9"/>
          <w:footerReference w:type="first" r:id="rId10"/>
          <w:pgSz w:w="12240" w:h="15840"/>
          <w:pgMar w:top="1440" w:right="1080" w:bottom="1440" w:left="1080" w:header="709" w:footer="284" w:gutter="0"/>
          <w:cols w:space="708"/>
          <w:titlePg/>
          <w:docGrid w:linePitch="360"/>
        </w:sectPr>
      </w:pPr>
      <w:r w:rsidRPr="008D0AC6">
        <w:rPr>
          <w:rFonts w:asciiTheme="minorHAnsi" w:hAnsiTheme="minorHAnsi" w:cstheme="minorHAnsi"/>
          <w:color w:val="000000"/>
          <w:sz w:val="22"/>
          <w:szCs w:val="22"/>
          <w:lang w:val="en-CA"/>
        </w:rPr>
        <w:t xml:space="preserve">The CER is doing well </w:t>
      </w:r>
      <w:r w:rsidR="00082EB3" w:rsidRPr="008D0AC6">
        <w:rPr>
          <w:rFonts w:asciiTheme="minorHAnsi" w:hAnsiTheme="minorHAnsi" w:cstheme="minorHAnsi"/>
          <w:color w:val="000000"/>
          <w:sz w:val="22"/>
          <w:szCs w:val="22"/>
          <w:lang w:val="en-CA"/>
        </w:rPr>
        <w:t>in its</w:t>
      </w:r>
      <w:r w:rsidRPr="008D0AC6">
        <w:rPr>
          <w:rFonts w:asciiTheme="minorHAnsi" w:hAnsiTheme="minorHAnsi" w:cstheme="minorHAnsi"/>
          <w:color w:val="000000"/>
          <w:sz w:val="22"/>
          <w:szCs w:val="22"/>
          <w:lang w:val="en-CA"/>
        </w:rPr>
        <w:t xml:space="preserve"> representation of women and Aboriginal</w:t>
      </w:r>
      <w:r w:rsidR="00082EB3" w:rsidRPr="008D0AC6">
        <w:rPr>
          <w:rFonts w:asciiTheme="minorHAnsi" w:hAnsiTheme="minorHAnsi" w:cstheme="minorHAnsi"/>
          <w:color w:val="000000"/>
          <w:sz w:val="22"/>
          <w:szCs w:val="22"/>
          <w:lang w:val="en-CA"/>
        </w:rPr>
        <w:t xml:space="preserve">s and </w:t>
      </w:r>
      <w:r w:rsidR="00E909D6" w:rsidRPr="008D0AC6">
        <w:rPr>
          <w:rFonts w:asciiTheme="minorHAnsi" w:hAnsiTheme="minorHAnsi" w:cstheme="minorHAnsi"/>
          <w:color w:val="000000"/>
          <w:sz w:val="22"/>
          <w:szCs w:val="22"/>
          <w:lang w:val="en-CA"/>
        </w:rPr>
        <w:t>has participated in i</w:t>
      </w:r>
      <w:r w:rsidR="006E1E14" w:rsidRPr="008D0AC6">
        <w:rPr>
          <w:rFonts w:asciiTheme="minorHAnsi" w:hAnsiTheme="minorHAnsi" w:cstheme="minorHAnsi"/>
          <w:color w:val="000000"/>
          <w:sz w:val="22"/>
          <w:szCs w:val="22"/>
          <w:lang w:val="en-CA"/>
        </w:rPr>
        <w:t xml:space="preserve">ndigenous recruitment events. </w:t>
      </w:r>
      <w:r w:rsidRPr="008D0AC6">
        <w:rPr>
          <w:rFonts w:asciiTheme="minorHAnsi" w:hAnsiTheme="minorHAnsi" w:cstheme="minorHAnsi"/>
          <w:color w:val="000000"/>
          <w:sz w:val="22"/>
          <w:szCs w:val="22"/>
          <w:lang w:val="en-CA"/>
        </w:rPr>
        <w:t xml:space="preserve">However, the </w:t>
      </w:r>
      <w:r w:rsidR="008D2038" w:rsidRPr="008D0AC6">
        <w:rPr>
          <w:rFonts w:asciiTheme="minorHAnsi" w:hAnsiTheme="minorHAnsi" w:cstheme="minorHAnsi"/>
          <w:color w:val="000000"/>
          <w:sz w:val="22"/>
          <w:szCs w:val="22"/>
          <w:lang w:val="en-CA"/>
        </w:rPr>
        <w:t>organisation</w:t>
      </w:r>
      <w:r w:rsidR="007B3302" w:rsidRPr="008D0AC6">
        <w:rPr>
          <w:rFonts w:asciiTheme="minorHAnsi" w:hAnsiTheme="minorHAnsi" w:cstheme="minorHAnsi"/>
          <w:color w:val="000000"/>
          <w:sz w:val="22"/>
          <w:szCs w:val="22"/>
          <w:lang w:val="en-CA"/>
        </w:rPr>
        <w:t xml:space="preserve"> is below work</w:t>
      </w:r>
      <w:r w:rsidRPr="008D0AC6">
        <w:rPr>
          <w:rFonts w:asciiTheme="minorHAnsi" w:hAnsiTheme="minorHAnsi" w:cstheme="minorHAnsi"/>
          <w:color w:val="000000"/>
          <w:sz w:val="22"/>
          <w:szCs w:val="22"/>
          <w:lang w:val="en-CA"/>
        </w:rPr>
        <w:t xml:space="preserve">force availability for persons with disabilities, who represent </w:t>
      </w:r>
      <w:r w:rsidR="00082EB3" w:rsidRPr="008D0AC6">
        <w:rPr>
          <w:rFonts w:asciiTheme="minorHAnsi" w:hAnsiTheme="minorHAnsi" w:cstheme="minorHAnsi"/>
          <w:color w:val="000000"/>
          <w:sz w:val="22"/>
          <w:szCs w:val="22"/>
          <w:lang w:val="en-CA"/>
        </w:rPr>
        <w:t xml:space="preserve">only </w:t>
      </w:r>
      <w:r w:rsidRPr="008D0AC6">
        <w:rPr>
          <w:rFonts w:asciiTheme="minorHAnsi" w:hAnsiTheme="minorHAnsi" w:cstheme="minorHAnsi"/>
          <w:color w:val="000000"/>
          <w:sz w:val="22"/>
          <w:szCs w:val="22"/>
          <w:lang w:val="en-CA"/>
        </w:rPr>
        <w:t>4.3% of its workforce, while the workforce availability for this group is 9</w:t>
      </w:r>
      <w:r w:rsidR="007B3302" w:rsidRPr="008D0AC6">
        <w:rPr>
          <w:rFonts w:asciiTheme="minorHAnsi" w:hAnsiTheme="minorHAnsi" w:cstheme="minorHAnsi"/>
          <w:color w:val="000000"/>
          <w:sz w:val="22"/>
          <w:szCs w:val="22"/>
          <w:lang w:val="en-CA"/>
        </w:rPr>
        <w:t>.0%. The CER is also below work</w:t>
      </w:r>
      <w:r w:rsidRPr="008D0AC6">
        <w:rPr>
          <w:rFonts w:asciiTheme="minorHAnsi" w:hAnsiTheme="minorHAnsi" w:cstheme="minorHAnsi"/>
          <w:color w:val="000000"/>
          <w:sz w:val="22"/>
          <w:szCs w:val="22"/>
          <w:lang w:val="en-CA"/>
        </w:rPr>
        <w:t>force availability for members of visible minorities, who represent 12.1% of its workforce, while the workforce availability for this group is 15.3%.</w:t>
      </w:r>
      <w:r w:rsidR="002A31E3" w:rsidRPr="008D0AC6">
        <w:rPr>
          <w:rFonts w:asciiTheme="minorHAnsi" w:hAnsiTheme="minorHAnsi" w:cstheme="minorHAnsi"/>
          <w:color w:val="000000"/>
          <w:sz w:val="22"/>
          <w:szCs w:val="22"/>
          <w:lang w:val="en-CA"/>
        </w:rPr>
        <w:t xml:space="preserve"> </w:t>
      </w:r>
    </w:p>
    <w:p w14:paraId="66D87043" w14:textId="70F87BCF" w:rsidR="007E04E5" w:rsidRPr="007E04E5" w:rsidRDefault="007E04E5" w:rsidP="007E04E5">
      <w:pPr>
        <w:pStyle w:val="Caption"/>
        <w:keepNext/>
        <w:spacing w:after="0"/>
        <w:rPr>
          <w:rFonts w:asciiTheme="minorHAnsi" w:hAnsiTheme="minorHAnsi" w:cstheme="minorHAnsi"/>
          <w:i w:val="0"/>
          <w:iCs w:val="0"/>
          <w:color w:val="auto"/>
        </w:rPr>
      </w:pPr>
      <w:r w:rsidRPr="007E04E5">
        <w:rPr>
          <w:rFonts w:asciiTheme="minorHAnsi" w:hAnsiTheme="minorHAnsi" w:cstheme="minorHAnsi"/>
          <w:i w:val="0"/>
          <w:iCs w:val="0"/>
          <w:color w:val="auto"/>
        </w:rPr>
        <w:lastRenderedPageBreak/>
        <w:t xml:space="preserve">Table </w:t>
      </w:r>
      <w:r w:rsidRPr="007E04E5">
        <w:rPr>
          <w:rFonts w:asciiTheme="minorHAnsi" w:hAnsiTheme="minorHAnsi" w:cstheme="minorHAnsi"/>
          <w:i w:val="0"/>
          <w:iCs w:val="0"/>
          <w:color w:val="auto"/>
        </w:rPr>
        <w:fldChar w:fldCharType="begin"/>
      </w:r>
      <w:r w:rsidRPr="007E04E5">
        <w:rPr>
          <w:rFonts w:asciiTheme="minorHAnsi" w:hAnsiTheme="minorHAnsi" w:cstheme="minorHAnsi"/>
          <w:i w:val="0"/>
          <w:iCs w:val="0"/>
          <w:color w:val="auto"/>
        </w:rPr>
        <w:instrText xml:space="preserve"> SEQ Table \* ARABIC </w:instrText>
      </w:r>
      <w:r w:rsidRPr="007E04E5">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2</w:t>
      </w:r>
      <w:r w:rsidRPr="007E04E5">
        <w:rPr>
          <w:rFonts w:asciiTheme="minorHAnsi" w:hAnsiTheme="minorHAnsi" w:cstheme="minorHAnsi"/>
          <w:i w:val="0"/>
          <w:iCs w:val="0"/>
          <w:color w:val="auto"/>
        </w:rPr>
        <w:fldChar w:fldCharType="end"/>
      </w:r>
      <w:r w:rsidRPr="007E04E5">
        <w:rPr>
          <w:rFonts w:asciiTheme="minorHAnsi" w:hAnsiTheme="minorHAnsi" w:cstheme="minorHAnsi"/>
          <w:i w:val="0"/>
          <w:iCs w:val="0"/>
          <w:color w:val="auto"/>
        </w:rPr>
        <w:t xml:space="preserve"> - Diversity Profile</w:t>
      </w:r>
    </w:p>
    <w:tbl>
      <w:tblPr>
        <w:tblStyle w:val="TableGrid"/>
        <w:tblW w:w="5000" w:type="pct"/>
        <w:jc w:val="center"/>
        <w:tblLook w:val="04A0" w:firstRow="1" w:lastRow="0" w:firstColumn="1" w:lastColumn="0" w:noHBand="0" w:noVBand="1"/>
        <w:tblDescription w:val="Diversity Profile"/>
      </w:tblPr>
      <w:tblGrid>
        <w:gridCol w:w="2192"/>
        <w:gridCol w:w="2626"/>
        <w:gridCol w:w="2334"/>
        <w:gridCol w:w="2918"/>
      </w:tblGrid>
      <w:tr w:rsidR="007E04E5" w:rsidRPr="007E04E5" w14:paraId="3562BB13" w14:textId="77777777" w:rsidTr="0047330E">
        <w:trPr>
          <w:cantSplit/>
          <w:trHeight w:val="759"/>
          <w:tblHeader/>
          <w:jc w:val="center"/>
        </w:trPr>
        <w:tc>
          <w:tcPr>
            <w:tcW w:w="1088" w:type="pct"/>
            <w:shd w:val="clear" w:color="auto" w:fill="54575A" w:themeFill="text1"/>
            <w:hideMark/>
          </w:tcPr>
          <w:p w14:paraId="6024119B" w14:textId="77777777" w:rsidR="007E04E5" w:rsidRPr="007E04E5" w:rsidRDefault="007E04E5" w:rsidP="007E04E5">
            <w:pPr>
              <w:pStyle w:val="TableTitle"/>
              <w:contextualSpacing/>
              <w:rPr>
                <w:rFonts w:eastAsia="Calibri" w:cs="Segoe UI Semibold"/>
                <w:color w:val="FFFFFF" w:themeColor="background1"/>
                <w:sz w:val="22"/>
                <w:szCs w:val="22"/>
                <w:lang w:val="en-CA"/>
              </w:rPr>
            </w:pPr>
            <w:r w:rsidRPr="007E04E5">
              <w:rPr>
                <w:rFonts w:eastAsia="Calibri" w:cs="Segoe UI Semibold"/>
                <w:color w:val="FFFFFF" w:themeColor="background1"/>
                <w:sz w:val="22"/>
                <w:szCs w:val="22"/>
                <w:lang w:val="en-CA"/>
              </w:rPr>
              <w:t>Designated Group</w:t>
            </w:r>
          </w:p>
        </w:tc>
        <w:tc>
          <w:tcPr>
            <w:tcW w:w="1304" w:type="pct"/>
            <w:shd w:val="clear" w:color="auto" w:fill="54575A" w:themeFill="text1"/>
            <w:hideMark/>
          </w:tcPr>
          <w:p w14:paraId="62C453A7" w14:textId="77777777" w:rsidR="007E04E5" w:rsidRPr="007E04E5" w:rsidRDefault="007E04E5" w:rsidP="007E04E5">
            <w:pPr>
              <w:pStyle w:val="TableTitle"/>
              <w:contextualSpacing/>
              <w:rPr>
                <w:rFonts w:eastAsia="Calibri" w:cs="Segoe UI Semibold"/>
                <w:color w:val="FFFFFF" w:themeColor="background1"/>
                <w:sz w:val="22"/>
                <w:szCs w:val="22"/>
                <w:lang w:val="en-CA"/>
              </w:rPr>
            </w:pPr>
            <w:r w:rsidRPr="007E04E5">
              <w:rPr>
                <w:rFonts w:eastAsia="Calibri" w:cs="Segoe UI Semibold"/>
                <w:color w:val="FFFFFF" w:themeColor="background1"/>
                <w:sz w:val="22"/>
                <w:szCs w:val="22"/>
                <w:lang w:val="en-CA"/>
              </w:rPr>
              <w:t>Public Service</w:t>
            </w:r>
          </w:p>
          <w:p w14:paraId="20CA2089" w14:textId="77777777" w:rsidR="007E04E5" w:rsidRPr="007E04E5" w:rsidRDefault="007E04E5" w:rsidP="007E04E5">
            <w:pPr>
              <w:pStyle w:val="TableTitle"/>
              <w:contextualSpacing/>
              <w:rPr>
                <w:rFonts w:eastAsia="Calibri" w:cs="Segoe UI Semibold"/>
                <w:color w:val="FFFFFF" w:themeColor="background1"/>
                <w:sz w:val="22"/>
                <w:szCs w:val="22"/>
                <w:lang w:val="en-CA"/>
              </w:rPr>
            </w:pPr>
            <w:r w:rsidRPr="007E04E5">
              <w:rPr>
                <w:rFonts w:eastAsia="Calibri" w:cs="Segoe UI Semibold"/>
                <w:color w:val="FFFFFF" w:themeColor="background1"/>
                <w:sz w:val="22"/>
                <w:szCs w:val="22"/>
                <w:lang w:val="en-CA"/>
              </w:rPr>
              <w:t>Work Force Availability (WFA)</w:t>
            </w:r>
          </w:p>
        </w:tc>
        <w:tc>
          <w:tcPr>
            <w:tcW w:w="1159" w:type="pct"/>
            <w:shd w:val="clear" w:color="auto" w:fill="BF3C00"/>
            <w:hideMark/>
          </w:tcPr>
          <w:p w14:paraId="054EECB5" w14:textId="77777777" w:rsidR="007E04E5" w:rsidRPr="007E04E5" w:rsidRDefault="007E04E5" w:rsidP="007E04E5">
            <w:pPr>
              <w:pStyle w:val="TableTitle"/>
              <w:contextualSpacing/>
              <w:rPr>
                <w:rFonts w:eastAsia="Calibri" w:cs="Segoe UI Semibold"/>
                <w:color w:val="FFFFFF" w:themeColor="background1"/>
                <w:sz w:val="22"/>
                <w:szCs w:val="22"/>
                <w:lang w:val="en-CA"/>
              </w:rPr>
            </w:pPr>
            <w:r w:rsidRPr="007E04E5">
              <w:rPr>
                <w:rFonts w:eastAsia="Calibri" w:cs="Segoe UI Semibold"/>
                <w:color w:val="FFFFFF" w:themeColor="background1"/>
                <w:sz w:val="22"/>
                <w:szCs w:val="22"/>
                <w:lang w:val="en-CA"/>
              </w:rPr>
              <w:t>Canada Energy Regulator</w:t>
            </w:r>
          </w:p>
        </w:tc>
        <w:tc>
          <w:tcPr>
            <w:tcW w:w="1449" w:type="pct"/>
            <w:shd w:val="clear" w:color="auto" w:fill="54575A" w:themeFill="text1"/>
            <w:hideMark/>
          </w:tcPr>
          <w:p w14:paraId="65B394DC" w14:textId="43EBFC1E" w:rsidR="007E04E5" w:rsidRPr="007E04E5" w:rsidRDefault="007E04E5" w:rsidP="007E04E5">
            <w:pPr>
              <w:pStyle w:val="TableTitle"/>
              <w:contextualSpacing/>
              <w:rPr>
                <w:rFonts w:eastAsia="Calibri" w:cs="Segoe UI Semibold"/>
                <w:color w:val="FFFFFF" w:themeColor="background1"/>
                <w:sz w:val="22"/>
                <w:szCs w:val="22"/>
                <w:lang w:val="en-CA"/>
              </w:rPr>
            </w:pPr>
            <w:r w:rsidRPr="007E04E5">
              <w:rPr>
                <w:rFonts w:eastAsia="Calibri" w:cs="Segoe UI Semibold"/>
                <w:color w:val="FFFFFF" w:themeColor="background1"/>
                <w:sz w:val="22"/>
                <w:szCs w:val="22"/>
                <w:lang w:val="en-CA"/>
              </w:rPr>
              <w:t>Representation across the Public Service of Canada</w:t>
            </w:r>
          </w:p>
        </w:tc>
      </w:tr>
      <w:tr w:rsidR="007E04E5" w:rsidRPr="007E04E5" w14:paraId="5413F5F0" w14:textId="77777777" w:rsidTr="0047330E">
        <w:trPr>
          <w:cantSplit/>
          <w:tblHeader/>
          <w:jc w:val="center"/>
        </w:trPr>
        <w:tc>
          <w:tcPr>
            <w:tcW w:w="1088" w:type="pct"/>
            <w:shd w:val="clear" w:color="auto" w:fill="54575A" w:themeFill="text1"/>
            <w:hideMark/>
          </w:tcPr>
          <w:p w14:paraId="27AFAB1C" w14:textId="77777777" w:rsidR="007E04E5" w:rsidRPr="007E04E5" w:rsidRDefault="007E04E5" w:rsidP="007E04E5">
            <w:pPr>
              <w:keepLines/>
              <w:spacing w:before="120" w:after="160" w:line="259" w:lineRule="auto"/>
              <w:contextualSpacing/>
              <w:rPr>
                <w:rFonts w:asciiTheme="minorHAnsi" w:eastAsia="Calibri" w:hAnsiTheme="minorHAnsi" w:cstheme="minorHAnsi"/>
                <w:color w:val="FFFFFF" w:themeColor="background1"/>
                <w:sz w:val="22"/>
                <w:szCs w:val="22"/>
                <w:lang w:val="en-CA"/>
              </w:rPr>
            </w:pPr>
            <w:r w:rsidRPr="007E04E5">
              <w:rPr>
                <w:rFonts w:asciiTheme="minorHAnsi" w:eastAsia="Calibri" w:hAnsiTheme="minorHAnsi" w:cstheme="minorHAnsi"/>
                <w:color w:val="FFFFFF" w:themeColor="background1"/>
                <w:sz w:val="22"/>
                <w:szCs w:val="22"/>
                <w:lang w:val="en-CA"/>
              </w:rPr>
              <w:t>Women</w:t>
            </w:r>
          </w:p>
        </w:tc>
        <w:tc>
          <w:tcPr>
            <w:tcW w:w="1304" w:type="pct"/>
            <w:hideMark/>
          </w:tcPr>
          <w:p w14:paraId="19441788" w14:textId="77777777" w:rsidR="007E04E5" w:rsidRPr="007E04E5" w:rsidRDefault="007E04E5" w:rsidP="007E04E5">
            <w:pPr>
              <w:keepLines/>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52.7%</w:t>
            </w:r>
          </w:p>
        </w:tc>
        <w:tc>
          <w:tcPr>
            <w:tcW w:w="1159" w:type="pct"/>
          </w:tcPr>
          <w:p w14:paraId="64478562"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64.7%</w:t>
            </w:r>
          </w:p>
        </w:tc>
        <w:tc>
          <w:tcPr>
            <w:tcW w:w="1449" w:type="pct"/>
            <w:hideMark/>
          </w:tcPr>
          <w:p w14:paraId="26D4FDA9"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54.8%</w:t>
            </w:r>
          </w:p>
        </w:tc>
      </w:tr>
      <w:tr w:rsidR="007E04E5" w:rsidRPr="007E04E5" w14:paraId="68E5F5E0" w14:textId="77777777" w:rsidTr="0047330E">
        <w:trPr>
          <w:cantSplit/>
          <w:tblHeader/>
          <w:jc w:val="center"/>
        </w:trPr>
        <w:tc>
          <w:tcPr>
            <w:tcW w:w="1088" w:type="pct"/>
            <w:shd w:val="clear" w:color="auto" w:fill="54575A" w:themeFill="text1"/>
            <w:hideMark/>
          </w:tcPr>
          <w:p w14:paraId="1CCEE536" w14:textId="77777777" w:rsidR="007E04E5" w:rsidRPr="007E04E5" w:rsidRDefault="007E04E5" w:rsidP="007E04E5">
            <w:pPr>
              <w:keepLines/>
              <w:spacing w:before="120" w:after="160" w:line="259" w:lineRule="auto"/>
              <w:contextualSpacing/>
              <w:rPr>
                <w:rFonts w:asciiTheme="minorHAnsi" w:eastAsia="Calibri" w:hAnsiTheme="minorHAnsi" w:cstheme="minorHAnsi"/>
                <w:color w:val="FFFFFF" w:themeColor="background1"/>
                <w:sz w:val="22"/>
                <w:szCs w:val="22"/>
                <w:lang w:val="en-CA"/>
              </w:rPr>
            </w:pPr>
            <w:r w:rsidRPr="007E04E5">
              <w:rPr>
                <w:rFonts w:asciiTheme="minorHAnsi" w:eastAsia="Calibri" w:hAnsiTheme="minorHAnsi" w:cstheme="minorHAnsi"/>
                <w:color w:val="FFFFFF" w:themeColor="background1"/>
                <w:sz w:val="22"/>
                <w:szCs w:val="22"/>
                <w:lang w:val="en-CA"/>
              </w:rPr>
              <w:t>Aboriginal Peoples</w:t>
            </w:r>
          </w:p>
        </w:tc>
        <w:tc>
          <w:tcPr>
            <w:tcW w:w="1304" w:type="pct"/>
            <w:hideMark/>
          </w:tcPr>
          <w:p w14:paraId="483C071B" w14:textId="77777777" w:rsidR="007E04E5" w:rsidRPr="007E04E5" w:rsidRDefault="007E04E5" w:rsidP="007E04E5">
            <w:pPr>
              <w:keepLines/>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4.0%</w:t>
            </w:r>
          </w:p>
        </w:tc>
        <w:tc>
          <w:tcPr>
            <w:tcW w:w="1159" w:type="pct"/>
          </w:tcPr>
          <w:p w14:paraId="41E98361"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5.0%</w:t>
            </w:r>
          </w:p>
        </w:tc>
        <w:tc>
          <w:tcPr>
            <w:tcW w:w="1449" w:type="pct"/>
            <w:hideMark/>
          </w:tcPr>
          <w:p w14:paraId="366201A5"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5.1%</w:t>
            </w:r>
          </w:p>
        </w:tc>
      </w:tr>
      <w:tr w:rsidR="007E04E5" w:rsidRPr="007E04E5" w14:paraId="022883CE" w14:textId="77777777" w:rsidTr="0047330E">
        <w:trPr>
          <w:cantSplit/>
          <w:trHeight w:val="598"/>
          <w:tblHeader/>
          <w:jc w:val="center"/>
        </w:trPr>
        <w:tc>
          <w:tcPr>
            <w:tcW w:w="1088" w:type="pct"/>
            <w:shd w:val="clear" w:color="auto" w:fill="54575A" w:themeFill="text1"/>
            <w:hideMark/>
          </w:tcPr>
          <w:p w14:paraId="59167188" w14:textId="77777777" w:rsidR="007E04E5" w:rsidRPr="007E04E5" w:rsidRDefault="007E04E5" w:rsidP="007E04E5">
            <w:pPr>
              <w:keepLines/>
              <w:spacing w:before="120" w:after="160" w:line="259" w:lineRule="auto"/>
              <w:contextualSpacing/>
              <w:rPr>
                <w:rFonts w:asciiTheme="minorHAnsi" w:eastAsia="Calibri" w:hAnsiTheme="minorHAnsi" w:cstheme="minorHAnsi"/>
                <w:color w:val="FFFFFF" w:themeColor="background1"/>
                <w:sz w:val="22"/>
                <w:szCs w:val="22"/>
                <w:lang w:val="en-CA"/>
              </w:rPr>
            </w:pPr>
            <w:r w:rsidRPr="007E04E5">
              <w:rPr>
                <w:rFonts w:asciiTheme="minorHAnsi" w:eastAsia="Calibri" w:hAnsiTheme="minorHAnsi" w:cstheme="minorHAnsi"/>
                <w:color w:val="FFFFFF" w:themeColor="background1"/>
                <w:sz w:val="22"/>
                <w:szCs w:val="22"/>
                <w:lang w:val="en-CA"/>
              </w:rPr>
              <w:t>Persons with Disabilities</w:t>
            </w:r>
          </w:p>
        </w:tc>
        <w:tc>
          <w:tcPr>
            <w:tcW w:w="1304" w:type="pct"/>
            <w:hideMark/>
          </w:tcPr>
          <w:p w14:paraId="4D0E6278" w14:textId="77777777" w:rsidR="007E04E5" w:rsidRPr="007E04E5" w:rsidRDefault="007E04E5" w:rsidP="007E04E5">
            <w:pPr>
              <w:keepLines/>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9.0%</w:t>
            </w:r>
          </w:p>
        </w:tc>
        <w:tc>
          <w:tcPr>
            <w:tcW w:w="1159" w:type="pct"/>
          </w:tcPr>
          <w:p w14:paraId="3BE47D4C"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4.3%</w:t>
            </w:r>
          </w:p>
        </w:tc>
        <w:tc>
          <w:tcPr>
            <w:tcW w:w="1449" w:type="pct"/>
            <w:hideMark/>
          </w:tcPr>
          <w:p w14:paraId="47A78F12"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5.2%</w:t>
            </w:r>
          </w:p>
        </w:tc>
      </w:tr>
      <w:tr w:rsidR="007E04E5" w:rsidRPr="007E04E5" w14:paraId="3D5585B8" w14:textId="77777777" w:rsidTr="0047330E">
        <w:trPr>
          <w:cantSplit/>
          <w:tblHeader/>
          <w:jc w:val="center"/>
        </w:trPr>
        <w:tc>
          <w:tcPr>
            <w:tcW w:w="1088" w:type="pct"/>
            <w:shd w:val="clear" w:color="auto" w:fill="54575A" w:themeFill="text1"/>
            <w:hideMark/>
          </w:tcPr>
          <w:p w14:paraId="67551647" w14:textId="77777777" w:rsidR="007E04E5" w:rsidRPr="007E04E5" w:rsidRDefault="007E04E5" w:rsidP="007E04E5">
            <w:pPr>
              <w:keepLines/>
              <w:spacing w:before="120" w:after="160" w:line="259" w:lineRule="auto"/>
              <w:contextualSpacing/>
              <w:rPr>
                <w:rFonts w:asciiTheme="minorHAnsi" w:eastAsia="Calibri" w:hAnsiTheme="minorHAnsi" w:cstheme="minorHAnsi"/>
                <w:color w:val="FFFFFF" w:themeColor="background1"/>
                <w:sz w:val="22"/>
                <w:szCs w:val="22"/>
                <w:lang w:val="en-CA"/>
              </w:rPr>
            </w:pPr>
            <w:r w:rsidRPr="007E04E5">
              <w:rPr>
                <w:rFonts w:asciiTheme="minorHAnsi" w:eastAsia="Calibri" w:hAnsiTheme="minorHAnsi" w:cstheme="minorHAnsi"/>
                <w:color w:val="FFFFFF" w:themeColor="background1"/>
                <w:sz w:val="22"/>
                <w:szCs w:val="22"/>
                <w:lang w:val="en-CA"/>
              </w:rPr>
              <w:t>Members of Visible Minorities</w:t>
            </w:r>
          </w:p>
        </w:tc>
        <w:tc>
          <w:tcPr>
            <w:tcW w:w="1304" w:type="pct"/>
            <w:hideMark/>
          </w:tcPr>
          <w:p w14:paraId="46449496" w14:textId="77777777" w:rsidR="007E04E5" w:rsidRPr="007E04E5" w:rsidRDefault="007E04E5" w:rsidP="007E04E5">
            <w:pPr>
              <w:keepLines/>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15.3%</w:t>
            </w:r>
          </w:p>
        </w:tc>
        <w:tc>
          <w:tcPr>
            <w:tcW w:w="1159" w:type="pct"/>
          </w:tcPr>
          <w:p w14:paraId="50051376"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12.1%</w:t>
            </w:r>
          </w:p>
        </w:tc>
        <w:tc>
          <w:tcPr>
            <w:tcW w:w="1449" w:type="pct"/>
            <w:hideMark/>
          </w:tcPr>
          <w:p w14:paraId="6DC86EF4" w14:textId="77777777" w:rsidR="007E04E5" w:rsidRPr="007E04E5" w:rsidRDefault="007E04E5" w:rsidP="007E04E5">
            <w:pPr>
              <w:keepLines/>
              <w:autoSpaceDE w:val="0"/>
              <w:autoSpaceDN w:val="0"/>
              <w:spacing w:before="120" w:after="160" w:line="259" w:lineRule="auto"/>
              <w:contextualSpacing/>
              <w:jc w:val="center"/>
              <w:rPr>
                <w:rFonts w:asciiTheme="minorHAnsi" w:eastAsia="Calibri" w:hAnsiTheme="minorHAnsi" w:cstheme="minorHAnsi"/>
                <w:sz w:val="22"/>
                <w:szCs w:val="22"/>
                <w:lang w:val="en-CA"/>
              </w:rPr>
            </w:pPr>
            <w:r w:rsidRPr="007E04E5">
              <w:rPr>
                <w:rFonts w:asciiTheme="minorHAnsi" w:eastAsia="Calibri" w:hAnsiTheme="minorHAnsi" w:cstheme="minorHAnsi"/>
                <w:sz w:val="22"/>
                <w:szCs w:val="22"/>
                <w:lang w:val="en-CA"/>
              </w:rPr>
              <w:t>16.7%</w:t>
            </w:r>
          </w:p>
        </w:tc>
      </w:tr>
    </w:tbl>
    <w:p w14:paraId="7F90B01B" w14:textId="73D9EECC" w:rsidR="007E04E5" w:rsidRPr="007E04E5" w:rsidRDefault="007E04E5" w:rsidP="007E04E5">
      <w:pPr>
        <w:keepLines/>
        <w:rPr>
          <w:rFonts w:asciiTheme="minorHAnsi" w:eastAsia="Calibri" w:hAnsiTheme="minorHAnsi" w:cstheme="minorHAnsi"/>
          <w:color w:val="000000"/>
          <w:sz w:val="22"/>
          <w:szCs w:val="22"/>
          <w:lang w:val="en-CA"/>
        </w:rPr>
      </w:pPr>
      <w:r w:rsidRPr="007E04E5">
        <w:rPr>
          <w:rFonts w:asciiTheme="minorHAnsi" w:eastAsia="Calibri" w:hAnsiTheme="minorHAnsi" w:cstheme="minorHAnsi"/>
          <w:color w:val="000000"/>
          <w:sz w:val="22"/>
          <w:szCs w:val="22"/>
          <w:lang w:val="en-CA"/>
        </w:rPr>
        <w:t>Source:</w:t>
      </w:r>
      <w:r w:rsidRPr="007E04E5">
        <w:rPr>
          <w:rFonts w:asciiTheme="minorHAnsi" w:eastAsia="Calibri" w:hAnsiTheme="minorHAnsi" w:cstheme="minorHAnsi"/>
          <w:color w:val="0563C1"/>
          <w:sz w:val="22"/>
          <w:szCs w:val="22"/>
          <w:lang w:val="en-CA"/>
        </w:rPr>
        <w:t xml:space="preserve"> </w:t>
      </w:r>
      <w:hyperlink r:id="rId11" w:anchor="t1" w:history="1">
        <w:r w:rsidRPr="007E04E5">
          <w:rPr>
            <w:rFonts w:asciiTheme="minorHAnsi" w:eastAsia="Calibri" w:hAnsiTheme="minorHAnsi" w:cstheme="minorHAnsi"/>
            <w:color w:val="0563C1"/>
            <w:sz w:val="22"/>
            <w:szCs w:val="22"/>
            <w:u w:val="single"/>
            <w:lang w:val="en-CA"/>
          </w:rPr>
          <w:t>National Energy Board – Employment Equity Report 2018-2019</w:t>
        </w:r>
      </w:hyperlink>
      <w:r w:rsidRPr="007E04E5">
        <w:rPr>
          <w:rFonts w:asciiTheme="minorHAnsi" w:eastAsia="Calibri" w:hAnsiTheme="minorHAnsi" w:cstheme="minorHAnsi"/>
          <w:color w:val="0563C1"/>
          <w:sz w:val="22"/>
          <w:szCs w:val="22"/>
          <w:u w:val="single"/>
          <w:lang w:val="en-CA"/>
        </w:rPr>
        <w:t xml:space="preserve"> </w:t>
      </w:r>
      <w:r w:rsidRPr="007E04E5">
        <w:rPr>
          <w:rFonts w:asciiTheme="minorHAnsi" w:eastAsia="Calibri" w:hAnsiTheme="minorHAnsi" w:cstheme="minorHAnsi"/>
          <w:color w:val="000000"/>
          <w:sz w:val="22"/>
          <w:szCs w:val="22"/>
          <w:lang w:val="en-CA"/>
        </w:rPr>
        <w:t>– no reporting data found for 2017-2018</w:t>
      </w:r>
    </w:p>
    <w:p w14:paraId="6CC0EAC6" w14:textId="77777777" w:rsidR="007E04E5" w:rsidRPr="007E04E5" w:rsidRDefault="009B7AD3" w:rsidP="007E04E5">
      <w:pPr>
        <w:keepLines/>
        <w:spacing w:after="120"/>
        <w:rPr>
          <w:rFonts w:asciiTheme="minorHAnsi" w:hAnsiTheme="minorHAnsi" w:cstheme="minorHAnsi"/>
          <w:sz w:val="22"/>
          <w:szCs w:val="22"/>
          <w:lang w:val="en-CA"/>
        </w:rPr>
      </w:pPr>
      <w:hyperlink r:id="rId12" w:history="1">
        <w:r w:rsidR="007E04E5" w:rsidRPr="007E04E5">
          <w:rPr>
            <w:rFonts w:asciiTheme="minorHAnsi" w:eastAsia="Calibri" w:hAnsiTheme="minorHAnsi" w:cstheme="minorHAnsi"/>
            <w:color w:val="0563C1"/>
            <w:sz w:val="22"/>
            <w:szCs w:val="22"/>
            <w:u w:val="single"/>
            <w:lang w:val="en-CA"/>
          </w:rPr>
          <w:t>Employment Equity in the Public Service of Canada 2018-2019</w:t>
        </w:r>
      </w:hyperlink>
      <w:r w:rsidR="007E04E5" w:rsidRPr="007E04E5">
        <w:rPr>
          <w:rFonts w:asciiTheme="minorHAnsi" w:eastAsia="Calibri" w:hAnsiTheme="minorHAnsi" w:cstheme="minorHAnsi"/>
          <w:color w:val="000000"/>
          <w:sz w:val="22"/>
          <w:szCs w:val="22"/>
          <w:lang w:val="en-CA"/>
        </w:rPr>
        <w:t>, Treasury Board of Canada Secretariat</w:t>
      </w:r>
      <w:r w:rsidR="007E04E5" w:rsidRPr="007E04E5">
        <w:rPr>
          <w:rFonts w:asciiTheme="minorHAnsi" w:hAnsiTheme="minorHAnsi" w:cstheme="minorHAnsi"/>
          <w:sz w:val="22"/>
          <w:szCs w:val="22"/>
          <w:lang w:val="en-CA"/>
        </w:rPr>
        <w:t xml:space="preserve"> </w:t>
      </w:r>
    </w:p>
    <w:p w14:paraId="333DF25F" w14:textId="77777777" w:rsidR="00AE3AE1" w:rsidRPr="008D0AC6" w:rsidRDefault="00AE3AE1" w:rsidP="007B68BF">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The organization should take action to close the gap for persons with disabilities and members of visible minorities and continue to make merit-based appointments of members of the designated groups when required to ensure ongoing representativeness of its workforce.</w:t>
      </w:r>
    </w:p>
    <w:p w14:paraId="6A8801C6" w14:textId="77777777" w:rsidR="00AE3AE1" w:rsidRPr="008D0AC6" w:rsidRDefault="00AE3AE1" w:rsidP="007B68BF">
      <w:pPr>
        <w:pStyle w:val="NoSpacing"/>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As a separate agency (Schedule 5 to the </w:t>
      </w:r>
      <w:r w:rsidRPr="007B68BF">
        <w:rPr>
          <w:rStyle w:val="Emphasis"/>
          <w:rFonts w:asciiTheme="minorHAnsi" w:hAnsiTheme="minorHAnsi" w:cstheme="minorHAnsi"/>
          <w:szCs w:val="18"/>
          <w:lang w:val="en-CA"/>
        </w:rPr>
        <w:t>Financial Administration Act</w:t>
      </w:r>
      <w:r w:rsidRPr="008D0AC6">
        <w:rPr>
          <w:rFonts w:asciiTheme="minorHAnsi" w:hAnsiTheme="minorHAnsi" w:cstheme="minorHAnsi"/>
          <w:color w:val="000000"/>
          <w:sz w:val="22"/>
          <w:szCs w:val="22"/>
          <w:lang w:val="en-CA"/>
        </w:rPr>
        <w:t xml:space="preserve">) of 100 or more employees, the CER creates its own reports on employment equity. </w:t>
      </w:r>
      <w:r w:rsidR="008D2038" w:rsidRPr="008D0AC6">
        <w:rPr>
          <w:rFonts w:asciiTheme="minorHAnsi" w:hAnsiTheme="minorHAnsi" w:cstheme="minorHAnsi"/>
          <w:color w:val="000000"/>
          <w:sz w:val="22"/>
          <w:szCs w:val="22"/>
          <w:lang w:val="en-CA"/>
        </w:rPr>
        <w:t>This means that</w:t>
      </w:r>
      <w:r w:rsidRPr="008D0AC6">
        <w:rPr>
          <w:rFonts w:asciiTheme="minorHAnsi" w:hAnsiTheme="minorHAnsi" w:cstheme="minorHAnsi"/>
          <w:color w:val="000000"/>
          <w:sz w:val="22"/>
          <w:szCs w:val="22"/>
          <w:lang w:val="en-CA"/>
        </w:rPr>
        <w:t xml:space="preserve"> their data is not included in the Treasury Board report on E</w:t>
      </w:r>
      <w:r w:rsidR="008D2038" w:rsidRPr="008D0AC6">
        <w:rPr>
          <w:rFonts w:asciiTheme="minorHAnsi" w:hAnsiTheme="minorHAnsi" w:cstheme="minorHAnsi"/>
          <w:color w:val="000000"/>
          <w:sz w:val="22"/>
          <w:szCs w:val="22"/>
          <w:lang w:val="en-CA"/>
        </w:rPr>
        <w:t>mployment Equity</w:t>
      </w:r>
      <w:r w:rsidRPr="008D0AC6">
        <w:rPr>
          <w:rFonts w:asciiTheme="minorHAnsi" w:hAnsiTheme="minorHAnsi" w:cstheme="minorHAnsi"/>
          <w:color w:val="000000"/>
          <w:sz w:val="22"/>
          <w:szCs w:val="22"/>
          <w:lang w:val="en-CA"/>
        </w:rPr>
        <w:t>.</w:t>
      </w:r>
    </w:p>
    <w:p w14:paraId="7EB8EBE8" w14:textId="77777777" w:rsidR="008D2038" w:rsidRPr="008D0AC6" w:rsidRDefault="008D2038" w:rsidP="00F42797">
      <w:pPr>
        <w:pStyle w:val="NoSpacing"/>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The following array of solutions may be useful as Canada Energy Regulator continues to build a representative and diverse organization: </w:t>
      </w:r>
    </w:p>
    <w:p w14:paraId="35100CDD" w14:textId="005AE753" w:rsidR="000B0C9B" w:rsidRPr="008D0AC6" w:rsidRDefault="008D2038" w:rsidP="000B0C9B">
      <w:pPr>
        <w:pStyle w:val="NoSpacing"/>
        <w:numPr>
          <w:ilvl w:val="0"/>
          <w:numId w:val="24"/>
        </w:numPr>
        <w:ind w:left="36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The </w:t>
      </w:r>
      <w:r w:rsidR="00A41E30" w:rsidRPr="00F42797">
        <w:rPr>
          <w:rStyle w:val="Emphasis"/>
        </w:rPr>
        <w:t>P</w:t>
      </w:r>
      <w:r w:rsidR="00F42797" w:rsidRPr="00F42797">
        <w:rPr>
          <w:rStyle w:val="Emphasis"/>
        </w:rPr>
        <w:t>ublic Service Employment Act</w:t>
      </w:r>
      <w:r w:rsidRPr="008D0AC6">
        <w:rPr>
          <w:rFonts w:asciiTheme="minorHAnsi" w:hAnsiTheme="minorHAnsi" w:cstheme="minorHAnsi"/>
          <w:color w:val="000000"/>
          <w:sz w:val="22"/>
          <w:szCs w:val="22"/>
          <w:lang w:val="en-CA"/>
        </w:rPr>
        <w:t xml:space="preserve"> includes provisions that enable managers to:</w:t>
      </w:r>
    </w:p>
    <w:p w14:paraId="7A725984" w14:textId="77777777" w:rsidR="000B0C9B" w:rsidRPr="008D0AC6" w:rsidRDefault="008D2038" w:rsidP="000B0C9B">
      <w:pPr>
        <w:pStyle w:val="NoSpacing"/>
        <w:numPr>
          <w:ilvl w:val="0"/>
          <w:numId w:val="58"/>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Target designated group members through the area of selection for advertised appointment processes.</w:t>
      </w:r>
    </w:p>
    <w:p w14:paraId="09255232" w14:textId="77777777" w:rsidR="000B0C9B" w:rsidRPr="008D0AC6" w:rsidRDefault="008D2038" w:rsidP="000B0C9B">
      <w:pPr>
        <w:pStyle w:val="NoSpacing"/>
        <w:numPr>
          <w:ilvl w:val="0"/>
          <w:numId w:val="58"/>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Establish and apply an organizational need to appoint designated group members.</w:t>
      </w:r>
    </w:p>
    <w:p w14:paraId="07573DAB" w14:textId="0D864DA5" w:rsidR="000B0C9B" w:rsidRPr="008D0AC6" w:rsidRDefault="008D2038" w:rsidP="009C0EEC">
      <w:pPr>
        <w:pStyle w:val="NoSpacing"/>
        <w:numPr>
          <w:ilvl w:val="0"/>
          <w:numId w:val="58"/>
        </w:numPr>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Use external and internal non-advertised appointment to appoint designated group members.</w:t>
      </w:r>
    </w:p>
    <w:p w14:paraId="5C6BE86B" w14:textId="77777777" w:rsidR="000B0C9B" w:rsidRPr="008D0AC6" w:rsidRDefault="008D2038" w:rsidP="000B0C9B">
      <w:pPr>
        <w:pStyle w:val="NoSpacing"/>
        <w:numPr>
          <w:ilvl w:val="0"/>
          <w:numId w:val="57"/>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The PSC offers recruitment solutions that target designated group members:</w:t>
      </w:r>
    </w:p>
    <w:p w14:paraId="0F3F29F8" w14:textId="77777777" w:rsidR="000B0C9B" w:rsidRPr="008D0AC6" w:rsidRDefault="008D2038" w:rsidP="000B0C9B">
      <w:pPr>
        <w:pStyle w:val="NoSpacing"/>
        <w:numPr>
          <w:ilvl w:val="1"/>
          <w:numId w:val="57"/>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Request referrals of designated group members when using studen</w:t>
      </w:r>
      <w:r w:rsidR="004D7CF6" w:rsidRPr="008D0AC6">
        <w:rPr>
          <w:rFonts w:asciiTheme="minorHAnsi" w:hAnsiTheme="minorHAnsi" w:cstheme="minorHAnsi"/>
          <w:color w:val="000000"/>
          <w:sz w:val="22"/>
          <w:szCs w:val="22"/>
          <w:lang w:val="en-CA"/>
        </w:rPr>
        <w:t>t programs such the FSWEP and</w:t>
      </w:r>
      <w:r w:rsidRPr="008D0AC6">
        <w:rPr>
          <w:rFonts w:asciiTheme="minorHAnsi" w:hAnsiTheme="minorHAnsi" w:cstheme="minorHAnsi"/>
          <w:color w:val="000000"/>
          <w:sz w:val="22"/>
          <w:szCs w:val="22"/>
          <w:lang w:val="en-CA"/>
        </w:rPr>
        <w:t xml:space="preserve"> Post-Secondary Co-op and </w:t>
      </w:r>
      <w:r w:rsidR="00207F88" w:rsidRPr="008D0AC6">
        <w:rPr>
          <w:rFonts w:asciiTheme="minorHAnsi" w:hAnsiTheme="minorHAnsi" w:cstheme="minorHAnsi"/>
          <w:color w:val="000000"/>
          <w:sz w:val="22"/>
          <w:szCs w:val="22"/>
          <w:lang w:val="en-CA"/>
        </w:rPr>
        <w:t>Internship Program</w:t>
      </w:r>
      <w:r w:rsidRPr="008D0AC6">
        <w:rPr>
          <w:rFonts w:asciiTheme="minorHAnsi" w:hAnsiTheme="minorHAnsi" w:cstheme="minorHAnsi"/>
          <w:color w:val="000000"/>
          <w:sz w:val="22"/>
          <w:szCs w:val="22"/>
          <w:lang w:val="en-CA"/>
        </w:rPr>
        <w:t>, with a plan that could include eventually recruiting students into the public service</w:t>
      </w:r>
    </w:p>
    <w:p w14:paraId="13CDA6EE" w14:textId="77777777" w:rsidR="000B0C9B" w:rsidRPr="008D0AC6" w:rsidRDefault="008D2038" w:rsidP="000B0C9B">
      <w:pPr>
        <w:pStyle w:val="NoSpacing"/>
        <w:numPr>
          <w:ilvl w:val="1"/>
          <w:numId w:val="57"/>
        </w:numPr>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 xml:space="preserve">Advertising through the student program </w:t>
      </w:r>
      <w:r w:rsidR="00207F88" w:rsidRPr="008D0AC6">
        <w:rPr>
          <w:rFonts w:asciiTheme="minorHAnsi" w:hAnsiTheme="minorHAnsi" w:cstheme="minorHAnsi"/>
          <w:color w:val="000000"/>
          <w:sz w:val="22"/>
          <w:szCs w:val="22"/>
          <w:lang w:val="en-CA"/>
        </w:rPr>
        <w:t>Research Affiliate Program</w:t>
      </w:r>
      <w:r w:rsidRPr="008D0AC6">
        <w:rPr>
          <w:rFonts w:asciiTheme="minorHAnsi" w:hAnsiTheme="minorHAnsi" w:cstheme="minorHAnsi"/>
          <w:color w:val="000000"/>
          <w:sz w:val="22"/>
          <w:szCs w:val="22"/>
          <w:lang w:val="en-CA"/>
        </w:rPr>
        <w:t xml:space="preserve"> to recruit students of designated group members.</w:t>
      </w:r>
    </w:p>
    <w:p w14:paraId="7DF81C97" w14:textId="5389C3D7" w:rsidR="008D2038" w:rsidRPr="008D0AC6" w:rsidRDefault="008D2038" w:rsidP="009C0EEC">
      <w:pPr>
        <w:pStyle w:val="NoSpacing"/>
        <w:numPr>
          <w:ilvl w:val="1"/>
          <w:numId w:val="57"/>
        </w:numPr>
        <w:spacing w:after="120"/>
        <w:rPr>
          <w:rFonts w:asciiTheme="minorHAnsi" w:hAnsiTheme="minorHAnsi" w:cstheme="minorHAnsi"/>
          <w:color w:val="000000"/>
          <w:sz w:val="22"/>
          <w:szCs w:val="22"/>
          <w:lang w:val="en-CA"/>
        </w:rPr>
      </w:pPr>
      <w:r w:rsidRPr="008D0AC6">
        <w:rPr>
          <w:rFonts w:asciiTheme="minorHAnsi" w:hAnsiTheme="minorHAnsi" w:cstheme="minorHAnsi"/>
          <w:color w:val="000000"/>
          <w:sz w:val="22"/>
          <w:szCs w:val="22"/>
          <w:lang w:val="en-CA"/>
        </w:rPr>
        <w:t>Request referrals of designated group members when usin</w:t>
      </w:r>
      <w:r w:rsidR="007C0D88" w:rsidRPr="008D0AC6">
        <w:rPr>
          <w:rFonts w:asciiTheme="minorHAnsi" w:hAnsiTheme="minorHAnsi" w:cstheme="minorHAnsi"/>
          <w:color w:val="000000"/>
          <w:sz w:val="22"/>
          <w:szCs w:val="22"/>
          <w:lang w:val="en-CA"/>
        </w:rPr>
        <w:t>g certain inventories, such as PSR</w:t>
      </w:r>
      <w:r w:rsidR="006E1E14" w:rsidRPr="008D0AC6">
        <w:rPr>
          <w:rFonts w:asciiTheme="minorHAnsi" w:hAnsiTheme="minorHAnsi" w:cstheme="minorHAnsi"/>
          <w:color w:val="000000"/>
          <w:sz w:val="22"/>
          <w:szCs w:val="22"/>
          <w:lang w:val="en-CA"/>
        </w:rPr>
        <w:t>, which the SSA has highlighted as a viable means of increasing representation.</w:t>
      </w:r>
    </w:p>
    <w:p w14:paraId="3DB5BCE8" w14:textId="77777777" w:rsidR="009C0EEC" w:rsidRDefault="008D2038" w:rsidP="009C0EEC">
      <w:pPr>
        <w:pStyle w:val="NoSpacing"/>
        <w:spacing w:after="120"/>
        <w:rPr>
          <w:rFonts w:asciiTheme="minorHAnsi" w:hAnsiTheme="minorHAnsi" w:cstheme="minorHAnsi"/>
          <w:color w:val="000000"/>
          <w:sz w:val="22"/>
          <w:szCs w:val="22"/>
          <w:lang w:val="en-CA"/>
        </w:rPr>
        <w:sectPr w:rsidR="009C0EEC" w:rsidSect="00235799">
          <w:pgSz w:w="12240" w:h="15840"/>
          <w:pgMar w:top="1440" w:right="1080" w:bottom="1440" w:left="1080" w:header="709" w:footer="284" w:gutter="0"/>
          <w:cols w:space="708"/>
          <w:titlePg/>
          <w:docGrid w:linePitch="360"/>
        </w:sectPr>
      </w:pPr>
      <w:r w:rsidRPr="008D0AC6">
        <w:rPr>
          <w:rFonts w:asciiTheme="minorHAnsi" w:hAnsiTheme="minorHAnsi" w:cstheme="minorHAnsi"/>
          <w:color w:val="000000"/>
          <w:sz w:val="22"/>
          <w:szCs w:val="22"/>
          <w:lang w:val="en-CA"/>
        </w:rPr>
        <w:t>Organizational recommendations can be found in the National Energy Board – Employment Equity Report 2018-2019.</w:t>
      </w:r>
    </w:p>
    <w:p w14:paraId="3AB97AAD" w14:textId="55BBE660" w:rsidR="0062414E" w:rsidRPr="009C0EEC" w:rsidRDefault="00753DD5" w:rsidP="009C0EEC">
      <w:pPr>
        <w:pStyle w:val="Heading1"/>
        <w:spacing w:after="120"/>
        <w:rPr>
          <w:rFonts w:cstheme="majorHAnsi"/>
          <w:lang w:val="en-CA"/>
        </w:rPr>
      </w:pPr>
      <w:r w:rsidRPr="009C0EEC">
        <w:rPr>
          <w:rFonts w:cstheme="majorHAnsi"/>
          <w:lang w:val="en-CA"/>
        </w:rPr>
        <w:lastRenderedPageBreak/>
        <w:t>Priority Entitlements and Veterans</w:t>
      </w:r>
    </w:p>
    <w:p w14:paraId="78A42366" w14:textId="77777777" w:rsidR="0062414E" w:rsidRPr="00264AD9" w:rsidRDefault="0062414E" w:rsidP="009C0EEC">
      <w:pPr>
        <w:pStyle w:val="Heading2"/>
        <w:spacing w:after="120"/>
        <w:rPr>
          <w:rFonts w:eastAsia="Calibri"/>
          <w:lang w:val="en-CA"/>
        </w:rPr>
      </w:pPr>
      <w:r w:rsidRPr="00264AD9">
        <w:rPr>
          <w:rFonts w:eastAsia="Calibri"/>
          <w:lang w:val="en-CA"/>
        </w:rPr>
        <w:t xml:space="preserve">Appointments of Persons with a Priority Entitlement </w:t>
      </w:r>
    </w:p>
    <w:p w14:paraId="24E0C701" w14:textId="67A2A91D" w:rsidR="0083500E" w:rsidRPr="009C0EEC" w:rsidRDefault="0062414E" w:rsidP="00F42797">
      <w:pPr>
        <w:spacing w:after="120"/>
        <w:rPr>
          <w:rFonts w:asciiTheme="minorHAnsi" w:eastAsia="Calibri" w:hAnsiTheme="minorHAnsi" w:cstheme="minorHAnsi"/>
          <w:sz w:val="22"/>
          <w:szCs w:val="22"/>
          <w:lang w:val="en-CA"/>
        </w:rPr>
      </w:pPr>
      <w:r w:rsidRPr="009C0EEC">
        <w:rPr>
          <w:rFonts w:asciiTheme="minorHAnsi" w:eastAsia="Calibri" w:hAnsiTheme="minorHAnsi" w:cstheme="minorHAnsi"/>
          <w:sz w:val="22"/>
          <w:szCs w:val="22"/>
          <w:lang w:val="en-CA"/>
        </w:rPr>
        <w:t xml:space="preserve">From April 1, </w:t>
      </w:r>
      <w:proofErr w:type="gramStart"/>
      <w:r w:rsidRPr="009C0EEC">
        <w:rPr>
          <w:rFonts w:asciiTheme="minorHAnsi" w:eastAsia="Calibri" w:hAnsiTheme="minorHAnsi" w:cstheme="minorHAnsi"/>
          <w:sz w:val="22"/>
          <w:szCs w:val="22"/>
          <w:lang w:val="en-CA"/>
        </w:rPr>
        <w:t>2019</w:t>
      </w:r>
      <w:proofErr w:type="gramEnd"/>
      <w:r w:rsidRPr="009C0EEC">
        <w:rPr>
          <w:rFonts w:asciiTheme="minorHAnsi" w:eastAsia="Calibri" w:hAnsiTheme="minorHAnsi" w:cstheme="minorHAnsi"/>
          <w:sz w:val="22"/>
          <w:szCs w:val="22"/>
          <w:lang w:val="en-CA"/>
        </w:rPr>
        <w:t xml:space="preserve"> to </w:t>
      </w:r>
      <w:r w:rsidR="00EC192F" w:rsidRPr="009C0EEC">
        <w:rPr>
          <w:rFonts w:asciiTheme="minorHAnsi" w:eastAsia="Calibri" w:hAnsiTheme="minorHAnsi" w:cstheme="minorHAnsi"/>
          <w:sz w:val="22"/>
          <w:szCs w:val="22"/>
          <w:lang w:val="en-CA"/>
        </w:rPr>
        <w:t>August 20</w:t>
      </w:r>
      <w:r w:rsidRPr="009C0EEC">
        <w:rPr>
          <w:rFonts w:asciiTheme="minorHAnsi" w:eastAsia="Calibri" w:hAnsiTheme="minorHAnsi" w:cstheme="minorHAnsi"/>
          <w:sz w:val="22"/>
          <w:szCs w:val="22"/>
          <w:lang w:val="en-CA"/>
        </w:rPr>
        <w:t>, 2020</w:t>
      </w:r>
      <w:r w:rsidR="00EC192F" w:rsidRPr="009C0EEC">
        <w:rPr>
          <w:rFonts w:asciiTheme="minorHAnsi" w:eastAsia="Calibri" w:hAnsiTheme="minorHAnsi" w:cstheme="minorHAnsi"/>
          <w:sz w:val="22"/>
          <w:szCs w:val="22"/>
          <w:lang w:val="en-CA"/>
        </w:rPr>
        <w:t>,</w:t>
      </w:r>
      <w:r w:rsidRPr="009C0EEC">
        <w:rPr>
          <w:rFonts w:asciiTheme="minorHAnsi" w:eastAsia="Calibri" w:hAnsiTheme="minorHAnsi" w:cstheme="minorHAnsi"/>
          <w:sz w:val="22"/>
          <w:szCs w:val="22"/>
          <w:lang w:val="en-CA"/>
        </w:rPr>
        <w:t xml:space="preserve"> the CER has not appointed any person</w:t>
      </w:r>
      <w:r w:rsidR="002B3D4E" w:rsidRPr="009C0EEC">
        <w:rPr>
          <w:rFonts w:asciiTheme="minorHAnsi" w:eastAsia="Calibri" w:hAnsiTheme="minorHAnsi" w:cstheme="minorHAnsi"/>
          <w:sz w:val="22"/>
          <w:szCs w:val="22"/>
          <w:lang w:val="en-CA"/>
        </w:rPr>
        <w:t>s</w:t>
      </w:r>
      <w:r w:rsidRPr="009C0EEC">
        <w:rPr>
          <w:rFonts w:asciiTheme="minorHAnsi" w:eastAsia="Calibri" w:hAnsiTheme="minorHAnsi" w:cstheme="minorHAnsi"/>
          <w:sz w:val="22"/>
          <w:szCs w:val="22"/>
          <w:lang w:val="en-CA"/>
        </w:rPr>
        <w:t xml:space="preserve"> with a priority entitlement (PPE)</w:t>
      </w:r>
      <w:r w:rsidR="00EC192F" w:rsidRPr="009C0EEC">
        <w:rPr>
          <w:rFonts w:asciiTheme="minorHAnsi" w:eastAsia="Calibri" w:hAnsiTheme="minorHAnsi" w:cstheme="minorHAnsi"/>
          <w:sz w:val="22"/>
          <w:szCs w:val="22"/>
          <w:lang w:val="en-CA"/>
        </w:rPr>
        <w:t xml:space="preserve"> indeterminately</w:t>
      </w:r>
      <w:r w:rsidRPr="009C0EEC">
        <w:rPr>
          <w:rFonts w:asciiTheme="minorHAnsi" w:eastAsia="Calibri" w:hAnsiTheme="minorHAnsi" w:cstheme="minorHAnsi"/>
          <w:sz w:val="22"/>
          <w:szCs w:val="22"/>
          <w:lang w:val="en-CA"/>
        </w:rPr>
        <w:t>.</w:t>
      </w:r>
    </w:p>
    <w:p w14:paraId="3459FE0B" w14:textId="77777777" w:rsidR="0062414E" w:rsidRPr="00264AD9" w:rsidRDefault="0062414E" w:rsidP="009C0EEC">
      <w:pPr>
        <w:pStyle w:val="Heading2"/>
        <w:spacing w:after="120"/>
        <w:rPr>
          <w:rFonts w:eastAsia="Calibri"/>
          <w:lang w:val="en-CA"/>
        </w:rPr>
      </w:pPr>
      <w:r w:rsidRPr="00264AD9">
        <w:rPr>
          <w:rFonts w:eastAsia="Calibri"/>
          <w:lang w:val="en-CA"/>
        </w:rPr>
        <w:t>Appointments of Persons with a Canadian Armed Forces (CAF) Priority Entitlement</w:t>
      </w:r>
    </w:p>
    <w:p w14:paraId="22909EE4" w14:textId="051BC147" w:rsidR="0062414E" w:rsidRPr="009C0EEC" w:rsidRDefault="002B3D4E" w:rsidP="009C0EEC">
      <w:pPr>
        <w:spacing w:after="120"/>
        <w:rPr>
          <w:rFonts w:asciiTheme="minorHAnsi" w:eastAsia="Calibri" w:hAnsiTheme="minorHAnsi" w:cstheme="minorHAnsi"/>
          <w:sz w:val="22"/>
          <w:szCs w:val="22"/>
          <w:lang w:val="en-CA"/>
        </w:rPr>
      </w:pPr>
      <w:r w:rsidRPr="009C0EEC">
        <w:rPr>
          <w:rFonts w:asciiTheme="minorHAnsi" w:eastAsia="Calibri" w:hAnsiTheme="minorHAnsi" w:cstheme="minorHAnsi"/>
          <w:sz w:val="22"/>
          <w:szCs w:val="22"/>
          <w:lang w:val="en-CA"/>
        </w:rPr>
        <w:t>Since</w:t>
      </w:r>
      <w:r w:rsidR="0062414E" w:rsidRPr="009C0EEC">
        <w:rPr>
          <w:rFonts w:asciiTheme="minorHAnsi" w:eastAsia="Calibri" w:hAnsiTheme="minorHAnsi" w:cstheme="minorHAnsi"/>
          <w:sz w:val="22"/>
          <w:szCs w:val="22"/>
          <w:lang w:val="en-CA"/>
        </w:rPr>
        <w:t xml:space="preserve"> the coming into force of the </w:t>
      </w:r>
      <w:r w:rsidR="0009024D" w:rsidRPr="00F42797">
        <w:rPr>
          <w:rStyle w:val="Emphasis"/>
          <w:rFonts w:eastAsia="Calibri"/>
        </w:rPr>
        <w:t>Veterans Hiring Act</w:t>
      </w:r>
      <w:r w:rsidR="0062414E" w:rsidRPr="009C0EEC">
        <w:rPr>
          <w:rFonts w:asciiTheme="minorHAnsi" w:eastAsia="Calibri" w:hAnsiTheme="minorHAnsi" w:cstheme="minorHAnsi"/>
          <w:sz w:val="22"/>
          <w:szCs w:val="22"/>
          <w:lang w:val="en-CA"/>
        </w:rPr>
        <w:t xml:space="preserve"> on July 1, </w:t>
      </w:r>
      <w:proofErr w:type="gramStart"/>
      <w:r w:rsidR="0062414E" w:rsidRPr="009C0EEC">
        <w:rPr>
          <w:rFonts w:asciiTheme="minorHAnsi" w:eastAsia="Calibri" w:hAnsiTheme="minorHAnsi" w:cstheme="minorHAnsi"/>
          <w:sz w:val="22"/>
          <w:szCs w:val="22"/>
          <w:lang w:val="en-CA"/>
        </w:rPr>
        <w:t>2015</w:t>
      </w:r>
      <w:proofErr w:type="gramEnd"/>
      <w:r w:rsidR="0062414E" w:rsidRPr="009C0EEC">
        <w:rPr>
          <w:rFonts w:asciiTheme="minorHAnsi" w:eastAsia="Calibri" w:hAnsiTheme="minorHAnsi" w:cstheme="minorHAnsi"/>
          <w:sz w:val="22"/>
          <w:szCs w:val="22"/>
          <w:lang w:val="en-CA"/>
        </w:rPr>
        <w:t xml:space="preserve"> until </w:t>
      </w:r>
      <w:r w:rsidR="00EC192F" w:rsidRPr="009C0EEC">
        <w:rPr>
          <w:rFonts w:asciiTheme="minorHAnsi" w:eastAsia="Calibri" w:hAnsiTheme="minorHAnsi" w:cstheme="minorHAnsi"/>
          <w:sz w:val="22"/>
          <w:szCs w:val="22"/>
          <w:lang w:val="en-CA"/>
        </w:rPr>
        <w:t>August 20</w:t>
      </w:r>
      <w:r w:rsidR="0062414E" w:rsidRPr="009C0EEC">
        <w:rPr>
          <w:rFonts w:asciiTheme="minorHAnsi" w:eastAsia="Calibri" w:hAnsiTheme="minorHAnsi" w:cstheme="minorHAnsi"/>
          <w:sz w:val="22"/>
          <w:szCs w:val="22"/>
          <w:lang w:val="en-CA"/>
        </w:rPr>
        <w:t>, 2020</w:t>
      </w:r>
      <w:r w:rsidRPr="009C0EEC">
        <w:rPr>
          <w:rFonts w:asciiTheme="minorHAnsi" w:eastAsia="Calibri" w:hAnsiTheme="minorHAnsi" w:cstheme="minorHAnsi"/>
          <w:sz w:val="22"/>
          <w:szCs w:val="22"/>
          <w:lang w:val="en-CA"/>
        </w:rPr>
        <w:t>,</w:t>
      </w:r>
      <w:r w:rsidR="0062414E" w:rsidRPr="009C0EEC">
        <w:rPr>
          <w:rFonts w:asciiTheme="minorHAnsi" w:eastAsia="Calibri" w:hAnsiTheme="minorHAnsi" w:cstheme="minorHAnsi"/>
          <w:sz w:val="22"/>
          <w:szCs w:val="22"/>
          <w:lang w:val="en-CA"/>
        </w:rPr>
        <w:t xml:space="preserve"> </w:t>
      </w:r>
      <w:r w:rsidR="00CC2F76" w:rsidRPr="009C0EEC">
        <w:rPr>
          <w:rFonts w:asciiTheme="minorHAnsi" w:eastAsia="Calibri" w:hAnsiTheme="minorHAnsi" w:cstheme="minorHAnsi"/>
          <w:sz w:val="22"/>
          <w:szCs w:val="22"/>
          <w:lang w:val="en-CA"/>
        </w:rPr>
        <w:t>the CER</w:t>
      </w:r>
      <w:r w:rsidR="0062414E" w:rsidRPr="009C0EEC">
        <w:rPr>
          <w:rFonts w:asciiTheme="minorHAnsi" w:eastAsia="Calibri" w:hAnsiTheme="minorHAnsi" w:cstheme="minorHAnsi"/>
          <w:sz w:val="22"/>
          <w:szCs w:val="22"/>
          <w:lang w:val="en-CA"/>
        </w:rPr>
        <w:t xml:space="preserve"> has not made any appointments of</w:t>
      </w:r>
      <w:r w:rsidR="0062414E" w:rsidRPr="009C0EEC">
        <w:rPr>
          <w:rFonts w:asciiTheme="minorHAnsi" w:eastAsia="Calibri" w:hAnsiTheme="minorHAnsi" w:cstheme="minorHAnsi"/>
          <w:color w:val="000000"/>
          <w:sz w:val="22"/>
          <w:szCs w:val="22"/>
          <w:lang w:val="en-CA"/>
        </w:rPr>
        <w:t xml:space="preserve"> </w:t>
      </w:r>
      <w:r w:rsidR="0062414E" w:rsidRPr="009C0EEC">
        <w:rPr>
          <w:rFonts w:asciiTheme="minorHAnsi" w:eastAsia="Calibri" w:hAnsiTheme="minorHAnsi" w:cstheme="minorHAnsi"/>
          <w:sz w:val="22"/>
          <w:szCs w:val="22"/>
          <w:lang w:val="en-CA"/>
        </w:rPr>
        <w:t>persons with a CAF Priority Entitlement.</w:t>
      </w:r>
    </w:p>
    <w:p w14:paraId="3E3EC83A" w14:textId="77777777" w:rsidR="0062414E" w:rsidRPr="00264AD9" w:rsidRDefault="0062414E" w:rsidP="009C0EEC">
      <w:pPr>
        <w:pStyle w:val="Heading2"/>
        <w:spacing w:after="120"/>
        <w:rPr>
          <w:rFonts w:eastAsia="Calibri"/>
          <w:lang w:val="en-CA"/>
        </w:rPr>
      </w:pPr>
      <w:r w:rsidRPr="00264AD9">
        <w:rPr>
          <w:rFonts w:eastAsia="Calibri"/>
          <w:lang w:val="en-CA"/>
        </w:rPr>
        <w:t>Priority Clearance Requests</w:t>
      </w:r>
    </w:p>
    <w:p w14:paraId="1D4824A9" w14:textId="77777777" w:rsidR="004E5993" w:rsidRDefault="0062414E" w:rsidP="009C0EEC">
      <w:pPr>
        <w:spacing w:after="120"/>
        <w:rPr>
          <w:rFonts w:asciiTheme="minorHAnsi" w:eastAsia="Calibri" w:hAnsiTheme="minorHAnsi" w:cstheme="minorHAnsi"/>
          <w:sz w:val="22"/>
          <w:szCs w:val="22"/>
          <w:lang w:val="en-CA"/>
        </w:rPr>
      </w:pPr>
      <w:r w:rsidRPr="009C0EEC">
        <w:rPr>
          <w:rFonts w:asciiTheme="minorHAnsi" w:eastAsia="Calibri" w:hAnsiTheme="minorHAnsi" w:cstheme="minorHAnsi"/>
          <w:sz w:val="22"/>
          <w:szCs w:val="22"/>
          <w:lang w:val="en-CA"/>
        </w:rPr>
        <w:t xml:space="preserve">From April 1, </w:t>
      </w:r>
      <w:proofErr w:type="gramStart"/>
      <w:r w:rsidRPr="009C0EEC">
        <w:rPr>
          <w:rFonts w:asciiTheme="minorHAnsi" w:eastAsia="Calibri" w:hAnsiTheme="minorHAnsi" w:cstheme="minorHAnsi"/>
          <w:sz w:val="22"/>
          <w:szCs w:val="22"/>
          <w:lang w:val="en-CA"/>
        </w:rPr>
        <w:t>2019</w:t>
      </w:r>
      <w:proofErr w:type="gramEnd"/>
      <w:r w:rsidRPr="009C0EEC">
        <w:rPr>
          <w:rFonts w:asciiTheme="minorHAnsi" w:eastAsia="Calibri" w:hAnsiTheme="minorHAnsi" w:cstheme="minorHAnsi"/>
          <w:sz w:val="22"/>
          <w:szCs w:val="22"/>
          <w:lang w:val="en-CA"/>
        </w:rPr>
        <w:t xml:space="preserve"> to </w:t>
      </w:r>
      <w:r w:rsidR="00EC192F" w:rsidRPr="009C0EEC">
        <w:rPr>
          <w:rFonts w:asciiTheme="minorHAnsi" w:eastAsia="Calibri" w:hAnsiTheme="minorHAnsi" w:cstheme="minorHAnsi"/>
          <w:sz w:val="22"/>
          <w:szCs w:val="22"/>
          <w:lang w:val="en-CA"/>
        </w:rPr>
        <w:t>August 20</w:t>
      </w:r>
      <w:r w:rsidRPr="009C0EEC">
        <w:rPr>
          <w:rFonts w:asciiTheme="minorHAnsi" w:eastAsia="Calibri" w:hAnsiTheme="minorHAnsi" w:cstheme="minorHAnsi"/>
          <w:sz w:val="22"/>
          <w:szCs w:val="22"/>
          <w:lang w:val="en-CA"/>
        </w:rPr>
        <w:t xml:space="preserve">, 2020, </w:t>
      </w:r>
      <w:r w:rsidR="00B11B5F" w:rsidRPr="009C0EEC">
        <w:rPr>
          <w:rFonts w:asciiTheme="minorHAnsi" w:eastAsia="Calibri" w:hAnsiTheme="minorHAnsi" w:cstheme="minorHAnsi"/>
          <w:sz w:val="22"/>
          <w:szCs w:val="22"/>
          <w:lang w:val="en-CA"/>
        </w:rPr>
        <w:t xml:space="preserve">CER </w:t>
      </w:r>
      <w:r w:rsidRPr="009C0EEC">
        <w:rPr>
          <w:rFonts w:asciiTheme="minorHAnsi" w:eastAsia="Calibri" w:hAnsiTheme="minorHAnsi" w:cstheme="minorHAnsi"/>
          <w:sz w:val="22"/>
          <w:szCs w:val="22"/>
          <w:lang w:val="en-CA"/>
        </w:rPr>
        <w:t xml:space="preserve">submitted </w:t>
      </w:r>
      <w:r w:rsidR="00EC192F" w:rsidRPr="009C0EEC">
        <w:rPr>
          <w:rFonts w:asciiTheme="minorHAnsi" w:eastAsia="Calibri" w:hAnsiTheme="minorHAnsi" w:cstheme="minorHAnsi"/>
          <w:sz w:val="22"/>
          <w:szCs w:val="22"/>
          <w:lang w:val="en-CA"/>
        </w:rPr>
        <w:t>162</w:t>
      </w:r>
      <w:r w:rsidRPr="009C0EEC">
        <w:rPr>
          <w:rFonts w:asciiTheme="minorHAnsi" w:eastAsia="Calibri" w:hAnsiTheme="minorHAnsi" w:cstheme="minorHAnsi"/>
          <w:sz w:val="22"/>
          <w:szCs w:val="22"/>
          <w:lang w:val="en-CA"/>
        </w:rPr>
        <w:t xml:space="preserve"> priority clearance requests.</w:t>
      </w:r>
      <w:r w:rsidR="00882AEA" w:rsidRPr="009C0EEC">
        <w:rPr>
          <w:rFonts w:asciiTheme="minorHAnsi" w:eastAsia="Calibri" w:hAnsiTheme="minorHAnsi" w:cstheme="minorHAnsi"/>
          <w:sz w:val="22"/>
          <w:szCs w:val="22"/>
          <w:lang w:val="en-CA"/>
        </w:rPr>
        <w:t xml:space="preserve"> </w:t>
      </w:r>
    </w:p>
    <w:p w14:paraId="548CA4E5" w14:textId="50289030" w:rsidR="004E5993" w:rsidRPr="004E5993" w:rsidRDefault="004E5993" w:rsidP="004E5993">
      <w:pPr>
        <w:pStyle w:val="Caption"/>
        <w:keepNext/>
        <w:spacing w:after="0"/>
        <w:rPr>
          <w:rFonts w:asciiTheme="minorHAnsi" w:hAnsiTheme="minorHAnsi" w:cstheme="minorHAnsi"/>
          <w:i w:val="0"/>
          <w:iCs w:val="0"/>
          <w:color w:val="auto"/>
        </w:rPr>
      </w:pPr>
      <w:r w:rsidRPr="004E5993">
        <w:rPr>
          <w:rFonts w:asciiTheme="minorHAnsi" w:hAnsiTheme="minorHAnsi" w:cstheme="minorHAnsi"/>
          <w:i w:val="0"/>
          <w:iCs w:val="0"/>
          <w:color w:val="auto"/>
        </w:rPr>
        <w:t xml:space="preserve">Table </w:t>
      </w:r>
      <w:r w:rsidRPr="004E5993">
        <w:rPr>
          <w:rFonts w:asciiTheme="minorHAnsi" w:hAnsiTheme="minorHAnsi" w:cstheme="minorHAnsi"/>
          <w:i w:val="0"/>
          <w:iCs w:val="0"/>
          <w:color w:val="auto"/>
        </w:rPr>
        <w:fldChar w:fldCharType="begin"/>
      </w:r>
      <w:r w:rsidRPr="004E5993">
        <w:rPr>
          <w:rFonts w:asciiTheme="minorHAnsi" w:hAnsiTheme="minorHAnsi" w:cstheme="minorHAnsi"/>
          <w:i w:val="0"/>
          <w:iCs w:val="0"/>
          <w:color w:val="auto"/>
        </w:rPr>
        <w:instrText xml:space="preserve"> SEQ Table \* ARABIC </w:instrText>
      </w:r>
      <w:r w:rsidRPr="004E5993">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3</w:t>
      </w:r>
      <w:r w:rsidRPr="004E5993">
        <w:rPr>
          <w:rFonts w:asciiTheme="minorHAnsi" w:hAnsiTheme="minorHAnsi" w:cstheme="minorHAnsi"/>
          <w:i w:val="0"/>
          <w:iCs w:val="0"/>
          <w:color w:val="auto"/>
        </w:rPr>
        <w:fldChar w:fldCharType="end"/>
      </w:r>
      <w:r w:rsidRPr="004E5993">
        <w:rPr>
          <w:rFonts w:asciiTheme="minorHAnsi" w:hAnsiTheme="minorHAnsi" w:cstheme="minorHAnsi"/>
          <w:i w:val="0"/>
          <w:iCs w:val="0"/>
          <w:color w:val="auto"/>
        </w:rPr>
        <w:t>- Priority Clearance Type</w:t>
      </w:r>
    </w:p>
    <w:tbl>
      <w:tblPr>
        <w:tblStyle w:val="TableGrid"/>
        <w:tblW w:w="5000" w:type="pct"/>
        <w:jc w:val="center"/>
        <w:tblLook w:val="04A0" w:firstRow="1" w:lastRow="0" w:firstColumn="1" w:lastColumn="0" w:noHBand="0" w:noVBand="1"/>
        <w:tblDescription w:val="Priority Clearance Type"/>
      </w:tblPr>
      <w:tblGrid>
        <w:gridCol w:w="6770"/>
        <w:gridCol w:w="1232"/>
        <w:gridCol w:w="1348"/>
      </w:tblGrid>
      <w:tr w:rsidR="004E5993" w:rsidRPr="004E5993" w14:paraId="19374629" w14:textId="77777777" w:rsidTr="00F42797">
        <w:trPr>
          <w:cantSplit/>
          <w:tblHeader/>
          <w:jc w:val="center"/>
        </w:trPr>
        <w:tc>
          <w:tcPr>
            <w:tcW w:w="3620" w:type="pct"/>
          </w:tcPr>
          <w:p w14:paraId="3DEA87B0" w14:textId="77777777" w:rsidR="004E5993" w:rsidRPr="004E5993" w:rsidRDefault="004E5993" w:rsidP="004E5993">
            <w:pPr>
              <w:pStyle w:val="TableTitle"/>
              <w:rPr>
                <w:color w:val="auto"/>
                <w:sz w:val="22"/>
                <w:szCs w:val="22"/>
                <w:lang w:val="en-CA"/>
              </w:rPr>
            </w:pPr>
            <w:r w:rsidRPr="004E5993">
              <w:rPr>
                <w:color w:val="auto"/>
                <w:sz w:val="22"/>
                <w:szCs w:val="22"/>
                <w:lang w:val="en-CA"/>
              </w:rPr>
              <w:t>Priority Clearance Type</w:t>
            </w:r>
          </w:p>
        </w:tc>
        <w:tc>
          <w:tcPr>
            <w:tcW w:w="659" w:type="pct"/>
          </w:tcPr>
          <w:p w14:paraId="69642ED2" w14:textId="77777777" w:rsidR="004E5993" w:rsidRPr="004E5993" w:rsidRDefault="004E5993" w:rsidP="004E5993">
            <w:pPr>
              <w:pStyle w:val="TableTitle"/>
              <w:rPr>
                <w:color w:val="auto"/>
                <w:sz w:val="22"/>
                <w:szCs w:val="22"/>
                <w:lang w:val="en-CA"/>
              </w:rPr>
            </w:pPr>
            <w:r w:rsidRPr="004E5993">
              <w:rPr>
                <w:color w:val="auto"/>
                <w:sz w:val="22"/>
                <w:szCs w:val="22"/>
                <w:lang w:val="en-CA"/>
              </w:rPr>
              <w:t>Amount</w:t>
            </w:r>
          </w:p>
        </w:tc>
        <w:tc>
          <w:tcPr>
            <w:tcW w:w="721" w:type="pct"/>
          </w:tcPr>
          <w:p w14:paraId="43651DDB" w14:textId="77777777" w:rsidR="004E5993" w:rsidRPr="004E5993" w:rsidRDefault="004E5993" w:rsidP="004E5993">
            <w:pPr>
              <w:pStyle w:val="TableTitle"/>
              <w:rPr>
                <w:color w:val="auto"/>
                <w:sz w:val="22"/>
                <w:szCs w:val="22"/>
                <w:lang w:val="en-CA"/>
              </w:rPr>
            </w:pPr>
            <w:r w:rsidRPr="004E5993">
              <w:rPr>
                <w:color w:val="auto"/>
                <w:sz w:val="22"/>
                <w:szCs w:val="22"/>
                <w:lang w:val="en-CA"/>
              </w:rPr>
              <w:t>Percentage</w:t>
            </w:r>
          </w:p>
        </w:tc>
      </w:tr>
      <w:tr w:rsidR="004E5993" w:rsidRPr="004E5993" w14:paraId="64F48D11" w14:textId="77777777" w:rsidTr="00F42797">
        <w:trPr>
          <w:cantSplit/>
          <w:trHeight w:val="1237"/>
          <w:tblHeader/>
          <w:jc w:val="center"/>
        </w:trPr>
        <w:tc>
          <w:tcPr>
            <w:tcW w:w="3620" w:type="pct"/>
          </w:tcPr>
          <w:p w14:paraId="788B4013"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Internal advertised processes</w:t>
            </w:r>
          </w:p>
          <w:p w14:paraId="1126070D" w14:textId="77777777" w:rsidR="004E5993" w:rsidRPr="004E5993" w:rsidRDefault="004E5993" w:rsidP="008C7A1D">
            <w:pPr>
              <w:numPr>
                <w:ilvl w:val="0"/>
                <w:numId w:val="45"/>
              </w:numPr>
              <w:rPr>
                <w:rFonts w:asciiTheme="minorHAnsi" w:hAnsiTheme="minorHAnsi" w:cstheme="minorHAnsi"/>
                <w:sz w:val="22"/>
                <w:szCs w:val="22"/>
                <w:lang w:val="en-CA"/>
              </w:rPr>
            </w:pPr>
            <w:r w:rsidRPr="004E5993">
              <w:rPr>
                <w:rFonts w:asciiTheme="minorHAnsi" w:hAnsiTheme="minorHAnsi" w:cstheme="minorHAnsi"/>
                <w:sz w:val="22"/>
                <w:szCs w:val="22"/>
                <w:lang w:val="en-CA"/>
              </w:rPr>
              <w:t>Internal advertised (12)</w:t>
            </w:r>
          </w:p>
          <w:p w14:paraId="7AE931CB" w14:textId="77777777" w:rsidR="004E5993" w:rsidRPr="004E5993" w:rsidRDefault="004E5993" w:rsidP="008C7A1D">
            <w:pPr>
              <w:numPr>
                <w:ilvl w:val="0"/>
                <w:numId w:val="45"/>
              </w:numPr>
              <w:rPr>
                <w:rFonts w:asciiTheme="minorHAnsi" w:hAnsiTheme="minorHAnsi" w:cstheme="minorHAnsi"/>
                <w:sz w:val="22"/>
                <w:szCs w:val="22"/>
                <w:lang w:val="en-CA"/>
              </w:rPr>
            </w:pPr>
            <w:r w:rsidRPr="004E5993">
              <w:rPr>
                <w:rFonts w:asciiTheme="minorHAnsi" w:hAnsiTheme="minorHAnsi" w:cstheme="minorHAnsi"/>
                <w:sz w:val="22"/>
                <w:szCs w:val="22"/>
                <w:lang w:val="en-CA"/>
              </w:rPr>
              <w:t>Appointment from a previously established pool (12)</w:t>
            </w:r>
          </w:p>
          <w:p w14:paraId="5F28422A" w14:textId="77777777" w:rsidR="004E5993" w:rsidRPr="004E5993" w:rsidRDefault="004E5993" w:rsidP="008C7A1D">
            <w:pPr>
              <w:numPr>
                <w:ilvl w:val="0"/>
                <w:numId w:val="45"/>
              </w:numPr>
              <w:rPr>
                <w:rFonts w:asciiTheme="minorHAnsi" w:hAnsiTheme="minorHAnsi" w:cstheme="minorHAnsi"/>
                <w:sz w:val="22"/>
                <w:szCs w:val="22"/>
                <w:lang w:val="en-CA"/>
              </w:rPr>
            </w:pPr>
            <w:r w:rsidRPr="004E5993">
              <w:rPr>
                <w:rFonts w:asciiTheme="minorHAnsi" w:hAnsiTheme="minorHAnsi" w:cstheme="minorHAnsi"/>
                <w:sz w:val="22"/>
                <w:szCs w:val="22"/>
                <w:lang w:val="en-CA"/>
              </w:rPr>
              <w:t>Employment Equity (EE) process (1)</w:t>
            </w:r>
          </w:p>
        </w:tc>
        <w:tc>
          <w:tcPr>
            <w:tcW w:w="659" w:type="pct"/>
          </w:tcPr>
          <w:p w14:paraId="267F2432"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25</w:t>
            </w:r>
          </w:p>
        </w:tc>
        <w:tc>
          <w:tcPr>
            <w:tcW w:w="721" w:type="pct"/>
          </w:tcPr>
          <w:p w14:paraId="769C4AF5"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15.4%</w:t>
            </w:r>
          </w:p>
        </w:tc>
      </w:tr>
      <w:tr w:rsidR="004E5993" w:rsidRPr="004E5993" w14:paraId="004DBC66" w14:textId="77777777" w:rsidTr="00F42797">
        <w:trPr>
          <w:cantSplit/>
          <w:tblHeader/>
          <w:jc w:val="center"/>
        </w:trPr>
        <w:tc>
          <w:tcPr>
            <w:tcW w:w="3620" w:type="pct"/>
          </w:tcPr>
          <w:p w14:paraId="14D4ACF4"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Internal non-advertised processes</w:t>
            </w:r>
          </w:p>
        </w:tc>
        <w:tc>
          <w:tcPr>
            <w:tcW w:w="659" w:type="pct"/>
          </w:tcPr>
          <w:p w14:paraId="3DFBD612"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23</w:t>
            </w:r>
          </w:p>
        </w:tc>
        <w:tc>
          <w:tcPr>
            <w:tcW w:w="721" w:type="pct"/>
          </w:tcPr>
          <w:p w14:paraId="01504AAF"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14.2%</w:t>
            </w:r>
          </w:p>
        </w:tc>
      </w:tr>
      <w:tr w:rsidR="004E5993" w:rsidRPr="004E5993" w14:paraId="78B59667" w14:textId="77777777" w:rsidTr="00F42797">
        <w:trPr>
          <w:cantSplit/>
          <w:trHeight w:val="1202"/>
          <w:tblHeader/>
          <w:jc w:val="center"/>
        </w:trPr>
        <w:tc>
          <w:tcPr>
            <w:tcW w:w="3620" w:type="pct"/>
          </w:tcPr>
          <w:p w14:paraId="41413799"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 xml:space="preserve">External advertised processes </w:t>
            </w:r>
          </w:p>
          <w:p w14:paraId="7DFEC3CD" w14:textId="77777777" w:rsidR="004E5993" w:rsidRPr="004E5993" w:rsidRDefault="004E5993" w:rsidP="008C7A1D">
            <w:pPr>
              <w:numPr>
                <w:ilvl w:val="0"/>
                <w:numId w:val="46"/>
              </w:numPr>
              <w:rPr>
                <w:rFonts w:asciiTheme="minorHAnsi" w:hAnsiTheme="minorHAnsi" w:cstheme="minorHAnsi"/>
                <w:sz w:val="22"/>
                <w:szCs w:val="22"/>
                <w:lang w:val="en-CA"/>
              </w:rPr>
            </w:pPr>
            <w:r w:rsidRPr="004E5993">
              <w:rPr>
                <w:rFonts w:asciiTheme="minorHAnsi" w:hAnsiTheme="minorHAnsi" w:cstheme="minorHAnsi"/>
                <w:sz w:val="22"/>
                <w:szCs w:val="22"/>
                <w:lang w:val="en-CA"/>
              </w:rPr>
              <w:t>External advertised (43)</w:t>
            </w:r>
          </w:p>
          <w:p w14:paraId="31AA9466" w14:textId="77777777" w:rsidR="004E5993" w:rsidRPr="004E5993" w:rsidRDefault="004E5993" w:rsidP="008C7A1D">
            <w:pPr>
              <w:numPr>
                <w:ilvl w:val="0"/>
                <w:numId w:val="46"/>
              </w:numPr>
              <w:rPr>
                <w:rFonts w:asciiTheme="minorHAnsi" w:hAnsiTheme="minorHAnsi" w:cstheme="minorHAnsi"/>
                <w:sz w:val="22"/>
                <w:szCs w:val="22"/>
                <w:lang w:val="en-CA"/>
              </w:rPr>
            </w:pPr>
            <w:r w:rsidRPr="004E5993">
              <w:rPr>
                <w:rFonts w:asciiTheme="minorHAnsi" w:hAnsiTheme="minorHAnsi" w:cstheme="minorHAnsi"/>
                <w:sz w:val="22"/>
                <w:szCs w:val="22"/>
                <w:lang w:val="en-CA"/>
              </w:rPr>
              <w:t>Appointment from a previously established pool (25)</w:t>
            </w:r>
          </w:p>
          <w:p w14:paraId="780BC985" w14:textId="77777777" w:rsidR="004E5993" w:rsidRPr="004E5993" w:rsidRDefault="004E5993" w:rsidP="008C7A1D">
            <w:pPr>
              <w:numPr>
                <w:ilvl w:val="0"/>
                <w:numId w:val="46"/>
              </w:numPr>
              <w:rPr>
                <w:rFonts w:asciiTheme="minorHAnsi" w:hAnsiTheme="minorHAnsi" w:cstheme="minorHAnsi"/>
                <w:sz w:val="22"/>
                <w:szCs w:val="22"/>
                <w:lang w:val="en-CA"/>
              </w:rPr>
            </w:pPr>
            <w:r w:rsidRPr="004E5993">
              <w:rPr>
                <w:rFonts w:asciiTheme="minorHAnsi" w:hAnsiTheme="minorHAnsi" w:cstheme="minorHAnsi"/>
                <w:sz w:val="22"/>
                <w:szCs w:val="22"/>
                <w:lang w:val="en-CA"/>
              </w:rPr>
              <w:t>EE process (4)</w:t>
            </w:r>
          </w:p>
        </w:tc>
        <w:tc>
          <w:tcPr>
            <w:tcW w:w="659" w:type="pct"/>
          </w:tcPr>
          <w:p w14:paraId="773EE38E"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72</w:t>
            </w:r>
          </w:p>
        </w:tc>
        <w:tc>
          <w:tcPr>
            <w:tcW w:w="721" w:type="pct"/>
          </w:tcPr>
          <w:p w14:paraId="42ACC2AF"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44.4%</w:t>
            </w:r>
          </w:p>
        </w:tc>
      </w:tr>
      <w:tr w:rsidR="004E5993" w:rsidRPr="004E5993" w14:paraId="02A43074" w14:textId="77777777" w:rsidTr="00F42797">
        <w:trPr>
          <w:cantSplit/>
          <w:tblHeader/>
          <w:jc w:val="center"/>
        </w:trPr>
        <w:tc>
          <w:tcPr>
            <w:tcW w:w="3620" w:type="pct"/>
          </w:tcPr>
          <w:p w14:paraId="6957DDA9"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External non-advertised processes</w:t>
            </w:r>
          </w:p>
        </w:tc>
        <w:tc>
          <w:tcPr>
            <w:tcW w:w="659" w:type="pct"/>
          </w:tcPr>
          <w:p w14:paraId="6ADF7A21"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39</w:t>
            </w:r>
          </w:p>
        </w:tc>
        <w:tc>
          <w:tcPr>
            <w:tcW w:w="721" w:type="pct"/>
          </w:tcPr>
          <w:p w14:paraId="1A5D26BF"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24.1%</w:t>
            </w:r>
          </w:p>
        </w:tc>
      </w:tr>
      <w:tr w:rsidR="004E5993" w:rsidRPr="004E5993" w14:paraId="79CD832B" w14:textId="77777777" w:rsidTr="00F42797">
        <w:trPr>
          <w:cantSplit/>
          <w:tblHeader/>
          <w:jc w:val="center"/>
        </w:trPr>
        <w:tc>
          <w:tcPr>
            <w:tcW w:w="3620" w:type="pct"/>
          </w:tcPr>
          <w:p w14:paraId="6FE3750E"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Appointment of persons with a priority entitlement (includes term and indeterminate appointments)</w:t>
            </w:r>
          </w:p>
        </w:tc>
        <w:tc>
          <w:tcPr>
            <w:tcW w:w="659" w:type="pct"/>
          </w:tcPr>
          <w:p w14:paraId="040E8CA8"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0</w:t>
            </w:r>
          </w:p>
        </w:tc>
        <w:tc>
          <w:tcPr>
            <w:tcW w:w="721" w:type="pct"/>
          </w:tcPr>
          <w:p w14:paraId="3D36C918"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0%</w:t>
            </w:r>
          </w:p>
        </w:tc>
      </w:tr>
      <w:tr w:rsidR="004E5993" w:rsidRPr="004E5993" w14:paraId="4F364387" w14:textId="77777777" w:rsidTr="00F42797">
        <w:trPr>
          <w:cantSplit/>
          <w:tblHeader/>
          <w:jc w:val="center"/>
        </w:trPr>
        <w:tc>
          <w:tcPr>
            <w:tcW w:w="3620" w:type="pct"/>
          </w:tcPr>
          <w:p w14:paraId="5C2E0693"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Student bridging</w:t>
            </w:r>
          </w:p>
        </w:tc>
        <w:tc>
          <w:tcPr>
            <w:tcW w:w="659" w:type="pct"/>
          </w:tcPr>
          <w:p w14:paraId="6CBF1C47"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2</w:t>
            </w:r>
          </w:p>
        </w:tc>
        <w:tc>
          <w:tcPr>
            <w:tcW w:w="721" w:type="pct"/>
          </w:tcPr>
          <w:p w14:paraId="7AACB8B0"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1.2%</w:t>
            </w:r>
          </w:p>
        </w:tc>
      </w:tr>
      <w:tr w:rsidR="004E5993" w:rsidRPr="004E5993" w14:paraId="05809020" w14:textId="77777777" w:rsidTr="00F42797">
        <w:trPr>
          <w:cantSplit/>
          <w:tblHeader/>
          <w:jc w:val="center"/>
        </w:trPr>
        <w:tc>
          <w:tcPr>
            <w:tcW w:w="3620" w:type="pct"/>
          </w:tcPr>
          <w:p w14:paraId="6FC97B2A"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Section 43</w:t>
            </w:r>
          </w:p>
        </w:tc>
        <w:tc>
          <w:tcPr>
            <w:tcW w:w="659" w:type="pct"/>
          </w:tcPr>
          <w:p w14:paraId="1F86F465"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1</w:t>
            </w:r>
          </w:p>
        </w:tc>
        <w:tc>
          <w:tcPr>
            <w:tcW w:w="721" w:type="pct"/>
          </w:tcPr>
          <w:p w14:paraId="175A7D2B" w14:textId="77777777" w:rsidR="004E5993" w:rsidRPr="004E5993" w:rsidRDefault="004E5993" w:rsidP="008C7A1D">
            <w:pPr>
              <w:rPr>
                <w:rFonts w:asciiTheme="minorHAnsi" w:hAnsiTheme="minorHAnsi" w:cstheme="minorHAnsi"/>
                <w:sz w:val="22"/>
                <w:szCs w:val="22"/>
                <w:lang w:val="en-CA"/>
              </w:rPr>
            </w:pPr>
            <w:r w:rsidRPr="004E5993">
              <w:rPr>
                <w:rFonts w:asciiTheme="minorHAnsi" w:hAnsiTheme="minorHAnsi" w:cstheme="minorHAnsi"/>
                <w:sz w:val="22"/>
                <w:szCs w:val="22"/>
                <w:lang w:val="en-CA"/>
              </w:rPr>
              <w:t>0.6%</w:t>
            </w:r>
          </w:p>
        </w:tc>
      </w:tr>
      <w:tr w:rsidR="004E5993" w:rsidRPr="004E5993" w14:paraId="320B1712" w14:textId="77777777" w:rsidTr="00F42797">
        <w:trPr>
          <w:cantSplit/>
          <w:tblHeader/>
          <w:jc w:val="center"/>
        </w:trPr>
        <w:tc>
          <w:tcPr>
            <w:tcW w:w="3620" w:type="pct"/>
          </w:tcPr>
          <w:p w14:paraId="3025C343" w14:textId="77777777" w:rsidR="004E5993" w:rsidRPr="004E5993" w:rsidRDefault="004E5993" w:rsidP="008C7A1D">
            <w:pPr>
              <w:rPr>
                <w:rFonts w:asciiTheme="minorHAnsi" w:hAnsiTheme="minorHAnsi" w:cstheme="minorHAnsi"/>
                <w:bCs/>
                <w:sz w:val="22"/>
                <w:szCs w:val="22"/>
                <w:lang w:val="en-CA"/>
              </w:rPr>
            </w:pPr>
            <w:r w:rsidRPr="004E5993">
              <w:rPr>
                <w:rFonts w:asciiTheme="minorHAnsi" w:hAnsiTheme="minorHAnsi" w:cstheme="minorHAnsi"/>
                <w:bCs/>
                <w:sz w:val="22"/>
                <w:szCs w:val="22"/>
                <w:lang w:val="en-CA"/>
              </w:rPr>
              <w:t>Total</w:t>
            </w:r>
          </w:p>
        </w:tc>
        <w:tc>
          <w:tcPr>
            <w:tcW w:w="659" w:type="pct"/>
          </w:tcPr>
          <w:p w14:paraId="33C0BE8D" w14:textId="77777777" w:rsidR="004E5993" w:rsidRPr="004E5993" w:rsidRDefault="004E5993" w:rsidP="008C7A1D">
            <w:pPr>
              <w:rPr>
                <w:rFonts w:asciiTheme="minorHAnsi" w:hAnsiTheme="minorHAnsi" w:cstheme="minorHAnsi"/>
                <w:bCs/>
                <w:sz w:val="22"/>
                <w:szCs w:val="22"/>
                <w:lang w:val="en-CA"/>
              </w:rPr>
            </w:pPr>
            <w:r w:rsidRPr="004E5993">
              <w:rPr>
                <w:rFonts w:asciiTheme="minorHAnsi" w:hAnsiTheme="minorHAnsi" w:cstheme="minorHAnsi"/>
                <w:bCs/>
                <w:sz w:val="22"/>
                <w:szCs w:val="22"/>
                <w:lang w:val="en-CA"/>
              </w:rPr>
              <w:t>162</w:t>
            </w:r>
          </w:p>
        </w:tc>
        <w:tc>
          <w:tcPr>
            <w:tcW w:w="721" w:type="pct"/>
          </w:tcPr>
          <w:p w14:paraId="045AFF91" w14:textId="77777777" w:rsidR="004E5993" w:rsidRPr="004E5993" w:rsidRDefault="004E5993" w:rsidP="008C7A1D">
            <w:pPr>
              <w:rPr>
                <w:rFonts w:asciiTheme="minorHAnsi" w:hAnsiTheme="minorHAnsi" w:cstheme="minorHAnsi"/>
                <w:bCs/>
                <w:sz w:val="22"/>
                <w:szCs w:val="22"/>
                <w:lang w:val="en-CA"/>
              </w:rPr>
            </w:pPr>
            <w:r w:rsidRPr="004E5993">
              <w:rPr>
                <w:rFonts w:asciiTheme="minorHAnsi" w:hAnsiTheme="minorHAnsi" w:cstheme="minorHAnsi"/>
                <w:bCs/>
                <w:sz w:val="22"/>
                <w:szCs w:val="22"/>
                <w:lang w:val="en-CA"/>
              </w:rPr>
              <w:t>100%</w:t>
            </w:r>
          </w:p>
        </w:tc>
      </w:tr>
    </w:tbl>
    <w:p w14:paraId="6E80EC9F" w14:textId="77777777" w:rsidR="004E5993" w:rsidRPr="004E5993" w:rsidRDefault="004E5993" w:rsidP="004E5993">
      <w:pPr>
        <w:spacing w:after="120"/>
        <w:rPr>
          <w:rFonts w:asciiTheme="minorHAnsi" w:eastAsia="Calibri" w:hAnsiTheme="minorHAnsi" w:cstheme="minorHAnsi"/>
          <w:sz w:val="22"/>
          <w:szCs w:val="22"/>
          <w:lang w:val="en-CA"/>
        </w:rPr>
      </w:pPr>
      <w:r w:rsidRPr="004E5993">
        <w:rPr>
          <w:rFonts w:asciiTheme="minorHAnsi" w:eastAsia="Calibri" w:hAnsiTheme="minorHAnsi" w:cstheme="minorHAnsi"/>
          <w:sz w:val="22"/>
          <w:szCs w:val="22"/>
          <w:lang w:val="en-CA"/>
        </w:rPr>
        <w:t>Source: Priority Information Management System</w:t>
      </w:r>
    </w:p>
    <w:p w14:paraId="7420C3DB" w14:textId="77777777" w:rsidR="004F3D6A" w:rsidRPr="009C0EEC" w:rsidRDefault="00882AEA" w:rsidP="009C0EEC">
      <w:pPr>
        <w:pStyle w:val="NoSpacing"/>
        <w:rPr>
          <w:rFonts w:asciiTheme="minorHAnsi" w:hAnsiTheme="minorHAnsi" w:cstheme="minorHAnsi"/>
          <w:sz w:val="22"/>
          <w:szCs w:val="22"/>
          <w:lang w:val="en-CA"/>
        </w:rPr>
      </w:pPr>
      <w:r w:rsidRPr="009C0EEC">
        <w:rPr>
          <w:rFonts w:asciiTheme="minorHAnsi" w:hAnsiTheme="minorHAnsi" w:cstheme="minorHAnsi"/>
          <w:color w:val="000000"/>
          <w:sz w:val="22"/>
          <w:szCs w:val="22"/>
          <w:lang w:val="en-CA"/>
        </w:rPr>
        <w:t xml:space="preserve">Since the </w:t>
      </w:r>
      <w:r w:rsidRPr="009C0EEC">
        <w:rPr>
          <w:rFonts w:asciiTheme="minorHAnsi" w:hAnsiTheme="minorHAnsi" w:cstheme="minorHAnsi"/>
          <w:sz w:val="22"/>
          <w:szCs w:val="22"/>
          <w:lang w:val="en-CA"/>
        </w:rPr>
        <w:t>Priority Entitlements Policy Division began monitoring priority entitlement clearances related to C</w:t>
      </w:r>
      <w:r w:rsidR="002B3D4E" w:rsidRPr="009C0EEC">
        <w:rPr>
          <w:rFonts w:asciiTheme="minorHAnsi" w:hAnsiTheme="minorHAnsi" w:cstheme="minorHAnsi"/>
          <w:sz w:val="22"/>
          <w:szCs w:val="22"/>
          <w:lang w:val="en-CA"/>
        </w:rPr>
        <w:t>ovid</w:t>
      </w:r>
      <w:r w:rsidRPr="009C0EEC">
        <w:rPr>
          <w:rFonts w:asciiTheme="minorHAnsi" w:hAnsiTheme="minorHAnsi" w:cstheme="minorHAnsi"/>
          <w:sz w:val="22"/>
          <w:szCs w:val="22"/>
          <w:lang w:val="en-CA"/>
        </w:rPr>
        <w:t>-19, the CER has submitted 5 reque</w:t>
      </w:r>
      <w:r w:rsidR="002B3D4E" w:rsidRPr="009C0EEC">
        <w:rPr>
          <w:rFonts w:asciiTheme="minorHAnsi" w:hAnsiTheme="minorHAnsi" w:cstheme="minorHAnsi"/>
          <w:sz w:val="22"/>
          <w:szCs w:val="22"/>
          <w:lang w:val="en-CA"/>
        </w:rPr>
        <w:t>sts to the PSC for NB positions:</w:t>
      </w:r>
    </w:p>
    <w:p w14:paraId="04D62280" w14:textId="77777777" w:rsidR="00A917E6" w:rsidRPr="009C0EEC" w:rsidRDefault="00A917E6" w:rsidP="009C0EEC">
      <w:pPr>
        <w:pStyle w:val="NoSpacing"/>
        <w:numPr>
          <w:ilvl w:val="0"/>
          <w:numId w:val="24"/>
        </w:numPr>
        <w:rPr>
          <w:rFonts w:asciiTheme="minorHAnsi" w:hAnsiTheme="minorHAnsi" w:cstheme="minorHAnsi"/>
          <w:sz w:val="22"/>
          <w:szCs w:val="22"/>
          <w:lang w:val="en-CA"/>
        </w:rPr>
      </w:pPr>
      <w:r w:rsidRPr="009C0EEC">
        <w:rPr>
          <w:rFonts w:asciiTheme="minorHAnsi" w:hAnsiTheme="minorHAnsi" w:cstheme="minorHAnsi"/>
          <w:sz w:val="22"/>
          <w:szCs w:val="22"/>
          <w:lang w:val="en-CA"/>
        </w:rPr>
        <w:t>2 AS equivalents,</w:t>
      </w:r>
    </w:p>
    <w:p w14:paraId="05D93050" w14:textId="77777777" w:rsidR="00A917E6" w:rsidRPr="009C0EEC" w:rsidRDefault="00882AEA" w:rsidP="009C0EEC">
      <w:pPr>
        <w:pStyle w:val="NoSpacing"/>
        <w:numPr>
          <w:ilvl w:val="0"/>
          <w:numId w:val="24"/>
        </w:numPr>
        <w:rPr>
          <w:rFonts w:asciiTheme="minorHAnsi" w:hAnsiTheme="minorHAnsi" w:cstheme="minorHAnsi"/>
          <w:sz w:val="22"/>
          <w:szCs w:val="22"/>
          <w:lang w:val="en-CA"/>
        </w:rPr>
      </w:pPr>
      <w:r w:rsidRPr="009C0EEC">
        <w:rPr>
          <w:rFonts w:asciiTheme="minorHAnsi" w:hAnsiTheme="minorHAnsi" w:cstheme="minorHAnsi"/>
          <w:sz w:val="22"/>
          <w:szCs w:val="22"/>
          <w:lang w:val="en-CA"/>
        </w:rPr>
        <w:t>1 EN equivalent</w:t>
      </w:r>
      <w:r w:rsidR="00FD70D0" w:rsidRPr="009C0EEC">
        <w:rPr>
          <w:rFonts w:asciiTheme="minorHAnsi" w:hAnsiTheme="minorHAnsi" w:cstheme="minorHAnsi"/>
          <w:sz w:val="22"/>
          <w:szCs w:val="22"/>
          <w:lang w:val="en-CA"/>
        </w:rPr>
        <w:t>,</w:t>
      </w:r>
      <w:r w:rsidR="00A917E6" w:rsidRPr="009C0EEC">
        <w:rPr>
          <w:rFonts w:asciiTheme="minorHAnsi" w:hAnsiTheme="minorHAnsi" w:cstheme="minorHAnsi"/>
          <w:sz w:val="22"/>
          <w:szCs w:val="22"/>
          <w:lang w:val="en-CA"/>
        </w:rPr>
        <w:t xml:space="preserve"> and</w:t>
      </w:r>
    </w:p>
    <w:p w14:paraId="6DECFE18" w14:textId="781F2508" w:rsidR="00882AEA" w:rsidRPr="009C0EEC" w:rsidRDefault="00882AEA" w:rsidP="009C0EEC">
      <w:pPr>
        <w:pStyle w:val="NoSpacing"/>
        <w:numPr>
          <w:ilvl w:val="0"/>
          <w:numId w:val="24"/>
        </w:numPr>
        <w:spacing w:after="120"/>
        <w:rPr>
          <w:rFonts w:asciiTheme="minorHAnsi" w:hAnsiTheme="minorHAnsi" w:cstheme="minorHAnsi"/>
          <w:sz w:val="22"/>
          <w:szCs w:val="22"/>
          <w:lang w:val="en-CA"/>
        </w:rPr>
      </w:pPr>
      <w:r w:rsidRPr="009C0EEC">
        <w:rPr>
          <w:rFonts w:asciiTheme="minorHAnsi" w:hAnsiTheme="minorHAnsi" w:cstheme="minorHAnsi"/>
          <w:sz w:val="22"/>
          <w:szCs w:val="22"/>
          <w:lang w:val="en-CA"/>
        </w:rPr>
        <w:t>2 EX equivalents.</w:t>
      </w:r>
    </w:p>
    <w:p w14:paraId="37DCCA8B" w14:textId="77777777" w:rsidR="0062414E" w:rsidRPr="00264AD9" w:rsidRDefault="0062414E" w:rsidP="009C0EEC">
      <w:pPr>
        <w:pStyle w:val="Heading2"/>
        <w:spacing w:after="120"/>
        <w:rPr>
          <w:rFonts w:eastAsia="Calibri"/>
          <w:lang w:val="en-CA"/>
        </w:rPr>
      </w:pPr>
      <w:r w:rsidRPr="00264AD9">
        <w:rPr>
          <w:rFonts w:eastAsia="Calibri"/>
          <w:lang w:val="en-CA"/>
        </w:rPr>
        <w:lastRenderedPageBreak/>
        <w:t>Persons with a Priority Entitlement</w:t>
      </w:r>
    </w:p>
    <w:p w14:paraId="061A2DC9" w14:textId="574C9AF3" w:rsidR="0062414E" w:rsidRPr="009C0EEC" w:rsidRDefault="00FD70D0" w:rsidP="009C0EEC">
      <w:pPr>
        <w:rPr>
          <w:rFonts w:asciiTheme="minorHAnsi" w:eastAsia="Calibri" w:hAnsiTheme="minorHAnsi" w:cstheme="minorHAnsi"/>
          <w:sz w:val="22"/>
          <w:szCs w:val="22"/>
          <w:lang w:val="en-CA"/>
        </w:rPr>
      </w:pPr>
      <w:r w:rsidRPr="009C0EEC">
        <w:rPr>
          <w:rFonts w:asciiTheme="minorHAnsi" w:eastAsia="Calibri" w:hAnsiTheme="minorHAnsi" w:cstheme="minorHAnsi"/>
          <w:sz w:val="22"/>
          <w:szCs w:val="22"/>
          <w:lang w:val="en-CA"/>
        </w:rPr>
        <w:t xml:space="preserve">As of </w:t>
      </w:r>
      <w:r w:rsidR="00321F63" w:rsidRPr="009C0EEC">
        <w:rPr>
          <w:rFonts w:asciiTheme="minorHAnsi" w:eastAsia="Calibri" w:hAnsiTheme="minorHAnsi" w:cstheme="minorHAnsi"/>
          <w:sz w:val="22"/>
          <w:szCs w:val="22"/>
          <w:lang w:val="en-CA"/>
        </w:rPr>
        <w:t>August 21</w:t>
      </w:r>
      <w:r w:rsidRPr="009C0EEC">
        <w:rPr>
          <w:rFonts w:asciiTheme="minorHAnsi" w:eastAsia="Calibri" w:hAnsiTheme="minorHAnsi" w:cstheme="minorHAnsi"/>
          <w:sz w:val="22"/>
          <w:szCs w:val="22"/>
          <w:lang w:val="en-CA"/>
        </w:rPr>
        <w:t>, 2020, t</w:t>
      </w:r>
      <w:r w:rsidR="00882AEA" w:rsidRPr="009C0EEC">
        <w:rPr>
          <w:rFonts w:asciiTheme="minorHAnsi" w:eastAsia="Calibri" w:hAnsiTheme="minorHAnsi" w:cstheme="minorHAnsi"/>
          <w:sz w:val="22"/>
          <w:szCs w:val="22"/>
          <w:lang w:val="en-CA"/>
        </w:rPr>
        <w:t>he CER</w:t>
      </w:r>
      <w:r w:rsidR="0062414E" w:rsidRPr="009C0EEC">
        <w:rPr>
          <w:rFonts w:asciiTheme="minorHAnsi" w:eastAsia="Calibri" w:hAnsiTheme="minorHAnsi" w:cstheme="minorHAnsi"/>
          <w:sz w:val="22"/>
          <w:szCs w:val="22"/>
          <w:lang w:val="en-CA"/>
        </w:rPr>
        <w:t xml:space="preserve"> had 5 PPEs activated in </w:t>
      </w:r>
      <w:r w:rsidRPr="009C0EEC">
        <w:rPr>
          <w:rFonts w:asciiTheme="minorHAnsi" w:eastAsia="Calibri" w:hAnsiTheme="minorHAnsi" w:cstheme="minorHAnsi"/>
          <w:sz w:val="22"/>
          <w:szCs w:val="22"/>
          <w:lang w:val="en-CA"/>
        </w:rPr>
        <w:t>the Priority Information Management System</w:t>
      </w:r>
      <w:r w:rsidR="0062414E" w:rsidRPr="009C0EEC">
        <w:rPr>
          <w:rFonts w:asciiTheme="minorHAnsi" w:eastAsia="Calibri" w:hAnsiTheme="minorHAnsi" w:cstheme="minorHAnsi"/>
          <w:sz w:val="22"/>
          <w:szCs w:val="22"/>
          <w:lang w:val="en-CA"/>
        </w:rPr>
        <w:t>:</w:t>
      </w:r>
    </w:p>
    <w:p w14:paraId="355B28F3" w14:textId="4E1369F8" w:rsidR="0062414E" w:rsidRPr="009C0EEC" w:rsidRDefault="00321F63" w:rsidP="009C0EEC">
      <w:pPr>
        <w:numPr>
          <w:ilvl w:val="0"/>
          <w:numId w:val="44"/>
        </w:numPr>
        <w:contextualSpacing/>
        <w:rPr>
          <w:rFonts w:asciiTheme="minorHAnsi" w:eastAsia="Calibri" w:hAnsiTheme="minorHAnsi" w:cstheme="minorHAnsi"/>
          <w:sz w:val="22"/>
          <w:szCs w:val="22"/>
          <w:lang w:val="en-CA"/>
        </w:rPr>
      </w:pPr>
      <w:r w:rsidRPr="009C0EEC">
        <w:rPr>
          <w:rFonts w:asciiTheme="minorHAnsi" w:eastAsia="Calibri" w:hAnsiTheme="minorHAnsi" w:cstheme="minorHAnsi"/>
          <w:sz w:val="22"/>
          <w:szCs w:val="22"/>
          <w:lang w:val="en-CA"/>
        </w:rPr>
        <w:t>4</w:t>
      </w:r>
      <w:r w:rsidR="0062414E" w:rsidRPr="009C0EEC">
        <w:rPr>
          <w:rFonts w:asciiTheme="minorHAnsi" w:eastAsia="Calibri" w:hAnsiTheme="minorHAnsi" w:cstheme="minorHAnsi"/>
          <w:sz w:val="22"/>
          <w:szCs w:val="22"/>
          <w:lang w:val="en-CA"/>
        </w:rPr>
        <w:t xml:space="preserve"> </w:t>
      </w:r>
      <w:r w:rsidR="00FD70D0" w:rsidRPr="009C0EEC">
        <w:rPr>
          <w:rFonts w:asciiTheme="minorHAnsi" w:eastAsia="Calibri" w:hAnsiTheme="minorHAnsi" w:cstheme="minorHAnsi"/>
          <w:sz w:val="22"/>
          <w:szCs w:val="22"/>
          <w:lang w:val="en-CA"/>
        </w:rPr>
        <w:t>with a</w:t>
      </w:r>
      <w:r w:rsidR="0062414E" w:rsidRPr="009C0EEC">
        <w:rPr>
          <w:rFonts w:asciiTheme="minorHAnsi" w:eastAsia="Calibri" w:hAnsiTheme="minorHAnsi" w:cstheme="minorHAnsi"/>
          <w:sz w:val="22"/>
          <w:szCs w:val="22"/>
          <w:lang w:val="en-CA"/>
        </w:rPr>
        <w:t xml:space="preserve"> </w:t>
      </w:r>
      <w:r w:rsidR="00223266" w:rsidRPr="009C0EEC">
        <w:rPr>
          <w:rFonts w:asciiTheme="minorHAnsi" w:eastAsia="Calibri" w:hAnsiTheme="minorHAnsi" w:cstheme="minorHAnsi"/>
          <w:sz w:val="22"/>
          <w:szCs w:val="22"/>
          <w:lang w:val="en-CA"/>
        </w:rPr>
        <w:t>Leave of Absence entitlement</w:t>
      </w:r>
      <w:r w:rsidR="00FD70D0" w:rsidRPr="009C0EEC">
        <w:rPr>
          <w:rFonts w:asciiTheme="minorHAnsi" w:eastAsia="Calibri" w:hAnsiTheme="minorHAnsi" w:cstheme="minorHAnsi"/>
          <w:sz w:val="22"/>
          <w:szCs w:val="22"/>
          <w:lang w:val="en-CA"/>
        </w:rPr>
        <w:t>, and</w:t>
      </w:r>
    </w:p>
    <w:p w14:paraId="0E03488D" w14:textId="625F52D1" w:rsidR="00EC192F" w:rsidRPr="009C0EEC" w:rsidRDefault="00321F63" w:rsidP="009C0EEC">
      <w:pPr>
        <w:numPr>
          <w:ilvl w:val="0"/>
          <w:numId w:val="44"/>
        </w:numPr>
        <w:spacing w:after="120"/>
        <w:contextualSpacing/>
        <w:rPr>
          <w:rFonts w:asciiTheme="minorHAnsi" w:eastAsia="Calibri" w:hAnsiTheme="minorHAnsi" w:cstheme="minorHAnsi"/>
          <w:sz w:val="22"/>
          <w:szCs w:val="22"/>
          <w:lang w:val="en-CA"/>
        </w:rPr>
      </w:pPr>
      <w:r w:rsidRPr="009C0EEC">
        <w:rPr>
          <w:rFonts w:asciiTheme="minorHAnsi" w:eastAsia="Calibri" w:hAnsiTheme="minorHAnsi" w:cstheme="minorHAnsi"/>
          <w:sz w:val="22"/>
          <w:szCs w:val="22"/>
          <w:lang w:val="en-CA"/>
        </w:rPr>
        <w:t>1</w:t>
      </w:r>
      <w:r w:rsidR="00FD70D0" w:rsidRPr="009C0EEC">
        <w:rPr>
          <w:rFonts w:asciiTheme="minorHAnsi" w:eastAsia="Calibri" w:hAnsiTheme="minorHAnsi" w:cstheme="minorHAnsi"/>
          <w:sz w:val="22"/>
          <w:szCs w:val="22"/>
          <w:lang w:val="en-CA"/>
        </w:rPr>
        <w:t xml:space="preserve"> with</w:t>
      </w:r>
      <w:r w:rsidR="0062414E" w:rsidRPr="009C0EEC">
        <w:rPr>
          <w:rFonts w:asciiTheme="minorHAnsi" w:eastAsia="Calibri" w:hAnsiTheme="minorHAnsi" w:cstheme="minorHAnsi"/>
          <w:sz w:val="22"/>
          <w:szCs w:val="22"/>
          <w:lang w:val="en-CA"/>
        </w:rPr>
        <w:t xml:space="preserve"> a relocation of spouse entitlement</w:t>
      </w:r>
      <w:r w:rsidR="00FD70D0" w:rsidRPr="009C0EEC">
        <w:rPr>
          <w:rFonts w:asciiTheme="minorHAnsi" w:eastAsia="Calibri" w:hAnsiTheme="minorHAnsi" w:cstheme="minorHAnsi"/>
          <w:sz w:val="22"/>
          <w:szCs w:val="22"/>
          <w:lang w:val="en-CA"/>
        </w:rPr>
        <w:t>.</w:t>
      </w:r>
    </w:p>
    <w:p w14:paraId="52ED664E" w14:textId="77777777" w:rsidR="00753DD5" w:rsidRPr="009C0EEC" w:rsidRDefault="00753DD5" w:rsidP="009C0EEC">
      <w:pPr>
        <w:pStyle w:val="Heading1"/>
        <w:spacing w:after="120"/>
        <w:rPr>
          <w:rFonts w:cstheme="majorHAnsi"/>
          <w:lang w:val="en-CA"/>
        </w:rPr>
      </w:pPr>
      <w:r w:rsidRPr="009C0EEC">
        <w:rPr>
          <w:rFonts w:cstheme="majorHAnsi"/>
          <w:lang w:val="en-CA"/>
        </w:rPr>
        <w:t>Non-Partisanship in the Public Service</w:t>
      </w:r>
    </w:p>
    <w:p w14:paraId="787AA62F" w14:textId="26E969B9" w:rsidR="003204CB" w:rsidRPr="009C0EEC" w:rsidRDefault="003F14E8" w:rsidP="009C0EEC">
      <w:pPr>
        <w:pStyle w:val="NoSpacing"/>
        <w:rPr>
          <w:rFonts w:asciiTheme="minorHAnsi" w:hAnsiTheme="minorHAnsi" w:cstheme="minorHAnsi"/>
          <w:color w:val="000000"/>
          <w:sz w:val="22"/>
          <w:szCs w:val="22"/>
          <w:lang w:val="en-CA"/>
        </w:rPr>
      </w:pPr>
      <w:r w:rsidRPr="009C0EEC">
        <w:rPr>
          <w:rFonts w:asciiTheme="minorHAnsi" w:hAnsiTheme="minorHAnsi" w:cstheme="minorHAnsi"/>
          <w:color w:val="000000"/>
          <w:sz w:val="22"/>
          <w:szCs w:val="22"/>
          <w:lang w:val="en-CA"/>
        </w:rPr>
        <w:t>The following</w:t>
      </w:r>
      <w:r w:rsidR="003204CB" w:rsidRPr="009C0EEC">
        <w:rPr>
          <w:rFonts w:asciiTheme="minorHAnsi" w:hAnsiTheme="minorHAnsi" w:cstheme="minorHAnsi"/>
          <w:color w:val="000000"/>
          <w:sz w:val="22"/>
          <w:szCs w:val="22"/>
          <w:lang w:val="en-CA"/>
        </w:rPr>
        <w:t xml:space="preserve"> information regarding political activities and non-partisanship encompasses the present, as well as the period prior to August 28, 2019, when the CER was the National Energy Board. </w:t>
      </w:r>
    </w:p>
    <w:p w14:paraId="14464FD7" w14:textId="77777777" w:rsidR="003204CB" w:rsidRPr="009C0EEC" w:rsidRDefault="003204CB" w:rsidP="009C0EEC">
      <w:pPr>
        <w:pStyle w:val="NoSpacing"/>
        <w:numPr>
          <w:ilvl w:val="0"/>
          <w:numId w:val="22"/>
        </w:numPr>
        <w:rPr>
          <w:rFonts w:asciiTheme="minorHAnsi" w:hAnsiTheme="minorHAnsi" w:cstheme="minorHAnsi"/>
          <w:color w:val="000000"/>
          <w:sz w:val="22"/>
          <w:szCs w:val="22"/>
          <w:lang w:val="en-CA"/>
        </w:rPr>
      </w:pPr>
      <w:r w:rsidRPr="009C0EEC">
        <w:rPr>
          <w:rFonts w:asciiTheme="minorHAnsi" w:hAnsiTheme="minorHAnsi" w:cstheme="minorHAnsi"/>
          <w:color w:val="000000"/>
          <w:sz w:val="22"/>
          <w:szCs w:val="22"/>
          <w:lang w:val="en-CA"/>
        </w:rPr>
        <w:t>Each organization has a designated political activities representative (DPAR) who is an employee of that organization. The DPAR acts as a liaison with the PSC on matters related to political activities and non-partisanship and facilitates the timely treatment of candidacy requests. CER’s DPAR is Alexis Williamson, Vice President, People and Workforce Support and Chief Human Resources Officer.</w:t>
      </w:r>
    </w:p>
    <w:p w14:paraId="68719AD5" w14:textId="77777777" w:rsidR="003204CB" w:rsidRPr="009C0EEC" w:rsidRDefault="003204CB" w:rsidP="009C0EEC">
      <w:pPr>
        <w:pStyle w:val="NoSpacing"/>
        <w:numPr>
          <w:ilvl w:val="0"/>
          <w:numId w:val="22"/>
        </w:numPr>
        <w:rPr>
          <w:rFonts w:asciiTheme="minorHAnsi" w:hAnsiTheme="minorHAnsi" w:cstheme="minorHAnsi"/>
          <w:color w:val="000000"/>
          <w:sz w:val="22"/>
          <w:szCs w:val="22"/>
          <w:lang w:val="en-CA"/>
        </w:rPr>
      </w:pPr>
      <w:r w:rsidRPr="005A39A5">
        <w:rPr>
          <w:rFonts w:asciiTheme="minorHAnsi" w:hAnsiTheme="minorHAnsi" w:cstheme="minorHAnsi"/>
          <w:color w:val="000000"/>
          <w:sz w:val="22"/>
          <w:szCs w:val="22"/>
          <w:lang w:val="en-CA"/>
        </w:rPr>
        <w:t xml:space="preserve">The results of the 2018 Staffing and Non-Partisanship Survey demonstrate that CER employees have an overall higher awareness and understanding of political activities and non-partisanship than the public </w:t>
      </w:r>
      <w:proofErr w:type="gramStart"/>
      <w:r w:rsidRPr="005A39A5">
        <w:rPr>
          <w:rFonts w:asciiTheme="minorHAnsi" w:hAnsiTheme="minorHAnsi" w:cstheme="minorHAnsi"/>
          <w:color w:val="000000"/>
          <w:sz w:val="22"/>
          <w:szCs w:val="22"/>
          <w:lang w:val="en-CA"/>
        </w:rPr>
        <w:t>service as a whole</w:t>
      </w:r>
      <w:proofErr w:type="gramEnd"/>
      <w:r w:rsidRPr="005A39A5">
        <w:rPr>
          <w:rFonts w:asciiTheme="minorHAnsi" w:hAnsiTheme="minorHAnsi" w:cstheme="minorHAnsi"/>
          <w:color w:val="000000"/>
          <w:sz w:val="22"/>
          <w:szCs w:val="22"/>
          <w:lang w:val="en-CA"/>
        </w:rPr>
        <w:t>. For example, 87.9% of CER</w:t>
      </w:r>
      <w:r w:rsidRPr="00264AD9">
        <w:rPr>
          <w:rFonts w:ascii="Segoe UI" w:hAnsi="Segoe UI" w:cs="Segoe UI"/>
          <w:color w:val="000000"/>
          <w:sz w:val="22"/>
          <w:szCs w:val="22"/>
          <w:lang w:val="en-CA"/>
        </w:rPr>
        <w:t xml:space="preserve"> </w:t>
      </w:r>
      <w:r w:rsidRPr="009C0EEC">
        <w:rPr>
          <w:rFonts w:asciiTheme="minorHAnsi" w:hAnsiTheme="minorHAnsi" w:cstheme="minorHAnsi"/>
          <w:color w:val="000000"/>
          <w:sz w:val="22"/>
          <w:szCs w:val="22"/>
          <w:lang w:val="en-CA"/>
        </w:rPr>
        <w:t xml:space="preserve">employees indicated a moderate to great awareness of their rights and obligations for engaging in political activities, whereas the results for the public service </w:t>
      </w:r>
      <w:proofErr w:type="gramStart"/>
      <w:r w:rsidRPr="009C0EEC">
        <w:rPr>
          <w:rFonts w:asciiTheme="minorHAnsi" w:hAnsiTheme="minorHAnsi" w:cstheme="minorHAnsi"/>
          <w:color w:val="000000"/>
          <w:sz w:val="22"/>
          <w:szCs w:val="22"/>
          <w:lang w:val="en-CA"/>
        </w:rPr>
        <w:t>as a whole is</w:t>
      </w:r>
      <w:proofErr w:type="gramEnd"/>
      <w:r w:rsidRPr="009C0EEC">
        <w:rPr>
          <w:rFonts w:asciiTheme="minorHAnsi" w:hAnsiTheme="minorHAnsi" w:cstheme="minorHAnsi"/>
          <w:color w:val="000000"/>
          <w:sz w:val="22"/>
          <w:szCs w:val="22"/>
          <w:lang w:val="en-CA"/>
        </w:rPr>
        <w:t xml:space="preserve"> 80.1%.</w:t>
      </w:r>
    </w:p>
    <w:p w14:paraId="694DD244" w14:textId="5FD8DE78" w:rsidR="003204CB" w:rsidRPr="009C0EEC" w:rsidRDefault="003204CB" w:rsidP="009C0EEC">
      <w:pPr>
        <w:pStyle w:val="NoSpacing"/>
        <w:numPr>
          <w:ilvl w:val="0"/>
          <w:numId w:val="22"/>
        </w:numPr>
        <w:spacing w:after="120"/>
        <w:rPr>
          <w:rFonts w:asciiTheme="minorHAnsi" w:hAnsiTheme="minorHAnsi" w:cstheme="minorHAnsi"/>
          <w:color w:val="000000"/>
          <w:sz w:val="22"/>
          <w:szCs w:val="22"/>
          <w:lang w:val="en-CA"/>
        </w:rPr>
      </w:pPr>
      <w:r w:rsidRPr="009C0EEC">
        <w:rPr>
          <w:rFonts w:asciiTheme="minorHAnsi" w:hAnsiTheme="minorHAnsi" w:cstheme="minorHAnsi"/>
          <w:color w:val="000000"/>
          <w:sz w:val="22"/>
          <w:szCs w:val="22"/>
          <w:lang w:val="en-CA"/>
        </w:rPr>
        <w:t xml:space="preserve">During the last decade, the PSC has received two candidacy requests from CER employees: a municipal request in 2011 and a federal request in 2014. This low volume of employees running for elected office is consistent with other </w:t>
      </w:r>
      <w:proofErr w:type="gramStart"/>
      <w:r w:rsidRPr="009C0EEC">
        <w:rPr>
          <w:rFonts w:asciiTheme="minorHAnsi" w:hAnsiTheme="minorHAnsi" w:cstheme="minorHAnsi"/>
          <w:color w:val="000000"/>
          <w:sz w:val="22"/>
          <w:szCs w:val="22"/>
          <w:lang w:val="en-CA"/>
        </w:rPr>
        <w:t>similarly-sized</w:t>
      </w:r>
      <w:proofErr w:type="gramEnd"/>
      <w:r w:rsidRPr="009C0EEC">
        <w:rPr>
          <w:rFonts w:asciiTheme="minorHAnsi" w:hAnsiTheme="minorHAnsi" w:cstheme="minorHAnsi"/>
          <w:color w:val="000000"/>
          <w:sz w:val="22"/>
          <w:szCs w:val="22"/>
          <w:lang w:val="en-CA"/>
        </w:rPr>
        <w:t xml:space="preserve"> organizations. </w:t>
      </w:r>
    </w:p>
    <w:p w14:paraId="79A2648C" w14:textId="066AF1A4" w:rsidR="00704C8C" w:rsidRPr="009C0EEC" w:rsidRDefault="00753DD5" w:rsidP="009C0EEC">
      <w:pPr>
        <w:pStyle w:val="Heading1"/>
        <w:spacing w:after="120"/>
        <w:rPr>
          <w:rFonts w:cstheme="majorHAnsi"/>
          <w:lang w:val="en-CA"/>
        </w:rPr>
      </w:pPr>
      <w:r w:rsidRPr="009C0EEC">
        <w:rPr>
          <w:rFonts w:cstheme="majorHAnsi"/>
          <w:lang w:val="en-CA"/>
        </w:rPr>
        <w:t>Recruitment Programs</w:t>
      </w:r>
    </w:p>
    <w:p w14:paraId="65F8361C" w14:textId="77777777" w:rsidR="00221199" w:rsidRPr="00264AD9" w:rsidRDefault="00221199" w:rsidP="009C0EEC">
      <w:pPr>
        <w:pStyle w:val="Heading2"/>
        <w:spacing w:after="120"/>
        <w:rPr>
          <w:lang w:val="en-CA"/>
        </w:rPr>
      </w:pPr>
      <w:r w:rsidRPr="00264AD9">
        <w:rPr>
          <w:lang w:val="en-CA"/>
        </w:rPr>
        <w:t>Federal Internship Program for Canadians with Disabilities (FIPCD)</w:t>
      </w:r>
    </w:p>
    <w:p w14:paraId="7CB81DF5" w14:textId="77777777" w:rsidR="00C43532" w:rsidRPr="009C0EEC" w:rsidRDefault="00221199" w:rsidP="009C0EEC">
      <w:pPr>
        <w:pStyle w:val="NoSpacing"/>
        <w:spacing w:after="120"/>
        <w:rPr>
          <w:rFonts w:asciiTheme="minorHAnsi" w:hAnsiTheme="minorHAnsi" w:cstheme="minorHAnsi"/>
          <w:sz w:val="22"/>
          <w:szCs w:val="22"/>
          <w:lang w:val="en-CA"/>
        </w:rPr>
      </w:pPr>
      <w:r w:rsidRPr="009C0EEC">
        <w:rPr>
          <w:rFonts w:asciiTheme="minorHAnsi" w:hAnsiTheme="minorHAnsi" w:cstheme="minorHAnsi"/>
          <w:sz w:val="22"/>
          <w:szCs w:val="22"/>
          <w:lang w:val="en-CA"/>
        </w:rPr>
        <w:t xml:space="preserve">Although the </w:t>
      </w:r>
      <w:r w:rsidR="00F61891" w:rsidRPr="009C0EEC">
        <w:rPr>
          <w:rFonts w:asciiTheme="minorHAnsi" w:hAnsiTheme="minorHAnsi" w:cstheme="minorHAnsi"/>
          <w:sz w:val="22"/>
          <w:szCs w:val="22"/>
          <w:lang w:val="en-CA"/>
        </w:rPr>
        <w:t>CER</w:t>
      </w:r>
      <w:r w:rsidRPr="009C0EEC">
        <w:rPr>
          <w:rFonts w:asciiTheme="minorHAnsi" w:hAnsiTheme="minorHAnsi" w:cstheme="minorHAnsi"/>
          <w:sz w:val="22"/>
          <w:szCs w:val="22"/>
          <w:lang w:val="en-CA"/>
        </w:rPr>
        <w:t xml:space="preserve"> is</w:t>
      </w:r>
      <w:r w:rsidR="00BF4FF0" w:rsidRPr="009C0EEC">
        <w:rPr>
          <w:rFonts w:asciiTheme="minorHAnsi" w:hAnsiTheme="minorHAnsi" w:cstheme="minorHAnsi"/>
          <w:sz w:val="22"/>
          <w:szCs w:val="22"/>
          <w:lang w:val="en-CA"/>
        </w:rPr>
        <w:t xml:space="preserve"> not</w:t>
      </w:r>
      <w:r w:rsidRPr="009C0EEC">
        <w:rPr>
          <w:rFonts w:asciiTheme="minorHAnsi" w:hAnsiTheme="minorHAnsi" w:cstheme="minorHAnsi"/>
          <w:sz w:val="22"/>
          <w:szCs w:val="22"/>
          <w:lang w:val="en-CA"/>
        </w:rPr>
        <w:t xml:space="preserve"> currently</w:t>
      </w:r>
      <w:r w:rsidR="00BF4FF0" w:rsidRPr="009C0EEC">
        <w:rPr>
          <w:rFonts w:asciiTheme="minorHAnsi" w:hAnsiTheme="minorHAnsi" w:cstheme="minorHAnsi"/>
          <w:sz w:val="22"/>
          <w:szCs w:val="22"/>
          <w:lang w:val="en-CA"/>
        </w:rPr>
        <w:t xml:space="preserve"> </w:t>
      </w:r>
      <w:r w:rsidRPr="009C0EEC">
        <w:rPr>
          <w:rFonts w:asciiTheme="minorHAnsi" w:hAnsiTheme="minorHAnsi" w:cstheme="minorHAnsi"/>
          <w:sz w:val="22"/>
          <w:szCs w:val="22"/>
          <w:lang w:val="en-CA"/>
        </w:rPr>
        <w:t>participating in the FIPCD Program, this program is a</w:t>
      </w:r>
      <w:r w:rsidR="00BF4FF0" w:rsidRPr="009C0EEC">
        <w:rPr>
          <w:rFonts w:asciiTheme="minorHAnsi" w:hAnsiTheme="minorHAnsi" w:cstheme="minorHAnsi"/>
          <w:sz w:val="22"/>
          <w:szCs w:val="22"/>
          <w:lang w:val="en-CA"/>
        </w:rPr>
        <w:t>n excellent</w:t>
      </w:r>
      <w:r w:rsidRPr="009C0EEC">
        <w:rPr>
          <w:rFonts w:asciiTheme="minorHAnsi" w:hAnsiTheme="minorHAnsi" w:cstheme="minorHAnsi"/>
          <w:sz w:val="22"/>
          <w:szCs w:val="22"/>
          <w:lang w:val="en-CA"/>
        </w:rPr>
        <w:t xml:space="preserve"> initiative to contribute to the Government of Canada’s Accessibility Strategy by having an intern and support</w:t>
      </w:r>
      <w:r w:rsidR="00BF4FF0" w:rsidRPr="009C0EEC">
        <w:rPr>
          <w:rFonts w:asciiTheme="minorHAnsi" w:hAnsiTheme="minorHAnsi" w:cstheme="minorHAnsi"/>
          <w:sz w:val="22"/>
          <w:szCs w:val="22"/>
          <w:lang w:val="en-CA"/>
        </w:rPr>
        <w:t>ing</w:t>
      </w:r>
      <w:r w:rsidRPr="009C0EEC">
        <w:rPr>
          <w:rFonts w:asciiTheme="minorHAnsi" w:hAnsiTheme="minorHAnsi" w:cstheme="minorHAnsi"/>
          <w:sz w:val="22"/>
          <w:szCs w:val="22"/>
          <w:lang w:val="en-CA"/>
        </w:rPr>
        <w:t xml:space="preserve"> them in skill development to increase their employability. The program also offers for a 50% salary reimbursement to hiring departments for the duration of the internship period. </w:t>
      </w:r>
      <w:r w:rsidR="00BF4FF0" w:rsidRPr="009C0EEC">
        <w:rPr>
          <w:rFonts w:asciiTheme="minorHAnsi" w:hAnsiTheme="minorHAnsi" w:cstheme="minorHAnsi"/>
          <w:sz w:val="22"/>
          <w:szCs w:val="22"/>
          <w:lang w:val="en-CA"/>
        </w:rPr>
        <w:t>In addition, t</w:t>
      </w:r>
      <w:r w:rsidRPr="009C0EEC">
        <w:rPr>
          <w:rFonts w:asciiTheme="minorHAnsi" w:hAnsiTheme="minorHAnsi" w:cstheme="minorHAnsi"/>
          <w:sz w:val="22"/>
          <w:szCs w:val="22"/>
          <w:lang w:val="en-CA"/>
        </w:rPr>
        <w:t>he PSC provides guidance on possible traini</w:t>
      </w:r>
      <w:r w:rsidR="000F523E" w:rsidRPr="009C0EEC">
        <w:rPr>
          <w:rFonts w:asciiTheme="minorHAnsi" w:hAnsiTheme="minorHAnsi" w:cstheme="minorHAnsi"/>
          <w:sz w:val="22"/>
          <w:szCs w:val="22"/>
          <w:lang w:val="en-CA"/>
        </w:rPr>
        <w:t xml:space="preserve">ng opportunities offered by schools and </w:t>
      </w:r>
      <w:r w:rsidRPr="009C0EEC">
        <w:rPr>
          <w:rFonts w:asciiTheme="minorHAnsi" w:hAnsiTheme="minorHAnsi" w:cstheme="minorHAnsi"/>
          <w:sz w:val="22"/>
          <w:szCs w:val="22"/>
          <w:lang w:val="en-CA"/>
        </w:rPr>
        <w:t xml:space="preserve">associations. </w:t>
      </w:r>
    </w:p>
    <w:p w14:paraId="5600C370" w14:textId="3E6231BF" w:rsidR="000F523E" w:rsidRPr="009C0EEC" w:rsidRDefault="000F523E" w:rsidP="009C0EEC">
      <w:pPr>
        <w:pStyle w:val="NoSpacing"/>
        <w:spacing w:after="120"/>
        <w:rPr>
          <w:rFonts w:asciiTheme="minorHAnsi" w:hAnsiTheme="minorHAnsi" w:cstheme="minorHAnsi"/>
          <w:sz w:val="22"/>
          <w:szCs w:val="22"/>
          <w:lang w:val="en-CA"/>
        </w:rPr>
      </w:pPr>
      <w:r w:rsidRPr="009C0EEC">
        <w:rPr>
          <w:rFonts w:asciiTheme="minorHAnsi" w:hAnsiTheme="minorHAnsi" w:cstheme="minorHAnsi"/>
          <w:sz w:val="22"/>
          <w:szCs w:val="22"/>
          <w:lang w:val="en-CA"/>
        </w:rPr>
        <w:t xml:space="preserve">The Covid-19 pandemic delayed the launch of year two of FIPCD Program and the recruitment of the next cohort of interns. The PSC’s revised plan is to hire interns by December 2020. The initial assessment process for potential candidates is underway, as is the engagement with interested hiring managers. The matching phase of the process is scheduled for September and October </w:t>
      </w:r>
      <w:r w:rsidRPr="009C0EEC">
        <w:rPr>
          <w:rFonts w:asciiTheme="minorHAnsi" w:hAnsiTheme="minorHAnsi" w:cstheme="minorHAnsi"/>
          <w:sz w:val="22"/>
          <w:szCs w:val="22"/>
          <w:lang w:val="en-CA"/>
        </w:rPr>
        <w:lastRenderedPageBreak/>
        <w:t>2020. Should the CER wish to participate, the FIPCD Program staff would be pleased to provide more information and assist the organization in getting started.</w:t>
      </w:r>
    </w:p>
    <w:p w14:paraId="5EE1DF52" w14:textId="77777777" w:rsidR="000B0C9B" w:rsidRPr="00264AD9" w:rsidRDefault="00221199" w:rsidP="009C0EEC">
      <w:pPr>
        <w:pStyle w:val="Heading2"/>
        <w:spacing w:after="120"/>
        <w:rPr>
          <w:lang w:val="en-CA"/>
        </w:rPr>
      </w:pPr>
      <w:r w:rsidRPr="00264AD9">
        <w:rPr>
          <w:lang w:val="en-CA"/>
        </w:rPr>
        <w:t>Employment Opportunity for Students with Disabilities (EOSD) / Indigenous Studen</w:t>
      </w:r>
      <w:r w:rsidR="00F61891" w:rsidRPr="00264AD9">
        <w:rPr>
          <w:lang w:val="en-CA"/>
        </w:rPr>
        <w:t>t Employment Opportunity (ISEO)</w:t>
      </w:r>
    </w:p>
    <w:p w14:paraId="4E43C752" w14:textId="3B62A5D4" w:rsidR="00221199" w:rsidRPr="009C0EEC" w:rsidRDefault="00221199" w:rsidP="009C0EEC">
      <w:pPr>
        <w:pStyle w:val="NoSpacing"/>
        <w:rPr>
          <w:rFonts w:asciiTheme="minorHAnsi" w:hAnsiTheme="minorHAnsi" w:cstheme="minorHAnsi"/>
          <w:b/>
          <w:sz w:val="22"/>
          <w:szCs w:val="22"/>
          <w:lang w:val="en-CA"/>
        </w:rPr>
      </w:pPr>
      <w:r w:rsidRPr="009C0EEC">
        <w:rPr>
          <w:rFonts w:asciiTheme="minorHAnsi" w:hAnsiTheme="minorHAnsi" w:cstheme="minorHAnsi"/>
          <w:sz w:val="22"/>
          <w:szCs w:val="22"/>
          <w:lang w:val="en-CA"/>
        </w:rPr>
        <w:t xml:space="preserve">Although the </w:t>
      </w:r>
      <w:r w:rsidR="00F61891" w:rsidRPr="009C0EEC">
        <w:rPr>
          <w:rFonts w:asciiTheme="minorHAnsi" w:hAnsiTheme="minorHAnsi" w:cstheme="minorHAnsi"/>
          <w:sz w:val="22"/>
          <w:szCs w:val="22"/>
          <w:lang w:val="en-CA"/>
        </w:rPr>
        <w:t>CER</w:t>
      </w:r>
      <w:r w:rsidRPr="009C0EEC">
        <w:rPr>
          <w:rFonts w:asciiTheme="minorHAnsi" w:hAnsiTheme="minorHAnsi" w:cstheme="minorHAnsi"/>
          <w:sz w:val="22"/>
          <w:szCs w:val="22"/>
          <w:lang w:val="en-CA"/>
        </w:rPr>
        <w:t xml:space="preserve"> has not hired students from these initiatives, </w:t>
      </w:r>
      <w:r w:rsidR="00854A83" w:rsidRPr="009C0EEC">
        <w:rPr>
          <w:rFonts w:asciiTheme="minorHAnsi" w:hAnsiTheme="minorHAnsi" w:cstheme="minorHAnsi"/>
          <w:sz w:val="22"/>
          <w:szCs w:val="22"/>
          <w:lang w:val="en-CA"/>
        </w:rPr>
        <w:t xml:space="preserve">the </w:t>
      </w:r>
      <w:r w:rsidRPr="00E65ACB">
        <w:rPr>
          <w:rFonts w:asciiTheme="minorHAnsi" w:hAnsiTheme="minorHAnsi" w:cstheme="minorHAnsi"/>
          <w:sz w:val="22"/>
          <w:szCs w:val="22"/>
          <w:lang w:val="en-CA"/>
        </w:rPr>
        <w:t>EOSD</w:t>
      </w:r>
      <w:r w:rsidRPr="009C0EEC">
        <w:rPr>
          <w:rFonts w:asciiTheme="minorHAnsi" w:hAnsiTheme="minorHAnsi" w:cstheme="minorHAnsi"/>
          <w:sz w:val="22"/>
          <w:szCs w:val="22"/>
          <w:lang w:val="en-CA"/>
        </w:rPr>
        <w:t xml:space="preserve"> and </w:t>
      </w:r>
      <w:r w:rsidRPr="00E65ACB">
        <w:rPr>
          <w:rFonts w:asciiTheme="minorHAnsi" w:hAnsiTheme="minorHAnsi" w:cstheme="minorHAnsi"/>
          <w:sz w:val="22"/>
          <w:szCs w:val="22"/>
          <w:lang w:val="en-CA"/>
        </w:rPr>
        <w:t>ISEO</w:t>
      </w:r>
      <w:r w:rsidRPr="009C0EEC">
        <w:rPr>
          <w:rFonts w:asciiTheme="minorHAnsi" w:hAnsiTheme="minorHAnsi" w:cstheme="minorHAnsi"/>
          <w:sz w:val="22"/>
          <w:szCs w:val="22"/>
          <w:lang w:val="en-CA"/>
        </w:rPr>
        <w:t xml:space="preserve"> are </w:t>
      </w:r>
      <w:r w:rsidR="00E16642" w:rsidRPr="009C0EEC">
        <w:rPr>
          <w:rFonts w:asciiTheme="minorHAnsi" w:hAnsiTheme="minorHAnsi" w:cstheme="minorHAnsi"/>
          <w:sz w:val="22"/>
          <w:szCs w:val="22"/>
          <w:lang w:val="en-CA"/>
        </w:rPr>
        <w:t>excellent</w:t>
      </w:r>
      <w:r w:rsidRPr="009C0EEC">
        <w:rPr>
          <w:rFonts w:asciiTheme="minorHAnsi" w:hAnsiTheme="minorHAnsi" w:cstheme="minorHAnsi"/>
          <w:sz w:val="22"/>
          <w:szCs w:val="22"/>
          <w:lang w:val="en-CA"/>
        </w:rPr>
        <w:t xml:space="preserve"> recruitment options to increase diversity in the workplace by hiring students living with disabilities or indigenous students. Managers and students are provided with resources</w:t>
      </w:r>
      <w:r w:rsidR="00E16642" w:rsidRPr="009C0EEC">
        <w:rPr>
          <w:rFonts w:asciiTheme="minorHAnsi" w:hAnsiTheme="minorHAnsi" w:cstheme="minorHAnsi"/>
          <w:sz w:val="22"/>
          <w:szCs w:val="22"/>
          <w:lang w:val="en-CA"/>
        </w:rPr>
        <w:t>,</w:t>
      </w:r>
      <w:r w:rsidRPr="009C0EEC">
        <w:rPr>
          <w:rFonts w:asciiTheme="minorHAnsi" w:hAnsiTheme="minorHAnsi" w:cstheme="minorHAnsi"/>
          <w:sz w:val="22"/>
          <w:szCs w:val="22"/>
          <w:lang w:val="en-CA"/>
        </w:rPr>
        <w:t xml:space="preserve"> such as onboarding tools, training</w:t>
      </w:r>
      <w:r w:rsidR="00E16642" w:rsidRPr="009C0EEC">
        <w:rPr>
          <w:rFonts w:asciiTheme="minorHAnsi" w:hAnsiTheme="minorHAnsi" w:cstheme="minorHAnsi"/>
          <w:sz w:val="22"/>
          <w:szCs w:val="22"/>
          <w:lang w:val="en-CA"/>
        </w:rPr>
        <w:t>,</w:t>
      </w:r>
      <w:r w:rsidRPr="009C0EEC">
        <w:rPr>
          <w:rFonts w:asciiTheme="minorHAnsi" w:hAnsiTheme="minorHAnsi" w:cstheme="minorHAnsi"/>
          <w:sz w:val="22"/>
          <w:szCs w:val="22"/>
          <w:lang w:val="en-CA"/>
        </w:rPr>
        <w:t xml:space="preserve"> and networking events. The candidates </w:t>
      </w:r>
      <w:r w:rsidR="00854A83" w:rsidRPr="009C0EEC">
        <w:rPr>
          <w:rFonts w:asciiTheme="minorHAnsi" w:hAnsiTheme="minorHAnsi" w:cstheme="minorHAnsi"/>
          <w:sz w:val="22"/>
          <w:szCs w:val="22"/>
          <w:lang w:val="en-CA"/>
        </w:rPr>
        <w:t xml:space="preserve">from both these initiatives </w:t>
      </w:r>
      <w:r w:rsidRPr="009C0EEC">
        <w:rPr>
          <w:rFonts w:asciiTheme="minorHAnsi" w:hAnsiTheme="minorHAnsi" w:cstheme="minorHAnsi"/>
          <w:sz w:val="22"/>
          <w:szCs w:val="22"/>
          <w:lang w:val="en-CA"/>
        </w:rPr>
        <w:t>are avail</w:t>
      </w:r>
      <w:r w:rsidR="00E16642" w:rsidRPr="009C0EEC">
        <w:rPr>
          <w:rFonts w:asciiTheme="minorHAnsi" w:hAnsiTheme="minorHAnsi" w:cstheme="minorHAnsi"/>
          <w:sz w:val="22"/>
          <w:szCs w:val="22"/>
          <w:lang w:val="en-CA"/>
        </w:rPr>
        <w:t>able year-</w:t>
      </w:r>
      <w:r w:rsidR="004D7CF6" w:rsidRPr="009C0EEC">
        <w:rPr>
          <w:rFonts w:asciiTheme="minorHAnsi" w:hAnsiTheme="minorHAnsi" w:cstheme="minorHAnsi"/>
          <w:sz w:val="22"/>
          <w:szCs w:val="22"/>
          <w:lang w:val="en-CA"/>
        </w:rPr>
        <w:t xml:space="preserve">round in the FSWEP </w:t>
      </w:r>
      <w:r w:rsidR="00854A83" w:rsidRPr="009C0EEC">
        <w:rPr>
          <w:rFonts w:asciiTheme="minorHAnsi" w:hAnsiTheme="minorHAnsi" w:cstheme="minorHAnsi"/>
          <w:sz w:val="22"/>
          <w:szCs w:val="22"/>
          <w:lang w:val="en-CA"/>
        </w:rPr>
        <w:t xml:space="preserve">ongoing </w:t>
      </w:r>
      <w:r w:rsidRPr="009C0EEC">
        <w:rPr>
          <w:rFonts w:asciiTheme="minorHAnsi" w:hAnsiTheme="minorHAnsi" w:cstheme="minorHAnsi"/>
          <w:sz w:val="22"/>
          <w:szCs w:val="22"/>
          <w:lang w:val="en-CA"/>
        </w:rPr>
        <w:t>inventory.</w:t>
      </w:r>
    </w:p>
    <w:p w14:paraId="19428509" w14:textId="3A69ABA8" w:rsidR="00221199" w:rsidRPr="009C0EEC" w:rsidRDefault="00221199" w:rsidP="009C0EEC">
      <w:pPr>
        <w:pStyle w:val="NoSpacing"/>
        <w:numPr>
          <w:ilvl w:val="0"/>
          <w:numId w:val="27"/>
        </w:numPr>
        <w:rPr>
          <w:rFonts w:asciiTheme="minorHAnsi" w:hAnsiTheme="minorHAnsi" w:cstheme="minorHAnsi"/>
          <w:sz w:val="22"/>
          <w:szCs w:val="22"/>
          <w:lang w:val="en-CA"/>
        </w:rPr>
      </w:pPr>
      <w:r w:rsidRPr="009C0EEC">
        <w:rPr>
          <w:rFonts w:asciiTheme="minorHAnsi" w:hAnsiTheme="minorHAnsi" w:cstheme="minorHAnsi"/>
          <w:sz w:val="22"/>
          <w:szCs w:val="22"/>
          <w:lang w:val="en-CA"/>
        </w:rPr>
        <w:t>Number of available students in EOSD</w:t>
      </w:r>
      <w:r w:rsidRPr="009C0EEC">
        <w:rPr>
          <w:rFonts w:asciiTheme="minorHAnsi" w:hAnsiTheme="minorHAnsi" w:cstheme="minorHAnsi"/>
          <w:sz w:val="22"/>
          <w:szCs w:val="22"/>
          <w:vertAlign w:val="superscript"/>
          <w:lang w:val="en-CA"/>
        </w:rPr>
        <w:footnoteReference w:id="1"/>
      </w:r>
      <w:r w:rsidRPr="009C0EEC">
        <w:rPr>
          <w:rFonts w:asciiTheme="minorHAnsi" w:hAnsiTheme="minorHAnsi" w:cstheme="minorHAnsi"/>
          <w:sz w:val="22"/>
          <w:szCs w:val="22"/>
          <w:lang w:val="en-CA"/>
        </w:rPr>
        <w:t xml:space="preserve">: </w:t>
      </w:r>
      <w:r w:rsidR="00854A83" w:rsidRPr="009C0EEC">
        <w:rPr>
          <w:rFonts w:asciiTheme="minorHAnsi" w:hAnsiTheme="minorHAnsi" w:cstheme="minorHAnsi"/>
          <w:sz w:val="22"/>
          <w:szCs w:val="22"/>
          <w:lang w:val="en-CA"/>
        </w:rPr>
        <w:t>3580</w:t>
      </w:r>
    </w:p>
    <w:p w14:paraId="27F6617E" w14:textId="112FD82A" w:rsidR="00221199" w:rsidRPr="009C0EEC" w:rsidRDefault="00221199" w:rsidP="009C0EEC">
      <w:pPr>
        <w:pStyle w:val="NoSpacing"/>
        <w:numPr>
          <w:ilvl w:val="0"/>
          <w:numId w:val="27"/>
        </w:numPr>
        <w:spacing w:after="120"/>
        <w:rPr>
          <w:rFonts w:asciiTheme="minorHAnsi" w:hAnsiTheme="minorHAnsi" w:cstheme="minorHAnsi"/>
          <w:sz w:val="22"/>
          <w:szCs w:val="22"/>
          <w:lang w:val="en-CA"/>
        </w:rPr>
      </w:pPr>
      <w:r w:rsidRPr="009C0EEC">
        <w:rPr>
          <w:rFonts w:asciiTheme="minorHAnsi" w:hAnsiTheme="minorHAnsi" w:cstheme="minorHAnsi"/>
          <w:sz w:val="22"/>
          <w:szCs w:val="22"/>
          <w:lang w:val="en-CA"/>
        </w:rPr>
        <w:t>Number of available students in ISEO</w:t>
      </w:r>
      <w:r w:rsidRPr="009C0EEC">
        <w:rPr>
          <w:rFonts w:asciiTheme="minorHAnsi" w:hAnsiTheme="minorHAnsi" w:cstheme="minorHAnsi"/>
          <w:sz w:val="22"/>
          <w:szCs w:val="22"/>
          <w:vertAlign w:val="superscript"/>
          <w:lang w:val="en-CA"/>
        </w:rPr>
        <w:footnoteReference w:id="2"/>
      </w:r>
      <w:r w:rsidR="00854A83" w:rsidRPr="009C0EEC">
        <w:rPr>
          <w:rFonts w:asciiTheme="minorHAnsi" w:hAnsiTheme="minorHAnsi" w:cstheme="minorHAnsi"/>
          <w:sz w:val="22"/>
          <w:szCs w:val="22"/>
          <w:lang w:val="en-CA"/>
        </w:rPr>
        <w:t>: 2215</w:t>
      </w:r>
    </w:p>
    <w:p w14:paraId="3206F398" w14:textId="77777777" w:rsidR="00221199" w:rsidRPr="00264AD9" w:rsidRDefault="00221199" w:rsidP="009C0EEC">
      <w:pPr>
        <w:pStyle w:val="Heading2"/>
        <w:spacing w:after="120"/>
        <w:rPr>
          <w:lang w:val="en-CA"/>
        </w:rPr>
      </w:pPr>
      <w:r w:rsidRPr="00264AD9">
        <w:rPr>
          <w:lang w:val="en-CA"/>
        </w:rPr>
        <w:t xml:space="preserve">Federal Student Work Experience Program (FSWEP) </w:t>
      </w:r>
    </w:p>
    <w:p w14:paraId="2AE2B06D" w14:textId="54091987" w:rsidR="0083500E" w:rsidRPr="009C0EEC" w:rsidRDefault="00F61891" w:rsidP="009C0EEC">
      <w:pPr>
        <w:pStyle w:val="NoSpacing"/>
        <w:spacing w:after="120"/>
        <w:rPr>
          <w:rFonts w:asciiTheme="minorHAnsi" w:hAnsiTheme="minorHAnsi" w:cstheme="minorHAnsi"/>
          <w:sz w:val="22"/>
          <w:szCs w:val="22"/>
          <w:lang w:val="en-CA"/>
        </w:rPr>
      </w:pPr>
      <w:r w:rsidRPr="009C0EEC">
        <w:rPr>
          <w:rFonts w:asciiTheme="minorHAnsi" w:hAnsiTheme="minorHAnsi" w:cstheme="minorHAnsi"/>
          <w:sz w:val="22"/>
          <w:szCs w:val="22"/>
          <w:lang w:val="en-CA"/>
        </w:rPr>
        <w:t xml:space="preserve">The CER has </w:t>
      </w:r>
      <w:r w:rsidR="00221199" w:rsidRPr="009C0EEC">
        <w:rPr>
          <w:rFonts w:asciiTheme="minorHAnsi" w:hAnsiTheme="minorHAnsi" w:cstheme="minorHAnsi"/>
          <w:sz w:val="22"/>
          <w:szCs w:val="22"/>
          <w:lang w:val="en-CA"/>
        </w:rPr>
        <w:t xml:space="preserve">submitted </w:t>
      </w:r>
      <w:r w:rsidR="00854A83" w:rsidRPr="009C0EEC">
        <w:rPr>
          <w:rFonts w:asciiTheme="minorHAnsi" w:hAnsiTheme="minorHAnsi" w:cstheme="minorHAnsi"/>
          <w:sz w:val="22"/>
          <w:szCs w:val="22"/>
          <w:lang w:val="en-CA"/>
        </w:rPr>
        <w:t>13 requests for referrals from</w:t>
      </w:r>
      <w:r w:rsidR="0027727E" w:rsidRPr="009C0EEC">
        <w:rPr>
          <w:rFonts w:asciiTheme="minorHAnsi" w:hAnsiTheme="minorHAnsi" w:cstheme="minorHAnsi"/>
          <w:sz w:val="22"/>
          <w:szCs w:val="22"/>
          <w:lang w:val="en-CA"/>
        </w:rPr>
        <w:t xml:space="preserve"> FSWEP in 2020. </w:t>
      </w:r>
      <w:r w:rsidR="00854A83" w:rsidRPr="009C0EEC">
        <w:rPr>
          <w:rFonts w:asciiTheme="minorHAnsi" w:hAnsiTheme="minorHAnsi" w:cstheme="minorHAnsi"/>
          <w:sz w:val="22"/>
          <w:szCs w:val="22"/>
          <w:lang w:val="en-CA"/>
        </w:rPr>
        <w:t>T</w:t>
      </w:r>
      <w:r w:rsidR="00E16642" w:rsidRPr="009C0EEC">
        <w:rPr>
          <w:rFonts w:asciiTheme="minorHAnsi" w:hAnsiTheme="minorHAnsi" w:cstheme="minorHAnsi"/>
          <w:sz w:val="22"/>
          <w:szCs w:val="22"/>
          <w:lang w:val="en-CA"/>
        </w:rPr>
        <w:t xml:space="preserve">his program </w:t>
      </w:r>
      <w:r w:rsidRPr="009C0EEC">
        <w:rPr>
          <w:rFonts w:asciiTheme="minorHAnsi" w:hAnsiTheme="minorHAnsi" w:cstheme="minorHAnsi"/>
          <w:sz w:val="22"/>
          <w:szCs w:val="22"/>
          <w:lang w:val="en-CA"/>
        </w:rPr>
        <w:t>remains</w:t>
      </w:r>
      <w:r w:rsidR="00221199" w:rsidRPr="009C0EEC">
        <w:rPr>
          <w:rFonts w:asciiTheme="minorHAnsi" w:hAnsiTheme="minorHAnsi" w:cstheme="minorHAnsi"/>
          <w:sz w:val="22"/>
          <w:szCs w:val="22"/>
          <w:lang w:val="en-CA"/>
        </w:rPr>
        <w:t xml:space="preserve"> </w:t>
      </w:r>
      <w:r w:rsidRPr="009C0EEC">
        <w:rPr>
          <w:rFonts w:asciiTheme="minorHAnsi" w:hAnsiTheme="minorHAnsi" w:cstheme="minorHAnsi"/>
          <w:sz w:val="22"/>
          <w:szCs w:val="22"/>
          <w:lang w:val="en-CA"/>
        </w:rPr>
        <w:t xml:space="preserve">an excellent </w:t>
      </w:r>
      <w:r w:rsidR="00E16642" w:rsidRPr="009C0EEC">
        <w:rPr>
          <w:rFonts w:asciiTheme="minorHAnsi" w:hAnsiTheme="minorHAnsi" w:cstheme="minorHAnsi"/>
          <w:sz w:val="22"/>
          <w:szCs w:val="22"/>
          <w:lang w:val="en-CA"/>
        </w:rPr>
        <w:t xml:space="preserve">way for an organization </w:t>
      </w:r>
      <w:r w:rsidR="00221199" w:rsidRPr="009C0EEC">
        <w:rPr>
          <w:rFonts w:asciiTheme="minorHAnsi" w:hAnsiTheme="minorHAnsi" w:cstheme="minorHAnsi"/>
          <w:sz w:val="22"/>
          <w:szCs w:val="22"/>
          <w:lang w:val="en-CA"/>
        </w:rPr>
        <w:t xml:space="preserve">to renew </w:t>
      </w:r>
      <w:r w:rsidR="00E16642" w:rsidRPr="009C0EEC">
        <w:rPr>
          <w:rFonts w:asciiTheme="minorHAnsi" w:hAnsiTheme="minorHAnsi" w:cstheme="minorHAnsi"/>
          <w:sz w:val="22"/>
          <w:szCs w:val="22"/>
          <w:lang w:val="en-CA"/>
        </w:rPr>
        <w:t>its</w:t>
      </w:r>
      <w:r w:rsidR="00221199" w:rsidRPr="009C0EEC">
        <w:rPr>
          <w:rFonts w:asciiTheme="minorHAnsi" w:hAnsiTheme="minorHAnsi" w:cstheme="minorHAnsi"/>
          <w:sz w:val="22"/>
          <w:szCs w:val="22"/>
          <w:lang w:val="en-CA"/>
        </w:rPr>
        <w:t xml:space="preserve"> workforce and bring new energy, </w:t>
      </w:r>
      <w:proofErr w:type="gramStart"/>
      <w:r w:rsidR="00221199" w:rsidRPr="009C0EEC">
        <w:rPr>
          <w:rFonts w:asciiTheme="minorHAnsi" w:hAnsiTheme="minorHAnsi" w:cstheme="minorHAnsi"/>
          <w:sz w:val="22"/>
          <w:szCs w:val="22"/>
          <w:lang w:val="en-CA"/>
        </w:rPr>
        <w:t>ideas</w:t>
      </w:r>
      <w:proofErr w:type="gramEnd"/>
      <w:r w:rsidR="00221199" w:rsidRPr="009C0EEC">
        <w:rPr>
          <w:rFonts w:asciiTheme="minorHAnsi" w:hAnsiTheme="minorHAnsi" w:cstheme="minorHAnsi"/>
          <w:sz w:val="22"/>
          <w:szCs w:val="22"/>
          <w:lang w:val="en-CA"/>
        </w:rPr>
        <w:t xml:space="preserve"> and</w:t>
      </w:r>
      <w:r w:rsidR="00221199" w:rsidRPr="00264AD9">
        <w:rPr>
          <w:rFonts w:ascii="Segoe UI" w:hAnsi="Segoe UI" w:cs="Segoe UI"/>
          <w:sz w:val="22"/>
          <w:szCs w:val="22"/>
          <w:lang w:val="en-CA"/>
        </w:rPr>
        <w:t xml:space="preserve"> </w:t>
      </w:r>
      <w:r w:rsidR="00221199" w:rsidRPr="009C0EEC">
        <w:rPr>
          <w:rFonts w:asciiTheme="minorHAnsi" w:hAnsiTheme="minorHAnsi" w:cstheme="minorHAnsi"/>
          <w:sz w:val="22"/>
          <w:szCs w:val="22"/>
          <w:lang w:val="en-CA"/>
        </w:rPr>
        <w:t xml:space="preserve">approaches to </w:t>
      </w:r>
      <w:r w:rsidR="00E16642" w:rsidRPr="009C0EEC">
        <w:rPr>
          <w:rFonts w:asciiTheme="minorHAnsi" w:hAnsiTheme="minorHAnsi" w:cstheme="minorHAnsi"/>
          <w:sz w:val="22"/>
          <w:szCs w:val="22"/>
          <w:lang w:val="en-CA"/>
        </w:rPr>
        <w:t>its</w:t>
      </w:r>
      <w:r w:rsidR="00221199" w:rsidRPr="009C0EEC">
        <w:rPr>
          <w:rFonts w:asciiTheme="minorHAnsi" w:hAnsiTheme="minorHAnsi" w:cstheme="minorHAnsi"/>
          <w:sz w:val="22"/>
          <w:szCs w:val="22"/>
          <w:lang w:val="en-CA"/>
        </w:rPr>
        <w:t xml:space="preserve"> workplace. The number of available students in this program is</w:t>
      </w:r>
      <w:r w:rsidR="00E16642" w:rsidRPr="009C0EEC">
        <w:rPr>
          <w:rFonts w:asciiTheme="minorHAnsi" w:hAnsiTheme="minorHAnsi" w:cstheme="minorHAnsi"/>
          <w:sz w:val="22"/>
          <w:szCs w:val="22"/>
          <w:lang w:val="en-CA"/>
        </w:rPr>
        <w:t xml:space="preserve"> </w:t>
      </w:r>
      <w:r w:rsidR="00854A83" w:rsidRPr="009C0EEC">
        <w:rPr>
          <w:rFonts w:asciiTheme="minorHAnsi" w:hAnsiTheme="minorHAnsi" w:cstheme="minorHAnsi"/>
          <w:sz w:val="22"/>
          <w:szCs w:val="22"/>
          <w:lang w:val="en-CA"/>
        </w:rPr>
        <w:t>71,962</w:t>
      </w:r>
      <w:r w:rsidR="00221199" w:rsidRPr="009C0EEC">
        <w:rPr>
          <w:rFonts w:asciiTheme="minorHAnsi" w:hAnsiTheme="minorHAnsi" w:cstheme="minorHAnsi"/>
          <w:sz w:val="22"/>
          <w:szCs w:val="22"/>
          <w:vertAlign w:val="superscript"/>
          <w:lang w:val="en-CA"/>
        </w:rPr>
        <w:footnoteReference w:id="3"/>
      </w:r>
      <w:r w:rsidR="00221199" w:rsidRPr="009C0EEC">
        <w:rPr>
          <w:rFonts w:asciiTheme="minorHAnsi" w:hAnsiTheme="minorHAnsi" w:cstheme="minorHAnsi"/>
          <w:sz w:val="22"/>
          <w:szCs w:val="22"/>
          <w:lang w:val="en-CA"/>
        </w:rPr>
        <w:t>. For reference</w:t>
      </w:r>
      <w:r w:rsidR="00E16642" w:rsidRPr="009C0EEC">
        <w:rPr>
          <w:rFonts w:asciiTheme="minorHAnsi" w:hAnsiTheme="minorHAnsi" w:cstheme="minorHAnsi"/>
          <w:sz w:val="22"/>
          <w:szCs w:val="22"/>
          <w:lang w:val="en-CA"/>
        </w:rPr>
        <w:t xml:space="preserve">, please visit the </w:t>
      </w:r>
      <w:r w:rsidR="00221199" w:rsidRPr="009C0EEC">
        <w:rPr>
          <w:rFonts w:asciiTheme="minorHAnsi" w:hAnsiTheme="minorHAnsi" w:cstheme="minorHAnsi"/>
          <w:sz w:val="22"/>
          <w:szCs w:val="22"/>
          <w:lang w:val="en-CA"/>
        </w:rPr>
        <w:t>Monthly FSWEP Dashboards.</w:t>
      </w:r>
    </w:p>
    <w:p w14:paraId="4B5578A8" w14:textId="77777777" w:rsidR="0083500E" w:rsidRPr="00264AD9" w:rsidRDefault="00221199" w:rsidP="009C0EEC">
      <w:pPr>
        <w:pStyle w:val="Heading2"/>
        <w:spacing w:after="120"/>
        <w:rPr>
          <w:lang w:val="en-CA"/>
        </w:rPr>
      </w:pPr>
      <w:r w:rsidRPr="00264AD9">
        <w:rPr>
          <w:lang w:val="en-CA"/>
        </w:rPr>
        <w:t>Post-Secondary Recruitment (PSR)</w:t>
      </w:r>
    </w:p>
    <w:p w14:paraId="712D39A9" w14:textId="32F59F7C" w:rsidR="009C0EEC" w:rsidRPr="00253093" w:rsidRDefault="00221199" w:rsidP="00E65ACB">
      <w:pPr>
        <w:pStyle w:val="NoSpacing"/>
        <w:rPr>
          <w:rFonts w:ascii="Segoe UI" w:hAnsi="Segoe UI" w:cs="Segoe UI"/>
          <w:sz w:val="22"/>
          <w:szCs w:val="22"/>
          <w:lang w:val="en-CA"/>
        </w:rPr>
      </w:pPr>
      <w:r w:rsidRPr="009C0EEC">
        <w:rPr>
          <w:rFonts w:asciiTheme="minorHAnsi" w:hAnsiTheme="minorHAnsi" w:cstheme="minorHAnsi"/>
          <w:sz w:val="22"/>
          <w:szCs w:val="22"/>
          <w:lang w:val="en-CA"/>
        </w:rPr>
        <w:t xml:space="preserve">The </w:t>
      </w:r>
      <w:r w:rsidR="00736359" w:rsidRPr="009C0EEC">
        <w:rPr>
          <w:rFonts w:asciiTheme="minorHAnsi" w:hAnsiTheme="minorHAnsi" w:cstheme="minorHAnsi"/>
          <w:sz w:val="22"/>
          <w:szCs w:val="22"/>
          <w:lang w:val="en-CA"/>
        </w:rPr>
        <w:t>CER</w:t>
      </w:r>
      <w:r w:rsidRPr="009C0EEC">
        <w:rPr>
          <w:rFonts w:asciiTheme="minorHAnsi" w:hAnsiTheme="minorHAnsi" w:cstheme="minorHAnsi"/>
          <w:sz w:val="22"/>
          <w:szCs w:val="22"/>
          <w:lang w:val="en-CA"/>
        </w:rPr>
        <w:t xml:space="preserve"> has submitted</w:t>
      </w:r>
      <w:r w:rsidR="00A54EF1" w:rsidRPr="009C0EEC">
        <w:rPr>
          <w:rFonts w:asciiTheme="minorHAnsi" w:hAnsiTheme="minorHAnsi" w:cstheme="minorHAnsi"/>
          <w:sz w:val="22"/>
          <w:szCs w:val="22"/>
          <w:lang w:val="en-CA"/>
        </w:rPr>
        <w:t xml:space="preserve"> 15</w:t>
      </w:r>
      <w:r w:rsidRPr="009C0EEC">
        <w:rPr>
          <w:rFonts w:asciiTheme="minorHAnsi" w:hAnsiTheme="minorHAnsi" w:cstheme="minorHAnsi"/>
          <w:sz w:val="22"/>
          <w:szCs w:val="22"/>
          <w:lang w:val="en-CA"/>
        </w:rPr>
        <w:t xml:space="preserve"> requests for ref</w:t>
      </w:r>
      <w:r w:rsidR="00E16642" w:rsidRPr="009C0EEC">
        <w:rPr>
          <w:rFonts w:asciiTheme="minorHAnsi" w:hAnsiTheme="minorHAnsi" w:cstheme="minorHAnsi"/>
          <w:sz w:val="22"/>
          <w:szCs w:val="22"/>
          <w:lang w:val="en-CA"/>
        </w:rPr>
        <w:t>errals from the PSR inventories. These were</w:t>
      </w:r>
      <w:r w:rsidRPr="009C0EEC">
        <w:rPr>
          <w:rFonts w:asciiTheme="minorHAnsi" w:hAnsiTheme="minorHAnsi" w:cstheme="minorHAnsi"/>
          <w:sz w:val="22"/>
          <w:szCs w:val="22"/>
          <w:lang w:val="en-CA"/>
        </w:rPr>
        <w:t xml:space="preserve"> to staff positions </w:t>
      </w:r>
      <w:r w:rsidR="00E25039" w:rsidRPr="009C0EEC">
        <w:rPr>
          <w:rFonts w:asciiTheme="minorHAnsi" w:hAnsiTheme="minorHAnsi" w:cstheme="minorHAnsi"/>
          <w:sz w:val="22"/>
          <w:szCs w:val="22"/>
          <w:lang w:val="en-CA"/>
        </w:rPr>
        <w:t xml:space="preserve">related to the </w:t>
      </w:r>
      <w:r w:rsidR="009552DB" w:rsidRPr="009C0EEC">
        <w:rPr>
          <w:rFonts w:asciiTheme="minorHAnsi" w:hAnsiTheme="minorHAnsi" w:cstheme="minorHAnsi"/>
          <w:sz w:val="22"/>
          <w:szCs w:val="22"/>
          <w:lang w:val="en-CA"/>
        </w:rPr>
        <w:t xml:space="preserve">AS, CS, EC, EN, IS and PM </w:t>
      </w:r>
      <w:r w:rsidR="00E25039" w:rsidRPr="009C0EEC">
        <w:rPr>
          <w:rFonts w:asciiTheme="minorHAnsi" w:hAnsiTheme="minorHAnsi" w:cstheme="minorHAnsi"/>
          <w:sz w:val="22"/>
          <w:szCs w:val="22"/>
          <w:lang w:val="en-CA"/>
        </w:rPr>
        <w:t>classifications</w:t>
      </w:r>
      <w:r w:rsidRPr="009C0EEC">
        <w:rPr>
          <w:rFonts w:asciiTheme="minorHAnsi" w:hAnsiTheme="minorHAnsi" w:cstheme="minorHAnsi"/>
          <w:sz w:val="22"/>
          <w:szCs w:val="22"/>
          <w:lang w:val="en-CA"/>
        </w:rPr>
        <w:t>.</w:t>
      </w:r>
      <w:r w:rsidR="00E16642" w:rsidRPr="009C0EEC">
        <w:rPr>
          <w:rFonts w:asciiTheme="minorHAnsi" w:hAnsiTheme="minorHAnsi" w:cstheme="minorHAnsi"/>
          <w:sz w:val="22"/>
          <w:szCs w:val="22"/>
          <w:lang w:val="en-CA"/>
        </w:rPr>
        <w:t xml:space="preserve"> </w:t>
      </w:r>
    </w:p>
    <w:p w14:paraId="3E81B077" w14:textId="65335322" w:rsidR="00AB0DFD" w:rsidRPr="00264AD9" w:rsidRDefault="00AB0DFD" w:rsidP="00664E11">
      <w:pPr>
        <w:pStyle w:val="Heading2"/>
        <w:spacing w:after="120"/>
        <w:rPr>
          <w:lang w:val="en-CA"/>
        </w:rPr>
      </w:pPr>
      <w:r w:rsidRPr="00264AD9">
        <w:rPr>
          <w:lang w:val="en-CA"/>
        </w:rPr>
        <w:t xml:space="preserve">Participation in </w:t>
      </w:r>
      <w:r w:rsidR="00E43369">
        <w:rPr>
          <w:lang w:val="en-CA"/>
        </w:rPr>
        <w:t>I</w:t>
      </w:r>
      <w:r w:rsidRPr="00264AD9">
        <w:rPr>
          <w:lang w:val="en-CA"/>
        </w:rPr>
        <w:t xml:space="preserve">nitiatives </w:t>
      </w:r>
      <w:r w:rsidR="00E43369">
        <w:rPr>
          <w:lang w:val="en-CA"/>
        </w:rPr>
        <w:t>R</w:t>
      </w:r>
      <w:r w:rsidRPr="00264AD9">
        <w:rPr>
          <w:lang w:val="en-CA"/>
        </w:rPr>
        <w:t xml:space="preserve">elated to the </w:t>
      </w:r>
      <w:r w:rsidR="00E43369">
        <w:rPr>
          <w:lang w:val="en-CA"/>
        </w:rPr>
        <w:t>H</w:t>
      </w:r>
      <w:r w:rsidRPr="00264AD9">
        <w:rPr>
          <w:lang w:val="en-CA"/>
        </w:rPr>
        <w:t xml:space="preserve">iring of </w:t>
      </w:r>
      <w:r w:rsidR="00E43369">
        <w:rPr>
          <w:lang w:val="en-CA"/>
        </w:rPr>
        <w:t>I</w:t>
      </w:r>
      <w:r w:rsidRPr="00264AD9">
        <w:rPr>
          <w:lang w:val="en-CA"/>
        </w:rPr>
        <w:t xml:space="preserve">ndigenous </w:t>
      </w:r>
      <w:r w:rsidR="00E43369">
        <w:rPr>
          <w:lang w:val="en-CA"/>
        </w:rPr>
        <w:t>P</w:t>
      </w:r>
      <w:r w:rsidRPr="00264AD9">
        <w:rPr>
          <w:lang w:val="en-CA"/>
        </w:rPr>
        <w:t>eoples</w:t>
      </w:r>
    </w:p>
    <w:p w14:paraId="105B9ED9" w14:textId="2C64358B" w:rsidR="00AB0DFD" w:rsidRPr="00664E11" w:rsidRDefault="00AB0DFD" w:rsidP="00664E11">
      <w:pPr>
        <w:pStyle w:val="NoSpacing"/>
        <w:rPr>
          <w:rFonts w:asciiTheme="minorHAnsi" w:hAnsiTheme="minorHAnsi" w:cstheme="minorHAnsi"/>
          <w:sz w:val="22"/>
          <w:szCs w:val="22"/>
          <w:lang w:val="en-CA"/>
        </w:rPr>
      </w:pPr>
      <w:r w:rsidRPr="00664E11">
        <w:rPr>
          <w:rFonts w:asciiTheme="minorHAnsi" w:hAnsiTheme="minorHAnsi" w:cstheme="minorHAnsi"/>
          <w:sz w:val="22"/>
          <w:szCs w:val="22"/>
          <w:lang w:val="en-CA"/>
        </w:rPr>
        <w:t xml:space="preserve">Although the </w:t>
      </w:r>
      <w:r w:rsidR="00736359" w:rsidRPr="00664E11">
        <w:rPr>
          <w:rFonts w:asciiTheme="minorHAnsi" w:hAnsiTheme="minorHAnsi" w:cstheme="minorHAnsi"/>
          <w:sz w:val="22"/>
          <w:szCs w:val="22"/>
          <w:lang w:val="en-CA"/>
        </w:rPr>
        <w:t>CER</w:t>
      </w:r>
      <w:r w:rsidRPr="00664E11">
        <w:rPr>
          <w:rFonts w:asciiTheme="minorHAnsi" w:hAnsiTheme="minorHAnsi" w:cstheme="minorHAnsi"/>
          <w:sz w:val="22"/>
          <w:szCs w:val="22"/>
          <w:lang w:val="en-CA"/>
        </w:rPr>
        <w:t xml:space="preserve"> has not participated in any initiatives with the PSC, the PSC’s Aboriginal Centre of Expertise (ACE) and the </w:t>
      </w:r>
      <w:r w:rsidR="0065606A" w:rsidRPr="00664E11">
        <w:rPr>
          <w:rFonts w:asciiTheme="minorHAnsi" w:hAnsiTheme="minorHAnsi" w:cstheme="minorHAnsi"/>
          <w:sz w:val="22"/>
          <w:szCs w:val="22"/>
          <w:lang w:val="en-CA"/>
        </w:rPr>
        <w:t xml:space="preserve">Treasury Board Secretariat’s </w:t>
      </w:r>
      <w:r w:rsidRPr="00664E11">
        <w:rPr>
          <w:rFonts w:asciiTheme="minorHAnsi" w:hAnsiTheme="minorHAnsi" w:cstheme="minorHAnsi"/>
          <w:sz w:val="22"/>
          <w:szCs w:val="22"/>
          <w:lang w:val="en-CA"/>
        </w:rPr>
        <w:t>Office of the Chief</w:t>
      </w:r>
      <w:r w:rsidR="006E022A" w:rsidRPr="00664E11">
        <w:rPr>
          <w:rFonts w:asciiTheme="minorHAnsi" w:hAnsiTheme="minorHAnsi" w:cstheme="minorHAnsi"/>
          <w:sz w:val="22"/>
          <w:szCs w:val="22"/>
          <w:lang w:val="en-CA"/>
        </w:rPr>
        <w:t xml:space="preserve"> Human Resources Officer</w:t>
      </w:r>
      <w:r w:rsidRPr="00664E11">
        <w:rPr>
          <w:rFonts w:asciiTheme="minorHAnsi" w:hAnsiTheme="minorHAnsi" w:cstheme="minorHAnsi"/>
          <w:sz w:val="22"/>
          <w:szCs w:val="22"/>
          <w:lang w:val="en-CA"/>
        </w:rPr>
        <w:t xml:space="preserve"> have developed an</w:t>
      </w:r>
      <w:r w:rsidR="006E022A" w:rsidRPr="00664E11">
        <w:rPr>
          <w:rFonts w:asciiTheme="minorHAnsi" w:hAnsiTheme="minorHAnsi" w:cstheme="minorHAnsi"/>
          <w:sz w:val="22"/>
          <w:szCs w:val="22"/>
          <w:lang w:val="en-CA"/>
        </w:rPr>
        <w:t xml:space="preserve"> Indigenous Career Pathways</w:t>
      </w:r>
      <w:r w:rsidRPr="00664E11">
        <w:rPr>
          <w:rFonts w:asciiTheme="minorHAnsi" w:hAnsiTheme="minorHAnsi" w:cstheme="minorHAnsi"/>
          <w:sz w:val="22"/>
          <w:szCs w:val="22"/>
          <w:lang w:val="en-CA"/>
        </w:rPr>
        <w:t xml:space="preserve"> that may be of interest to </w:t>
      </w:r>
      <w:r w:rsidR="0065606A" w:rsidRPr="00664E11">
        <w:rPr>
          <w:rFonts w:asciiTheme="minorHAnsi" w:hAnsiTheme="minorHAnsi" w:cstheme="minorHAnsi"/>
          <w:sz w:val="22"/>
          <w:szCs w:val="22"/>
          <w:lang w:val="en-CA"/>
        </w:rPr>
        <w:t xml:space="preserve">the </w:t>
      </w:r>
      <w:r w:rsidRPr="00664E11">
        <w:rPr>
          <w:rFonts w:asciiTheme="minorHAnsi" w:hAnsiTheme="minorHAnsi" w:cstheme="minorHAnsi"/>
          <w:sz w:val="22"/>
          <w:szCs w:val="22"/>
          <w:lang w:val="en-CA"/>
        </w:rPr>
        <w:t>C</w:t>
      </w:r>
      <w:r w:rsidR="00E909D6" w:rsidRPr="00664E11">
        <w:rPr>
          <w:rFonts w:asciiTheme="minorHAnsi" w:hAnsiTheme="minorHAnsi" w:cstheme="minorHAnsi"/>
          <w:sz w:val="22"/>
          <w:szCs w:val="22"/>
          <w:lang w:val="en-CA"/>
        </w:rPr>
        <w:t>ER. It provides information on i</w:t>
      </w:r>
      <w:r w:rsidRPr="00664E11">
        <w:rPr>
          <w:rFonts w:asciiTheme="minorHAnsi" w:hAnsiTheme="minorHAnsi" w:cstheme="minorHAnsi"/>
          <w:sz w:val="22"/>
          <w:szCs w:val="22"/>
          <w:lang w:val="en-CA"/>
        </w:rPr>
        <w:t xml:space="preserve">ndigenous </w:t>
      </w:r>
      <w:r w:rsidR="007558EC" w:rsidRPr="00664E11">
        <w:rPr>
          <w:rFonts w:asciiTheme="minorHAnsi" w:hAnsiTheme="minorHAnsi" w:cstheme="minorHAnsi"/>
          <w:sz w:val="22"/>
          <w:szCs w:val="22"/>
          <w:lang w:val="en-CA"/>
        </w:rPr>
        <w:t xml:space="preserve">recruitment, career progression, as well as </w:t>
      </w:r>
      <w:r w:rsidRPr="00664E11">
        <w:rPr>
          <w:rFonts w:asciiTheme="minorHAnsi" w:hAnsiTheme="minorHAnsi" w:cstheme="minorHAnsi"/>
          <w:sz w:val="22"/>
          <w:szCs w:val="22"/>
          <w:lang w:val="en-CA"/>
        </w:rPr>
        <w:t>development and retention:</w:t>
      </w:r>
    </w:p>
    <w:p w14:paraId="25E9A79A" w14:textId="12474BD4" w:rsidR="00AB0DFD" w:rsidRPr="00664E11" w:rsidRDefault="00AB0DFD" w:rsidP="00664E11">
      <w:pPr>
        <w:pStyle w:val="NoSpacing"/>
        <w:numPr>
          <w:ilvl w:val="0"/>
          <w:numId w:val="32"/>
        </w:numPr>
        <w:rPr>
          <w:rFonts w:asciiTheme="minorHAnsi" w:hAnsiTheme="minorHAnsi" w:cstheme="minorHAnsi"/>
          <w:sz w:val="22"/>
          <w:szCs w:val="22"/>
          <w:lang w:val="en-CA"/>
        </w:rPr>
      </w:pPr>
      <w:r w:rsidRPr="00664E11">
        <w:rPr>
          <w:rFonts w:asciiTheme="minorHAnsi" w:hAnsiTheme="minorHAnsi" w:cstheme="minorHAnsi"/>
          <w:sz w:val="22"/>
          <w:szCs w:val="22"/>
          <w:lang w:val="en-CA"/>
        </w:rPr>
        <w:t>The Inventory of Indigenous Applicants facilitates the matching between hiring manag</w:t>
      </w:r>
      <w:r w:rsidR="00E909D6" w:rsidRPr="00664E11">
        <w:rPr>
          <w:rFonts w:asciiTheme="minorHAnsi" w:hAnsiTheme="minorHAnsi" w:cstheme="minorHAnsi"/>
          <w:sz w:val="22"/>
          <w:szCs w:val="22"/>
          <w:lang w:val="en-CA"/>
        </w:rPr>
        <w:t>ers and candidates by sourcing i</w:t>
      </w:r>
      <w:r w:rsidRPr="00664E11">
        <w:rPr>
          <w:rFonts w:asciiTheme="minorHAnsi" w:hAnsiTheme="minorHAnsi" w:cstheme="minorHAnsi"/>
          <w:sz w:val="22"/>
          <w:szCs w:val="22"/>
          <w:lang w:val="en-CA"/>
        </w:rPr>
        <w:t>ndigenous talents from existing inventories of the Public Service Co</w:t>
      </w:r>
      <w:r w:rsidR="00B84BB3" w:rsidRPr="00664E11">
        <w:rPr>
          <w:rFonts w:asciiTheme="minorHAnsi" w:hAnsiTheme="minorHAnsi" w:cstheme="minorHAnsi"/>
          <w:sz w:val="22"/>
          <w:szCs w:val="22"/>
          <w:lang w:val="en-CA"/>
        </w:rPr>
        <w:t>mmission and proactively promoting</w:t>
      </w:r>
      <w:r w:rsidRPr="00664E11">
        <w:rPr>
          <w:rFonts w:asciiTheme="minorHAnsi" w:hAnsiTheme="minorHAnsi" w:cstheme="minorHAnsi"/>
          <w:sz w:val="22"/>
          <w:szCs w:val="22"/>
          <w:lang w:val="en-CA"/>
        </w:rPr>
        <w:t xml:space="preserve"> their profiles to federal organizations. </w:t>
      </w:r>
    </w:p>
    <w:p w14:paraId="0FCF7E57" w14:textId="10515FF9" w:rsidR="00AB0DFD" w:rsidRPr="00664E11" w:rsidRDefault="00AB0DFD" w:rsidP="00664E11">
      <w:pPr>
        <w:pStyle w:val="NoSpacing"/>
        <w:numPr>
          <w:ilvl w:val="0"/>
          <w:numId w:val="32"/>
        </w:numPr>
        <w:spacing w:after="120"/>
        <w:rPr>
          <w:rFonts w:asciiTheme="minorHAnsi" w:hAnsiTheme="minorHAnsi" w:cstheme="minorHAnsi"/>
          <w:sz w:val="22"/>
          <w:szCs w:val="22"/>
          <w:lang w:val="en-CA"/>
        </w:rPr>
      </w:pPr>
      <w:r w:rsidRPr="00664E11">
        <w:rPr>
          <w:rFonts w:asciiTheme="minorHAnsi" w:hAnsiTheme="minorHAnsi" w:cstheme="minorHAnsi"/>
          <w:sz w:val="22"/>
          <w:szCs w:val="22"/>
          <w:lang w:val="en-CA"/>
        </w:rPr>
        <w:t xml:space="preserve">The Indigenous Recruitment Toolbox </w:t>
      </w:r>
      <w:r w:rsidR="007B2FD4" w:rsidRPr="00664E11">
        <w:rPr>
          <w:rFonts w:asciiTheme="minorHAnsi" w:hAnsiTheme="minorHAnsi" w:cstheme="minorHAnsi"/>
          <w:sz w:val="22"/>
          <w:szCs w:val="22"/>
          <w:lang w:val="en-CA"/>
        </w:rPr>
        <w:t>will provide</w:t>
      </w:r>
      <w:r w:rsidRPr="00664E11">
        <w:rPr>
          <w:rFonts w:asciiTheme="minorHAnsi" w:hAnsiTheme="minorHAnsi" w:cstheme="minorHAnsi"/>
          <w:sz w:val="22"/>
          <w:szCs w:val="22"/>
          <w:lang w:val="en-CA"/>
        </w:rPr>
        <w:t xml:space="preserve"> </w:t>
      </w:r>
      <w:r w:rsidR="00E909D6" w:rsidRPr="00664E11">
        <w:rPr>
          <w:rFonts w:asciiTheme="minorHAnsi" w:hAnsiTheme="minorHAnsi" w:cstheme="minorHAnsi"/>
          <w:sz w:val="22"/>
          <w:szCs w:val="22"/>
          <w:lang w:val="en-CA"/>
        </w:rPr>
        <w:t>tools, resources and advice on i</w:t>
      </w:r>
      <w:r w:rsidRPr="00664E11">
        <w:rPr>
          <w:rFonts w:asciiTheme="minorHAnsi" w:hAnsiTheme="minorHAnsi" w:cstheme="minorHAnsi"/>
          <w:sz w:val="22"/>
          <w:szCs w:val="22"/>
          <w:lang w:val="en-CA"/>
        </w:rPr>
        <w:t xml:space="preserve">ndigenous recruitment, outreach and share initiatives that PSC and other departments offer. </w:t>
      </w:r>
      <w:r w:rsidR="0065606A" w:rsidRPr="00664E11">
        <w:rPr>
          <w:rFonts w:asciiTheme="minorHAnsi" w:hAnsiTheme="minorHAnsi" w:cstheme="minorHAnsi"/>
          <w:sz w:val="22"/>
          <w:szCs w:val="22"/>
          <w:lang w:val="en-CA"/>
        </w:rPr>
        <w:t xml:space="preserve">The toolbox is expected to be available to hiring managers and HR advisors on </w:t>
      </w:r>
      <w:proofErr w:type="spellStart"/>
      <w:r w:rsidR="0065606A" w:rsidRPr="00664E11">
        <w:rPr>
          <w:rFonts w:asciiTheme="minorHAnsi" w:hAnsiTheme="minorHAnsi" w:cstheme="minorHAnsi"/>
          <w:sz w:val="22"/>
          <w:szCs w:val="22"/>
          <w:lang w:val="en-CA"/>
        </w:rPr>
        <w:t>GCintranet</w:t>
      </w:r>
      <w:proofErr w:type="spellEnd"/>
      <w:r w:rsidR="0065606A" w:rsidRPr="00664E11">
        <w:rPr>
          <w:rFonts w:asciiTheme="minorHAnsi" w:hAnsiTheme="minorHAnsi" w:cstheme="minorHAnsi"/>
          <w:sz w:val="22"/>
          <w:szCs w:val="22"/>
          <w:lang w:val="en-CA"/>
        </w:rPr>
        <w:t xml:space="preserve"> at the end of 2020.</w:t>
      </w:r>
    </w:p>
    <w:p w14:paraId="58EF7225" w14:textId="688A078C" w:rsidR="0065606A" w:rsidRPr="00664E11" w:rsidRDefault="00AB0DFD" w:rsidP="00664E11">
      <w:pPr>
        <w:pStyle w:val="NoSpacing"/>
        <w:spacing w:after="120"/>
        <w:rPr>
          <w:rFonts w:asciiTheme="minorHAnsi" w:hAnsiTheme="minorHAnsi" w:cstheme="minorHAnsi"/>
          <w:sz w:val="22"/>
          <w:szCs w:val="22"/>
          <w:lang w:val="en-CA"/>
        </w:rPr>
      </w:pPr>
      <w:r w:rsidRPr="00664E11">
        <w:rPr>
          <w:rFonts w:asciiTheme="minorHAnsi" w:hAnsiTheme="minorHAnsi" w:cstheme="minorHAnsi"/>
          <w:sz w:val="22"/>
          <w:szCs w:val="22"/>
          <w:lang w:val="en-CA"/>
        </w:rPr>
        <w:t>The CER does not have its own specific recruitment partnership with the PSC.</w:t>
      </w:r>
    </w:p>
    <w:p w14:paraId="5F7EE449" w14:textId="77777777" w:rsidR="00753DD5" w:rsidRPr="00664E11" w:rsidRDefault="00753DD5" w:rsidP="00664E11">
      <w:pPr>
        <w:pStyle w:val="Heading1"/>
        <w:spacing w:after="120"/>
        <w:rPr>
          <w:rFonts w:cstheme="majorHAnsi"/>
          <w:lang w:val="en-CA"/>
        </w:rPr>
      </w:pPr>
      <w:r w:rsidRPr="00664E11">
        <w:rPr>
          <w:rFonts w:cstheme="majorHAnsi"/>
          <w:lang w:val="en-CA"/>
        </w:rPr>
        <w:lastRenderedPageBreak/>
        <w:t>Staffing Support</w:t>
      </w:r>
    </w:p>
    <w:p w14:paraId="2208A7F4" w14:textId="77777777" w:rsidR="00753DD5" w:rsidRPr="00264AD9" w:rsidRDefault="00753DD5" w:rsidP="00664E11">
      <w:pPr>
        <w:pStyle w:val="Heading2"/>
        <w:spacing w:after="120"/>
        <w:rPr>
          <w:u w:val="single"/>
          <w:lang w:val="en-CA"/>
        </w:rPr>
      </w:pPr>
      <w:r w:rsidRPr="00264AD9">
        <w:rPr>
          <w:lang w:val="en-CA"/>
        </w:rPr>
        <w:t>Public Service of Commission Representatives and Organizational Contacts</w:t>
      </w:r>
    </w:p>
    <w:p w14:paraId="0A263EAE" w14:textId="472A8EB5" w:rsidR="00772474" w:rsidRDefault="00753DD5" w:rsidP="00772474">
      <w:pPr>
        <w:pStyle w:val="NoSpacing"/>
        <w:spacing w:after="120"/>
        <w:rPr>
          <w:rFonts w:asciiTheme="minorHAnsi" w:hAnsiTheme="minorHAnsi" w:cstheme="minorHAnsi"/>
          <w:sz w:val="22"/>
          <w:szCs w:val="22"/>
          <w:lang w:val="en-CA"/>
        </w:rPr>
      </w:pPr>
      <w:r w:rsidRPr="00664E11">
        <w:rPr>
          <w:rFonts w:asciiTheme="minorHAnsi" w:hAnsiTheme="minorHAnsi" w:cstheme="minorHAnsi"/>
          <w:sz w:val="22"/>
          <w:szCs w:val="22"/>
          <w:lang w:val="en-CA"/>
        </w:rPr>
        <w:t xml:space="preserve">The </w:t>
      </w:r>
      <w:r w:rsidR="001E5A69" w:rsidRPr="00664E11">
        <w:rPr>
          <w:rFonts w:asciiTheme="minorHAnsi" w:hAnsiTheme="minorHAnsi" w:cstheme="minorHAnsi"/>
          <w:sz w:val="22"/>
          <w:szCs w:val="22"/>
          <w:lang w:val="en-CA"/>
        </w:rPr>
        <w:t>SSA</w:t>
      </w:r>
      <w:r w:rsidRPr="00664E11">
        <w:rPr>
          <w:rFonts w:asciiTheme="minorHAnsi" w:hAnsiTheme="minorHAnsi" w:cstheme="minorHAnsi"/>
          <w:sz w:val="22"/>
          <w:szCs w:val="22"/>
          <w:lang w:val="en-CA"/>
        </w:rPr>
        <w:t xml:space="preserve"> assigned to </w:t>
      </w:r>
      <w:r w:rsidR="001E5A69" w:rsidRPr="00664E11">
        <w:rPr>
          <w:rFonts w:asciiTheme="minorHAnsi" w:hAnsiTheme="minorHAnsi" w:cstheme="minorHAnsi"/>
          <w:sz w:val="22"/>
          <w:szCs w:val="22"/>
          <w:lang w:val="en-CA"/>
        </w:rPr>
        <w:t>the CER</w:t>
      </w:r>
      <w:r w:rsidRPr="00664E11">
        <w:rPr>
          <w:rFonts w:asciiTheme="minorHAnsi" w:hAnsiTheme="minorHAnsi" w:cstheme="minorHAnsi"/>
          <w:sz w:val="22"/>
          <w:szCs w:val="22"/>
          <w:lang w:val="en-CA"/>
        </w:rPr>
        <w:t xml:space="preserve"> is</w:t>
      </w:r>
      <w:r w:rsidR="001E5A69" w:rsidRPr="00664E11">
        <w:rPr>
          <w:rFonts w:asciiTheme="minorHAnsi" w:hAnsiTheme="minorHAnsi" w:cstheme="minorHAnsi"/>
          <w:sz w:val="22"/>
          <w:szCs w:val="22"/>
          <w:lang w:val="en-CA"/>
        </w:rPr>
        <w:t xml:space="preserve"> Steven Davidson and</w:t>
      </w:r>
      <w:r w:rsidRPr="00664E11">
        <w:rPr>
          <w:rFonts w:asciiTheme="minorHAnsi" w:hAnsiTheme="minorHAnsi" w:cstheme="minorHAnsi"/>
          <w:sz w:val="22"/>
          <w:szCs w:val="22"/>
          <w:lang w:val="en-CA"/>
        </w:rPr>
        <w:t xml:space="preserve"> the p</w:t>
      </w:r>
      <w:r w:rsidR="001E5A69" w:rsidRPr="00664E11">
        <w:rPr>
          <w:rFonts w:asciiTheme="minorHAnsi" w:hAnsiTheme="minorHAnsi" w:cstheme="minorHAnsi"/>
          <w:sz w:val="22"/>
          <w:szCs w:val="22"/>
          <w:lang w:val="en-CA"/>
        </w:rPr>
        <w:t xml:space="preserve">rimary organizational contacts are Stacey </w:t>
      </w:r>
      <w:proofErr w:type="spellStart"/>
      <w:r w:rsidR="001E5A69" w:rsidRPr="00664E11">
        <w:rPr>
          <w:rFonts w:asciiTheme="minorHAnsi" w:hAnsiTheme="minorHAnsi" w:cstheme="minorHAnsi"/>
          <w:sz w:val="22"/>
          <w:szCs w:val="22"/>
          <w:lang w:val="en-CA"/>
        </w:rPr>
        <w:t>Narrowmore</w:t>
      </w:r>
      <w:proofErr w:type="spellEnd"/>
      <w:r w:rsidR="001E5A69" w:rsidRPr="00664E11">
        <w:rPr>
          <w:rFonts w:asciiTheme="minorHAnsi" w:hAnsiTheme="minorHAnsi" w:cstheme="minorHAnsi"/>
          <w:sz w:val="22"/>
          <w:szCs w:val="22"/>
          <w:lang w:val="en-CA"/>
        </w:rPr>
        <w:t xml:space="preserve">, Acting Director, Human Resources Services and Programs (Staffing), and Cathy </w:t>
      </w:r>
      <w:proofErr w:type="spellStart"/>
      <w:r w:rsidR="001E5A69" w:rsidRPr="00664E11">
        <w:rPr>
          <w:rFonts w:asciiTheme="minorHAnsi" w:hAnsiTheme="minorHAnsi" w:cstheme="minorHAnsi"/>
          <w:sz w:val="22"/>
          <w:szCs w:val="22"/>
          <w:lang w:val="en-CA"/>
        </w:rPr>
        <w:t>Martinello</w:t>
      </w:r>
      <w:proofErr w:type="spellEnd"/>
      <w:r w:rsidR="001E5A69" w:rsidRPr="00664E11">
        <w:rPr>
          <w:rFonts w:asciiTheme="minorHAnsi" w:hAnsiTheme="minorHAnsi" w:cstheme="minorHAnsi"/>
          <w:sz w:val="22"/>
          <w:szCs w:val="22"/>
          <w:lang w:val="en-CA"/>
        </w:rPr>
        <w:t xml:space="preserve"> Acting Group Leader, Human Resources Services (Staffing). The head of human resources at the CER is Alexis Williamson, Vice President, People and Workforce Support.</w:t>
      </w:r>
    </w:p>
    <w:p w14:paraId="380C4D5A" w14:textId="0FE61E54" w:rsidR="00753DD5" w:rsidRPr="00664E11" w:rsidRDefault="00753DD5" w:rsidP="00772474">
      <w:pPr>
        <w:pStyle w:val="NoSpacing"/>
        <w:spacing w:before="360" w:after="120"/>
        <w:rPr>
          <w:rStyle w:val="Strong"/>
          <w:rFonts w:asciiTheme="minorHAnsi" w:hAnsiTheme="minorHAnsi" w:cstheme="minorHAnsi"/>
          <w:sz w:val="22"/>
          <w:szCs w:val="18"/>
          <w:lang w:val="en-CA"/>
        </w:rPr>
      </w:pPr>
      <w:r w:rsidRPr="00664E11">
        <w:rPr>
          <w:rStyle w:val="Strong"/>
          <w:rFonts w:asciiTheme="minorHAnsi" w:hAnsiTheme="minorHAnsi" w:cstheme="minorHAnsi"/>
          <w:sz w:val="22"/>
          <w:szCs w:val="18"/>
          <w:lang w:val="en-CA"/>
        </w:rPr>
        <w:t>PREPARED BY:</w:t>
      </w:r>
    </w:p>
    <w:p w14:paraId="4B004B0A" w14:textId="77777777" w:rsidR="00753DD5" w:rsidRPr="000374EB" w:rsidRDefault="00E53E8E" w:rsidP="000B0C9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0374EB">
        <w:rPr>
          <w:rFonts w:asciiTheme="minorHAnsi" w:hAnsiTheme="minorHAnsi" w:cstheme="minorHAnsi"/>
          <w:sz w:val="22"/>
          <w:szCs w:val="22"/>
          <w:lang w:val="en-CA"/>
        </w:rPr>
        <w:t>Steven Davidson</w:t>
      </w:r>
    </w:p>
    <w:p w14:paraId="5597158C" w14:textId="0B89C0CF" w:rsidR="0083500E" w:rsidRPr="000374EB" w:rsidRDefault="00753DD5" w:rsidP="000374E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hAnsiTheme="minorHAnsi" w:cstheme="minorHAnsi"/>
          <w:sz w:val="22"/>
          <w:szCs w:val="22"/>
          <w:lang w:val="en-CA"/>
        </w:rPr>
      </w:pPr>
      <w:r w:rsidRPr="000374EB">
        <w:rPr>
          <w:rFonts w:asciiTheme="minorHAnsi" w:hAnsiTheme="minorHAnsi" w:cstheme="minorHAnsi"/>
          <w:sz w:val="22"/>
          <w:szCs w:val="22"/>
          <w:lang w:val="en-CA"/>
        </w:rPr>
        <w:t>Staffing Support Advisor</w:t>
      </w:r>
    </w:p>
    <w:p w14:paraId="589024C4" w14:textId="03E951F1" w:rsidR="00753DD5" w:rsidRPr="000374EB" w:rsidRDefault="00753DD5" w:rsidP="00037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en-CA"/>
        </w:rPr>
      </w:pPr>
      <w:r w:rsidRPr="000374EB">
        <w:rPr>
          <w:rFonts w:asciiTheme="minorHAnsi" w:hAnsiTheme="minorHAnsi" w:cstheme="minorHAnsi"/>
          <w:sz w:val="22"/>
          <w:szCs w:val="22"/>
          <w:lang w:val="en-CA"/>
        </w:rPr>
        <w:t>Annexes:</w:t>
      </w:r>
    </w:p>
    <w:p w14:paraId="5D597093" w14:textId="0B8A4D65" w:rsidR="000374EB" w:rsidRPr="00374A6E" w:rsidRDefault="009B7AD3" w:rsidP="000374EB">
      <w:pPr>
        <w:numPr>
          <w:ilvl w:val="0"/>
          <w:numId w:val="5"/>
        </w:numPr>
        <w:spacing w:after="120"/>
        <w:ind w:left="723"/>
        <w:rPr>
          <w:rFonts w:asciiTheme="minorHAnsi" w:hAnsiTheme="minorHAnsi" w:cstheme="minorHAnsi"/>
          <w:bCs/>
          <w:sz w:val="22"/>
          <w:szCs w:val="22"/>
          <w:lang w:val="en-CA"/>
        </w:rPr>
      </w:pPr>
      <w:hyperlink w:anchor="AnnexA" w:history="1">
        <w:r w:rsidR="000374EB">
          <w:rPr>
            <w:rStyle w:val="Hyperlink"/>
            <w:rFonts w:asciiTheme="minorHAnsi" w:hAnsiTheme="minorHAnsi" w:cstheme="minorHAnsi"/>
            <w:sz w:val="22"/>
            <w:szCs w:val="22"/>
            <w:lang w:val="en-CA"/>
          </w:rPr>
          <w:t>Annex A – A New Direction in Staffing (NDS)</w:t>
        </w:r>
        <w:r w:rsidR="000374EB" w:rsidRPr="00374A6E">
          <w:rPr>
            <w:rStyle w:val="Hyperlink"/>
            <w:rFonts w:asciiTheme="minorHAnsi" w:hAnsiTheme="minorHAnsi" w:cstheme="minorHAnsi"/>
            <w:sz w:val="22"/>
            <w:szCs w:val="22"/>
            <w:lang w:val="en-CA"/>
          </w:rPr>
          <w:t xml:space="preserve"> highlights for </w:t>
        </w:r>
        <w:r w:rsidR="000374EB">
          <w:rPr>
            <w:rStyle w:val="Hyperlink"/>
            <w:rFonts w:asciiTheme="minorHAnsi" w:hAnsiTheme="minorHAnsi" w:cstheme="minorHAnsi"/>
            <w:sz w:val="22"/>
            <w:szCs w:val="22"/>
            <w:lang w:val="en-CA"/>
          </w:rPr>
          <w:t>DHs</w:t>
        </w:r>
      </w:hyperlink>
    </w:p>
    <w:p w14:paraId="4B4090A4" w14:textId="33AFDF16" w:rsidR="000374EB" w:rsidRPr="00374A6E" w:rsidRDefault="009B7AD3" w:rsidP="000374EB">
      <w:pPr>
        <w:numPr>
          <w:ilvl w:val="0"/>
          <w:numId w:val="5"/>
        </w:numPr>
        <w:ind w:left="723"/>
        <w:rPr>
          <w:rFonts w:asciiTheme="minorHAnsi" w:hAnsiTheme="minorHAnsi" w:cstheme="minorHAnsi"/>
          <w:bCs/>
          <w:strike/>
          <w:sz w:val="22"/>
          <w:szCs w:val="22"/>
          <w:lang w:val="en-CA"/>
        </w:rPr>
      </w:pPr>
      <w:hyperlink w:anchor="AnnexB" w:history="1">
        <w:r w:rsidR="000374EB">
          <w:rPr>
            <w:rStyle w:val="Hyperlink"/>
            <w:rFonts w:asciiTheme="minorHAnsi" w:hAnsiTheme="minorHAnsi" w:cstheme="minorHAnsi"/>
            <w:sz w:val="22"/>
            <w:szCs w:val="22"/>
            <w:lang w:val="en-CA"/>
          </w:rPr>
          <w:t>Annex B</w:t>
        </w:r>
        <w:r w:rsidR="000374EB" w:rsidRPr="00374A6E">
          <w:rPr>
            <w:rStyle w:val="Hyperlink"/>
            <w:rFonts w:asciiTheme="minorHAnsi" w:hAnsiTheme="minorHAnsi" w:cstheme="minorHAnsi"/>
            <w:sz w:val="22"/>
            <w:szCs w:val="22"/>
            <w:lang w:val="en-CA"/>
          </w:rPr>
          <w:t xml:space="preserve"> - Data on Population and Staffing Activities</w:t>
        </w:r>
      </w:hyperlink>
    </w:p>
    <w:p w14:paraId="552417D4" w14:textId="64AD2E57" w:rsidR="00753DD5" w:rsidRPr="00264AD9" w:rsidRDefault="00753DD5" w:rsidP="000E7B28">
      <w:pPr>
        <w:numPr>
          <w:ilvl w:val="0"/>
          <w:numId w:val="5"/>
        </w:numPr>
        <w:rPr>
          <w:rFonts w:ascii="Segoe UI" w:hAnsi="Segoe UI" w:cs="Segoe UI"/>
          <w:i/>
          <w:lang w:val="en-CA"/>
        </w:rPr>
      </w:pPr>
      <w:r w:rsidRPr="00264AD9">
        <w:rPr>
          <w:rFonts w:ascii="Segoe UI" w:hAnsi="Segoe UI" w:cs="Segoe UI"/>
          <w:b/>
          <w:bCs/>
          <w:lang w:val="en-CA"/>
        </w:rPr>
        <w:br w:type="page"/>
      </w:r>
    </w:p>
    <w:p w14:paraId="64B301CC" w14:textId="77777777" w:rsidR="00753DD5" w:rsidRPr="000374EB" w:rsidRDefault="00753DD5" w:rsidP="000374EB">
      <w:pPr>
        <w:pStyle w:val="Heading3"/>
        <w:spacing w:after="120"/>
        <w:jc w:val="right"/>
        <w:rPr>
          <w:rFonts w:ascii="Segoe UI" w:hAnsi="Segoe UI" w:cs="Segoe UI"/>
          <w:b/>
          <w:bCs/>
          <w:lang w:val="en-CA"/>
        </w:rPr>
      </w:pPr>
      <w:bookmarkStart w:id="0" w:name="AnnexA"/>
      <w:r w:rsidRPr="000374EB">
        <w:rPr>
          <w:rFonts w:ascii="Segoe UI" w:hAnsi="Segoe UI" w:cs="Segoe UI"/>
          <w:b/>
          <w:bCs/>
          <w:lang w:val="en-CA"/>
        </w:rPr>
        <w:lastRenderedPageBreak/>
        <w:t xml:space="preserve">Annex </w:t>
      </w:r>
      <w:r w:rsidR="00DB08B9" w:rsidRPr="000374EB">
        <w:rPr>
          <w:rFonts w:ascii="Segoe UI" w:hAnsi="Segoe UI" w:cs="Segoe UI"/>
          <w:b/>
          <w:bCs/>
          <w:lang w:val="en-CA"/>
        </w:rPr>
        <w:t>A</w:t>
      </w:r>
    </w:p>
    <w:bookmarkEnd w:id="0"/>
    <w:p w14:paraId="29DF2B20" w14:textId="77777777" w:rsidR="000374EB" w:rsidRPr="00374A6E" w:rsidRDefault="000374EB" w:rsidP="000374EB">
      <w:pPr>
        <w:keepNext/>
        <w:keepLines/>
        <w:spacing w:before="40" w:after="120" w:line="259" w:lineRule="auto"/>
        <w:jc w:val="center"/>
        <w:outlineLvl w:val="1"/>
        <w:rPr>
          <w:rFonts w:ascii="Segoe UI" w:eastAsiaTheme="majorEastAsia" w:hAnsi="Segoe UI" w:cs="Segoe UI"/>
          <w:b/>
          <w:color w:val="5B315E" w:themeColor="accent2"/>
          <w:sz w:val="32"/>
          <w:szCs w:val="32"/>
          <w:lang w:val="en-CA"/>
        </w:rPr>
      </w:pPr>
      <w:r w:rsidRPr="00374A6E">
        <w:rPr>
          <w:rFonts w:ascii="Segoe UI" w:eastAsiaTheme="majorEastAsia" w:hAnsi="Segoe UI" w:cs="Segoe UI"/>
          <w:b/>
          <w:color w:val="5B315E" w:themeColor="accent2"/>
          <w:sz w:val="32"/>
          <w:szCs w:val="32"/>
          <w:lang w:val="en-CA"/>
        </w:rPr>
        <w:t xml:space="preserve">A New direction in Staffing – A merit-based system that is effective, </w:t>
      </w:r>
      <w:proofErr w:type="gramStart"/>
      <w:r w:rsidRPr="00374A6E">
        <w:rPr>
          <w:rFonts w:ascii="Segoe UI" w:eastAsiaTheme="majorEastAsia" w:hAnsi="Segoe UI" w:cs="Segoe UI"/>
          <w:b/>
          <w:color w:val="5B315E" w:themeColor="accent2"/>
          <w:sz w:val="32"/>
          <w:szCs w:val="32"/>
          <w:lang w:val="en-CA"/>
        </w:rPr>
        <w:t>efficient</w:t>
      </w:r>
      <w:proofErr w:type="gramEnd"/>
      <w:r w:rsidRPr="00374A6E">
        <w:rPr>
          <w:rFonts w:ascii="Segoe UI" w:eastAsiaTheme="majorEastAsia" w:hAnsi="Segoe UI" w:cs="Segoe UI"/>
          <w:b/>
          <w:color w:val="5B315E" w:themeColor="accent2"/>
          <w:sz w:val="32"/>
          <w:szCs w:val="32"/>
          <w:lang w:val="en-CA"/>
        </w:rPr>
        <w:t xml:space="preserve"> and fair</w:t>
      </w:r>
    </w:p>
    <w:p w14:paraId="71862CEF" w14:textId="77777777" w:rsidR="000374EB" w:rsidRPr="00374A6E" w:rsidRDefault="000374EB" w:rsidP="000374EB">
      <w:pPr>
        <w:pStyle w:val="Heading3"/>
        <w:spacing w:after="120"/>
        <w:rPr>
          <w:lang w:val="en-CA"/>
        </w:rPr>
      </w:pPr>
      <w:r w:rsidRPr="00374A6E">
        <w:rPr>
          <w:lang w:val="en-CA"/>
        </w:rPr>
        <w:t>Appointment Policy</w:t>
      </w:r>
    </w:p>
    <w:p w14:paraId="4376C383" w14:textId="77777777" w:rsidR="000374EB" w:rsidRPr="000374EB" w:rsidRDefault="000374EB" w:rsidP="000374EB">
      <w:pPr>
        <w:keepLines/>
        <w:tabs>
          <w:tab w:val="center" w:pos="4680"/>
          <w:tab w:val="right" w:pos="9360"/>
        </w:tabs>
        <w:rPr>
          <w:rFonts w:asciiTheme="minorHAnsi" w:eastAsiaTheme="minorHAnsi" w:hAnsiTheme="minorHAnsi" w:cstheme="minorHAnsi"/>
          <w:noProof/>
          <w:sz w:val="22"/>
          <w:szCs w:val="22"/>
          <w:lang w:val="en-CA" w:eastAsia="en-CA"/>
        </w:rPr>
      </w:pPr>
      <w:r w:rsidRPr="000374EB">
        <w:rPr>
          <w:rStyle w:val="Strong"/>
          <w:rFonts w:asciiTheme="minorHAnsi" w:eastAsiaTheme="minorHAnsi" w:hAnsiTheme="minorHAnsi" w:cstheme="minorHAnsi"/>
          <w:sz w:val="22"/>
          <w:szCs w:val="22"/>
          <w:lang w:val="en-CA"/>
        </w:rPr>
        <w:t>New focus on core requirements</w:t>
      </w:r>
      <w:r w:rsidRPr="000374EB">
        <w:rPr>
          <w:rFonts w:asciiTheme="minorHAnsi" w:eastAsiaTheme="minorHAnsi" w:hAnsiTheme="minorHAnsi" w:cstheme="minorHAnsi"/>
          <w:noProof/>
          <w:sz w:val="22"/>
          <w:szCs w:val="22"/>
          <w:lang w:val="en-CA" w:eastAsia="en-CA"/>
        </w:rPr>
        <w:t xml:space="preserve"> to provide sub-delegated persons greater discretion in making an appointment</w:t>
      </w:r>
    </w:p>
    <w:p w14:paraId="3E3747A4" w14:textId="77777777" w:rsidR="000374EB" w:rsidRPr="000374EB" w:rsidRDefault="000374EB" w:rsidP="000374EB">
      <w:pPr>
        <w:keepLines/>
        <w:numPr>
          <w:ilvl w:val="0"/>
          <w:numId w:val="11"/>
        </w:numPr>
        <w:tabs>
          <w:tab w:val="center" w:pos="4680"/>
          <w:tab w:val="right" w:pos="9360"/>
        </w:tabs>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One Appointment Policy</w:t>
      </w:r>
      <w:r w:rsidRPr="000374EB">
        <w:rPr>
          <w:rFonts w:asciiTheme="minorHAnsi" w:eastAsiaTheme="minorHAnsi" w:hAnsiTheme="minorHAnsi" w:cstheme="minorHAnsi"/>
          <w:sz w:val="22"/>
          <w:szCs w:val="22"/>
          <w:lang w:val="en-CA"/>
        </w:rPr>
        <w:t>, no duplication with legal requirements</w:t>
      </w:r>
    </w:p>
    <w:p w14:paraId="69C42A41" w14:textId="77777777" w:rsidR="000374EB" w:rsidRPr="000374EB" w:rsidRDefault="000374EB" w:rsidP="000374EB">
      <w:pPr>
        <w:keepLines/>
        <w:numPr>
          <w:ilvl w:val="0"/>
          <w:numId w:val="11"/>
        </w:numPr>
        <w:tabs>
          <w:tab w:val="center" w:pos="4680"/>
          <w:tab w:val="right" w:pos="9360"/>
        </w:tabs>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Broader focus on values-based system</w:t>
      </w:r>
      <w:r w:rsidRPr="000374EB">
        <w:rPr>
          <w:rFonts w:asciiTheme="minorHAnsi" w:eastAsiaTheme="minorHAnsi" w:hAnsiTheme="minorHAnsi" w:cstheme="minorHAnsi"/>
          <w:bCs/>
          <w:sz w:val="22"/>
          <w:szCs w:val="22"/>
          <w:lang w:val="en-CA"/>
        </w:rPr>
        <w:t>,</w:t>
      </w:r>
      <w:r w:rsidRPr="000374EB">
        <w:rPr>
          <w:rFonts w:asciiTheme="minorHAnsi" w:eastAsiaTheme="minorHAnsi" w:hAnsiTheme="minorHAnsi" w:cstheme="minorHAnsi"/>
          <w:sz w:val="22"/>
          <w:szCs w:val="22"/>
          <w:lang w:val="en-CA"/>
        </w:rPr>
        <w:t xml:space="preserve"> away from rules-based system</w:t>
      </w:r>
    </w:p>
    <w:p w14:paraId="2595EAFD" w14:textId="77777777" w:rsidR="000374EB" w:rsidRPr="000374EB" w:rsidRDefault="000374EB" w:rsidP="000374EB">
      <w:pPr>
        <w:keepLines/>
        <w:numPr>
          <w:ilvl w:val="0"/>
          <w:numId w:val="11"/>
        </w:numPr>
        <w:tabs>
          <w:tab w:val="center" w:pos="4680"/>
          <w:tab w:val="right" w:pos="9360"/>
        </w:tabs>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 xml:space="preserve">Appointments Policy supported by </w:t>
      </w:r>
      <w:r w:rsidRPr="000374EB">
        <w:rPr>
          <w:rStyle w:val="Strong"/>
          <w:rFonts w:asciiTheme="minorHAnsi" w:eastAsiaTheme="minorHAnsi" w:hAnsiTheme="minorHAnsi" w:cstheme="minorHAnsi"/>
          <w:sz w:val="22"/>
          <w:szCs w:val="22"/>
          <w:lang w:val="en-CA"/>
        </w:rPr>
        <w:t>streamlined guidance:</w:t>
      </w:r>
    </w:p>
    <w:p w14:paraId="0364AA8E" w14:textId="77777777" w:rsidR="000374EB" w:rsidRPr="000374EB" w:rsidRDefault="000374EB" w:rsidP="000374EB">
      <w:pPr>
        <w:keepLines/>
        <w:numPr>
          <w:ilvl w:val="1"/>
          <w:numId w:val="59"/>
        </w:numPr>
        <w:tabs>
          <w:tab w:val="center" w:pos="4680"/>
          <w:tab w:val="right" w:pos="9360"/>
        </w:tabs>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 xml:space="preserve">A roadmap to the requirements in legislation, </w:t>
      </w:r>
      <w:proofErr w:type="gramStart"/>
      <w:r w:rsidRPr="000374EB">
        <w:rPr>
          <w:rFonts w:asciiTheme="minorHAnsi" w:eastAsiaTheme="minorHAnsi" w:hAnsiTheme="minorHAnsi" w:cstheme="minorHAnsi"/>
          <w:sz w:val="22"/>
          <w:szCs w:val="22"/>
          <w:lang w:val="en-CA"/>
        </w:rPr>
        <w:t>regulations</w:t>
      </w:r>
      <w:proofErr w:type="gramEnd"/>
      <w:r w:rsidRPr="000374EB">
        <w:rPr>
          <w:rFonts w:asciiTheme="minorHAnsi" w:eastAsiaTheme="minorHAnsi" w:hAnsiTheme="minorHAnsi" w:cstheme="minorHAnsi"/>
          <w:sz w:val="22"/>
          <w:szCs w:val="22"/>
          <w:lang w:val="en-CA"/>
        </w:rPr>
        <w:t xml:space="preserve"> and policy</w:t>
      </w:r>
    </w:p>
    <w:p w14:paraId="47EFB75E" w14:textId="77777777" w:rsidR="000374EB" w:rsidRPr="000374EB" w:rsidRDefault="000374EB" w:rsidP="000374EB">
      <w:pPr>
        <w:keepLines/>
        <w:numPr>
          <w:ilvl w:val="1"/>
          <w:numId w:val="59"/>
        </w:numPr>
        <w:tabs>
          <w:tab w:val="center" w:pos="4680"/>
          <w:tab w:val="right" w:pos="9360"/>
        </w:tabs>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Options and considerations for decision-making where there is discretion</w:t>
      </w:r>
    </w:p>
    <w:p w14:paraId="525A6A50" w14:textId="77777777" w:rsidR="000374EB" w:rsidRPr="000374EB" w:rsidRDefault="000374EB" w:rsidP="000374EB">
      <w:pPr>
        <w:keepLines/>
        <w:numPr>
          <w:ilvl w:val="0"/>
          <w:numId w:val="12"/>
        </w:numPr>
        <w:tabs>
          <w:tab w:val="center" w:pos="4680"/>
          <w:tab w:val="right" w:pos="9360"/>
        </w:tabs>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Clear expectations</w:t>
      </w:r>
      <w:r w:rsidRPr="000374EB">
        <w:rPr>
          <w:rFonts w:asciiTheme="minorHAnsi" w:eastAsiaTheme="minorHAnsi" w:hAnsiTheme="minorHAnsi" w:cstheme="minorHAnsi"/>
          <w:sz w:val="22"/>
          <w:szCs w:val="22"/>
          <w:lang w:val="en-CA"/>
        </w:rPr>
        <w:t xml:space="preserve"> for priority entitlements</w:t>
      </w:r>
    </w:p>
    <w:p w14:paraId="71AD5EBE" w14:textId="77777777" w:rsidR="000374EB" w:rsidRPr="000374EB" w:rsidRDefault="000374EB" w:rsidP="000374EB">
      <w:pPr>
        <w:keepLines/>
        <w:numPr>
          <w:ilvl w:val="0"/>
          <w:numId w:val="12"/>
        </w:numPr>
        <w:tabs>
          <w:tab w:val="center" w:pos="4680"/>
          <w:tab w:val="right" w:pos="9360"/>
        </w:tabs>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No restrictions to assessment methods for EX appointments</w:t>
      </w:r>
    </w:p>
    <w:p w14:paraId="23189D81" w14:textId="77777777" w:rsidR="000374EB" w:rsidRPr="000374EB" w:rsidRDefault="000374EB" w:rsidP="000374EB">
      <w:pPr>
        <w:keepLines/>
        <w:numPr>
          <w:ilvl w:val="0"/>
          <w:numId w:val="12"/>
        </w:numPr>
        <w:tabs>
          <w:tab w:val="center" w:pos="4680"/>
          <w:tab w:val="right" w:pos="9360"/>
        </w:tabs>
        <w:spacing w:after="240"/>
        <w:ind w:left="714" w:hanging="357"/>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Exceptions to National Area of Selection approved by deputy head</w:t>
      </w:r>
    </w:p>
    <w:p w14:paraId="025F28B9" w14:textId="77777777" w:rsidR="000374EB" w:rsidRPr="00374A6E" w:rsidRDefault="000374EB" w:rsidP="000374EB">
      <w:pPr>
        <w:pStyle w:val="Heading3"/>
        <w:spacing w:after="120"/>
        <w:rPr>
          <w:lang w:val="en-CA"/>
        </w:rPr>
      </w:pPr>
      <w:r w:rsidRPr="00374A6E">
        <w:rPr>
          <w:lang w:val="en-CA"/>
        </w:rPr>
        <w:t>Delegation</w:t>
      </w:r>
    </w:p>
    <w:p w14:paraId="17A9DFEE" w14:textId="77777777" w:rsidR="000374EB" w:rsidRPr="000374EB" w:rsidRDefault="000374EB" w:rsidP="000374EB">
      <w:pPr>
        <w:keepLines/>
        <w:numPr>
          <w:ilvl w:val="0"/>
          <w:numId w:val="14"/>
        </w:numPr>
        <w:spacing w:after="320" w:line="259" w:lineRule="auto"/>
        <w:contextualSpacing/>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New ability to customize organizational staffing system</w:t>
      </w:r>
      <w:r w:rsidRPr="000374EB">
        <w:rPr>
          <w:rFonts w:asciiTheme="minorHAnsi" w:eastAsiaTheme="minorHAnsi" w:hAnsiTheme="minorHAnsi" w:cstheme="minorHAnsi"/>
          <w:sz w:val="22"/>
          <w:szCs w:val="22"/>
          <w:lang w:val="en-CA"/>
        </w:rPr>
        <w:t xml:space="preserve"> based on unique context and evolving business needs</w:t>
      </w:r>
    </w:p>
    <w:p w14:paraId="6B007312" w14:textId="77777777" w:rsidR="000374EB" w:rsidRPr="000374EB" w:rsidRDefault="000374EB" w:rsidP="000374EB">
      <w:pPr>
        <w:keepLines/>
        <w:numPr>
          <w:ilvl w:val="0"/>
          <w:numId w:val="13"/>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 xml:space="preserve">Deputy head establish a direction on the </w:t>
      </w:r>
      <w:r w:rsidRPr="000374EB">
        <w:rPr>
          <w:rStyle w:val="Strong"/>
          <w:rFonts w:asciiTheme="minorHAnsi" w:eastAsiaTheme="minorHAnsi" w:hAnsiTheme="minorHAnsi" w:cstheme="minorHAnsi"/>
          <w:sz w:val="22"/>
          <w:szCs w:val="22"/>
          <w:lang w:val="en-CA"/>
        </w:rPr>
        <w:t>use of advertised and non-advertised</w:t>
      </w:r>
      <w:r w:rsidRPr="000374EB">
        <w:rPr>
          <w:rFonts w:asciiTheme="minorHAnsi" w:eastAsiaTheme="minorHAnsi" w:hAnsiTheme="minorHAnsi" w:cstheme="minorHAnsi"/>
          <w:sz w:val="22"/>
          <w:szCs w:val="22"/>
          <w:lang w:val="en-CA"/>
        </w:rPr>
        <w:t xml:space="preserve"> appointment processes</w:t>
      </w:r>
    </w:p>
    <w:p w14:paraId="0B4B6092" w14:textId="77777777" w:rsidR="000374EB" w:rsidRPr="000374EB" w:rsidRDefault="000374EB" w:rsidP="000374EB">
      <w:pPr>
        <w:keepLines/>
        <w:numPr>
          <w:ilvl w:val="0"/>
          <w:numId w:val="13"/>
        </w:numPr>
        <w:spacing w:after="320" w:line="259" w:lineRule="auto"/>
        <w:contextualSpacing/>
        <w:rPr>
          <w:rStyle w:val="Strong"/>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 xml:space="preserve">Deputy heads to establish requirement(s) for sub-delegated persons to </w:t>
      </w:r>
      <w:r w:rsidRPr="000374EB">
        <w:rPr>
          <w:rStyle w:val="Strong"/>
          <w:rFonts w:asciiTheme="minorHAnsi" w:eastAsiaTheme="minorHAnsi" w:hAnsiTheme="minorHAnsi" w:cstheme="minorHAnsi"/>
          <w:sz w:val="22"/>
          <w:szCs w:val="22"/>
          <w:lang w:val="en-CA"/>
        </w:rPr>
        <w:t>articulate, in writing, their selection decision</w:t>
      </w:r>
    </w:p>
    <w:p w14:paraId="65C46B39" w14:textId="77777777" w:rsidR="000374EB" w:rsidRPr="000374EB" w:rsidRDefault="000374EB" w:rsidP="000374EB">
      <w:pPr>
        <w:keepLines/>
        <w:numPr>
          <w:ilvl w:val="0"/>
          <w:numId w:val="13"/>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Clarity on requirements related to investigations</w:t>
      </w:r>
    </w:p>
    <w:p w14:paraId="3B524DA9" w14:textId="77777777" w:rsidR="000374EB" w:rsidRPr="000374EB" w:rsidRDefault="000374EB" w:rsidP="000374EB">
      <w:pPr>
        <w:keepLines/>
        <w:numPr>
          <w:ilvl w:val="0"/>
          <w:numId w:val="13"/>
        </w:numPr>
        <w:spacing w:after="320" w:line="259" w:lineRule="auto"/>
        <w:contextualSpacing/>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Attestation form</w:t>
      </w:r>
      <w:r w:rsidRPr="000374EB">
        <w:rPr>
          <w:rFonts w:asciiTheme="minorHAnsi" w:eastAsiaTheme="minorHAnsi" w:hAnsiTheme="minorHAnsi" w:cstheme="minorHAnsi"/>
          <w:sz w:val="22"/>
          <w:szCs w:val="22"/>
          <w:lang w:val="en-CA"/>
        </w:rPr>
        <w:t xml:space="preserve"> to reinforce the accountabilities of sub-delegated persons</w:t>
      </w:r>
    </w:p>
    <w:p w14:paraId="5F7A3212" w14:textId="77777777" w:rsidR="000374EB" w:rsidRPr="000374EB" w:rsidRDefault="000374EB" w:rsidP="000374EB">
      <w:pPr>
        <w:keepLines/>
        <w:spacing w:after="360" w:line="259" w:lineRule="auto"/>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All PSC monitoring and reporting requirements now found in the Appointment Delegation and Accountability Instrument</w:t>
      </w:r>
    </w:p>
    <w:p w14:paraId="6DDFC908" w14:textId="77777777" w:rsidR="000374EB" w:rsidRPr="00374A6E" w:rsidRDefault="000374EB" w:rsidP="000374EB">
      <w:pPr>
        <w:pStyle w:val="Heading3"/>
        <w:spacing w:after="120"/>
        <w:rPr>
          <w:lang w:val="en-CA"/>
        </w:rPr>
      </w:pPr>
      <w:r w:rsidRPr="00374A6E">
        <w:rPr>
          <w:lang w:val="en-CA"/>
        </w:rPr>
        <w:t>Monitoring and Reporting</w:t>
      </w:r>
    </w:p>
    <w:p w14:paraId="3D3038B5" w14:textId="77777777" w:rsidR="000374EB" w:rsidRPr="000374EB" w:rsidRDefault="000374EB" w:rsidP="000374EB">
      <w:pPr>
        <w:keepLines/>
        <w:spacing w:after="120" w:line="259" w:lineRule="auto"/>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Monitoring built by organizations</w:t>
      </w:r>
      <w:r w:rsidRPr="000374EB">
        <w:rPr>
          <w:rFonts w:asciiTheme="minorHAnsi" w:eastAsiaTheme="minorHAnsi" w:hAnsiTheme="minorHAnsi" w:cstheme="minorHAnsi"/>
          <w:sz w:val="22"/>
          <w:szCs w:val="22"/>
          <w:lang w:val="en-CA"/>
        </w:rPr>
        <w:t>, targeted to their needs</w:t>
      </w:r>
    </w:p>
    <w:p w14:paraId="7DFC5AE1" w14:textId="77777777" w:rsidR="000374EB" w:rsidRPr="000374EB" w:rsidRDefault="000374EB" w:rsidP="000374EB">
      <w:pPr>
        <w:keepLines/>
        <w:numPr>
          <w:ilvl w:val="0"/>
          <w:numId w:val="15"/>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Annual Departmental Staffing Accountability Report no longer required</w:t>
      </w:r>
    </w:p>
    <w:p w14:paraId="553775DA" w14:textId="77777777" w:rsidR="000374EB" w:rsidRPr="000374EB" w:rsidRDefault="000374EB" w:rsidP="000374EB">
      <w:pPr>
        <w:keepLines/>
        <w:numPr>
          <w:ilvl w:val="0"/>
          <w:numId w:val="15"/>
        </w:numPr>
        <w:spacing w:after="320" w:line="259" w:lineRule="auto"/>
        <w:contextualSpacing/>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Annual reporting to the PSC limited</w:t>
      </w:r>
      <w:r w:rsidRPr="000374EB">
        <w:rPr>
          <w:rFonts w:asciiTheme="minorHAnsi" w:eastAsiaTheme="minorHAnsi" w:hAnsiTheme="minorHAnsi" w:cstheme="minorHAnsi"/>
          <w:sz w:val="22"/>
          <w:szCs w:val="22"/>
          <w:lang w:val="en-CA"/>
        </w:rPr>
        <w:t xml:space="preserve"> to:</w:t>
      </w:r>
    </w:p>
    <w:p w14:paraId="4BB11FCF" w14:textId="77777777" w:rsidR="000374EB" w:rsidRPr="000374EB" w:rsidRDefault="000374EB" w:rsidP="000374EB">
      <w:pPr>
        <w:keepLines/>
        <w:numPr>
          <w:ilvl w:val="1"/>
          <w:numId w:val="15"/>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Use of Public Service Official Language Exclusion Approval Order</w:t>
      </w:r>
    </w:p>
    <w:p w14:paraId="651E2C74" w14:textId="77777777" w:rsidR="000374EB" w:rsidRPr="000374EB" w:rsidRDefault="000374EB" w:rsidP="000374EB">
      <w:pPr>
        <w:keepLines/>
        <w:numPr>
          <w:ilvl w:val="1"/>
          <w:numId w:val="15"/>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Exceptions to the National Area of Selection approved by the deputy head</w:t>
      </w:r>
    </w:p>
    <w:p w14:paraId="519C3954" w14:textId="77777777" w:rsidR="000374EB" w:rsidRPr="000374EB" w:rsidRDefault="000374EB" w:rsidP="000374EB">
      <w:pPr>
        <w:keepLines/>
        <w:numPr>
          <w:ilvl w:val="1"/>
          <w:numId w:val="15"/>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Results of any internal investigations</w:t>
      </w:r>
    </w:p>
    <w:p w14:paraId="71502786" w14:textId="77777777" w:rsidR="000374EB" w:rsidRPr="000374EB" w:rsidRDefault="000374EB" w:rsidP="000374EB">
      <w:pPr>
        <w:keepLines/>
        <w:numPr>
          <w:ilvl w:val="1"/>
          <w:numId w:val="15"/>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Actions taken following any PSC investigations or audits.</w:t>
      </w:r>
    </w:p>
    <w:p w14:paraId="2B0941FB" w14:textId="77777777" w:rsidR="000374EB" w:rsidRPr="000374EB" w:rsidRDefault="000374EB" w:rsidP="000374EB">
      <w:pPr>
        <w:keepLines/>
        <w:numPr>
          <w:ilvl w:val="0"/>
          <w:numId w:val="17"/>
        </w:numPr>
        <w:spacing w:after="320" w:line="259" w:lineRule="auto"/>
        <w:contextualSpacing/>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 xml:space="preserve">Deputy head responsible for </w:t>
      </w:r>
      <w:r w:rsidRPr="000374EB">
        <w:rPr>
          <w:rStyle w:val="Strong"/>
          <w:rFonts w:asciiTheme="minorHAnsi" w:eastAsiaTheme="minorHAnsi" w:hAnsiTheme="minorHAnsi" w:cstheme="minorHAnsi"/>
          <w:sz w:val="22"/>
          <w:szCs w:val="22"/>
          <w:lang w:val="en-CA"/>
        </w:rPr>
        <w:t>ongoing monitoring of organizational staffing system</w:t>
      </w:r>
      <w:r w:rsidRPr="000374EB">
        <w:rPr>
          <w:rFonts w:asciiTheme="minorHAnsi" w:eastAsiaTheme="minorHAnsi" w:hAnsiTheme="minorHAnsi" w:cstheme="minorHAnsi"/>
          <w:sz w:val="22"/>
          <w:szCs w:val="22"/>
          <w:lang w:val="en-CA"/>
        </w:rPr>
        <w:t xml:space="preserve"> based on the organization’s unique context</w:t>
      </w:r>
    </w:p>
    <w:p w14:paraId="1D350F3B" w14:textId="77777777" w:rsidR="000374EB" w:rsidRPr="000374EB" w:rsidRDefault="000374EB" w:rsidP="000374EB">
      <w:pPr>
        <w:keepLines/>
        <w:numPr>
          <w:ilvl w:val="1"/>
          <w:numId w:val="17"/>
        </w:numPr>
        <w:spacing w:after="320" w:line="259" w:lineRule="auto"/>
        <w:contextualSpacing/>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lastRenderedPageBreak/>
        <w:t>Assessment of adherence to requirements</w:t>
      </w:r>
      <w:r w:rsidRPr="000374EB">
        <w:rPr>
          <w:rFonts w:asciiTheme="minorHAnsi" w:eastAsiaTheme="minorHAnsi" w:hAnsiTheme="minorHAnsi" w:cstheme="minorHAnsi"/>
          <w:sz w:val="22"/>
          <w:szCs w:val="22"/>
          <w:lang w:val="en-CA"/>
        </w:rPr>
        <w:t>, based on organization’s own risks, at the minimum every five years</w:t>
      </w:r>
    </w:p>
    <w:p w14:paraId="17960422" w14:textId="77777777" w:rsidR="000374EB" w:rsidRPr="00374A6E" w:rsidRDefault="000374EB" w:rsidP="000374EB">
      <w:pPr>
        <w:pStyle w:val="Heading3"/>
        <w:spacing w:after="120"/>
        <w:rPr>
          <w:lang w:val="en-CA"/>
        </w:rPr>
      </w:pPr>
      <w:r w:rsidRPr="00374A6E">
        <w:rPr>
          <w:lang w:val="en-CA"/>
        </w:rPr>
        <w:t>PSC Oversight</w:t>
      </w:r>
    </w:p>
    <w:p w14:paraId="71293A94" w14:textId="77777777" w:rsidR="000374EB" w:rsidRPr="000374EB" w:rsidRDefault="000374EB" w:rsidP="000374EB">
      <w:pPr>
        <w:keepLines/>
        <w:spacing w:after="120" w:line="259" w:lineRule="auto"/>
        <w:rPr>
          <w:rFonts w:asciiTheme="minorHAnsi" w:eastAsiaTheme="minorHAnsi" w:hAnsiTheme="minorHAnsi" w:cstheme="minorHAnsi"/>
          <w:sz w:val="22"/>
          <w:szCs w:val="22"/>
          <w:lang w:val="en-CA"/>
        </w:rPr>
      </w:pPr>
      <w:r w:rsidRPr="000374EB">
        <w:rPr>
          <w:rFonts w:asciiTheme="minorHAnsi" w:eastAsiaTheme="minorHAnsi" w:hAnsiTheme="minorHAnsi" w:cstheme="minorHAnsi"/>
          <w:sz w:val="22"/>
          <w:szCs w:val="22"/>
          <w:lang w:val="en-CA"/>
        </w:rPr>
        <w:t xml:space="preserve">System </w:t>
      </w:r>
      <w:proofErr w:type="gramStart"/>
      <w:r w:rsidRPr="000374EB">
        <w:rPr>
          <w:rFonts w:asciiTheme="minorHAnsi" w:eastAsiaTheme="minorHAnsi" w:hAnsiTheme="minorHAnsi" w:cstheme="minorHAnsi"/>
          <w:sz w:val="22"/>
          <w:szCs w:val="22"/>
          <w:lang w:val="en-CA"/>
        </w:rPr>
        <w:t>wide-focus</w:t>
      </w:r>
      <w:proofErr w:type="gramEnd"/>
    </w:p>
    <w:p w14:paraId="55B942BD" w14:textId="77777777" w:rsidR="000374EB" w:rsidRPr="000374EB" w:rsidRDefault="000374EB" w:rsidP="000374EB">
      <w:pPr>
        <w:keepLines/>
        <w:numPr>
          <w:ilvl w:val="0"/>
          <w:numId w:val="18"/>
        </w:numPr>
        <w:spacing w:line="259" w:lineRule="auto"/>
        <w:rPr>
          <w:rStyle w:val="Strong"/>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Government-wide compliance audit every two years</w:t>
      </w:r>
    </w:p>
    <w:p w14:paraId="3F4239FB" w14:textId="77777777" w:rsidR="000374EB" w:rsidRPr="000374EB" w:rsidRDefault="000374EB" w:rsidP="000374EB">
      <w:pPr>
        <w:keepLines/>
        <w:numPr>
          <w:ilvl w:val="0"/>
          <w:numId w:val="18"/>
        </w:numPr>
        <w:spacing w:line="259" w:lineRule="auto"/>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Renewed Survey of Staffing</w:t>
      </w:r>
      <w:r w:rsidRPr="000374EB">
        <w:rPr>
          <w:rFonts w:asciiTheme="minorHAnsi" w:eastAsiaTheme="minorHAnsi" w:hAnsiTheme="minorHAnsi" w:cstheme="minorHAnsi"/>
          <w:sz w:val="22"/>
          <w:szCs w:val="22"/>
          <w:lang w:val="en-CA"/>
        </w:rPr>
        <w:t xml:space="preserve"> administered in alternating years with government-wide audit</w:t>
      </w:r>
    </w:p>
    <w:p w14:paraId="6AB72C8B" w14:textId="77777777" w:rsidR="000374EB" w:rsidRPr="000374EB" w:rsidRDefault="000374EB" w:rsidP="000374EB">
      <w:pPr>
        <w:keepLines/>
        <w:numPr>
          <w:ilvl w:val="0"/>
          <w:numId w:val="18"/>
        </w:numPr>
        <w:spacing w:line="259" w:lineRule="auto"/>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System-wide effectiveness and efficiency reviews</w:t>
      </w:r>
      <w:r w:rsidRPr="000374EB">
        <w:rPr>
          <w:rFonts w:asciiTheme="minorHAnsi" w:eastAsiaTheme="minorHAnsi" w:hAnsiTheme="minorHAnsi" w:cstheme="minorHAnsi"/>
          <w:sz w:val="22"/>
          <w:szCs w:val="22"/>
          <w:lang w:val="en-CA"/>
        </w:rPr>
        <w:t xml:space="preserve"> to support continuous improvement</w:t>
      </w:r>
    </w:p>
    <w:p w14:paraId="1034D2F3" w14:textId="77777777" w:rsidR="000374EB" w:rsidRPr="000374EB" w:rsidRDefault="000374EB" w:rsidP="000374EB">
      <w:pPr>
        <w:keepLines/>
        <w:numPr>
          <w:ilvl w:val="0"/>
          <w:numId w:val="18"/>
        </w:numPr>
        <w:spacing w:line="259" w:lineRule="auto"/>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Targeted PSC audits</w:t>
      </w:r>
      <w:r w:rsidRPr="000374EB">
        <w:rPr>
          <w:rFonts w:asciiTheme="minorHAnsi" w:eastAsiaTheme="minorHAnsi" w:hAnsiTheme="minorHAnsi" w:cstheme="minorHAnsi"/>
          <w:sz w:val="22"/>
          <w:szCs w:val="22"/>
          <w:lang w:val="en-CA"/>
        </w:rPr>
        <w:t xml:space="preserve"> </w:t>
      </w:r>
      <w:proofErr w:type="gramStart"/>
      <w:r w:rsidRPr="000374EB">
        <w:rPr>
          <w:rFonts w:asciiTheme="minorHAnsi" w:eastAsiaTheme="minorHAnsi" w:hAnsiTheme="minorHAnsi" w:cstheme="minorHAnsi"/>
          <w:sz w:val="22"/>
          <w:szCs w:val="22"/>
          <w:lang w:val="en-CA"/>
        </w:rPr>
        <w:t>as a result of</w:t>
      </w:r>
      <w:proofErr w:type="gramEnd"/>
      <w:r w:rsidRPr="000374EB">
        <w:rPr>
          <w:rFonts w:asciiTheme="minorHAnsi" w:eastAsiaTheme="minorHAnsi" w:hAnsiTheme="minorHAnsi" w:cstheme="minorHAnsi"/>
          <w:sz w:val="22"/>
          <w:szCs w:val="22"/>
          <w:lang w:val="en-CA"/>
        </w:rPr>
        <w:t xml:space="preserve"> identified system-wide or organizational risks or at the deputy head request</w:t>
      </w:r>
    </w:p>
    <w:p w14:paraId="558D70D2" w14:textId="77777777" w:rsidR="000374EB" w:rsidRPr="000374EB" w:rsidRDefault="000374EB" w:rsidP="000374EB">
      <w:pPr>
        <w:keepLines/>
        <w:numPr>
          <w:ilvl w:val="0"/>
          <w:numId w:val="18"/>
        </w:numPr>
        <w:spacing w:after="320" w:line="259" w:lineRule="auto"/>
        <w:rPr>
          <w:rFonts w:asciiTheme="minorHAnsi" w:eastAsiaTheme="minorHAnsi" w:hAnsiTheme="minorHAnsi" w:cstheme="minorHAnsi"/>
          <w:sz w:val="22"/>
          <w:szCs w:val="22"/>
          <w:lang w:val="en-CA"/>
        </w:rPr>
      </w:pPr>
      <w:r w:rsidRPr="000374EB">
        <w:rPr>
          <w:rStyle w:val="Strong"/>
          <w:rFonts w:asciiTheme="minorHAnsi" w:eastAsiaTheme="minorHAnsi" w:hAnsiTheme="minorHAnsi" w:cstheme="minorHAnsi"/>
          <w:sz w:val="22"/>
          <w:szCs w:val="22"/>
          <w:lang w:val="en-CA"/>
        </w:rPr>
        <w:t>Investigations conducted</w:t>
      </w:r>
      <w:r w:rsidRPr="000374EB">
        <w:rPr>
          <w:rFonts w:asciiTheme="minorHAnsi" w:eastAsiaTheme="minorHAnsi" w:hAnsiTheme="minorHAnsi" w:cstheme="minorHAnsi"/>
          <w:sz w:val="22"/>
          <w:szCs w:val="22"/>
          <w:lang w:val="en-CA"/>
        </w:rPr>
        <w:t xml:space="preserve"> when there is a reason to believe there was political influence, </w:t>
      </w:r>
      <w:proofErr w:type="gramStart"/>
      <w:r w:rsidRPr="000374EB">
        <w:rPr>
          <w:rFonts w:asciiTheme="minorHAnsi" w:eastAsiaTheme="minorHAnsi" w:hAnsiTheme="minorHAnsi" w:cstheme="minorHAnsi"/>
          <w:sz w:val="22"/>
          <w:szCs w:val="22"/>
          <w:lang w:val="en-CA"/>
        </w:rPr>
        <w:t>fraud</w:t>
      </w:r>
      <w:proofErr w:type="gramEnd"/>
      <w:r w:rsidRPr="000374EB">
        <w:rPr>
          <w:rFonts w:asciiTheme="minorHAnsi" w:eastAsiaTheme="minorHAnsi" w:hAnsiTheme="minorHAnsi" w:cstheme="minorHAnsi"/>
          <w:sz w:val="22"/>
          <w:szCs w:val="22"/>
          <w:lang w:val="en-CA"/>
        </w:rPr>
        <w:t xml:space="preserve"> or improper conduct in an appointment process</w:t>
      </w:r>
    </w:p>
    <w:p w14:paraId="4992E22E" w14:textId="77777777" w:rsidR="000374EB" w:rsidRDefault="000374EB" w:rsidP="000374EB">
      <w:pPr>
        <w:spacing w:after="160" w:line="259" w:lineRule="auto"/>
        <w:rPr>
          <w:rStyle w:val="Strong"/>
          <w:rFonts w:asciiTheme="minorHAnsi" w:eastAsiaTheme="minorHAnsi" w:hAnsiTheme="minorHAnsi" w:cstheme="minorHAnsi"/>
          <w:b w:val="0"/>
          <w:bCs w:val="0"/>
          <w:sz w:val="22"/>
          <w:szCs w:val="22"/>
          <w:lang w:val="en-CA"/>
        </w:rPr>
      </w:pPr>
      <w:r w:rsidRPr="000374EB">
        <w:rPr>
          <w:rStyle w:val="Strong"/>
          <w:rFonts w:asciiTheme="minorHAnsi" w:eastAsiaTheme="minorHAnsi" w:hAnsiTheme="minorHAnsi" w:cstheme="minorHAnsi"/>
          <w:b w:val="0"/>
          <w:bCs w:val="0"/>
          <w:sz w:val="22"/>
          <w:szCs w:val="22"/>
          <w:lang w:val="en-CA"/>
        </w:rPr>
        <w:t xml:space="preserve">This document should be read in conjunction with the </w:t>
      </w:r>
      <w:r w:rsidRPr="000374EB">
        <w:rPr>
          <w:rStyle w:val="Emphasis"/>
          <w:rFonts w:asciiTheme="minorHAnsi" w:eastAsiaTheme="minorHAnsi" w:hAnsiTheme="minorHAnsi" w:cstheme="minorHAnsi"/>
          <w:szCs w:val="22"/>
        </w:rPr>
        <w:t>Public Service Employment Act</w:t>
      </w:r>
      <w:r w:rsidRPr="000374EB">
        <w:rPr>
          <w:rStyle w:val="Strong"/>
          <w:rFonts w:asciiTheme="minorHAnsi" w:eastAsiaTheme="minorHAnsi" w:hAnsiTheme="minorHAnsi" w:cstheme="minorHAnsi"/>
          <w:b w:val="0"/>
          <w:bCs w:val="0"/>
          <w:sz w:val="22"/>
          <w:szCs w:val="22"/>
          <w:lang w:val="en-CA"/>
        </w:rPr>
        <w:t xml:space="preserve">, the </w:t>
      </w:r>
      <w:r w:rsidRPr="000374EB">
        <w:rPr>
          <w:rStyle w:val="Emphasis"/>
          <w:rFonts w:asciiTheme="minorHAnsi" w:eastAsiaTheme="minorHAnsi" w:hAnsiTheme="minorHAnsi" w:cstheme="minorHAnsi"/>
          <w:szCs w:val="22"/>
        </w:rPr>
        <w:t>Public Service Employment Regulations</w:t>
      </w:r>
      <w:r w:rsidRPr="000374EB">
        <w:rPr>
          <w:rStyle w:val="Strong"/>
          <w:rFonts w:asciiTheme="minorHAnsi" w:eastAsiaTheme="minorHAnsi" w:hAnsiTheme="minorHAnsi" w:cstheme="minorHAnsi"/>
          <w:b w:val="0"/>
          <w:bCs w:val="0"/>
          <w:sz w:val="22"/>
          <w:szCs w:val="22"/>
          <w:lang w:val="en-CA"/>
        </w:rPr>
        <w:t>, the PSC Appointment Policy and the PSC Appointment Delegation and Accountability Instrument</w:t>
      </w:r>
    </w:p>
    <w:p w14:paraId="7F4D87B7" w14:textId="77777777" w:rsidR="000374EB" w:rsidRDefault="000374EB" w:rsidP="000374EB">
      <w:pPr>
        <w:spacing w:after="160" w:line="259" w:lineRule="auto"/>
        <w:rPr>
          <w:rStyle w:val="Strong"/>
          <w:rFonts w:asciiTheme="minorHAnsi" w:eastAsiaTheme="minorHAnsi" w:hAnsiTheme="minorHAnsi" w:cstheme="minorHAnsi"/>
          <w:b w:val="0"/>
          <w:bCs w:val="0"/>
          <w:sz w:val="22"/>
          <w:szCs w:val="22"/>
          <w:lang w:val="en-CA"/>
        </w:rPr>
        <w:sectPr w:rsidR="000374EB" w:rsidSect="00290EF3">
          <w:pgSz w:w="12240" w:h="15840"/>
          <w:pgMar w:top="1440" w:right="1440" w:bottom="1440" w:left="1440" w:header="709" w:footer="284" w:gutter="0"/>
          <w:cols w:space="708"/>
          <w:titlePg/>
          <w:docGrid w:linePitch="360"/>
        </w:sectPr>
      </w:pPr>
    </w:p>
    <w:p w14:paraId="212173F4" w14:textId="1B2A3B06" w:rsidR="00717FC3" w:rsidRPr="00772474" w:rsidRDefault="00717FC3" w:rsidP="00772474">
      <w:pPr>
        <w:pStyle w:val="Heading3"/>
        <w:jc w:val="right"/>
        <w:rPr>
          <w:rFonts w:ascii="Segoe UI" w:hAnsi="Segoe UI" w:cs="Segoe UI"/>
          <w:b/>
          <w:bCs/>
          <w:lang w:val="en-CA"/>
        </w:rPr>
      </w:pPr>
      <w:bookmarkStart w:id="1" w:name="AnnexB"/>
      <w:r w:rsidRPr="00772474">
        <w:rPr>
          <w:rFonts w:ascii="Segoe UI" w:hAnsi="Segoe UI" w:cs="Segoe UI"/>
          <w:b/>
          <w:bCs/>
          <w:lang w:val="en-CA"/>
        </w:rPr>
        <w:lastRenderedPageBreak/>
        <w:t>Annex B</w:t>
      </w:r>
    </w:p>
    <w:bookmarkEnd w:id="1"/>
    <w:p w14:paraId="48BC965A" w14:textId="77777777" w:rsidR="00C57C30" w:rsidRPr="00C57C30" w:rsidRDefault="00C57C30" w:rsidP="00C57C30">
      <w:pPr>
        <w:pStyle w:val="Heading1"/>
        <w:spacing w:before="120" w:after="120"/>
        <w:rPr>
          <w:rFonts w:cstheme="majorHAnsi"/>
          <w:sz w:val="40"/>
          <w:szCs w:val="40"/>
          <w:lang w:val="en-CA"/>
        </w:rPr>
      </w:pPr>
      <w:r w:rsidRPr="00C57C30">
        <w:rPr>
          <w:rFonts w:eastAsia="Times New Roman" w:cstheme="majorHAnsi"/>
          <w:sz w:val="40"/>
          <w:szCs w:val="40"/>
          <w:lang w:val="en-CA"/>
        </w:rPr>
        <w:t>Population by tenure as of March 31</w:t>
      </w:r>
    </w:p>
    <w:p w14:paraId="1ECFAED6" w14:textId="77777777" w:rsidR="00C57C30" w:rsidRDefault="00717FC3" w:rsidP="00C57C30">
      <w:pPr>
        <w:keepNext/>
        <w:jc w:val="center"/>
      </w:pPr>
      <w:r w:rsidRPr="00264AD9">
        <w:rPr>
          <w:rFonts w:ascii="Segoe UI" w:hAnsi="Segoe UI" w:cs="Segoe UI"/>
          <w:noProof/>
          <w:lang w:val="en-CA" w:eastAsia="en-CA"/>
        </w:rPr>
        <w:drawing>
          <wp:inline distT="0" distB="0" distL="0" distR="0" wp14:anchorId="79EC6576" wp14:editId="25FD312D">
            <wp:extent cx="5648400" cy="3049200"/>
            <wp:effectExtent l="0" t="0" r="9525" b="18415"/>
            <wp:docPr id="13" name="Chart 13" descr="Population by tenure as of March 3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982B4D" w14:textId="318AAC62" w:rsidR="00717FC3" w:rsidRPr="008C7A1D" w:rsidRDefault="00C57C30" w:rsidP="008C7A1D">
      <w:pPr>
        <w:pStyle w:val="Caption"/>
        <w:spacing w:after="0"/>
        <w:jc w:val="center"/>
        <w:rPr>
          <w:rFonts w:asciiTheme="minorHAnsi" w:hAnsiTheme="minorHAnsi" w:cstheme="minorHAnsi"/>
          <w:i w:val="0"/>
          <w:iCs w:val="0"/>
          <w:color w:val="auto"/>
        </w:rPr>
      </w:pPr>
      <w:r w:rsidRPr="008C7A1D">
        <w:rPr>
          <w:rFonts w:asciiTheme="minorHAnsi" w:hAnsiTheme="minorHAnsi" w:cstheme="minorHAnsi"/>
          <w:i w:val="0"/>
          <w:iCs w:val="0"/>
          <w:color w:val="auto"/>
        </w:rPr>
        <w:t xml:space="preserve">Figure </w:t>
      </w:r>
      <w:r w:rsidRPr="008C7A1D">
        <w:rPr>
          <w:rFonts w:asciiTheme="minorHAnsi" w:hAnsiTheme="minorHAnsi" w:cstheme="minorHAnsi"/>
          <w:i w:val="0"/>
          <w:iCs w:val="0"/>
          <w:color w:val="auto"/>
        </w:rPr>
        <w:fldChar w:fldCharType="begin"/>
      </w:r>
      <w:r w:rsidRPr="008C7A1D">
        <w:rPr>
          <w:rFonts w:asciiTheme="minorHAnsi" w:hAnsiTheme="minorHAnsi" w:cstheme="minorHAnsi"/>
          <w:i w:val="0"/>
          <w:iCs w:val="0"/>
          <w:color w:val="auto"/>
        </w:rPr>
        <w:instrText xml:space="preserve"> SEQ Figure \* ARABIC </w:instrText>
      </w:r>
      <w:r w:rsidRPr="008C7A1D">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1</w:t>
      </w:r>
      <w:r w:rsidRPr="008C7A1D">
        <w:rPr>
          <w:rFonts w:asciiTheme="minorHAnsi" w:hAnsiTheme="minorHAnsi" w:cstheme="minorHAnsi"/>
          <w:i w:val="0"/>
          <w:iCs w:val="0"/>
          <w:color w:val="auto"/>
        </w:rPr>
        <w:fldChar w:fldCharType="end"/>
      </w:r>
      <w:r w:rsidRPr="008C7A1D">
        <w:rPr>
          <w:rFonts w:asciiTheme="minorHAnsi" w:hAnsiTheme="minorHAnsi" w:cstheme="minorHAnsi"/>
          <w:i w:val="0"/>
          <w:iCs w:val="0"/>
          <w:color w:val="auto"/>
        </w:rPr>
        <w:t xml:space="preserve"> - Population by tenure as of March 31</w:t>
      </w:r>
    </w:p>
    <w:p w14:paraId="61C9D8E0" w14:textId="363A5921" w:rsidR="008C7A1D" w:rsidRPr="00772474" w:rsidRDefault="008C7A1D" w:rsidP="008C7A1D">
      <w:pPr>
        <w:pStyle w:val="Caption"/>
        <w:keepNext/>
        <w:spacing w:before="240" w:after="0"/>
        <w:jc w:val="center"/>
        <w:rPr>
          <w:rFonts w:asciiTheme="minorHAnsi" w:hAnsiTheme="minorHAnsi" w:cstheme="minorHAnsi"/>
          <w:i w:val="0"/>
          <w:iCs w:val="0"/>
          <w:color w:val="auto"/>
        </w:rPr>
      </w:pPr>
      <w:r w:rsidRPr="00772474">
        <w:rPr>
          <w:rFonts w:asciiTheme="minorHAnsi" w:hAnsiTheme="minorHAnsi" w:cstheme="minorHAnsi"/>
          <w:i w:val="0"/>
          <w:iCs w:val="0"/>
          <w:color w:val="auto"/>
        </w:rPr>
        <w:t xml:space="preserve">Table </w:t>
      </w:r>
      <w:r w:rsidRPr="00772474">
        <w:rPr>
          <w:rFonts w:asciiTheme="minorHAnsi" w:hAnsiTheme="minorHAnsi" w:cstheme="minorHAnsi"/>
          <w:i w:val="0"/>
          <w:iCs w:val="0"/>
          <w:color w:val="auto"/>
        </w:rPr>
        <w:fldChar w:fldCharType="begin"/>
      </w:r>
      <w:r w:rsidRPr="00772474">
        <w:rPr>
          <w:rFonts w:asciiTheme="minorHAnsi" w:hAnsiTheme="minorHAnsi" w:cstheme="minorHAnsi"/>
          <w:i w:val="0"/>
          <w:iCs w:val="0"/>
          <w:color w:val="auto"/>
        </w:rPr>
        <w:instrText xml:space="preserve"> SEQ Table \* ARABIC </w:instrText>
      </w:r>
      <w:r w:rsidRPr="00772474">
        <w:rPr>
          <w:rFonts w:asciiTheme="minorHAnsi" w:hAnsiTheme="minorHAnsi" w:cstheme="minorHAnsi"/>
          <w:i w:val="0"/>
          <w:iCs w:val="0"/>
          <w:color w:val="auto"/>
        </w:rPr>
        <w:fldChar w:fldCharType="separate"/>
      </w:r>
      <w:r w:rsidR="005E6CEB" w:rsidRPr="00772474">
        <w:rPr>
          <w:rFonts w:asciiTheme="minorHAnsi" w:hAnsiTheme="minorHAnsi" w:cstheme="minorHAnsi"/>
          <w:i w:val="0"/>
          <w:iCs w:val="0"/>
          <w:noProof/>
          <w:color w:val="auto"/>
        </w:rPr>
        <w:t>4</w:t>
      </w:r>
      <w:r w:rsidRPr="00772474">
        <w:rPr>
          <w:rFonts w:asciiTheme="minorHAnsi" w:hAnsiTheme="minorHAnsi" w:cstheme="minorHAnsi"/>
          <w:i w:val="0"/>
          <w:iCs w:val="0"/>
          <w:color w:val="auto"/>
        </w:rPr>
        <w:fldChar w:fldCharType="end"/>
      </w:r>
      <w:r w:rsidRPr="00772474">
        <w:rPr>
          <w:rFonts w:asciiTheme="minorHAnsi" w:hAnsiTheme="minorHAnsi" w:cstheme="minorHAnsi"/>
          <w:i w:val="0"/>
          <w:iCs w:val="0"/>
          <w:color w:val="auto"/>
        </w:rPr>
        <w:t xml:space="preserve">- </w:t>
      </w:r>
      <w:r w:rsidRPr="00772474">
        <w:rPr>
          <w:rStyle w:val="Emphasis"/>
          <w:rFonts w:asciiTheme="minorHAnsi" w:hAnsiTheme="minorHAnsi" w:cstheme="minorHAnsi"/>
          <w:i/>
          <w:iCs/>
          <w:color w:val="auto"/>
          <w:sz w:val="18"/>
        </w:rPr>
        <w:t>Public Service Employment Act</w:t>
      </w:r>
      <w:r w:rsidRPr="00772474">
        <w:rPr>
          <w:rFonts w:asciiTheme="minorHAnsi" w:hAnsiTheme="minorHAnsi" w:cstheme="minorHAnsi"/>
          <w:i w:val="0"/>
          <w:iCs w:val="0"/>
          <w:color w:val="auto"/>
        </w:rPr>
        <w:t xml:space="preserve"> population by tenure as of March 31</w:t>
      </w:r>
    </w:p>
    <w:tbl>
      <w:tblPr>
        <w:tblStyle w:val="TableGrid"/>
        <w:tblW w:w="5000" w:type="pct"/>
        <w:jc w:val="center"/>
        <w:tblLook w:val="0020" w:firstRow="1" w:lastRow="0" w:firstColumn="0" w:lastColumn="0" w:noHBand="0" w:noVBand="0"/>
        <w:tblDescription w:val="Population by tenure as of March 31 from 2015 to 2020"/>
      </w:tblPr>
      <w:tblGrid>
        <w:gridCol w:w="2420"/>
        <w:gridCol w:w="3031"/>
        <w:gridCol w:w="2121"/>
        <w:gridCol w:w="2274"/>
        <w:gridCol w:w="2423"/>
        <w:gridCol w:w="2121"/>
      </w:tblGrid>
      <w:tr w:rsidR="00070F0F" w:rsidRPr="008C7A1D" w14:paraId="738D6F87" w14:textId="77777777" w:rsidTr="00A84016">
        <w:trPr>
          <w:cantSplit/>
          <w:trHeight w:val="290"/>
          <w:tblHeader/>
          <w:jc w:val="center"/>
        </w:trPr>
        <w:tc>
          <w:tcPr>
            <w:tcW w:w="841" w:type="pct"/>
          </w:tcPr>
          <w:p w14:paraId="427F622B" w14:textId="77777777" w:rsidR="00C57C30" w:rsidRPr="008C7A1D" w:rsidRDefault="00C57C30" w:rsidP="008C7A1D">
            <w:pPr>
              <w:pStyle w:val="TableTitle"/>
              <w:rPr>
                <w:color w:val="auto"/>
                <w:sz w:val="22"/>
                <w:szCs w:val="22"/>
                <w:lang w:val="en-CA"/>
              </w:rPr>
            </w:pPr>
            <w:r w:rsidRPr="008C7A1D">
              <w:rPr>
                <w:color w:val="auto"/>
                <w:sz w:val="22"/>
                <w:szCs w:val="22"/>
                <w:lang w:val="en-CA"/>
              </w:rPr>
              <w:t xml:space="preserve"> Year</w:t>
            </w:r>
          </w:p>
        </w:tc>
        <w:tc>
          <w:tcPr>
            <w:tcW w:w="1053" w:type="pct"/>
          </w:tcPr>
          <w:p w14:paraId="2C6FFF40" w14:textId="2A791738" w:rsidR="00C57C30" w:rsidRPr="008C7A1D" w:rsidRDefault="00C57C30" w:rsidP="008C7A1D">
            <w:pPr>
              <w:pStyle w:val="TableTitle"/>
              <w:rPr>
                <w:color w:val="auto"/>
                <w:sz w:val="22"/>
                <w:szCs w:val="22"/>
                <w:lang w:val="en-CA"/>
              </w:rPr>
            </w:pPr>
            <w:r w:rsidRPr="008C7A1D">
              <w:rPr>
                <w:color w:val="auto"/>
                <w:sz w:val="22"/>
                <w:szCs w:val="22"/>
                <w:lang w:val="en-CA"/>
              </w:rPr>
              <w:t>Indeterminate</w:t>
            </w:r>
            <w:r w:rsidR="008C7A1D">
              <w:rPr>
                <w:color w:val="auto"/>
                <w:sz w:val="22"/>
                <w:szCs w:val="22"/>
                <w:lang w:val="en-CA"/>
              </w:rPr>
              <w:t xml:space="preserve"> </w:t>
            </w:r>
            <w:r w:rsidRPr="008C7A1D">
              <w:rPr>
                <w:color w:val="auto"/>
                <w:sz w:val="22"/>
                <w:szCs w:val="22"/>
                <w:lang w:val="en-CA"/>
              </w:rPr>
              <w:t>population</w:t>
            </w:r>
          </w:p>
        </w:tc>
        <w:tc>
          <w:tcPr>
            <w:tcW w:w="737" w:type="pct"/>
          </w:tcPr>
          <w:p w14:paraId="1797B16A" w14:textId="7BC94E66" w:rsidR="00C57C30" w:rsidRPr="008C7A1D" w:rsidRDefault="00C57C30" w:rsidP="008C7A1D">
            <w:pPr>
              <w:pStyle w:val="TableTitle"/>
              <w:rPr>
                <w:color w:val="auto"/>
                <w:sz w:val="22"/>
                <w:szCs w:val="22"/>
                <w:lang w:val="en-CA"/>
              </w:rPr>
            </w:pPr>
            <w:r w:rsidRPr="008C7A1D">
              <w:rPr>
                <w:color w:val="auto"/>
                <w:sz w:val="22"/>
                <w:szCs w:val="22"/>
                <w:lang w:val="en-CA"/>
              </w:rPr>
              <w:t>Term</w:t>
            </w:r>
            <w:r w:rsidR="008C7A1D">
              <w:rPr>
                <w:color w:val="auto"/>
                <w:sz w:val="22"/>
                <w:szCs w:val="22"/>
                <w:lang w:val="en-CA"/>
              </w:rPr>
              <w:t xml:space="preserve"> </w:t>
            </w:r>
            <w:r w:rsidRPr="008C7A1D">
              <w:rPr>
                <w:color w:val="auto"/>
                <w:sz w:val="22"/>
                <w:szCs w:val="22"/>
                <w:lang w:val="en-CA"/>
              </w:rPr>
              <w:t xml:space="preserve">population </w:t>
            </w:r>
          </w:p>
        </w:tc>
        <w:tc>
          <w:tcPr>
            <w:tcW w:w="790" w:type="pct"/>
          </w:tcPr>
          <w:p w14:paraId="4790572A" w14:textId="32C135CC" w:rsidR="00C57C30" w:rsidRPr="008C7A1D" w:rsidRDefault="00C57C30" w:rsidP="008C7A1D">
            <w:pPr>
              <w:pStyle w:val="TableTitle"/>
              <w:rPr>
                <w:color w:val="auto"/>
                <w:sz w:val="22"/>
                <w:szCs w:val="22"/>
                <w:lang w:val="en-CA"/>
              </w:rPr>
            </w:pPr>
            <w:r w:rsidRPr="008C7A1D">
              <w:rPr>
                <w:color w:val="auto"/>
                <w:sz w:val="22"/>
                <w:szCs w:val="22"/>
                <w:lang w:val="en-CA"/>
              </w:rPr>
              <w:t>Casual</w:t>
            </w:r>
            <w:r w:rsidR="008C7A1D">
              <w:rPr>
                <w:color w:val="auto"/>
                <w:sz w:val="22"/>
                <w:szCs w:val="22"/>
                <w:lang w:val="en-CA"/>
              </w:rPr>
              <w:t xml:space="preserve"> </w:t>
            </w:r>
            <w:r w:rsidRPr="008C7A1D">
              <w:rPr>
                <w:color w:val="auto"/>
                <w:sz w:val="22"/>
                <w:szCs w:val="22"/>
                <w:lang w:val="en-CA"/>
              </w:rPr>
              <w:t>population</w:t>
            </w:r>
          </w:p>
        </w:tc>
        <w:tc>
          <w:tcPr>
            <w:tcW w:w="842" w:type="pct"/>
          </w:tcPr>
          <w:p w14:paraId="721DD03C" w14:textId="2278676D" w:rsidR="00C57C30" w:rsidRPr="008C7A1D" w:rsidRDefault="00C57C30" w:rsidP="008C7A1D">
            <w:pPr>
              <w:pStyle w:val="TableTitle"/>
              <w:rPr>
                <w:color w:val="auto"/>
                <w:sz w:val="22"/>
                <w:szCs w:val="22"/>
                <w:lang w:val="en-CA"/>
              </w:rPr>
            </w:pPr>
            <w:r w:rsidRPr="008C7A1D">
              <w:rPr>
                <w:color w:val="auto"/>
                <w:sz w:val="22"/>
                <w:szCs w:val="22"/>
                <w:lang w:val="en-CA"/>
              </w:rPr>
              <w:t>Student</w:t>
            </w:r>
            <w:r w:rsidR="008C7A1D">
              <w:rPr>
                <w:color w:val="auto"/>
                <w:sz w:val="22"/>
                <w:szCs w:val="22"/>
                <w:lang w:val="en-CA"/>
              </w:rPr>
              <w:t xml:space="preserve"> </w:t>
            </w:r>
            <w:r w:rsidRPr="008C7A1D">
              <w:rPr>
                <w:color w:val="auto"/>
                <w:sz w:val="22"/>
                <w:szCs w:val="22"/>
                <w:lang w:val="en-CA"/>
              </w:rPr>
              <w:t>population</w:t>
            </w:r>
          </w:p>
        </w:tc>
        <w:tc>
          <w:tcPr>
            <w:tcW w:w="737" w:type="pct"/>
          </w:tcPr>
          <w:p w14:paraId="7F2CC4F9" w14:textId="13127CBB" w:rsidR="00C57C30" w:rsidRPr="008C7A1D" w:rsidRDefault="00C57C30" w:rsidP="008C7A1D">
            <w:pPr>
              <w:pStyle w:val="TableTitle"/>
              <w:rPr>
                <w:color w:val="auto"/>
                <w:sz w:val="22"/>
                <w:szCs w:val="22"/>
                <w:lang w:val="en-CA"/>
              </w:rPr>
            </w:pPr>
            <w:r w:rsidRPr="008C7A1D">
              <w:rPr>
                <w:color w:val="auto"/>
                <w:sz w:val="22"/>
                <w:szCs w:val="22"/>
                <w:lang w:val="en-CA"/>
              </w:rPr>
              <w:t>Total</w:t>
            </w:r>
            <w:r w:rsidR="008C7A1D">
              <w:rPr>
                <w:color w:val="auto"/>
                <w:sz w:val="22"/>
                <w:szCs w:val="22"/>
                <w:lang w:val="en-CA"/>
              </w:rPr>
              <w:t xml:space="preserve"> </w:t>
            </w:r>
            <w:r w:rsidRPr="008C7A1D">
              <w:rPr>
                <w:color w:val="auto"/>
                <w:sz w:val="22"/>
                <w:szCs w:val="22"/>
                <w:lang w:val="en-CA"/>
              </w:rPr>
              <w:t>population</w:t>
            </w:r>
          </w:p>
        </w:tc>
      </w:tr>
      <w:tr w:rsidR="00070F0F" w:rsidRPr="008C7A1D" w14:paraId="7A32BD03" w14:textId="77777777" w:rsidTr="00A84016">
        <w:trPr>
          <w:cantSplit/>
          <w:trHeight w:val="290"/>
          <w:tblHeader/>
          <w:jc w:val="center"/>
        </w:trPr>
        <w:tc>
          <w:tcPr>
            <w:tcW w:w="841" w:type="pct"/>
          </w:tcPr>
          <w:p w14:paraId="13FC7D9D" w14:textId="77777777" w:rsidR="00C57C30" w:rsidRPr="008C7A1D" w:rsidRDefault="00C57C30" w:rsidP="008C7A1D">
            <w:pPr>
              <w:autoSpaceDE w:val="0"/>
              <w:autoSpaceDN w:val="0"/>
              <w:adjustRightInd w:val="0"/>
              <w:rPr>
                <w:rFonts w:asciiTheme="minorHAnsi" w:hAnsiTheme="minorHAnsi" w:cstheme="minorHAnsi"/>
                <w:sz w:val="22"/>
                <w:szCs w:val="22"/>
                <w:lang w:val="en-CA"/>
              </w:rPr>
            </w:pPr>
            <w:r w:rsidRPr="008C7A1D">
              <w:rPr>
                <w:rFonts w:asciiTheme="minorHAnsi" w:hAnsiTheme="minorHAnsi" w:cstheme="minorHAnsi"/>
                <w:sz w:val="22"/>
                <w:szCs w:val="22"/>
                <w:lang w:val="en-CA"/>
              </w:rPr>
              <w:t>As of March 31, 2015</w:t>
            </w:r>
          </w:p>
        </w:tc>
        <w:tc>
          <w:tcPr>
            <w:tcW w:w="1053" w:type="pct"/>
          </w:tcPr>
          <w:p w14:paraId="586BB558"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401</w:t>
            </w:r>
          </w:p>
        </w:tc>
        <w:tc>
          <w:tcPr>
            <w:tcW w:w="737" w:type="pct"/>
          </w:tcPr>
          <w:p w14:paraId="3718CB7C"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34</w:t>
            </w:r>
          </w:p>
        </w:tc>
        <w:tc>
          <w:tcPr>
            <w:tcW w:w="790" w:type="pct"/>
          </w:tcPr>
          <w:p w14:paraId="4D4317B5"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5</w:t>
            </w:r>
          </w:p>
        </w:tc>
        <w:tc>
          <w:tcPr>
            <w:tcW w:w="842" w:type="pct"/>
          </w:tcPr>
          <w:p w14:paraId="21F1556B"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1</w:t>
            </w:r>
          </w:p>
        </w:tc>
        <w:tc>
          <w:tcPr>
            <w:tcW w:w="737" w:type="pct"/>
          </w:tcPr>
          <w:p w14:paraId="4266BB78"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441</w:t>
            </w:r>
          </w:p>
        </w:tc>
      </w:tr>
      <w:tr w:rsidR="00070F0F" w:rsidRPr="008C7A1D" w14:paraId="4A8EEF1B" w14:textId="77777777" w:rsidTr="00A84016">
        <w:trPr>
          <w:cantSplit/>
          <w:trHeight w:val="290"/>
          <w:tblHeader/>
          <w:jc w:val="center"/>
        </w:trPr>
        <w:tc>
          <w:tcPr>
            <w:tcW w:w="841" w:type="pct"/>
          </w:tcPr>
          <w:p w14:paraId="078A14CE" w14:textId="77777777" w:rsidR="00C57C30" w:rsidRPr="008C7A1D" w:rsidRDefault="00C57C30" w:rsidP="008C7A1D">
            <w:pPr>
              <w:autoSpaceDE w:val="0"/>
              <w:autoSpaceDN w:val="0"/>
              <w:adjustRightInd w:val="0"/>
              <w:rPr>
                <w:rFonts w:asciiTheme="minorHAnsi" w:hAnsiTheme="minorHAnsi" w:cstheme="minorHAnsi"/>
                <w:sz w:val="22"/>
                <w:szCs w:val="22"/>
                <w:lang w:val="en-CA"/>
              </w:rPr>
            </w:pPr>
            <w:r w:rsidRPr="008C7A1D">
              <w:rPr>
                <w:rFonts w:asciiTheme="minorHAnsi" w:hAnsiTheme="minorHAnsi" w:cstheme="minorHAnsi"/>
                <w:sz w:val="22"/>
                <w:szCs w:val="22"/>
                <w:lang w:val="en-CA"/>
              </w:rPr>
              <w:t>As of March 31, 2016</w:t>
            </w:r>
          </w:p>
        </w:tc>
        <w:tc>
          <w:tcPr>
            <w:tcW w:w="1053" w:type="pct"/>
          </w:tcPr>
          <w:p w14:paraId="574CC7ED"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416</w:t>
            </w:r>
          </w:p>
        </w:tc>
        <w:tc>
          <w:tcPr>
            <w:tcW w:w="737" w:type="pct"/>
          </w:tcPr>
          <w:p w14:paraId="379EA591"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28</w:t>
            </w:r>
          </w:p>
        </w:tc>
        <w:tc>
          <w:tcPr>
            <w:tcW w:w="790" w:type="pct"/>
          </w:tcPr>
          <w:p w14:paraId="5C4276AD"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12</w:t>
            </w:r>
          </w:p>
        </w:tc>
        <w:tc>
          <w:tcPr>
            <w:tcW w:w="842" w:type="pct"/>
          </w:tcPr>
          <w:p w14:paraId="7CCFC43A"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w:t>
            </w:r>
          </w:p>
        </w:tc>
        <w:tc>
          <w:tcPr>
            <w:tcW w:w="737" w:type="pct"/>
          </w:tcPr>
          <w:p w14:paraId="49A7EF2A"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460</w:t>
            </w:r>
          </w:p>
        </w:tc>
      </w:tr>
      <w:tr w:rsidR="00070F0F" w:rsidRPr="008C7A1D" w14:paraId="74612FC2" w14:textId="77777777" w:rsidTr="00A84016">
        <w:trPr>
          <w:cantSplit/>
          <w:trHeight w:val="290"/>
          <w:tblHeader/>
          <w:jc w:val="center"/>
        </w:trPr>
        <w:tc>
          <w:tcPr>
            <w:tcW w:w="841" w:type="pct"/>
          </w:tcPr>
          <w:p w14:paraId="6877B845" w14:textId="77777777" w:rsidR="00C57C30" w:rsidRPr="008C7A1D" w:rsidRDefault="00C57C30" w:rsidP="008C7A1D">
            <w:pPr>
              <w:autoSpaceDE w:val="0"/>
              <w:autoSpaceDN w:val="0"/>
              <w:adjustRightInd w:val="0"/>
              <w:rPr>
                <w:rFonts w:asciiTheme="minorHAnsi" w:hAnsiTheme="minorHAnsi" w:cstheme="minorHAnsi"/>
                <w:sz w:val="22"/>
                <w:szCs w:val="22"/>
                <w:lang w:val="en-CA"/>
              </w:rPr>
            </w:pPr>
            <w:r w:rsidRPr="008C7A1D">
              <w:rPr>
                <w:rFonts w:asciiTheme="minorHAnsi" w:hAnsiTheme="minorHAnsi" w:cstheme="minorHAnsi"/>
                <w:sz w:val="22"/>
                <w:szCs w:val="22"/>
                <w:lang w:val="en-CA"/>
              </w:rPr>
              <w:t>As of March 31, 2017</w:t>
            </w:r>
          </w:p>
        </w:tc>
        <w:tc>
          <w:tcPr>
            <w:tcW w:w="1053" w:type="pct"/>
          </w:tcPr>
          <w:p w14:paraId="53E52A9F"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424</w:t>
            </w:r>
          </w:p>
        </w:tc>
        <w:tc>
          <w:tcPr>
            <w:tcW w:w="737" w:type="pct"/>
          </w:tcPr>
          <w:p w14:paraId="19A103C2"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35</w:t>
            </w:r>
          </w:p>
        </w:tc>
        <w:tc>
          <w:tcPr>
            <w:tcW w:w="790" w:type="pct"/>
          </w:tcPr>
          <w:p w14:paraId="5119F5D4"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12</w:t>
            </w:r>
          </w:p>
        </w:tc>
        <w:tc>
          <w:tcPr>
            <w:tcW w:w="842" w:type="pct"/>
          </w:tcPr>
          <w:p w14:paraId="6BF8A360"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1</w:t>
            </w:r>
          </w:p>
        </w:tc>
        <w:tc>
          <w:tcPr>
            <w:tcW w:w="737" w:type="pct"/>
          </w:tcPr>
          <w:p w14:paraId="3CA08027"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472</w:t>
            </w:r>
          </w:p>
        </w:tc>
      </w:tr>
      <w:tr w:rsidR="00070F0F" w:rsidRPr="008C7A1D" w14:paraId="59C80BC4" w14:textId="77777777" w:rsidTr="00A84016">
        <w:trPr>
          <w:cantSplit/>
          <w:trHeight w:val="290"/>
          <w:tblHeader/>
          <w:jc w:val="center"/>
        </w:trPr>
        <w:tc>
          <w:tcPr>
            <w:tcW w:w="841" w:type="pct"/>
          </w:tcPr>
          <w:p w14:paraId="4F720C47" w14:textId="77777777" w:rsidR="00C57C30" w:rsidRPr="008C7A1D" w:rsidRDefault="00C57C30" w:rsidP="008C7A1D">
            <w:pPr>
              <w:autoSpaceDE w:val="0"/>
              <w:autoSpaceDN w:val="0"/>
              <w:adjustRightInd w:val="0"/>
              <w:rPr>
                <w:rFonts w:asciiTheme="minorHAnsi" w:hAnsiTheme="minorHAnsi" w:cstheme="minorHAnsi"/>
                <w:sz w:val="22"/>
                <w:szCs w:val="22"/>
                <w:lang w:val="en-CA"/>
              </w:rPr>
            </w:pPr>
            <w:r w:rsidRPr="008C7A1D">
              <w:rPr>
                <w:rFonts w:asciiTheme="minorHAnsi" w:hAnsiTheme="minorHAnsi" w:cstheme="minorHAnsi"/>
                <w:sz w:val="22"/>
                <w:szCs w:val="22"/>
                <w:lang w:val="en-CA"/>
              </w:rPr>
              <w:t>As of March 31, 2018</w:t>
            </w:r>
          </w:p>
        </w:tc>
        <w:tc>
          <w:tcPr>
            <w:tcW w:w="1053" w:type="pct"/>
          </w:tcPr>
          <w:p w14:paraId="654DE1B9"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418</w:t>
            </w:r>
          </w:p>
        </w:tc>
        <w:tc>
          <w:tcPr>
            <w:tcW w:w="737" w:type="pct"/>
          </w:tcPr>
          <w:p w14:paraId="77D95F8E"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45</w:t>
            </w:r>
          </w:p>
        </w:tc>
        <w:tc>
          <w:tcPr>
            <w:tcW w:w="790" w:type="pct"/>
          </w:tcPr>
          <w:p w14:paraId="6933B342"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10</w:t>
            </w:r>
          </w:p>
        </w:tc>
        <w:tc>
          <w:tcPr>
            <w:tcW w:w="842" w:type="pct"/>
          </w:tcPr>
          <w:p w14:paraId="7F70E1BC"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2</w:t>
            </w:r>
          </w:p>
        </w:tc>
        <w:tc>
          <w:tcPr>
            <w:tcW w:w="737" w:type="pct"/>
          </w:tcPr>
          <w:p w14:paraId="2890E5AE"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475</w:t>
            </w:r>
          </w:p>
        </w:tc>
      </w:tr>
      <w:tr w:rsidR="00070F0F" w:rsidRPr="008C7A1D" w14:paraId="092FD63D" w14:textId="77777777" w:rsidTr="00A84016">
        <w:trPr>
          <w:cantSplit/>
          <w:trHeight w:val="290"/>
          <w:tblHeader/>
          <w:jc w:val="center"/>
        </w:trPr>
        <w:tc>
          <w:tcPr>
            <w:tcW w:w="841" w:type="pct"/>
          </w:tcPr>
          <w:p w14:paraId="6A7849F3" w14:textId="77777777" w:rsidR="00C57C30" w:rsidRPr="008C7A1D" w:rsidRDefault="00C57C30" w:rsidP="008C7A1D">
            <w:pPr>
              <w:autoSpaceDE w:val="0"/>
              <w:autoSpaceDN w:val="0"/>
              <w:adjustRightInd w:val="0"/>
              <w:rPr>
                <w:rFonts w:asciiTheme="minorHAnsi" w:hAnsiTheme="minorHAnsi" w:cstheme="minorHAnsi"/>
                <w:sz w:val="22"/>
                <w:szCs w:val="22"/>
                <w:lang w:val="en-CA"/>
              </w:rPr>
            </w:pPr>
            <w:r w:rsidRPr="008C7A1D">
              <w:rPr>
                <w:rFonts w:asciiTheme="minorHAnsi" w:hAnsiTheme="minorHAnsi" w:cstheme="minorHAnsi"/>
                <w:sz w:val="22"/>
                <w:szCs w:val="22"/>
                <w:lang w:val="en-CA"/>
              </w:rPr>
              <w:t>As of March 31, 2019</w:t>
            </w:r>
          </w:p>
        </w:tc>
        <w:tc>
          <w:tcPr>
            <w:tcW w:w="1053" w:type="pct"/>
          </w:tcPr>
          <w:p w14:paraId="23B9D0C3"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422</w:t>
            </w:r>
          </w:p>
        </w:tc>
        <w:tc>
          <w:tcPr>
            <w:tcW w:w="737" w:type="pct"/>
          </w:tcPr>
          <w:p w14:paraId="2A8A8861"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40</w:t>
            </w:r>
          </w:p>
        </w:tc>
        <w:tc>
          <w:tcPr>
            <w:tcW w:w="790" w:type="pct"/>
          </w:tcPr>
          <w:p w14:paraId="1F9ECC47"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9</w:t>
            </w:r>
          </w:p>
        </w:tc>
        <w:tc>
          <w:tcPr>
            <w:tcW w:w="842" w:type="pct"/>
          </w:tcPr>
          <w:p w14:paraId="2A0F8DDF"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1</w:t>
            </w:r>
          </w:p>
        </w:tc>
        <w:tc>
          <w:tcPr>
            <w:tcW w:w="737" w:type="pct"/>
          </w:tcPr>
          <w:p w14:paraId="31C261D4"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472</w:t>
            </w:r>
          </w:p>
        </w:tc>
      </w:tr>
      <w:tr w:rsidR="00070F0F" w:rsidRPr="008C7A1D" w14:paraId="629E2223" w14:textId="77777777" w:rsidTr="00A84016">
        <w:trPr>
          <w:cantSplit/>
          <w:trHeight w:val="290"/>
          <w:tblHeader/>
          <w:jc w:val="center"/>
        </w:trPr>
        <w:tc>
          <w:tcPr>
            <w:tcW w:w="841" w:type="pct"/>
          </w:tcPr>
          <w:p w14:paraId="0B3A9BEF" w14:textId="77777777" w:rsidR="00C57C30" w:rsidRPr="008C7A1D" w:rsidRDefault="00C57C30" w:rsidP="008C7A1D">
            <w:pPr>
              <w:autoSpaceDE w:val="0"/>
              <w:autoSpaceDN w:val="0"/>
              <w:adjustRightInd w:val="0"/>
              <w:rPr>
                <w:rFonts w:asciiTheme="minorHAnsi" w:hAnsiTheme="minorHAnsi" w:cstheme="minorHAnsi"/>
                <w:sz w:val="22"/>
                <w:szCs w:val="22"/>
                <w:lang w:val="en-CA"/>
              </w:rPr>
            </w:pPr>
            <w:r w:rsidRPr="008C7A1D">
              <w:rPr>
                <w:rFonts w:asciiTheme="minorHAnsi" w:hAnsiTheme="minorHAnsi" w:cstheme="minorHAnsi"/>
                <w:sz w:val="22"/>
                <w:szCs w:val="22"/>
                <w:lang w:val="en-CA"/>
              </w:rPr>
              <w:t>As of March 31, 2020</w:t>
            </w:r>
          </w:p>
        </w:tc>
        <w:tc>
          <w:tcPr>
            <w:tcW w:w="1053" w:type="pct"/>
          </w:tcPr>
          <w:p w14:paraId="627CD506"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435</w:t>
            </w:r>
          </w:p>
        </w:tc>
        <w:tc>
          <w:tcPr>
            <w:tcW w:w="737" w:type="pct"/>
          </w:tcPr>
          <w:p w14:paraId="6A051FAB"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56</w:t>
            </w:r>
          </w:p>
        </w:tc>
        <w:tc>
          <w:tcPr>
            <w:tcW w:w="790" w:type="pct"/>
          </w:tcPr>
          <w:p w14:paraId="619CD0D0"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9</w:t>
            </w:r>
          </w:p>
        </w:tc>
        <w:tc>
          <w:tcPr>
            <w:tcW w:w="842" w:type="pct"/>
          </w:tcPr>
          <w:p w14:paraId="5803B8C4"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0</w:t>
            </w:r>
          </w:p>
        </w:tc>
        <w:tc>
          <w:tcPr>
            <w:tcW w:w="737" w:type="pct"/>
          </w:tcPr>
          <w:p w14:paraId="21D4250D" w14:textId="77777777" w:rsidR="00C57C30" w:rsidRPr="008C7A1D" w:rsidRDefault="00C57C30" w:rsidP="008C7A1D">
            <w:pPr>
              <w:autoSpaceDE w:val="0"/>
              <w:autoSpaceDN w:val="0"/>
              <w:adjustRightInd w:val="0"/>
              <w:jc w:val="center"/>
              <w:rPr>
                <w:rFonts w:asciiTheme="minorHAnsi" w:hAnsiTheme="minorHAnsi" w:cstheme="minorHAnsi"/>
                <w:sz w:val="22"/>
                <w:szCs w:val="22"/>
                <w:lang w:val="en-CA"/>
              </w:rPr>
            </w:pPr>
            <w:r w:rsidRPr="008C7A1D">
              <w:rPr>
                <w:rFonts w:asciiTheme="minorHAnsi" w:hAnsiTheme="minorHAnsi" w:cstheme="minorHAnsi"/>
                <w:sz w:val="22"/>
                <w:szCs w:val="22"/>
                <w:lang w:val="en-CA"/>
              </w:rPr>
              <w:t>500</w:t>
            </w:r>
          </w:p>
        </w:tc>
      </w:tr>
    </w:tbl>
    <w:p w14:paraId="6B02FDD4" w14:textId="77777777" w:rsidR="00717FC3" w:rsidRPr="00264AD9" w:rsidRDefault="00717FC3" w:rsidP="0072395D">
      <w:pPr>
        <w:jc w:val="right"/>
        <w:rPr>
          <w:rFonts w:ascii="Segoe UI" w:hAnsi="Segoe UI" w:cs="Segoe UI"/>
          <w:b/>
          <w:bCs/>
          <w:szCs w:val="24"/>
          <w:lang w:val="en-CA"/>
        </w:rPr>
        <w:sectPr w:rsidR="00717FC3" w:rsidRPr="00264AD9" w:rsidSect="00772474">
          <w:pgSz w:w="15840" w:h="12240" w:orient="landscape"/>
          <w:pgMar w:top="720" w:right="720" w:bottom="720" w:left="720" w:header="709" w:footer="284" w:gutter="0"/>
          <w:cols w:space="708"/>
          <w:titlePg/>
          <w:docGrid w:linePitch="360"/>
        </w:sectPr>
      </w:pPr>
    </w:p>
    <w:p w14:paraId="6CEE03DA" w14:textId="322AC832" w:rsidR="00717FC3" w:rsidRPr="00070F0F" w:rsidRDefault="00070F0F" w:rsidP="00070F0F">
      <w:pPr>
        <w:pStyle w:val="Heading1"/>
        <w:spacing w:before="120" w:after="120"/>
        <w:rPr>
          <w:sz w:val="40"/>
          <w:szCs w:val="40"/>
          <w:lang w:val="en-CA"/>
        </w:rPr>
      </w:pPr>
      <w:r w:rsidRPr="00070F0F">
        <w:rPr>
          <w:sz w:val="40"/>
          <w:szCs w:val="40"/>
          <w:lang w:val="en-CA"/>
        </w:rPr>
        <w:lastRenderedPageBreak/>
        <w:t>Population by language requirements as of March 31, 2020</w:t>
      </w:r>
    </w:p>
    <w:p w14:paraId="2DA9D555" w14:textId="77777777" w:rsidR="00070F0F" w:rsidRDefault="00717FC3" w:rsidP="00070F0F">
      <w:pPr>
        <w:keepNext/>
        <w:jc w:val="center"/>
      </w:pPr>
      <w:r w:rsidRPr="00264AD9">
        <w:rPr>
          <w:rFonts w:ascii="Segoe UI" w:hAnsi="Segoe UI" w:cs="Segoe UI"/>
          <w:noProof/>
          <w:lang w:val="en-CA" w:eastAsia="en-CA"/>
        </w:rPr>
        <w:drawing>
          <wp:inline distT="0" distB="0" distL="0" distR="0" wp14:anchorId="7D62D600" wp14:editId="542BDA8B">
            <wp:extent cx="1980000" cy="3020400"/>
            <wp:effectExtent l="0" t="0" r="1270" b="8890"/>
            <wp:docPr id="8" name="Chart 8" descr="Population by language requirements as of March 31,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231E67" w14:textId="5B78D10E" w:rsidR="00717FC3" w:rsidRPr="00070F0F" w:rsidRDefault="00070F0F" w:rsidP="00070F0F">
      <w:pPr>
        <w:pStyle w:val="Caption"/>
        <w:spacing w:after="0"/>
        <w:jc w:val="center"/>
        <w:rPr>
          <w:rFonts w:asciiTheme="minorHAnsi" w:hAnsiTheme="minorHAnsi" w:cstheme="minorHAnsi"/>
          <w:b/>
          <w:bCs/>
          <w:i w:val="0"/>
          <w:iCs w:val="0"/>
          <w:color w:val="auto"/>
          <w:szCs w:val="24"/>
          <w:lang w:val="en-CA"/>
        </w:rPr>
      </w:pPr>
      <w:r w:rsidRPr="00070F0F">
        <w:rPr>
          <w:rFonts w:asciiTheme="minorHAnsi" w:hAnsiTheme="minorHAnsi" w:cstheme="minorHAnsi"/>
          <w:i w:val="0"/>
          <w:iCs w:val="0"/>
          <w:color w:val="auto"/>
        </w:rPr>
        <w:t xml:space="preserve">Figure </w:t>
      </w:r>
      <w:r w:rsidRPr="00070F0F">
        <w:rPr>
          <w:rFonts w:asciiTheme="minorHAnsi" w:hAnsiTheme="minorHAnsi" w:cstheme="minorHAnsi"/>
          <w:i w:val="0"/>
          <w:iCs w:val="0"/>
          <w:color w:val="auto"/>
        </w:rPr>
        <w:fldChar w:fldCharType="begin"/>
      </w:r>
      <w:r w:rsidRPr="00070F0F">
        <w:rPr>
          <w:rFonts w:asciiTheme="minorHAnsi" w:hAnsiTheme="minorHAnsi" w:cstheme="minorHAnsi"/>
          <w:i w:val="0"/>
          <w:iCs w:val="0"/>
          <w:color w:val="auto"/>
        </w:rPr>
        <w:instrText xml:space="preserve"> SEQ Figure \* ARABIC </w:instrText>
      </w:r>
      <w:r w:rsidRPr="00070F0F">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2</w:t>
      </w:r>
      <w:r w:rsidRPr="00070F0F">
        <w:rPr>
          <w:rFonts w:asciiTheme="minorHAnsi" w:hAnsiTheme="minorHAnsi" w:cstheme="minorHAnsi"/>
          <w:i w:val="0"/>
          <w:iCs w:val="0"/>
          <w:color w:val="auto"/>
        </w:rPr>
        <w:fldChar w:fldCharType="end"/>
      </w:r>
      <w:r w:rsidRPr="00070F0F">
        <w:rPr>
          <w:rFonts w:asciiTheme="minorHAnsi" w:hAnsiTheme="minorHAnsi" w:cstheme="minorHAnsi"/>
          <w:i w:val="0"/>
          <w:iCs w:val="0"/>
          <w:color w:val="auto"/>
        </w:rPr>
        <w:t xml:space="preserve"> - Population by language requirements as of March 31, 2020</w:t>
      </w:r>
    </w:p>
    <w:p w14:paraId="0C9A6F26" w14:textId="32E3A141" w:rsidR="00070F0F" w:rsidRPr="00070F0F" w:rsidRDefault="00070F0F" w:rsidP="00070F0F">
      <w:pPr>
        <w:pStyle w:val="Caption"/>
        <w:keepNext/>
        <w:spacing w:before="240" w:after="0"/>
        <w:jc w:val="center"/>
        <w:rPr>
          <w:rFonts w:asciiTheme="minorHAnsi" w:hAnsiTheme="minorHAnsi" w:cstheme="minorHAnsi"/>
          <w:i w:val="0"/>
          <w:iCs w:val="0"/>
          <w:color w:val="auto"/>
        </w:rPr>
      </w:pPr>
      <w:r w:rsidRPr="00070F0F">
        <w:rPr>
          <w:rFonts w:asciiTheme="minorHAnsi" w:hAnsiTheme="minorHAnsi" w:cstheme="minorHAnsi"/>
          <w:i w:val="0"/>
          <w:iCs w:val="0"/>
          <w:color w:val="auto"/>
        </w:rPr>
        <w:t xml:space="preserve">Table </w:t>
      </w:r>
      <w:r w:rsidRPr="00070F0F">
        <w:rPr>
          <w:rFonts w:asciiTheme="minorHAnsi" w:hAnsiTheme="minorHAnsi" w:cstheme="minorHAnsi"/>
          <w:i w:val="0"/>
          <w:iCs w:val="0"/>
          <w:color w:val="auto"/>
        </w:rPr>
        <w:fldChar w:fldCharType="begin"/>
      </w:r>
      <w:r w:rsidRPr="00070F0F">
        <w:rPr>
          <w:rFonts w:asciiTheme="minorHAnsi" w:hAnsiTheme="minorHAnsi" w:cstheme="minorHAnsi"/>
          <w:i w:val="0"/>
          <w:iCs w:val="0"/>
          <w:color w:val="auto"/>
        </w:rPr>
        <w:instrText xml:space="preserve"> SEQ Table \* ARABIC </w:instrText>
      </w:r>
      <w:r w:rsidRPr="00070F0F">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5</w:t>
      </w:r>
      <w:r w:rsidRPr="00070F0F">
        <w:rPr>
          <w:rFonts w:asciiTheme="minorHAnsi" w:hAnsiTheme="minorHAnsi" w:cstheme="minorHAnsi"/>
          <w:i w:val="0"/>
          <w:iCs w:val="0"/>
          <w:color w:val="auto"/>
        </w:rPr>
        <w:fldChar w:fldCharType="end"/>
      </w:r>
      <w:r w:rsidRPr="00070F0F">
        <w:rPr>
          <w:rFonts w:asciiTheme="minorHAnsi" w:hAnsiTheme="minorHAnsi" w:cstheme="minorHAnsi"/>
          <w:i w:val="0"/>
          <w:iCs w:val="0"/>
          <w:color w:val="auto"/>
        </w:rPr>
        <w:t xml:space="preserve"> </w:t>
      </w:r>
      <w:r w:rsidRPr="001A1F45">
        <w:rPr>
          <w:rFonts w:asciiTheme="minorHAnsi" w:hAnsiTheme="minorHAnsi" w:cstheme="minorHAnsi"/>
          <w:i w:val="0"/>
          <w:iCs w:val="0"/>
          <w:color w:val="auto"/>
        </w:rPr>
        <w:t xml:space="preserve">- </w:t>
      </w:r>
      <w:r w:rsidRPr="001A1F45">
        <w:rPr>
          <w:rStyle w:val="Emphasis"/>
          <w:rFonts w:asciiTheme="minorHAnsi" w:hAnsiTheme="minorHAnsi" w:cstheme="minorHAnsi"/>
          <w:i/>
          <w:iCs/>
          <w:color w:val="auto"/>
          <w:sz w:val="18"/>
        </w:rPr>
        <w:t>Public Service Employment Act</w:t>
      </w:r>
      <w:r w:rsidRPr="00070F0F">
        <w:rPr>
          <w:rFonts w:asciiTheme="minorHAnsi" w:hAnsiTheme="minorHAnsi" w:cstheme="minorHAnsi"/>
          <w:i w:val="0"/>
          <w:iCs w:val="0"/>
          <w:color w:val="auto"/>
        </w:rPr>
        <w:t xml:space="preserve"> population by language requirements of the position for fiscal year 2019 to 2020</w:t>
      </w:r>
    </w:p>
    <w:tbl>
      <w:tblPr>
        <w:tblStyle w:val="TableGrid"/>
        <w:tblW w:w="5000" w:type="pct"/>
        <w:jc w:val="center"/>
        <w:tblLook w:val="0020" w:firstRow="1" w:lastRow="0" w:firstColumn="0" w:lastColumn="0" w:noHBand="0" w:noVBand="0"/>
        <w:tblDescription w:val="Population by language requirements as of March 31, 2020"/>
      </w:tblPr>
      <w:tblGrid>
        <w:gridCol w:w="4754"/>
        <w:gridCol w:w="3972"/>
        <w:gridCol w:w="5664"/>
      </w:tblGrid>
      <w:tr w:rsidR="00070F0F" w:rsidRPr="00070F0F" w14:paraId="51DD253D" w14:textId="77777777" w:rsidTr="00A84016">
        <w:trPr>
          <w:cantSplit/>
          <w:trHeight w:val="290"/>
          <w:tblHeader/>
          <w:jc w:val="center"/>
        </w:trPr>
        <w:tc>
          <w:tcPr>
            <w:tcW w:w="1652" w:type="pct"/>
          </w:tcPr>
          <w:p w14:paraId="72A85B8A" w14:textId="77777777" w:rsidR="00C57C30" w:rsidRPr="00070F0F" w:rsidRDefault="00C57C30" w:rsidP="00070F0F">
            <w:pPr>
              <w:pStyle w:val="TableTitle"/>
              <w:rPr>
                <w:color w:val="auto"/>
                <w:sz w:val="22"/>
                <w:szCs w:val="22"/>
                <w:lang w:val="en-CA"/>
              </w:rPr>
            </w:pPr>
            <w:r w:rsidRPr="00070F0F">
              <w:rPr>
                <w:color w:val="auto"/>
                <w:sz w:val="22"/>
                <w:szCs w:val="22"/>
                <w:lang w:val="en-CA"/>
              </w:rPr>
              <w:t>Linguistic requirements of the position</w:t>
            </w:r>
          </w:p>
        </w:tc>
        <w:tc>
          <w:tcPr>
            <w:tcW w:w="1380" w:type="pct"/>
          </w:tcPr>
          <w:p w14:paraId="3FCCAA14" w14:textId="77777777" w:rsidR="00C57C30" w:rsidRPr="00070F0F" w:rsidRDefault="00C57C30" w:rsidP="00070F0F">
            <w:pPr>
              <w:pStyle w:val="TableTitle"/>
              <w:rPr>
                <w:color w:val="auto"/>
                <w:sz w:val="22"/>
                <w:szCs w:val="22"/>
                <w:lang w:val="en-CA"/>
              </w:rPr>
            </w:pPr>
            <w:r w:rsidRPr="00070F0F">
              <w:rPr>
                <w:color w:val="auto"/>
                <w:sz w:val="22"/>
                <w:szCs w:val="22"/>
                <w:lang w:val="en-CA"/>
              </w:rPr>
              <w:t>Population as of March 31, 2020</w:t>
            </w:r>
          </w:p>
        </w:tc>
        <w:tc>
          <w:tcPr>
            <w:tcW w:w="1968" w:type="pct"/>
          </w:tcPr>
          <w:p w14:paraId="29A59F4D" w14:textId="77777777" w:rsidR="00C57C30" w:rsidRPr="00070F0F" w:rsidRDefault="00C57C30" w:rsidP="00070F0F">
            <w:pPr>
              <w:pStyle w:val="TableTitle"/>
              <w:rPr>
                <w:color w:val="auto"/>
                <w:sz w:val="22"/>
                <w:szCs w:val="22"/>
                <w:lang w:val="en-CA"/>
              </w:rPr>
            </w:pPr>
            <w:r w:rsidRPr="00070F0F">
              <w:rPr>
                <w:color w:val="auto"/>
                <w:sz w:val="22"/>
                <w:szCs w:val="22"/>
                <w:lang w:val="en-CA"/>
              </w:rPr>
              <w:t>Percentage of population as of March 31, 2020</w:t>
            </w:r>
          </w:p>
        </w:tc>
      </w:tr>
      <w:tr w:rsidR="00070F0F" w:rsidRPr="00070F0F" w14:paraId="274D03C3" w14:textId="77777777" w:rsidTr="00A84016">
        <w:trPr>
          <w:cantSplit/>
          <w:trHeight w:val="290"/>
          <w:tblHeader/>
          <w:jc w:val="center"/>
        </w:trPr>
        <w:tc>
          <w:tcPr>
            <w:tcW w:w="1652" w:type="pct"/>
          </w:tcPr>
          <w:p w14:paraId="2BEA6DF4" w14:textId="77777777" w:rsidR="00C57C30" w:rsidRPr="00070F0F" w:rsidRDefault="00C57C30" w:rsidP="008C7A1D">
            <w:pPr>
              <w:autoSpaceDE w:val="0"/>
              <w:autoSpaceDN w:val="0"/>
              <w:adjustRightInd w:val="0"/>
              <w:rPr>
                <w:rFonts w:asciiTheme="minorHAnsi" w:hAnsiTheme="minorHAnsi" w:cstheme="minorHAnsi"/>
                <w:sz w:val="22"/>
                <w:szCs w:val="22"/>
                <w:lang w:val="en-CA"/>
              </w:rPr>
            </w:pPr>
            <w:r w:rsidRPr="00070F0F">
              <w:rPr>
                <w:rFonts w:asciiTheme="minorHAnsi" w:hAnsiTheme="minorHAnsi" w:cstheme="minorHAnsi"/>
                <w:sz w:val="22"/>
                <w:szCs w:val="22"/>
                <w:lang w:val="en-CA"/>
              </w:rPr>
              <w:t xml:space="preserve">Bilingual </w:t>
            </w:r>
          </w:p>
        </w:tc>
        <w:tc>
          <w:tcPr>
            <w:tcW w:w="1380" w:type="pct"/>
          </w:tcPr>
          <w:p w14:paraId="5B88E67B" w14:textId="77777777" w:rsidR="00C57C30" w:rsidRPr="00070F0F" w:rsidRDefault="00C57C30" w:rsidP="008C7A1D">
            <w:pPr>
              <w:autoSpaceDE w:val="0"/>
              <w:autoSpaceDN w:val="0"/>
              <w:adjustRightInd w:val="0"/>
              <w:jc w:val="center"/>
              <w:rPr>
                <w:rFonts w:asciiTheme="minorHAnsi" w:hAnsiTheme="minorHAnsi" w:cstheme="minorHAnsi"/>
                <w:sz w:val="22"/>
                <w:szCs w:val="22"/>
                <w:lang w:val="en-CA"/>
              </w:rPr>
            </w:pPr>
            <w:r w:rsidRPr="00070F0F">
              <w:rPr>
                <w:rFonts w:asciiTheme="minorHAnsi" w:hAnsiTheme="minorHAnsi" w:cstheme="minorHAnsi"/>
                <w:sz w:val="22"/>
                <w:szCs w:val="22"/>
                <w:lang w:val="en-CA"/>
              </w:rPr>
              <w:t>87</w:t>
            </w:r>
          </w:p>
        </w:tc>
        <w:tc>
          <w:tcPr>
            <w:tcW w:w="1968" w:type="pct"/>
            <w:shd w:val="clear" w:color="auto" w:fill="auto"/>
          </w:tcPr>
          <w:p w14:paraId="2DFEE968" w14:textId="77777777" w:rsidR="00C57C30" w:rsidRPr="00070F0F" w:rsidRDefault="00C57C30" w:rsidP="008C7A1D">
            <w:pPr>
              <w:autoSpaceDE w:val="0"/>
              <w:autoSpaceDN w:val="0"/>
              <w:adjustRightInd w:val="0"/>
              <w:jc w:val="center"/>
              <w:rPr>
                <w:rFonts w:asciiTheme="minorHAnsi" w:hAnsiTheme="minorHAnsi" w:cstheme="minorHAnsi"/>
                <w:sz w:val="22"/>
                <w:szCs w:val="22"/>
                <w:lang w:val="en-CA"/>
              </w:rPr>
            </w:pPr>
            <w:r w:rsidRPr="00070F0F">
              <w:rPr>
                <w:rFonts w:asciiTheme="minorHAnsi" w:hAnsiTheme="minorHAnsi" w:cstheme="minorHAnsi"/>
                <w:sz w:val="22"/>
                <w:szCs w:val="22"/>
                <w:lang w:val="en-CA"/>
              </w:rPr>
              <w:t>19%</w:t>
            </w:r>
          </w:p>
        </w:tc>
      </w:tr>
      <w:tr w:rsidR="00070F0F" w:rsidRPr="00070F0F" w14:paraId="3190D37C" w14:textId="77777777" w:rsidTr="00A84016">
        <w:trPr>
          <w:cantSplit/>
          <w:trHeight w:val="290"/>
          <w:tblHeader/>
          <w:jc w:val="center"/>
        </w:trPr>
        <w:tc>
          <w:tcPr>
            <w:tcW w:w="1652" w:type="pct"/>
          </w:tcPr>
          <w:p w14:paraId="50962688" w14:textId="77777777" w:rsidR="00C57C30" w:rsidRPr="00070F0F" w:rsidRDefault="00C57C30" w:rsidP="008C7A1D">
            <w:pPr>
              <w:autoSpaceDE w:val="0"/>
              <w:autoSpaceDN w:val="0"/>
              <w:adjustRightInd w:val="0"/>
              <w:rPr>
                <w:rFonts w:asciiTheme="minorHAnsi" w:hAnsiTheme="minorHAnsi" w:cstheme="minorHAnsi"/>
                <w:sz w:val="22"/>
                <w:szCs w:val="22"/>
                <w:lang w:val="en-CA"/>
              </w:rPr>
            </w:pPr>
            <w:r w:rsidRPr="00070F0F">
              <w:rPr>
                <w:rFonts w:asciiTheme="minorHAnsi" w:hAnsiTheme="minorHAnsi" w:cstheme="minorHAnsi"/>
                <w:sz w:val="22"/>
                <w:szCs w:val="22"/>
                <w:lang w:val="en-CA"/>
              </w:rPr>
              <w:t>Unilingual</w:t>
            </w:r>
          </w:p>
        </w:tc>
        <w:tc>
          <w:tcPr>
            <w:tcW w:w="1380" w:type="pct"/>
          </w:tcPr>
          <w:p w14:paraId="2B510F51" w14:textId="77777777" w:rsidR="00C57C30" w:rsidRPr="00070F0F" w:rsidRDefault="00C57C30" w:rsidP="008C7A1D">
            <w:pPr>
              <w:autoSpaceDE w:val="0"/>
              <w:autoSpaceDN w:val="0"/>
              <w:adjustRightInd w:val="0"/>
              <w:jc w:val="center"/>
              <w:rPr>
                <w:rFonts w:asciiTheme="minorHAnsi" w:hAnsiTheme="minorHAnsi" w:cstheme="minorHAnsi"/>
                <w:sz w:val="22"/>
                <w:szCs w:val="22"/>
                <w:lang w:val="en-CA"/>
              </w:rPr>
            </w:pPr>
            <w:r w:rsidRPr="00070F0F">
              <w:rPr>
                <w:rFonts w:asciiTheme="minorHAnsi" w:hAnsiTheme="minorHAnsi" w:cstheme="minorHAnsi"/>
                <w:sz w:val="22"/>
                <w:szCs w:val="22"/>
                <w:lang w:val="en-CA"/>
              </w:rPr>
              <w:t>363</w:t>
            </w:r>
          </w:p>
        </w:tc>
        <w:tc>
          <w:tcPr>
            <w:tcW w:w="1968" w:type="pct"/>
            <w:shd w:val="clear" w:color="auto" w:fill="auto"/>
          </w:tcPr>
          <w:p w14:paraId="5FC55D15" w14:textId="77777777" w:rsidR="00C57C30" w:rsidRPr="00070F0F" w:rsidRDefault="00C57C30" w:rsidP="008C7A1D">
            <w:pPr>
              <w:autoSpaceDE w:val="0"/>
              <w:autoSpaceDN w:val="0"/>
              <w:adjustRightInd w:val="0"/>
              <w:jc w:val="center"/>
              <w:rPr>
                <w:rFonts w:asciiTheme="minorHAnsi" w:hAnsiTheme="minorHAnsi" w:cstheme="minorHAnsi"/>
                <w:sz w:val="22"/>
                <w:szCs w:val="22"/>
                <w:lang w:val="en-CA"/>
              </w:rPr>
            </w:pPr>
            <w:r w:rsidRPr="00070F0F">
              <w:rPr>
                <w:rFonts w:asciiTheme="minorHAnsi" w:hAnsiTheme="minorHAnsi" w:cstheme="minorHAnsi"/>
                <w:sz w:val="22"/>
                <w:szCs w:val="22"/>
                <w:lang w:val="en-CA"/>
              </w:rPr>
              <w:t>81%</w:t>
            </w:r>
          </w:p>
        </w:tc>
      </w:tr>
      <w:tr w:rsidR="00070F0F" w:rsidRPr="00070F0F" w14:paraId="318BEBE9" w14:textId="77777777" w:rsidTr="00A84016">
        <w:trPr>
          <w:cantSplit/>
          <w:trHeight w:val="290"/>
          <w:tblHeader/>
          <w:jc w:val="center"/>
        </w:trPr>
        <w:tc>
          <w:tcPr>
            <w:tcW w:w="1652" w:type="pct"/>
          </w:tcPr>
          <w:p w14:paraId="1C0E0242" w14:textId="77777777" w:rsidR="00C57C30" w:rsidRPr="00070F0F" w:rsidRDefault="00C57C30" w:rsidP="008C7A1D">
            <w:pPr>
              <w:autoSpaceDE w:val="0"/>
              <w:autoSpaceDN w:val="0"/>
              <w:adjustRightInd w:val="0"/>
              <w:rPr>
                <w:rFonts w:asciiTheme="minorHAnsi" w:hAnsiTheme="minorHAnsi" w:cstheme="minorHAnsi"/>
                <w:sz w:val="22"/>
                <w:szCs w:val="22"/>
                <w:lang w:val="en-CA"/>
              </w:rPr>
            </w:pPr>
            <w:r w:rsidRPr="00070F0F">
              <w:rPr>
                <w:rFonts w:asciiTheme="minorHAnsi" w:hAnsiTheme="minorHAnsi" w:cstheme="minorHAnsi"/>
                <w:sz w:val="22"/>
                <w:szCs w:val="22"/>
                <w:lang w:val="en-CA"/>
              </w:rPr>
              <w:t>Unknown</w:t>
            </w:r>
          </w:p>
        </w:tc>
        <w:tc>
          <w:tcPr>
            <w:tcW w:w="1380" w:type="pct"/>
          </w:tcPr>
          <w:p w14:paraId="60795905" w14:textId="77777777" w:rsidR="00C57C30" w:rsidRPr="00070F0F" w:rsidRDefault="00C57C30" w:rsidP="008C7A1D">
            <w:pPr>
              <w:autoSpaceDE w:val="0"/>
              <w:autoSpaceDN w:val="0"/>
              <w:adjustRightInd w:val="0"/>
              <w:jc w:val="center"/>
              <w:rPr>
                <w:rFonts w:asciiTheme="minorHAnsi" w:hAnsiTheme="minorHAnsi" w:cstheme="minorHAnsi"/>
                <w:sz w:val="22"/>
                <w:szCs w:val="22"/>
                <w:lang w:val="en-CA"/>
              </w:rPr>
            </w:pPr>
            <w:r w:rsidRPr="00070F0F">
              <w:rPr>
                <w:rFonts w:asciiTheme="minorHAnsi" w:hAnsiTheme="minorHAnsi" w:cstheme="minorHAnsi"/>
                <w:sz w:val="22"/>
                <w:szCs w:val="22"/>
                <w:lang w:val="en-CA"/>
              </w:rPr>
              <w:t>50</w:t>
            </w:r>
          </w:p>
        </w:tc>
        <w:tc>
          <w:tcPr>
            <w:tcW w:w="1968" w:type="pct"/>
            <w:shd w:val="clear" w:color="auto" w:fill="auto"/>
          </w:tcPr>
          <w:p w14:paraId="2A58F3C1" w14:textId="181F548A" w:rsidR="00C57C30" w:rsidRPr="00070F0F" w:rsidRDefault="00070F0F" w:rsidP="008C7A1D">
            <w:pPr>
              <w:autoSpaceDE w:val="0"/>
              <w:autoSpaceDN w:val="0"/>
              <w:adjustRightInd w:val="0"/>
              <w:jc w:val="center"/>
              <w:rPr>
                <w:rFonts w:asciiTheme="minorHAnsi" w:hAnsiTheme="minorHAnsi" w:cstheme="minorHAnsi"/>
                <w:sz w:val="22"/>
                <w:szCs w:val="22"/>
                <w:lang w:val="en-CA"/>
              </w:rPr>
            </w:pPr>
            <w:r>
              <w:rPr>
                <w:rFonts w:asciiTheme="minorHAnsi" w:hAnsiTheme="minorHAnsi" w:cstheme="minorHAnsi"/>
                <w:sz w:val="22"/>
                <w:szCs w:val="22"/>
                <w:lang w:val="en-CA"/>
              </w:rPr>
              <w:t>0%</w:t>
            </w:r>
          </w:p>
        </w:tc>
      </w:tr>
    </w:tbl>
    <w:p w14:paraId="77667826" w14:textId="77777777" w:rsidR="00717FC3" w:rsidRPr="00264AD9" w:rsidRDefault="00717FC3" w:rsidP="0072395D">
      <w:pPr>
        <w:jc w:val="right"/>
        <w:rPr>
          <w:rFonts w:ascii="Segoe UI" w:hAnsi="Segoe UI" w:cs="Segoe UI"/>
          <w:b/>
          <w:bCs/>
          <w:szCs w:val="24"/>
          <w:lang w:val="en-CA"/>
        </w:rPr>
        <w:sectPr w:rsidR="00717FC3" w:rsidRPr="00264AD9" w:rsidSect="00070F0F">
          <w:pgSz w:w="15840" w:h="12240" w:orient="landscape"/>
          <w:pgMar w:top="720" w:right="720" w:bottom="720" w:left="720" w:header="709" w:footer="284" w:gutter="0"/>
          <w:cols w:space="708"/>
          <w:titlePg/>
          <w:docGrid w:linePitch="360"/>
        </w:sectPr>
      </w:pPr>
    </w:p>
    <w:p w14:paraId="39F69E2B" w14:textId="77777777" w:rsidR="00070F0F" w:rsidRPr="00070F0F" w:rsidRDefault="00070F0F" w:rsidP="00070F0F">
      <w:pPr>
        <w:pStyle w:val="Heading1"/>
        <w:spacing w:before="120" w:after="120"/>
        <w:rPr>
          <w:sz w:val="40"/>
          <w:szCs w:val="40"/>
          <w:lang w:val="en-CA"/>
        </w:rPr>
      </w:pPr>
      <w:r w:rsidRPr="00070F0F">
        <w:rPr>
          <w:rFonts w:eastAsia="Times New Roman"/>
          <w:sz w:val="40"/>
          <w:szCs w:val="40"/>
        </w:rPr>
        <w:lastRenderedPageBreak/>
        <w:t>Population by occupational group as of March 31, 2020</w:t>
      </w:r>
    </w:p>
    <w:p w14:paraId="2E9815A5" w14:textId="77777777" w:rsidR="00070F0F" w:rsidRDefault="00717FC3" w:rsidP="00070F0F">
      <w:pPr>
        <w:keepNext/>
        <w:jc w:val="center"/>
      </w:pPr>
      <w:r w:rsidRPr="00264AD9">
        <w:rPr>
          <w:rFonts w:ascii="Segoe UI" w:hAnsi="Segoe UI" w:cs="Segoe UI"/>
          <w:noProof/>
          <w:lang w:val="en-CA" w:eastAsia="en-CA"/>
        </w:rPr>
        <w:drawing>
          <wp:inline distT="0" distB="0" distL="0" distR="0" wp14:anchorId="7D5B70F5" wp14:editId="0AA89E0C">
            <wp:extent cx="1980000" cy="3020400"/>
            <wp:effectExtent l="0" t="0" r="1270" b="8890"/>
            <wp:docPr id="5" name="Chart 5" descr="Population by occupational group as of March 31,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AF334D" w14:textId="3CF549C1" w:rsidR="00717FC3" w:rsidRPr="00070F0F" w:rsidRDefault="00070F0F" w:rsidP="00070F0F">
      <w:pPr>
        <w:pStyle w:val="Caption"/>
        <w:spacing w:after="0"/>
        <w:jc w:val="center"/>
        <w:rPr>
          <w:rFonts w:asciiTheme="minorHAnsi" w:hAnsiTheme="minorHAnsi" w:cstheme="minorHAnsi"/>
          <w:b/>
          <w:bCs/>
          <w:i w:val="0"/>
          <w:iCs w:val="0"/>
          <w:color w:val="auto"/>
          <w:szCs w:val="24"/>
          <w:lang w:val="en-CA"/>
        </w:rPr>
      </w:pPr>
      <w:r w:rsidRPr="00070F0F">
        <w:rPr>
          <w:rFonts w:asciiTheme="minorHAnsi" w:hAnsiTheme="minorHAnsi" w:cstheme="minorHAnsi"/>
          <w:i w:val="0"/>
          <w:iCs w:val="0"/>
          <w:color w:val="auto"/>
        </w:rPr>
        <w:t xml:space="preserve">Figure </w:t>
      </w:r>
      <w:r w:rsidRPr="00070F0F">
        <w:rPr>
          <w:rFonts w:asciiTheme="minorHAnsi" w:hAnsiTheme="minorHAnsi" w:cstheme="minorHAnsi"/>
          <w:i w:val="0"/>
          <w:iCs w:val="0"/>
          <w:color w:val="auto"/>
        </w:rPr>
        <w:fldChar w:fldCharType="begin"/>
      </w:r>
      <w:r w:rsidRPr="00070F0F">
        <w:rPr>
          <w:rFonts w:asciiTheme="minorHAnsi" w:hAnsiTheme="minorHAnsi" w:cstheme="minorHAnsi"/>
          <w:i w:val="0"/>
          <w:iCs w:val="0"/>
          <w:color w:val="auto"/>
        </w:rPr>
        <w:instrText xml:space="preserve"> SEQ Figure \* ARABIC </w:instrText>
      </w:r>
      <w:r w:rsidRPr="00070F0F">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3</w:t>
      </w:r>
      <w:r w:rsidRPr="00070F0F">
        <w:rPr>
          <w:rFonts w:asciiTheme="minorHAnsi" w:hAnsiTheme="minorHAnsi" w:cstheme="minorHAnsi"/>
          <w:i w:val="0"/>
          <w:iCs w:val="0"/>
          <w:color w:val="auto"/>
        </w:rPr>
        <w:fldChar w:fldCharType="end"/>
      </w:r>
      <w:r w:rsidRPr="00070F0F">
        <w:rPr>
          <w:rFonts w:asciiTheme="minorHAnsi" w:hAnsiTheme="minorHAnsi" w:cstheme="minorHAnsi"/>
          <w:i w:val="0"/>
          <w:iCs w:val="0"/>
          <w:color w:val="auto"/>
        </w:rPr>
        <w:t xml:space="preserve"> - Population by occupational group as of March 31, 2020</w:t>
      </w:r>
    </w:p>
    <w:p w14:paraId="06D18034" w14:textId="7FD05216" w:rsidR="00070F0F" w:rsidRPr="00070F0F" w:rsidRDefault="00070F0F" w:rsidP="00070F0F">
      <w:pPr>
        <w:pStyle w:val="Caption"/>
        <w:keepNext/>
        <w:spacing w:before="240" w:after="0"/>
        <w:jc w:val="center"/>
        <w:rPr>
          <w:rFonts w:asciiTheme="minorHAnsi" w:hAnsiTheme="minorHAnsi" w:cstheme="minorHAnsi"/>
          <w:i w:val="0"/>
          <w:iCs w:val="0"/>
          <w:color w:val="auto"/>
        </w:rPr>
      </w:pPr>
      <w:r w:rsidRPr="00070F0F">
        <w:rPr>
          <w:rFonts w:asciiTheme="minorHAnsi" w:hAnsiTheme="minorHAnsi" w:cstheme="minorHAnsi"/>
          <w:i w:val="0"/>
          <w:iCs w:val="0"/>
          <w:color w:val="auto"/>
        </w:rPr>
        <w:t xml:space="preserve">Table </w:t>
      </w:r>
      <w:r w:rsidRPr="00070F0F">
        <w:rPr>
          <w:rFonts w:asciiTheme="minorHAnsi" w:hAnsiTheme="minorHAnsi" w:cstheme="minorHAnsi"/>
          <w:i w:val="0"/>
          <w:iCs w:val="0"/>
          <w:color w:val="auto"/>
        </w:rPr>
        <w:fldChar w:fldCharType="begin"/>
      </w:r>
      <w:r w:rsidRPr="00070F0F">
        <w:rPr>
          <w:rFonts w:asciiTheme="minorHAnsi" w:hAnsiTheme="minorHAnsi" w:cstheme="minorHAnsi"/>
          <w:i w:val="0"/>
          <w:iCs w:val="0"/>
          <w:color w:val="auto"/>
        </w:rPr>
        <w:instrText xml:space="preserve"> SEQ Table \* ARABIC </w:instrText>
      </w:r>
      <w:r w:rsidRPr="00070F0F">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6</w:t>
      </w:r>
      <w:r w:rsidRPr="00070F0F">
        <w:rPr>
          <w:rFonts w:asciiTheme="minorHAnsi" w:hAnsiTheme="minorHAnsi" w:cstheme="minorHAnsi"/>
          <w:i w:val="0"/>
          <w:iCs w:val="0"/>
          <w:color w:val="auto"/>
        </w:rPr>
        <w:fldChar w:fldCharType="end"/>
      </w:r>
      <w:r w:rsidRPr="00070F0F">
        <w:rPr>
          <w:rFonts w:asciiTheme="minorHAnsi" w:hAnsiTheme="minorHAnsi" w:cstheme="minorHAnsi"/>
          <w:i w:val="0"/>
          <w:iCs w:val="0"/>
          <w:color w:val="auto"/>
        </w:rPr>
        <w:t xml:space="preserve"> - Top occupational groups, as a percentage of the </w:t>
      </w:r>
      <w:r w:rsidRPr="001A1F45">
        <w:rPr>
          <w:rStyle w:val="Emphasis"/>
          <w:rFonts w:asciiTheme="minorHAnsi" w:hAnsiTheme="minorHAnsi" w:cstheme="minorHAnsi"/>
          <w:i/>
          <w:iCs/>
          <w:color w:val="auto"/>
          <w:sz w:val="18"/>
        </w:rPr>
        <w:t>Public Service Employment Act</w:t>
      </w:r>
      <w:r w:rsidRPr="001A1F45">
        <w:rPr>
          <w:rFonts w:asciiTheme="minorHAnsi" w:hAnsiTheme="minorHAnsi" w:cstheme="minorHAnsi"/>
          <w:i w:val="0"/>
          <w:iCs w:val="0"/>
          <w:color w:val="auto"/>
        </w:rPr>
        <w:t xml:space="preserve"> population</w:t>
      </w:r>
      <w:r w:rsidRPr="00070F0F">
        <w:rPr>
          <w:rFonts w:asciiTheme="minorHAnsi" w:hAnsiTheme="minorHAnsi" w:cstheme="minorHAnsi"/>
          <w:i w:val="0"/>
          <w:iCs w:val="0"/>
          <w:color w:val="auto"/>
        </w:rPr>
        <w:t xml:space="preserve"> for fiscal year 2019 to 2020</w:t>
      </w:r>
    </w:p>
    <w:tbl>
      <w:tblPr>
        <w:tblStyle w:val="TableGrid"/>
        <w:tblW w:w="5000" w:type="pct"/>
        <w:jc w:val="center"/>
        <w:tblLook w:val="0020" w:firstRow="1" w:lastRow="0" w:firstColumn="0" w:lastColumn="0" w:noHBand="0" w:noVBand="0"/>
        <w:tblDescription w:val="Population by occupational group as of March 31, 2020"/>
      </w:tblPr>
      <w:tblGrid>
        <w:gridCol w:w="4720"/>
        <w:gridCol w:w="4254"/>
        <w:gridCol w:w="5416"/>
      </w:tblGrid>
      <w:tr w:rsidR="00070F0F" w:rsidRPr="00070F0F" w14:paraId="4ACB1528" w14:textId="77777777" w:rsidTr="001A1F45">
        <w:trPr>
          <w:cantSplit/>
          <w:trHeight w:val="290"/>
          <w:tblHeader/>
          <w:jc w:val="center"/>
        </w:trPr>
        <w:tc>
          <w:tcPr>
            <w:tcW w:w="1640" w:type="pct"/>
          </w:tcPr>
          <w:p w14:paraId="553E7C9B" w14:textId="77777777" w:rsidR="00C57C30" w:rsidRPr="00070F0F" w:rsidRDefault="00C57C30" w:rsidP="00070F0F">
            <w:pPr>
              <w:pStyle w:val="TableTitle"/>
              <w:rPr>
                <w:color w:val="auto"/>
                <w:sz w:val="22"/>
                <w:szCs w:val="22"/>
                <w:lang w:val="en-CA"/>
              </w:rPr>
            </w:pPr>
            <w:r w:rsidRPr="00070F0F">
              <w:rPr>
                <w:color w:val="auto"/>
                <w:sz w:val="22"/>
                <w:szCs w:val="22"/>
                <w:lang w:val="en-CA"/>
              </w:rPr>
              <w:t>Occupational group</w:t>
            </w:r>
          </w:p>
        </w:tc>
        <w:tc>
          <w:tcPr>
            <w:tcW w:w="1478" w:type="pct"/>
          </w:tcPr>
          <w:p w14:paraId="593F3307" w14:textId="77777777" w:rsidR="00C57C30" w:rsidRPr="00070F0F" w:rsidRDefault="00C57C30" w:rsidP="00070F0F">
            <w:pPr>
              <w:pStyle w:val="TableTitle"/>
              <w:rPr>
                <w:color w:val="auto"/>
                <w:sz w:val="22"/>
                <w:szCs w:val="22"/>
                <w:lang w:val="en-CA"/>
              </w:rPr>
            </w:pPr>
            <w:r w:rsidRPr="00070F0F">
              <w:rPr>
                <w:color w:val="auto"/>
                <w:sz w:val="22"/>
                <w:szCs w:val="22"/>
                <w:lang w:val="en-CA"/>
              </w:rPr>
              <w:t>Population as of March 31, 2020</w:t>
            </w:r>
          </w:p>
        </w:tc>
        <w:tc>
          <w:tcPr>
            <w:tcW w:w="1882" w:type="pct"/>
          </w:tcPr>
          <w:p w14:paraId="689582E2" w14:textId="77777777" w:rsidR="00C57C30" w:rsidRPr="00070F0F" w:rsidRDefault="00C57C30" w:rsidP="00070F0F">
            <w:pPr>
              <w:pStyle w:val="TableTitle"/>
              <w:rPr>
                <w:color w:val="auto"/>
                <w:sz w:val="22"/>
                <w:szCs w:val="22"/>
                <w:lang w:val="en-CA"/>
              </w:rPr>
            </w:pPr>
            <w:r w:rsidRPr="00070F0F">
              <w:rPr>
                <w:color w:val="auto"/>
                <w:sz w:val="22"/>
                <w:szCs w:val="22"/>
                <w:lang w:val="en-CA"/>
              </w:rPr>
              <w:t>Percentage of population as of March 31, 2020</w:t>
            </w:r>
          </w:p>
        </w:tc>
      </w:tr>
      <w:tr w:rsidR="00070F0F" w:rsidRPr="00070F0F" w14:paraId="514A12C0" w14:textId="77777777" w:rsidTr="001A1F45">
        <w:trPr>
          <w:cantSplit/>
          <w:trHeight w:val="290"/>
          <w:tblHeader/>
          <w:jc w:val="center"/>
        </w:trPr>
        <w:tc>
          <w:tcPr>
            <w:tcW w:w="1640" w:type="pct"/>
          </w:tcPr>
          <w:p w14:paraId="6BF77F70" w14:textId="77777777" w:rsidR="00C57C30" w:rsidRPr="00070F0F" w:rsidRDefault="00C57C30" w:rsidP="008C7A1D">
            <w:pPr>
              <w:autoSpaceDE w:val="0"/>
              <w:autoSpaceDN w:val="0"/>
              <w:adjustRightInd w:val="0"/>
              <w:rPr>
                <w:rFonts w:asciiTheme="minorHAnsi" w:hAnsiTheme="minorHAnsi" w:cstheme="minorHAnsi"/>
                <w:sz w:val="22"/>
                <w:szCs w:val="22"/>
                <w:lang w:val="en-CA"/>
              </w:rPr>
            </w:pPr>
            <w:r w:rsidRPr="00070F0F">
              <w:rPr>
                <w:rFonts w:asciiTheme="minorHAnsi" w:hAnsiTheme="minorHAnsi" w:cstheme="minorHAnsi"/>
                <w:sz w:val="22"/>
                <w:szCs w:val="22"/>
                <w:lang w:val="en-CA"/>
              </w:rPr>
              <w:t>NB – Canada Energy Regulator employees</w:t>
            </w:r>
          </w:p>
        </w:tc>
        <w:tc>
          <w:tcPr>
            <w:tcW w:w="1478" w:type="pct"/>
          </w:tcPr>
          <w:p w14:paraId="10E0D8B6" w14:textId="77777777" w:rsidR="00C57C30" w:rsidRPr="00070F0F" w:rsidRDefault="00C57C30" w:rsidP="008C7A1D">
            <w:pPr>
              <w:autoSpaceDE w:val="0"/>
              <w:autoSpaceDN w:val="0"/>
              <w:adjustRightInd w:val="0"/>
              <w:jc w:val="center"/>
              <w:rPr>
                <w:rFonts w:asciiTheme="minorHAnsi" w:hAnsiTheme="minorHAnsi" w:cstheme="minorHAnsi"/>
                <w:sz w:val="22"/>
                <w:szCs w:val="22"/>
                <w:lang w:val="en-CA"/>
              </w:rPr>
            </w:pPr>
            <w:r w:rsidRPr="00070F0F">
              <w:rPr>
                <w:rFonts w:asciiTheme="minorHAnsi" w:hAnsiTheme="minorHAnsi" w:cstheme="minorHAnsi"/>
                <w:sz w:val="22"/>
                <w:szCs w:val="22"/>
                <w:lang w:val="en-CA"/>
              </w:rPr>
              <w:t>500</w:t>
            </w:r>
          </w:p>
        </w:tc>
        <w:tc>
          <w:tcPr>
            <w:tcW w:w="1882" w:type="pct"/>
          </w:tcPr>
          <w:p w14:paraId="1CE67CAF" w14:textId="77777777" w:rsidR="00C57C30" w:rsidRPr="00070F0F" w:rsidRDefault="00C57C30" w:rsidP="008C7A1D">
            <w:pPr>
              <w:autoSpaceDE w:val="0"/>
              <w:autoSpaceDN w:val="0"/>
              <w:adjustRightInd w:val="0"/>
              <w:jc w:val="center"/>
              <w:rPr>
                <w:rFonts w:asciiTheme="minorHAnsi" w:hAnsiTheme="minorHAnsi" w:cstheme="minorHAnsi"/>
                <w:sz w:val="22"/>
                <w:szCs w:val="22"/>
                <w:lang w:val="en-CA"/>
              </w:rPr>
            </w:pPr>
            <w:r w:rsidRPr="00070F0F">
              <w:rPr>
                <w:rFonts w:asciiTheme="minorHAnsi" w:hAnsiTheme="minorHAnsi" w:cstheme="minorHAnsi"/>
                <w:sz w:val="22"/>
                <w:szCs w:val="22"/>
                <w:lang w:val="en-CA"/>
              </w:rPr>
              <w:t>100%</w:t>
            </w:r>
          </w:p>
        </w:tc>
      </w:tr>
    </w:tbl>
    <w:p w14:paraId="29BDE545" w14:textId="77777777" w:rsidR="00717FC3" w:rsidRPr="00264AD9" w:rsidRDefault="00717FC3" w:rsidP="0072395D">
      <w:pPr>
        <w:jc w:val="right"/>
        <w:rPr>
          <w:rFonts w:ascii="Segoe UI" w:hAnsi="Segoe UI" w:cs="Segoe UI"/>
          <w:b/>
          <w:bCs/>
          <w:szCs w:val="24"/>
          <w:lang w:val="en-CA"/>
        </w:rPr>
        <w:sectPr w:rsidR="00717FC3" w:rsidRPr="00264AD9" w:rsidSect="005A0BFA">
          <w:pgSz w:w="15840" w:h="12240" w:orient="landscape"/>
          <w:pgMar w:top="720" w:right="720" w:bottom="720" w:left="720" w:header="709" w:footer="284" w:gutter="0"/>
          <w:cols w:space="708"/>
          <w:titlePg/>
          <w:docGrid w:linePitch="360"/>
        </w:sectPr>
      </w:pPr>
    </w:p>
    <w:p w14:paraId="353F45F7" w14:textId="31241863" w:rsidR="00717FC3" w:rsidRPr="005A0BFA" w:rsidRDefault="005A0BFA" w:rsidP="005A0BFA">
      <w:pPr>
        <w:pStyle w:val="Heading1"/>
        <w:spacing w:before="120" w:after="120"/>
        <w:rPr>
          <w:sz w:val="40"/>
          <w:szCs w:val="40"/>
          <w:lang w:val="en-CA"/>
        </w:rPr>
      </w:pPr>
      <w:r w:rsidRPr="005A0BFA">
        <w:rPr>
          <w:sz w:val="40"/>
          <w:szCs w:val="40"/>
          <w:lang w:val="en-CA"/>
        </w:rPr>
        <w:lastRenderedPageBreak/>
        <w:t>Population by region as of March 31, 2020</w:t>
      </w:r>
    </w:p>
    <w:p w14:paraId="2D39DCB2" w14:textId="77777777" w:rsidR="005A0BFA" w:rsidRDefault="00717FC3" w:rsidP="005A0BFA">
      <w:pPr>
        <w:keepNext/>
        <w:jc w:val="center"/>
      </w:pPr>
      <w:r w:rsidRPr="00264AD9">
        <w:rPr>
          <w:rFonts w:ascii="Segoe UI" w:hAnsi="Segoe UI" w:cs="Segoe UI"/>
          <w:noProof/>
          <w:lang w:val="en-CA" w:eastAsia="en-CA"/>
        </w:rPr>
        <w:drawing>
          <wp:inline distT="0" distB="0" distL="0" distR="0" wp14:anchorId="6B721754" wp14:editId="3606A7CB">
            <wp:extent cx="1980000" cy="3020400"/>
            <wp:effectExtent l="0" t="0" r="1270" b="8890"/>
            <wp:docPr id="12" name="Chart 12" descr="Population by region as of March 31,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F4948F" w14:textId="7097063C" w:rsidR="00717FC3" w:rsidRPr="005A0BFA" w:rsidRDefault="005A0BFA" w:rsidP="005A0BFA">
      <w:pPr>
        <w:pStyle w:val="Caption"/>
        <w:spacing w:after="0"/>
        <w:jc w:val="center"/>
        <w:rPr>
          <w:rFonts w:asciiTheme="minorHAnsi" w:hAnsiTheme="minorHAnsi" w:cstheme="minorHAnsi"/>
          <w:b/>
          <w:bCs/>
          <w:i w:val="0"/>
          <w:iCs w:val="0"/>
          <w:color w:val="auto"/>
          <w:szCs w:val="24"/>
          <w:lang w:val="en-CA"/>
        </w:rPr>
      </w:pPr>
      <w:r w:rsidRPr="005A0BFA">
        <w:rPr>
          <w:rFonts w:asciiTheme="minorHAnsi" w:hAnsiTheme="minorHAnsi" w:cstheme="minorHAnsi"/>
          <w:i w:val="0"/>
          <w:iCs w:val="0"/>
          <w:color w:val="auto"/>
        </w:rPr>
        <w:t xml:space="preserve">Figure </w:t>
      </w:r>
      <w:r w:rsidRPr="005A0BFA">
        <w:rPr>
          <w:rFonts w:asciiTheme="minorHAnsi" w:hAnsiTheme="minorHAnsi" w:cstheme="minorHAnsi"/>
          <w:i w:val="0"/>
          <w:iCs w:val="0"/>
          <w:color w:val="auto"/>
        </w:rPr>
        <w:fldChar w:fldCharType="begin"/>
      </w:r>
      <w:r w:rsidRPr="005A0BFA">
        <w:rPr>
          <w:rFonts w:asciiTheme="minorHAnsi" w:hAnsiTheme="minorHAnsi" w:cstheme="minorHAnsi"/>
          <w:i w:val="0"/>
          <w:iCs w:val="0"/>
          <w:color w:val="auto"/>
        </w:rPr>
        <w:instrText xml:space="preserve"> SEQ Figure \* ARABIC </w:instrText>
      </w:r>
      <w:r w:rsidRPr="005A0BFA">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4</w:t>
      </w:r>
      <w:r w:rsidRPr="005A0BFA">
        <w:rPr>
          <w:rFonts w:asciiTheme="minorHAnsi" w:hAnsiTheme="minorHAnsi" w:cstheme="minorHAnsi"/>
          <w:i w:val="0"/>
          <w:iCs w:val="0"/>
          <w:color w:val="auto"/>
        </w:rPr>
        <w:fldChar w:fldCharType="end"/>
      </w:r>
      <w:r w:rsidRPr="005A0BFA">
        <w:rPr>
          <w:rFonts w:asciiTheme="minorHAnsi" w:hAnsiTheme="minorHAnsi" w:cstheme="minorHAnsi"/>
          <w:i w:val="0"/>
          <w:iCs w:val="0"/>
          <w:color w:val="auto"/>
        </w:rPr>
        <w:t xml:space="preserve"> - Population by region as of March 31, 2020</w:t>
      </w:r>
    </w:p>
    <w:p w14:paraId="3456B107" w14:textId="37B7F44F" w:rsidR="005A0BFA" w:rsidRPr="005A0BFA" w:rsidRDefault="005A0BFA" w:rsidP="005A0BFA">
      <w:pPr>
        <w:pStyle w:val="Caption"/>
        <w:keepNext/>
        <w:spacing w:before="240" w:after="0"/>
        <w:jc w:val="center"/>
        <w:rPr>
          <w:rFonts w:asciiTheme="minorHAnsi" w:hAnsiTheme="minorHAnsi" w:cstheme="minorHAnsi"/>
          <w:i w:val="0"/>
          <w:iCs w:val="0"/>
          <w:color w:val="auto"/>
        </w:rPr>
      </w:pPr>
      <w:r w:rsidRPr="005A0BFA">
        <w:rPr>
          <w:rFonts w:asciiTheme="minorHAnsi" w:hAnsiTheme="minorHAnsi" w:cstheme="minorHAnsi"/>
          <w:i w:val="0"/>
          <w:iCs w:val="0"/>
          <w:color w:val="auto"/>
        </w:rPr>
        <w:t xml:space="preserve">Table </w:t>
      </w:r>
      <w:r w:rsidRPr="005A0BFA">
        <w:rPr>
          <w:rFonts w:asciiTheme="minorHAnsi" w:hAnsiTheme="minorHAnsi" w:cstheme="minorHAnsi"/>
          <w:i w:val="0"/>
          <w:iCs w:val="0"/>
          <w:color w:val="auto"/>
        </w:rPr>
        <w:fldChar w:fldCharType="begin"/>
      </w:r>
      <w:r w:rsidRPr="005A0BFA">
        <w:rPr>
          <w:rFonts w:asciiTheme="minorHAnsi" w:hAnsiTheme="minorHAnsi" w:cstheme="minorHAnsi"/>
          <w:i w:val="0"/>
          <w:iCs w:val="0"/>
          <w:color w:val="auto"/>
        </w:rPr>
        <w:instrText xml:space="preserve"> SEQ Table \* ARABIC </w:instrText>
      </w:r>
      <w:r w:rsidRPr="005A0BFA">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7</w:t>
      </w:r>
      <w:r w:rsidRPr="005A0BFA">
        <w:rPr>
          <w:rFonts w:asciiTheme="minorHAnsi" w:hAnsiTheme="minorHAnsi" w:cstheme="minorHAnsi"/>
          <w:i w:val="0"/>
          <w:iCs w:val="0"/>
          <w:color w:val="auto"/>
        </w:rPr>
        <w:fldChar w:fldCharType="end"/>
      </w:r>
      <w:r w:rsidRPr="005A0BFA">
        <w:rPr>
          <w:rFonts w:asciiTheme="minorHAnsi" w:hAnsiTheme="minorHAnsi" w:cstheme="minorHAnsi"/>
          <w:i w:val="0"/>
          <w:iCs w:val="0"/>
          <w:color w:val="auto"/>
        </w:rPr>
        <w:t xml:space="preserve"> - Distribution by region, as a percentage of the </w:t>
      </w:r>
      <w:r w:rsidRPr="001A1F45">
        <w:rPr>
          <w:rStyle w:val="Emphasis"/>
          <w:rFonts w:asciiTheme="minorHAnsi" w:hAnsiTheme="minorHAnsi" w:cstheme="minorHAnsi"/>
          <w:i/>
          <w:iCs/>
          <w:color w:val="auto"/>
          <w:sz w:val="18"/>
        </w:rPr>
        <w:t>Public Service Employment Act</w:t>
      </w:r>
      <w:r w:rsidRPr="001A1F45">
        <w:rPr>
          <w:rFonts w:asciiTheme="minorHAnsi" w:hAnsiTheme="minorHAnsi" w:cstheme="minorHAnsi"/>
          <w:i w:val="0"/>
          <w:iCs w:val="0"/>
          <w:color w:val="auto"/>
          <w:sz w:val="20"/>
          <w:szCs w:val="20"/>
        </w:rPr>
        <w:t xml:space="preserve"> </w:t>
      </w:r>
      <w:r w:rsidRPr="005A0BFA">
        <w:rPr>
          <w:rFonts w:asciiTheme="minorHAnsi" w:hAnsiTheme="minorHAnsi" w:cstheme="minorHAnsi"/>
          <w:i w:val="0"/>
          <w:iCs w:val="0"/>
          <w:color w:val="auto"/>
        </w:rPr>
        <w:t>population for fiscal year 2019 to 2020</w:t>
      </w:r>
    </w:p>
    <w:tbl>
      <w:tblPr>
        <w:tblStyle w:val="TableGrid"/>
        <w:tblW w:w="5000" w:type="pct"/>
        <w:jc w:val="center"/>
        <w:tblLook w:val="0020" w:firstRow="1" w:lastRow="0" w:firstColumn="0" w:lastColumn="0" w:noHBand="0" w:noVBand="0"/>
        <w:tblDescription w:val="Population by region as of March 31, 2020"/>
      </w:tblPr>
      <w:tblGrid>
        <w:gridCol w:w="3114"/>
        <w:gridCol w:w="5670"/>
        <w:gridCol w:w="5606"/>
      </w:tblGrid>
      <w:tr w:rsidR="005A0BFA" w:rsidRPr="005A0BFA" w14:paraId="41D849C8" w14:textId="77777777" w:rsidTr="00A84016">
        <w:trPr>
          <w:cantSplit/>
          <w:trHeight w:val="290"/>
          <w:tblHeader/>
          <w:jc w:val="center"/>
        </w:trPr>
        <w:tc>
          <w:tcPr>
            <w:tcW w:w="1082" w:type="pct"/>
          </w:tcPr>
          <w:p w14:paraId="1E59F491" w14:textId="77777777" w:rsidR="00C57C30" w:rsidRPr="005A0BFA" w:rsidRDefault="00C57C30" w:rsidP="005A0BFA">
            <w:pPr>
              <w:pStyle w:val="TableTitle"/>
              <w:rPr>
                <w:color w:val="auto"/>
                <w:sz w:val="22"/>
                <w:szCs w:val="22"/>
                <w:lang w:val="en-CA"/>
              </w:rPr>
            </w:pPr>
            <w:r w:rsidRPr="005A0BFA">
              <w:rPr>
                <w:color w:val="auto"/>
                <w:sz w:val="22"/>
                <w:szCs w:val="22"/>
                <w:lang w:val="en-CA"/>
              </w:rPr>
              <w:t>Region</w:t>
            </w:r>
          </w:p>
        </w:tc>
        <w:tc>
          <w:tcPr>
            <w:tcW w:w="1970" w:type="pct"/>
          </w:tcPr>
          <w:p w14:paraId="7C081B11" w14:textId="77777777" w:rsidR="00C57C30" w:rsidRPr="005A0BFA" w:rsidRDefault="00C57C30" w:rsidP="005A0BFA">
            <w:pPr>
              <w:pStyle w:val="TableTitle"/>
              <w:rPr>
                <w:color w:val="auto"/>
                <w:sz w:val="22"/>
                <w:szCs w:val="22"/>
                <w:lang w:val="en-CA"/>
              </w:rPr>
            </w:pPr>
            <w:r w:rsidRPr="005A0BFA">
              <w:rPr>
                <w:color w:val="auto"/>
                <w:sz w:val="22"/>
                <w:szCs w:val="22"/>
                <w:lang w:val="en-CA"/>
              </w:rPr>
              <w:t>Population as of March 31, 2020</w:t>
            </w:r>
          </w:p>
        </w:tc>
        <w:tc>
          <w:tcPr>
            <w:tcW w:w="1948" w:type="pct"/>
          </w:tcPr>
          <w:p w14:paraId="5E035B74" w14:textId="77777777" w:rsidR="00C57C30" w:rsidRPr="005A0BFA" w:rsidRDefault="00C57C30" w:rsidP="005A0BFA">
            <w:pPr>
              <w:pStyle w:val="TableTitle"/>
              <w:rPr>
                <w:color w:val="auto"/>
                <w:sz w:val="22"/>
                <w:szCs w:val="22"/>
                <w:lang w:val="en-CA"/>
              </w:rPr>
            </w:pPr>
            <w:r w:rsidRPr="005A0BFA">
              <w:rPr>
                <w:color w:val="auto"/>
                <w:sz w:val="22"/>
                <w:szCs w:val="22"/>
                <w:lang w:val="en-CA"/>
              </w:rPr>
              <w:t>Percentage of population as of March 31, 2020</w:t>
            </w:r>
          </w:p>
        </w:tc>
      </w:tr>
      <w:tr w:rsidR="005A0BFA" w:rsidRPr="005A0BFA" w14:paraId="62E70CB6" w14:textId="77777777" w:rsidTr="00A84016">
        <w:trPr>
          <w:cantSplit/>
          <w:trHeight w:val="290"/>
          <w:tblHeader/>
          <w:jc w:val="center"/>
        </w:trPr>
        <w:tc>
          <w:tcPr>
            <w:tcW w:w="1082" w:type="pct"/>
          </w:tcPr>
          <w:p w14:paraId="219352ED"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National Capital Region (NCR)</w:t>
            </w:r>
          </w:p>
        </w:tc>
        <w:tc>
          <w:tcPr>
            <w:tcW w:w="1970" w:type="pct"/>
          </w:tcPr>
          <w:p w14:paraId="2BE11CB3"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c>
          <w:tcPr>
            <w:tcW w:w="1948" w:type="pct"/>
          </w:tcPr>
          <w:p w14:paraId="7616C741"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r>
      <w:tr w:rsidR="005A0BFA" w:rsidRPr="005A0BFA" w14:paraId="4A16A7B8" w14:textId="77777777" w:rsidTr="00A84016">
        <w:trPr>
          <w:cantSplit/>
          <w:trHeight w:val="290"/>
          <w:tblHeader/>
          <w:jc w:val="center"/>
        </w:trPr>
        <w:tc>
          <w:tcPr>
            <w:tcW w:w="1082" w:type="pct"/>
          </w:tcPr>
          <w:p w14:paraId="54DF84F2"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Non-NCR</w:t>
            </w:r>
          </w:p>
        </w:tc>
        <w:tc>
          <w:tcPr>
            <w:tcW w:w="1970" w:type="pct"/>
          </w:tcPr>
          <w:p w14:paraId="1DFC2829"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500</w:t>
            </w:r>
          </w:p>
        </w:tc>
        <w:tc>
          <w:tcPr>
            <w:tcW w:w="1948" w:type="pct"/>
          </w:tcPr>
          <w:p w14:paraId="6D9D641D"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r w:rsidR="005A0BFA" w:rsidRPr="005A0BFA" w14:paraId="2E5F025A" w14:textId="77777777" w:rsidTr="00A84016">
        <w:trPr>
          <w:cantSplit/>
          <w:trHeight w:val="290"/>
          <w:tblHeader/>
          <w:jc w:val="center"/>
        </w:trPr>
        <w:tc>
          <w:tcPr>
            <w:tcW w:w="1082" w:type="pct"/>
          </w:tcPr>
          <w:p w14:paraId="622D08FF"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Unknown</w:t>
            </w:r>
          </w:p>
        </w:tc>
        <w:tc>
          <w:tcPr>
            <w:tcW w:w="1970" w:type="pct"/>
          </w:tcPr>
          <w:p w14:paraId="74BEFF97"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c>
          <w:tcPr>
            <w:tcW w:w="1948" w:type="pct"/>
          </w:tcPr>
          <w:p w14:paraId="5E6045B4" w14:textId="146CBC8D" w:rsidR="00C57C30" w:rsidRPr="005A0BFA" w:rsidRDefault="005A0BFA" w:rsidP="008C7A1D">
            <w:pPr>
              <w:autoSpaceDE w:val="0"/>
              <w:autoSpaceDN w:val="0"/>
              <w:adjustRightInd w:val="0"/>
              <w:jc w:val="center"/>
              <w:rPr>
                <w:rFonts w:asciiTheme="minorHAnsi" w:hAnsiTheme="minorHAnsi" w:cstheme="minorHAnsi"/>
                <w:sz w:val="22"/>
                <w:szCs w:val="22"/>
                <w:lang w:val="en-CA"/>
              </w:rPr>
            </w:pPr>
            <w:r>
              <w:rPr>
                <w:rFonts w:asciiTheme="minorHAnsi" w:hAnsiTheme="minorHAnsi" w:cstheme="minorHAnsi"/>
                <w:sz w:val="22"/>
                <w:szCs w:val="22"/>
                <w:lang w:val="en-CA"/>
              </w:rPr>
              <w:t>0%</w:t>
            </w:r>
          </w:p>
        </w:tc>
      </w:tr>
    </w:tbl>
    <w:p w14:paraId="1C5FAD2D" w14:textId="77777777" w:rsidR="00717FC3" w:rsidRPr="00264AD9" w:rsidRDefault="00717FC3" w:rsidP="0072395D">
      <w:pPr>
        <w:jc w:val="right"/>
        <w:rPr>
          <w:rFonts w:ascii="Segoe UI" w:hAnsi="Segoe UI" w:cs="Segoe UI"/>
          <w:b/>
          <w:bCs/>
          <w:szCs w:val="24"/>
          <w:lang w:val="en-CA"/>
        </w:rPr>
        <w:sectPr w:rsidR="00717FC3" w:rsidRPr="00264AD9" w:rsidSect="005A0BFA">
          <w:pgSz w:w="15840" w:h="12240" w:orient="landscape"/>
          <w:pgMar w:top="720" w:right="720" w:bottom="720" w:left="720" w:header="709" w:footer="284" w:gutter="0"/>
          <w:cols w:space="708"/>
          <w:titlePg/>
          <w:docGrid w:linePitch="360"/>
        </w:sectPr>
      </w:pPr>
    </w:p>
    <w:p w14:paraId="65BCBF3E" w14:textId="0E0B7C78" w:rsidR="005A0BFA" w:rsidRPr="005A0BFA" w:rsidRDefault="005A0BFA" w:rsidP="005A0BFA">
      <w:pPr>
        <w:pStyle w:val="Heading1"/>
        <w:spacing w:before="120" w:after="120"/>
        <w:rPr>
          <w:sz w:val="40"/>
          <w:szCs w:val="40"/>
          <w:lang w:val="en-CA"/>
        </w:rPr>
      </w:pPr>
      <w:r w:rsidRPr="005A0BFA">
        <w:rPr>
          <w:rFonts w:eastAsia="Times New Roman"/>
          <w:sz w:val="40"/>
          <w:szCs w:val="40"/>
        </w:rPr>
        <w:lastRenderedPageBreak/>
        <w:t>External indeterminate hires by occupational group, 2019-20</w:t>
      </w:r>
      <w:r w:rsidRPr="005A0BFA">
        <w:rPr>
          <w:sz w:val="40"/>
          <w:szCs w:val="40"/>
        </w:rPr>
        <w:t>20</w:t>
      </w:r>
    </w:p>
    <w:p w14:paraId="6E019C6D" w14:textId="77777777" w:rsidR="005A0BFA" w:rsidRDefault="00C57C30" w:rsidP="005A0BFA">
      <w:pPr>
        <w:keepNext/>
        <w:jc w:val="center"/>
      </w:pPr>
      <w:r w:rsidRPr="00253093">
        <w:rPr>
          <w:rFonts w:ascii="Segoe UI" w:hAnsi="Segoe UI" w:cs="Segoe UI"/>
          <w:noProof/>
          <w:lang w:val="en-CA" w:eastAsia="en-CA"/>
        </w:rPr>
        <w:drawing>
          <wp:inline distT="0" distB="0" distL="0" distR="0" wp14:anchorId="33B882E6" wp14:editId="73B391B3">
            <wp:extent cx="1980000" cy="3020400"/>
            <wp:effectExtent l="0" t="0" r="1270" b="8890"/>
            <wp:docPr id="7" name="Chart 7" descr="External indeterminate hires by &#10;occupational group, 2019-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C5B0B3" w14:textId="5D981BA5" w:rsidR="00717FC3" w:rsidRPr="005A0BFA" w:rsidRDefault="005A0BFA" w:rsidP="005A0BFA">
      <w:pPr>
        <w:pStyle w:val="Caption"/>
        <w:spacing w:after="0"/>
        <w:jc w:val="center"/>
        <w:rPr>
          <w:rFonts w:asciiTheme="minorHAnsi" w:hAnsiTheme="minorHAnsi" w:cstheme="minorHAnsi"/>
          <w:b/>
          <w:bCs/>
          <w:i w:val="0"/>
          <w:iCs w:val="0"/>
          <w:color w:val="auto"/>
          <w:szCs w:val="24"/>
          <w:lang w:val="en-CA"/>
        </w:rPr>
      </w:pPr>
      <w:r w:rsidRPr="005A0BFA">
        <w:rPr>
          <w:rFonts w:asciiTheme="minorHAnsi" w:hAnsiTheme="minorHAnsi" w:cstheme="minorHAnsi"/>
          <w:i w:val="0"/>
          <w:iCs w:val="0"/>
          <w:color w:val="auto"/>
        </w:rPr>
        <w:t xml:space="preserve">Figure </w:t>
      </w:r>
      <w:r w:rsidRPr="005A0BFA">
        <w:rPr>
          <w:rFonts w:asciiTheme="minorHAnsi" w:hAnsiTheme="minorHAnsi" w:cstheme="minorHAnsi"/>
          <w:i w:val="0"/>
          <w:iCs w:val="0"/>
          <w:color w:val="auto"/>
        </w:rPr>
        <w:fldChar w:fldCharType="begin"/>
      </w:r>
      <w:r w:rsidRPr="005A0BFA">
        <w:rPr>
          <w:rFonts w:asciiTheme="minorHAnsi" w:hAnsiTheme="minorHAnsi" w:cstheme="minorHAnsi"/>
          <w:i w:val="0"/>
          <w:iCs w:val="0"/>
          <w:color w:val="auto"/>
        </w:rPr>
        <w:instrText xml:space="preserve"> SEQ Figure \* ARABIC </w:instrText>
      </w:r>
      <w:r w:rsidRPr="005A0BFA">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5</w:t>
      </w:r>
      <w:r w:rsidRPr="005A0BFA">
        <w:rPr>
          <w:rFonts w:asciiTheme="minorHAnsi" w:hAnsiTheme="minorHAnsi" w:cstheme="minorHAnsi"/>
          <w:i w:val="0"/>
          <w:iCs w:val="0"/>
          <w:color w:val="auto"/>
        </w:rPr>
        <w:fldChar w:fldCharType="end"/>
      </w:r>
      <w:r w:rsidRPr="005A0BFA">
        <w:rPr>
          <w:rFonts w:asciiTheme="minorHAnsi" w:hAnsiTheme="minorHAnsi" w:cstheme="minorHAnsi"/>
          <w:i w:val="0"/>
          <w:iCs w:val="0"/>
          <w:color w:val="auto"/>
        </w:rPr>
        <w:t xml:space="preserve"> - External indeterminate hires by occupational group, 2019-20</w:t>
      </w:r>
    </w:p>
    <w:p w14:paraId="268A8FC5" w14:textId="5D0A55F2" w:rsidR="005A0BFA" w:rsidRPr="005A0BFA" w:rsidRDefault="005A0BFA" w:rsidP="005A0BFA">
      <w:pPr>
        <w:pStyle w:val="Caption"/>
        <w:keepNext/>
        <w:spacing w:before="240" w:after="0"/>
        <w:jc w:val="center"/>
        <w:rPr>
          <w:rFonts w:asciiTheme="minorHAnsi" w:hAnsiTheme="minorHAnsi" w:cstheme="minorHAnsi"/>
          <w:i w:val="0"/>
          <w:iCs w:val="0"/>
          <w:color w:val="auto"/>
        </w:rPr>
      </w:pPr>
      <w:r w:rsidRPr="005A0BFA">
        <w:rPr>
          <w:rFonts w:asciiTheme="minorHAnsi" w:hAnsiTheme="minorHAnsi" w:cstheme="minorHAnsi"/>
          <w:i w:val="0"/>
          <w:iCs w:val="0"/>
          <w:color w:val="auto"/>
        </w:rPr>
        <w:t xml:space="preserve">Table </w:t>
      </w:r>
      <w:r w:rsidRPr="005A0BFA">
        <w:rPr>
          <w:rFonts w:asciiTheme="minorHAnsi" w:hAnsiTheme="minorHAnsi" w:cstheme="minorHAnsi"/>
          <w:i w:val="0"/>
          <w:iCs w:val="0"/>
          <w:color w:val="auto"/>
        </w:rPr>
        <w:fldChar w:fldCharType="begin"/>
      </w:r>
      <w:r w:rsidRPr="005A0BFA">
        <w:rPr>
          <w:rFonts w:asciiTheme="minorHAnsi" w:hAnsiTheme="minorHAnsi" w:cstheme="minorHAnsi"/>
          <w:i w:val="0"/>
          <w:iCs w:val="0"/>
          <w:color w:val="auto"/>
        </w:rPr>
        <w:instrText xml:space="preserve"> SEQ Table \* ARABIC </w:instrText>
      </w:r>
      <w:r w:rsidRPr="005A0BFA">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8</w:t>
      </w:r>
      <w:r w:rsidRPr="005A0BFA">
        <w:rPr>
          <w:rFonts w:asciiTheme="minorHAnsi" w:hAnsiTheme="minorHAnsi" w:cstheme="minorHAnsi"/>
          <w:i w:val="0"/>
          <w:iCs w:val="0"/>
          <w:color w:val="auto"/>
        </w:rPr>
        <w:fldChar w:fldCharType="end"/>
      </w:r>
      <w:r w:rsidRPr="005A0BFA">
        <w:rPr>
          <w:rFonts w:asciiTheme="minorHAnsi" w:hAnsiTheme="minorHAnsi" w:cstheme="minorHAnsi"/>
          <w:i w:val="0"/>
          <w:iCs w:val="0"/>
          <w:color w:val="auto"/>
        </w:rPr>
        <w:t xml:space="preserve"> - External indeterminate hires by top occupational groups, for fiscal year 2019 to 2020</w:t>
      </w:r>
    </w:p>
    <w:tbl>
      <w:tblPr>
        <w:tblStyle w:val="TableGrid"/>
        <w:tblW w:w="5000" w:type="pct"/>
        <w:jc w:val="center"/>
        <w:tblLook w:val="0020" w:firstRow="1" w:lastRow="0" w:firstColumn="0" w:lastColumn="0" w:noHBand="0" w:noVBand="0"/>
        <w:tblDescription w:val="External indeterminate hires by occupational group, 2019-2020"/>
      </w:tblPr>
      <w:tblGrid>
        <w:gridCol w:w="3255"/>
        <w:gridCol w:w="5529"/>
        <w:gridCol w:w="5606"/>
      </w:tblGrid>
      <w:tr w:rsidR="005A0BFA" w:rsidRPr="005A0BFA" w14:paraId="06AC1DDD" w14:textId="77777777" w:rsidTr="00A84016">
        <w:trPr>
          <w:cantSplit/>
          <w:trHeight w:val="290"/>
          <w:tblHeader/>
          <w:jc w:val="center"/>
        </w:trPr>
        <w:tc>
          <w:tcPr>
            <w:tcW w:w="1131" w:type="pct"/>
          </w:tcPr>
          <w:p w14:paraId="6114C99F" w14:textId="77777777" w:rsidR="00C57C30" w:rsidRPr="005A0BFA" w:rsidRDefault="00C57C30" w:rsidP="005A0BFA">
            <w:pPr>
              <w:pStyle w:val="TableTitle"/>
              <w:rPr>
                <w:color w:val="auto"/>
                <w:sz w:val="22"/>
                <w:szCs w:val="22"/>
                <w:lang w:val="en-CA"/>
              </w:rPr>
            </w:pPr>
            <w:r w:rsidRPr="005A0BFA">
              <w:rPr>
                <w:color w:val="auto"/>
                <w:sz w:val="22"/>
                <w:szCs w:val="22"/>
                <w:lang w:val="en-CA"/>
              </w:rPr>
              <w:t>Occupational group</w:t>
            </w:r>
          </w:p>
        </w:tc>
        <w:tc>
          <w:tcPr>
            <w:tcW w:w="1921" w:type="pct"/>
          </w:tcPr>
          <w:p w14:paraId="7587C9E7" w14:textId="77777777" w:rsidR="00C57C30" w:rsidRPr="005A0BFA" w:rsidRDefault="00C57C30" w:rsidP="005A0BFA">
            <w:pPr>
              <w:pStyle w:val="TableTitle"/>
              <w:rPr>
                <w:color w:val="auto"/>
                <w:sz w:val="22"/>
                <w:szCs w:val="22"/>
                <w:lang w:val="en-CA"/>
              </w:rPr>
            </w:pPr>
            <w:r w:rsidRPr="005A0BFA">
              <w:rPr>
                <w:color w:val="auto"/>
                <w:sz w:val="22"/>
                <w:szCs w:val="22"/>
                <w:lang w:val="en-CA"/>
              </w:rPr>
              <w:t xml:space="preserve">Number of indeterminate hiring activities </w:t>
            </w:r>
          </w:p>
        </w:tc>
        <w:tc>
          <w:tcPr>
            <w:tcW w:w="1948" w:type="pct"/>
          </w:tcPr>
          <w:p w14:paraId="75598765" w14:textId="77777777" w:rsidR="00C57C30" w:rsidRPr="005A0BFA" w:rsidRDefault="00C57C30" w:rsidP="005A0BFA">
            <w:pPr>
              <w:pStyle w:val="TableTitle"/>
              <w:rPr>
                <w:color w:val="auto"/>
                <w:sz w:val="22"/>
                <w:szCs w:val="22"/>
                <w:lang w:val="en-CA"/>
              </w:rPr>
            </w:pPr>
            <w:r w:rsidRPr="005A0BFA">
              <w:rPr>
                <w:color w:val="auto"/>
                <w:sz w:val="22"/>
                <w:szCs w:val="22"/>
                <w:lang w:val="en-CA"/>
              </w:rPr>
              <w:t>Percentage of all indeterminate hiring activities</w:t>
            </w:r>
          </w:p>
        </w:tc>
      </w:tr>
      <w:tr w:rsidR="005A0BFA" w:rsidRPr="005A0BFA" w14:paraId="795530E4" w14:textId="77777777" w:rsidTr="00A84016">
        <w:trPr>
          <w:cantSplit/>
          <w:trHeight w:val="290"/>
          <w:tblHeader/>
          <w:jc w:val="center"/>
        </w:trPr>
        <w:tc>
          <w:tcPr>
            <w:tcW w:w="1131" w:type="pct"/>
          </w:tcPr>
          <w:p w14:paraId="1402579E" w14:textId="77777777" w:rsidR="00C57C30" w:rsidRPr="005A0BFA" w:rsidRDefault="00C57C30" w:rsidP="008C7A1D">
            <w:pPr>
              <w:autoSpaceDE w:val="0"/>
              <w:autoSpaceDN w:val="0"/>
              <w:adjustRightInd w:val="0"/>
              <w:rPr>
                <w:rFonts w:asciiTheme="minorHAnsi" w:hAnsiTheme="minorHAnsi" w:cstheme="minorHAnsi"/>
                <w:sz w:val="22"/>
                <w:szCs w:val="22"/>
                <w:highlight w:val="yellow"/>
                <w:lang w:val="en-CA"/>
              </w:rPr>
            </w:pPr>
            <w:r w:rsidRPr="005A0BFA">
              <w:rPr>
                <w:rFonts w:asciiTheme="minorHAnsi" w:hAnsiTheme="minorHAnsi" w:cstheme="minorHAnsi"/>
                <w:sz w:val="22"/>
                <w:szCs w:val="22"/>
                <w:lang w:val="en-CA"/>
              </w:rPr>
              <w:t>NB – Canada Energy Regulator employees</w:t>
            </w:r>
          </w:p>
        </w:tc>
        <w:tc>
          <w:tcPr>
            <w:tcW w:w="1921" w:type="pct"/>
          </w:tcPr>
          <w:p w14:paraId="38E801F2"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11</w:t>
            </w:r>
          </w:p>
        </w:tc>
        <w:tc>
          <w:tcPr>
            <w:tcW w:w="1948" w:type="pct"/>
          </w:tcPr>
          <w:p w14:paraId="379F6793"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r w:rsidR="005A0BFA" w:rsidRPr="005A0BFA" w14:paraId="7257D785" w14:textId="77777777" w:rsidTr="00A84016">
        <w:trPr>
          <w:cantSplit/>
          <w:trHeight w:val="290"/>
          <w:tblHeader/>
          <w:jc w:val="center"/>
        </w:trPr>
        <w:tc>
          <w:tcPr>
            <w:tcW w:w="1131" w:type="pct"/>
          </w:tcPr>
          <w:p w14:paraId="54418766"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Total</w:t>
            </w:r>
          </w:p>
        </w:tc>
        <w:tc>
          <w:tcPr>
            <w:tcW w:w="1921" w:type="pct"/>
          </w:tcPr>
          <w:p w14:paraId="70F43589"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11</w:t>
            </w:r>
          </w:p>
        </w:tc>
        <w:tc>
          <w:tcPr>
            <w:tcW w:w="1948" w:type="pct"/>
          </w:tcPr>
          <w:p w14:paraId="63B6AEAC"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bl>
    <w:p w14:paraId="0AE3DFF2" w14:textId="77777777" w:rsidR="005A0BFA" w:rsidRPr="005A0BFA" w:rsidRDefault="005A0BFA" w:rsidP="008721DC">
      <w:pPr>
        <w:pStyle w:val="Heading1"/>
        <w:spacing w:before="120" w:after="120"/>
        <w:rPr>
          <w:sz w:val="40"/>
          <w:szCs w:val="40"/>
          <w:lang w:val="fr-CA"/>
        </w:rPr>
      </w:pPr>
      <w:r w:rsidRPr="005A0BFA">
        <w:rPr>
          <w:rFonts w:eastAsia="Times New Roman"/>
          <w:sz w:val="40"/>
          <w:szCs w:val="40"/>
          <w:lang w:val="en-CA"/>
        </w:rPr>
        <w:lastRenderedPageBreak/>
        <w:t>Staffing by region</w:t>
      </w:r>
    </w:p>
    <w:p w14:paraId="111EB060" w14:textId="77777777" w:rsidR="005A0BFA" w:rsidRDefault="00C57C30" w:rsidP="005A0BFA">
      <w:pPr>
        <w:keepNext/>
        <w:jc w:val="center"/>
      </w:pPr>
      <w:r w:rsidRPr="00253093">
        <w:rPr>
          <w:rFonts w:ascii="Segoe UI" w:hAnsi="Segoe UI" w:cs="Segoe UI"/>
          <w:noProof/>
          <w:lang w:val="en-CA" w:eastAsia="en-CA"/>
        </w:rPr>
        <w:drawing>
          <wp:inline distT="0" distB="0" distL="0" distR="0" wp14:anchorId="3CA7271B" wp14:editId="614CE616">
            <wp:extent cx="5648400" cy="3049200"/>
            <wp:effectExtent l="0" t="0" r="9525" b="18415"/>
            <wp:docPr id="6" name="Chart 6" descr="Staffing by region&#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C58693" w14:textId="684228D8" w:rsidR="00C57C30" w:rsidRPr="005A0BFA" w:rsidRDefault="005A0BFA" w:rsidP="005A0BFA">
      <w:pPr>
        <w:pStyle w:val="Caption"/>
        <w:spacing w:after="0"/>
        <w:jc w:val="center"/>
        <w:rPr>
          <w:rFonts w:asciiTheme="minorHAnsi" w:hAnsiTheme="minorHAnsi" w:cstheme="minorHAnsi"/>
          <w:b/>
          <w:bCs/>
          <w:i w:val="0"/>
          <w:iCs w:val="0"/>
          <w:color w:val="auto"/>
          <w:szCs w:val="24"/>
          <w:lang w:val="en-CA"/>
        </w:rPr>
      </w:pPr>
      <w:r w:rsidRPr="005A0BFA">
        <w:rPr>
          <w:rFonts w:asciiTheme="minorHAnsi" w:hAnsiTheme="minorHAnsi" w:cstheme="minorHAnsi"/>
          <w:i w:val="0"/>
          <w:iCs w:val="0"/>
          <w:color w:val="auto"/>
        </w:rPr>
        <w:t xml:space="preserve">Figure </w:t>
      </w:r>
      <w:r w:rsidRPr="005A0BFA">
        <w:rPr>
          <w:rFonts w:asciiTheme="minorHAnsi" w:hAnsiTheme="minorHAnsi" w:cstheme="minorHAnsi"/>
          <w:i w:val="0"/>
          <w:iCs w:val="0"/>
          <w:color w:val="auto"/>
        </w:rPr>
        <w:fldChar w:fldCharType="begin"/>
      </w:r>
      <w:r w:rsidRPr="005A0BFA">
        <w:rPr>
          <w:rFonts w:asciiTheme="minorHAnsi" w:hAnsiTheme="minorHAnsi" w:cstheme="minorHAnsi"/>
          <w:i w:val="0"/>
          <w:iCs w:val="0"/>
          <w:color w:val="auto"/>
        </w:rPr>
        <w:instrText xml:space="preserve"> SEQ Figure \* ARABIC </w:instrText>
      </w:r>
      <w:r w:rsidRPr="005A0BFA">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6</w:t>
      </w:r>
      <w:r w:rsidRPr="005A0BFA">
        <w:rPr>
          <w:rFonts w:asciiTheme="minorHAnsi" w:hAnsiTheme="minorHAnsi" w:cstheme="minorHAnsi"/>
          <w:i w:val="0"/>
          <w:iCs w:val="0"/>
          <w:color w:val="auto"/>
        </w:rPr>
        <w:fldChar w:fldCharType="end"/>
      </w:r>
      <w:r w:rsidRPr="005A0BFA">
        <w:rPr>
          <w:rFonts w:asciiTheme="minorHAnsi" w:hAnsiTheme="minorHAnsi" w:cstheme="minorHAnsi"/>
          <w:i w:val="0"/>
          <w:iCs w:val="0"/>
          <w:color w:val="auto"/>
        </w:rPr>
        <w:t xml:space="preserve"> - Staffing by region</w:t>
      </w:r>
    </w:p>
    <w:p w14:paraId="6C6ACE1D" w14:textId="6C1BDB57" w:rsidR="005A0BFA" w:rsidRPr="005A0BFA" w:rsidRDefault="005A0BFA" w:rsidP="005A0BFA">
      <w:pPr>
        <w:pStyle w:val="Caption"/>
        <w:keepNext/>
        <w:spacing w:before="240" w:after="0"/>
        <w:jc w:val="center"/>
        <w:rPr>
          <w:rFonts w:asciiTheme="minorHAnsi" w:hAnsiTheme="minorHAnsi" w:cstheme="minorHAnsi"/>
          <w:i w:val="0"/>
          <w:iCs w:val="0"/>
          <w:color w:val="auto"/>
        </w:rPr>
      </w:pPr>
      <w:r w:rsidRPr="005A0BFA">
        <w:rPr>
          <w:rFonts w:asciiTheme="minorHAnsi" w:hAnsiTheme="minorHAnsi" w:cstheme="minorHAnsi"/>
          <w:i w:val="0"/>
          <w:iCs w:val="0"/>
          <w:color w:val="auto"/>
        </w:rPr>
        <w:t xml:space="preserve">Table </w:t>
      </w:r>
      <w:r w:rsidRPr="005A0BFA">
        <w:rPr>
          <w:rFonts w:asciiTheme="minorHAnsi" w:hAnsiTheme="minorHAnsi" w:cstheme="minorHAnsi"/>
          <w:i w:val="0"/>
          <w:iCs w:val="0"/>
          <w:color w:val="auto"/>
        </w:rPr>
        <w:fldChar w:fldCharType="begin"/>
      </w:r>
      <w:r w:rsidRPr="005A0BFA">
        <w:rPr>
          <w:rFonts w:asciiTheme="minorHAnsi" w:hAnsiTheme="minorHAnsi" w:cstheme="minorHAnsi"/>
          <w:i w:val="0"/>
          <w:iCs w:val="0"/>
          <w:color w:val="auto"/>
        </w:rPr>
        <w:instrText xml:space="preserve"> SEQ Table \* ARABIC </w:instrText>
      </w:r>
      <w:r w:rsidRPr="005A0BFA">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9</w:t>
      </w:r>
      <w:r w:rsidRPr="005A0BFA">
        <w:rPr>
          <w:rFonts w:asciiTheme="minorHAnsi" w:hAnsiTheme="minorHAnsi" w:cstheme="minorHAnsi"/>
          <w:i w:val="0"/>
          <w:iCs w:val="0"/>
          <w:color w:val="auto"/>
        </w:rPr>
        <w:fldChar w:fldCharType="end"/>
      </w:r>
      <w:r w:rsidRPr="005A0BFA">
        <w:rPr>
          <w:rFonts w:asciiTheme="minorHAnsi" w:hAnsiTheme="minorHAnsi" w:cstheme="minorHAnsi"/>
          <w:i w:val="0"/>
          <w:iCs w:val="0"/>
          <w:color w:val="auto"/>
        </w:rPr>
        <w:t xml:space="preserve"> - Percentage of staffing activities in the National Capital Region compared with all other regions by fiscal year</w:t>
      </w:r>
    </w:p>
    <w:tbl>
      <w:tblPr>
        <w:tblStyle w:val="TableGrid"/>
        <w:tblW w:w="5000" w:type="pct"/>
        <w:jc w:val="center"/>
        <w:tblLook w:val="0020" w:firstRow="1" w:lastRow="0" w:firstColumn="0" w:lastColumn="0" w:noHBand="0" w:noVBand="0"/>
        <w:tblDescription w:val="Staffing by region from 2015 to 2020"/>
      </w:tblPr>
      <w:tblGrid>
        <w:gridCol w:w="2394"/>
        <w:gridCol w:w="6611"/>
        <w:gridCol w:w="5385"/>
      </w:tblGrid>
      <w:tr w:rsidR="005A0BFA" w:rsidRPr="005A0BFA" w14:paraId="7F1C34A6" w14:textId="77777777" w:rsidTr="00A84016">
        <w:trPr>
          <w:cantSplit/>
          <w:trHeight w:val="290"/>
          <w:tblHeader/>
          <w:jc w:val="center"/>
        </w:trPr>
        <w:tc>
          <w:tcPr>
            <w:tcW w:w="832" w:type="pct"/>
          </w:tcPr>
          <w:p w14:paraId="4A49EED1" w14:textId="77777777" w:rsidR="00C57C30" w:rsidRPr="005A0BFA" w:rsidRDefault="00C57C30" w:rsidP="005A0BFA">
            <w:pPr>
              <w:pStyle w:val="TableTitle"/>
              <w:rPr>
                <w:color w:val="auto"/>
                <w:sz w:val="22"/>
                <w:szCs w:val="22"/>
                <w:lang w:val="en-CA"/>
              </w:rPr>
            </w:pPr>
            <w:r w:rsidRPr="005A0BFA">
              <w:rPr>
                <w:color w:val="auto"/>
                <w:sz w:val="22"/>
                <w:szCs w:val="22"/>
                <w:lang w:val="en-CA"/>
              </w:rPr>
              <w:t>Fiscal year</w:t>
            </w:r>
          </w:p>
        </w:tc>
        <w:tc>
          <w:tcPr>
            <w:tcW w:w="2297" w:type="pct"/>
          </w:tcPr>
          <w:p w14:paraId="115B9D0C" w14:textId="77777777" w:rsidR="00C57C30" w:rsidRPr="005A0BFA" w:rsidRDefault="00C57C30" w:rsidP="005A0BFA">
            <w:pPr>
              <w:pStyle w:val="TableTitle"/>
              <w:rPr>
                <w:color w:val="auto"/>
                <w:sz w:val="22"/>
                <w:szCs w:val="22"/>
                <w:lang w:val="en-CA"/>
              </w:rPr>
            </w:pPr>
            <w:r w:rsidRPr="005A0BFA">
              <w:rPr>
                <w:color w:val="auto"/>
                <w:sz w:val="22"/>
                <w:szCs w:val="22"/>
                <w:lang w:val="en-CA"/>
              </w:rPr>
              <w:t>Percentage of staffing activities in the National Capital Region (NCR)</w:t>
            </w:r>
          </w:p>
        </w:tc>
        <w:tc>
          <w:tcPr>
            <w:tcW w:w="1871" w:type="pct"/>
          </w:tcPr>
          <w:p w14:paraId="02A49607" w14:textId="77777777" w:rsidR="00C57C30" w:rsidRPr="005A0BFA" w:rsidRDefault="00C57C30" w:rsidP="005A0BFA">
            <w:pPr>
              <w:pStyle w:val="TableTitle"/>
              <w:rPr>
                <w:color w:val="auto"/>
                <w:sz w:val="22"/>
                <w:szCs w:val="22"/>
                <w:lang w:val="en-CA"/>
              </w:rPr>
            </w:pPr>
            <w:r w:rsidRPr="005A0BFA">
              <w:rPr>
                <w:color w:val="auto"/>
                <w:sz w:val="22"/>
                <w:szCs w:val="22"/>
                <w:lang w:val="en-CA"/>
              </w:rPr>
              <w:t>Percentage of staffing activities in all other regions (</w:t>
            </w:r>
            <w:proofErr w:type="gramStart"/>
            <w:r w:rsidRPr="005A0BFA">
              <w:rPr>
                <w:color w:val="auto"/>
                <w:sz w:val="22"/>
                <w:szCs w:val="22"/>
                <w:lang w:val="en-CA"/>
              </w:rPr>
              <w:t>Non-NCR</w:t>
            </w:r>
            <w:proofErr w:type="gramEnd"/>
            <w:r w:rsidRPr="005A0BFA">
              <w:rPr>
                <w:color w:val="auto"/>
                <w:sz w:val="22"/>
                <w:szCs w:val="22"/>
                <w:lang w:val="en-CA"/>
              </w:rPr>
              <w:t>)</w:t>
            </w:r>
          </w:p>
        </w:tc>
      </w:tr>
      <w:tr w:rsidR="005A0BFA" w:rsidRPr="005A0BFA" w14:paraId="0061A6F7" w14:textId="77777777" w:rsidTr="00A84016">
        <w:trPr>
          <w:cantSplit/>
          <w:trHeight w:val="290"/>
          <w:tblHeader/>
          <w:jc w:val="center"/>
        </w:trPr>
        <w:tc>
          <w:tcPr>
            <w:tcW w:w="832" w:type="pct"/>
          </w:tcPr>
          <w:p w14:paraId="781CC7A7"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2015 to 2016</w:t>
            </w:r>
          </w:p>
        </w:tc>
        <w:tc>
          <w:tcPr>
            <w:tcW w:w="2297" w:type="pct"/>
          </w:tcPr>
          <w:p w14:paraId="03245279"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c>
          <w:tcPr>
            <w:tcW w:w="1871" w:type="pct"/>
          </w:tcPr>
          <w:p w14:paraId="237CA8BA"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r w:rsidR="005A0BFA" w:rsidRPr="005A0BFA" w14:paraId="51779095" w14:textId="77777777" w:rsidTr="00A84016">
        <w:trPr>
          <w:cantSplit/>
          <w:trHeight w:val="290"/>
          <w:tblHeader/>
          <w:jc w:val="center"/>
        </w:trPr>
        <w:tc>
          <w:tcPr>
            <w:tcW w:w="832" w:type="pct"/>
          </w:tcPr>
          <w:p w14:paraId="3D4F0F79"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2016 to 2017</w:t>
            </w:r>
          </w:p>
        </w:tc>
        <w:tc>
          <w:tcPr>
            <w:tcW w:w="2297" w:type="pct"/>
          </w:tcPr>
          <w:p w14:paraId="1D116236"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c>
          <w:tcPr>
            <w:tcW w:w="1871" w:type="pct"/>
          </w:tcPr>
          <w:p w14:paraId="3EF17DE5"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r w:rsidR="005A0BFA" w:rsidRPr="005A0BFA" w14:paraId="539F8E20" w14:textId="77777777" w:rsidTr="00A84016">
        <w:trPr>
          <w:cantSplit/>
          <w:trHeight w:val="290"/>
          <w:tblHeader/>
          <w:jc w:val="center"/>
        </w:trPr>
        <w:tc>
          <w:tcPr>
            <w:tcW w:w="832" w:type="pct"/>
          </w:tcPr>
          <w:p w14:paraId="72F28E86"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2017 to 2018</w:t>
            </w:r>
          </w:p>
        </w:tc>
        <w:tc>
          <w:tcPr>
            <w:tcW w:w="2297" w:type="pct"/>
          </w:tcPr>
          <w:p w14:paraId="5E52A82F"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c>
          <w:tcPr>
            <w:tcW w:w="1871" w:type="pct"/>
          </w:tcPr>
          <w:p w14:paraId="240AF682"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r w:rsidR="005A0BFA" w:rsidRPr="005A0BFA" w14:paraId="65A295BC" w14:textId="77777777" w:rsidTr="00A84016">
        <w:trPr>
          <w:cantSplit/>
          <w:trHeight w:val="290"/>
          <w:tblHeader/>
          <w:jc w:val="center"/>
        </w:trPr>
        <w:tc>
          <w:tcPr>
            <w:tcW w:w="832" w:type="pct"/>
          </w:tcPr>
          <w:p w14:paraId="2B1C449B"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2018 to 2019</w:t>
            </w:r>
          </w:p>
        </w:tc>
        <w:tc>
          <w:tcPr>
            <w:tcW w:w="2297" w:type="pct"/>
          </w:tcPr>
          <w:p w14:paraId="7680C61F"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c>
          <w:tcPr>
            <w:tcW w:w="1871" w:type="pct"/>
          </w:tcPr>
          <w:p w14:paraId="453D8EF8"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r w:rsidR="005A0BFA" w:rsidRPr="005A0BFA" w14:paraId="30340728" w14:textId="77777777" w:rsidTr="00A84016">
        <w:trPr>
          <w:cantSplit/>
          <w:trHeight w:val="290"/>
          <w:tblHeader/>
          <w:jc w:val="center"/>
        </w:trPr>
        <w:tc>
          <w:tcPr>
            <w:tcW w:w="832" w:type="pct"/>
          </w:tcPr>
          <w:p w14:paraId="29573EBD" w14:textId="77777777" w:rsidR="00C57C30" w:rsidRPr="005A0BFA" w:rsidRDefault="00C57C30" w:rsidP="008C7A1D">
            <w:pPr>
              <w:autoSpaceDE w:val="0"/>
              <w:autoSpaceDN w:val="0"/>
              <w:adjustRightInd w:val="0"/>
              <w:rPr>
                <w:rFonts w:asciiTheme="minorHAnsi" w:hAnsiTheme="minorHAnsi" w:cstheme="minorHAnsi"/>
                <w:sz w:val="22"/>
                <w:szCs w:val="22"/>
                <w:lang w:val="en-CA"/>
              </w:rPr>
            </w:pPr>
            <w:r w:rsidRPr="005A0BFA">
              <w:rPr>
                <w:rFonts w:asciiTheme="minorHAnsi" w:hAnsiTheme="minorHAnsi" w:cstheme="minorHAnsi"/>
                <w:sz w:val="22"/>
                <w:szCs w:val="22"/>
                <w:lang w:val="en-CA"/>
              </w:rPr>
              <w:t>2019 to 2020</w:t>
            </w:r>
          </w:p>
        </w:tc>
        <w:tc>
          <w:tcPr>
            <w:tcW w:w="2297" w:type="pct"/>
          </w:tcPr>
          <w:p w14:paraId="130EB2A7"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0%</w:t>
            </w:r>
          </w:p>
        </w:tc>
        <w:tc>
          <w:tcPr>
            <w:tcW w:w="1871" w:type="pct"/>
          </w:tcPr>
          <w:p w14:paraId="35E869EA" w14:textId="77777777" w:rsidR="00C57C30" w:rsidRPr="005A0BFA" w:rsidRDefault="00C57C30" w:rsidP="008C7A1D">
            <w:pPr>
              <w:autoSpaceDE w:val="0"/>
              <w:autoSpaceDN w:val="0"/>
              <w:adjustRightInd w:val="0"/>
              <w:jc w:val="center"/>
              <w:rPr>
                <w:rFonts w:asciiTheme="minorHAnsi" w:hAnsiTheme="minorHAnsi" w:cstheme="minorHAnsi"/>
                <w:sz w:val="22"/>
                <w:szCs w:val="22"/>
                <w:lang w:val="en-CA"/>
              </w:rPr>
            </w:pPr>
            <w:r w:rsidRPr="005A0BFA">
              <w:rPr>
                <w:rFonts w:asciiTheme="minorHAnsi" w:hAnsiTheme="minorHAnsi" w:cstheme="minorHAnsi"/>
                <w:sz w:val="22"/>
                <w:szCs w:val="22"/>
                <w:lang w:val="en-CA"/>
              </w:rPr>
              <w:t>100%</w:t>
            </w:r>
          </w:p>
        </w:tc>
      </w:tr>
    </w:tbl>
    <w:p w14:paraId="0B380432" w14:textId="77777777" w:rsidR="00D440DE" w:rsidRDefault="00C57C30" w:rsidP="00D440DE">
      <w:pPr>
        <w:pStyle w:val="ListParagraph"/>
        <w:numPr>
          <w:ilvl w:val="0"/>
          <w:numId w:val="39"/>
        </w:numPr>
        <w:spacing w:after="100" w:afterAutospacing="1"/>
        <w:contextualSpacing w:val="0"/>
        <w:rPr>
          <w:rFonts w:asciiTheme="minorHAnsi" w:hAnsiTheme="minorHAnsi" w:cstheme="minorHAnsi"/>
          <w:sz w:val="22"/>
          <w:szCs w:val="18"/>
          <w:lang w:val="en-CA"/>
        </w:rPr>
        <w:sectPr w:rsidR="00D440DE" w:rsidSect="005A0BFA">
          <w:pgSz w:w="15840" w:h="12240" w:orient="landscape"/>
          <w:pgMar w:top="720" w:right="720" w:bottom="720" w:left="720" w:header="709" w:footer="284" w:gutter="0"/>
          <w:cols w:space="708"/>
          <w:titlePg/>
          <w:docGrid w:linePitch="360"/>
        </w:sectPr>
      </w:pPr>
      <w:r w:rsidRPr="005A0BFA">
        <w:rPr>
          <w:rFonts w:asciiTheme="minorHAnsi" w:hAnsiTheme="minorHAnsi" w:cstheme="minorHAnsi"/>
          <w:sz w:val="22"/>
          <w:szCs w:val="18"/>
          <w:lang w:val="en-CA"/>
        </w:rPr>
        <w:t>Regional distribution excludes unknowns.</w:t>
      </w:r>
    </w:p>
    <w:p w14:paraId="203B30FF" w14:textId="77777777" w:rsidR="00D440DE" w:rsidRPr="00D440DE" w:rsidRDefault="00D440DE" w:rsidP="00D440DE">
      <w:pPr>
        <w:pStyle w:val="Heading1"/>
        <w:spacing w:before="120" w:after="120"/>
        <w:rPr>
          <w:sz w:val="40"/>
          <w:szCs w:val="40"/>
          <w:lang w:val="fr-CA"/>
        </w:rPr>
      </w:pPr>
      <w:r w:rsidRPr="00D440DE">
        <w:rPr>
          <w:rFonts w:eastAsia="Times New Roman"/>
          <w:sz w:val="40"/>
          <w:szCs w:val="40"/>
          <w:lang w:val="en-CA"/>
        </w:rPr>
        <w:lastRenderedPageBreak/>
        <w:t>Staffing by process type</w:t>
      </w:r>
    </w:p>
    <w:p w14:paraId="76822F11" w14:textId="77777777" w:rsidR="00D440DE" w:rsidRDefault="00C57C30" w:rsidP="00D440DE">
      <w:pPr>
        <w:keepNext/>
        <w:jc w:val="center"/>
      </w:pPr>
      <w:r w:rsidRPr="00253093">
        <w:rPr>
          <w:rFonts w:ascii="Segoe UI" w:hAnsi="Segoe UI" w:cs="Segoe UI"/>
          <w:noProof/>
          <w:lang w:val="en-CA" w:eastAsia="en-CA"/>
        </w:rPr>
        <w:drawing>
          <wp:inline distT="0" distB="0" distL="0" distR="0" wp14:anchorId="5824BB3D" wp14:editId="4FEC52A4">
            <wp:extent cx="5648400" cy="3049200"/>
            <wp:effectExtent l="0" t="0" r="9525" b="18415"/>
            <wp:docPr id="1" name="Chart 1" descr="Staffing by process type&#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A329E1" w14:textId="30CC9731" w:rsidR="00C57C30" w:rsidRPr="00D440DE" w:rsidRDefault="00D440DE" w:rsidP="00D440DE">
      <w:pPr>
        <w:pStyle w:val="Caption"/>
        <w:spacing w:after="0"/>
        <w:jc w:val="center"/>
        <w:rPr>
          <w:rFonts w:asciiTheme="minorHAnsi" w:hAnsiTheme="minorHAnsi" w:cstheme="minorHAnsi"/>
          <w:b/>
          <w:bCs/>
          <w:i w:val="0"/>
          <w:iCs w:val="0"/>
          <w:color w:val="auto"/>
          <w:szCs w:val="24"/>
          <w:lang w:val="en-CA"/>
        </w:rPr>
      </w:pPr>
      <w:r w:rsidRPr="00D440DE">
        <w:rPr>
          <w:rFonts w:asciiTheme="minorHAnsi" w:hAnsiTheme="minorHAnsi" w:cstheme="minorHAnsi"/>
          <w:i w:val="0"/>
          <w:iCs w:val="0"/>
          <w:color w:val="auto"/>
        </w:rPr>
        <w:t xml:space="preserve">Figure </w:t>
      </w:r>
      <w:r w:rsidRPr="00D440DE">
        <w:rPr>
          <w:rFonts w:asciiTheme="minorHAnsi" w:hAnsiTheme="minorHAnsi" w:cstheme="minorHAnsi"/>
          <w:i w:val="0"/>
          <w:iCs w:val="0"/>
          <w:color w:val="auto"/>
        </w:rPr>
        <w:fldChar w:fldCharType="begin"/>
      </w:r>
      <w:r w:rsidRPr="00D440DE">
        <w:rPr>
          <w:rFonts w:asciiTheme="minorHAnsi" w:hAnsiTheme="minorHAnsi" w:cstheme="minorHAnsi"/>
          <w:i w:val="0"/>
          <w:iCs w:val="0"/>
          <w:color w:val="auto"/>
        </w:rPr>
        <w:instrText xml:space="preserve"> SEQ Figure \* ARABIC </w:instrText>
      </w:r>
      <w:r w:rsidRPr="00D440DE">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7</w:t>
      </w:r>
      <w:r w:rsidRPr="00D440DE">
        <w:rPr>
          <w:rFonts w:asciiTheme="minorHAnsi" w:hAnsiTheme="minorHAnsi" w:cstheme="minorHAnsi"/>
          <w:i w:val="0"/>
          <w:iCs w:val="0"/>
          <w:color w:val="auto"/>
        </w:rPr>
        <w:fldChar w:fldCharType="end"/>
      </w:r>
      <w:r w:rsidRPr="00D440DE">
        <w:rPr>
          <w:rFonts w:asciiTheme="minorHAnsi" w:hAnsiTheme="minorHAnsi" w:cstheme="minorHAnsi"/>
          <w:i w:val="0"/>
          <w:iCs w:val="0"/>
          <w:color w:val="auto"/>
        </w:rPr>
        <w:t xml:space="preserve"> - Staffing by process type</w:t>
      </w:r>
    </w:p>
    <w:p w14:paraId="2C434926" w14:textId="4E874AE6" w:rsidR="00D440DE" w:rsidRPr="00D440DE" w:rsidRDefault="00D440DE" w:rsidP="00D440DE">
      <w:pPr>
        <w:pStyle w:val="Caption"/>
        <w:keepNext/>
        <w:spacing w:before="240" w:after="0"/>
        <w:jc w:val="center"/>
        <w:rPr>
          <w:rFonts w:asciiTheme="minorHAnsi" w:hAnsiTheme="minorHAnsi" w:cstheme="minorHAnsi"/>
          <w:i w:val="0"/>
          <w:iCs w:val="0"/>
          <w:color w:val="auto"/>
        </w:rPr>
      </w:pPr>
      <w:r w:rsidRPr="00D440DE">
        <w:rPr>
          <w:rFonts w:asciiTheme="minorHAnsi" w:hAnsiTheme="minorHAnsi" w:cstheme="minorHAnsi"/>
          <w:i w:val="0"/>
          <w:iCs w:val="0"/>
          <w:color w:val="auto"/>
        </w:rPr>
        <w:t xml:space="preserve">Table </w:t>
      </w:r>
      <w:r w:rsidRPr="00D440DE">
        <w:rPr>
          <w:rFonts w:asciiTheme="minorHAnsi" w:hAnsiTheme="minorHAnsi" w:cstheme="minorHAnsi"/>
          <w:i w:val="0"/>
          <w:iCs w:val="0"/>
          <w:color w:val="auto"/>
        </w:rPr>
        <w:fldChar w:fldCharType="begin"/>
      </w:r>
      <w:r w:rsidRPr="00D440DE">
        <w:rPr>
          <w:rFonts w:asciiTheme="minorHAnsi" w:hAnsiTheme="minorHAnsi" w:cstheme="minorHAnsi"/>
          <w:i w:val="0"/>
          <w:iCs w:val="0"/>
          <w:color w:val="auto"/>
        </w:rPr>
        <w:instrText xml:space="preserve"> SEQ Table \* ARABIC </w:instrText>
      </w:r>
      <w:r w:rsidRPr="00D440DE">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10</w:t>
      </w:r>
      <w:r w:rsidRPr="00D440DE">
        <w:rPr>
          <w:rFonts w:asciiTheme="minorHAnsi" w:hAnsiTheme="minorHAnsi" w:cstheme="minorHAnsi"/>
          <w:i w:val="0"/>
          <w:iCs w:val="0"/>
          <w:color w:val="auto"/>
        </w:rPr>
        <w:fldChar w:fldCharType="end"/>
      </w:r>
      <w:r w:rsidRPr="00D440DE">
        <w:rPr>
          <w:rFonts w:asciiTheme="minorHAnsi" w:hAnsiTheme="minorHAnsi" w:cstheme="minorHAnsi"/>
          <w:i w:val="0"/>
          <w:iCs w:val="0"/>
          <w:color w:val="auto"/>
        </w:rPr>
        <w:t xml:space="preserve"> - Number and percentage of staffing activities by type of process and fiscal year</w:t>
      </w:r>
    </w:p>
    <w:tbl>
      <w:tblPr>
        <w:tblStyle w:val="TableGrid"/>
        <w:tblW w:w="5000" w:type="pct"/>
        <w:jc w:val="center"/>
        <w:tblLook w:val="0020" w:firstRow="1" w:lastRow="0" w:firstColumn="0" w:lastColumn="0" w:noHBand="0" w:noVBand="0"/>
        <w:tblDescription w:val="Staffing by process type from 2015 to 2020"/>
      </w:tblPr>
      <w:tblGrid>
        <w:gridCol w:w="2121"/>
        <w:gridCol w:w="5103"/>
        <w:gridCol w:w="3402"/>
        <w:gridCol w:w="3764"/>
      </w:tblGrid>
      <w:tr w:rsidR="00D440DE" w:rsidRPr="00D440DE" w14:paraId="7BD5A32E" w14:textId="77777777" w:rsidTr="00A84016">
        <w:trPr>
          <w:cantSplit/>
          <w:trHeight w:val="290"/>
          <w:tblHeader/>
          <w:jc w:val="center"/>
        </w:trPr>
        <w:tc>
          <w:tcPr>
            <w:tcW w:w="737" w:type="pct"/>
          </w:tcPr>
          <w:p w14:paraId="4C8D69E4" w14:textId="77777777" w:rsidR="00210D24" w:rsidRPr="00D440DE" w:rsidRDefault="00210D24" w:rsidP="00D440DE">
            <w:pPr>
              <w:pStyle w:val="TableTitle"/>
              <w:rPr>
                <w:color w:val="auto"/>
                <w:sz w:val="22"/>
                <w:szCs w:val="22"/>
                <w:lang w:val="en-CA"/>
              </w:rPr>
            </w:pPr>
            <w:r w:rsidRPr="00D440DE">
              <w:rPr>
                <w:color w:val="auto"/>
                <w:sz w:val="22"/>
                <w:szCs w:val="22"/>
                <w:lang w:val="en-CA"/>
              </w:rPr>
              <w:t>Fiscal year</w:t>
            </w:r>
          </w:p>
        </w:tc>
        <w:tc>
          <w:tcPr>
            <w:tcW w:w="1773" w:type="pct"/>
          </w:tcPr>
          <w:p w14:paraId="68243B20" w14:textId="77777777" w:rsidR="00210D24" w:rsidRPr="00D440DE" w:rsidRDefault="00210D24" w:rsidP="00D440DE">
            <w:pPr>
              <w:pStyle w:val="TableTitle"/>
              <w:rPr>
                <w:color w:val="auto"/>
                <w:sz w:val="22"/>
                <w:szCs w:val="22"/>
                <w:lang w:val="en-CA"/>
              </w:rPr>
            </w:pPr>
            <w:r w:rsidRPr="00D440DE">
              <w:rPr>
                <w:color w:val="auto"/>
                <w:sz w:val="22"/>
                <w:szCs w:val="22"/>
                <w:lang w:val="en-CA"/>
              </w:rPr>
              <w:t>Non-advertised processes (excludes unknowns)</w:t>
            </w:r>
          </w:p>
        </w:tc>
        <w:tc>
          <w:tcPr>
            <w:tcW w:w="1182" w:type="pct"/>
          </w:tcPr>
          <w:p w14:paraId="50FD18A9" w14:textId="77777777" w:rsidR="00210D24" w:rsidRPr="00D440DE" w:rsidRDefault="00210D24" w:rsidP="00D440DE">
            <w:pPr>
              <w:pStyle w:val="TableTitle"/>
              <w:rPr>
                <w:color w:val="auto"/>
                <w:sz w:val="22"/>
                <w:szCs w:val="22"/>
                <w:lang w:val="en-CA"/>
              </w:rPr>
            </w:pPr>
            <w:r w:rsidRPr="00D440DE">
              <w:rPr>
                <w:color w:val="auto"/>
                <w:sz w:val="22"/>
                <w:szCs w:val="22"/>
                <w:lang w:val="en-CA"/>
              </w:rPr>
              <w:t>Advertised processes</w:t>
            </w:r>
          </w:p>
        </w:tc>
        <w:tc>
          <w:tcPr>
            <w:tcW w:w="1308" w:type="pct"/>
          </w:tcPr>
          <w:p w14:paraId="18A7E3AA" w14:textId="77777777" w:rsidR="00210D24" w:rsidRPr="00D440DE" w:rsidRDefault="00210D24" w:rsidP="00D440DE">
            <w:pPr>
              <w:pStyle w:val="TableTitle"/>
              <w:rPr>
                <w:color w:val="auto"/>
                <w:sz w:val="22"/>
                <w:szCs w:val="22"/>
                <w:lang w:val="en-CA"/>
              </w:rPr>
            </w:pPr>
            <w:r w:rsidRPr="00D440DE">
              <w:rPr>
                <w:color w:val="auto"/>
                <w:sz w:val="22"/>
                <w:szCs w:val="22"/>
                <w:lang w:val="en-CA"/>
              </w:rPr>
              <w:t xml:space="preserve">% </w:t>
            </w:r>
            <w:proofErr w:type="gramStart"/>
            <w:r w:rsidRPr="00D440DE">
              <w:rPr>
                <w:color w:val="auto"/>
                <w:sz w:val="22"/>
                <w:szCs w:val="22"/>
                <w:lang w:val="en-CA"/>
              </w:rPr>
              <w:t>of</w:t>
            </w:r>
            <w:proofErr w:type="gramEnd"/>
            <w:r w:rsidRPr="00D440DE">
              <w:rPr>
                <w:color w:val="auto"/>
                <w:sz w:val="22"/>
                <w:szCs w:val="22"/>
                <w:lang w:val="en-CA"/>
              </w:rPr>
              <w:t xml:space="preserve"> Non- advertised processes</w:t>
            </w:r>
          </w:p>
        </w:tc>
      </w:tr>
      <w:tr w:rsidR="00210D24" w:rsidRPr="00D440DE" w14:paraId="4DF7279A" w14:textId="77777777" w:rsidTr="00A84016">
        <w:trPr>
          <w:cantSplit/>
          <w:trHeight w:val="290"/>
          <w:tblHeader/>
          <w:jc w:val="center"/>
        </w:trPr>
        <w:tc>
          <w:tcPr>
            <w:tcW w:w="737" w:type="pct"/>
          </w:tcPr>
          <w:p w14:paraId="4DE22547" w14:textId="77777777" w:rsidR="00210D24" w:rsidRPr="00D440DE" w:rsidRDefault="00210D24" w:rsidP="008C7A1D">
            <w:pPr>
              <w:autoSpaceDE w:val="0"/>
              <w:autoSpaceDN w:val="0"/>
              <w:adjustRightInd w:val="0"/>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 xml:space="preserve">2015 to 2016 </w:t>
            </w:r>
          </w:p>
        </w:tc>
        <w:tc>
          <w:tcPr>
            <w:tcW w:w="1773" w:type="pct"/>
          </w:tcPr>
          <w:p w14:paraId="77BD0183"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7</w:t>
            </w:r>
          </w:p>
        </w:tc>
        <w:tc>
          <w:tcPr>
            <w:tcW w:w="1182" w:type="pct"/>
          </w:tcPr>
          <w:p w14:paraId="28EFEDEF"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66</w:t>
            </w:r>
          </w:p>
        </w:tc>
        <w:tc>
          <w:tcPr>
            <w:tcW w:w="1308" w:type="pct"/>
          </w:tcPr>
          <w:p w14:paraId="1787C0AB"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10%</w:t>
            </w:r>
          </w:p>
        </w:tc>
      </w:tr>
      <w:tr w:rsidR="00210D24" w:rsidRPr="00D440DE" w14:paraId="2B233DAC" w14:textId="77777777" w:rsidTr="00A84016">
        <w:trPr>
          <w:cantSplit/>
          <w:trHeight w:val="290"/>
          <w:tblHeader/>
          <w:jc w:val="center"/>
        </w:trPr>
        <w:tc>
          <w:tcPr>
            <w:tcW w:w="737" w:type="pct"/>
          </w:tcPr>
          <w:p w14:paraId="1DB723BA" w14:textId="77777777" w:rsidR="00210D24" w:rsidRPr="00D440DE" w:rsidRDefault="00210D24" w:rsidP="008C7A1D">
            <w:pPr>
              <w:autoSpaceDE w:val="0"/>
              <w:autoSpaceDN w:val="0"/>
              <w:adjustRightInd w:val="0"/>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2016 to 2017</w:t>
            </w:r>
          </w:p>
        </w:tc>
        <w:tc>
          <w:tcPr>
            <w:tcW w:w="1773" w:type="pct"/>
          </w:tcPr>
          <w:p w14:paraId="15E255D0"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2</w:t>
            </w:r>
          </w:p>
        </w:tc>
        <w:tc>
          <w:tcPr>
            <w:tcW w:w="1182" w:type="pct"/>
          </w:tcPr>
          <w:p w14:paraId="2702CBBB"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51</w:t>
            </w:r>
          </w:p>
        </w:tc>
        <w:tc>
          <w:tcPr>
            <w:tcW w:w="1308" w:type="pct"/>
          </w:tcPr>
          <w:p w14:paraId="314E7D22"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4%</w:t>
            </w:r>
          </w:p>
        </w:tc>
      </w:tr>
      <w:tr w:rsidR="00210D24" w:rsidRPr="00D440DE" w14:paraId="466CDC87" w14:textId="77777777" w:rsidTr="00A84016">
        <w:trPr>
          <w:cantSplit/>
          <w:trHeight w:val="290"/>
          <w:tblHeader/>
          <w:jc w:val="center"/>
        </w:trPr>
        <w:tc>
          <w:tcPr>
            <w:tcW w:w="737" w:type="pct"/>
          </w:tcPr>
          <w:p w14:paraId="0201AB6E" w14:textId="77777777" w:rsidR="00210D24" w:rsidRPr="00D440DE" w:rsidRDefault="00210D24" w:rsidP="008C7A1D">
            <w:pPr>
              <w:autoSpaceDE w:val="0"/>
              <w:autoSpaceDN w:val="0"/>
              <w:adjustRightInd w:val="0"/>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2017 to 2018</w:t>
            </w:r>
          </w:p>
        </w:tc>
        <w:tc>
          <w:tcPr>
            <w:tcW w:w="1773" w:type="pct"/>
          </w:tcPr>
          <w:p w14:paraId="151A5A6E"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7</w:t>
            </w:r>
          </w:p>
        </w:tc>
        <w:tc>
          <w:tcPr>
            <w:tcW w:w="1182" w:type="pct"/>
          </w:tcPr>
          <w:p w14:paraId="2F0BDBAC"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84</w:t>
            </w:r>
          </w:p>
        </w:tc>
        <w:tc>
          <w:tcPr>
            <w:tcW w:w="1308" w:type="pct"/>
          </w:tcPr>
          <w:p w14:paraId="74F71851"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8%</w:t>
            </w:r>
          </w:p>
        </w:tc>
      </w:tr>
      <w:tr w:rsidR="00210D24" w:rsidRPr="00D440DE" w14:paraId="15477F4E" w14:textId="77777777" w:rsidTr="00A84016">
        <w:trPr>
          <w:cantSplit/>
          <w:trHeight w:val="290"/>
          <w:tblHeader/>
          <w:jc w:val="center"/>
        </w:trPr>
        <w:tc>
          <w:tcPr>
            <w:tcW w:w="737" w:type="pct"/>
          </w:tcPr>
          <w:p w14:paraId="5954FFAF" w14:textId="77777777" w:rsidR="00210D24" w:rsidRPr="00D440DE" w:rsidRDefault="00210D24" w:rsidP="008C7A1D">
            <w:pPr>
              <w:autoSpaceDE w:val="0"/>
              <w:autoSpaceDN w:val="0"/>
              <w:adjustRightInd w:val="0"/>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2018 to 2019</w:t>
            </w:r>
          </w:p>
        </w:tc>
        <w:tc>
          <w:tcPr>
            <w:tcW w:w="1773" w:type="pct"/>
          </w:tcPr>
          <w:p w14:paraId="2CE1B1D8"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22</w:t>
            </w:r>
          </w:p>
        </w:tc>
        <w:tc>
          <w:tcPr>
            <w:tcW w:w="1182" w:type="pct"/>
          </w:tcPr>
          <w:p w14:paraId="69707A11"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59</w:t>
            </w:r>
          </w:p>
        </w:tc>
        <w:tc>
          <w:tcPr>
            <w:tcW w:w="1308" w:type="pct"/>
          </w:tcPr>
          <w:p w14:paraId="1B07CCC6"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27%</w:t>
            </w:r>
          </w:p>
        </w:tc>
      </w:tr>
      <w:tr w:rsidR="00210D24" w:rsidRPr="00D440DE" w14:paraId="7AE5954F" w14:textId="77777777" w:rsidTr="00A84016">
        <w:trPr>
          <w:cantSplit/>
          <w:trHeight w:val="290"/>
          <w:tblHeader/>
          <w:jc w:val="center"/>
        </w:trPr>
        <w:tc>
          <w:tcPr>
            <w:tcW w:w="737" w:type="pct"/>
          </w:tcPr>
          <w:p w14:paraId="72EB8FBA" w14:textId="77777777" w:rsidR="00210D24" w:rsidRPr="00D440DE" w:rsidRDefault="00210D24" w:rsidP="008C7A1D">
            <w:pPr>
              <w:autoSpaceDE w:val="0"/>
              <w:autoSpaceDN w:val="0"/>
              <w:adjustRightInd w:val="0"/>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2019 to 2020</w:t>
            </w:r>
          </w:p>
        </w:tc>
        <w:tc>
          <w:tcPr>
            <w:tcW w:w="1773" w:type="pct"/>
          </w:tcPr>
          <w:p w14:paraId="51F5BBD8"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34</w:t>
            </w:r>
          </w:p>
        </w:tc>
        <w:tc>
          <w:tcPr>
            <w:tcW w:w="1182" w:type="pct"/>
          </w:tcPr>
          <w:p w14:paraId="5B342F40"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50</w:t>
            </w:r>
          </w:p>
        </w:tc>
        <w:tc>
          <w:tcPr>
            <w:tcW w:w="1308" w:type="pct"/>
          </w:tcPr>
          <w:p w14:paraId="7C0585A9" w14:textId="77777777" w:rsidR="00210D24" w:rsidRPr="00D440DE" w:rsidRDefault="00210D24" w:rsidP="008C7A1D">
            <w:pPr>
              <w:autoSpaceDE w:val="0"/>
              <w:autoSpaceDN w:val="0"/>
              <w:adjustRightInd w:val="0"/>
              <w:jc w:val="center"/>
              <w:rPr>
                <w:rFonts w:asciiTheme="minorHAnsi" w:hAnsiTheme="minorHAnsi" w:cstheme="minorHAnsi"/>
                <w:color w:val="000000"/>
                <w:sz w:val="22"/>
                <w:szCs w:val="22"/>
                <w:lang w:val="en-CA"/>
              </w:rPr>
            </w:pPr>
            <w:r w:rsidRPr="00D440DE">
              <w:rPr>
                <w:rFonts w:asciiTheme="minorHAnsi" w:hAnsiTheme="minorHAnsi" w:cstheme="minorHAnsi"/>
                <w:color w:val="000000"/>
                <w:sz w:val="22"/>
                <w:szCs w:val="22"/>
                <w:lang w:val="en-CA"/>
              </w:rPr>
              <w:t>40%</w:t>
            </w:r>
          </w:p>
        </w:tc>
      </w:tr>
    </w:tbl>
    <w:p w14:paraId="549DEDB6" w14:textId="77777777" w:rsidR="00210D24" w:rsidRPr="00D440DE" w:rsidRDefault="00210D24" w:rsidP="00D440DE">
      <w:pPr>
        <w:pStyle w:val="ListParagraph"/>
        <w:numPr>
          <w:ilvl w:val="0"/>
          <w:numId w:val="37"/>
        </w:numPr>
        <w:spacing w:after="0"/>
        <w:contextualSpacing w:val="0"/>
        <w:rPr>
          <w:rFonts w:asciiTheme="minorHAnsi" w:hAnsiTheme="minorHAnsi" w:cstheme="minorHAnsi"/>
          <w:sz w:val="22"/>
          <w:szCs w:val="18"/>
          <w:lang w:val="en-CA"/>
        </w:rPr>
      </w:pPr>
      <w:r w:rsidRPr="00D440DE">
        <w:rPr>
          <w:rFonts w:asciiTheme="minorHAnsi" w:hAnsiTheme="minorHAnsi" w:cstheme="minorHAnsi"/>
          <w:sz w:val="22"/>
          <w:szCs w:val="18"/>
          <w:lang w:val="en-CA"/>
        </w:rPr>
        <w:t>Includes indeterminate and specified term appointments.</w:t>
      </w:r>
    </w:p>
    <w:p w14:paraId="49B53C41" w14:textId="77777777" w:rsidR="00210D24" w:rsidRPr="00D440DE" w:rsidRDefault="00210D24" w:rsidP="00D440DE">
      <w:pPr>
        <w:pStyle w:val="ListParagraph"/>
        <w:numPr>
          <w:ilvl w:val="0"/>
          <w:numId w:val="37"/>
        </w:numPr>
        <w:spacing w:after="0"/>
        <w:contextualSpacing w:val="0"/>
        <w:rPr>
          <w:rFonts w:asciiTheme="minorHAnsi" w:hAnsiTheme="minorHAnsi" w:cstheme="minorHAnsi"/>
          <w:sz w:val="22"/>
          <w:szCs w:val="18"/>
          <w:lang w:val="en-CA"/>
        </w:rPr>
      </w:pPr>
      <w:r w:rsidRPr="00D440DE">
        <w:rPr>
          <w:rFonts w:asciiTheme="minorHAnsi" w:hAnsiTheme="minorHAnsi" w:cstheme="minorHAnsi"/>
          <w:sz w:val="22"/>
          <w:szCs w:val="18"/>
          <w:lang w:val="en-CA"/>
        </w:rPr>
        <w:t xml:space="preserve">Excludes lateral and downward movements, </w:t>
      </w:r>
      <w:proofErr w:type="gramStart"/>
      <w:r w:rsidRPr="00D440DE">
        <w:rPr>
          <w:rFonts w:asciiTheme="minorHAnsi" w:hAnsiTheme="minorHAnsi" w:cstheme="minorHAnsi"/>
          <w:sz w:val="22"/>
          <w:szCs w:val="18"/>
          <w:lang w:val="en-CA"/>
        </w:rPr>
        <w:t>deployments</w:t>
      </w:r>
      <w:proofErr w:type="gramEnd"/>
      <w:r w:rsidRPr="00D440DE">
        <w:rPr>
          <w:rFonts w:asciiTheme="minorHAnsi" w:hAnsiTheme="minorHAnsi" w:cstheme="minorHAnsi"/>
          <w:sz w:val="22"/>
          <w:szCs w:val="18"/>
          <w:lang w:val="en-CA"/>
        </w:rPr>
        <w:t xml:space="preserve"> and acting appointments of less than 4 months.</w:t>
      </w:r>
    </w:p>
    <w:p w14:paraId="04CFD78F" w14:textId="77777777" w:rsidR="00D440DE" w:rsidRDefault="00210D24" w:rsidP="00D440DE">
      <w:pPr>
        <w:pStyle w:val="ListParagraph"/>
        <w:numPr>
          <w:ilvl w:val="0"/>
          <w:numId w:val="37"/>
        </w:numPr>
        <w:spacing w:after="0"/>
        <w:contextualSpacing w:val="0"/>
        <w:rPr>
          <w:rFonts w:asciiTheme="minorHAnsi" w:hAnsiTheme="minorHAnsi" w:cstheme="minorHAnsi"/>
          <w:sz w:val="22"/>
          <w:szCs w:val="18"/>
          <w:lang w:val="en-CA"/>
        </w:rPr>
        <w:sectPr w:rsidR="00D440DE" w:rsidSect="005A0BFA">
          <w:pgSz w:w="15840" w:h="12240" w:orient="landscape"/>
          <w:pgMar w:top="720" w:right="720" w:bottom="720" w:left="720" w:header="709" w:footer="284" w:gutter="0"/>
          <w:cols w:space="708"/>
          <w:titlePg/>
          <w:docGrid w:linePitch="360"/>
        </w:sectPr>
      </w:pPr>
      <w:r w:rsidRPr="00D440DE">
        <w:rPr>
          <w:rFonts w:asciiTheme="minorHAnsi" w:hAnsiTheme="minorHAnsi" w:cstheme="minorHAnsi"/>
          <w:sz w:val="22"/>
          <w:szCs w:val="18"/>
          <w:lang w:val="en-CA"/>
        </w:rPr>
        <w:t>Includes only appointments where the staffing process type is known (54% to 73% of appointments).</w:t>
      </w:r>
    </w:p>
    <w:p w14:paraId="7FE827DD" w14:textId="77777777" w:rsidR="007071BA" w:rsidRPr="007071BA" w:rsidRDefault="007071BA" w:rsidP="007071BA">
      <w:pPr>
        <w:pStyle w:val="Heading1"/>
        <w:spacing w:before="120" w:after="120"/>
        <w:rPr>
          <w:sz w:val="40"/>
          <w:szCs w:val="40"/>
          <w:lang w:val="fr-CA"/>
        </w:rPr>
      </w:pPr>
      <w:r w:rsidRPr="007071BA">
        <w:rPr>
          <w:rFonts w:eastAsia="Times New Roman"/>
          <w:sz w:val="40"/>
          <w:szCs w:val="40"/>
          <w:lang w:val="en-CA"/>
        </w:rPr>
        <w:lastRenderedPageBreak/>
        <w:t>Staffing by appointment type</w:t>
      </w:r>
    </w:p>
    <w:p w14:paraId="18B1653A" w14:textId="77777777" w:rsidR="007071BA" w:rsidRDefault="00717FC3" w:rsidP="007071BA">
      <w:pPr>
        <w:keepNext/>
        <w:jc w:val="center"/>
      </w:pPr>
      <w:r w:rsidRPr="00264AD9">
        <w:rPr>
          <w:rFonts w:ascii="Segoe UI" w:hAnsi="Segoe UI" w:cs="Segoe UI"/>
          <w:noProof/>
          <w:lang w:val="en-CA" w:eastAsia="en-CA"/>
        </w:rPr>
        <w:drawing>
          <wp:inline distT="0" distB="0" distL="0" distR="0" wp14:anchorId="04829D76" wp14:editId="7DBAFCFC">
            <wp:extent cx="5648400" cy="3049200"/>
            <wp:effectExtent l="0" t="0" r="9525" b="18415"/>
            <wp:docPr id="9" name="Chart 9" descr="Staffing by appointment type&#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DD89CD" w14:textId="3B547331" w:rsidR="00717FC3" w:rsidRPr="007071BA" w:rsidRDefault="007071BA" w:rsidP="007071BA">
      <w:pPr>
        <w:pStyle w:val="Caption"/>
        <w:spacing w:after="0"/>
        <w:jc w:val="center"/>
        <w:rPr>
          <w:rFonts w:asciiTheme="minorHAnsi" w:hAnsiTheme="minorHAnsi" w:cstheme="minorHAnsi"/>
          <w:b/>
          <w:bCs/>
          <w:i w:val="0"/>
          <w:iCs w:val="0"/>
          <w:color w:val="auto"/>
          <w:szCs w:val="24"/>
          <w:lang w:val="en-CA"/>
        </w:rPr>
      </w:pPr>
      <w:r w:rsidRPr="007071BA">
        <w:rPr>
          <w:rFonts w:asciiTheme="minorHAnsi" w:hAnsiTheme="minorHAnsi" w:cstheme="minorHAnsi"/>
          <w:i w:val="0"/>
          <w:iCs w:val="0"/>
          <w:color w:val="auto"/>
        </w:rPr>
        <w:t xml:space="preserve">Figure </w:t>
      </w:r>
      <w:r w:rsidRPr="007071BA">
        <w:rPr>
          <w:rFonts w:asciiTheme="minorHAnsi" w:hAnsiTheme="minorHAnsi" w:cstheme="minorHAnsi"/>
          <w:i w:val="0"/>
          <w:iCs w:val="0"/>
          <w:color w:val="auto"/>
        </w:rPr>
        <w:fldChar w:fldCharType="begin"/>
      </w:r>
      <w:r w:rsidRPr="007071BA">
        <w:rPr>
          <w:rFonts w:asciiTheme="minorHAnsi" w:hAnsiTheme="minorHAnsi" w:cstheme="minorHAnsi"/>
          <w:i w:val="0"/>
          <w:iCs w:val="0"/>
          <w:color w:val="auto"/>
        </w:rPr>
        <w:instrText xml:space="preserve"> SEQ Figure \* ARABIC </w:instrText>
      </w:r>
      <w:r w:rsidRPr="007071BA">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8</w:t>
      </w:r>
      <w:r w:rsidRPr="007071BA">
        <w:rPr>
          <w:rFonts w:asciiTheme="minorHAnsi" w:hAnsiTheme="minorHAnsi" w:cstheme="minorHAnsi"/>
          <w:i w:val="0"/>
          <w:iCs w:val="0"/>
          <w:color w:val="auto"/>
        </w:rPr>
        <w:fldChar w:fldCharType="end"/>
      </w:r>
      <w:r w:rsidRPr="007071BA">
        <w:rPr>
          <w:rFonts w:asciiTheme="minorHAnsi" w:hAnsiTheme="minorHAnsi" w:cstheme="minorHAnsi"/>
          <w:i w:val="0"/>
          <w:iCs w:val="0"/>
          <w:color w:val="auto"/>
        </w:rPr>
        <w:t xml:space="preserve"> - Staffing by appointment type</w:t>
      </w:r>
    </w:p>
    <w:p w14:paraId="7F21C90E" w14:textId="0BB5663D" w:rsidR="007071BA" w:rsidRPr="007071BA" w:rsidRDefault="007071BA" w:rsidP="007071BA">
      <w:pPr>
        <w:pStyle w:val="Caption"/>
        <w:keepNext/>
        <w:spacing w:before="240" w:after="0"/>
        <w:jc w:val="center"/>
        <w:rPr>
          <w:rFonts w:asciiTheme="minorHAnsi" w:hAnsiTheme="minorHAnsi" w:cstheme="minorHAnsi"/>
          <w:i w:val="0"/>
          <w:iCs w:val="0"/>
          <w:color w:val="auto"/>
        </w:rPr>
      </w:pPr>
      <w:r w:rsidRPr="007071BA">
        <w:rPr>
          <w:rFonts w:asciiTheme="minorHAnsi" w:hAnsiTheme="minorHAnsi" w:cstheme="minorHAnsi"/>
          <w:i w:val="0"/>
          <w:iCs w:val="0"/>
          <w:color w:val="auto"/>
        </w:rPr>
        <w:t xml:space="preserve">Table </w:t>
      </w:r>
      <w:r w:rsidRPr="007071BA">
        <w:rPr>
          <w:rFonts w:asciiTheme="minorHAnsi" w:hAnsiTheme="minorHAnsi" w:cstheme="minorHAnsi"/>
          <w:i w:val="0"/>
          <w:iCs w:val="0"/>
          <w:color w:val="auto"/>
        </w:rPr>
        <w:fldChar w:fldCharType="begin"/>
      </w:r>
      <w:r w:rsidRPr="007071BA">
        <w:rPr>
          <w:rFonts w:asciiTheme="minorHAnsi" w:hAnsiTheme="minorHAnsi" w:cstheme="minorHAnsi"/>
          <w:i w:val="0"/>
          <w:iCs w:val="0"/>
          <w:color w:val="auto"/>
        </w:rPr>
        <w:instrText xml:space="preserve"> SEQ Table \* ARABIC </w:instrText>
      </w:r>
      <w:r w:rsidRPr="007071BA">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11</w:t>
      </w:r>
      <w:r w:rsidRPr="007071BA">
        <w:rPr>
          <w:rFonts w:asciiTheme="minorHAnsi" w:hAnsiTheme="minorHAnsi" w:cstheme="minorHAnsi"/>
          <w:i w:val="0"/>
          <w:iCs w:val="0"/>
          <w:color w:val="auto"/>
        </w:rPr>
        <w:fldChar w:fldCharType="end"/>
      </w:r>
      <w:r w:rsidRPr="007071BA">
        <w:rPr>
          <w:rFonts w:asciiTheme="minorHAnsi" w:hAnsiTheme="minorHAnsi" w:cstheme="minorHAnsi"/>
          <w:i w:val="0"/>
          <w:iCs w:val="0"/>
          <w:color w:val="auto"/>
        </w:rPr>
        <w:t xml:space="preserve"> - Staffing activities by appointment type and fiscal year</w:t>
      </w:r>
    </w:p>
    <w:tbl>
      <w:tblPr>
        <w:tblStyle w:val="TableGrid"/>
        <w:tblW w:w="5000" w:type="pct"/>
        <w:jc w:val="center"/>
        <w:tblLook w:val="0020" w:firstRow="1" w:lastRow="0" w:firstColumn="0" w:lastColumn="0" w:noHBand="0" w:noVBand="0"/>
        <w:tblDescription w:val="Staffing by appointment type from 2015 to 2020"/>
      </w:tblPr>
      <w:tblGrid>
        <w:gridCol w:w="1534"/>
        <w:gridCol w:w="1376"/>
        <w:gridCol w:w="2472"/>
        <w:gridCol w:w="3868"/>
        <w:gridCol w:w="4049"/>
        <w:gridCol w:w="1091"/>
      </w:tblGrid>
      <w:tr w:rsidR="007071BA" w:rsidRPr="007071BA" w14:paraId="0B94BD76" w14:textId="77777777" w:rsidTr="00A84016">
        <w:trPr>
          <w:cantSplit/>
          <w:tblHeader/>
          <w:jc w:val="center"/>
        </w:trPr>
        <w:tc>
          <w:tcPr>
            <w:tcW w:w="533" w:type="pct"/>
          </w:tcPr>
          <w:p w14:paraId="2613D171" w14:textId="77777777" w:rsidR="00210D24" w:rsidRPr="007071BA" w:rsidRDefault="00210D24" w:rsidP="007071BA">
            <w:pPr>
              <w:pStyle w:val="TableTitle"/>
              <w:rPr>
                <w:color w:val="auto"/>
                <w:sz w:val="22"/>
                <w:szCs w:val="22"/>
                <w:lang w:val="en-CA"/>
              </w:rPr>
            </w:pPr>
            <w:r w:rsidRPr="007071BA">
              <w:rPr>
                <w:color w:val="auto"/>
                <w:sz w:val="22"/>
                <w:szCs w:val="22"/>
                <w:lang w:val="en-CA"/>
              </w:rPr>
              <w:t>Fiscal year</w:t>
            </w:r>
          </w:p>
        </w:tc>
        <w:tc>
          <w:tcPr>
            <w:tcW w:w="478" w:type="pct"/>
          </w:tcPr>
          <w:p w14:paraId="6156B597" w14:textId="77777777" w:rsidR="00210D24" w:rsidRPr="007071BA" w:rsidRDefault="00210D24" w:rsidP="007071BA">
            <w:pPr>
              <w:pStyle w:val="TableTitle"/>
              <w:rPr>
                <w:color w:val="auto"/>
                <w:sz w:val="22"/>
                <w:szCs w:val="22"/>
                <w:lang w:val="en-CA"/>
              </w:rPr>
            </w:pPr>
            <w:r w:rsidRPr="007071BA">
              <w:rPr>
                <w:color w:val="auto"/>
                <w:sz w:val="22"/>
                <w:szCs w:val="22"/>
                <w:lang w:val="en-CA"/>
              </w:rPr>
              <w:t>Promotions</w:t>
            </w:r>
          </w:p>
        </w:tc>
        <w:tc>
          <w:tcPr>
            <w:tcW w:w="859" w:type="pct"/>
          </w:tcPr>
          <w:p w14:paraId="56813E04" w14:textId="77777777" w:rsidR="00210D24" w:rsidRPr="007071BA" w:rsidRDefault="00210D24" w:rsidP="007071BA">
            <w:pPr>
              <w:pStyle w:val="TableTitle"/>
              <w:rPr>
                <w:color w:val="auto"/>
                <w:sz w:val="22"/>
                <w:szCs w:val="22"/>
                <w:lang w:val="en-CA"/>
              </w:rPr>
            </w:pPr>
            <w:r w:rsidRPr="007071BA">
              <w:rPr>
                <w:color w:val="auto"/>
                <w:sz w:val="22"/>
                <w:szCs w:val="22"/>
                <w:lang w:val="en-CA"/>
              </w:rPr>
              <w:t>Lateral and downward movements</w:t>
            </w:r>
          </w:p>
        </w:tc>
        <w:tc>
          <w:tcPr>
            <w:tcW w:w="1344" w:type="pct"/>
          </w:tcPr>
          <w:p w14:paraId="37350954" w14:textId="77777777" w:rsidR="00210D24" w:rsidRPr="007071BA" w:rsidRDefault="00210D24" w:rsidP="007071BA">
            <w:pPr>
              <w:pStyle w:val="TableTitle"/>
              <w:rPr>
                <w:color w:val="auto"/>
                <w:sz w:val="22"/>
                <w:szCs w:val="22"/>
                <w:lang w:val="en-CA"/>
              </w:rPr>
            </w:pPr>
            <w:r w:rsidRPr="007071BA">
              <w:rPr>
                <w:color w:val="auto"/>
                <w:sz w:val="22"/>
                <w:szCs w:val="22"/>
                <w:lang w:val="en-CA"/>
              </w:rPr>
              <w:t>Appointments to the public service (includes casuals and students)</w:t>
            </w:r>
          </w:p>
        </w:tc>
        <w:tc>
          <w:tcPr>
            <w:tcW w:w="1407" w:type="pct"/>
          </w:tcPr>
          <w:p w14:paraId="08B3A83F" w14:textId="77777777" w:rsidR="00210D24" w:rsidRPr="007071BA" w:rsidRDefault="00210D24" w:rsidP="007071BA">
            <w:pPr>
              <w:pStyle w:val="TableTitle"/>
              <w:rPr>
                <w:color w:val="auto"/>
                <w:sz w:val="22"/>
                <w:szCs w:val="22"/>
                <w:lang w:val="en-CA"/>
              </w:rPr>
            </w:pPr>
            <w:r w:rsidRPr="007071BA">
              <w:rPr>
                <w:color w:val="auto"/>
                <w:sz w:val="22"/>
                <w:szCs w:val="22"/>
                <w:lang w:val="en-CA"/>
              </w:rPr>
              <w:t>Acting appointments (excludes appointments of less than 4 months)</w:t>
            </w:r>
          </w:p>
        </w:tc>
        <w:tc>
          <w:tcPr>
            <w:tcW w:w="379" w:type="pct"/>
          </w:tcPr>
          <w:p w14:paraId="6F4A2C5C" w14:textId="77777777" w:rsidR="00210D24" w:rsidRPr="007071BA" w:rsidRDefault="00210D24" w:rsidP="007071BA">
            <w:pPr>
              <w:pStyle w:val="TableTitle"/>
              <w:rPr>
                <w:color w:val="auto"/>
                <w:sz w:val="22"/>
                <w:szCs w:val="22"/>
                <w:lang w:val="en-CA"/>
              </w:rPr>
            </w:pPr>
            <w:r w:rsidRPr="007071BA">
              <w:rPr>
                <w:color w:val="auto"/>
                <w:sz w:val="22"/>
                <w:szCs w:val="22"/>
                <w:lang w:val="en-CA"/>
              </w:rPr>
              <w:t>Total</w:t>
            </w:r>
          </w:p>
        </w:tc>
      </w:tr>
      <w:tr w:rsidR="00210D24" w:rsidRPr="007071BA" w14:paraId="269DA339" w14:textId="77777777" w:rsidTr="00A84016">
        <w:trPr>
          <w:cantSplit/>
          <w:tblHeader/>
          <w:jc w:val="center"/>
        </w:trPr>
        <w:tc>
          <w:tcPr>
            <w:tcW w:w="533" w:type="pct"/>
          </w:tcPr>
          <w:p w14:paraId="64350B0B" w14:textId="77777777" w:rsidR="00210D24" w:rsidRPr="00F54A67" w:rsidRDefault="00210D24" w:rsidP="008C7A1D">
            <w:pPr>
              <w:autoSpaceDE w:val="0"/>
              <w:autoSpaceDN w:val="0"/>
              <w:adjustRightInd w:val="0"/>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2015 to 2016</w:t>
            </w:r>
          </w:p>
        </w:tc>
        <w:tc>
          <w:tcPr>
            <w:tcW w:w="478" w:type="pct"/>
          </w:tcPr>
          <w:p w14:paraId="61F58128"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73</w:t>
            </w:r>
          </w:p>
        </w:tc>
        <w:tc>
          <w:tcPr>
            <w:tcW w:w="859" w:type="pct"/>
          </w:tcPr>
          <w:p w14:paraId="2268C568"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30</w:t>
            </w:r>
          </w:p>
        </w:tc>
        <w:tc>
          <w:tcPr>
            <w:tcW w:w="1344" w:type="pct"/>
          </w:tcPr>
          <w:p w14:paraId="2869F382"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68</w:t>
            </w:r>
          </w:p>
        </w:tc>
        <w:tc>
          <w:tcPr>
            <w:tcW w:w="1407" w:type="pct"/>
          </w:tcPr>
          <w:p w14:paraId="03AF9C12"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24</w:t>
            </w:r>
          </w:p>
        </w:tc>
        <w:tc>
          <w:tcPr>
            <w:tcW w:w="379" w:type="pct"/>
          </w:tcPr>
          <w:p w14:paraId="030309DA"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195</w:t>
            </w:r>
          </w:p>
        </w:tc>
      </w:tr>
      <w:tr w:rsidR="00210D24" w:rsidRPr="007071BA" w14:paraId="1FF12D75" w14:textId="77777777" w:rsidTr="00A84016">
        <w:trPr>
          <w:cantSplit/>
          <w:tblHeader/>
          <w:jc w:val="center"/>
        </w:trPr>
        <w:tc>
          <w:tcPr>
            <w:tcW w:w="533" w:type="pct"/>
          </w:tcPr>
          <w:p w14:paraId="088B8FF0" w14:textId="77777777" w:rsidR="00210D24" w:rsidRPr="00F54A67" w:rsidRDefault="00210D24" w:rsidP="008C7A1D">
            <w:pPr>
              <w:autoSpaceDE w:val="0"/>
              <w:autoSpaceDN w:val="0"/>
              <w:adjustRightInd w:val="0"/>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 xml:space="preserve">2016 to 2017 </w:t>
            </w:r>
          </w:p>
        </w:tc>
        <w:tc>
          <w:tcPr>
            <w:tcW w:w="478" w:type="pct"/>
          </w:tcPr>
          <w:p w14:paraId="6D1DA694"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43</w:t>
            </w:r>
          </w:p>
        </w:tc>
        <w:tc>
          <w:tcPr>
            <w:tcW w:w="859" w:type="pct"/>
          </w:tcPr>
          <w:p w14:paraId="258C650B"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39</w:t>
            </w:r>
          </w:p>
        </w:tc>
        <w:tc>
          <w:tcPr>
            <w:tcW w:w="1344" w:type="pct"/>
          </w:tcPr>
          <w:p w14:paraId="160D126B"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64</w:t>
            </w:r>
          </w:p>
        </w:tc>
        <w:tc>
          <w:tcPr>
            <w:tcW w:w="1407" w:type="pct"/>
          </w:tcPr>
          <w:p w14:paraId="0E8847EC"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18</w:t>
            </w:r>
          </w:p>
        </w:tc>
        <w:tc>
          <w:tcPr>
            <w:tcW w:w="379" w:type="pct"/>
          </w:tcPr>
          <w:p w14:paraId="1D3BF34A"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164</w:t>
            </w:r>
          </w:p>
        </w:tc>
      </w:tr>
      <w:tr w:rsidR="00210D24" w:rsidRPr="007071BA" w14:paraId="2F8C7A5E" w14:textId="77777777" w:rsidTr="00A84016">
        <w:trPr>
          <w:cantSplit/>
          <w:tblHeader/>
          <w:jc w:val="center"/>
        </w:trPr>
        <w:tc>
          <w:tcPr>
            <w:tcW w:w="533" w:type="pct"/>
          </w:tcPr>
          <w:p w14:paraId="0269B79A" w14:textId="77777777" w:rsidR="00210D24" w:rsidRPr="00F54A67" w:rsidRDefault="00210D24" w:rsidP="008C7A1D">
            <w:pPr>
              <w:autoSpaceDE w:val="0"/>
              <w:autoSpaceDN w:val="0"/>
              <w:adjustRightInd w:val="0"/>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2017 to 2018</w:t>
            </w:r>
          </w:p>
        </w:tc>
        <w:tc>
          <w:tcPr>
            <w:tcW w:w="478" w:type="pct"/>
          </w:tcPr>
          <w:p w14:paraId="2CB5371C"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51</w:t>
            </w:r>
          </w:p>
        </w:tc>
        <w:tc>
          <w:tcPr>
            <w:tcW w:w="859" w:type="pct"/>
          </w:tcPr>
          <w:p w14:paraId="3F0FEE70"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41</w:t>
            </w:r>
          </w:p>
        </w:tc>
        <w:tc>
          <w:tcPr>
            <w:tcW w:w="1344" w:type="pct"/>
          </w:tcPr>
          <w:p w14:paraId="613B112F"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80</w:t>
            </w:r>
          </w:p>
        </w:tc>
        <w:tc>
          <w:tcPr>
            <w:tcW w:w="1407" w:type="pct"/>
          </w:tcPr>
          <w:p w14:paraId="320F1164"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29</w:t>
            </w:r>
          </w:p>
        </w:tc>
        <w:tc>
          <w:tcPr>
            <w:tcW w:w="379" w:type="pct"/>
          </w:tcPr>
          <w:p w14:paraId="071AF097"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201</w:t>
            </w:r>
          </w:p>
        </w:tc>
      </w:tr>
      <w:tr w:rsidR="00210D24" w:rsidRPr="007071BA" w14:paraId="2419691E" w14:textId="77777777" w:rsidTr="00A84016">
        <w:trPr>
          <w:cantSplit/>
          <w:tblHeader/>
          <w:jc w:val="center"/>
        </w:trPr>
        <w:tc>
          <w:tcPr>
            <w:tcW w:w="533" w:type="pct"/>
          </w:tcPr>
          <w:p w14:paraId="3B3F33C0" w14:textId="77777777" w:rsidR="00210D24" w:rsidRPr="00F54A67" w:rsidRDefault="00210D24" w:rsidP="008C7A1D">
            <w:pPr>
              <w:autoSpaceDE w:val="0"/>
              <w:autoSpaceDN w:val="0"/>
              <w:adjustRightInd w:val="0"/>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2018 to 2019</w:t>
            </w:r>
          </w:p>
        </w:tc>
        <w:tc>
          <w:tcPr>
            <w:tcW w:w="478" w:type="pct"/>
          </w:tcPr>
          <w:p w14:paraId="02B13128"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60</w:t>
            </w:r>
          </w:p>
        </w:tc>
        <w:tc>
          <w:tcPr>
            <w:tcW w:w="859" w:type="pct"/>
          </w:tcPr>
          <w:p w14:paraId="62B78E4A"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46</w:t>
            </w:r>
          </w:p>
        </w:tc>
        <w:tc>
          <w:tcPr>
            <w:tcW w:w="1344" w:type="pct"/>
          </w:tcPr>
          <w:p w14:paraId="36DAA705"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47</w:t>
            </w:r>
          </w:p>
        </w:tc>
        <w:tc>
          <w:tcPr>
            <w:tcW w:w="1407" w:type="pct"/>
          </w:tcPr>
          <w:p w14:paraId="7D463824"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32</w:t>
            </w:r>
          </w:p>
        </w:tc>
        <w:tc>
          <w:tcPr>
            <w:tcW w:w="379" w:type="pct"/>
          </w:tcPr>
          <w:p w14:paraId="09E4A84E"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185</w:t>
            </w:r>
          </w:p>
        </w:tc>
      </w:tr>
      <w:tr w:rsidR="00210D24" w:rsidRPr="007071BA" w14:paraId="5C040BCF" w14:textId="77777777" w:rsidTr="00A84016">
        <w:trPr>
          <w:cantSplit/>
          <w:tblHeader/>
          <w:jc w:val="center"/>
        </w:trPr>
        <w:tc>
          <w:tcPr>
            <w:tcW w:w="533" w:type="pct"/>
          </w:tcPr>
          <w:p w14:paraId="7DE260E3" w14:textId="77777777" w:rsidR="00210D24" w:rsidRPr="00F54A67" w:rsidRDefault="00210D24" w:rsidP="008C7A1D">
            <w:pPr>
              <w:autoSpaceDE w:val="0"/>
              <w:autoSpaceDN w:val="0"/>
              <w:adjustRightInd w:val="0"/>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2019 to 2020</w:t>
            </w:r>
          </w:p>
        </w:tc>
        <w:tc>
          <w:tcPr>
            <w:tcW w:w="478" w:type="pct"/>
          </w:tcPr>
          <w:p w14:paraId="70ABDF1F"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62</w:t>
            </w:r>
          </w:p>
        </w:tc>
        <w:tc>
          <w:tcPr>
            <w:tcW w:w="859" w:type="pct"/>
          </w:tcPr>
          <w:p w14:paraId="0C9B8F71"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35</w:t>
            </w:r>
          </w:p>
        </w:tc>
        <w:tc>
          <w:tcPr>
            <w:tcW w:w="1344" w:type="pct"/>
          </w:tcPr>
          <w:p w14:paraId="46DA9A2C"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67</w:t>
            </w:r>
          </w:p>
        </w:tc>
        <w:tc>
          <w:tcPr>
            <w:tcW w:w="1407" w:type="pct"/>
          </w:tcPr>
          <w:p w14:paraId="4B5965B2"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43</w:t>
            </w:r>
          </w:p>
        </w:tc>
        <w:tc>
          <w:tcPr>
            <w:tcW w:w="379" w:type="pct"/>
          </w:tcPr>
          <w:p w14:paraId="3F9F4417" w14:textId="77777777" w:rsidR="00210D24" w:rsidRPr="00F54A67" w:rsidRDefault="00210D24" w:rsidP="008C7A1D">
            <w:pPr>
              <w:autoSpaceDE w:val="0"/>
              <w:autoSpaceDN w:val="0"/>
              <w:adjustRightInd w:val="0"/>
              <w:jc w:val="center"/>
              <w:rPr>
                <w:rFonts w:ascii="Segoe UI Semilight" w:hAnsi="Segoe UI Semilight" w:cs="Segoe UI Semilight"/>
                <w:color w:val="000000"/>
                <w:sz w:val="22"/>
                <w:szCs w:val="22"/>
                <w:lang w:val="en-CA"/>
              </w:rPr>
            </w:pPr>
            <w:r w:rsidRPr="00F54A67">
              <w:rPr>
                <w:rFonts w:ascii="Segoe UI Semilight" w:hAnsi="Segoe UI Semilight" w:cs="Segoe UI Semilight"/>
                <w:color w:val="000000"/>
                <w:sz w:val="22"/>
                <w:szCs w:val="22"/>
                <w:lang w:val="en-CA"/>
              </w:rPr>
              <w:t>207</w:t>
            </w:r>
          </w:p>
        </w:tc>
      </w:tr>
    </w:tbl>
    <w:p w14:paraId="205A6C7F" w14:textId="77777777" w:rsidR="00717FC3" w:rsidRPr="00264AD9" w:rsidRDefault="00717FC3" w:rsidP="0072395D">
      <w:pPr>
        <w:jc w:val="right"/>
        <w:rPr>
          <w:rFonts w:ascii="Segoe UI" w:hAnsi="Segoe UI" w:cs="Segoe UI"/>
          <w:b/>
          <w:bCs/>
          <w:szCs w:val="24"/>
          <w:lang w:val="en-CA"/>
        </w:rPr>
        <w:sectPr w:rsidR="00717FC3" w:rsidRPr="00264AD9" w:rsidSect="005A0BFA">
          <w:pgSz w:w="15840" w:h="12240" w:orient="landscape"/>
          <w:pgMar w:top="720" w:right="720" w:bottom="720" w:left="720" w:header="709" w:footer="284" w:gutter="0"/>
          <w:cols w:space="708"/>
          <w:titlePg/>
          <w:docGrid w:linePitch="360"/>
        </w:sectPr>
      </w:pPr>
    </w:p>
    <w:p w14:paraId="2C585764" w14:textId="77777777" w:rsidR="007071BA" w:rsidRPr="007071BA" w:rsidRDefault="007071BA" w:rsidP="007071BA">
      <w:pPr>
        <w:pStyle w:val="Heading1"/>
        <w:spacing w:before="120" w:after="120"/>
        <w:rPr>
          <w:sz w:val="40"/>
          <w:szCs w:val="40"/>
          <w:lang w:val="fr-CA"/>
        </w:rPr>
      </w:pPr>
      <w:r w:rsidRPr="007071BA">
        <w:rPr>
          <w:rFonts w:eastAsia="Times New Roman"/>
          <w:sz w:val="40"/>
          <w:szCs w:val="40"/>
          <w:lang w:val="en-CA"/>
        </w:rPr>
        <w:lastRenderedPageBreak/>
        <w:t>Staffing by tenure</w:t>
      </w:r>
    </w:p>
    <w:p w14:paraId="294754F7" w14:textId="77777777" w:rsidR="007071BA" w:rsidRDefault="00717FC3" w:rsidP="007071BA">
      <w:pPr>
        <w:keepNext/>
        <w:jc w:val="center"/>
      </w:pPr>
      <w:r w:rsidRPr="00264AD9">
        <w:rPr>
          <w:rFonts w:ascii="Segoe UI" w:hAnsi="Segoe UI" w:cs="Segoe UI"/>
          <w:noProof/>
          <w:lang w:val="en-CA" w:eastAsia="en-CA"/>
        </w:rPr>
        <w:drawing>
          <wp:inline distT="0" distB="0" distL="0" distR="0" wp14:anchorId="67842BC4" wp14:editId="69626601">
            <wp:extent cx="5648400" cy="3049200"/>
            <wp:effectExtent l="0" t="0" r="9525" b="18415"/>
            <wp:docPr id="3" name="Chart 3" descr="Staffing by tenure&#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172FD2" w14:textId="1E67BFBF" w:rsidR="00717FC3" w:rsidRPr="007071BA" w:rsidRDefault="007071BA" w:rsidP="007071BA">
      <w:pPr>
        <w:pStyle w:val="Caption"/>
        <w:spacing w:after="0"/>
        <w:jc w:val="center"/>
        <w:rPr>
          <w:rFonts w:asciiTheme="minorHAnsi" w:hAnsiTheme="minorHAnsi" w:cstheme="minorHAnsi"/>
          <w:b/>
          <w:bCs/>
          <w:i w:val="0"/>
          <w:iCs w:val="0"/>
          <w:color w:val="auto"/>
          <w:szCs w:val="24"/>
          <w:lang w:val="en-CA"/>
        </w:rPr>
      </w:pPr>
      <w:r w:rsidRPr="007071BA">
        <w:rPr>
          <w:rFonts w:asciiTheme="minorHAnsi" w:hAnsiTheme="minorHAnsi" w:cstheme="minorHAnsi"/>
          <w:i w:val="0"/>
          <w:iCs w:val="0"/>
          <w:color w:val="auto"/>
        </w:rPr>
        <w:t xml:space="preserve">Figure </w:t>
      </w:r>
      <w:r w:rsidRPr="007071BA">
        <w:rPr>
          <w:rFonts w:asciiTheme="minorHAnsi" w:hAnsiTheme="minorHAnsi" w:cstheme="minorHAnsi"/>
          <w:i w:val="0"/>
          <w:iCs w:val="0"/>
          <w:color w:val="auto"/>
        </w:rPr>
        <w:fldChar w:fldCharType="begin"/>
      </w:r>
      <w:r w:rsidRPr="007071BA">
        <w:rPr>
          <w:rFonts w:asciiTheme="minorHAnsi" w:hAnsiTheme="minorHAnsi" w:cstheme="minorHAnsi"/>
          <w:i w:val="0"/>
          <w:iCs w:val="0"/>
          <w:color w:val="auto"/>
        </w:rPr>
        <w:instrText xml:space="preserve"> SEQ Figure \* ARABIC </w:instrText>
      </w:r>
      <w:r w:rsidRPr="007071BA">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9</w:t>
      </w:r>
      <w:r w:rsidRPr="007071BA">
        <w:rPr>
          <w:rFonts w:asciiTheme="minorHAnsi" w:hAnsiTheme="minorHAnsi" w:cstheme="minorHAnsi"/>
          <w:i w:val="0"/>
          <w:iCs w:val="0"/>
          <w:color w:val="auto"/>
        </w:rPr>
        <w:fldChar w:fldCharType="end"/>
      </w:r>
      <w:r w:rsidRPr="007071BA">
        <w:rPr>
          <w:rFonts w:asciiTheme="minorHAnsi" w:hAnsiTheme="minorHAnsi" w:cstheme="minorHAnsi"/>
          <w:i w:val="0"/>
          <w:iCs w:val="0"/>
          <w:color w:val="auto"/>
        </w:rPr>
        <w:t xml:space="preserve"> - Staffing by tenure</w:t>
      </w:r>
    </w:p>
    <w:p w14:paraId="03011688" w14:textId="7ADE3DF5" w:rsidR="007071BA" w:rsidRPr="007071BA" w:rsidRDefault="007071BA" w:rsidP="007071BA">
      <w:pPr>
        <w:pStyle w:val="Caption"/>
        <w:keepNext/>
        <w:spacing w:before="240" w:after="0"/>
        <w:jc w:val="center"/>
        <w:rPr>
          <w:rFonts w:asciiTheme="minorHAnsi" w:hAnsiTheme="minorHAnsi" w:cstheme="minorHAnsi"/>
          <w:i w:val="0"/>
          <w:iCs w:val="0"/>
          <w:color w:val="auto"/>
        </w:rPr>
      </w:pPr>
      <w:r w:rsidRPr="007071BA">
        <w:rPr>
          <w:rFonts w:asciiTheme="minorHAnsi" w:hAnsiTheme="minorHAnsi" w:cstheme="minorHAnsi"/>
          <w:i w:val="0"/>
          <w:iCs w:val="0"/>
          <w:color w:val="auto"/>
        </w:rPr>
        <w:t xml:space="preserve">Table </w:t>
      </w:r>
      <w:r w:rsidRPr="007071BA">
        <w:rPr>
          <w:rFonts w:asciiTheme="minorHAnsi" w:hAnsiTheme="minorHAnsi" w:cstheme="minorHAnsi"/>
          <w:i w:val="0"/>
          <w:iCs w:val="0"/>
          <w:color w:val="auto"/>
        </w:rPr>
        <w:fldChar w:fldCharType="begin"/>
      </w:r>
      <w:r w:rsidRPr="007071BA">
        <w:rPr>
          <w:rFonts w:asciiTheme="minorHAnsi" w:hAnsiTheme="minorHAnsi" w:cstheme="minorHAnsi"/>
          <w:i w:val="0"/>
          <w:iCs w:val="0"/>
          <w:color w:val="auto"/>
        </w:rPr>
        <w:instrText xml:space="preserve"> SEQ Table \* ARABIC </w:instrText>
      </w:r>
      <w:r w:rsidRPr="007071BA">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12</w:t>
      </w:r>
      <w:r w:rsidRPr="007071BA">
        <w:rPr>
          <w:rFonts w:asciiTheme="minorHAnsi" w:hAnsiTheme="minorHAnsi" w:cstheme="minorHAnsi"/>
          <w:i w:val="0"/>
          <w:iCs w:val="0"/>
          <w:color w:val="auto"/>
        </w:rPr>
        <w:fldChar w:fldCharType="end"/>
      </w:r>
      <w:r w:rsidRPr="007071BA">
        <w:rPr>
          <w:rFonts w:asciiTheme="minorHAnsi" w:hAnsiTheme="minorHAnsi" w:cstheme="minorHAnsi"/>
          <w:i w:val="0"/>
          <w:iCs w:val="0"/>
          <w:color w:val="auto"/>
        </w:rPr>
        <w:t xml:space="preserve"> - Staffing activities by tenure and fiscal year</w:t>
      </w:r>
    </w:p>
    <w:tbl>
      <w:tblPr>
        <w:tblStyle w:val="TableGrid"/>
        <w:tblW w:w="5000" w:type="pct"/>
        <w:jc w:val="center"/>
        <w:tblLook w:val="0020" w:firstRow="1" w:lastRow="0" w:firstColumn="0" w:lastColumn="0" w:noHBand="0" w:noVBand="0"/>
        <w:tblDescription w:val="Staffing by tenure from 2015 to 2020"/>
      </w:tblPr>
      <w:tblGrid>
        <w:gridCol w:w="1838"/>
        <w:gridCol w:w="2550"/>
        <w:gridCol w:w="2412"/>
        <w:gridCol w:w="2550"/>
        <w:gridCol w:w="2694"/>
        <w:gridCol w:w="2346"/>
      </w:tblGrid>
      <w:tr w:rsidR="007071BA" w:rsidRPr="007071BA" w14:paraId="6F09FF8F" w14:textId="77777777" w:rsidTr="00A84016">
        <w:trPr>
          <w:cantSplit/>
          <w:tblHeader/>
          <w:jc w:val="center"/>
        </w:trPr>
        <w:tc>
          <w:tcPr>
            <w:tcW w:w="639" w:type="pct"/>
          </w:tcPr>
          <w:p w14:paraId="3D48D52C" w14:textId="77777777" w:rsidR="00210D24" w:rsidRPr="007071BA" w:rsidRDefault="00210D24" w:rsidP="007071BA">
            <w:pPr>
              <w:pStyle w:val="TableTitle"/>
              <w:contextualSpacing/>
              <w:rPr>
                <w:color w:val="auto"/>
                <w:sz w:val="22"/>
                <w:szCs w:val="22"/>
                <w:lang w:val="en-CA"/>
              </w:rPr>
            </w:pPr>
            <w:r w:rsidRPr="007071BA">
              <w:rPr>
                <w:color w:val="auto"/>
                <w:sz w:val="22"/>
                <w:szCs w:val="22"/>
                <w:lang w:val="en-CA"/>
              </w:rPr>
              <w:t>Fiscal year</w:t>
            </w:r>
          </w:p>
        </w:tc>
        <w:tc>
          <w:tcPr>
            <w:tcW w:w="886" w:type="pct"/>
          </w:tcPr>
          <w:p w14:paraId="2E26C50A" w14:textId="77777777" w:rsidR="00210D24" w:rsidRPr="007071BA" w:rsidRDefault="00210D24" w:rsidP="007071BA">
            <w:pPr>
              <w:pStyle w:val="TableTitle"/>
              <w:contextualSpacing/>
              <w:rPr>
                <w:color w:val="auto"/>
                <w:sz w:val="22"/>
                <w:szCs w:val="22"/>
                <w:lang w:val="en-CA"/>
              </w:rPr>
            </w:pPr>
            <w:r w:rsidRPr="007071BA">
              <w:rPr>
                <w:color w:val="auto"/>
                <w:sz w:val="22"/>
                <w:szCs w:val="22"/>
                <w:lang w:val="en-CA"/>
              </w:rPr>
              <w:t>Indeterminate staffing activities</w:t>
            </w:r>
          </w:p>
        </w:tc>
        <w:tc>
          <w:tcPr>
            <w:tcW w:w="838" w:type="pct"/>
          </w:tcPr>
          <w:p w14:paraId="2061D21F" w14:textId="77777777" w:rsidR="00210D24" w:rsidRPr="007071BA" w:rsidRDefault="00210D24" w:rsidP="007071BA">
            <w:pPr>
              <w:pStyle w:val="TableTitle"/>
              <w:contextualSpacing/>
              <w:rPr>
                <w:color w:val="auto"/>
                <w:sz w:val="22"/>
                <w:szCs w:val="22"/>
                <w:lang w:val="en-CA"/>
              </w:rPr>
            </w:pPr>
            <w:r w:rsidRPr="007071BA">
              <w:rPr>
                <w:color w:val="auto"/>
                <w:sz w:val="22"/>
                <w:szCs w:val="22"/>
                <w:lang w:val="en-CA"/>
              </w:rPr>
              <w:t>Term staffing activities</w:t>
            </w:r>
          </w:p>
        </w:tc>
        <w:tc>
          <w:tcPr>
            <w:tcW w:w="886" w:type="pct"/>
          </w:tcPr>
          <w:p w14:paraId="63C6BFA8" w14:textId="77777777" w:rsidR="00210D24" w:rsidRPr="007071BA" w:rsidRDefault="00210D24" w:rsidP="007071BA">
            <w:pPr>
              <w:pStyle w:val="TableTitle"/>
              <w:contextualSpacing/>
              <w:rPr>
                <w:color w:val="auto"/>
                <w:sz w:val="22"/>
                <w:szCs w:val="22"/>
                <w:lang w:val="en-CA"/>
              </w:rPr>
            </w:pPr>
            <w:r w:rsidRPr="007071BA">
              <w:rPr>
                <w:color w:val="auto"/>
                <w:sz w:val="22"/>
                <w:szCs w:val="22"/>
                <w:lang w:val="en-CA"/>
              </w:rPr>
              <w:t>Casual staffing activities</w:t>
            </w:r>
          </w:p>
        </w:tc>
        <w:tc>
          <w:tcPr>
            <w:tcW w:w="936" w:type="pct"/>
          </w:tcPr>
          <w:p w14:paraId="5AB38C69" w14:textId="77777777" w:rsidR="00210D24" w:rsidRPr="007071BA" w:rsidRDefault="00210D24" w:rsidP="007071BA">
            <w:pPr>
              <w:pStyle w:val="TableTitle"/>
              <w:contextualSpacing/>
              <w:rPr>
                <w:color w:val="auto"/>
                <w:sz w:val="22"/>
                <w:szCs w:val="22"/>
                <w:lang w:val="en-CA"/>
              </w:rPr>
            </w:pPr>
            <w:r w:rsidRPr="007071BA">
              <w:rPr>
                <w:color w:val="auto"/>
                <w:sz w:val="22"/>
                <w:szCs w:val="22"/>
                <w:lang w:val="en-CA"/>
              </w:rPr>
              <w:t>Student staffing activities</w:t>
            </w:r>
          </w:p>
        </w:tc>
        <w:tc>
          <w:tcPr>
            <w:tcW w:w="815" w:type="pct"/>
          </w:tcPr>
          <w:p w14:paraId="351E8611" w14:textId="77777777" w:rsidR="00210D24" w:rsidRPr="007071BA" w:rsidRDefault="00210D24" w:rsidP="007071BA">
            <w:pPr>
              <w:pStyle w:val="TableTitle"/>
              <w:contextualSpacing/>
              <w:rPr>
                <w:color w:val="auto"/>
                <w:sz w:val="22"/>
                <w:szCs w:val="22"/>
                <w:lang w:val="en-CA"/>
              </w:rPr>
            </w:pPr>
            <w:r w:rsidRPr="007071BA">
              <w:rPr>
                <w:color w:val="auto"/>
                <w:sz w:val="22"/>
                <w:szCs w:val="22"/>
                <w:lang w:val="en-CA"/>
              </w:rPr>
              <w:t>Total staffing activities</w:t>
            </w:r>
          </w:p>
        </w:tc>
      </w:tr>
      <w:tr w:rsidR="007071BA" w:rsidRPr="007071BA" w14:paraId="7B40C026" w14:textId="77777777" w:rsidTr="00A84016">
        <w:trPr>
          <w:cantSplit/>
          <w:tblHeader/>
          <w:jc w:val="center"/>
        </w:trPr>
        <w:tc>
          <w:tcPr>
            <w:tcW w:w="639" w:type="pct"/>
          </w:tcPr>
          <w:p w14:paraId="6D9DF26E" w14:textId="77777777" w:rsidR="00210D24" w:rsidRPr="007071BA" w:rsidRDefault="00210D24" w:rsidP="007071BA">
            <w:pPr>
              <w:autoSpaceDE w:val="0"/>
              <w:autoSpaceDN w:val="0"/>
              <w:adjustRightInd w:val="0"/>
              <w:contextualSpacing/>
              <w:rPr>
                <w:rFonts w:asciiTheme="minorHAnsi" w:hAnsiTheme="minorHAnsi" w:cstheme="minorHAnsi"/>
                <w:sz w:val="22"/>
                <w:szCs w:val="22"/>
                <w:lang w:val="en-CA"/>
              </w:rPr>
            </w:pPr>
            <w:r w:rsidRPr="007071BA">
              <w:rPr>
                <w:rFonts w:asciiTheme="minorHAnsi" w:hAnsiTheme="minorHAnsi" w:cstheme="minorHAnsi"/>
                <w:sz w:val="22"/>
                <w:szCs w:val="22"/>
                <w:lang w:val="en-CA"/>
              </w:rPr>
              <w:t>2015 to 2016</w:t>
            </w:r>
          </w:p>
        </w:tc>
        <w:tc>
          <w:tcPr>
            <w:tcW w:w="886" w:type="pct"/>
          </w:tcPr>
          <w:p w14:paraId="5F6A4BF0"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138</w:t>
            </w:r>
          </w:p>
        </w:tc>
        <w:tc>
          <w:tcPr>
            <w:tcW w:w="838" w:type="pct"/>
          </w:tcPr>
          <w:p w14:paraId="0BF01846"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22</w:t>
            </w:r>
          </w:p>
        </w:tc>
        <w:tc>
          <w:tcPr>
            <w:tcW w:w="886" w:type="pct"/>
          </w:tcPr>
          <w:p w14:paraId="14DFDFFE"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18</w:t>
            </w:r>
          </w:p>
        </w:tc>
        <w:tc>
          <w:tcPr>
            <w:tcW w:w="936" w:type="pct"/>
          </w:tcPr>
          <w:p w14:paraId="6BA0CD57"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17</w:t>
            </w:r>
          </w:p>
        </w:tc>
        <w:tc>
          <w:tcPr>
            <w:tcW w:w="815" w:type="pct"/>
          </w:tcPr>
          <w:p w14:paraId="12F27A0B"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195</w:t>
            </w:r>
          </w:p>
        </w:tc>
      </w:tr>
      <w:tr w:rsidR="007071BA" w:rsidRPr="007071BA" w14:paraId="0CFC614B" w14:textId="77777777" w:rsidTr="00A84016">
        <w:trPr>
          <w:cantSplit/>
          <w:tblHeader/>
          <w:jc w:val="center"/>
        </w:trPr>
        <w:tc>
          <w:tcPr>
            <w:tcW w:w="639" w:type="pct"/>
          </w:tcPr>
          <w:p w14:paraId="7E186EEE" w14:textId="77777777" w:rsidR="00210D24" w:rsidRPr="007071BA" w:rsidRDefault="00210D24" w:rsidP="007071BA">
            <w:pPr>
              <w:autoSpaceDE w:val="0"/>
              <w:autoSpaceDN w:val="0"/>
              <w:adjustRightInd w:val="0"/>
              <w:contextualSpacing/>
              <w:rPr>
                <w:rFonts w:asciiTheme="minorHAnsi" w:hAnsiTheme="minorHAnsi" w:cstheme="minorHAnsi"/>
                <w:sz w:val="22"/>
                <w:szCs w:val="22"/>
                <w:lang w:val="en-CA"/>
              </w:rPr>
            </w:pPr>
            <w:r w:rsidRPr="007071BA">
              <w:rPr>
                <w:rFonts w:asciiTheme="minorHAnsi" w:hAnsiTheme="minorHAnsi" w:cstheme="minorHAnsi"/>
                <w:sz w:val="22"/>
                <w:szCs w:val="22"/>
                <w:lang w:val="en-CA"/>
              </w:rPr>
              <w:t>2016 to 2017</w:t>
            </w:r>
          </w:p>
        </w:tc>
        <w:tc>
          <w:tcPr>
            <w:tcW w:w="886" w:type="pct"/>
          </w:tcPr>
          <w:p w14:paraId="0A64ADDB"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112</w:t>
            </w:r>
          </w:p>
        </w:tc>
        <w:tc>
          <w:tcPr>
            <w:tcW w:w="838" w:type="pct"/>
          </w:tcPr>
          <w:p w14:paraId="536E54BE"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25</w:t>
            </w:r>
          </w:p>
        </w:tc>
        <w:tc>
          <w:tcPr>
            <w:tcW w:w="886" w:type="pct"/>
          </w:tcPr>
          <w:p w14:paraId="4AB5E0FA"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20</w:t>
            </w:r>
          </w:p>
        </w:tc>
        <w:tc>
          <w:tcPr>
            <w:tcW w:w="936" w:type="pct"/>
          </w:tcPr>
          <w:p w14:paraId="3E84BC80"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7</w:t>
            </w:r>
          </w:p>
        </w:tc>
        <w:tc>
          <w:tcPr>
            <w:tcW w:w="815" w:type="pct"/>
          </w:tcPr>
          <w:p w14:paraId="054040A3"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165</w:t>
            </w:r>
          </w:p>
        </w:tc>
      </w:tr>
      <w:tr w:rsidR="007071BA" w:rsidRPr="007071BA" w14:paraId="56782DD0" w14:textId="77777777" w:rsidTr="00A84016">
        <w:trPr>
          <w:cantSplit/>
          <w:tblHeader/>
          <w:jc w:val="center"/>
        </w:trPr>
        <w:tc>
          <w:tcPr>
            <w:tcW w:w="639" w:type="pct"/>
          </w:tcPr>
          <w:p w14:paraId="492D36F0" w14:textId="77777777" w:rsidR="00210D24" w:rsidRPr="007071BA" w:rsidRDefault="00210D24" w:rsidP="007071BA">
            <w:pPr>
              <w:autoSpaceDE w:val="0"/>
              <w:autoSpaceDN w:val="0"/>
              <w:adjustRightInd w:val="0"/>
              <w:contextualSpacing/>
              <w:rPr>
                <w:rFonts w:asciiTheme="minorHAnsi" w:hAnsiTheme="minorHAnsi" w:cstheme="minorHAnsi"/>
                <w:sz w:val="22"/>
                <w:szCs w:val="22"/>
                <w:lang w:val="en-CA"/>
              </w:rPr>
            </w:pPr>
            <w:r w:rsidRPr="007071BA">
              <w:rPr>
                <w:rFonts w:asciiTheme="minorHAnsi" w:hAnsiTheme="minorHAnsi" w:cstheme="minorHAnsi"/>
                <w:sz w:val="22"/>
                <w:szCs w:val="22"/>
                <w:lang w:val="en-CA"/>
              </w:rPr>
              <w:t>2017 to 2018</w:t>
            </w:r>
          </w:p>
        </w:tc>
        <w:tc>
          <w:tcPr>
            <w:tcW w:w="886" w:type="pct"/>
          </w:tcPr>
          <w:p w14:paraId="66A173F8"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127</w:t>
            </w:r>
          </w:p>
        </w:tc>
        <w:tc>
          <w:tcPr>
            <w:tcW w:w="838" w:type="pct"/>
          </w:tcPr>
          <w:p w14:paraId="5AEAE8AE"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39</w:t>
            </w:r>
          </w:p>
        </w:tc>
        <w:tc>
          <w:tcPr>
            <w:tcW w:w="886" w:type="pct"/>
          </w:tcPr>
          <w:p w14:paraId="00ED3128"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24</w:t>
            </w:r>
          </w:p>
        </w:tc>
        <w:tc>
          <w:tcPr>
            <w:tcW w:w="936" w:type="pct"/>
          </w:tcPr>
          <w:p w14:paraId="26838C1F"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11</w:t>
            </w:r>
          </w:p>
        </w:tc>
        <w:tc>
          <w:tcPr>
            <w:tcW w:w="815" w:type="pct"/>
          </w:tcPr>
          <w:p w14:paraId="1FA34AC5"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201</w:t>
            </w:r>
          </w:p>
        </w:tc>
      </w:tr>
      <w:tr w:rsidR="007071BA" w:rsidRPr="007071BA" w14:paraId="21ACA100" w14:textId="77777777" w:rsidTr="00A84016">
        <w:trPr>
          <w:cantSplit/>
          <w:tblHeader/>
          <w:jc w:val="center"/>
        </w:trPr>
        <w:tc>
          <w:tcPr>
            <w:tcW w:w="639" w:type="pct"/>
          </w:tcPr>
          <w:p w14:paraId="5B825645" w14:textId="77777777" w:rsidR="00210D24" w:rsidRPr="007071BA" w:rsidRDefault="00210D24" w:rsidP="007071BA">
            <w:pPr>
              <w:autoSpaceDE w:val="0"/>
              <w:autoSpaceDN w:val="0"/>
              <w:adjustRightInd w:val="0"/>
              <w:contextualSpacing/>
              <w:rPr>
                <w:rFonts w:asciiTheme="minorHAnsi" w:hAnsiTheme="minorHAnsi" w:cstheme="minorHAnsi"/>
                <w:sz w:val="22"/>
                <w:szCs w:val="22"/>
                <w:lang w:val="en-CA"/>
              </w:rPr>
            </w:pPr>
            <w:r w:rsidRPr="007071BA">
              <w:rPr>
                <w:rFonts w:asciiTheme="minorHAnsi" w:hAnsiTheme="minorHAnsi" w:cstheme="minorHAnsi"/>
                <w:sz w:val="22"/>
                <w:szCs w:val="22"/>
                <w:lang w:val="en-CA"/>
              </w:rPr>
              <w:t>2018 to 2019</w:t>
            </w:r>
          </w:p>
        </w:tc>
        <w:tc>
          <w:tcPr>
            <w:tcW w:w="886" w:type="pct"/>
          </w:tcPr>
          <w:p w14:paraId="32348529"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142</w:t>
            </w:r>
          </w:p>
        </w:tc>
        <w:tc>
          <w:tcPr>
            <w:tcW w:w="838" w:type="pct"/>
          </w:tcPr>
          <w:p w14:paraId="23E5458C"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21</w:t>
            </w:r>
          </w:p>
        </w:tc>
        <w:tc>
          <w:tcPr>
            <w:tcW w:w="886" w:type="pct"/>
          </w:tcPr>
          <w:p w14:paraId="2DA9C28F"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19</w:t>
            </w:r>
          </w:p>
        </w:tc>
        <w:tc>
          <w:tcPr>
            <w:tcW w:w="936" w:type="pct"/>
          </w:tcPr>
          <w:p w14:paraId="6499B25A"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3</w:t>
            </w:r>
          </w:p>
        </w:tc>
        <w:tc>
          <w:tcPr>
            <w:tcW w:w="815" w:type="pct"/>
          </w:tcPr>
          <w:p w14:paraId="775C0EB1"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185</w:t>
            </w:r>
          </w:p>
        </w:tc>
      </w:tr>
      <w:tr w:rsidR="007071BA" w:rsidRPr="007071BA" w14:paraId="6AE7C944" w14:textId="77777777" w:rsidTr="00A84016">
        <w:trPr>
          <w:cantSplit/>
          <w:tblHeader/>
          <w:jc w:val="center"/>
        </w:trPr>
        <w:tc>
          <w:tcPr>
            <w:tcW w:w="639" w:type="pct"/>
          </w:tcPr>
          <w:p w14:paraId="76A94AD9" w14:textId="77777777" w:rsidR="00210D24" w:rsidRPr="007071BA" w:rsidRDefault="00210D24" w:rsidP="007071BA">
            <w:pPr>
              <w:autoSpaceDE w:val="0"/>
              <w:autoSpaceDN w:val="0"/>
              <w:adjustRightInd w:val="0"/>
              <w:contextualSpacing/>
              <w:rPr>
                <w:rFonts w:asciiTheme="minorHAnsi" w:hAnsiTheme="minorHAnsi" w:cstheme="minorHAnsi"/>
                <w:sz w:val="22"/>
                <w:szCs w:val="22"/>
                <w:lang w:val="en-CA"/>
              </w:rPr>
            </w:pPr>
            <w:r w:rsidRPr="007071BA">
              <w:rPr>
                <w:rFonts w:asciiTheme="minorHAnsi" w:hAnsiTheme="minorHAnsi" w:cstheme="minorHAnsi"/>
                <w:sz w:val="22"/>
                <w:szCs w:val="22"/>
                <w:lang w:val="en-CA"/>
              </w:rPr>
              <w:t>2019 to 2020</w:t>
            </w:r>
          </w:p>
        </w:tc>
        <w:tc>
          <w:tcPr>
            <w:tcW w:w="886" w:type="pct"/>
          </w:tcPr>
          <w:p w14:paraId="57A95C78"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135</w:t>
            </w:r>
          </w:p>
        </w:tc>
        <w:tc>
          <w:tcPr>
            <w:tcW w:w="838" w:type="pct"/>
          </w:tcPr>
          <w:p w14:paraId="174D4854"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46</w:t>
            </w:r>
          </w:p>
        </w:tc>
        <w:tc>
          <w:tcPr>
            <w:tcW w:w="886" w:type="pct"/>
          </w:tcPr>
          <w:p w14:paraId="0ADC851A"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17</w:t>
            </w:r>
          </w:p>
        </w:tc>
        <w:tc>
          <w:tcPr>
            <w:tcW w:w="936" w:type="pct"/>
          </w:tcPr>
          <w:p w14:paraId="48EAEDF8"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9</w:t>
            </w:r>
          </w:p>
        </w:tc>
        <w:tc>
          <w:tcPr>
            <w:tcW w:w="815" w:type="pct"/>
          </w:tcPr>
          <w:p w14:paraId="77B80D6B" w14:textId="77777777" w:rsidR="00210D24" w:rsidRPr="007071BA" w:rsidRDefault="00210D24" w:rsidP="007071BA">
            <w:pPr>
              <w:autoSpaceDE w:val="0"/>
              <w:autoSpaceDN w:val="0"/>
              <w:adjustRightInd w:val="0"/>
              <w:contextualSpacing/>
              <w:jc w:val="center"/>
              <w:rPr>
                <w:rFonts w:asciiTheme="minorHAnsi" w:hAnsiTheme="minorHAnsi" w:cstheme="minorHAnsi"/>
                <w:sz w:val="22"/>
                <w:szCs w:val="22"/>
                <w:lang w:val="en-CA"/>
              </w:rPr>
            </w:pPr>
            <w:r w:rsidRPr="007071BA">
              <w:rPr>
                <w:rFonts w:asciiTheme="minorHAnsi" w:hAnsiTheme="minorHAnsi" w:cstheme="minorHAnsi"/>
                <w:sz w:val="22"/>
                <w:szCs w:val="22"/>
                <w:lang w:val="en-CA"/>
              </w:rPr>
              <w:t>207</w:t>
            </w:r>
          </w:p>
        </w:tc>
      </w:tr>
    </w:tbl>
    <w:p w14:paraId="65AB8A3D" w14:textId="77777777" w:rsidR="00210D24" w:rsidRPr="0040016D" w:rsidRDefault="00210D24" w:rsidP="00210D24">
      <w:pPr>
        <w:rPr>
          <w:rStyle w:val="Strong"/>
          <w:rFonts w:asciiTheme="minorHAnsi" w:hAnsiTheme="minorHAnsi" w:cstheme="minorHAnsi"/>
          <w:sz w:val="22"/>
          <w:szCs w:val="18"/>
        </w:rPr>
      </w:pPr>
      <w:r w:rsidRPr="0040016D">
        <w:rPr>
          <w:rStyle w:val="Strong"/>
          <w:rFonts w:asciiTheme="minorHAnsi" w:hAnsiTheme="minorHAnsi" w:cstheme="minorHAnsi"/>
          <w:sz w:val="22"/>
          <w:szCs w:val="18"/>
        </w:rPr>
        <w:t>Key findings - Staffing and non-partisanship survey (2018)</w:t>
      </w:r>
    </w:p>
    <w:p w14:paraId="00E33B34" w14:textId="77777777" w:rsidR="00210D24" w:rsidRPr="007071BA" w:rsidRDefault="00210D24" w:rsidP="0072552A">
      <w:pPr>
        <w:pStyle w:val="ListParagraph"/>
        <w:numPr>
          <w:ilvl w:val="0"/>
          <w:numId w:val="38"/>
        </w:numPr>
        <w:spacing w:after="0"/>
        <w:contextualSpacing w:val="0"/>
        <w:rPr>
          <w:rFonts w:asciiTheme="minorHAnsi" w:hAnsiTheme="minorHAnsi" w:cstheme="minorHAnsi"/>
          <w:sz w:val="22"/>
          <w:szCs w:val="18"/>
          <w:lang w:val="en-CA"/>
        </w:rPr>
      </w:pPr>
      <w:r w:rsidRPr="007071BA">
        <w:rPr>
          <w:rFonts w:asciiTheme="minorHAnsi" w:hAnsiTheme="minorHAnsi" w:cstheme="minorHAnsi"/>
          <w:sz w:val="22"/>
          <w:szCs w:val="18"/>
          <w:lang w:val="en-CA"/>
        </w:rPr>
        <w:t xml:space="preserve">58.8% of </w:t>
      </w:r>
      <w:r w:rsidRPr="0040016D">
        <w:rPr>
          <w:rStyle w:val="Strong"/>
          <w:rFonts w:asciiTheme="minorHAnsi" w:hAnsiTheme="minorHAnsi" w:cstheme="minorHAnsi"/>
          <w:sz w:val="22"/>
          <w:szCs w:val="18"/>
        </w:rPr>
        <w:t>employees</w:t>
      </w:r>
      <w:r w:rsidRPr="007071BA">
        <w:rPr>
          <w:rFonts w:asciiTheme="minorHAnsi" w:hAnsiTheme="minorHAnsi" w:cstheme="minorHAnsi"/>
          <w:sz w:val="22"/>
          <w:szCs w:val="18"/>
          <w:lang w:val="en-CA"/>
        </w:rPr>
        <w:t xml:space="preserve"> agreed that people hired can do the job, compared to 67.1% in organizations of similar size, and 53.8% in the federal public service.</w:t>
      </w:r>
    </w:p>
    <w:p w14:paraId="2862E2BA" w14:textId="77777777" w:rsidR="00210D24" w:rsidRPr="007071BA" w:rsidRDefault="00210D24" w:rsidP="0072552A">
      <w:pPr>
        <w:pStyle w:val="ListParagraph"/>
        <w:numPr>
          <w:ilvl w:val="0"/>
          <w:numId w:val="38"/>
        </w:numPr>
        <w:spacing w:after="0"/>
        <w:contextualSpacing w:val="0"/>
        <w:rPr>
          <w:rFonts w:asciiTheme="minorHAnsi" w:hAnsiTheme="minorHAnsi" w:cstheme="minorHAnsi"/>
          <w:sz w:val="22"/>
          <w:szCs w:val="18"/>
          <w:lang w:val="en-CA"/>
        </w:rPr>
      </w:pPr>
      <w:r w:rsidRPr="007071BA">
        <w:rPr>
          <w:rFonts w:asciiTheme="minorHAnsi" w:hAnsiTheme="minorHAnsi" w:cstheme="minorHAnsi"/>
          <w:sz w:val="22"/>
          <w:szCs w:val="18"/>
          <w:lang w:val="en-CA"/>
        </w:rPr>
        <w:t xml:space="preserve">50.0% of </w:t>
      </w:r>
      <w:r w:rsidRPr="0040016D">
        <w:rPr>
          <w:rStyle w:val="Strong"/>
          <w:rFonts w:asciiTheme="minorHAnsi" w:hAnsiTheme="minorHAnsi" w:cstheme="minorHAnsi"/>
          <w:sz w:val="22"/>
          <w:szCs w:val="18"/>
        </w:rPr>
        <w:t>managers</w:t>
      </w:r>
      <w:r w:rsidRPr="007071BA">
        <w:rPr>
          <w:rFonts w:asciiTheme="minorHAnsi" w:hAnsiTheme="minorHAnsi" w:cstheme="minorHAnsi"/>
          <w:sz w:val="22"/>
          <w:szCs w:val="18"/>
          <w:lang w:val="en-CA"/>
        </w:rPr>
        <w:t xml:space="preserve"> agreed that the New Direction in Staffing has improved the way they hire and appoint persons to and within their organization, compared to 69.7% in </w:t>
      </w:r>
      <w:proofErr w:type="spellStart"/>
      <w:r w:rsidRPr="007071BA">
        <w:rPr>
          <w:rFonts w:asciiTheme="minorHAnsi" w:hAnsiTheme="minorHAnsi" w:cstheme="minorHAnsi"/>
          <w:sz w:val="22"/>
          <w:szCs w:val="18"/>
          <w:lang w:val="en-CA"/>
        </w:rPr>
        <w:t>organizatons</w:t>
      </w:r>
      <w:proofErr w:type="spellEnd"/>
      <w:r w:rsidRPr="007071BA">
        <w:rPr>
          <w:rFonts w:asciiTheme="minorHAnsi" w:hAnsiTheme="minorHAnsi" w:cstheme="minorHAnsi"/>
          <w:sz w:val="22"/>
          <w:szCs w:val="18"/>
          <w:lang w:val="en-CA"/>
        </w:rPr>
        <w:t xml:space="preserve"> of similar size, and 56.1% in the federal public service.</w:t>
      </w:r>
    </w:p>
    <w:p w14:paraId="74A0D32F" w14:textId="77777777" w:rsidR="00210D24" w:rsidRPr="007071BA" w:rsidRDefault="00210D24" w:rsidP="00210D24">
      <w:pPr>
        <w:pStyle w:val="ListParagraph"/>
        <w:numPr>
          <w:ilvl w:val="0"/>
          <w:numId w:val="38"/>
        </w:numPr>
        <w:spacing w:after="100" w:afterAutospacing="1"/>
        <w:contextualSpacing w:val="0"/>
        <w:rPr>
          <w:rFonts w:asciiTheme="minorHAnsi" w:hAnsiTheme="minorHAnsi" w:cstheme="minorHAnsi"/>
          <w:sz w:val="22"/>
          <w:szCs w:val="18"/>
          <w:lang w:val="en-CA"/>
        </w:rPr>
      </w:pPr>
      <w:r w:rsidRPr="007071BA">
        <w:rPr>
          <w:rFonts w:asciiTheme="minorHAnsi" w:hAnsiTheme="minorHAnsi" w:cstheme="minorHAnsi"/>
          <w:sz w:val="22"/>
          <w:szCs w:val="18"/>
          <w:lang w:val="en-CA"/>
        </w:rPr>
        <w:t xml:space="preserve">78.7% of </w:t>
      </w:r>
      <w:r w:rsidRPr="0040016D">
        <w:rPr>
          <w:rStyle w:val="Strong"/>
          <w:rFonts w:asciiTheme="minorHAnsi" w:hAnsiTheme="minorHAnsi" w:cstheme="minorHAnsi"/>
          <w:sz w:val="22"/>
          <w:szCs w:val="18"/>
        </w:rPr>
        <w:t xml:space="preserve">managers </w:t>
      </w:r>
      <w:r w:rsidRPr="007071BA">
        <w:rPr>
          <w:rFonts w:asciiTheme="minorHAnsi" w:hAnsiTheme="minorHAnsi" w:cstheme="minorHAnsi"/>
          <w:sz w:val="22"/>
          <w:szCs w:val="18"/>
          <w:lang w:val="en-CA"/>
        </w:rPr>
        <w:t xml:space="preserve">agreed that within their organization, the administrative to staff a position is </w:t>
      </w:r>
      <w:r w:rsidRPr="0040016D">
        <w:rPr>
          <w:rStyle w:val="Strong"/>
          <w:rFonts w:asciiTheme="minorHAnsi" w:hAnsiTheme="minorHAnsi" w:cstheme="minorHAnsi"/>
          <w:sz w:val="22"/>
          <w:szCs w:val="18"/>
        </w:rPr>
        <w:t>burdensome,</w:t>
      </w:r>
      <w:r w:rsidRPr="0040016D">
        <w:rPr>
          <w:rFonts w:asciiTheme="minorHAnsi" w:hAnsiTheme="minorHAnsi" w:cstheme="minorHAnsi"/>
          <w:sz w:val="20"/>
          <w:szCs w:val="16"/>
          <w:lang w:val="en-CA"/>
        </w:rPr>
        <w:t xml:space="preserve"> </w:t>
      </w:r>
      <w:r w:rsidRPr="007071BA">
        <w:rPr>
          <w:rFonts w:asciiTheme="minorHAnsi" w:hAnsiTheme="minorHAnsi" w:cstheme="minorHAnsi"/>
          <w:sz w:val="22"/>
          <w:szCs w:val="18"/>
          <w:lang w:val="en-CA"/>
        </w:rPr>
        <w:t>compared to 79.3% in organizations of similar size, and 87.9% in the federal public service.</w:t>
      </w:r>
    </w:p>
    <w:p w14:paraId="0310E1F9" w14:textId="77777777" w:rsidR="00717FC3" w:rsidRPr="00264AD9" w:rsidRDefault="00717FC3" w:rsidP="0072395D">
      <w:pPr>
        <w:jc w:val="right"/>
        <w:rPr>
          <w:rFonts w:ascii="Segoe UI" w:hAnsi="Segoe UI" w:cs="Segoe UI"/>
          <w:b/>
          <w:bCs/>
          <w:szCs w:val="24"/>
          <w:lang w:val="en-CA"/>
        </w:rPr>
        <w:sectPr w:rsidR="00717FC3" w:rsidRPr="00264AD9" w:rsidSect="005A0BFA">
          <w:pgSz w:w="15840" w:h="12240" w:orient="landscape"/>
          <w:pgMar w:top="720" w:right="720" w:bottom="720" w:left="720" w:header="709" w:footer="284" w:gutter="0"/>
          <w:cols w:space="708"/>
          <w:titlePg/>
          <w:docGrid w:linePitch="360"/>
        </w:sectPr>
      </w:pPr>
    </w:p>
    <w:p w14:paraId="34A989CB" w14:textId="77777777" w:rsidR="0040016D" w:rsidRPr="0040016D" w:rsidRDefault="0040016D" w:rsidP="0040016D">
      <w:pPr>
        <w:pStyle w:val="Heading1"/>
        <w:spacing w:before="120" w:after="120"/>
        <w:rPr>
          <w:sz w:val="40"/>
          <w:szCs w:val="40"/>
          <w:lang w:val="fr-CA"/>
        </w:rPr>
      </w:pPr>
      <w:r w:rsidRPr="0040016D">
        <w:rPr>
          <w:rFonts w:eastAsia="Times New Roman"/>
          <w:sz w:val="40"/>
          <w:szCs w:val="40"/>
          <w:lang w:val="en-CA"/>
        </w:rPr>
        <w:lastRenderedPageBreak/>
        <w:t>Student program hires</w:t>
      </w:r>
    </w:p>
    <w:p w14:paraId="7B76885D" w14:textId="77777777" w:rsidR="0040016D" w:rsidRDefault="00717FC3" w:rsidP="0040016D">
      <w:pPr>
        <w:keepNext/>
        <w:jc w:val="center"/>
      </w:pPr>
      <w:r w:rsidRPr="00264AD9">
        <w:rPr>
          <w:rFonts w:ascii="Segoe UI" w:hAnsi="Segoe UI" w:cs="Segoe UI"/>
          <w:noProof/>
          <w:lang w:val="en-CA" w:eastAsia="en-CA"/>
        </w:rPr>
        <w:drawing>
          <wp:inline distT="0" distB="0" distL="0" distR="0" wp14:anchorId="72993766" wp14:editId="65642534">
            <wp:extent cx="5648400" cy="3049200"/>
            <wp:effectExtent l="0" t="0" r="9525" b="18415"/>
            <wp:docPr id="17" name="Chart 17" descr="Student program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146389" w14:textId="00964468" w:rsidR="00717FC3" w:rsidRPr="0040016D" w:rsidRDefault="0040016D" w:rsidP="0040016D">
      <w:pPr>
        <w:pStyle w:val="Caption"/>
        <w:spacing w:after="0"/>
        <w:jc w:val="center"/>
        <w:rPr>
          <w:rFonts w:asciiTheme="minorHAnsi" w:hAnsiTheme="minorHAnsi" w:cstheme="minorHAnsi"/>
          <w:b/>
          <w:bCs/>
          <w:i w:val="0"/>
          <w:iCs w:val="0"/>
          <w:color w:val="auto"/>
          <w:szCs w:val="24"/>
          <w:lang w:val="en-CA"/>
        </w:rPr>
      </w:pPr>
      <w:r w:rsidRPr="0040016D">
        <w:rPr>
          <w:rFonts w:asciiTheme="minorHAnsi" w:hAnsiTheme="minorHAnsi" w:cstheme="minorHAnsi"/>
          <w:i w:val="0"/>
          <w:iCs w:val="0"/>
          <w:color w:val="auto"/>
        </w:rPr>
        <w:t xml:space="preserve">Figure </w:t>
      </w:r>
      <w:r w:rsidRPr="0040016D">
        <w:rPr>
          <w:rFonts w:asciiTheme="minorHAnsi" w:hAnsiTheme="minorHAnsi" w:cstheme="minorHAnsi"/>
          <w:i w:val="0"/>
          <w:iCs w:val="0"/>
          <w:color w:val="auto"/>
        </w:rPr>
        <w:fldChar w:fldCharType="begin"/>
      </w:r>
      <w:r w:rsidRPr="0040016D">
        <w:rPr>
          <w:rFonts w:asciiTheme="minorHAnsi" w:hAnsiTheme="minorHAnsi" w:cstheme="minorHAnsi"/>
          <w:i w:val="0"/>
          <w:iCs w:val="0"/>
          <w:color w:val="auto"/>
        </w:rPr>
        <w:instrText xml:space="preserve"> SEQ Figure \* ARABIC </w:instrText>
      </w:r>
      <w:r w:rsidRPr="0040016D">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10</w:t>
      </w:r>
      <w:r w:rsidRPr="0040016D">
        <w:rPr>
          <w:rFonts w:asciiTheme="minorHAnsi" w:hAnsiTheme="minorHAnsi" w:cstheme="minorHAnsi"/>
          <w:i w:val="0"/>
          <w:iCs w:val="0"/>
          <w:color w:val="auto"/>
        </w:rPr>
        <w:fldChar w:fldCharType="end"/>
      </w:r>
      <w:r w:rsidRPr="0040016D">
        <w:rPr>
          <w:rFonts w:asciiTheme="minorHAnsi" w:hAnsiTheme="minorHAnsi" w:cstheme="minorHAnsi"/>
          <w:i w:val="0"/>
          <w:iCs w:val="0"/>
          <w:color w:val="auto"/>
        </w:rPr>
        <w:t xml:space="preserve"> - Student program hires</w:t>
      </w:r>
    </w:p>
    <w:p w14:paraId="517E0C64" w14:textId="6BF0F68F" w:rsidR="0040016D" w:rsidRPr="0040016D" w:rsidRDefault="0040016D" w:rsidP="0040016D">
      <w:pPr>
        <w:pStyle w:val="Caption"/>
        <w:keepNext/>
        <w:spacing w:before="240" w:after="0"/>
        <w:jc w:val="center"/>
        <w:rPr>
          <w:rFonts w:asciiTheme="minorHAnsi" w:hAnsiTheme="minorHAnsi" w:cstheme="minorHAnsi"/>
          <w:i w:val="0"/>
          <w:iCs w:val="0"/>
          <w:color w:val="auto"/>
        </w:rPr>
      </w:pPr>
      <w:r w:rsidRPr="0040016D">
        <w:rPr>
          <w:rFonts w:asciiTheme="minorHAnsi" w:hAnsiTheme="minorHAnsi" w:cstheme="minorHAnsi"/>
          <w:i w:val="0"/>
          <w:iCs w:val="0"/>
          <w:color w:val="auto"/>
        </w:rPr>
        <w:t xml:space="preserve">Table </w:t>
      </w:r>
      <w:r w:rsidRPr="0040016D">
        <w:rPr>
          <w:rFonts w:asciiTheme="minorHAnsi" w:hAnsiTheme="minorHAnsi" w:cstheme="minorHAnsi"/>
          <w:i w:val="0"/>
          <w:iCs w:val="0"/>
          <w:color w:val="auto"/>
        </w:rPr>
        <w:fldChar w:fldCharType="begin"/>
      </w:r>
      <w:r w:rsidRPr="0040016D">
        <w:rPr>
          <w:rFonts w:asciiTheme="minorHAnsi" w:hAnsiTheme="minorHAnsi" w:cstheme="minorHAnsi"/>
          <w:i w:val="0"/>
          <w:iCs w:val="0"/>
          <w:color w:val="auto"/>
        </w:rPr>
        <w:instrText xml:space="preserve"> SEQ Table \* ARABIC </w:instrText>
      </w:r>
      <w:r w:rsidRPr="0040016D">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13</w:t>
      </w:r>
      <w:r w:rsidRPr="0040016D">
        <w:rPr>
          <w:rFonts w:asciiTheme="minorHAnsi" w:hAnsiTheme="minorHAnsi" w:cstheme="minorHAnsi"/>
          <w:i w:val="0"/>
          <w:iCs w:val="0"/>
          <w:color w:val="auto"/>
        </w:rPr>
        <w:fldChar w:fldCharType="end"/>
      </w:r>
      <w:r w:rsidRPr="0040016D">
        <w:rPr>
          <w:rFonts w:asciiTheme="minorHAnsi" w:hAnsiTheme="minorHAnsi" w:cstheme="minorHAnsi"/>
          <w:i w:val="0"/>
          <w:iCs w:val="0"/>
          <w:color w:val="auto"/>
        </w:rPr>
        <w:t xml:space="preserve"> - Student staffing activities by recruitment program and fiscal year</w:t>
      </w:r>
    </w:p>
    <w:tbl>
      <w:tblPr>
        <w:tblStyle w:val="TableGrid"/>
        <w:tblW w:w="5000" w:type="pct"/>
        <w:jc w:val="center"/>
        <w:tblLook w:val="0020" w:firstRow="1" w:lastRow="0" w:firstColumn="0" w:lastColumn="0" w:noHBand="0" w:noVBand="0"/>
        <w:tblDescription w:val="Student program hires from 2015 to 2020"/>
      </w:tblPr>
      <w:tblGrid>
        <w:gridCol w:w="1555"/>
        <w:gridCol w:w="4537"/>
        <w:gridCol w:w="4536"/>
        <w:gridCol w:w="2976"/>
        <w:gridCol w:w="786"/>
      </w:tblGrid>
      <w:tr w:rsidR="0040016D" w:rsidRPr="0040016D" w14:paraId="30705572" w14:textId="77777777" w:rsidTr="00A84016">
        <w:trPr>
          <w:cantSplit/>
          <w:tblHeader/>
          <w:jc w:val="center"/>
        </w:trPr>
        <w:tc>
          <w:tcPr>
            <w:tcW w:w="540" w:type="pct"/>
          </w:tcPr>
          <w:p w14:paraId="3B5AD917" w14:textId="77777777" w:rsidR="00210D24" w:rsidRPr="0040016D" w:rsidRDefault="00210D24" w:rsidP="0040016D">
            <w:pPr>
              <w:pStyle w:val="TableTitle"/>
              <w:contextualSpacing/>
              <w:rPr>
                <w:color w:val="auto"/>
                <w:sz w:val="22"/>
                <w:szCs w:val="22"/>
                <w:lang w:val="en-CA"/>
              </w:rPr>
            </w:pPr>
            <w:r w:rsidRPr="0040016D">
              <w:rPr>
                <w:color w:val="auto"/>
                <w:sz w:val="22"/>
                <w:szCs w:val="22"/>
                <w:lang w:val="en-CA"/>
              </w:rPr>
              <w:t>Fiscal year</w:t>
            </w:r>
          </w:p>
        </w:tc>
        <w:tc>
          <w:tcPr>
            <w:tcW w:w="1576" w:type="pct"/>
          </w:tcPr>
          <w:p w14:paraId="27471402" w14:textId="77777777" w:rsidR="00210D24" w:rsidRPr="0040016D" w:rsidRDefault="00210D24" w:rsidP="0040016D">
            <w:pPr>
              <w:pStyle w:val="TableTitle"/>
              <w:contextualSpacing/>
              <w:rPr>
                <w:color w:val="auto"/>
                <w:sz w:val="22"/>
                <w:szCs w:val="22"/>
                <w:lang w:val="en-CA"/>
              </w:rPr>
            </w:pPr>
            <w:r w:rsidRPr="0040016D">
              <w:rPr>
                <w:color w:val="auto"/>
                <w:sz w:val="22"/>
                <w:szCs w:val="22"/>
                <w:lang w:val="en-CA"/>
              </w:rPr>
              <w:t>Federal Student Work Experience Program</w:t>
            </w:r>
          </w:p>
        </w:tc>
        <w:tc>
          <w:tcPr>
            <w:tcW w:w="1576" w:type="pct"/>
          </w:tcPr>
          <w:p w14:paraId="6CD76398" w14:textId="77777777" w:rsidR="00210D24" w:rsidRPr="0040016D" w:rsidRDefault="00210D24" w:rsidP="0040016D">
            <w:pPr>
              <w:pStyle w:val="TableTitle"/>
              <w:contextualSpacing/>
              <w:rPr>
                <w:color w:val="auto"/>
                <w:sz w:val="22"/>
                <w:szCs w:val="22"/>
                <w:lang w:val="en-CA"/>
              </w:rPr>
            </w:pPr>
            <w:r w:rsidRPr="0040016D">
              <w:rPr>
                <w:color w:val="auto"/>
                <w:sz w:val="22"/>
                <w:szCs w:val="22"/>
                <w:lang w:val="en-CA"/>
              </w:rPr>
              <w:t>Post-Secondary Co-op/Internship Program</w:t>
            </w:r>
          </w:p>
        </w:tc>
        <w:tc>
          <w:tcPr>
            <w:tcW w:w="1034" w:type="pct"/>
          </w:tcPr>
          <w:p w14:paraId="1E14BA61" w14:textId="77777777" w:rsidR="00210D24" w:rsidRPr="0040016D" w:rsidRDefault="00210D24" w:rsidP="0040016D">
            <w:pPr>
              <w:pStyle w:val="TableTitle"/>
              <w:contextualSpacing/>
              <w:rPr>
                <w:color w:val="auto"/>
                <w:sz w:val="22"/>
                <w:szCs w:val="22"/>
                <w:lang w:val="en-CA"/>
              </w:rPr>
            </w:pPr>
            <w:r w:rsidRPr="0040016D">
              <w:rPr>
                <w:color w:val="auto"/>
                <w:sz w:val="22"/>
                <w:szCs w:val="22"/>
                <w:lang w:val="en-CA"/>
              </w:rPr>
              <w:t>Research Affiliate Program</w:t>
            </w:r>
          </w:p>
        </w:tc>
        <w:tc>
          <w:tcPr>
            <w:tcW w:w="273" w:type="pct"/>
          </w:tcPr>
          <w:p w14:paraId="1C3ECDF8" w14:textId="77777777" w:rsidR="00210D24" w:rsidRPr="0040016D" w:rsidRDefault="00210D24" w:rsidP="0040016D">
            <w:pPr>
              <w:pStyle w:val="TableTitle"/>
              <w:contextualSpacing/>
              <w:rPr>
                <w:color w:val="auto"/>
                <w:sz w:val="22"/>
                <w:szCs w:val="22"/>
                <w:lang w:val="en-CA"/>
              </w:rPr>
            </w:pPr>
            <w:r w:rsidRPr="0040016D">
              <w:rPr>
                <w:color w:val="auto"/>
                <w:sz w:val="22"/>
                <w:szCs w:val="22"/>
                <w:lang w:val="en-CA"/>
              </w:rPr>
              <w:t>Total</w:t>
            </w:r>
          </w:p>
        </w:tc>
      </w:tr>
      <w:tr w:rsidR="0040016D" w:rsidRPr="0040016D" w14:paraId="48C4DA30" w14:textId="77777777" w:rsidTr="00A84016">
        <w:trPr>
          <w:cantSplit/>
          <w:tblHeader/>
          <w:jc w:val="center"/>
        </w:trPr>
        <w:tc>
          <w:tcPr>
            <w:tcW w:w="540" w:type="pct"/>
          </w:tcPr>
          <w:p w14:paraId="608AD2A6" w14:textId="3B1F2CCA" w:rsidR="00210D24" w:rsidRPr="0040016D" w:rsidRDefault="00C36040" w:rsidP="0040016D">
            <w:pPr>
              <w:autoSpaceDE w:val="0"/>
              <w:autoSpaceDN w:val="0"/>
              <w:adjustRightInd w:val="0"/>
              <w:contextualSpacing/>
              <w:rPr>
                <w:rFonts w:asciiTheme="minorHAnsi" w:hAnsiTheme="minorHAnsi" w:cstheme="minorHAnsi"/>
                <w:sz w:val="22"/>
                <w:szCs w:val="22"/>
                <w:lang w:val="en-CA"/>
              </w:rPr>
            </w:pPr>
            <w:r>
              <w:rPr>
                <w:rFonts w:asciiTheme="minorHAnsi" w:hAnsiTheme="minorHAnsi" w:cstheme="minorHAnsi"/>
                <w:sz w:val="22"/>
                <w:szCs w:val="22"/>
                <w:lang w:val="en-CA"/>
              </w:rPr>
              <w:t>2</w:t>
            </w:r>
            <w:r w:rsidR="00210D24" w:rsidRPr="0040016D">
              <w:rPr>
                <w:rFonts w:asciiTheme="minorHAnsi" w:hAnsiTheme="minorHAnsi" w:cstheme="minorHAnsi"/>
                <w:sz w:val="22"/>
                <w:szCs w:val="22"/>
                <w:lang w:val="en-CA"/>
              </w:rPr>
              <w:t>015 to 2016</w:t>
            </w:r>
          </w:p>
        </w:tc>
        <w:tc>
          <w:tcPr>
            <w:tcW w:w="1576" w:type="pct"/>
          </w:tcPr>
          <w:p w14:paraId="48C01B25"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17</w:t>
            </w:r>
          </w:p>
        </w:tc>
        <w:tc>
          <w:tcPr>
            <w:tcW w:w="1576" w:type="pct"/>
          </w:tcPr>
          <w:p w14:paraId="0CDE496A"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034" w:type="pct"/>
          </w:tcPr>
          <w:p w14:paraId="46B31B5C"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273" w:type="pct"/>
          </w:tcPr>
          <w:p w14:paraId="602D6692"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17</w:t>
            </w:r>
          </w:p>
        </w:tc>
      </w:tr>
      <w:tr w:rsidR="0040016D" w:rsidRPr="0040016D" w14:paraId="62DFD9E5" w14:textId="77777777" w:rsidTr="00A84016">
        <w:trPr>
          <w:cantSplit/>
          <w:tblHeader/>
          <w:jc w:val="center"/>
        </w:trPr>
        <w:tc>
          <w:tcPr>
            <w:tcW w:w="540" w:type="pct"/>
          </w:tcPr>
          <w:p w14:paraId="42F33389" w14:textId="36061B73" w:rsidR="00210D24" w:rsidRPr="0040016D" w:rsidRDefault="00C36040" w:rsidP="0040016D">
            <w:pPr>
              <w:autoSpaceDE w:val="0"/>
              <w:autoSpaceDN w:val="0"/>
              <w:adjustRightInd w:val="0"/>
              <w:contextualSpacing/>
              <w:rPr>
                <w:rFonts w:asciiTheme="minorHAnsi" w:hAnsiTheme="minorHAnsi" w:cstheme="minorHAnsi"/>
                <w:sz w:val="22"/>
                <w:szCs w:val="22"/>
                <w:lang w:val="en-CA"/>
              </w:rPr>
            </w:pPr>
            <w:r>
              <w:rPr>
                <w:rFonts w:asciiTheme="minorHAnsi" w:hAnsiTheme="minorHAnsi" w:cstheme="minorHAnsi"/>
                <w:sz w:val="22"/>
                <w:szCs w:val="22"/>
                <w:lang w:val="en-CA"/>
              </w:rPr>
              <w:t>2</w:t>
            </w:r>
            <w:r w:rsidR="00210D24" w:rsidRPr="0040016D">
              <w:rPr>
                <w:rFonts w:asciiTheme="minorHAnsi" w:hAnsiTheme="minorHAnsi" w:cstheme="minorHAnsi"/>
                <w:sz w:val="22"/>
                <w:szCs w:val="22"/>
                <w:lang w:val="en-CA"/>
              </w:rPr>
              <w:t>016 to 2017</w:t>
            </w:r>
          </w:p>
        </w:tc>
        <w:tc>
          <w:tcPr>
            <w:tcW w:w="1576" w:type="pct"/>
          </w:tcPr>
          <w:p w14:paraId="070CEF48"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7</w:t>
            </w:r>
          </w:p>
        </w:tc>
        <w:tc>
          <w:tcPr>
            <w:tcW w:w="1576" w:type="pct"/>
          </w:tcPr>
          <w:p w14:paraId="16444ED6"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034" w:type="pct"/>
          </w:tcPr>
          <w:p w14:paraId="55912BA0"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273" w:type="pct"/>
          </w:tcPr>
          <w:p w14:paraId="3D4388B2"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7</w:t>
            </w:r>
          </w:p>
        </w:tc>
      </w:tr>
      <w:tr w:rsidR="0040016D" w:rsidRPr="0040016D" w14:paraId="4334B871" w14:textId="77777777" w:rsidTr="00A84016">
        <w:trPr>
          <w:cantSplit/>
          <w:tblHeader/>
          <w:jc w:val="center"/>
        </w:trPr>
        <w:tc>
          <w:tcPr>
            <w:tcW w:w="540" w:type="pct"/>
          </w:tcPr>
          <w:p w14:paraId="40B7201A" w14:textId="77777777" w:rsidR="00210D24" w:rsidRPr="0040016D" w:rsidRDefault="00210D24" w:rsidP="0040016D">
            <w:pPr>
              <w:autoSpaceDE w:val="0"/>
              <w:autoSpaceDN w:val="0"/>
              <w:adjustRightInd w:val="0"/>
              <w:contextualSpacing/>
              <w:rPr>
                <w:rFonts w:asciiTheme="minorHAnsi" w:hAnsiTheme="minorHAnsi" w:cstheme="minorHAnsi"/>
                <w:sz w:val="22"/>
                <w:szCs w:val="22"/>
                <w:lang w:val="en-CA"/>
              </w:rPr>
            </w:pPr>
            <w:r w:rsidRPr="0040016D">
              <w:rPr>
                <w:rFonts w:asciiTheme="minorHAnsi" w:hAnsiTheme="minorHAnsi" w:cstheme="minorHAnsi"/>
                <w:sz w:val="22"/>
                <w:szCs w:val="22"/>
                <w:lang w:val="en-CA"/>
              </w:rPr>
              <w:t>2017 to 2018</w:t>
            </w:r>
          </w:p>
        </w:tc>
        <w:tc>
          <w:tcPr>
            <w:tcW w:w="1576" w:type="pct"/>
          </w:tcPr>
          <w:p w14:paraId="4C574D3A"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11</w:t>
            </w:r>
          </w:p>
        </w:tc>
        <w:tc>
          <w:tcPr>
            <w:tcW w:w="1576" w:type="pct"/>
          </w:tcPr>
          <w:p w14:paraId="4C3A845C"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034" w:type="pct"/>
          </w:tcPr>
          <w:p w14:paraId="7BF49289"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273" w:type="pct"/>
          </w:tcPr>
          <w:p w14:paraId="70A69F28"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11</w:t>
            </w:r>
          </w:p>
        </w:tc>
      </w:tr>
      <w:tr w:rsidR="0040016D" w:rsidRPr="0040016D" w14:paraId="3A67E35C" w14:textId="77777777" w:rsidTr="00A84016">
        <w:trPr>
          <w:cantSplit/>
          <w:tblHeader/>
          <w:jc w:val="center"/>
        </w:trPr>
        <w:tc>
          <w:tcPr>
            <w:tcW w:w="540" w:type="pct"/>
          </w:tcPr>
          <w:p w14:paraId="5894AB14" w14:textId="77777777" w:rsidR="00210D24" w:rsidRPr="0040016D" w:rsidRDefault="00210D24" w:rsidP="0040016D">
            <w:pPr>
              <w:autoSpaceDE w:val="0"/>
              <w:autoSpaceDN w:val="0"/>
              <w:adjustRightInd w:val="0"/>
              <w:contextualSpacing/>
              <w:rPr>
                <w:rFonts w:asciiTheme="minorHAnsi" w:hAnsiTheme="minorHAnsi" w:cstheme="minorHAnsi"/>
                <w:sz w:val="22"/>
                <w:szCs w:val="22"/>
                <w:lang w:val="en-CA"/>
              </w:rPr>
            </w:pPr>
            <w:r w:rsidRPr="0040016D">
              <w:rPr>
                <w:rFonts w:asciiTheme="minorHAnsi" w:hAnsiTheme="minorHAnsi" w:cstheme="minorHAnsi"/>
                <w:sz w:val="22"/>
                <w:szCs w:val="22"/>
                <w:lang w:val="en-CA"/>
              </w:rPr>
              <w:t>2018 to 2019</w:t>
            </w:r>
          </w:p>
        </w:tc>
        <w:tc>
          <w:tcPr>
            <w:tcW w:w="1576" w:type="pct"/>
          </w:tcPr>
          <w:p w14:paraId="5A740AE9"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3</w:t>
            </w:r>
          </w:p>
        </w:tc>
        <w:tc>
          <w:tcPr>
            <w:tcW w:w="1576" w:type="pct"/>
          </w:tcPr>
          <w:p w14:paraId="30D37505"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034" w:type="pct"/>
          </w:tcPr>
          <w:p w14:paraId="3B3D1BA1"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273" w:type="pct"/>
          </w:tcPr>
          <w:p w14:paraId="3259CF06"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3</w:t>
            </w:r>
          </w:p>
        </w:tc>
      </w:tr>
      <w:tr w:rsidR="0040016D" w:rsidRPr="0040016D" w14:paraId="1715F375" w14:textId="77777777" w:rsidTr="00A84016">
        <w:trPr>
          <w:cantSplit/>
          <w:tblHeader/>
          <w:jc w:val="center"/>
        </w:trPr>
        <w:tc>
          <w:tcPr>
            <w:tcW w:w="540" w:type="pct"/>
          </w:tcPr>
          <w:p w14:paraId="3E8A1385" w14:textId="77777777" w:rsidR="00210D24" w:rsidRPr="0040016D" w:rsidRDefault="00210D24" w:rsidP="0040016D">
            <w:pPr>
              <w:autoSpaceDE w:val="0"/>
              <w:autoSpaceDN w:val="0"/>
              <w:adjustRightInd w:val="0"/>
              <w:contextualSpacing/>
              <w:rPr>
                <w:rFonts w:asciiTheme="minorHAnsi" w:hAnsiTheme="minorHAnsi" w:cstheme="minorHAnsi"/>
                <w:sz w:val="22"/>
                <w:szCs w:val="22"/>
                <w:lang w:val="en-CA"/>
              </w:rPr>
            </w:pPr>
            <w:r w:rsidRPr="0040016D">
              <w:rPr>
                <w:rFonts w:asciiTheme="minorHAnsi" w:hAnsiTheme="minorHAnsi" w:cstheme="minorHAnsi"/>
                <w:sz w:val="22"/>
                <w:szCs w:val="22"/>
                <w:lang w:val="en-CA"/>
              </w:rPr>
              <w:t>2019 to 2020</w:t>
            </w:r>
          </w:p>
        </w:tc>
        <w:tc>
          <w:tcPr>
            <w:tcW w:w="1576" w:type="pct"/>
          </w:tcPr>
          <w:p w14:paraId="521B99A6"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9</w:t>
            </w:r>
          </w:p>
        </w:tc>
        <w:tc>
          <w:tcPr>
            <w:tcW w:w="1576" w:type="pct"/>
          </w:tcPr>
          <w:p w14:paraId="07E26853"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034" w:type="pct"/>
          </w:tcPr>
          <w:p w14:paraId="13C8E4AA"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273" w:type="pct"/>
          </w:tcPr>
          <w:p w14:paraId="1CF8FD31" w14:textId="77777777" w:rsidR="00210D24" w:rsidRPr="0040016D" w:rsidRDefault="00210D24" w:rsidP="0040016D">
            <w:pPr>
              <w:autoSpaceDE w:val="0"/>
              <w:autoSpaceDN w:val="0"/>
              <w:adjustRightInd w:val="0"/>
              <w:contextualSpacing/>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9</w:t>
            </w:r>
          </w:p>
        </w:tc>
      </w:tr>
    </w:tbl>
    <w:p w14:paraId="080610E1" w14:textId="77777777" w:rsidR="00717FC3" w:rsidRPr="00264AD9" w:rsidRDefault="00717FC3" w:rsidP="0072395D">
      <w:pPr>
        <w:jc w:val="right"/>
        <w:rPr>
          <w:rFonts w:ascii="Segoe UI" w:hAnsi="Segoe UI" w:cs="Segoe UI"/>
          <w:b/>
          <w:bCs/>
          <w:szCs w:val="24"/>
          <w:lang w:val="en-CA"/>
        </w:rPr>
        <w:sectPr w:rsidR="00717FC3" w:rsidRPr="00264AD9" w:rsidSect="005A0BFA">
          <w:pgSz w:w="15840" w:h="12240" w:orient="landscape"/>
          <w:pgMar w:top="720" w:right="720" w:bottom="720" w:left="720" w:header="709" w:footer="284" w:gutter="0"/>
          <w:cols w:space="708"/>
          <w:titlePg/>
          <w:docGrid w:linePitch="360"/>
        </w:sectPr>
      </w:pPr>
    </w:p>
    <w:p w14:paraId="5E2CA206" w14:textId="77777777" w:rsidR="0040016D" w:rsidRPr="0040016D" w:rsidRDefault="0040016D" w:rsidP="0040016D">
      <w:pPr>
        <w:pStyle w:val="Heading1"/>
        <w:spacing w:before="120" w:after="120"/>
        <w:rPr>
          <w:sz w:val="40"/>
          <w:szCs w:val="40"/>
          <w:lang w:val="en-CA"/>
        </w:rPr>
      </w:pPr>
      <w:r w:rsidRPr="0040016D">
        <w:rPr>
          <w:rFonts w:eastAsia="Times New Roman"/>
          <w:sz w:val="40"/>
          <w:szCs w:val="40"/>
          <w:lang w:val="en-CA"/>
        </w:rPr>
        <w:lastRenderedPageBreak/>
        <w:t>External indeterminate and term hiring activities: Post-Secondary Recruitment Program and former student hires</w:t>
      </w:r>
    </w:p>
    <w:p w14:paraId="58F0916C" w14:textId="77777777" w:rsidR="0040016D" w:rsidRDefault="00717FC3" w:rsidP="0040016D">
      <w:pPr>
        <w:keepNext/>
        <w:jc w:val="center"/>
      </w:pPr>
      <w:r w:rsidRPr="00264AD9">
        <w:rPr>
          <w:rFonts w:ascii="Segoe UI" w:hAnsi="Segoe UI" w:cs="Segoe UI"/>
          <w:noProof/>
          <w:lang w:val="en-CA" w:eastAsia="en-CA"/>
        </w:rPr>
        <w:drawing>
          <wp:inline distT="0" distB="0" distL="0" distR="0" wp14:anchorId="760EEE5D" wp14:editId="6674798B">
            <wp:extent cx="5648400" cy="3049200"/>
            <wp:effectExtent l="0" t="0" r="9525" b="18415"/>
            <wp:docPr id="2" name="Chart 2" descr="External indeterminate and term hiring activities: Post-Secondary Recruitment Program and former student hires&#1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B34F40" w14:textId="093DBD31" w:rsidR="00717FC3" w:rsidRPr="0040016D" w:rsidRDefault="0040016D" w:rsidP="0040016D">
      <w:pPr>
        <w:pStyle w:val="Caption"/>
        <w:spacing w:after="0"/>
        <w:jc w:val="center"/>
        <w:rPr>
          <w:rFonts w:asciiTheme="minorHAnsi" w:hAnsiTheme="minorHAnsi" w:cstheme="minorHAnsi"/>
          <w:b/>
          <w:bCs/>
          <w:i w:val="0"/>
          <w:iCs w:val="0"/>
          <w:color w:val="auto"/>
          <w:szCs w:val="24"/>
          <w:lang w:val="en-CA"/>
        </w:rPr>
      </w:pPr>
      <w:r w:rsidRPr="0040016D">
        <w:rPr>
          <w:rFonts w:asciiTheme="minorHAnsi" w:hAnsiTheme="minorHAnsi" w:cstheme="minorHAnsi"/>
          <w:i w:val="0"/>
          <w:iCs w:val="0"/>
          <w:color w:val="auto"/>
        </w:rPr>
        <w:t xml:space="preserve">Figure </w:t>
      </w:r>
      <w:r w:rsidRPr="0040016D">
        <w:rPr>
          <w:rFonts w:asciiTheme="minorHAnsi" w:hAnsiTheme="minorHAnsi" w:cstheme="minorHAnsi"/>
          <w:i w:val="0"/>
          <w:iCs w:val="0"/>
          <w:color w:val="auto"/>
        </w:rPr>
        <w:fldChar w:fldCharType="begin"/>
      </w:r>
      <w:r w:rsidRPr="0040016D">
        <w:rPr>
          <w:rFonts w:asciiTheme="minorHAnsi" w:hAnsiTheme="minorHAnsi" w:cstheme="minorHAnsi"/>
          <w:i w:val="0"/>
          <w:iCs w:val="0"/>
          <w:color w:val="auto"/>
        </w:rPr>
        <w:instrText xml:space="preserve"> SEQ Figure \* ARABIC </w:instrText>
      </w:r>
      <w:r w:rsidRPr="0040016D">
        <w:rPr>
          <w:rFonts w:asciiTheme="minorHAnsi" w:hAnsiTheme="minorHAnsi" w:cstheme="minorHAnsi"/>
          <w:i w:val="0"/>
          <w:iCs w:val="0"/>
          <w:color w:val="auto"/>
        </w:rPr>
        <w:fldChar w:fldCharType="separate"/>
      </w:r>
      <w:r w:rsidR="00950460">
        <w:rPr>
          <w:rFonts w:asciiTheme="minorHAnsi" w:hAnsiTheme="minorHAnsi" w:cstheme="minorHAnsi"/>
          <w:i w:val="0"/>
          <w:iCs w:val="0"/>
          <w:noProof/>
          <w:color w:val="auto"/>
        </w:rPr>
        <w:t>11</w:t>
      </w:r>
      <w:r w:rsidRPr="0040016D">
        <w:rPr>
          <w:rFonts w:asciiTheme="minorHAnsi" w:hAnsiTheme="minorHAnsi" w:cstheme="minorHAnsi"/>
          <w:i w:val="0"/>
          <w:iCs w:val="0"/>
          <w:color w:val="auto"/>
        </w:rPr>
        <w:fldChar w:fldCharType="end"/>
      </w:r>
      <w:r w:rsidRPr="0040016D">
        <w:rPr>
          <w:rFonts w:asciiTheme="minorHAnsi" w:hAnsiTheme="minorHAnsi" w:cstheme="minorHAnsi"/>
          <w:i w:val="0"/>
          <w:iCs w:val="0"/>
          <w:color w:val="auto"/>
        </w:rPr>
        <w:t xml:space="preserve"> - External indeterminate and term hiring activities: Post-Secondary Recruitment Program and former student hires</w:t>
      </w:r>
    </w:p>
    <w:p w14:paraId="44208E27" w14:textId="10783E22" w:rsidR="0040016D" w:rsidRPr="0040016D" w:rsidRDefault="0040016D" w:rsidP="0040016D">
      <w:pPr>
        <w:pStyle w:val="Caption"/>
        <w:keepNext/>
        <w:spacing w:before="240" w:after="0"/>
        <w:jc w:val="center"/>
        <w:rPr>
          <w:rFonts w:asciiTheme="minorHAnsi" w:hAnsiTheme="minorHAnsi" w:cstheme="minorHAnsi"/>
          <w:i w:val="0"/>
          <w:iCs w:val="0"/>
          <w:color w:val="auto"/>
        </w:rPr>
      </w:pPr>
      <w:r w:rsidRPr="0040016D">
        <w:rPr>
          <w:rFonts w:asciiTheme="minorHAnsi" w:hAnsiTheme="minorHAnsi" w:cstheme="minorHAnsi"/>
          <w:i w:val="0"/>
          <w:iCs w:val="0"/>
          <w:color w:val="auto"/>
        </w:rPr>
        <w:t xml:space="preserve">Table </w:t>
      </w:r>
      <w:r w:rsidRPr="0040016D">
        <w:rPr>
          <w:rFonts w:asciiTheme="minorHAnsi" w:hAnsiTheme="minorHAnsi" w:cstheme="minorHAnsi"/>
          <w:i w:val="0"/>
          <w:iCs w:val="0"/>
          <w:color w:val="auto"/>
        </w:rPr>
        <w:fldChar w:fldCharType="begin"/>
      </w:r>
      <w:r w:rsidRPr="0040016D">
        <w:rPr>
          <w:rFonts w:asciiTheme="minorHAnsi" w:hAnsiTheme="minorHAnsi" w:cstheme="minorHAnsi"/>
          <w:i w:val="0"/>
          <w:iCs w:val="0"/>
          <w:color w:val="auto"/>
        </w:rPr>
        <w:instrText xml:space="preserve"> SEQ Table \* ARABIC </w:instrText>
      </w:r>
      <w:r w:rsidRPr="0040016D">
        <w:rPr>
          <w:rFonts w:asciiTheme="minorHAnsi" w:hAnsiTheme="minorHAnsi" w:cstheme="minorHAnsi"/>
          <w:i w:val="0"/>
          <w:iCs w:val="0"/>
          <w:color w:val="auto"/>
        </w:rPr>
        <w:fldChar w:fldCharType="separate"/>
      </w:r>
      <w:r w:rsidR="005E6CEB">
        <w:rPr>
          <w:rFonts w:asciiTheme="minorHAnsi" w:hAnsiTheme="minorHAnsi" w:cstheme="minorHAnsi"/>
          <w:i w:val="0"/>
          <w:iCs w:val="0"/>
          <w:noProof/>
          <w:color w:val="auto"/>
        </w:rPr>
        <w:t>14</w:t>
      </w:r>
      <w:r w:rsidRPr="0040016D">
        <w:rPr>
          <w:rFonts w:asciiTheme="minorHAnsi" w:hAnsiTheme="minorHAnsi" w:cstheme="minorHAnsi"/>
          <w:i w:val="0"/>
          <w:iCs w:val="0"/>
          <w:color w:val="auto"/>
        </w:rPr>
        <w:fldChar w:fldCharType="end"/>
      </w:r>
      <w:r w:rsidRPr="0040016D">
        <w:rPr>
          <w:rFonts w:asciiTheme="minorHAnsi" w:hAnsiTheme="minorHAnsi" w:cstheme="minorHAnsi"/>
          <w:i w:val="0"/>
          <w:iCs w:val="0"/>
          <w:color w:val="auto"/>
        </w:rPr>
        <w:t xml:space="preserve"> - External indeterminate and term hiring activities: Post-Secondary Recruitment Program and former student hires by fiscal year</w:t>
      </w:r>
    </w:p>
    <w:tbl>
      <w:tblPr>
        <w:tblStyle w:val="TableGrid"/>
        <w:tblW w:w="5000" w:type="pct"/>
        <w:jc w:val="center"/>
        <w:tblLook w:val="0020" w:firstRow="1" w:lastRow="0" w:firstColumn="0" w:lastColumn="0" w:noHBand="0" w:noVBand="0"/>
        <w:tblDescription w:val="Post-Secondary Recruitment Program and former student hires"/>
      </w:tblPr>
      <w:tblGrid>
        <w:gridCol w:w="3255"/>
        <w:gridCol w:w="5955"/>
        <w:gridCol w:w="5180"/>
      </w:tblGrid>
      <w:tr w:rsidR="0040016D" w:rsidRPr="0040016D" w14:paraId="2C3C48E5" w14:textId="77777777" w:rsidTr="00A84016">
        <w:trPr>
          <w:cantSplit/>
          <w:tblHeader/>
          <w:jc w:val="center"/>
        </w:trPr>
        <w:tc>
          <w:tcPr>
            <w:tcW w:w="1131" w:type="pct"/>
          </w:tcPr>
          <w:p w14:paraId="4EBE4B64" w14:textId="77777777" w:rsidR="00210D24" w:rsidRPr="0040016D" w:rsidRDefault="00210D24" w:rsidP="0040016D">
            <w:pPr>
              <w:pStyle w:val="TableTitle"/>
              <w:rPr>
                <w:color w:val="auto"/>
                <w:sz w:val="22"/>
                <w:szCs w:val="22"/>
                <w:lang w:val="en-CA"/>
              </w:rPr>
            </w:pPr>
            <w:r w:rsidRPr="0040016D">
              <w:rPr>
                <w:color w:val="auto"/>
                <w:sz w:val="22"/>
                <w:szCs w:val="22"/>
                <w:lang w:val="en-CA"/>
              </w:rPr>
              <w:t>Fiscal year</w:t>
            </w:r>
          </w:p>
        </w:tc>
        <w:tc>
          <w:tcPr>
            <w:tcW w:w="2069" w:type="pct"/>
          </w:tcPr>
          <w:p w14:paraId="755F2AF8" w14:textId="77777777" w:rsidR="00210D24" w:rsidRPr="0040016D" w:rsidRDefault="00210D24" w:rsidP="0040016D">
            <w:pPr>
              <w:pStyle w:val="TableTitle"/>
              <w:rPr>
                <w:color w:val="auto"/>
                <w:sz w:val="22"/>
                <w:szCs w:val="22"/>
                <w:lang w:val="en-CA"/>
              </w:rPr>
            </w:pPr>
            <w:r w:rsidRPr="0040016D">
              <w:rPr>
                <w:color w:val="auto"/>
                <w:sz w:val="22"/>
                <w:szCs w:val="22"/>
                <w:lang w:val="en-CA"/>
              </w:rPr>
              <w:t>Post-Secondary Recruitment Program hires</w:t>
            </w:r>
          </w:p>
        </w:tc>
        <w:tc>
          <w:tcPr>
            <w:tcW w:w="1800" w:type="pct"/>
          </w:tcPr>
          <w:p w14:paraId="5F005EA8" w14:textId="77777777" w:rsidR="00210D24" w:rsidRPr="0040016D" w:rsidRDefault="00210D24" w:rsidP="0040016D">
            <w:pPr>
              <w:pStyle w:val="TableTitle"/>
              <w:rPr>
                <w:color w:val="auto"/>
                <w:sz w:val="22"/>
                <w:szCs w:val="22"/>
                <w:lang w:val="en-CA"/>
              </w:rPr>
            </w:pPr>
            <w:r w:rsidRPr="0040016D">
              <w:rPr>
                <w:color w:val="auto"/>
                <w:sz w:val="22"/>
                <w:szCs w:val="22"/>
                <w:lang w:val="en-CA"/>
              </w:rPr>
              <w:t>Hiring of former students</w:t>
            </w:r>
          </w:p>
        </w:tc>
      </w:tr>
      <w:tr w:rsidR="0040016D" w:rsidRPr="0040016D" w14:paraId="15DD4DEA" w14:textId="77777777" w:rsidTr="00A84016">
        <w:trPr>
          <w:cantSplit/>
          <w:tblHeader/>
          <w:jc w:val="center"/>
        </w:trPr>
        <w:tc>
          <w:tcPr>
            <w:tcW w:w="1131" w:type="pct"/>
          </w:tcPr>
          <w:p w14:paraId="1FC54851" w14:textId="77777777" w:rsidR="00210D24" w:rsidRPr="0040016D" w:rsidRDefault="00210D24" w:rsidP="008C7A1D">
            <w:pPr>
              <w:autoSpaceDE w:val="0"/>
              <w:autoSpaceDN w:val="0"/>
              <w:adjustRightInd w:val="0"/>
              <w:rPr>
                <w:rFonts w:asciiTheme="minorHAnsi" w:hAnsiTheme="minorHAnsi" w:cstheme="minorHAnsi"/>
                <w:sz w:val="22"/>
                <w:szCs w:val="22"/>
                <w:lang w:val="en-CA"/>
              </w:rPr>
            </w:pPr>
            <w:r w:rsidRPr="0040016D">
              <w:rPr>
                <w:rFonts w:asciiTheme="minorHAnsi" w:hAnsiTheme="minorHAnsi" w:cstheme="minorHAnsi"/>
                <w:sz w:val="22"/>
                <w:szCs w:val="22"/>
                <w:lang w:val="en-CA"/>
              </w:rPr>
              <w:t>2015 to 2016</w:t>
            </w:r>
          </w:p>
        </w:tc>
        <w:tc>
          <w:tcPr>
            <w:tcW w:w="2069" w:type="pct"/>
          </w:tcPr>
          <w:p w14:paraId="6E741E12"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1</w:t>
            </w:r>
          </w:p>
        </w:tc>
        <w:tc>
          <w:tcPr>
            <w:tcW w:w="1800" w:type="pct"/>
          </w:tcPr>
          <w:p w14:paraId="77B27FCA"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2</w:t>
            </w:r>
          </w:p>
        </w:tc>
      </w:tr>
      <w:tr w:rsidR="0040016D" w:rsidRPr="0040016D" w14:paraId="488BDC00" w14:textId="77777777" w:rsidTr="00A84016">
        <w:trPr>
          <w:cantSplit/>
          <w:tblHeader/>
          <w:jc w:val="center"/>
        </w:trPr>
        <w:tc>
          <w:tcPr>
            <w:tcW w:w="1131" w:type="pct"/>
          </w:tcPr>
          <w:p w14:paraId="6602C247" w14:textId="77777777" w:rsidR="00210D24" w:rsidRPr="0040016D" w:rsidRDefault="00210D24" w:rsidP="008C7A1D">
            <w:pPr>
              <w:autoSpaceDE w:val="0"/>
              <w:autoSpaceDN w:val="0"/>
              <w:adjustRightInd w:val="0"/>
              <w:rPr>
                <w:rFonts w:asciiTheme="minorHAnsi" w:hAnsiTheme="minorHAnsi" w:cstheme="minorHAnsi"/>
                <w:sz w:val="22"/>
                <w:szCs w:val="22"/>
                <w:lang w:val="en-CA"/>
              </w:rPr>
            </w:pPr>
            <w:r w:rsidRPr="0040016D">
              <w:rPr>
                <w:rFonts w:asciiTheme="minorHAnsi" w:hAnsiTheme="minorHAnsi" w:cstheme="minorHAnsi"/>
                <w:sz w:val="22"/>
                <w:szCs w:val="22"/>
                <w:lang w:val="en-CA"/>
              </w:rPr>
              <w:t>2016 to 2017</w:t>
            </w:r>
          </w:p>
        </w:tc>
        <w:tc>
          <w:tcPr>
            <w:tcW w:w="2069" w:type="pct"/>
          </w:tcPr>
          <w:p w14:paraId="12E40772"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800" w:type="pct"/>
          </w:tcPr>
          <w:p w14:paraId="50FE583C"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2</w:t>
            </w:r>
          </w:p>
        </w:tc>
      </w:tr>
      <w:tr w:rsidR="0040016D" w:rsidRPr="0040016D" w14:paraId="6E8E37A7" w14:textId="77777777" w:rsidTr="00A84016">
        <w:trPr>
          <w:cantSplit/>
          <w:tblHeader/>
          <w:jc w:val="center"/>
        </w:trPr>
        <w:tc>
          <w:tcPr>
            <w:tcW w:w="1131" w:type="pct"/>
          </w:tcPr>
          <w:p w14:paraId="3883BC8C" w14:textId="77777777" w:rsidR="00210D24" w:rsidRPr="0040016D" w:rsidRDefault="00210D24" w:rsidP="008C7A1D">
            <w:pPr>
              <w:autoSpaceDE w:val="0"/>
              <w:autoSpaceDN w:val="0"/>
              <w:adjustRightInd w:val="0"/>
              <w:rPr>
                <w:rFonts w:asciiTheme="minorHAnsi" w:hAnsiTheme="minorHAnsi" w:cstheme="minorHAnsi"/>
                <w:sz w:val="22"/>
                <w:szCs w:val="22"/>
                <w:lang w:val="en-CA"/>
              </w:rPr>
            </w:pPr>
            <w:r w:rsidRPr="0040016D">
              <w:rPr>
                <w:rFonts w:asciiTheme="minorHAnsi" w:hAnsiTheme="minorHAnsi" w:cstheme="minorHAnsi"/>
                <w:sz w:val="22"/>
                <w:szCs w:val="22"/>
                <w:lang w:val="en-CA"/>
              </w:rPr>
              <w:t>2017 to 2018</w:t>
            </w:r>
          </w:p>
        </w:tc>
        <w:tc>
          <w:tcPr>
            <w:tcW w:w="2069" w:type="pct"/>
          </w:tcPr>
          <w:p w14:paraId="30E52AD1"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800" w:type="pct"/>
          </w:tcPr>
          <w:p w14:paraId="62A8533D"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4</w:t>
            </w:r>
          </w:p>
        </w:tc>
      </w:tr>
      <w:tr w:rsidR="0040016D" w:rsidRPr="0040016D" w14:paraId="13FB689F" w14:textId="77777777" w:rsidTr="00A84016">
        <w:trPr>
          <w:cantSplit/>
          <w:tblHeader/>
          <w:jc w:val="center"/>
        </w:trPr>
        <w:tc>
          <w:tcPr>
            <w:tcW w:w="1131" w:type="pct"/>
          </w:tcPr>
          <w:p w14:paraId="60FA0278" w14:textId="77777777" w:rsidR="00210D24" w:rsidRPr="0040016D" w:rsidRDefault="00210D24" w:rsidP="008C7A1D">
            <w:pPr>
              <w:autoSpaceDE w:val="0"/>
              <w:autoSpaceDN w:val="0"/>
              <w:adjustRightInd w:val="0"/>
              <w:rPr>
                <w:rFonts w:asciiTheme="minorHAnsi" w:hAnsiTheme="minorHAnsi" w:cstheme="minorHAnsi"/>
                <w:sz w:val="22"/>
                <w:szCs w:val="22"/>
                <w:lang w:val="en-CA"/>
              </w:rPr>
            </w:pPr>
            <w:r w:rsidRPr="0040016D">
              <w:rPr>
                <w:rFonts w:asciiTheme="minorHAnsi" w:hAnsiTheme="minorHAnsi" w:cstheme="minorHAnsi"/>
                <w:sz w:val="22"/>
                <w:szCs w:val="22"/>
                <w:lang w:val="en-CA"/>
              </w:rPr>
              <w:t>2018 to 2019</w:t>
            </w:r>
          </w:p>
        </w:tc>
        <w:tc>
          <w:tcPr>
            <w:tcW w:w="2069" w:type="pct"/>
          </w:tcPr>
          <w:p w14:paraId="723D98B9"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800" w:type="pct"/>
          </w:tcPr>
          <w:p w14:paraId="4018D6F6"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4</w:t>
            </w:r>
          </w:p>
        </w:tc>
      </w:tr>
      <w:tr w:rsidR="0040016D" w:rsidRPr="0040016D" w14:paraId="7C59FBF9" w14:textId="77777777" w:rsidTr="00A84016">
        <w:trPr>
          <w:cantSplit/>
          <w:tblHeader/>
          <w:jc w:val="center"/>
        </w:trPr>
        <w:tc>
          <w:tcPr>
            <w:tcW w:w="1131" w:type="pct"/>
          </w:tcPr>
          <w:p w14:paraId="2EE959A7" w14:textId="77777777" w:rsidR="00210D24" w:rsidRPr="0040016D" w:rsidRDefault="00210D24" w:rsidP="008C7A1D">
            <w:pPr>
              <w:autoSpaceDE w:val="0"/>
              <w:autoSpaceDN w:val="0"/>
              <w:adjustRightInd w:val="0"/>
              <w:rPr>
                <w:rFonts w:asciiTheme="minorHAnsi" w:hAnsiTheme="minorHAnsi" w:cstheme="minorHAnsi"/>
                <w:sz w:val="22"/>
                <w:szCs w:val="22"/>
                <w:lang w:val="en-CA"/>
              </w:rPr>
            </w:pPr>
            <w:r w:rsidRPr="0040016D">
              <w:rPr>
                <w:rFonts w:asciiTheme="minorHAnsi" w:hAnsiTheme="minorHAnsi" w:cstheme="minorHAnsi"/>
                <w:sz w:val="22"/>
                <w:szCs w:val="22"/>
                <w:lang w:val="en-CA"/>
              </w:rPr>
              <w:t>2019 to 2020</w:t>
            </w:r>
          </w:p>
        </w:tc>
        <w:tc>
          <w:tcPr>
            <w:tcW w:w="2069" w:type="pct"/>
          </w:tcPr>
          <w:p w14:paraId="492136DB"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0</w:t>
            </w:r>
          </w:p>
        </w:tc>
        <w:tc>
          <w:tcPr>
            <w:tcW w:w="1800" w:type="pct"/>
          </w:tcPr>
          <w:p w14:paraId="1A424B93" w14:textId="77777777" w:rsidR="00210D24" w:rsidRPr="0040016D" w:rsidRDefault="00210D24" w:rsidP="008C7A1D">
            <w:pPr>
              <w:autoSpaceDE w:val="0"/>
              <w:autoSpaceDN w:val="0"/>
              <w:adjustRightInd w:val="0"/>
              <w:jc w:val="center"/>
              <w:rPr>
                <w:rFonts w:asciiTheme="minorHAnsi" w:hAnsiTheme="minorHAnsi" w:cstheme="minorHAnsi"/>
                <w:sz w:val="22"/>
                <w:szCs w:val="22"/>
                <w:lang w:val="en-CA"/>
              </w:rPr>
            </w:pPr>
            <w:r w:rsidRPr="0040016D">
              <w:rPr>
                <w:rFonts w:asciiTheme="minorHAnsi" w:hAnsiTheme="minorHAnsi" w:cstheme="minorHAnsi"/>
                <w:sz w:val="22"/>
                <w:szCs w:val="22"/>
                <w:lang w:val="en-CA"/>
              </w:rPr>
              <w:t>1</w:t>
            </w:r>
          </w:p>
        </w:tc>
      </w:tr>
    </w:tbl>
    <w:p w14:paraId="23247ACB" w14:textId="77777777" w:rsidR="00210D24" w:rsidRPr="0040016D" w:rsidRDefault="00210D24" w:rsidP="00210D24">
      <w:pPr>
        <w:rPr>
          <w:rFonts w:asciiTheme="minorHAnsi" w:hAnsiTheme="minorHAnsi" w:cstheme="minorHAnsi"/>
          <w:sz w:val="22"/>
          <w:szCs w:val="22"/>
          <w:lang w:val="en-CA"/>
        </w:rPr>
      </w:pPr>
      <w:r w:rsidRPr="0040016D">
        <w:rPr>
          <w:rFonts w:asciiTheme="minorHAnsi" w:hAnsiTheme="minorHAnsi" w:cstheme="minorHAnsi"/>
          <w:sz w:val="22"/>
          <w:szCs w:val="22"/>
          <w:lang w:val="en-CA"/>
        </w:rPr>
        <w:t>Hiring of former students includes indeterminate and term hires with experience in a federal student recruitment program within the last 10 years.</w:t>
      </w:r>
    </w:p>
    <w:p w14:paraId="57AF3691" w14:textId="77777777" w:rsidR="00717FC3" w:rsidRPr="00264AD9" w:rsidRDefault="00717FC3" w:rsidP="0072395D">
      <w:pPr>
        <w:jc w:val="right"/>
        <w:rPr>
          <w:rFonts w:ascii="Segoe UI" w:hAnsi="Segoe UI" w:cs="Segoe UI"/>
          <w:b/>
          <w:bCs/>
          <w:szCs w:val="24"/>
          <w:lang w:val="en-CA"/>
        </w:rPr>
        <w:sectPr w:rsidR="00717FC3" w:rsidRPr="00264AD9" w:rsidSect="005A0BFA">
          <w:pgSz w:w="15840" w:h="12240" w:orient="landscape"/>
          <w:pgMar w:top="720" w:right="720" w:bottom="720" w:left="720" w:header="709" w:footer="284" w:gutter="0"/>
          <w:cols w:space="708"/>
          <w:titlePg/>
          <w:docGrid w:linePitch="360"/>
        </w:sectPr>
      </w:pPr>
    </w:p>
    <w:p w14:paraId="73E89A93" w14:textId="5417F70E" w:rsidR="0040016D" w:rsidRPr="0040016D" w:rsidRDefault="0040016D" w:rsidP="0040016D">
      <w:pPr>
        <w:pStyle w:val="Heading1"/>
        <w:spacing w:before="120" w:after="120"/>
        <w:rPr>
          <w:sz w:val="40"/>
          <w:szCs w:val="40"/>
          <w:lang w:val="en-CA"/>
        </w:rPr>
      </w:pPr>
      <w:r w:rsidRPr="0040016D">
        <w:rPr>
          <w:sz w:val="40"/>
          <w:szCs w:val="40"/>
          <w:lang w:val="en-CA"/>
        </w:rPr>
        <w:lastRenderedPageBreak/>
        <w:t>Internal time to staff</w:t>
      </w:r>
    </w:p>
    <w:p w14:paraId="3581EE20" w14:textId="47A9C87A" w:rsidR="00950460" w:rsidRDefault="00717FC3" w:rsidP="00950460">
      <w:pPr>
        <w:keepNext/>
      </w:pPr>
      <w:r w:rsidRPr="00264AD9">
        <w:rPr>
          <w:rFonts w:ascii="Segoe UI" w:hAnsi="Segoe UI" w:cs="Segoe UI"/>
          <w:noProof/>
          <w:lang w:val="en-CA" w:eastAsia="en-CA"/>
        </w:rPr>
        <w:drawing>
          <wp:inline distT="0" distB="0" distL="0" distR="0" wp14:anchorId="5F8CFA7F" wp14:editId="018E2E46">
            <wp:extent cx="5648400" cy="3049200"/>
            <wp:effectExtent l="0" t="0" r="9525" b="18415"/>
            <wp:docPr id="22" name="Chart 22" descr="Internal time to staff Public service median = 175 day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950460" w:rsidRPr="00264AD9">
        <w:rPr>
          <w:rFonts w:ascii="Segoe UI" w:hAnsi="Segoe UI" w:cs="Segoe UI"/>
          <w:noProof/>
          <w:lang w:val="en-CA" w:eastAsia="en-CA"/>
        </w:rPr>
        <mc:AlternateContent>
          <mc:Choice Requires="wps">
            <w:drawing>
              <wp:inline distT="0" distB="0" distL="0" distR="0" wp14:anchorId="577CCB22" wp14:editId="6989B6E2">
                <wp:extent cx="5648400" cy="3049200"/>
                <wp:effectExtent l="0" t="0" r="28575" b="18415"/>
                <wp:docPr id="4" name="Text Box 4" descr="The data is insufficient for providing results on internal process times for the specified organization." title="Internal time to staff for fiscal year 2019 to 2020 for the specified organiz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25B3F962" w14:textId="77777777" w:rsidR="003864AA" w:rsidRPr="00950460" w:rsidRDefault="003864AA" w:rsidP="00950460">
                            <w:pPr>
                              <w:spacing w:after="120"/>
                              <w:rPr>
                                <w:rFonts w:asciiTheme="minorHAnsi" w:hAnsiTheme="minorHAnsi" w:cstheme="minorHAnsi"/>
                                <w:sz w:val="22"/>
                                <w:szCs w:val="22"/>
                              </w:rPr>
                            </w:pPr>
                            <w:r w:rsidRPr="00950460">
                              <w:rPr>
                                <w:rFonts w:asciiTheme="minorHAnsi" w:hAnsiTheme="minorHAnsi" w:cstheme="minorHAnsi"/>
                                <w:sz w:val="22"/>
                                <w:szCs w:val="22"/>
                              </w:rPr>
                              <w:t>Internal Time to Staff</w:t>
                            </w:r>
                          </w:p>
                          <w:p w14:paraId="0472EAE3" w14:textId="77777777" w:rsidR="003864AA" w:rsidRPr="00950460" w:rsidRDefault="003864AA" w:rsidP="00950460">
                            <w:pPr>
                              <w:pStyle w:val="ListParagraph"/>
                              <w:ind w:left="360"/>
                              <w:rPr>
                                <w:rFonts w:asciiTheme="minorHAnsi" w:hAnsiTheme="minorHAnsi" w:cstheme="minorHAnsi"/>
                                <w:sz w:val="22"/>
                                <w:szCs w:val="22"/>
                              </w:rPr>
                            </w:pPr>
                            <w:r w:rsidRPr="00950460">
                              <w:rPr>
                                <w:rFonts w:asciiTheme="minorHAnsi" w:hAnsiTheme="minorHAnsi" w:cstheme="minorHAnsi"/>
                                <w:sz w:val="22"/>
                                <w:szCs w:val="22"/>
                              </w:rPr>
                              <w:t>The data is insufficient for providing results on internal process times for Canada Energy Regulator.</w:t>
                            </w:r>
                          </w:p>
                        </w:txbxContent>
                      </wps:txbx>
                      <wps:bodyPr rot="0" vert="horz" wrap="square" lIns="91440" tIns="45720" rIns="91440" bIns="45720" anchor="t" anchorCtr="0">
                        <a:noAutofit/>
                      </wps:bodyPr>
                    </wps:wsp>
                  </a:graphicData>
                </a:graphic>
              </wp:inline>
            </w:drawing>
          </mc:Choice>
          <mc:Fallback>
            <w:pict>
              <v:shapetype w14:anchorId="577CCB22" id="_x0000_t202" coordsize="21600,21600" o:spt="202" path="m,l,21600r21600,l21600,xe">
                <v:stroke joinstyle="miter"/>
                <v:path gradientshapeok="t" o:connecttype="rect"/>
              </v:shapetype>
              <v:shape id="Text Box 4" o:spid="_x0000_s1026" type="#_x0000_t202" alt="Title: Internal time to staff for fiscal year 2019 to 2020 for the specified organization - Description: The data is insufficient for providing results on internal process times for the specified organization."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">
                <v:textbox>
                  <w:txbxContent>
                    <w:p w14:paraId="25B3F962" w14:textId="77777777" w:rsidR="003864AA" w:rsidRPr="00950460" w:rsidRDefault="003864AA" w:rsidP="00950460">
                      <w:pPr>
                        <w:spacing w:after="120"/>
                        <w:rPr>
                          <w:rFonts w:asciiTheme="minorHAnsi" w:hAnsiTheme="minorHAnsi" w:cstheme="minorHAnsi"/>
                          <w:sz w:val="22"/>
                          <w:szCs w:val="22"/>
                        </w:rPr>
                      </w:pPr>
                      <w:r w:rsidRPr="00950460">
                        <w:rPr>
                          <w:rFonts w:asciiTheme="minorHAnsi" w:hAnsiTheme="minorHAnsi" w:cstheme="minorHAnsi"/>
                          <w:sz w:val="22"/>
                          <w:szCs w:val="22"/>
                        </w:rPr>
                        <w:t>Internal Time to Staff</w:t>
                      </w:r>
                    </w:p>
                    <w:p w14:paraId="0472EAE3" w14:textId="77777777" w:rsidR="003864AA" w:rsidRPr="00950460" w:rsidRDefault="003864AA" w:rsidP="00950460">
                      <w:pPr>
                        <w:pStyle w:val="ListParagraph"/>
                        <w:ind w:left="360"/>
                        <w:rPr>
                          <w:rFonts w:asciiTheme="minorHAnsi" w:hAnsiTheme="minorHAnsi" w:cstheme="minorHAnsi"/>
                          <w:sz w:val="22"/>
                          <w:szCs w:val="22"/>
                        </w:rPr>
                      </w:pPr>
                      <w:r w:rsidRPr="00950460">
                        <w:rPr>
                          <w:rFonts w:asciiTheme="minorHAnsi" w:hAnsiTheme="minorHAnsi" w:cstheme="minorHAnsi"/>
                          <w:sz w:val="22"/>
                          <w:szCs w:val="22"/>
                        </w:rPr>
                        <w:t>The data is insufficient for providing results on internal process times for Canada Energy Regulator.</w:t>
                      </w:r>
                    </w:p>
                  </w:txbxContent>
                </v:textbox>
                <w10:anchorlock/>
              </v:shape>
            </w:pict>
          </mc:Fallback>
        </mc:AlternateContent>
      </w:r>
    </w:p>
    <w:p w14:paraId="54991671" w14:textId="77235F25" w:rsidR="00950460" w:rsidRPr="00950460" w:rsidRDefault="00950460" w:rsidP="00950460">
      <w:pPr>
        <w:pStyle w:val="Caption"/>
        <w:spacing w:after="0"/>
        <w:rPr>
          <w:rFonts w:asciiTheme="minorHAnsi" w:hAnsiTheme="minorHAnsi" w:cstheme="minorHAnsi"/>
          <w:i w:val="0"/>
          <w:iCs w:val="0"/>
          <w:color w:val="auto"/>
        </w:rPr>
      </w:pPr>
      <w:r w:rsidRPr="00950460">
        <w:rPr>
          <w:rFonts w:asciiTheme="minorHAnsi" w:hAnsiTheme="minorHAnsi" w:cstheme="minorHAnsi"/>
          <w:i w:val="0"/>
          <w:iCs w:val="0"/>
          <w:color w:val="auto"/>
        </w:rPr>
        <w:t xml:space="preserve">Figure </w:t>
      </w:r>
      <w:r w:rsidRPr="00950460">
        <w:rPr>
          <w:rFonts w:asciiTheme="minorHAnsi" w:hAnsiTheme="minorHAnsi" w:cstheme="minorHAnsi"/>
          <w:i w:val="0"/>
          <w:iCs w:val="0"/>
          <w:color w:val="auto"/>
        </w:rPr>
        <w:fldChar w:fldCharType="begin"/>
      </w:r>
      <w:r w:rsidRPr="00950460">
        <w:rPr>
          <w:rFonts w:asciiTheme="minorHAnsi" w:hAnsiTheme="minorHAnsi" w:cstheme="minorHAnsi"/>
          <w:i w:val="0"/>
          <w:iCs w:val="0"/>
          <w:color w:val="auto"/>
        </w:rPr>
        <w:instrText xml:space="preserve"> SEQ Figure \* ARABIC </w:instrText>
      </w:r>
      <w:r w:rsidRPr="00950460">
        <w:rPr>
          <w:rFonts w:asciiTheme="minorHAnsi" w:hAnsiTheme="minorHAnsi" w:cstheme="minorHAnsi"/>
          <w:i w:val="0"/>
          <w:iCs w:val="0"/>
          <w:color w:val="auto"/>
        </w:rPr>
        <w:fldChar w:fldCharType="separate"/>
      </w:r>
      <w:r>
        <w:rPr>
          <w:rFonts w:asciiTheme="minorHAnsi" w:hAnsiTheme="minorHAnsi" w:cstheme="minorHAnsi"/>
          <w:i w:val="0"/>
          <w:iCs w:val="0"/>
          <w:noProof/>
          <w:color w:val="auto"/>
        </w:rPr>
        <w:t>12</w:t>
      </w:r>
      <w:r w:rsidRPr="00950460">
        <w:rPr>
          <w:rFonts w:asciiTheme="minorHAnsi" w:hAnsiTheme="minorHAnsi" w:cstheme="minorHAnsi"/>
          <w:i w:val="0"/>
          <w:iCs w:val="0"/>
          <w:color w:val="auto"/>
        </w:rPr>
        <w:fldChar w:fldCharType="end"/>
      </w:r>
      <w:r w:rsidRPr="00950460">
        <w:rPr>
          <w:rFonts w:asciiTheme="minorHAnsi" w:hAnsiTheme="minorHAnsi" w:cstheme="minorHAnsi"/>
          <w:i w:val="0"/>
          <w:iCs w:val="0"/>
          <w:color w:val="auto"/>
        </w:rPr>
        <w:t xml:space="preserve"> - Internal time to staff </w:t>
      </w:r>
      <w:proofErr w:type="gramStart"/>
      <w:r w:rsidRPr="00950460">
        <w:rPr>
          <w:rFonts w:asciiTheme="minorHAnsi" w:hAnsiTheme="minorHAnsi" w:cstheme="minorHAnsi"/>
          <w:i w:val="0"/>
          <w:iCs w:val="0"/>
          <w:color w:val="auto"/>
        </w:rPr>
        <w:t>Public</w:t>
      </w:r>
      <w:proofErr w:type="gramEnd"/>
      <w:r w:rsidRPr="00950460">
        <w:rPr>
          <w:rFonts w:asciiTheme="minorHAnsi" w:hAnsiTheme="minorHAnsi" w:cstheme="minorHAnsi"/>
          <w:i w:val="0"/>
          <w:iCs w:val="0"/>
          <w:color w:val="auto"/>
        </w:rPr>
        <w:t xml:space="preserve"> service median = 175 days, 2019-20</w:t>
      </w:r>
      <w:r w:rsidR="0051228E">
        <w:rPr>
          <w:rFonts w:asciiTheme="minorHAnsi" w:hAnsiTheme="minorHAnsi" w:cstheme="minorHAnsi"/>
          <w:i w:val="0"/>
          <w:iCs w:val="0"/>
          <w:color w:val="auto"/>
        </w:rPr>
        <w:t>20</w:t>
      </w:r>
    </w:p>
    <w:p w14:paraId="2D1DFCC0" w14:textId="11BB6729" w:rsidR="00950460" w:rsidRDefault="009B7AD3" w:rsidP="00950460">
      <w:pPr>
        <w:numPr>
          <w:ilvl w:val="1"/>
          <w:numId w:val="0"/>
        </w:numPr>
        <w:spacing w:before="240" w:after="120"/>
        <w:rPr>
          <w:rStyle w:val="Hyperlink"/>
          <w:rFonts w:asciiTheme="minorHAnsi" w:eastAsiaTheme="minorHAnsi" w:hAnsiTheme="minorHAnsi" w:cstheme="minorHAnsi"/>
          <w:szCs w:val="24"/>
          <w:lang w:val="en-CA"/>
        </w:rPr>
      </w:pPr>
      <w:hyperlink w:anchor="Internal_time_to_staff" w:history="1">
        <w:r w:rsidR="00950460" w:rsidRPr="00432882">
          <w:rPr>
            <w:rStyle w:val="Hyperlink"/>
            <w:rFonts w:asciiTheme="minorHAnsi" w:eastAsiaTheme="minorHAnsi" w:hAnsiTheme="minorHAnsi" w:cstheme="minorHAnsi"/>
            <w:szCs w:val="24"/>
            <w:lang w:val="en-CA"/>
          </w:rPr>
          <w:t>Internal time to staff data table available here</w:t>
        </w:r>
      </w:hyperlink>
    </w:p>
    <w:p w14:paraId="09610098" w14:textId="77777777" w:rsidR="00950460" w:rsidRDefault="00950460" w:rsidP="00210D24">
      <w:pPr>
        <w:rPr>
          <w:rFonts w:asciiTheme="minorHAnsi" w:hAnsiTheme="minorHAnsi" w:cstheme="minorHAnsi"/>
          <w:sz w:val="22"/>
          <w:szCs w:val="22"/>
          <w:lang w:val="en-CA" w:eastAsia="en-CA"/>
        </w:rPr>
        <w:sectPr w:rsidR="00950460" w:rsidSect="00210D24">
          <w:pgSz w:w="20160" w:h="12240" w:orient="landscape" w:code="5"/>
          <w:pgMar w:top="720" w:right="720" w:bottom="720" w:left="720" w:header="708" w:footer="708" w:gutter="0"/>
          <w:cols w:space="708"/>
          <w:titlePg/>
          <w:docGrid w:linePitch="360"/>
        </w:sectPr>
      </w:pPr>
    </w:p>
    <w:p w14:paraId="45AB1C0D" w14:textId="4E9EB4DF" w:rsidR="00210D24" w:rsidRDefault="00210D24" w:rsidP="00950460">
      <w:pPr>
        <w:spacing w:after="120"/>
        <w:rPr>
          <w:rFonts w:asciiTheme="minorHAnsi" w:hAnsiTheme="minorHAnsi" w:cstheme="minorHAnsi"/>
          <w:sz w:val="22"/>
          <w:szCs w:val="22"/>
          <w:lang w:val="en-CA" w:eastAsia="en-CA"/>
        </w:rPr>
      </w:pPr>
      <w:r w:rsidRPr="00950460">
        <w:rPr>
          <w:rFonts w:asciiTheme="minorHAnsi" w:hAnsiTheme="minorHAnsi" w:cstheme="minorHAnsi"/>
          <w:sz w:val="22"/>
          <w:szCs w:val="22"/>
          <w:lang w:val="en-CA" w:eastAsia="en-CA"/>
        </w:rPr>
        <w:t>Internal time to staff is calculated as the number of calendar days between the opening date of the advertisement and the date of the first notification</w:t>
      </w:r>
    </w:p>
    <w:p w14:paraId="4C1B6B8F" w14:textId="77777777" w:rsidR="00950460" w:rsidRPr="00950460" w:rsidRDefault="00950460" w:rsidP="00950460">
      <w:pPr>
        <w:rPr>
          <w:rFonts w:asciiTheme="minorHAnsi" w:hAnsiTheme="minorHAnsi" w:cstheme="minorHAnsi"/>
          <w:sz w:val="22"/>
          <w:szCs w:val="22"/>
          <w:lang w:val="en-CA"/>
        </w:rPr>
      </w:pPr>
      <w:r w:rsidRPr="00950460">
        <w:rPr>
          <w:rFonts w:asciiTheme="minorHAnsi" w:hAnsiTheme="minorHAnsi" w:cstheme="minorHAnsi"/>
          <w:sz w:val="22"/>
          <w:szCs w:val="22"/>
          <w:lang w:val="en-CA"/>
        </w:rPr>
        <w:t xml:space="preserve">The median internal time to staff for the public service (organizations subject to the </w:t>
      </w:r>
      <w:r w:rsidRPr="00950460">
        <w:rPr>
          <w:rStyle w:val="Emphasis"/>
          <w:rFonts w:asciiTheme="minorHAnsi" w:hAnsiTheme="minorHAnsi" w:cstheme="minorHAnsi"/>
          <w:szCs w:val="18"/>
        </w:rPr>
        <w:t>Public Service Employment Act</w:t>
      </w:r>
      <w:r w:rsidRPr="00950460">
        <w:rPr>
          <w:rFonts w:asciiTheme="minorHAnsi" w:hAnsiTheme="minorHAnsi" w:cstheme="minorHAnsi"/>
          <w:sz w:val="22"/>
          <w:szCs w:val="22"/>
          <w:lang w:val="en-CA"/>
        </w:rPr>
        <w:t>) for fiscal year 2019 to 2020 is 175 days</w:t>
      </w:r>
    </w:p>
    <w:p w14:paraId="5A9E70A2" w14:textId="60B0A709" w:rsidR="00210D24" w:rsidRPr="00950460" w:rsidRDefault="00950460" w:rsidP="00950460">
      <w:pPr>
        <w:spacing w:after="120"/>
        <w:rPr>
          <w:rStyle w:val="Strong"/>
          <w:rFonts w:asciiTheme="minorHAnsi" w:hAnsiTheme="minorHAnsi" w:cstheme="minorHAnsi"/>
          <w:sz w:val="22"/>
          <w:szCs w:val="18"/>
        </w:rPr>
      </w:pPr>
      <w:r>
        <w:rPr>
          <w:rFonts w:asciiTheme="minorHAnsi" w:hAnsiTheme="minorHAnsi" w:cstheme="minorHAnsi"/>
          <w:b/>
          <w:sz w:val="22"/>
          <w:szCs w:val="22"/>
          <w:lang w:val="en-CA"/>
        </w:rPr>
        <w:br w:type="column"/>
      </w:r>
      <w:r w:rsidR="00210D24" w:rsidRPr="00950460">
        <w:rPr>
          <w:rStyle w:val="Strong"/>
          <w:rFonts w:asciiTheme="minorHAnsi" w:hAnsiTheme="minorHAnsi" w:cstheme="minorHAnsi"/>
          <w:sz w:val="22"/>
          <w:szCs w:val="18"/>
        </w:rPr>
        <w:t>Internal time to staff for fiscal year 2019 to 2020</w:t>
      </w:r>
    </w:p>
    <w:p w14:paraId="2C9EC3C3" w14:textId="77777777" w:rsidR="00210D24" w:rsidRPr="00950460" w:rsidRDefault="00210D24" w:rsidP="008C7A1D">
      <w:pPr>
        <w:rPr>
          <w:rFonts w:asciiTheme="minorHAnsi" w:hAnsiTheme="minorHAnsi" w:cstheme="minorHAnsi"/>
          <w:sz w:val="22"/>
          <w:szCs w:val="22"/>
          <w:lang w:val="en-CA"/>
        </w:rPr>
      </w:pPr>
      <w:r w:rsidRPr="00950460">
        <w:rPr>
          <w:rFonts w:asciiTheme="minorHAnsi" w:hAnsiTheme="minorHAnsi" w:cstheme="minorHAnsi"/>
          <w:sz w:val="22"/>
          <w:szCs w:val="22"/>
          <w:lang w:val="en-CA"/>
        </w:rPr>
        <w:t>The data is insufficient for providing results on internal process times for Canada Energy Regulator.</w:t>
      </w:r>
    </w:p>
    <w:p w14:paraId="3807710A" w14:textId="77777777" w:rsidR="00950460" w:rsidRDefault="00950460" w:rsidP="00210D24">
      <w:pPr>
        <w:rPr>
          <w:rFonts w:ascii="Segoe UI" w:hAnsi="Segoe UI" w:cs="Segoe UI"/>
          <w:b/>
          <w:bCs/>
          <w:szCs w:val="24"/>
          <w:lang w:val="en-CA"/>
        </w:rPr>
        <w:sectPr w:rsidR="00950460" w:rsidSect="00950460">
          <w:type w:val="continuous"/>
          <w:pgSz w:w="20160" w:h="12240" w:orient="landscape" w:code="5"/>
          <w:pgMar w:top="720" w:right="720" w:bottom="720" w:left="720" w:header="708" w:footer="708" w:gutter="0"/>
          <w:cols w:num="2" w:space="708"/>
          <w:titlePg/>
          <w:docGrid w:linePitch="360"/>
        </w:sectPr>
      </w:pPr>
    </w:p>
    <w:p w14:paraId="2C73F016" w14:textId="74D285F6" w:rsidR="00950460" w:rsidRPr="005E6CEB" w:rsidRDefault="00950460" w:rsidP="005E6CEB">
      <w:pPr>
        <w:pStyle w:val="Heading1"/>
        <w:spacing w:before="120" w:after="120"/>
        <w:rPr>
          <w:sz w:val="40"/>
          <w:szCs w:val="40"/>
        </w:rPr>
      </w:pPr>
      <w:r w:rsidRPr="005E6CEB">
        <w:rPr>
          <w:sz w:val="40"/>
          <w:szCs w:val="40"/>
        </w:rPr>
        <w:lastRenderedPageBreak/>
        <w:t>Internal time to staff</w:t>
      </w:r>
    </w:p>
    <w:p w14:paraId="4F302E6A" w14:textId="04B26753" w:rsidR="005E6CEB" w:rsidRPr="005E6CEB" w:rsidRDefault="005E6CEB" w:rsidP="005E6CEB">
      <w:pPr>
        <w:pStyle w:val="Caption"/>
        <w:keepNext/>
        <w:spacing w:after="0"/>
        <w:rPr>
          <w:rFonts w:asciiTheme="minorHAnsi" w:hAnsiTheme="minorHAnsi" w:cstheme="minorHAnsi"/>
          <w:i w:val="0"/>
          <w:iCs w:val="0"/>
          <w:color w:val="auto"/>
        </w:rPr>
      </w:pPr>
      <w:r w:rsidRPr="005E6CEB">
        <w:rPr>
          <w:rFonts w:asciiTheme="minorHAnsi" w:hAnsiTheme="minorHAnsi" w:cstheme="minorHAnsi"/>
          <w:i w:val="0"/>
          <w:iCs w:val="0"/>
          <w:color w:val="auto"/>
        </w:rPr>
        <w:t xml:space="preserve">Table </w:t>
      </w:r>
      <w:r w:rsidRPr="005E6CEB">
        <w:rPr>
          <w:rFonts w:asciiTheme="minorHAnsi" w:hAnsiTheme="minorHAnsi" w:cstheme="minorHAnsi"/>
          <w:i w:val="0"/>
          <w:iCs w:val="0"/>
          <w:color w:val="auto"/>
        </w:rPr>
        <w:fldChar w:fldCharType="begin"/>
      </w:r>
      <w:r w:rsidRPr="005E6CEB">
        <w:rPr>
          <w:rFonts w:asciiTheme="minorHAnsi" w:hAnsiTheme="minorHAnsi" w:cstheme="minorHAnsi"/>
          <w:i w:val="0"/>
          <w:iCs w:val="0"/>
          <w:color w:val="auto"/>
        </w:rPr>
        <w:instrText xml:space="preserve"> SEQ Table \* ARABIC </w:instrText>
      </w:r>
      <w:r w:rsidRPr="005E6CEB">
        <w:rPr>
          <w:rFonts w:asciiTheme="minorHAnsi" w:hAnsiTheme="minorHAnsi" w:cstheme="minorHAnsi"/>
          <w:i w:val="0"/>
          <w:iCs w:val="0"/>
          <w:color w:val="auto"/>
        </w:rPr>
        <w:fldChar w:fldCharType="separate"/>
      </w:r>
      <w:r w:rsidRPr="005E6CEB">
        <w:rPr>
          <w:rFonts w:asciiTheme="minorHAnsi" w:hAnsiTheme="minorHAnsi" w:cstheme="minorHAnsi"/>
          <w:i w:val="0"/>
          <w:iCs w:val="0"/>
          <w:noProof/>
          <w:color w:val="auto"/>
        </w:rPr>
        <w:t>15</w:t>
      </w:r>
      <w:r w:rsidRPr="005E6CEB">
        <w:rPr>
          <w:rFonts w:asciiTheme="minorHAnsi" w:hAnsiTheme="minorHAnsi" w:cstheme="minorHAnsi"/>
          <w:i w:val="0"/>
          <w:iCs w:val="0"/>
          <w:color w:val="auto"/>
        </w:rPr>
        <w:fldChar w:fldCharType="end"/>
      </w:r>
      <w:r w:rsidRPr="005E6CEB">
        <w:rPr>
          <w:rFonts w:asciiTheme="minorHAnsi" w:hAnsiTheme="minorHAnsi" w:cstheme="minorHAnsi"/>
          <w:i w:val="0"/>
          <w:iCs w:val="0"/>
          <w:color w:val="auto"/>
        </w:rPr>
        <w:t>- Internal time to staff</w:t>
      </w:r>
    </w:p>
    <w:tbl>
      <w:tblPr>
        <w:tblStyle w:val="TableGrid"/>
        <w:tblW w:w="5076" w:type="pct"/>
        <w:jc w:val="center"/>
        <w:tblLayout w:type="fixed"/>
        <w:tblLook w:val="0000" w:firstRow="0" w:lastRow="0" w:firstColumn="0" w:lastColumn="0" w:noHBand="0" w:noVBand="0"/>
        <w:tblDescription w:val="Internal time to staff"/>
      </w:tblPr>
      <w:tblGrid>
        <w:gridCol w:w="3593"/>
        <w:gridCol w:w="7361"/>
      </w:tblGrid>
      <w:tr w:rsidR="005E6CEB" w:rsidRPr="005E6CEB" w14:paraId="211ADEE6" w14:textId="77777777" w:rsidTr="005E6CEB">
        <w:trPr>
          <w:cantSplit/>
          <w:trHeight w:val="290"/>
          <w:tblHeader/>
          <w:jc w:val="center"/>
        </w:trPr>
        <w:tc>
          <w:tcPr>
            <w:tcW w:w="1640" w:type="pct"/>
          </w:tcPr>
          <w:p w14:paraId="3020C552" w14:textId="7404E347" w:rsidR="00210D24" w:rsidRPr="00E62017" w:rsidRDefault="00210D24" w:rsidP="005E6CEB">
            <w:pPr>
              <w:pStyle w:val="TableTitle"/>
              <w:rPr>
                <w:rFonts w:cs="Segoe UI Semibold"/>
                <w:color w:val="auto"/>
                <w:sz w:val="22"/>
                <w:szCs w:val="22"/>
              </w:rPr>
            </w:pPr>
            <w:bookmarkStart w:id="2" w:name="Internal_time_to_staff"/>
            <w:r w:rsidRPr="00E62017">
              <w:rPr>
                <w:rFonts w:cs="Segoe UI Semibold"/>
                <w:color w:val="auto"/>
                <w:sz w:val="22"/>
                <w:szCs w:val="22"/>
              </w:rPr>
              <w:t>Number of calendar days</w:t>
            </w:r>
            <w:bookmarkEnd w:id="2"/>
          </w:p>
        </w:tc>
        <w:tc>
          <w:tcPr>
            <w:tcW w:w="3360" w:type="pct"/>
          </w:tcPr>
          <w:p w14:paraId="743E9D06" w14:textId="7DCD17AA" w:rsidR="00210D24" w:rsidRPr="00E62017" w:rsidRDefault="00210D24" w:rsidP="005E6CEB">
            <w:pPr>
              <w:pStyle w:val="TableTitle"/>
              <w:rPr>
                <w:rFonts w:cs="Segoe UI Semibold"/>
                <w:color w:val="auto"/>
                <w:sz w:val="22"/>
                <w:szCs w:val="22"/>
              </w:rPr>
            </w:pPr>
            <w:r w:rsidRPr="00E62017">
              <w:rPr>
                <w:rFonts w:cs="Segoe UI Semibold"/>
                <w:color w:val="auto"/>
                <w:sz w:val="22"/>
                <w:szCs w:val="22"/>
              </w:rPr>
              <w:t xml:space="preserve">The number of internal appointments for which the TTS-IA was within the specified number of calendar days for organizations subject to the </w:t>
            </w:r>
            <w:r w:rsidRPr="00E62017">
              <w:rPr>
                <w:rStyle w:val="Emphasis"/>
                <w:rFonts w:ascii="Segoe UI Semibold" w:hAnsi="Segoe UI Semibold" w:cs="Segoe UI Semibold"/>
                <w:color w:val="auto"/>
                <w:szCs w:val="22"/>
              </w:rPr>
              <w:t>Public Service Employment Act</w:t>
            </w:r>
          </w:p>
        </w:tc>
      </w:tr>
      <w:tr w:rsidR="00210D24" w:rsidRPr="005E6CEB" w14:paraId="052FF5CD" w14:textId="77777777" w:rsidTr="005E6CEB">
        <w:trPr>
          <w:cantSplit/>
          <w:trHeight w:val="290"/>
          <w:tblHeader/>
          <w:jc w:val="center"/>
        </w:trPr>
        <w:tc>
          <w:tcPr>
            <w:tcW w:w="1640" w:type="pct"/>
          </w:tcPr>
          <w:p w14:paraId="1EE5F0CD"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0 calendar days</w:t>
            </w:r>
          </w:p>
        </w:tc>
        <w:tc>
          <w:tcPr>
            <w:tcW w:w="3360" w:type="pct"/>
          </w:tcPr>
          <w:p w14:paraId="7653BAB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0</w:t>
            </w:r>
          </w:p>
        </w:tc>
      </w:tr>
      <w:tr w:rsidR="00210D24" w:rsidRPr="005E6CEB" w14:paraId="30B593A2" w14:textId="77777777" w:rsidTr="005E6CEB">
        <w:trPr>
          <w:cantSplit/>
          <w:trHeight w:val="290"/>
          <w:tblHeader/>
          <w:jc w:val="center"/>
        </w:trPr>
        <w:tc>
          <w:tcPr>
            <w:tcW w:w="1640" w:type="pct"/>
          </w:tcPr>
          <w:p w14:paraId="1BF566CF"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0 to 29 calendar days</w:t>
            </w:r>
          </w:p>
        </w:tc>
        <w:tc>
          <w:tcPr>
            <w:tcW w:w="3360" w:type="pct"/>
          </w:tcPr>
          <w:p w14:paraId="3075C28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13</w:t>
            </w:r>
          </w:p>
        </w:tc>
      </w:tr>
      <w:tr w:rsidR="00210D24" w:rsidRPr="005E6CEB" w14:paraId="0AFCD7A5" w14:textId="77777777" w:rsidTr="005E6CEB">
        <w:trPr>
          <w:cantSplit/>
          <w:trHeight w:val="290"/>
          <w:tblHeader/>
          <w:jc w:val="center"/>
        </w:trPr>
        <w:tc>
          <w:tcPr>
            <w:tcW w:w="1640" w:type="pct"/>
          </w:tcPr>
          <w:p w14:paraId="40ED83B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30 to 59 calendar days</w:t>
            </w:r>
          </w:p>
        </w:tc>
        <w:tc>
          <w:tcPr>
            <w:tcW w:w="3360" w:type="pct"/>
          </w:tcPr>
          <w:p w14:paraId="72E309D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106</w:t>
            </w:r>
          </w:p>
        </w:tc>
      </w:tr>
      <w:tr w:rsidR="00210D24" w:rsidRPr="005E6CEB" w14:paraId="170AB5D4" w14:textId="77777777" w:rsidTr="005E6CEB">
        <w:trPr>
          <w:cantSplit/>
          <w:trHeight w:val="290"/>
          <w:tblHeader/>
          <w:jc w:val="center"/>
        </w:trPr>
        <w:tc>
          <w:tcPr>
            <w:tcW w:w="1640" w:type="pct"/>
          </w:tcPr>
          <w:p w14:paraId="20E98F50"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60 to 89 calendar days</w:t>
            </w:r>
          </w:p>
        </w:tc>
        <w:tc>
          <w:tcPr>
            <w:tcW w:w="3360" w:type="pct"/>
          </w:tcPr>
          <w:p w14:paraId="3B2BB6A5"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256</w:t>
            </w:r>
          </w:p>
        </w:tc>
      </w:tr>
      <w:tr w:rsidR="00210D24" w:rsidRPr="005E6CEB" w14:paraId="3E37DF75" w14:textId="77777777" w:rsidTr="005E6CEB">
        <w:trPr>
          <w:cantSplit/>
          <w:trHeight w:val="290"/>
          <w:tblHeader/>
          <w:jc w:val="center"/>
        </w:trPr>
        <w:tc>
          <w:tcPr>
            <w:tcW w:w="1640" w:type="pct"/>
          </w:tcPr>
          <w:p w14:paraId="10EE5059"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90 to 119 calendar days</w:t>
            </w:r>
          </w:p>
        </w:tc>
        <w:tc>
          <w:tcPr>
            <w:tcW w:w="3360" w:type="pct"/>
          </w:tcPr>
          <w:p w14:paraId="218D210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331</w:t>
            </w:r>
          </w:p>
        </w:tc>
      </w:tr>
      <w:tr w:rsidR="00210D24" w:rsidRPr="005E6CEB" w14:paraId="4F996D1E" w14:textId="77777777" w:rsidTr="005E6CEB">
        <w:trPr>
          <w:cantSplit/>
          <w:trHeight w:val="290"/>
          <w:tblHeader/>
          <w:jc w:val="center"/>
        </w:trPr>
        <w:tc>
          <w:tcPr>
            <w:tcW w:w="1640" w:type="pct"/>
          </w:tcPr>
          <w:p w14:paraId="008458E9"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120 to 149 calendar days</w:t>
            </w:r>
          </w:p>
        </w:tc>
        <w:tc>
          <w:tcPr>
            <w:tcW w:w="3360" w:type="pct"/>
          </w:tcPr>
          <w:p w14:paraId="7053881B"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313</w:t>
            </w:r>
          </w:p>
        </w:tc>
      </w:tr>
      <w:tr w:rsidR="00210D24" w:rsidRPr="005E6CEB" w14:paraId="1E7D220F" w14:textId="77777777" w:rsidTr="005E6CEB">
        <w:trPr>
          <w:cantSplit/>
          <w:trHeight w:val="290"/>
          <w:tblHeader/>
          <w:jc w:val="center"/>
        </w:trPr>
        <w:tc>
          <w:tcPr>
            <w:tcW w:w="1640" w:type="pct"/>
          </w:tcPr>
          <w:p w14:paraId="4BFC0046"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150 to 179 calendar days</w:t>
            </w:r>
          </w:p>
        </w:tc>
        <w:tc>
          <w:tcPr>
            <w:tcW w:w="3360" w:type="pct"/>
          </w:tcPr>
          <w:p w14:paraId="1DA3583F"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314</w:t>
            </w:r>
          </w:p>
        </w:tc>
      </w:tr>
      <w:tr w:rsidR="00210D24" w:rsidRPr="005E6CEB" w14:paraId="641640D3" w14:textId="77777777" w:rsidTr="005E6CEB">
        <w:trPr>
          <w:cantSplit/>
          <w:trHeight w:val="290"/>
          <w:tblHeader/>
          <w:jc w:val="center"/>
        </w:trPr>
        <w:tc>
          <w:tcPr>
            <w:tcW w:w="1640" w:type="pct"/>
          </w:tcPr>
          <w:p w14:paraId="419063A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180 to 209 calendar days</w:t>
            </w:r>
          </w:p>
        </w:tc>
        <w:tc>
          <w:tcPr>
            <w:tcW w:w="3360" w:type="pct"/>
          </w:tcPr>
          <w:p w14:paraId="5B4AEA95"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258</w:t>
            </w:r>
          </w:p>
        </w:tc>
      </w:tr>
      <w:tr w:rsidR="00210D24" w:rsidRPr="005E6CEB" w14:paraId="2F906911" w14:textId="77777777" w:rsidTr="005E6CEB">
        <w:trPr>
          <w:cantSplit/>
          <w:trHeight w:val="290"/>
          <w:tblHeader/>
          <w:jc w:val="center"/>
        </w:trPr>
        <w:tc>
          <w:tcPr>
            <w:tcW w:w="1640" w:type="pct"/>
          </w:tcPr>
          <w:p w14:paraId="44C1D1AB"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210 to 239 calendar days</w:t>
            </w:r>
          </w:p>
        </w:tc>
        <w:tc>
          <w:tcPr>
            <w:tcW w:w="3360" w:type="pct"/>
          </w:tcPr>
          <w:p w14:paraId="5A955FF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191</w:t>
            </w:r>
          </w:p>
        </w:tc>
      </w:tr>
      <w:tr w:rsidR="00210D24" w:rsidRPr="005E6CEB" w14:paraId="320C1A38" w14:textId="77777777" w:rsidTr="005E6CEB">
        <w:trPr>
          <w:cantSplit/>
          <w:trHeight w:val="290"/>
          <w:tblHeader/>
          <w:jc w:val="center"/>
        </w:trPr>
        <w:tc>
          <w:tcPr>
            <w:tcW w:w="1640" w:type="pct"/>
          </w:tcPr>
          <w:p w14:paraId="521B8A3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240 to 269 calendar days</w:t>
            </w:r>
          </w:p>
        </w:tc>
        <w:tc>
          <w:tcPr>
            <w:tcW w:w="3360" w:type="pct"/>
          </w:tcPr>
          <w:p w14:paraId="05914B8D"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143</w:t>
            </w:r>
          </w:p>
        </w:tc>
      </w:tr>
      <w:tr w:rsidR="00210D24" w:rsidRPr="005E6CEB" w14:paraId="7F45B7BC" w14:textId="77777777" w:rsidTr="005E6CEB">
        <w:trPr>
          <w:cantSplit/>
          <w:trHeight w:val="290"/>
          <w:tblHeader/>
          <w:jc w:val="center"/>
        </w:trPr>
        <w:tc>
          <w:tcPr>
            <w:tcW w:w="1640" w:type="pct"/>
          </w:tcPr>
          <w:p w14:paraId="1556A073"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270 to 299 calendar days</w:t>
            </w:r>
          </w:p>
        </w:tc>
        <w:tc>
          <w:tcPr>
            <w:tcW w:w="3360" w:type="pct"/>
          </w:tcPr>
          <w:p w14:paraId="375627E8"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109</w:t>
            </w:r>
          </w:p>
        </w:tc>
      </w:tr>
      <w:tr w:rsidR="00210D24" w:rsidRPr="005E6CEB" w14:paraId="131471E9" w14:textId="77777777" w:rsidTr="005E6CEB">
        <w:trPr>
          <w:cantSplit/>
          <w:trHeight w:val="290"/>
          <w:tblHeader/>
          <w:jc w:val="center"/>
        </w:trPr>
        <w:tc>
          <w:tcPr>
            <w:tcW w:w="1640" w:type="pct"/>
          </w:tcPr>
          <w:p w14:paraId="30A699F0"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300 to 329 calendar days</w:t>
            </w:r>
          </w:p>
        </w:tc>
        <w:tc>
          <w:tcPr>
            <w:tcW w:w="3360" w:type="pct"/>
          </w:tcPr>
          <w:p w14:paraId="026C62BC"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91</w:t>
            </w:r>
          </w:p>
        </w:tc>
      </w:tr>
      <w:tr w:rsidR="00210D24" w:rsidRPr="005E6CEB" w14:paraId="040DDF7A" w14:textId="77777777" w:rsidTr="005E6CEB">
        <w:trPr>
          <w:cantSplit/>
          <w:trHeight w:val="290"/>
          <w:tblHeader/>
          <w:jc w:val="center"/>
        </w:trPr>
        <w:tc>
          <w:tcPr>
            <w:tcW w:w="1640" w:type="pct"/>
          </w:tcPr>
          <w:p w14:paraId="1262A030"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330 to 359 calendar days</w:t>
            </w:r>
          </w:p>
        </w:tc>
        <w:tc>
          <w:tcPr>
            <w:tcW w:w="3360" w:type="pct"/>
          </w:tcPr>
          <w:p w14:paraId="6CA7FFD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70</w:t>
            </w:r>
          </w:p>
        </w:tc>
      </w:tr>
      <w:tr w:rsidR="00210D24" w:rsidRPr="005E6CEB" w14:paraId="0B8E166E" w14:textId="77777777" w:rsidTr="005E6CEB">
        <w:trPr>
          <w:cantSplit/>
          <w:trHeight w:val="290"/>
          <w:tblHeader/>
          <w:jc w:val="center"/>
        </w:trPr>
        <w:tc>
          <w:tcPr>
            <w:tcW w:w="1640" w:type="pct"/>
          </w:tcPr>
          <w:p w14:paraId="23430A30"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360 to 389 calendar days</w:t>
            </w:r>
          </w:p>
        </w:tc>
        <w:tc>
          <w:tcPr>
            <w:tcW w:w="3360" w:type="pct"/>
          </w:tcPr>
          <w:p w14:paraId="5DEA961F"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49</w:t>
            </w:r>
          </w:p>
        </w:tc>
      </w:tr>
      <w:tr w:rsidR="00210D24" w:rsidRPr="005E6CEB" w14:paraId="2CDF61A5" w14:textId="77777777" w:rsidTr="005E6CEB">
        <w:trPr>
          <w:cantSplit/>
          <w:trHeight w:val="290"/>
          <w:tblHeader/>
          <w:jc w:val="center"/>
        </w:trPr>
        <w:tc>
          <w:tcPr>
            <w:tcW w:w="1640" w:type="pct"/>
          </w:tcPr>
          <w:p w14:paraId="64FF3467"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390 to 419 calendar days</w:t>
            </w:r>
          </w:p>
        </w:tc>
        <w:tc>
          <w:tcPr>
            <w:tcW w:w="3360" w:type="pct"/>
          </w:tcPr>
          <w:p w14:paraId="2D8A4755"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43</w:t>
            </w:r>
          </w:p>
        </w:tc>
      </w:tr>
      <w:tr w:rsidR="00210D24" w:rsidRPr="005E6CEB" w14:paraId="623D93FD" w14:textId="77777777" w:rsidTr="005E6CEB">
        <w:trPr>
          <w:cantSplit/>
          <w:trHeight w:val="290"/>
          <w:tblHeader/>
          <w:jc w:val="center"/>
        </w:trPr>
        <w:tc>
          <w:tcPr>
            <w:tcW w:w="1640" w:type="pct"/>
          </w:tcPr>
          <w:p w14:paraId="10B1C1A6"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420 to 449 calendar days</w:t>
            </w:r>
          </w:p>
        </w:tc>
        <w:tc>
          <w:tcPr>
            <w:tcW w:w="3360" w:type="pct"/>
          </w:tcPr>
          <w:p w14:paraId="0E5EB475"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41</w:t>
            </w:r>
          </w:p>
        </w:tc>
      </w:tr>
      <w:tr w:rsidR="00210D24" w:rsidRPr="005E6CEB" w14:paraId="768C5322" w14:textId="77777777" w:rsidTr="005E6CEB">
        <w:trPr>
          <w:cantSplit/>
          <w:trHeight w:val="290"/>
          <w:tblHeader/>
          <w:jc w:val="center"/>
        </w:trPr>
        <w:tc>
          <w:tcPr>
            <w:tcW w:w="1640" w:type="pct"/>
          </w:tcPr>
          <w:p w14:paraId="6F63468C"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450 to 479 calendar days</w:t>
            </w:r>
          </w:p>
        </w:tc>
        <w:tc>
          <w:tcPr>
            <w:tcW w:w="3360" w:type="pct"/>
          </w:tcPr>
          <w:p w14:paraId="4E96497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36</w:t>
            </w:r>
          </w:p>
        </w:tc>
      </w:tr>
      <w:tr w:rsidR="00210D24" w:rsidRPr="005E6CEB" w14:paraId="0D8ECF40" w14:textId="77777777" w:rsidTr="005E6CEB">
        <w:trPr>
          <w:cantSplit/>
          <w:trHeight w:val="290"/>
          <w:tblHeader/>
          <w:jc w:val="center"/>
        </w:trPr>
        <w:tc>
          <w:tcPr>
            <w:tcW w:w="1640" w:type="pct"/>
          </w:tcPr>
          <w:p w14:paraId="005E2C74"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480 to 509 calendar days</w:t>
            </w:r>
          </w:p>
        </w:tc>
        <w:tc>
          <w:tcPr>
            <w:tcW w:w="3360" w:type="pct"/>
          </w:tcPr>
          <w:p w14:paraId="37DBFD3D"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20</w:t>
            </w:r>
          </w:p>
        </w:tc>
      </w:tr>
      <w:tr w:rsidR="00210D24" w:rsidRPr="005E6CEB" w14:paraId="42BFD955" w14:textId="77777777" w:rsidTr="005E6CEB">
        <w:trPr>
          <w:cantSplit/>
          <w:trHeight w:val="290"/>
          <w:tblHeader/>
          <w:jc w:val="center"/>
        </w:trPr>
        <w:tc>
          <w:tcPr>
            <w:tcW w:w="1640" w:type="pct"/>
          </w:tcPr>
          <w:p w14:paraId="3AB1940E"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510 to 539 calendar days</w:t>
            </w:r>
          </w:p>
        </w:tc>
        <w:tc>
          <w:tcPr>
            <w:tcW w:w="3360" w:type="pct"/>
          </w:tcPr>
          <w:p w14:paraId="4989B3B4"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15</w:t>
            </w:r>
          </w:p>
        </w:tc>
      </w:tr>
      <w:tr w:rsidR="00210D24" w:rsidRPr="005E6CEB" w14:paraId="0177D453" w14:textId="77777777" w:rsidTr="005E6CEB">
        <w:trPr>
          <w:cantSplit/>
          <w:trHeight w:val="290"/>
          <w:tblHeader/>
          <w:jc w:val="center"/>
        </w:trPr>
        <w:tc>
          <w:tcPr>
            <w:tcW w:w="1640" w:type="pct"/>
          </w:tcPr>
          <w:p w14:paraId="55015CA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540 to 569 calendar days</w:t>
            </w:r>
          </w:p>
        </w:tc>
        <w:tc>
          <w:tcPr>
            <w:tcW w:w="3360" w:type="pct"/>
          </w:tcPr>
          <w:p w14:paraId="304C7D8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23</w:t>
            </w:r>
          </w:p>
        </w:tc>
      </w:tr>
      <w:tr w:rsidR="00210D24" w:rsidRPr="005E6CEB" w14:paraId="318D51B2" w14:textId="77777777" w:rsidTr="005E6CEB">
        <w:trPr>
          <w:cantSplit/>
          <w:trHeight w:val="290"/>
          <w:tblHeader/>
          <w:jc w:val="center"/>
        </w:trPr>
        <w:tc>
          <w:tcPr>
            <w:tcW w:w="1640" w:type="pct"/>
          </w:tcPr>
          <w:p w14:paraId="6D191D6F"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570 to 599 calendar days</w:t>
            </w:r>
          </w:p>
        </w:tc>
        <w:tc>
          <w:tcPr>
            <w:tcW w:w="3360" w:type="pct"/>
          </w:tcPr>
          <w:p w14:paraId="778B2EBF"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20</w:t>
            </w:r>
          </w:p>
        </w:tc>
      </w:tr>
      <w:tr w:rsidR="00210D24" w:rsidRPr="005E6CEB" w14:paraId="1B08FEE6" w14:textId="77777777" w:rsidTr="005E6CEB">
        <w:trPr>
          <w:cantSplit/>
          <w:trHeight w:val="290"/>
          <w:tblHeader/>
          <w:jc w:val="center"/>
        </w:trPr>
        <w:tc>
          <w:tcPr>
            <w:tcW w:w="1640" w:type="pct"/>
          </w:tcPr>
          <w:p w14:paraId="1583DA55"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600 to 629 calendar days</w:t>
            </w:r>
          </w:p>
        </w:tc>
        <w:tc>
          <w:tcPr>
            <w:tcW w:w="3360" w:type="pct"/>
          </w:tcPr>
          <w:p w14:paraId="7E5B98FC"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18</w:t>
            </w:r>
          </w:p>
        </w:tc>
      </w:tr>
      <w:tr w:rsidR="00210D24" w:rsidRPr="005E6CEB" w14:paraId="5A13B8C1" w14:textId="77777777" w:rsidTr="005E6CEB">
        <w:trPr>
          <w:cantSplit/>
          <w:trHeight w:val="290"/>
          <w:tblHeader/>
          <w:jc w:val="center"/>
        </w:trPr>
        <w:tc>
          <w:tcPr>
            <w:tcW w:w="1640" w:type="pct"/>
          </w:tcPr>
          <w:p w14:paraId="4327811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630 to 659 calendar days</w:t>
            </w:r>
          </w:p>
        </w:tc>
        <w:tc>
          <w:tcPr>
            <w:tcW w:w="3360" w:type="pct"/>
          </w:tcPr>
          <w:p w14:paraId="5D8F35E7"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11</w:t>
            </w:r>
          </w:p>
        </w:tc>
      </w:tr>
      <w:tr w:rsidR="00210D24" w:rsidRPr="005E6CEB" w14:paraId="60CD6763" w14:textId="77777777" w:rsidTr="005E6CEB">
        <w:trPr>
          <w:cantSplit/>
          <w:trHeight w:val="290"/>
          <w:tblHeader/>
          <w:jc w:val="center"/>
        </w:trPr>
        <w:tc>
          <w:tcPr>
            <w:tcW w:w="1640" w:type="pct"/>
          </w:tcPr>
          <w:p w14:paraId="41A3BC26"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660 to 689 calendar days</w:t>
            </w:r>
          </w:p>
        </w:tc>
        <w:tc>
          <w:tcPr>
            <w:tcW w:w="3360" w:type="pct"/>
          </w:tcPr>
          <w:p w14:paraId="4175D732"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15</w:t>
            </w:r>
          </w:p>
        </w:tc>
      </w:tr>
      <w:tr w:rsidR="00210D24" w:rsidRPr="005E6CEB" w14:paraId="12A7B332" w14:textId="77777777" w:rsidTr="005E6CEB">
        <w:trPr>
          <w:cantSplit/>
          <w:trHeight w:val="290"/>
          <w:tblHeader/>
          <w:jc w:val="center"/>
        </w:trPr>
        <w:tc>
          <w:tcPr>
            <w:tcW w:w="1640" w:type="pct"/>
          </w:tcPr>
          <w:p w14:paraId="43043315"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690 to 719 calendar days</w:t>
            </w:r>
          </w:p>
        </w:tc>
        <w:tc>
          <w:tcPr>
            <w:tcW w:w="3360" w:type="pct"/>
          </w:tcPr>
          <w:p w14:paraId="1328789C"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6</w:t>
            </w:r>
          </w:p>
        </w:tc>
      </w:tr>
      <w:tr w:rsidR="00210D24" w:rsidRPr="005E6CEB" w14:paraId="1348BB68" w14:textId="77777777" w:rsidTr="005E6CEB">
        <w:trPr>
          <w:cantSplit/>
          <w:trHeight w:val="302"/>
          <w:tblHeader/>
          <w:jc w:val="center"/>
        </w:trPr>
        <w:tc>
          <w:tcPr>
            <w:tcW w:w="1640" w:type="pct"/>
          </w:tcPr>
          <w:p w14:paraId="46923352"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720 to 749 calendar days</w:t>
            </w:r>
          </w:p>
        </w:tc>
        <w:tc>
          <w:tcPr>
            <w:tcW w:w="3360" w:type="pct"/>
          </w:tcPr>
          <w:p w14:paraId="71C7A66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11</w:t>
            </w:r>
          </w:p>
        </w:tc>
      </w:tr>
      <w:tr w:rsidR="00210D24" w:rsidRPr="005E6CEB" w14:paraId="7FFB1A41" w14:textId="77777777" w:rsidTr="005E6CEB">
        <w:trPr>
          <w:cantSplit/>
          <w:trHeight w:val="290"/>
          <w:tblHeader/>
          <w:jc w:val="center"/>
        </w:trPr>
        <w:tc>
          <w:tcPr>
            <w:tcW w:w="1640" w:type="pct"/>
          </w:tcPr>
          <w:p w14:paraId="684A388E"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750 to 779 calendar days</w:t>
            </w:r>
          </w:p>
        </w:tc>
        <w:tc>
          <w:tcPr>
            <w:tcW w:w="3360" w:type="pct"/>
          </w:tcPr>
          <w:p w14:paraId="02688D2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6</w:t>
            </w:r>
          </w:p>
        </w:tc>
      </w:tr>
      <w:tr w:rsidR="00210D24" w:rsidRPr="005E6CEB" w14:paraId="0F4CE5E7" w14:textId="77777777" w:rsidTr="005E6CEB">
        <w:trPr>
          <w:cantSplit/>
          <w:trHeight w:val="290"/>
          <w:tblHeader/>
          <w:jc w:val="center"/>
        </w:trPr>
        <w:tc>
          <w:tcPr>
            <w:tcW w:w="1640" w:type="pct"/>
          </w:tcPr>
          <w:p w14:paraId="5F2B25B3"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780 to 809 calendar days</w:t>
            </w:r>
          </w:p>
        </w:tc>
        <w:tc>
          <w:tcPr>
            <w:tcW w:w="3360" w:type="pct"/>
          </w:tcPr>
          <w:p w14:paraId="15523F2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5</w:t>
            </w:r>
          </w:p>
        </w:tc>
      </w:tr>
      <w:tr w:rsidR="00210D24" w:rsidRPr="005E6CEB" w14:paraId="0C188AC7" w14:textId="77777777" w:rsidTr="005E6CEB">
        <w:trPr>
          <w:cantSplit/>
          <w:trHeight w:val="290"/>
          <w:tblHeader/>
          <w:jc w:val="center"/>
        </w:trPr>
        <w:tc>
          <w:tcPr>
            <w:tcW w:w="1640" w:type="pct"/>
          </w:tcPr>
          <w:p w14:paraId="141C8DA3"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810 to 839 calendar days</w:t>
            </w:r>
          </w:p>
        </w:tc>
        <w:tc>
          <w:tcPr>
            <w:tcW w:w="3360" w:type="pct"/>
          </w:tcPr>
          <w:p w14:paraId="26725AF7"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6</w:t>
            </w:r>
          </w:p>
        </w:tc>
      </w:tr>
      <w:tr w:rsidR="00210D24" w:rsidRPr="005E6CEB" w14:paraId="1D140C7A" w14:textId="77777777" w:rsidTr="005E6CEB">
        <w:trPr>
          <w:cantSplit/>
          <w:trHeight w:val="290"/>
          <w:tblHeader/>
          <w:jc w:val="center"/>
        </w:trPr>
        <w:tc>
          <w:tcPr>
            <w:tcW w:w="1640" w:type="pct"/>
          </w:tcPr>
          <w:p w14:paraId="2490ADFD"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840 to 869 calendar days</w:t>
            </w:r>
          </w:p>
        </w:tc>
        <w:tc>
          <w:tcPr>
            <w:tcW w:w="3360" w:type="pct"/>
          </w:tcPr>
          <w:p w14:paraId="5D6F978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10</w:t>
            </w:r>
          </w:p>
        </w:tc>
      </w:tr>
      <w:tr w:rsidR="00210D24" w:rsidRPr="005E6CEB" w14:paraId="7889A39D" w14:textId="77777777" w:rsidTr="005E6CEB">
        <w:trPr>
          <w:cantSplit/>
          <w:trHeight w:val="290"/>
          <w:tblHeader/>
          <w:jc w:val="center"/>
        </w:trPr>
        <w:tc>
          <w:tcPr>
            <w:tcW w:w="1640" w:type="pct"/>
          </w:tcPr>
          <w:p w14:paraId="252F6B4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870 to 899 calendar days</w:t>
            </w:r>
          </w:p>
        </w:tc>
        <w:tc>
          <w:tcPr>
            <w:tcW w:w="3360" w:type="pct"/>
          </w:tcPr>
          <w:p w14:paraId="27335D29"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w:t>
            </w:r>
          </w:p>
        </w:tc>
      </w:tr>
      <w:tr w:rsidR="00210D24" w:rsidRPr="005E6CEB" w14:paraId="0F2E008B" w14:textId="77777777" w:rsidTr="005E6CEB">
        <w:trPr>
          <w:cantSplit/>
          <w:trHeight w:val="290"/>
          <w:tblHeader/>
          <w:jc w:val="center"/>
        </w:trPr>
        <w:tc>
          <w:tcPr>
            <w:tcW w:w="1640" w:type="pct"/>
          </w:tcPr>
          <w:p w14:paraId="5356C74E"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900 to 929 calendar days</w:t>
            </w:r>
          </w:p>
        </w:tc>
        <w:tc>
          <w:tcPr>
            <w:tcW w:w="3360" w:type="pct"/>
          </w:tcPr>
          <w:p w14:paraId="4328CC2F"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w:t>
            </w:r>
          </w:p>
        </w:tc>
      </w:tr>
      <w:tr w:rsidR="00210D24" w:rsidRPr="005E6CEB" w14:paraId="3B2A7F28" w14:textId="77777777" w:rsidTr="005E6CEB">
        <w:trPr>
          <w:cantSplit/>
          <w:trHeight w:val="290"/>
          <w:tblHeader/>
          <w:jc w:val="center"/>
        </w:trPr>
        <w:tc>
          <w:tcPr>
            <w:tcW w:w="1640" w:type="pct"/>
          </w:tcPr>
          <w:p w14:paraId="72D78353" w14:textId="77777777" w:rsidR="00210D24" w:rsidRPr="005E6CEB" w:rsidRDefault="00210D24" w:rsidP="008C7A1D">
            <w:pPr>
              <w:autoSpaceDE w:val="0"/>
              <w:autoSpaceDN w:val="0"/>
              <w:adjustRightInd w:val="0"/>
              <w:rPr>
                <w:rFonts w:asciiTheme="minorHAnsi" w:hAnsiTheme="minorHAnsi" w:cstheme="minorHAnsi"/>
                <w:color w:val="000000"/>
                <w:sz w:val="22"/>
                <w:szCs w:val="22"/>
                <w:lang w:val="en-CA"/>
              </w:rPr>
            </w:pPr>
            <w:r w:rsidRPr="005E6CEB">
              <w:rPr>
                <w:rFonts w:asciiTheme="minorHAnsi" w:hAnsiTheme="minorHAnsi" w:cstheme="minorHAnsi"/>
                <w:color w:val="000000"/>
                <w:sz w:val="22"/>
                <w:szCs w:val="22"/>
                <w:lang w:val="en-CA"/>
              </w:rPr>
              <w:t>930 to 959 calendar days</w:t>
            </w:r>
          </w:p>
        </w:tc>
        <w:tc>
          <w:tcPr>
            <w:tcW w:w="3360" w:type="pct"/>
          </w:tcPr>
          <w:p w14:paraId="50D5F525" w14:textId="77777777" w:rsidR="00210D24" w:rsidRPr="005E6CEB" w:rsidRDefault="00210D24" w:rsidP="008C7A1D">
            <w:pPr>
              <w:autoSpaceDE w:val="0"/>
              <w:autoSpaceDN w:val="0"/>
              <w:adjustRightInd w:val="0"/>
              <w:jc w:val="center"/>
              <w:rPr>
                <w:rFonts w:asciiTheme="minorHAnsi" w:hAnsiTheme="minorHAnsi" w:cstheme="minorHAnsi"/>
                <w:color w:val="000000"/>
                <w:sz w:val="22"/>
                <w:szCs w:val="22"/>
                <w:lang w:val="en-CA"/>
              </w:rPr>
            </w:pPr>
            <w:r w:rsidRPr="005E6CEB">
              <w:rPr>
                <w:rFonts w:asciiTheme="minorHAnsi" w:hAnsiTheme="minorHAnsi" w:cstheme="minorHAnsi"/>
                <w:color w:val="000000"/>
                <w:sz w:val="22"/>
                <w:szCs w:val="22"/>
                <w:lang w:val="en-CA"/>
              </w:rPr>
              <w:t>5</w:t>
            </w:r>
          </w:p>
        </w:tc>
      </w:tr>
      <w:tr w:rsidR="00210D24" w:rsidRPr="005E6CEB" w14:paraId="12397E54" w14:textId="77777777" w:rsidTr="005E6CEB">
        <w:trPr>
          <w:cantSplit/>
          <w:trHeight w:val="290"/>
          <w:tblHeader/>
          <w:jc w:val="center"/>
        </w:trPr>
        <w:tc>
          <w:tcPr>
            <w:tcW w:w="1640" w:type="pct"/>
          </w:tcPr>
          <w:p w14:paraId="685CFEE4" w14:textId="77777777" w:rsidR="00210D24" w:rsidRPr="005E6CEB" w:rsidRDefault="00210D24" w:rsidP="008C7A1D">
            <w:pPr>
              <w:autoSpaceDE w:val="0"/>
              <w:autoSpaceDN w:val="0"/>
              <w:adjustRightInd w:val="0"/>
              <w:rPr>
                <w:rFonts w:asciiTheme="minorHAnsi" w:hAnsiTheme="minorHAnsi" w:cstheme="minorHAnsi"/>
                <w:color w:val="000000"/>
                <w:sz w:val="22"/>
                <w:szCs w:val="22"/>
                <w:lang w:val="en-CA"/>
              </w:rPr>
            </w:pPr>
            <w:r w:rsidRPr="005E6CEB">
              <w:rPr>
                <w:rFonts w:asciiTheme="minorHAnsi" w:hAnsiTheme="minorHAnsi" w:cstheme="minorHAnsi"/>
                <w:color w:val="000000"/>
                <w:sz w:val="22"/>
                <w:szCs w:val="22"/>
                <w:lang w:val="en-CA"/>
              </w:rPr>
              <w:t>960 to 989 calendar days</w:t>
            </w:r>
          </w:p>
        </w:tc>
        <w:tc>
          <w:tcPr>
            <w:tcW w:w="3360" w:type="pct"/>
          </w:tcPr>
          <w:p w14:paraId="52AB571B" w14:textId="77777777" w:rsidR="00210D24" w:rsidRPr="005E6CEB" w:rsidRDefault="00210D24" w:rsidP="008C7A1D">
            <w:pPr>
              <w:autoSpaceDE w:val="0"/>
              <w:autoSpaceDN w:val="0"/>
              <w:adjustRightInd w:val="0"/>
              <w:jc w:val="center"/>
              <w:rPr>
                <w:rFonts w:asciiTheme="minorHAnsi" w:hAnsiTheme="minorHAnsi" w:cstheme="minorHAnsi"/>
                <w:color w:val="000000"/>
                <w:sz w:val="22"/>
                <w:szCs w:val="22"/>
                <w:lang w:val="en-CA"/>
              </w:rPr>
            </w:pPr>
            <w:r w:rsidRPr="005E6CEB">
              <w:rPr>
                <w:rFonts w:asciiTheme="minorHAnsi" w:hAnsiTheme="minorHAnsi" w:cstheme="minorHAnsi"/>
                <w:color w:val="000000"/>
                <w:sz w:val="22"/>
                <w:szCs w:val="22"/>
                <w:lang w:val="en-CA"/>
              </w:rPr>
              <w:t>4</w:t>
            </w:r>
          </w:p>
        </w:tc>
      </w:tr>
      <w:tr w:rsidR="00210D24" w:rsidRPr="005E6CEB" w14:paraId="0862B88F" w14:textId="77777777" w:rsidTr="005E6CEB">
        <w:trPr>
          <w:cantSplit/>
          <w:trHeight w:val="290"/>
          <w:tblHeader/>
          <w:jc w:val="center"/>
        </w:trPr>
        <w:tc>
          <w:tcPr>
            <w:tcW w:w="1640" w:type="pct"/>
          </w:tcPr>
          <w:p w14:paraId="42B015FC" w14:textId="77777777" w:rsidR="00210D24" w:rsidRPr="005E6CEB" w:rsidRDefault="00210D24" w:rsidP="008C7A1D">
            <w:pPr>
              <w:autoSpaceDE w:val="0"/>
              <w:autoSpaceDN w:val="0"/>
              <w:adjustRightInd w:val="0"/>
              <w:rPr>
                <w:rFonts w:asciiTheme="minorHAnsi" w:hAnsiTheme="minorHAnsi" w:cstheme="minorHAnsi"/>
                <w:color w:val="000000"/>
                <w:sz w:val="22"/>
                <w:szCs w:val="22"/>
                <w:lang w:val="en-CA"/>
              </w:rPr>
            </w:pPr>
            <w:r w:rsidRPr="005E6CEB">
              <w:rPr>
                <w:rFonts w:asciiTheme="minorHAnsi" w:hAnsiTheme="minorHAnsi" w:cstheme="minorHAnsi"/>
                <w:color w:val="000000"/>
                <w:sz w:val="22"/>
                <w:szCs w:val="22"/>
                <w:lang w:val="en-CA"/>
              </w:rPr>
              <w:t>More than 990 calendar days</w:t>
            </w:r>
          </w:p>
        </w:tc>
        <w:tc>
          <w:tcPr>
            <w:tcW w:w="3360" w:type="pct"/>
          </w:tcPr>
          <w:p w14:paraId="78484A99" w14:textId="77777777" w:rsidR="00210D24" w:rsidRPr="005E6CEB" w:rsidRDefault="00210D24" w:rsidP="008C7A1D">
            <w:pPr>
              <w:autoSpaceDE w:val="0"/>
              <w:autoSpaceDN w:val="0"/>
              <w:adjustRightInd w:val="0"/>
              <w:jc w:val="center"/>
              <w:rPr>
                <w:rFonts w:asciiTheme="minorHAnsi" w:hAnsiTheme="minorHAnsi" w:cstheme="minorHAnsi"/>
                <w:color w:val="000000"/>
                <w:sz w:val="22"/>
                <w:szCs w:val="22"/>
                <w:lang w:val="en-CA"/>
              </w:rPr>
            </w:pPr>
            <w:r w:rsidRPr="005E6CEB">
              <w:rPr>
                <w:rFonts w:asciiTheme="minorHAnsi" w:hAnsiTheme="minorHAnsi" w:cstheme="minorHAnsi"/>
                <w:color w:val="000000"/>
                <w:sz w:val="22"/>
                <w:szCs w:val="22"/>
                <w:lang w:val="en-CA"/>
              </w:rPr>
              <w:t>43</w:t>
            </w:r>
          </w:p>
        </w:tc>
      </w:tr>
    </w:tbl>
    <w:p w14:paraId="435FE409" w14:textId="77777777" w:rsidR="00210D24" w:rsidRDefault="00210D24" w:rsidP="0072395D">
      <w:pPr>
        <w:jc w:val="right"/>
        <w:rPr>
          <w:rFonts w:ascii="Segoe UI" w:hAnsi="Segoe UI" w:cs="Segoe UI"/>
          <w:b/>
          <w:bCs/>
          <w:szCs w:val="24"/>
          <w:lang w:val="en-CA"/>
        </w:rPr>
        <w:sectPr w:rsidR="00210D24" w:rsidSect="00950460">
          <w:pgSz w:w="12240" w:h="15840"/>
          <w:pgMar w:top="720" w:right="720" w:bottom="720" w:left="720" w:header="709" w:footer="284" w:gutter="0"/>
          <w:cols w:space="708"/>
          <w:titlePg/>
          <w:docGrid w:linePitch="360"/>
        </w:sectPr>
      </w:pPr>
    </w:p>
    <w:p w14:paraId="21C287CC" w14:textId="2F4047A7" w:rsidR="00210D24" w:rsidRPr="00950460" w:rsidRDefault="00950460" w:rsidP="00950460">
      <w:pPr>
        <w:pStyle w:val="Heading1"/>
        <w:spacing w:before="120" w:after="120"/>
        <w:rPr>
          <w:sz w:val="40"/>
          <w:szCs w:val="40"/>
          <w:lang w:val="en-CA"/>
        </w:rPr>
      </w:pPr>
      <w:r w:rsidRPr="00950460">
        <w:rPr>
          <w:sz w:val="40"/>
          <w:szCs w:val="40"/>
          <w:lang w:val="en-CA"/>
        </w:rPr>
        <w:lastRenderedPageBreak/>
        <w:t>External time to staff</w:t>
      </w:r>
    </w:p>
    <w:p w14:paraId="5E2E3DAB" w14:textId="7D1F9457" w:rsidR="00950460" w:rsidRDefault="00210D24" w:rsidP="00950460">
      <w:pPr>
        <w:keepNext/>
      </w:pPr>
      <w:r w:rsidRPr="00264AD9">
        <w:rPr>
          <w:rFonts w:ascii="Segoe UI" w:hAnsi="Segoe UI" w:cs="Segoe UI"/>
          <w:noProof/>
          <w:lang w:val="en-CA" w:eastAsia="en-CA"/>
        </w:rPr>
        <w:drawing>
          <wp:inline distT="0" distB="0" distL="0" distR="0" wp14:anchorId="2CD95B01" wp14:editId="6514D50A">
            <wp:extent cx="5648400" cy="3049200"/>
            <wp:effectExtent l="0" t="0" r="9525" b="18415"/>
            <wp:docPr id="21" name="Chart 21" descr="External time to staff Public service median = 203 day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A878A0" w:rsidRPr="00264AD9">
        <w:rPr>
          <w:rFonts w:ascii="Segoe UI" w:hAnsi="Segoe UI" w:cs="Segoe UI"/>
          <w:noProof/>
          <w:lang w:val="en-CA" w:eastAsia="en-CA"/>
        </w:rPr>
        <mc:AlternateContent>
          <mc:Choice Requires="wps">
            <w:drawing>
              <wp:inline distT="0" distB="0" distL="0" distR="0" wp14:anchorId="3F8AC69D" wp14:editId="49F25C5C">
                <wp:extent cx="5648400" cy="3049200"/>
                <wp:effectExtent l="0" t="0" r="28575" b="18415"/>
                <wp:docPr id="11" name="Text Box 11" descr="The data is insufficient for providing results on external process times for the specified organization." title="External time to staff for fiscal year 2019 to 2020 for the specified organiz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667AC1F7" w14:textId="77777777" w:rsidR="003864AA" w:rsidRPr="00950460" w:rsidRDefault="003864AA" w:rsidP="00A878A0">
                            <w:pPr>
                              <w:spacing w:after="120"/>
                              <w:rPr>
                                <w:rFonts w:asciiTheme="minorHAnsi" w:hAnsiTheme="minorHAnsi" w:cstheme="minorHAnsi"/>
                                <w:sz w:val="22"/>
                                <w:szCs w:val="22"/>
                              </w:rPr>
                            </w:pPr>
                            <w:r w:rsidRPr="00950460">
                              <w:rPr>
                                <w:rFonts w:asciiTheme="minorHAnsi" w:hAnsiTheme="minorHAnsi" w:cstheme="minorHAnsi"/>
                                <w:sz w:val="22"/>
                                <w:szCs w:val="22"/>
                              </w:rPr>
                              <w:t>External Time to Staff</w:t>
                            </w:r>
                          </w:p>
                          <w:p w14:paraId="0E701699" w14:textId="77777777" w:rsidR="003864AA" w:rsidRPr="00950460" w:rsidRDefault="003864AA" w:rsidP="00A878A0">
                            <w:pPr>
                              <w:pStyle w:val="ListParagraph"/>
                              <w:ind w:left="360"/>
                              <w:rPr>
                                <w:rFonts w:asciiTheme="minorHAnsi" w:hAnsiTheme="minorHAnsi" w:cstheme="minorHAnsi"/>
                                <w:sz w:val="22"/>
                                <w:szCs w:val="22"/>
                              </w:rPr>
                            </w:pPr>
                            <w:r w:rsidRPr="00950460">
                              <w:rPr>
                                <w:rFonts w:asciiTheme="minorHAnsi" w:hAnsiTheme="minorHAnsi" w:cstheme="minorHAnsi"/>
                                <w:sz w:val="22"/>
                                <w:szCs w:val="22"/>
                              </w:rPr>
                              <w:t>The data is insufficient for providing results on external process times for Canada Energy Regulator.</w:t>
                            </w:r>
                          </w:p>
                        </w:txbxContent>
                      </wps:txbx>
                      <wps:bodyPr rot="0" vert="horz" wrap="square" lIns="91440" tIns="45720" rIns="91440" bIns="45720" anchor="t" anchorCtr="0">
                        <a:noAutofit/>
                      </wps:bodyPr>
                    </wps:wsp>
                  </a:graphicData>
                </a:graphic>
              </wp:inline>
            </w:drawing>
          </mc:Choice>
          <mc:Fallback>
            <w:pict>
              <v:shape w14:anchorId="3F8AC69D" id="Text Box 11" o:spid="_x0000_s1027" type="#_x0000_t202" alt="Title: External time to staff for fiscal year 2019 to 2020 for the specified organization - Description: The data is insufficient for providing results on external process times for the specified organization."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">
                <v:textbox>
                  <w:txbxContent>
                    <w:p w14:paraId="667AC1F7" w14:textId="77777777" w:rsidR="003864AA" w:rsidRPr="00950460" w:rsidRDefault="003864AA" w:rsidP="00A878A0">
                      <w:pPr>
                        <w:spacing w:after="120"/>
                        <w:rPr>
                          <w:rFonts w:asciiTheme="minorHAnsi" w:hAnsiTheme="minorHAnsi" w:cstheme="minorHAnsi"/>
                          <w:sz w:val="22"/>
                          <w:szCs w:val="22"/>
                        </w:rPr>
                      </w:pPr>
                      <w:r w:rsidRPr="00950460">
                        <w:rPr>
                          <w:rFonts w:asciiTheme="minorHAnsi" w:hAnsiTheme="minorHAnsi" w:cstheme="minorHAnsi"/>
                          <w:sz w:val="22"/>
                          <w:szCs w:val="22"/>
                        </w:rPr>
                        <w:t>External Time to Staff</w:t>
                      </w:r>
                    </w:p>
                    <w:p w14:paraId="0E701699" w14:textId="77777777" w:rsidR="003864AA" w:rsidRPr="00950460" w:rsidRDefault="003864AA" w:rsidP="00A878A0">
                      <w:pPr>
                        <w:pStyle w:val="ListParagraph"/>
                        <w:ind w:left="360"/>
                        <w:rPr>
                          <w:rFonts w:asciiTheme="minorHAnsi" w:hAnsiTheme="minorHAnsi" w:cstheme="minorHAnsi"/>
                          <w:sz w:val="22"/>
                          <w:szCs w:val="22"/>
                        </w:rPr>
                      </w:pPr>
                      <w:r w:rsidRPr="00950460">
                        <w:rPr>
                          <w:rFonts w:asciiTheme="minorHAnsi" w:hAnsiTheme="minorHAnsi" w:cstheme="minorHAnsi"/>
                          <w:sz w:val="22"/>
                          <w:szCs w:val="22"/>
                        </w:rPr>
                        <w:t>The data is insufficient for providing results on external process times for Canada Energy Regulator.</w:t>
                      </w:r>
                    </w:p>
                  </w:txbxContent>
                </v:textbox>
                <w10:anchorlock/>
              </v:shape>
            </w:pict>
          </mc:Fallback>
        </mc:AlternateContent>
      </w:r>
    </w:p>
    <w:p w14:paraId="2F00BBB0" w14:textId="7E14C4B0" w:rsidR="00950460" w:rsidRPr="00A878A0" w:rsidRDefault="00950460" w:rsidP="00A878A0">
      <w:pPr>
        <w:pStyle w:val="Caption"/>
        <w:spacing w:after="0"/>
        <w:rPr>
          <w:rFonts w:asciiTheme="minorHAnsi" w:hAnsiTheme="minorHAnsi" w:cstheme="minorHAnsi"/>
          <w:i w:val="0"/>
          <w:iCs w:val="0"/>
          <w:color w:val="auto"/>
        </w:rPr>
      </w:pPr>
      <w:r w:rsidRPr="00A878A0">
        <w:rPr>
          <w:rFonts w:asciiTheme="minorHAnsi" w:hAnsiTheme="minorHAnsi" w:cstheme="minorHAnsi"/>
          <w:i w:val="0"/>
          <w:iCs w:val="0"/>
          <w:color w:val="auto"/>
        </w:rPr>
        <w:t xml:space="preserve">Figure </w:t>
      </w:r>
      <w:r w:rsidRPr="00A878A0">
        <w:rPr>
          <w:rFonts w:asciiTheme="minorHAnsi" w:hAnsiTheme="minorHAnsi" w:cstheme="minorHAnsi"/>
          <w:i w:val="0"/>
          <w:iCs w:val="0"/>
          <w:color w:val="auto"/>
        </w:rPr>
        <w:fldChar w:fldCharType="begin"/>
      </w:r>
      <w:r w:rsidRPr="00A878A0">
        <w:rPr>
          <w:rFonts w:asciiTheme="minorHAnsi" w:hAnsiTheme="minorHAnsi" w:cstheme="minorHAnsi"/>
          <w:i w:val="0"/>
          <w:iCs w:val="0"/>
          <w:color w:val="auto"/>
        </w:rPr>
        <w:instrText xml:space="preserve"> SEQ Figure \* ARABIC </w:instrText>
      </w:r>
      <w:r w:rsidRPr="00A878A0">
        <w:rPr>
          <w:rFonts w:asciiTheme="minorHAnsi" w:hAnsiTheme="minorHAnsi" w:cstheme="minorHAnsi"/>
          <w:i w:val="0"/>
          <w:iCs w:val="0"/>
          <w:color w:val="auto"/>
        </w:rPr>
        <w:fldChar w:fldCharType="separate"/>
      </w:r>
      <w:r w:rsidRPr="00A878A0">
        <w:rPr>
          <w:rFonts w:asciiTheme="minorHAnsi" w:hAnsiTheme="minorHAnsi" w:cstheme="minorHAnsi"/>
          <w:i w:val="0"/>
          <w:iCs w:val="0"/>
          <w:noProof/>
          <w:color w:val="auto"/>
        </w:rPr>
        <w:t>13</w:t>
      </w:r>
      <w:r w:rsidRPr="00A878A0">
        <w:rPr>
          <w:rFonts w:asciiTheme="minorHAnsi" w:hAnsiTheme="minorHAnsi" w:cstheme="minorHAnsi"/>
          <w:i w:val="0"/>
          <w:iCs w:val="0"/>
          <w:color w:val="auto"/>
        </w:rPr>
        <w:fldChar w:fldCharType="end"/>
      </w:r>
      <w:r w:rsidRPr="00A878A0">
        <w:rPr>
          <w:rFonts w:asciiTheme="minorHAnsi" w:hAnsiTheme="minorHAnsi" w:cstheme="minorHAnsi"/>
          <w:i w:val="0"/>
          <w:iCs w:val="0"/>
          <w:color w:val="auto"/>
        </w:rPr>
        <w:t xml:space="preserve"> - External time to staff</w:t>
      </w:r>
      <w:r w:rsidR="00A878A0" w:rsidRPr="00A878A0">
        <w:rPr>
          <w:rFonts w:asciiTheme="minorHAnsi" w:hAnsiTheme="minorHAnsi" w:cstheme="minorHAnsi"/>
          <w:i w:val="0"/>
          <w:iCs w:val="0"/>
          <w:color w:val="auto"/>
        </w:rPr>
        <w:t xml:space="preserve"> </w:t>
      </w:r>
      <w:proofErr w:type="gramStart"/>
      <w:r w:rsidR="00A878A0" w:rsidRPr="00A878A0">
        <w:rPr>
          <w:rFonts w:asciiTheme="minorHAnsi" w:hAnsiTheme="minorHAnsi" w:cstheme="minorHAnsi"/>
          <w:i w:val="0"/>
          <w:iCs w:val="0"/>
          <w:color w:val="auto"/>
        </w:rPr>
        <w:t>Public</w:t>
      </w:r>
      <w:proofErr w:type="gramEnd"/>
      <w:r w:rsidR="00A878A0" w:rsidRPr="00A878A0">
        <w:rPr>
          <w:rFonts w:asciiTheme="minorHAnsi" w:hAnsiTheme="minorHAnsi" w:cstheme="minorHAnsi"/>
          <w:i w:val="0"/>
          <w:iCs w:val="0"/>
          <w:color w:val="auto"/>
        </w:rPr>
        <w:t xml:space="preserve"> service median = 203 days, 2019-20</w:t>
      </w:r>
      <w:r w:rsidR="001B6AF3">
        <w:rPr>
          <w:rFonts w:asciiTheme="minorHAnsi" w:hAnsiTheme="minorHAnsi" w:cstheme="minorHAnsi"/>
          <w:i w:val="0"/>
          <w:iCs w:val="0"/>
          <w:color w:val="auto"/>
        </w:rPr>
        <w:t>20</w:t>
      </w:r>
    </w:p>
    <w:p w14:paraId="5EDFD17F" w14:textId="2B9C1A52" w:rsidR="00A878A0" w:rsidRDefault="009B7AD3" w:rsidP="00A878A0">
      <w:pPr>
        <w:numPr>
          <w:ilvl w:val="1"/>
          <w:numId w:val="0"/>
        </w:numPr>
        <w:spacing w:before="240" w:after="120"/>
        <w:rPr>
          <w:rStyle w:val="Hyperlink"/>
          <w:rFonts w:asciiTheme="minorHAnsi" w:eastAsiaTheme="minorHAnsi" w:hAnsiTheme="minorHAnsi" w:cstheme="minorHAnsi"/>
          <w:szCs w:val="24"/>
          <w:lang w:val="en-CA"/>
        </w:rPr>
      </w:pPr>
      <w:hyperlink w:anchor="External_time_to_staff" w:history="1">
        <w:r w:rsidR="00A878A0">
          <w:rPr>
            <w:rStyle w:val="Hyperlink"/>
            <w:rFonts w:asciiTheme="minorHAnsi" w:eastAsiaTheme="minorHAnsi" w:hAnsiTheme="minorHAnsi" w:cstheme="minorHAnsi"/>
            <w:szCs w:val="24"/>
          </w:rPr>
          <w:t>Ex</w:t>
        </w:r>
        <w:r w:rsidR="00A878A0" w:rsidRPr="00432882">
          <w:rPr>
            <w:rStyle w:val="Hyperlink"/>
            <w:rFonts w:asciiTheme="minorHAnsi" w:eastAsiaTheme="minorHAnsi" w:hAnsiTheme="minorHAnsi" w:cstheme="minorHAnsi"/>
            <w:szCs w:val="24"/>
            <w:lang w:val="en-CA"/>
          </w:rPr>
          <w:t>ternal time to staff data table available here</w:t>
        </w:r>
      </w:hyperlink>
    </w:p>
    <w:p w14:paraId="7E1C354F" w14:textId="77777777" w:rsidR="00BD5EF3" w:rsidRDefault="00BD5EF3" w:rsidP="00210D24">
      <w:pPr>
        <w:rPr>
          <w:rFonts w:asciiTheme="minorHAnsi" w:hAnsiTheme="minorHAnsi" w:cstheme="minorHAnsi"/>
          <w:sz w:val="22"/>
          <w:szCs w:val="22"/>
          <w:lang w:val="en-CA" w:eastAsia="en-CA"/>
        </w:rPr>
        <w:sectPr w:rsidR="00BD5EF3" w:rsidSect="00950460">
          <w:pgSz w:w="20160" w:h="12240" w:orient="landscape" w:code="5"/>
          <w:pgMar w:top="720" w:right="720" w:bottom="720" w:left="720" w:header="709" w:footer="284" w:gutter="0"/>
          <w:cols w:space="708"/>
          <w:titlePg/>
          <w:docGrid w:linePitch="360"/>
        </w:sectPr>
      </w:pPr>
    </w:p>
    <w:p w14:paraId="28DEC75F" w14:textId="2D35A589" w:rsidR="00210D24" w:rsidRPr="00BD5EF3" w:rsidRDefault="00717FC3" w:rsidP="00BD5EF3">
      <w:pPr>
        <w:spacing w:after="120"/>
        <w:rPr>
          <w:rFonts w:asciiTheme="minorHAnsi" w:hAnsiTheme="minorHAnsi" w:cstheme="minorHAnsi"/>
          <w:sz w:val="22"/>
          <w:szCs w:val="22"/>
          <w:lang w:val="en-CA" w:eastAsia="en-CA"/>
        </w:rPr>
      </w:pPr>
      <w:r w:rsidRPr="00BD5EF3">
        <w:rPr>
          <w:rFonts w:asciiTheme="minorHAnsi" w:hAnsiTheme="minorHAnsi" w:cstheme="minorHAnsi"/>
          <w:sz w:val="22"/>
          <w:szCs w:val="22"/>
          <w:lang w:val="en-CA" w:eastAsia="en-CA"/>
        </w:rPr>
        <w:t>External time to staff is calculated as the number of calendar days between the opening date of the advertisement and the date of the first estimated external hire</w:t>
      </w:r>
    </w:p>
    <w:p w14:paraId="25B02F32" w14:textId="77777777" w:rsidR="00A878A0" w:rsidRPr="00BD5EF3" w:rsidRDefault="00A878A0" w:rsidP="00A878A0">
      <w:pPr>
        <w:rPr>
          <w:rFonts w:asciiTheme="minorHAnsi" w:hAnsiTheme="minorHAnsi" w:cstheme="minorHAnsi"/>
          <w:sz w:val="22"/>
          <w:szCs w:val="22"/>
          <w:lang w:val="en-CA"/>
        </w:rPr>
      </w:pPr>
      <w:r w:rsidRPr="00BD5EF3">
        <w:rPr>
          <w:rFonts w:asciiTheme="minorHAnsi" w:hAnsiTheme="minorHAnsi" w:cstheme="minorHAnsi"/>
          <w:sz w:val="22"/>
          <w:szCs w:val="22"/>
          <w:lang w:val="en-CA"/>
        </w:rPr>
        <w:t xml:space="preserve">The median external time to staff for the public service (organizations subject to the </w:t>
      </w:r>
      <w:r w:rsidRPr="00BD5EF3">
        <w:rPr>
          <w:rStyle w:val="Emphasis"/>
          <w:rFonts w:asciiTheme="minorHAnsi" w:hAnsiTheme="minorHAnsi" w:cstheme="minorHAnsi"/>
          <w:szCs w:val="18"/>
        </w:rPr>
        <w:t>Public Service Employment Act</w:t>
      </w:r>
      <w:r w:rsidRPr="00BD5EF3">
        <w:rPr>
          <w:rFonts w:asciiTheme="minorHAnsi" w:hAnsiTheme="minorHAnsi" w:cstheme="minorHAnsi"/>
          <w:sz w:val="22"/>
          <w:szCs w:val="22"/>
          <w:lang w:val="en-CA"/>
        </w:rPr>
        <w:t>) for fiscal year 2019 to 2020 is 203 days</w:t>
      </w:r>
    </w:p>
    <w:p w14:paraId="6086C098" w14:textId="77777777" w:rsidR="00210D24" w:rsidRPr="00BD5EF3" w:rsidRDefault="00210D24" w:rsidP="00BD5EF3">
      <w:pPr>
        <w:spacing w:after="120"/>
        <w:rPr>
          <w:rStyle w:val="Strong"/>
          <w:rFonts w:asciiTheme="minorHAnsi" w:hAnsiTheme="minorHAnsi" w:cstheme="minorHAnsi"/>
          <w:sz w:val="22"/>
          <w:szCs w:val="22"/>
        </w:rPr>
      </w:pPr>
      <w:r w:rsidRPr="00BD5EF3">
        <w:rPr>
          <w:rStyle w:val="Strong"/>
          <w:rFonts w:asciiTheme="minorHAnsi" w:hAnsiTheme="minorHAnsi" w:cstheme="minorHAnsi"/>
          <w:sz w:val="22"/>
          <w:szCs w:val="22"/>
        </w:rPr>
        <w:t>External time to staff for fiscal year 2019 to 2020</w:t>
      </w:r>
    </w:p>
    <w:p w14:paraId="4A27E371" w14:textId="77777777" w:rsidR="00210D24" w:rsidRPr="00BD5EF3" w:rsidRDefault="00210D24" w:rsidP="00F5798F">
      <w:pPr>
        <w:rPr>
          <w:rFonts w:asciiTheme="minorHAnsi" w:hAnsiTheme="minorHAnsi" w:cstheme="minorHAnsi"/>
          <w:sz w:val="22"/>
          <w:szCs w:val="22"/>
          <w:lang w:val="en-CA"/>
        </w:rPr>
      </w:pPr>
      <w:r w:rsidRPr="00BD5EF3">
        <w:rPr>
          <w:rFonts w:asciiTheme="minorHAnsi" w:hAnsiTheme="minorHAnsi" w:cstheme="minorHAnsi"/>
          <w:sz w:val="22"/>
          <w:szCs w:val="22"/>
          <w:lang w:val="en-CA"/>
        </w:rPr>
        <w:t>The data is insufficient for providing results on external process times for Canada Energy Regulator.</w:t>
      </w:r>
    </w:p>
    <w:p w14:paraId="03E6DA30" w14:textId="77777777" w:rsidR="00BD5EF3" w:rsidRDefault="00BD5EF3" w:rsidP="00264AD9">
      <w:pPr>
        <w:rPr>
          <w:rFonts w:ascii="Segoe UI" w:hAnsi="Segoe UI" w:cs="Segoe UI"/>
          <w:b/>
          <w:bCs/>
          <w:szCs w:val="24"/>
          <w:lang w:val="en-CA"/>
        </w:rPr>
        <w:sectPr w:rsidR="00BD5EF3" w:rsidSect="00BD5EF3">
          <w:type w:val="continuous"/>
          <w:pgSz w:w="20160" w:h="12240" w:orient="landscape" w:code="5"/>
          <w:pgMar w:top="720" w:right="720" w:bottom="720" w:left="720" w:header="709" w:footer="284" w:gutter="0"/>
          <w:cols w:num="2" w:space="708"/>
          <w:titlePg/>
          <w:docGrid w:linePitch="360"/>
        </w:sectPr>
      </w:pPr>
    </w:p>
    <w:p w14:paraId="01BDB39B" w14:textId="77777777" w:rsidR="00BD5EF3" w:rsidRDefault="00BD5EF3" w:rsidP="00264AD9">
      <w:pPr>
        <w:rPr>
          <w:rFonts w:ascii="Segoe UI" w:hAnsi="Segoe UI" w:cs="Segoe UI"/>
          <w:b/>
          <w:bCs/>
          <w:szCs w:val="24"/>
          <w:lang w:val="en-CA"/>
        </w:rPr>
      </w:pPr>
    </w:p>
    <w:p w14:paraId="6BD1D2D5" w14:textId="77777777" w:rsidR="00210D24" w:rsidRDefault="00210D24" w:rsidP="00264AD9">
      <w:pPr>
        <w:rPr>
          <w:rFonts w:ascii="Segoe UI" w:hAnsi="Segoe UI" w:cs="Segoe UI"/>
          <w:b/>
          <w:bCs/>
          <w:szCs w:val="24"/>
          <w:lang w:val="en-CA"/>
        </w:rPr>
        <w:sectPr w:rsidR="00210D24" w:rsidSect="00BD5EF3">
          <w:type w:val="continuous"/>
          <w:pgSz w:w="20160" w:h="12240" w:orient="landscape" w:code="5"/>
          <w:pgMar w:top="720" w:right="720" w:bottom="720" w:left="720" w:header="709" w:footer="284" w:gutter="0"/>
          <w:cols w:space="708"/>
          <w:titlePg/>
          <w:docGrid w:linePitch="360"/>
        </w:sectPr>
      </w:pPr>
    </w:p>
    <w:p w14:paraId="5CF477F1" w14:textId="30942ACB" w:rsidR="00BD5EF3" w:rsidRPr="005E6CEB" w:rsidRDefault="00BD5EF3" w:rsidP="005E6CEB">
      <w:pPr>
        <w:pStyle w:val="Heading1"/>
        <w:spacing w:before="120" w:after="120"/>
        <w:rPr>
          <w:sz w:val="40"/>
          <w:szCs w:val="40"/>
        </w:rPr>
      </w:pPr>
      <w:bookmarkStart w:id="3" w:name="External_time_to_staff"/>
      <w:r w:rsidRPr="005E6CEB">
        <w:rPr>
          <w:sz w:val="40"/>
          <w:szCs w:val="40"/>
        </w:rPr>
        <w:lastRenderedPageBreak/>
        <w:t>External time to staff</w:t>
      </w:r>
    </w:p>
    <w:p w14:paraId="6BB994CA" w14:textId="0BC6CE7B" w:rsidR="00A84016" w:rsidRPr="005E6CEB" w:rsidRDefault="00A84016" w:rsidP="005E6CEB">
      <w:pPr>
        <w:pStyle w:val="Caption"/>
        <w:spacing w:after="0"/>
        <w:rPr>
          <w:rFonts w:asciiTheme="minorHAnsi" w:hAnsiTheme="minorHAnsi" w:cstheme="minorHAnsi"/>
          <w:i w:val="0"/>
          <w:iCs w:val="0"/>
        </w:rPr>
      </w:pPr>
      <w:r w:rsidRPr="005E6CEB">
        <w:rPr>
          <w:rFonts w:asciiTheme="minorHAnsi" w:hAnsiTheme="minorHAnsi" w:cstheme="minorHAnsi"/>
          <w:i w:val="0"/>
          <w:iCs w:val="0"/>
        </w:rPr>
        <w:t xml:space="preserve">Table </w:t>
      </w:r>
      <w:r w:rsidRPr="005E6CEB">
        <w:rPr>
          <w:rFonts w:asciiTheme="minorHAnsi" w:hAnsiTheme="minorHAnsi" w:cstheme="minorHAnsi"/>
          <w:i w:val="0"/>
          <w:iCs w:val="0"/>
        </w:rPr>
        <w:fldChar w:fldCharType="begin"/>
      </w:r>
      <w:r w:rsidRPr="005E6CEB">
        <w:rPr>
          <w:rFonts w:asciiTheme="minorHAnsi" w:hAnsiTheme="minorHAnsi" w:cstheme="minorHAnsi"/>
          <w:i w:val="0"/>
          <w:iCs w:val="0"/>
        </w:rPr>
        <w:instrText xml:space="preserve"> SEQ Table \* ARABIC </w:instrText>
      </w:r>
      <w:r w:rsidRPr="005E6CEB">
        <w:rPr>
          <w:rFonts w:asciiTheme="minorHAnsi" w:hAnsiTheme="minorHAnsi" w:cstheme="minorHAnsi"/>
          <w:i w:val="0"/>
          <w:iCs w:val="0"/>
        </w:rPr>
        <w:fldChar w:fldCharType="separate"/>
      </w:r>
      <w:r w:rsidR="005E6CEB" w:rsidRPr="005E6CEB">
        <w:rPr>
          <w:rFonts w:asciiTheme="minorHAnsi" w:hAnsiTheme="minorHAnsi" w:cstheme="minorHAnsi"/>
          <w:i w:val="0"/>
          <w:iCs w:val="0"/>
        </w:rPr>
        <w:t>16</w:t>
      </w:r>
      <w:r w:rsidRPr="005E6CEB">
        <w:rPr>
          <w:rFonts w:asciiTheme="minorHAnsi" w:hAnsiTheme="minorHAnsi" w:cstheme="minorHAnsi"/>
          <w:i w:val="0"/>
          <w:iCs w:val="0"/>
        </w:rPr>
        <w:fldChar w:fldCharType="end"/>
      </w:r>
      <w:r w:rsidRPr="005E6CEB">
        <w:rPr>
          <w:rFonts w:asciiTheme="minorHAnsi" w:hAnsiTheme="minorHAnsi" w:cstheme="minorHAnsi"/>
          <w:i w:val="0"/>
          <w:iCs w:val="0"/>
        </w:rPr>
        <w:t xml:space="preserve"> - External time to staff</w:t>
      </w:r>
    </w:p>
    <w:tbl>
      <w:tblPr>
        <w:tblStyle w:val="TableGrid"/>
        <w:tblW w:w="5000" w:type="pct"/>
        <w:jc w:val="center"/>
        <w:tblLook w:val="0000" w:firstRow="0" w:lastRow="0" w:firstColumn="0" w:lastColumn="0" w:noHBand="0" w:noVBand="0"/>
        <w:tblDescription w:val="External time to staff"/>
      </w:tblPr>
      <w:tblGrid>
        <w:gridCol w:w="3397"/>
        <w:gridCol w:w="7393"/>
      </w:tblGrid>
      <w:tr w:rsidR="005E6CEB" w:rsidRPr="005E6CEB" w14:paraId="230A4D3C" w14:textId="77777777" w:rsidTr="005E6CEB">
        <w:trPr>
          <w:cantSplit/>
          <w:trHeight w:val="290"/>
          <w:tblHeader/>
          <w:jc w:val="center"/>
        </w:trPr>
        <w:tc>
          <w:tcPr>
            <w:tcW w:w="1574" w:type="pct"/>
          </w:tcPr>
          <w:p w14:paraId="6B4F01C6" w14:textId="42557200" w:rsidR="00210D24" w:rsidRPr="001B6AF3" w:rsidRDefault="00210D24" w:rsidP="005E6CEB">
            <w:pPr>
              <w:pStyle w:val="TableTitle"/>
              <w:rPr>
                <w:rFonts w:cs="Segoe UI Semibold"/>
                <w:color w:val="auto"/>
                <w:sz w:val="22"/>
                <w:szCs w:val="22"/>
              </w:rPr>
            </w:pPr>
            <w:r w:rsidRPr="001B6AF3">
              <w:rPr>
                <w:rFonts w:cs="Segoe UI Semibold"/>
                <w:color w:val="auto"/>
                <w:sz w:val="22"/>
                <w:szCs w:val="22"/>
              </w:rPr>
              <w:t>Number of calendar days</w:t>
            </w:r>
            <w:bookmarkEnd w:id="3"/>
          </w:p>
        </w:tc>
        <w:tc>
          <w:tcPr>
            <w:tcW w:w="3426" w:type="pct"/>
          </w:tcPr>
          <w:p w14:paraId="51040A41" w14:textId="77777777" w:rsidR="00210D24" w:rsidRPr="001B6AF3" w:rsidRDefault="00210D24" w:rsidP="005E6CEB">
            <w:pPr>
              <w:pStyle w:val="TableTitle"/>
              <w:rPr>
                <w:rFonts w:cs="Segoe UI Semibold"/>
                <w:color w:val="auto"/>
                <w:sz w:val="22"/>
                <w:szCs w:val="22"/>
              </w:rPr>
            </w:pPr>
            <w:r w:rsidRPr="001B6AF3">
              <w:rPr>
                <w:rFonts w:cs="Segoe UI Semibold"/>
                <w:color w:val="auto"/>
                <w:sz w:val="22"/>
                <w:szCs w:val="22"/>
              </w:rPr>
              <w:t xml:space="preserve">The number of external appointment processes for which the TTS-EA was within the specified number of calendar days for organizations subject to the </w:t>
            </w:r>
            <w:r w:rsidRPr="001B6AF3">
              <w:rPr>
                <w:rStyle w:val="Emphasis"/>
                <w:rFonts w:ascii="Segoe UI Semibold" w:hAnsi="Segoe UI Semibold" w:cs="Segoe UI Semibold"/>
                <w:color w:val="auto"/>
                <w:szCs w:val="22"/>
              </w:rPr>
              <w:t>Public Service Employment Act</w:t>
            </w:r>
          </w:p>
        </w:tc>
      </w:tr>
      <w:tr w:rsidR="00210D24" w:rsidRPr="00264AD9" w14:paraId="3391B066" w14:textId="77777777" w:rsidTr="005E6CEB">
        <w:trPr>
          <w:cantSplit/>
          <w:trHeight w:val="290"/>
          <w:tblHeader/>
          <w:jc w:val="center"/>
        </w:trPr>
        <w:tc>
          <w:tcPr>
            <w:tcW w:w="1574" w:type="pct"/>
          </w:tcPr>
          <w:p w14:paraId="5D41C6AB"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0 calendar days</w:t>
            </w:r>
          </w:p>
        </w:tc>
        <w:tc>
          <w:tcPr>
            <w:tcW w:w="3426" w:type="pct"/>
          </w:tcPr>
          <w:p w14:paraId="3F6F8016"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0</w:t>
            </w:r>
          </w:p>
        </w:tc>
      </w:tr>
      <w:tr w:rsidR="00210D24" w:rsidRPr="00264AD9" w14:paraId="1D2B0D81" w14:textId="77777777" w:rsidTr="005E6CEB">
        <w:trPr>
          <w:cantSplit/>
          <w:trHeight w:val="290"/>
          <w:tblHeader/>
          <w:jc w:val="center"/>
        </w:trPr>
        <w:tc>
          <w:tcPr>
            <w:tcW w:w="1574" w:type="pct"/>
          </w:tcPr>
          <w:p w14:paraId="7728FBD0"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0 to 29 calendar days</w:t>
            </w:r>
          </w:p>
        </w:tc>
        <w:tc>
          <w:tcPr>
            <w:tcW w:w="3426" w:type="pct"/>
          </w:tcPr>
          <w:p w14:paraId="7A5154B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55</w:t>
            </w:r>
          </w:p>
        </w:tc>
      </w:tr>
      <w:tr w:rsidR="00210D24" w:rsidRPr="00264AD9" w14:paraId="2EBF2A1F" w14:textId="77777777" w:rsidTr="005E6CEB">
        <w:trPr>
          <w:cantSplit/>
          <w:trHeight w:val="290"/>
          <w:tblHeader/>
          <w:jc w:val="center"/>
        </w:trPr>
        <w:tc>
          <w:tcPr>
            <w:tcW w:w="1574" w:type="pct"/>
          </w:tcPr>
          <w:p w14:paraId="17B1C37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30 to 59 calendar days</w:t>
            </w:r>
          </w:p>
        </w:tc>
        <w:tc>
          <w:tcPr>
            <w:tcW w:w="3426" w:type="pct"/>
          </w:tcPr>
          <w:p w14:paraId="19A374A9"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75</w:t>
            </w:r>
          </w:p>
        </w:tc>
      </w:tr>
      <w:tr w:rsidR="00210D24" w:rsidRPr="00264AD9" w14:paraId="42392801" w14:textId="77777777" w:rsidTr="005E6CEB">
        <w:trPr>
          <w:cantSplit/>
          <w:trHeight w:val="290"/>
          <w:tblHeader/>
          <w:jc w:val="center"/>
        </w:trPr>
        <w:tc>
          <w:tcPr>
            <w:tcW w:w="1574" w:type="pct"/>
          </w:tcPr>
          <w:p w14:paraId="76BFBFF9"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60 to 89 calendar days</w:t>
            </w:r>
          </w:p>
        </w:tc>
        <w:tc>
          <w:tcPr>
            <w:tcW w:w="3426" w:type="pct"/>
          </w:tcPr>
          <w:p w14:paraId="3534B60F"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95</w:t>
            </w:r>
          </w:p>
        </w:tc>
      </w:tr>
      <w:tr w:rsidR="00210D24" w:rsidRPr="00264AD9" w14:paraId="3DAB36AE" w14:textId="77777777" w:rsidTr="005E6CEB">
        <w:trPr>
          <w:cantSplit/>
          <w:trHeight w:val="290"/>
          <w:tblHeader/>
          <w:jc w:val="center"/>
        </w:trPr>
        <w:tc>
          <w:tcPr>
            <w:tcW w:w="1574" w:type="pct"/>
          </w:tcPr>
          <w:p w14:paraId="25C07DF0"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90 to 119 calendar days</w:t>
            </w:r>
          </w:p>
        </w:tc>
        <w:tc>
          <w:tcPr>
            <w:tcW w:w="3426" w:type="pct"/>
          </w:tcPr>
          <w:p w14:paraId="64AC3647"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108</w:t>
            </w:r>
          </w:p>
        </w:tc>
      </w:tr>
      <w:tr w:rsidR="00210D24" w:rsidRPr="00264AD9" w14:paraId="3D3E6F1D" w14:textId="77777777" w:rsidTr="005E6CEB">
        <w:trPr>
          <w:cantSplit/>
          <w:trHeight w:val="290"/>
          <w:tblHeader/>
          <w:jc w:val="center"/>
        </w:trPr>
        <w:tc>
          <w:tcPr>
            <w:tcW w:w="1574" w:type="pct"/>
          </w:tcPr>
          <w:p w14:paraId="6C5D98D6"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120 to 149 calendar days</w:t>
            </w:r>
          </w:p>
        </w:tc>
        <w:tc>
          <w:tcPr>
            <w:tcW w:w="3426" w:type="pct"/>
          </w:tcPr>
          <w:p w14:paraId="5DBD2B99"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166</w:t>
            </w:r>
          </w:p>
        </w:tc>
      </w:tr>
      <w:tr w:rsidR="00210D24" w:rsidRPr="00264AD9" w14:paraId="4201F33B" w14:textId="77777777" w:rsidTr="005E6CEB">
        <w:trPr>
          <w:cantSplit/>
          <w:trHeight w:val="290"/>
          <w:tblHeader/>
          <w:jc w:val="center"/>
        </w:trPr>
        <w:tc>
          <w:tcPr>
            <w:tcW w:w="1574" w:type="pct"/>
          </w:tcPr>
          <w:p w14:paraId="1F397FE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150 to 179 calendar days</w:t>
            </w:r>
          </w:p>
        </w:tc>
        <w:tc>
          <w:tcPr>
            <w:tcW w:w="3426" w:type="pct"/>
          </w:tcPr>
          <w:p w14:paraId="7BECAEFC"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164</w:t>
            </w:r>
          </w:p>
        </w:tc>
      </w:tr>
      <w:tr w:rsidR="00210D24" w:rsidRPr="00264AD9" w14:paraId="65A5DAB5" w14:textId="77777777" w:rsidTr="005E6CEB">
        <w:trPr>
          <w:cantSplit/>
          <w:trHeight w:val="290"/>
          <w:tblHeader/>
          <w:jc w:val="center"/>
        </w:trPr>
        <w:tc>
          <w:tcPr>
            <w:tcW w:w="1574" w:type="pct"/>
          </w:tcPr>
          <w:p w14:paraId="5FDCF7AC"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180 to 209 calendar days</w:t>
            </w:r>
          </w:p>
        </w:tc>
        <w:tc>
          <w:tcPr>
            <w:tcW w:w="3426" w:type="pct"/>
          </w:tcPr>
          <w:p w14:paraId="3B16682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160</w:t>
            </w:r>
          </w:p>
        </w:tc>
      </w:tr>
      <w:tr w:rsidR="00210D24" w:rsidRPr="00264AD9" w14:paraId="25A31E8F" w14:textId="77777777" w:rsidTr="005E6CEB">
        <w:trPr>
          <w:cantSplit/>
          <w:trHeight w:val="290"/>
          <w:tblHeader/>
          <w:jc w:val="center"/>
        </w:trPr>
        <w:tc>
          <w:tcPr>
            <w:tcW w:w="1574" w:type="pct"/>
          </w:tcPr>
          <w:p w14:paraId="26C44359"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210 to 239 calendar days</w:t>
            </w:r>
          </w:p>
        </w:tc>
        <w:tc>
          <w:tcPr>
            <w:tcW w:w="3426" w:type="pct"/>
          </w:tcPr>
          <w:p w14:paraId="52586EE5"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133</w:t>
            </w:r>
          </w:p>
        </w:tc>
      </w:tr>
      <w:tr w:rsidR="00210D24" w:rsidRPr="00264AD9" w14:paraId="30ECCA11" w14:textId="77777777" w:rsidTr="005E6CEB">
        <w:trPr>
          <w:cantSplit/>
          <w:trHeight w:val="290"/>
          <w:tblHeader/>
          <w:jc w:val="center"/>
        </w:trPr>
        <w:tc>
          <w:tcPr>
            <w:tcW w:w="1574" w:type="pct"/>
          </w:tcPr>
          <w:p w14:paraId="7DD825D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240 to 269 calendar days</w:t>
            </w:r>
          </w:p>
        </w:tc>
        <w:tc>
          <w:tcPr>
            <w:tcW w:w="3426" w:type="pct"/>
          </w:tcPr>
          <w:p w14:paraId="6830BDC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122</w:t>
            </w:r>
          </w:p>
        </w:tc>
      </w:tr>
      <w:tr w:rsidR="00210D24" w:rsidRPr="00264AD9" w14:paraId="0F12FCEF" w14:textId="77777777" w:rsidTr="005E6CEB">
        <w:trPr>
          <w:cantSplit/>
          <w:trHeight w:val="290"/>
          <w:tblHeader/>
          <w:jc w:val="center"/>
        </w:trPr>
        <w:tc>
          <w:tcPr>
            <w:tcW w:w="1574" w:type="pct"/>
          </w:tcPr>
          <w:p w14:paraId="0710BB0E"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270 to 299 calendar days</w:t>
            </w:r>
          </w:p>
        </w:tc>
        <w:tc>
          <w:tcPr>
            <w:tcW w:w="3426" w:type="pct"/>
          </w:tcPr>
          <w:p w14:paraId="27E4C980"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101</w:t>
            </w:r>
          </w:p>
        </w:tc>
      </w:tr>
      <w:tr w:rsidR="00210D24" w:rsidRPr="00264AD9" w14:paraId="4464D9E5" w14:textId="77777777" w:rsidTr="005E6CEB">
        <w:trPr>
          <w:cantSplit/>
          <w:trHeight w:val="290"/>
          <w:tblHeader/>
          <w:jc w:val="center"/>
        </w:trPr>
        <w:tc>
          <w:tcPr>
            <w:tcW w:w="1574" w:type="pct"/>
          </w:tcPr>
          <w:p w14:paraId="667E1099"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300 to 329 calendar days</w:t>
            </w:r>
          </w:p>
        </w:tc>
        <w:tc>
          <w:tcPr>
            <w:tcW w:w="3426" w:type="pct"/>
          </w:tcPr>
          <w:p w14:paraId="0D4FAB2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80</w:t>
            </w:r>
          </w:p>
        </w:tc>
      </w:tr>
      <w:tr w:rsidR="00210D24" w:rsidRPr="00264AD9" w14:paraId="16F8A3FE" w14:textId="77777777" w:rsidTr="005E6CEB">
        <w:trPr>
          <w:cantSplit/>
          <w:trHeight w:val="290"/>
          <w:tblHeader/>
          <w:jc w:val="center"/>
        </w:trPr>
        <w:tc>
          <w:tcPr>
            <w:tcW w:w="1574" w:type="pct"/>
          </w:tcPr>
          <w:p w14:paraId="6C07F5EA"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330 to 359 calendar days</w:t>
            </w:r>
          </w:p>
        </w:tc>
        <w:tc>
          <w:tcPr>
            <w:tcW w:w="3426" w:type="pct"/>
          </w:tcPr>
          <w:p w14:paraId="0871F60A"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61</w:t>
            </w:r>
          </w:p>
        </w:tc>
      </w:tr>
      <w:tr w:rsidR="00210D24" w:rsidRPr="00264AD9" w14:paraId="2398E43F" w14:textId="77777777" w:rsidTr="005E6CEB">
        <w:trPr>
          <w:cantSplit/>
          <w:trHeight w:val="290"/>
          <w:tblHeader/>
          <w:jc w:val="center"/>
        </w:trPr>
        <w:tc>
          <w:tcPr>
            <w:tcW w:w="1574" w:type="pct"/>
          </w:tcPr>
          <w:p w14:paraId="5BB8104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360 to 389 calendar days</w:t>
            </w:r>
          </w:p>
        </w:tc>
        <w:tc>
          <w:tcPr>
            <w:tcW w:w="3426" w:type="pct"/>
          </w:tcPr>
          <w:p w14:paraId="3F54644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50</w:t>
            </w:r>
          </w:p>
        </w:tc>
      </w:tr>
      <w:tr w:rsidR="00210D24" w:rsidRPr="00264AD9" w14:paraId="3BF91AE7" w14:textId="77777777" w:rsidTr="005E6CEB">
        <w:trPr>
          <w:cantSplit/>
          <w:trHeight w:val="290"/>
          <w:tblHeader/>
          <w:jc w:val="center"/>
        </w:trPr>
        <w:tc>
          <w:tcPr>
            <w:tcW w:w="1574" w:type="pct"/>
          </w:tcPr>
          <w:p w14:paraId="3B790B8B"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390 to 419 calendar days</w:t>
            </w:r>
          </w:p>
        </w:tc>
        <w:tc>
          <w:tcPr>
            <w:tcW w:w="3426" w:type="pct"/>
          </w:tcPr>
          <w:p w14:paraId="2DBCB85A"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45</w:t>
            </w:r>
          </w:p>
        </w:tc>
      </w:tr>
      <w:tr w:rsidR="00210D24" w:rsidRPr="00264AD9" w14:paraId="15371727" w14:textId="77777777" w:rsidTr="005E6CEB">
        <w:trPr>
          <w:cantSplit/>
          <w:trHeight w:val="290"/>
          <w:tblHeader/>
          <w:jc w:val="center"/>
        </w:trPr>
        <w:tc>
          <w:tcPr>
            <w:tcW w:w="1574" w:type="pct"/>
          </w:tcPr>
          <w:p w14:paraId="5E89F153"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420 to 449 calendar days</w:t>
            </w:r>
          </w:p>
        </w:tc>
        <w:tc>
          <w:tcPr>
            <w:tcW w:w="3426" w:type="pct"/>
          </w:tcPr>
          <w:p w14:paraId="6CFBDC16"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34</w:t>
            </w:r>
          </w:p>
        </w:tc>
      </w:tr>
      <w:tr w:rsidR="00210D24" w:rsidRPr="00264AD9" w14:paraId="3B750F17" w14:textId="77777777" w:rsidTr="005E6CEB">
        <w:trPr>
          <w:cantSplit/>
          <w:trHeight w:val="290"/>
          <w:tblHeader/>
          <w:jc w:val="center"/>
        </w:trPr>
        <w:tc>
          <w:tcPr>
            <w:tcW w:w="1574" w:type="pct"/>
          </w:tcPr>
          <w:p w14:paraId="7D800104"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450 to 479 calendar days</w:t>
            </w:r>
          </w:p>
        </w:tc>
        <w:tc>
          <w:tcPr>
            <w:tcW w:w="3426" w:type="pct"/>
          </w:tcPr>
          <w:p w14:paraId="32B3EC17"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34</w:t>
            </w:r>
          </w:p>
        </w:tc>
      </w:tr>
      <w:tr w:rsidR="00210D24" w:rsidRPr="00264AD9" w14:paraId="3680473B" w14:textId="77777777" w:rsidTr="005E6CEB">
        <w:trPr>
          <w:cantSplit/>
          <w:trHeight w:val="290"/>
          <w:tblHeader/>
          <w:jc w:val="center"/>
        </w:trPr>
        <w:tc>
          <w:tcPr>
            <w:tcW w:w="1574" w:type="pct"/>
          </w:tcPr>
          <w:p w14:paraId="14D0ABF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480 to 509 calendar days</w:t>
            </w:r>
          </w:p>
        </w:tc>
        <w:tc>
          <w:tcPr>
            <w:tcW w:w="3426" w:type="pct"/>
          </w:tcPr>
          <w:p w14:paraId="2460F41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21</w:t>
            </w:r>
          </w:p>
        </w:tc>
      </w:tr>
      <w:tr w:rsidR="00210D24" w:rsidRPr="00264AD9" w14:paraId="6658837C" w14:textId="77777777" w:rsidTr="005E6CEB">
        <w:trPr>
          <w:cantSplit/>
          <w:trHeight w:val="290"/>
          <w:tblHeader/>
          <w:jc w:val="center"/>
        </w:trPr>
        <w:tc>
          <w:tcPr>
            <w:tcW w:w="1574" w:type="pct"/>
          </w:tcPr>
          <w:p w14:paraId="72398377"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510 to 539 calendar days</w:t>
            </w:r>
          </w:p>
        </w:tc>
        <w:tc>
          <w:tcPr>
            <w:tcW w:w="3426" w:type="pct"/>
          </w:tcPr>
          <w:p w14:paraId="23754EB0"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16</w:t>
            </w:r>
          </w:p>
        </w:tc>
      </w:tr>
      <w:tr w:rsidR="00210D24" w:rsidRPr="00264AD9" w14:paraId="3E5D214F" w14:textId="77777777" w:rsidTr="005E6CEB">
        <w:trPr>
          <w:cantSplit/>
          <w:trHeight w:val="290"/>
          <w:tblHeader/>
          <w:jc w:val="center"/>
        </w:trPr>
        <w:tc>
          <w:tcPr>
            <w:tcW w:w="1574" w:type="pct"/>
          </w:tcPr>
          <w:p w14:paraId="6CB92C2C"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540 to 569 calendar days</w:t>
            </w:r>
          </w:p>
        </w:tc>
        <w:tc>
          <w:tcPr>
            <w:tcW w:w="3426" w:type="pct"/>
          </w:tcPr>
          <w:p w14:paraId="16E0850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19</w:t>
            </w:r>
          </w:p>
        </w:tc>
      </w:tr>
      <w:tr w:rsidR="00210D24" w:rsidRPr="00264AD9" w14:paraId="0FAEF98E" w14:textId="77777777" w:rsidTr="005E6CEB">
        <w:trPr>
          <w:cantSplit/>
          <w:trHeight w:val="290"/>
          <w:tblHeader/>
          <w:jc w:val="center"/>
        </w:trPr>
        <w:tc>
          <w:tcPr>
            <w:tcW w:w="1574" w:type="pct"/>
          </w:tcPr>
          <w:p w14:paraId="15D3A885"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570 to 599 calendar days</w:t>
            </w:r>
          </w:p>
        </w:tc>
        <w:tc>
          <w:tcPr>
            <w:tcW w:w="3426" w:type="pct"/>
          </w:tcPr>
          <w:p w14:paraId="73F4C177"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13</w:t>
            </w:r>
          </w:p>
        </w:tc>
      </w:tr>
      <w:tr w:rsidR="00210D24" w:rsidRPr="00264AD9" w14:paraId="6D5A46CF" w14:textId="77777777" w:rsidTr="005E6CEB">
        <w:trPr>
          <w:cantSplit/>
          <w:trHeight w:val="290"/>
          <w:tblHeader/>
          <w:jc w:val="center"/>
        </w:trPr>
        <w:tc>
          <w:tcPr>
            <w:tcW w:w="1574" w:type="pct"/>
          </w:tcPr>
          <w:p w14:paraId="46A871DC"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600 to 629 calendar days</w:t>
            </w:r>
          </w:p>
        </w:tc>
        <w:tc>
          <w:tcPr>
            <w:tcW w:w="3426" w:type="pct"/>
          </w:tcPr>
          <w:p w14:paraId="4724E46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7</w:t>
            </w:r>
          </w:p>
        </w:tc>
      </w:tr>
      <w:tr w:rsidR="00210D24" w:rsidRPr="00264AD9" w14:paraId="7E0DB991" w14:textId="77777777" w:rsidTr="005E6CEB">
        <w:trPr>
          <w:cantSplit/>
          <w:trHeight w:val="290"/>
          <w:tblHeader/>
          <w:jc w:val="center"/>
        </w:trPr>
        <w:tc>
          <w:tcPr>
            <w:tcW w:w="1574" w:type="pct"/>
          </w:tcPr>
          <w:p w14:paraId="3B5B70C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630 to 659 calendar days</w:t>
            </w:r>
          </w:p>
        </w:tc>
        <w:tc>
          <w:tcPr>
            <w:tcW w:w="3426" w:type="pct"/>
          </w:tcPr>
          <w:p w14:paraId="3E026C9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7</w:t>
            </w:r>
          </w:p>
        </w:tc>
      </w:tr>
      <w:tr w:rsidR="00210D24" w:rsidRPr="00264AD9" w14:paraId="2ACF2995" w14:textId="77777777" w:rsidTr="005E6CEB">
        <w:trPr>
          <w:cantSplit/>
          <w:trHeight w:val="290"/>
          <w:tblHeader/>
          <w:jc w:val="center"/>
        </w:trPr>
        <w:tc>
          <w:tcPr>
            <w:tcW w:w="1574" w:type="pct"/>
          </w:tcPr>
          <w:p w14:paraId="6F94FD83"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660 to 689 calendar days</w:t>
            </w:r>
          </w:p>
        </w:tc>
        <w:tc>
          <w:tcPr>
            <w:tcW w:w="3426" w:type="pct"/>
          </w:tcPr>
          <w:p w14:paraId="41CE84F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w:t>
            </w:r>
          </w:p>
        </w:tc>
      </w:tr>
      <w:tr w:rsidR="00210D24" w:rsidRPr="00264AD9" w14:paraId="38F5FCDA" w14:textId="77777777" w:rsidTr="005E6CEB">
        <w:trPr>
          <w:cantSplit/>
          <w:trHeight w:val="290"/>
          <w:tblHeader/>
          <w:jc w:val="center"/>
        </w:trPr>
        <w:tc>
          <w:tcPr>
            <w:tcW w:w="1574" w:type="pct"/>
          </w:tcPr>
          <w:p w14:paraId="687B01A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690 to 719 calendar days</w:t>
            </w:r>
          </w:p>
        </w:tc>
        <w:tc>
          <w:tcPr>
            <w:tcW w:w="3426" w:type="pct"/>
          </w:tcPr>
          <w:p w14:paraId="51FB83A4"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11</w:t>
            </w:r>
          </w:p>
        </w:tc>
      </w:tr>
      <w:tr w:rsidR="00210D24" w:rsidRPr="00264AD9" w14:paraId="01844537" w14:textId="77777777" w:rsidTr="005E6CEB">
        <w:trPr>
          <w:cantSplit/>
          <w:trHeight w:val="302"/>
          <w:tblHeader/>
          <w:jc w:val="center"/>
        </w:trPr>
        <w:tc>
          <w:tcPr>
            <w:tcW w:w="1574" w:type="pct"/>
          </w:tcPr>
          <w:p w14:paraId="4FF1FB9B"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720 to 749 calendar days</w:t>
            </w:r>
          </w:p>
        </w:tc>
        <w:tc>
          <w:tcPr>
            <w:tcW w:w="3426" w:type="pct"/>
          </w:tcPr>
          <w:p w14:paraId="114E3CEF"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6</w:t>
            </w:r>
          </w:p>
        </w:tc>
      </w:tr>
      <w:tr w:rsidR="00210D24" w:rsidRPr="00264AD9" w14:paraId="1FD7A290" w14:textId="77777777" w:rsidTr="005E6CEB">
        <w:trPr>
          <w:cantSplit/>
          <w:trHeight w:val="290"/>
          <w:tblHeader/>
          <w:jc w:val="center"/>
        </w:trPr>
        <w:tc>
          <w:tcPr>
            <w:tcW w:w="1574" w:type="pct"/>
          </w:tcPr>
          <w:p w14:paraId="4A5FFEC9"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750 to 779 calendar days</w:t>
            </w:r>
          </w:p>
        </w:tc>
        <w:tc>
          <w:tcPr>
            <w:tcW w:w="3426" w:type="pct"/>
          </w:tcPr>
          <w:p w14:paraId="5FBE3A83"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2</w:t>
            </w:r>
          </w:p>
        </w:tc>
      </w:tr>
      <w:tr w:rsidR="00210D24" w:rsidRPr="00264AD9" w14:paraId="379B47EE" w14:textId="77777777" w:rsidTr="005E6CEB">
        <w:trPr>
          <w:cantSplit/>
          <w:trHeight w:val="290"/>
          <w:tblHeader/>
          <w:jc w:val="center"/>
        </w:trPr>
        <w:tc>
          <w:tcPr>
            <w:tcW w:w="1574" w:type="pct"/>
          </w:tcPr>
          <w:p w14:paraId="2E84222A"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780 to 809 calendar days</w:t>
            </w:r>
          </w:p>
        </w:tc>
        <w:tc>
          <w:tcPr>
            <w:tcW w:w="3426" w:type="pct"/>
          </w:tcPr>
          <w:p w14:paraId="1E1F7369"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w:t>
            </w:r>
          </w:p>
        </w:tc>
      </w:tr>
      <w:tr w:rsidR="00210D24" w:rsidRPr="00264AD9" w14:paraId="21CAE38C" w14:textId="77777777" w:rsidTr="005E6CEB">
        <w:trPr>
          <w:cantSplit/>
          <w:trHeight w:val="290"/>
          <w:tblHeader/>
          <w:jc w:val="center"/>
        </w:trPr>
        <w:tc>
          <w:tcPr>
            <w:tcW w:w="1574" w:type="pct"/>
          </w:tcPr>
          <w:p w14:paraId="5B23458F"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810 to 839 calendar days</w:t>
            </w:r>
          </w:p>
        </w:tc>
        <w:tc>
          <w:tcPr>
            <w:tcW w:w="3426" w:type="pct"/>
          </w:tcPr>
          <w:p w14:paraId="73305F74"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4</w:t>
            </w:r>
          </w:p>
        </w:tc>
      </w:tr>
      <w:tr w:rsidR="00210D24" w:rsidRPr="00264AD9" w14:paraId="48F75B7E" w14:textId="77777777" w:rsidTr="005E6CEB">
        <w:trPr>
          <w:cantSplit/>
          <w:trHeight w:val="290"/>
          <w:tblHeader/>
          <w:jc w:val="center"/>
        </w:trPr>
        <w:tc>
          <w:tcPr>
            <w:tcW w:w="1574" w:type="pct"/>
          </w:tcPr>
          <w:p w14:paraId="7F8835D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840 to 869 calendar days</w:t>
            </w:r>
          </w:p>
        </w:tc>
        <w:tc>
          <w:tcPr>
            <w:tcW w:w="3426" w:type="pct"/>
          </w:tcPr>
          <w:p w14:paraId="27858977"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0</w:t>
            </w:r>
          </w:p>
        </w:tc>
      </w:tr>
      <w:tr w:rsidR="00210D24" w:rsidRPr="00264AD9" w14:paraId="5EBFCD71" w14:textId="77777777" w:rsidTr="005E6CEB">
        <w:trPr>
          <w:cantSplit/>
          <w:trHeight w:val="290"/>
          <w:tblHeader/>
          <w:jc w:val="center"/>
        </w:trPr>
        <w:tc>
          <w:tcPr>
            <w:tcW w:w="1574" w:type="pct"/>
          </w:tcPr>
          <w:p w14:paraId="547DD2A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870 to 899 calendar days</w:t>
            </w:r>
          </w:p>
        </w:tc>
        <w:tc>
          <w:tcPr>
            <w:tcW w:w="3426" w:type="pct"/>
          </w:tcPr>
          <w:p w14:paraId="7A064CDE"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1</w:t>
            </w:r>
          </w:p>
        </w:tc>
      </w:tr>
      <w:tr w:rsidR="00210D24" w:rsidRPr="00264AD9" w14:paraId="4D0FCB7E" w14:textId="77777777" w:rsidTr="005E6CEB">
        <w:trPr>
          <w:cantSplit/>
          <w:trHeight w:val="290"/>
          <w:tblHeader/>
          <w:jc w:val="center"/>
        </w:trPr>
        <w:tc>
          <w:tcPr>
            <w:tcW w:w="1574" w:type="pct"/>
          </w:tcPr>
          <w:p w14:paraId="7F395E5C"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900 to 929 calendar days</w:t>
            </w:r>
          </w:p>
        </w:tc>
        <w:tc>
          <w:tcPr>
            <w:tcW w:w="3426" w:type="pct"/>
          </w:tcPr>
          <w:p w14:paraId="56E5E85B"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0</w:t>
            </w:r>
          </w:p>
        </w:tc>
      </w:tr>
      <w:tr w:rsidR="00210D24" w:rsidRPr="00264AD9" w14:paraId="5D1D5602" w14:textId="77777777" w:rsidTr="005E6CEB">
        <w:trPr>
          <w:cantSplit/>
          <w:trHeight w:val="290"/>
          <w:tblHeader/>
          <w:jc w:val="center"/>
        </w:trPr>
        <w:tc>
          <w:tcPr>
            <w:tcW w:w="1574" w:type="pct"/>
          </w:tcPr>
          <w:p w14:paraId="71FE71D8"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930 to 959 calendar days</w:t>
            </w:r>
          </w:p>
        </w:tc>
        <w:tc>
          <w:tcPr>
            <w:tcW w:w="3426" w:type="pct"/>
          </w:tcPr>
          <w:p w14:paraId="496259D6"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0</w:t>
            </w:r>
          </w:p>
        </w:tc>
      </w:tr>
      <w:tr w:rsidR="00210D24" w:rsidRPr="00264AD9" w14:paraId="68448080" w14:textId="77777777" w:rsidTr="005E6CEB">
        <w:trPr>
          <w:cantSplit/>
          <w:trHeight w:val="290"/>
          <w:tblHeader/>
          <w:jc w:val="center"/>
        </w:trPr>
        <w:tc>
          <w:tcPr>
            <w:tcW w:w="1574" w:type="pct"/>
          </w:tcPr>
          <w:p w14:paraId="497980D0"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960 to 989 calendar days</w:t>
            </w:r>
          </w:p>
        </w:tc>
        <w:tc>
          <w:tcPr>
            <w:tcW w:w="3426" w:type="pct"/>
          </w:tcPr>
          <w:p w14:paraId="554F8F97"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0</w:t>
            </w:r>
          </w:p>
        </w:tc>
      </w:tr>
      <w:tr w:rsidR="00210D24" w:rsidRPr="00264AD9" w14:paraId="52BF12F8" w14:textId="77777777" w:rsidTr="005E6CEB">
        <w:trPr>
          <w:cantSplit/>
          <w:trHeight w:val="290"/>
          <w:tblHeader/>
          <w:jc w:val="center"/>
        </w:trPr>
        <w:tc>
          <w:tcPr>
            <w:tcW w:w="1574" w:type="pct"/>
          </w:tcPr>
          <w:p w14:paraId="270296E1" w14:textId="77777777" w:rsidR="00210D24" w:rsidRPr="005E6CEB" w:rsidRDefault="00210D24" w:rsidP="008C7A1D">
            <w:pPr>
              <w:autoSpaceDE w:val="0"/>
              <w:autoSpaceDN w:val="0"/>
              <w:adjustRightInd w:val="0"/>
              <w:rPr>
                <w:rFonts w:asciiTheme="minorHAnsi" w:hAnsiTheme="minorHAnsi" w:cstheme="minorHAnsi"/>
                <w:sz w:val="22"/>
                <w:szCs w:val="22"/>
                <w:lang w:val="en-CA"/>
              </w:rPr>
            </w:pPr>
            <w:r w:rsidRPr="005E6CEB">
              <w:rPr>
                <w:rFonts w:asciiTheme="minorHAnsi" w:hAnsiTheme="minorHAnsi" w:cstheme="minorHAnsi"/>
                <w:sz w:val="22"/>
                <w:szCs w:val="22"/>
                <w:lang w:val="en-CA"/>
              </w:rPr>
              <w:t>More than 990 calendar days</w:t>
            </w:r>
          </w:p>
        </w:tc>
        <w:tc>
          <w:tcPr>
            <w:tcW w:w="3426" w:type="pct"/>
          </w:tcPr>
          <w:p w14:paraId="2962EA31" w14:textId="77777777" w:rsidR="00210D24" w:rsidRPr="005E6CEB" w:rsidRDefault="00210D24" w:rsidP="008C7A1D">
            <w:pPr>
              <w:autoSpaceDE w:val="0"/>
              <w:autoSpaceDN w:val="0"/>
              <w:adjustRightInd w:val="0"/>
              <w:jc w:val="center"/>
              <w:rPr>
                <w:rFonts w:asciiTheme="minorHAnsi" w:hAnsiTheme="minorHAnsi" w:cstheme="minorHAnsi"/>
                <w:sz w:val="22"/>
                <w:szCs w:val="22"/>
                <w:lang w:val="en-CA"/>
              </w:rPr>
            </w:pPr>
            <w:r w:rsidRPr="005E6CEB">
              <w:rPr>
                <w:rFonts w:asciiTheme="minorHAnsi" w:hAnsiTheme="minorHAnsi" w:cstheme="minorHAnsi"/>
                <w:sz w:val="22"/>
                <w:szCs w:val="22"/>
                <w:lang w:val="en-CA"/>
              </w:rPr>
              <w:t>0</w:t>
            </w:r>
          </w:p>
        </w:tc>
      </w:tr>
    </w:tbl>
    <w:p w14:paraId="054C732A" w14:textId="4E4F0BDB" w:rsidR="00210D24" w:rsidRDefault="00210D24" w:rsidP="00264AD9">
      <w:pPr>
        <w:rPr>
          <w:rFonts w:ascii="Segoe UI" w:hAnsi="Segoe UI" w:cs="Segoe UI"/>
          <w:b/>
          <w:bCs/>
          <w:szCs w:val="24"/>
          <w:lang w:val="en-CA"/>
        </w:rPr>
        <w:sectPr w:rsidR="00210D24" w:rsidSect="00950460">
          <w:pgSz w:w="12240" w:h="15840" w:code="1"/>
          <w:pgMar w:top="720" w:right="720" w:bottom="720" w:left="720" w:header="709" w:footer="284" w:gutter="0"/>
          <w:cols w:space="708"/>
          <w:titlePg/>
          <w:docGrid w:linePitch="360"/>
        </w:sectPr>
      </w:pPr>
    </w:p>
    <w:p w14:paraId="4D2187A0" w14:textId="77777777" w:rsidR="00611B4A" w:rsidRPr="00611B4A" w:rsidRDefault="00611B4A" w:rsidP="00611B4A">
      <w:pPr>
        <w:pStyle w:val="Heading1"/>
        <w:spacing w:after="120"/>
      </w:pPr>
      <w:r w:rsidRPr="00611B4A">
        <w:lastRenderedPageBreak/>
        <w:t>Technical notes:</w:t>
      </w:r>
    </w:p>
    <w:p w14:paraId="1A5CEEA0" w14:textId="77777777" w:rsidR="00611B4A" w:rsidRPr="00C00E99" w:rsidRDefault="00611B4A" w:rsidP="00611B4A">
      <w:pPr>
        <w:pStyle w:val="ListParagraph"/>
        <w:numPr>
          <w:ilvl w:val="0"/>
          <w:numId w:val="61"/>
        </w:numPr>
        <w:spacing w:after="0"/>
        <w:rPr>
          <w:rFonts w:asciiTheme="minorHAnsi" w:hAnsiTheme="minorHAnsi" w:cstheme="minorHAnsi"/>
          <w:sz w:val="22"/>
          <w:szCs w:val="22"/>
        </w:rPr>
      </w:pPr>
      <w:r w:rsidRPr="00C00E99">
        <w:rPr>
          <w:rFonts w:asciiTheme="minorHAnsi" w:hAnsiTheme="minorHAnsi" w:cstheme="minorHAnsi"/>
          <w:sz w:val="22"/>
          <w:szCs w:val="22"/>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7A3B405F" w14:textId="77777777" w:rsidR="00611B4A" w:rsidRPr="00C00E99" w:rsidRDefault="00611B4A" w:rsidP="00611B4A">
      <w:pPr>
        <w:pStyle w:val="ListParagraph"/>
        <w:numPr>
          <w:ilvl w:val="0"/>
          <w:numId w:val="61"/>
        </w:numPr>
        <w:spacing w:after="0"/>
        <w:rPr>
          <w:rFonts w:asciiTheme="minorHAnsi" w:hAnsiTheme="minorHAnsi" w:cstheme="minorHAnsi"/>
          <w:sz w:val="22"/>
          <w:szCs w:val="22"/>
        </w:rPr>
      </w:pPr>
      <w:r w:rsidRPr="00C00E99">
        <w:rPr>
          <w:rFonts w:asciiTheme="minorHAnsi" w:hAnsiTheme="minorHAnsi" w:cstheme="minorHAnsi"/>
          <w:sz w:val="22"/>
          <w:szCs w:val="22"/>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C00E99">
        <w:rPr>
          <w:rStyle w:val="Emphasis"/>
          <w:rFonts w:asciiTheme="minorHAnsi" w:hAnsiTheme="minorHAnsi" w:cstheme="minorHAnsi"/>
          <w:szCs w:val="18"/>
        </w:rPr>
        <w:t>Public Service Employment Act</w:t>
      </w:r>
      <w:r w:rsidRPr="00C00E99">
        <w:rPr>
          <w:rFonts w:asciiTheme="minorHAnsi" w:hAnsiTheme="minorHAnsi" w:cstheme="minorHAnsi"/>
          <w:sz w:val="20"/>
        </w:rPr>
        <w:t xml:space="preserve"> </w:t>
      </w:r>
      <w:r w:rsidRPr="00C00E99">
        <w:rPr>
          <w:rFonts w:asciiTheme="minorHAnsi" w:hAnsiTheme="minorHAnsi" w:cstheme="minorHAnsi"/>
          <w:sz w:val="22"/>
          <w:szCs w:val="22"/>
        </w:rPr>
        <w:t>for term and indeterminate positions. Because data between systems is linked using a probabilistic match, errors in data linkage are a potential source of measurement error.</w:t>
      </w:r>
    </w:p>
    <w:p w14:paraId="4E216AF5" w14:textId="77777777" w:rsidR="00611B4A" w:rsidRPr="00C00E99" w:rsidRDefault="00611B4A" w:rsidP="00611B4A">
      <w:pPr>
        <w:pStyle w:val="ListParagraph"/>
        <w:numPr>
          <w:ilvl w:val="0"/>
          <w:numId w:val="61"/>
        </w:numPr>
        <w:spacing w:after="120"/>
        <w:rPr>
          <w:rFonts w:asciiTheme="minorHAnsi" w:hAnsiTheme="minorHAnsi" w:cstheme="minorHAnsi"/>
          <w:sz w:val="22"/>
          <w:szCs w:val="22"/>
        </w:rPr>
      </w:pPr>
      <w:r w:rsidRPr="00C00E99">
        <w:rPr>
          <w:rFonts w:asciiTheme="minorHAnsi" w:hAnsiTheme="minorHAnsi" w:cstheme="minorHAnsi"/>
          <w:sz w:val="22"/>
          <w:szCs w:val="22"/>
        </w:rPr>
        <w:t xml:space="preserve">Only estimated term and indeterminate appointments/notifications are included (deployments, casual and acting appointments are excluded). </w:t>
      </w:r>
    </w:p>
    <w:p w14:paraId="731108F3" w14:textId="77777777" w:rsidR="00611B4A" w:rsidRPr="00D43E1F" w:rsidRDefault="00611B4A" w:rsidP="00611B4A">
      <w:pPr>
        <w:pStyle w:val="Heading1"/>
        <w:spacing w:after="120"/>
      </w:pPr>
      <w:r w:rsidRPr="00D43E1F">
        <w:t>Sources:</w:t>
      </w:r>
    </w:p>
    <w:p w14:paraId="6F914B36"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33FF370D"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Information from the Priority Information Management System and the Public Services Resourcing System is also used to determine if staffing actions are advertised or non-advertised as well as for calculating time to staff.</w:t>
      </w:r>
    </w:p>
    <w:p w14:paraId="60EFBEDE"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The data are not expected to match an organization’s human resources data, due to methodology and timing differences.</w:t>
      </w:r>
    </w:p>
    <w:p w14:paraId="687A3FFC"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34F5919F"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Only estimated term and indeterminate appointments/notifications are included (deployments, casual and acting appointments are excluded)</w:t>
      </w:r>
    </w:p>
    <w:p w14:paraId="4BE049E4"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C00E99">
        <w:rPr>
          <w:rStyle w:val="Emphasis"/>
          <w:rFonts w:asciiTheme="minorHAnsi" w:hAnsiTheme="minorHAnsi" w:cstheme="minorHAnsi"/>
          <w:szCs w:val="18"/>
        </w:rPr>
        <w:t>Public Service Employment Act</w:t>
      </w:r>
      <w:r w:rsidRPr="00C00E99">
        <w:rPr>
          <w:rFonts w:asciiTheme="minorHAnsi" w:hAnsiTheme="minorHAnsi" w:cstheme="minorHAnsi"/>
          <w:sz w:val="22"/>
          <w:szCs w:val="22"/>
        </w:rPr>
        <w:t xml:space="preserve"> for term and indeterminate positions. Only estimated term and indeterminate appointments/notifications are included (deployments, casual and acting appointments are excluded)</w:t>
      </w:r>
    </w:p>
    <w:p w14:paraId="767F9474"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Because data between systems is linked using a probabilistic match, errors in data linkage are a potential source of measurement error</w:t>
      </w:r>
    </w:p>
    <w:p w14:paraId="1DCB738B"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 xml:space="preserve">Hiring and staffing activities data are derived from information received from the Treasury Board of Canada Secretariat Incumbent File.  The Incumbent File is extracted from the Public Services and </w:t>
      </w:r>
      <w:r w:rsidRPr="00C00E99">
        <w:rPr>
          <w:rFonts w:asciiTheme="minorHAnsi" w:hAnsiTheme="minorHAnsi" w:cstheme="minorHAnsi"/>
          <w:sz w:val="22"/>
          <w:szCs w:val="22"/>
        </w:rPr>
        <w:lastRenderedPageBreak/>
        <w:t>Procurement Canada’s pay system.  The data constitutes an estimate of hiring and staffing activities to and within organizations.</w:t>
      </w:r>
    </w:p>
    <w:p w14:paraId="211C60E2"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Information from the Priority Information Management System and the Public Services Resourcing System is also used to determine if staffing actions are advertised or non-advertised as well as for calculating time to staff.</w:t>
      </w:r>
    </w:p>
    <w:p w14:paraId="58BD7938" w14:textId="77777777" w:rsidR="00611B4A" w:rsidRPr="00C00E99" w:rsidRDefault="00611B4A" w:rsidP="00611B4A">
      <w:pPr>
        <w:pStyle w:val="ListParagraph"/>
        <w:numPr>
          <w:ilvl w:val="0"/>
          <w:numId w:val="42"/>
        </w:numPr>
        <w:tabs>
          <w:tab w:val="clear" w:pos="720"/>
          <w:tab w:val="num" w:pos="360"/>
        </w:tabs>
        <w:spacing w:after="0"/>
        <w:ind w:left="360"/>
        <w:rPr>
          <w:rFonts w:asciiTheme="minorHAnsi" w:hAnsiTheme="minorHAnsi" w:cstheme="minorHAnsi"/>
          <w:sz w:val="22"/>
          <w:szCs w:val="22"/>
        </w:rPr>
      </w:pPr>
      <w:r w:rsidRPr="00C00E99">
        <w:rPr>
          <w:rFonts w:asciiTheme="minorHAnsi" w:hAnsiTheme="minorHAnsi" w:cstheme="minorHAnsi"/>
          <w:sz w:val="22"/>
          <w:szCs w:val="22"/>
        </w:rPr>
        <w:t>The data are not expected to match an organization’s human resources data, due to methodology and timing differences.</w:t>
      </w:r>
    </w:p>
    <w:sectPr w:rsidR="00611B4A" w:rsidRPr="00C00E99" w:rsidSect="00235799">
      <w:footerReference w:type="first" r:id="rId26"/>
      <w:pgSz w:w="12240" w:h="15840"/>
      <w:pgMar w:top="1440" w:right="1080" w:bottom="1440" w:left="108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14F28" w14:textId="77777777" w:rsidR="009B7AD3" w:rsidRDefault="009B7AD3" w:rsidP="0051557E">
      <w:r>
        <w:separator/>
      </w:r>
    </w:p>
  </w:endnote>
  <w:endnote w:type="continuationSeparator" w:id="0">
    <w:p w14:paraId="726B0455" w14:textId="77777777" w:rsidR="009B7AD3" w:rsidRDefault="009B7AD3"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174747"/>
      <w:docPartObj>
        <w:docPartGallery w:val="Page Numbers (Bottom of Page)"/>
        <w:docPartUnique/>
      </w:docPartObj>
    </w:sdtPr>
    <w:sdtEndPr/>
    <w:sdtContent>
      <w:p w14:paraId="5DA552A6" w14:textId="5894193E" w:rsidR="003864AA" w:rsidRDefault="003864AA">
        <w:pPr>
          <w:pStyle w:val="Footer"/>
        </w:pPr>
        <w:r>
          <w:fldChar w:fldCharType="begin"/>
        </w:r>
        <w:r>
          <w:instrText>PAGE   \* MERGEFORMAT</w:instrText>
        </w:r>
        <w:r>
          <w:fldChar w:fldCharType="separate"/>
        </w:r>
        <w:r>
          <w:rPr>
            <w:lang w:val="fr-F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074236"/>
      <w:docPartObj>
        <w:docPartGallery w:val="Page Numbers (Bottom of Page)"/>
        <w:docPartUnique/>
      </w:docPartObj>
    </w:sdtPr>
    <w:sdtEndPr/>
    <w:sdtContent>
      <w:p w14:paraId="215FAF00" w14:textId="3B28A1EA" w:rsidR="003864AA" w:rsidRDefault="003864AA">
        <w:pPr>
          <w:pStyle w:val="Footer"/>
        </w:pPr>
        <w:r>
          <w:fldChar w:fldCharType="begin"/>
        </w:r>
        <w:r>
          <w:instrText>PAGE   \* MERGEFORMAT</w:instrText>
        </w:r>
        <w:r>
          <w:fldChar w:fldCharType="separate"/>
        </w:r>
        <w:r>
          <w:rPr>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34299"/>
      <w:docPartObj>
        <w:docPartGallery w:val="Page Numbers (Bottom of Page)"/>
        <w:docPartUnique/>
      </w:docPartObj>
    </w:sdtPr>
    <w:sdtEndPr/>
    <w:sdtContent>
      <w:p w14:paraId="77E03F3E" w14:textId="77777777" w:rsidR="003864AA" w:rsidRDefault="003864AA">
        <w:pPr>
          <w:pStyle w:val="Footer"/>
        </w:pPr>
        <w:r>
          <w:fldChar w:fldCharType="begin"/>
        </w:r>
        <w:r>
          <w:instrText>PAGE   \* MERGEFORMAT</w:instrText>
        </w:r>
        <w:r>
          <w:fldChar w:fldCharType="separate"/>
        </w:r>
        <w:r>
          <w:rPr>
            <w:lang w:val="fr-FR"/>
          </w:rPr>
          <w:t>2</w:t>
        </w:r>
        <w:r>
          <w:fldChar w:fldCharType="end"/>
        </w:r>
      </w:p>
    </w:sdtContent>
  </w:sdt>
  <w:p w14:paraId="70E72EEC" w14:textId="77777777" w:rsidR="003864AA" w:rsidRPr="00CF4572" w:rsidRDefault="003864AA" w:rsidP="0022695A">
    <w:pPr>
      <w:pStyle w:val="Footer"/>
      <w:jc w:val="cen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0476" w14:textId="77777777" w:rsidR="009B7AD3" w:rsidRDefault="009B7AD3" w:rsidP="0051557E">
      <w:r>
        <w:separator/>
      </w:r>
    </w:p>
  </w:footnote>
  <w:footnote w:type="continuationSeparator" w:id="0">
    <w:p w14:paraId="7A230002" w14:textId="77777777" w:rsidR="009B7AD3" w:rsidRDefault="009B7AD3" w:rsidP="0051557E">
      <w:r>
        <w:continuationSeparator/>
      </w:r>
    </w:p>
  </w:footnote>
  <w:footnote w:id="1">
    <w:p w14:paraId="4C77D125" w14:textId="45CE4EDE" w:rsidR="003864AA" w:rsidRPr="004F1ED3" w:rsidRDefault="003864AA" w:rsidP="00221199">
      <w:pPr>
        <w:pStyle w:val="FootnoteText"/>
        <w:rPr>
          <w:rFonts w:ascii="Segoe UI Semilight" w:hAnsi="Segoe UI Semilight" w:cs="Segoe UI Semilight"/>
          <w:lang w:val="en-CA"/>
        </w:rPr>
      </w:pPr>
      <w:r w:rsidRPr="004F1ED3">
        <w:rPr>
          <w:rStyle w:val="FootnoteReference"/>
          <w:rFonts w:ascii="Segoe UI Semilight" w:hAnsi="Segoe UI Semilight" w:cs="Segoe UI Semilight"/>
        </w:rPr>
        <w:footnoteRef/>
      </w:r>
      <w:r w:rsidRPr="004F1ED3">
        <w:rPr>
          <w:rFonts w:ascii="Segoe UI Semilight" w:hAnsi="Segoe UI Semilight" w:cs="Segoe UI Semilight"/>
        </w:rPr>
        <w:t xml:space="preserve"> </w:t>
      </w:r>
      <w:r w:rsidRPr="004F1ED3">
        <w:rPr>
          <w:rFonts w:ascii="Segoe UI Semilight" w:hAnsi="Segoe UI Semilight" w:cs="Segoe UI Semilight"/>
          <w:lang w:val="en-CA"/>
        </w:rPr>
        <w:t>As of July 31, 2020</w:t>
      </w:r>
    </w:p>
  </w:footnote>
  <w:footnote w:id="2">
    <w:p w14:paraId="2B9F5175" w14:textId="238C9518" w:rsidR="003864AA" w:rsidRPr="004F1ED3" w:rsidRDefault="003864AA" w:rsidP="00221199">
      <w:pPr>
        <w:pStyle w:val="FootnoteText"/>
        <w:rPr>
          <w:rFonts w:ascii="Segoe UI Semilight" w:hAnsi="Segoe UI Semilight" w:cs="Segoe UI Semilight"/>
          <w:lang w:val="en-CA"/>
        </w:rPr>
      </w:pPr>
      <w:r w:rsidRPr="004F1ED3">
        <w:rPr>
          <w:rStyle w:val="FootnoteReference"/>
          <w:rFonts w:ascii="Segoe UI Semilight" w:hAnsi="Segoe UI Semilight" w:cs="Segoe UI Semilight"/>
        </w:rPr>
        <w:footnoteRef/>
      </w:r>
      <w:r w:rsidRPr="004F1ED3">
        <w:rPr>
          <w:rFonts w:ascii="Segoe UI Semilight" w:hAnsi="Segoe UI Semilight" w:cs="Segoe UI Semilight"/>
          <w:lang w:val="en-CA"/>
        </w:rPr>
        <w:t xml:space="preserve"> As of July 31, 2020</w:t>
      </w:r>
    </w:p>
  </w:footnote>
  <w:footnote w:id="3">
    <w:p w14:paraId="1A04C741" w14:textId="77777777" w:rsidR="003864AA" w:rsidRPr="00A21E06" w:rsidRDefault="003864AA" w:rsidP="00221199">
      <w:pPr>
        <w:pStyle w:val="FootnoteText"/>
        <w:rPr>
          <w:lang w:val="fr-CA"/>
        </w:rPr>
      </w:pPr>
      <w:r w:rsidRPr="004F1ED3">
        <w:rPr>
          <w:rStyle w:val="FootnoteReference"/>
          <w:rFonts w:ascii="Segoe UI Semilight" w:hAnsi="Segoe UI Semilight" w:cs="Segoe UI Semilight"/>
        </w:rPr>
        <w:footnoteRef/>
      </w:r>
      <w:r w:rsidRPr="004F1ED3">
        <w:rPr>
          <w:rFonts w:ascii="Segoe UI Semilight" w:hAnsi="Segoe UI Semilight" w:cs="Segoe UI Semilight"/>
        </w:rPr>
        <w:t xml:space="preserve"> </w:t>
      </w:r>
      <w:r w:rsidRPr="004F1ED3">
        <w:rPr>
          <w:rFonts w:ascii="Segoe UI Semilight" w:hAnsi="Segoe UI Semilight" w:cs="Segoe UI Semilight"/>
          <w:lang w:val="fr-CA"/>
        </w:rPr>
        <w:t>As of May 31,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E8D7" w14:textId="77777777" w:rsidR="003864AA" w:rsidRDefault="003864AA" w:rsidP="007378D3">
    <w:pPr>
      <w:pStyle w:val="Header"/>
      <w:tabs>
        <w:tab w:val="clear" w:pos="4680"/>
        <w:tab w:val="clear" w:pos="9360"/>
        <w:tab w:val="left" w:pos="1200"/>
        <w:tab w:val="left" w:pos="38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E857BD"/>
    <w:multiLevelType w:val="hybridMultilevel"/>
    <w:tmpl w:val="66C887B2"/>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060F70"/>
    <w:multiLevelType w:val="hybridMultilevel"/>
    <w:tmpl w:val="ECE6F15A"/>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87178"/>
    <w:multiLevelType w:val="hybridMultilevel"/>
    <w:tmpl w:val="48042F4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B04C32"/>
    <w:multiLevelType w:val="hybridMultilevel"/>
    <w:tmpl w:val="A2483BE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1E60B4"/>
    <w:multiLevelType w:val="hybridMultilevel"/>
    <w:tmpl w:val="65ACF818"/>
    <w:lvl w:ilvl="0" w:tplc="E084BEB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870344"/>
    <w:multiLevelType w:val="hybridMultilevel"/>
    <w:tmpl w:val="527853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5A1A07"/>
    <w:multiLevelType w:val="hybridMultilevel"/>
    <w:tmpl w:val="5BF4F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82312D"/>
    <w:multiLevelType w:val="hybridMultilevel"/>
    <w:tmpl w:val="70C84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4C4C07"/>
    <w:multiLevelType w:val="hybridMultilevel"/>
    <w:tmpl w:val="D916B55E"/>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BD32ED"/>
    <w:multiLevelType w:val="hybridMultilevel"/>
    <w:tmpl w:val="90C8C3F2"/>
    <w:lvl w:ilvl="0" w:tplc="4858B44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D740B1"/>
    <w:multiLevelType w:val="multilevel"/>
    <w:tmpl w:val="EB68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0252F"/>
    <w:multiLevelType w:val="hybridMultilevel"/>
    <w:tmpl w:val="8DD81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BA146D"/>
    <w:multiLevelType w:val="hybridMultilevel"/>
    <w:tmpl w:val="0C300892"/>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5D155A"/>
    <w:multiLevelType w:val="hybridMultilevel"/>
    <w:tmpl w:val="84E84BC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D0C5E5E"/>
    <w:multiLevelType w:val="hybridMultilevel"/>
    <w:tmpl w:val="FB0C997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1E446C2"/>
    <w:multiLevelType w:val="hybridMultilevel"/>
    <w:tmpl w:val="7E840B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25C3284"/>
    <w:multiLevelType w:val="hybridMultilevel"/>
    <w:tmpl w:val="40DC9C7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328567CB"/>
    <w:multiLevelType w:val="hybridMultilevel"/>
    <w:tmpl w:val="6DB42C0E"/>
    <w:lvl w:ilvl="0" w:tplc="CE5C5B68">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8445937"/>
    <w:multiLevelType w:val="hybridMultilevel"/>
    <w:tmpl w:val="7B12BEA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8F8358A"/>
    <w:multiLevelType w:val="hybridMultilevel"/>
    <w:tmpl w:val="476A1A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5D3BE7"/>
    <w:multiLevelType w:val="hybridMultilevel"/>
    <w:tmpl w:val="A5984E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E777729"/>
    <w:multiLevelType w:val="hybridMultilevel"/>
    <w:tmpl w:val="DE52AB2A"/>
    <w:lvl w:ilvl="0" w:tplc="10090001">
      <w:start w:val="1"/>
      <w:numFmt w:val="bullet"/>
      <w:lvlText w:val=""/>
      <w:lvlJc w:val="left"/>
      <w:pPr>
        <w:ind w:left="426" w:hanging="360"/>
      </w:pPr>
      <w:rPr>
        <w:rFonts w:ascii="Symbol" w:hAnsi="Symbol" w:hint="default"/>
      </w:rPr>
    </w:lvl>
    <w:lvl w:ilvl="1" w:tplc="DE46A3A6">
      <w:numFmt w:val="bullet"/>
      <w:lvlText w:val="•"/>
      <w:lvlJc w:val="left"/>
      <w:pPr>
        <w:ind w:left="1506" w:hanging="720"/>
      </w:pPr>
      <w:rPr>
        <w:rFonts w:ascii="Segoe UI Semilight" w:eastAsia="Times New Roman" w:hAnsi="Segoe UI Semilight" w:cs="Segoe UI Semilight" w:hint="default"/>
      </w:rPr>
    </w:lvl>
    <w:lvl w:ilvl="2" w:tplc="10090005" w:tentative="1">
      <w:start w:val="1"/>
      <w:numFmt w:val="bullet"/>
      <w:lvlText w:val=""/>
      <w:lvlJc w:val="left"/>
      <w:pPr>
        <w:ind w:left="1866" w:hanging="360"/>
      </w:pPr>
      <w:rPr>
        <w:rFonts w:ascii="Wingdings" w:hAnsi="Wingdings" w:hint="default"/>
      </w:rPr>
    </w:lvl>
    <w:lvl w:ilvl="3" w:tplc="10090001" w:tentative="1">
      <w:start w:val="1"/>
      <w:numFmt w:val="bullet"/>
      <w:lvlText w:val=""/>
      <w:lvlJc w:val="left"/>
      <w:pPr>
        <w:ind w:left="2586" w:hanging="360"/>
      </w:pPr>
      <w:rPr>
        <w:rFonts w:ascii="Symbol" w:hAnsi="Symbol" w:hint="default"/>
      </w:rPr>
    </w:lvl>
    <w:lvl w:ilvl="4" w:tplc="10090003" w:tentative="1">
      <w:start w:val="1"/>
      <w:numFmt w:val="bullet"/>
      <w:lvlText w:val="o"/>
      <w:lvlJc w:val="left"/>
      <w:pPr>
        <w:ind w:left="3306" w:hanging="360"/>
      </w:pPr>
      <w:rPr>
        <w:rFonts w:ascii="Courier New" w:hAnsi="Courier New" w:cs="Courier New" w:hint="default"/>
      </w:rPr>
    </w:lvl>
    <w:lvl w:ilvl="5" w:tplc="10090005" w:tentative="1">
      <w:start w:val="1"/>
      <w:numFmt w:val="bullet"/>
      <w:lvlText w:val=""/>
      <w:lvlJc w:val="left"/>
      <w:pPr>
        <w:ind w:left="4026" w:hanging="360"/>
      </w:pPr>
      <w:rPr>
        <w:rFonts w:ascii="Wingdings" w:hAnsi="Wingdings" w:hint="default"/>
      </w:rPr>
    </w:lvl>
    <w:lvl w:ilvl="6" w:tplc="10090001" w:tentative="1">
      <w:start w:val="1"/>
      <w:numFmt w:val="bullet"/>
      <w:lvlText w:val=""/>
      <w:lvlJc w:val="left"/>
      <w:pPr>
        <w:ind w:left="4746" w:hanging="360"/>
      </w:pPr>
      <w:rPr>
        <w:rFonts w:ascii="Symbol" w:hAnsi="Symbol" w:hint="default"/>
      </w:rPr>
    </w:lvl>
    <w:lvl w:ilvl="7" w:tplc="10090003" w:tentative="1">
      <w:start w:val="1"/>
      <w:numFmt w:val="bullet"/>
      <w:lvlText w:val="o"/>
      <w:lvlJc w:val="left"/>
      <w:pPr>
        <w:ind w:left="5466" w:hanging="360"/>
      </w:pPr>
      <w:rPr>
        <w:rFonts w:ascii="Courier New" w:hAnsi="Courier New" w:cs="Courier New" w:hint="default"/>
      </w:rPr>
    </w:lvl>
    <w:lvl w:ilvl="8" w:tplc="10090005" w:tentative="1">
      <w:start w:val="1"/>
      <w:numFmt w:val="bullet"/>
      <w:lvlText w:val=""/>
      <w:lvlJc w:val="left"/>
      <w:pPr>
        <w:ind w:left="6186" w:hanging="360"/>
      </w:pPr>
      <w:rPr>
        <w:rFonts w:ascii="Wingdings" w:hAnsi="Wingdings" w:hint="default"/>
      </w:rPr>
    </w:lvl>
  </w:abstractNum>
  <w:abstractNum w:abstractNumId="38" w15:restartNumberingAfterBreak="0">
    <w:nsid w:val="51E03E94"/>
    <w:multiLevelType w:val="hybridMultilevel"/>
    <w:tmpl w:val="CDB8B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6276A78"/>
    <w:multiLevelType w:val="hybridMultilevel"/>
    <w:tmpl w:val="7FF8DBD6"/>
    <w:lvl w:ilvl="0" w:tplc="10090003">
      <w:start w:val="1"/>
      <w:numFmt w:val="bullet"/>
      <w:lvlText w:val="o"/>
      <w:lvlJc w:val="left"/>
      <w:pPr>
        <w:ind w:left="1080" w:hanging="360"/>
      </w:pPr>
      <w:rPr>
        <w:rFonts w:ascii="Courier New" w:hAnsi="Courier New" w:cs="Courier New"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58D64185"/>
    <w:multiLevelType w:val="hybridMultilevel"/>
    <w:tmpl w:val="7D849D56"/>
    <w:lvl w:ilvl="0" w:tplc="10090001">
      <w:start w:val="1"/>
      <w:numFmt w:val="bullet"/>
      <w:lvlText w:val=""/>
      <w:lvlJc w:val="left"/>
      <w:pPr>
        <w:ind w:left="426" w:hanging="360"/>
      </w:pPr>
      <w:rPr>
        <w:rFonts w:ascii="Symbol" w:hAnsi="Symbol" w:hint="default"/>
      </w:rPr>
    </w:lvl>
    <w:lvl w:ilvl="1" w:tplc="10090003">
      <w:start w:val="1"/>
      <w:numFmt w:val="bullet"/>
      <w:lvlText w:val="o"/>
      <w:lvlJc w:val="left"/>
      <w:pPr>
        <w:ind w:left="1146" w:hanging="360"/>
      </w:pPr>
      <w:rPr>
        <w:rFonts w:ascii="Courier New" w:hAnsi="Courier New" w:cs="Courier New" w:hint="default"/>
      </w:rPr>
    </w:lvl>
    <w:lvl w:ilvl="2" w:tplc="10090005">
      <w:start w:val="1"/>
      <w:numFmt w:val="bullet"/>
      <w:lvlText w:val=""/>
      <w:lvlJc w:val="left"/>
      <w:pPr>
        <w:ind w:left="1866" w:hanging="360"/>
      </w:pPr>
      <w:rPr>
        <w:rFonts w:ascii="Wingdings" w:hAnsi="Wingdings" w:hint="default"/>
      </w:rPr>
    </w:lvl>
    <w:lvl w:ilvl="3" w:tplc="10090001">
      <w:start w:val="1"/>
      <w:numFmt w:val="bullet"/>
      <w:lvlText w:val=""/>
      <w:lvlJc w:val="left"/>
      <w:pPr>
        <w:ind w:left="2586" w:hanging="360"/>
      </w:pPr>
      <w:rPr>
        <w:rFonts w:ascii="Symbol" w:hAnsi="Symbol" w:hint="default"/>
      </w:rPr>
    </w:lvl>
    <w:lvl w:ilvl="4" w:tplc="10090003" w:tentative="1">
      <w:start w:val="1"/>
      <w:numFmt w:val="bullet"/>
      <w:lvlText w:val="o"/>
      <w:lvlJc w:val="left"/>
      <w:pPr>
        <w:ind w:left="3306" w:hanging="360"/>
      </w:pPr>
      <w:rPr>
        <w:rFonts w:ascii="Courier New" w:hAnsi="Courier New" w:cs="Courier New" w:hint="default"/>
      </w:rPr>
    </w:lvl>
    <w:lvl w:ilvl="5" w:tplc="10090005" w:tentative="1">
      <w:start w:val="1"/>
      <w:numFmt w:val="bullet"/>
      <w:lvlText w:val=""/>
      <w:lvlJc w:val="left"/>
      <w:pPr>
        <w:ind w:left="4026" w:hanging="360"/>
      </w:pPr>
      <w:rPr>
        <w:rFonts w:ascii="Wingdings" w:hAnsi="Wingdings" w:hint="default"/>
      </w:rPr>
    </w:lvl>
    <w:lvl w:ilvl="6" w:tplc="10090001" w:tentative="1">
      <w:start w:val="1"/>
      <w:numFmt w:val="bullet"/>
      <w:lvlText w:val=""/>
      <w:lvlJc w:val="left"/>
      <w:pPr>
        <w:ind w:left="4746" w:hanging="360"/>
      </w:pPr>
      <w:rPr>
        <w:rFonts w:ascii="Symbol" w:hAnsi="Symbol" w:hint="default"/>
      </w:rPr>
    </w:lvl>
    <w:lvl w:ilvl="7" w:tplc="10090003" w:tentative="1">
      <w:start w:val="1"/>
      <w:numFmt w:val="bullet"/>
      <w:lvlText w:val="o"/>
      <w:lvlJc w:val="left"/>
      <w:pPr>
        <w:ind w:left="5466" w:hanging="360"/>
      </w:pPr>
      <w:rPr>
        <w:rFonts w:ascii="Courier New" w:hAnsi="Courier New" w:cs="Courier New" w:hint="default"/>
      </w:rPr>
    </w:lvl>
    <w:lvl w:ilvl="8" w:tplc="10090005" w:tentative="1">
      <w:start w:val="1"/>
      <w:numFmt w:val="bullet"/>
      <w:lvlText w:val=""/>
      <w:lvlJc w:val="left"/>
      <w:pPr>
        <w:ind w:left="6186" w:hanging="360"/>
      </w:pPr>
      <w:rPr>
        <w:rFonts w:ascii="Wingdings" w:hAnsi="Wingdings" w:hint="default"/>
      </w:rPr>
    </w:lvl>
  </w:abstractNum>
  <w:abstractNum w:abstractNumId="42"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FB27E77"/>
    <w:multiLevelType w:val="hybridMultilevel"/>
    <w:tmpl w:val="E4C6F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61DA3C6A"/>
    <w:multiLevelType w:val="hybridMultilevel"/>
    <w:tmpl w:val="D84EA7F2"/>
    <w:lvl w:ilvl="0" w:tplc="CE1EFDCA">
      <w:numFmt w:val="bullet"/>
      <w:lvlText w:val="-"/>
      <w:lvlJc w:val="left"/>
      <w:pPr>
        <w:ind w:left="720" w:hanging="360"/>
      </w:pPr>
      <w:rPr>
        <w:rFonts w:ascii="Segoe UI Semilight" w:eastAsia="Times New Roman"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81F37F3"/>
    <w:multiLevelType w:val="hybridMultilevel"/>
    <w:tmpl w:val="682A848A"/>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6B821CFB"/>
    <w:multiLevelType w:val="hybridMultilevel"/>
    <w:tmpl w:val="264233CA"/>
    <w:lvl w:ilvl="0" w:tplc="1009000D">
      <w:start w:val="1"/>
      <w:numFmt w:val="bullet"/>
      <w:lvlText w:val=""/>
      <w:lvlJc w:val="left"/>
      <w:pPr>
        <w:ind w:left="360" w:hanging="360"/>
      </w:pPr>
      <w:rPr>
        <w:rFonts w:ascii="Wingdings" w:hAnsi="Wingdings" w:hint="default"/>
        <w:color w:val="auto"/>
        <w:lang w:val="en-CA"/>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50" w15:restartNumberingAfterBreak="0">
    <w:nsid w:val="6DC61798"/>
    <w:multiLevelType w:val="hybridMultilevel"/>
    <w:tmpl w:val="CEDEAE66"/>
    <w:lvl w:ilvl="0" w:tplc="0CBE4C1A">
      <w:start w:val="1"/>
      <w:numFmt w:val="bullet"/>
      <w:lvlText w:val=""/>
      <w:lvlJc w:val="left"/>
      <w:pPr>
        <w:ind w:left="72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51" w15:restartNumberingAfterBreak="0">
    <w:nsid w:val="6E2B3984"/>
    <w:multiLevelType w:val="multilevel"/>
    <w:tmpl w:val="AEBAB3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Segoe UI Semilight" w:eastAsia="Times New Roman" w:hAnsi="Segoe UI Semilight"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4B3C14"/>
    <w:multiLevelType w:val="hybridMultilevel"/>
    <w:tmpl w:val="24A64E0A"/>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3">
      <w:start w:val="1"/>
      <w:numFmt w:val="bullet"/>
      <w:lvlText w:val="o"/>
      <w:lvlJc w:val="left"/>
      <w:pPr>
        <w:ind w:left="1800" w:hanging="360"/>
      </w:pPr>
      <w:rPr>
        <w:rFonts w:ascii="Courier New" w:hAnsi="Courier New" w:cs="Courier New"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73FE2927"/>
    <w:multiLevelType w:val="hybridMultilevel"/>
    <w:tmpl w:val="DF08C1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75C015F1"/>
    <w:multiLevelType w:val="hybridMultilevel"/>
    <w:tmpl w:val="CE02E2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80D54F1"/>
    <w:multiLevelType w:val="hybridMultilevel"/>
    <w:tmpl w:val="F3C68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8702446"/>
    <w:multiLevelType w:val="hybridMultilevel"/>
    <w:tmpl w:val="B8925C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E943FB2"/>
    <w:multiLevelType w:val="hybridMultilevel"/>
    <w:tmpl w:val="B7D63774"/>
    <w:lvl w:ilvl="0" w:tplc="10090001">
      <w:start w:val="1"/>
      <w:numFmt w:val="bullet"/>
      <w:lvlText w:val=""/>
      <w:lvlJc w:val="left"/>
      <w:pPr>
        <w:ind w:left="426"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56"/>
  </w:num>
  <w:num w:numId="5">
    <w:abstractNumId w:val="33"/>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32"/>
  </w:num>
  <w:num w:numId="9">
    <w:abstractNumId w:val="38"/>
  </w:num>
  <w:num w:numId="10">
    <w:abstractNumId w:val="8"/>
  </w:num>
  <w:num w:numId="11">
    <w:abstractNumId w:val="0"/>
  </w:num>
  <w:num w:numId="12">
    <w:abstractNumId w:val="46"/>
  </w:num>
  <w:num w:numId="13">
    <w:abstractNumId w:val="39"/>
  </w:num>
  <w:num w:numId="14">
    <w:abstractNumId w:val="59"/>
  </w:num>
  <w:num w:numId="15">
    <w:abstractNumId w:val="36"/>
  </w:num>
  <w:num w:numId="16">
    <w:abstractNumId w:val="5"/>
  </w:num>
  <w:num w:numId="17">
    <w:abstractNumId w:val="35"/>
  </w:num>
  <w:num w:numId="18">
    <w:abstractNumId w:val="28"/>
  </w:num>
  <w:num w:numId="19">
    <w:abstractNumId w:val="58"/>
  </w:num>
  <w:num w:numId="20">
    <w:abstractNumId w:val="44"/>
  </w:num>
  <w:num w:numId="21">
    <w:abstractNumId w:val="14"/>
  </w:num>
  <w:num w:numId="22">
    <w:abstractNumId w:val="51"/>
  </w:num>
  <w:num w:numId="23">
    <w:abstractNumId w:val="16"/>
  </w:num>
  <w:num w:numId="24">
    <w:abstractNumId w:val="30"/>
  </w:num>
  <w:num w:numId="25">
    <w:abstractNumId w:val="29"/>
  </w:num>
  <w:num w:numId="26">
    <w:abstractNumId w:val="3"/>
  </w:num>
  <w:num w:numId="27">
    <w:abstractNumId w:val="47"/>
  </w:num>
  <w:num w:numId="28">
    <w:abstractNumId w:val="19"/>
  </w:num>
  <w:num w:numId="29">
    <w:abstractNumId w:val="40"/>
  </w:num>
  <w:num w:numId="30">
    <w:abstractNumId w:val="48"/>
  </w:num>
  <w:num w:numId="31">
    <w:abstractNumId w:val="18"/>
  </w:num>
  <w:num w:numId="32">
    <w:abstractNumId w:val="52"/>
  </w:num>
  <w:num w:numId="33">
    <w:abstractNumId w:val="20"/>
  </w:num>
  <w:num w:numId="34">
    <w:abstractNumId w:val="45"/>
  </w:num>
  <w:num w:numId="35">
    <w:abstractNumId w:val="54"/>
  </w:num>
  <w:num w:numId="36">
    <w:abstractNumId w:val="23"/>
  </w:num>
  <w:num w:numId="37">
    <w:abstractNumId w:val="24"/>
  </w:num>
  <w:num w:numId="38">
    <w:abstractNumId w:val="42"/>
  </w:num>
  <w:num w:numId="39">
    <w:abstractNumId w:val="31"/>
  </w:num>
  <w:num w:numId="40">
    <w:abstractNumId w:val="6"/>
  </w:num>
  <w:num w:numId="41">
    <w:abstractNumId w:val="53"/>
  </w:num>
  <w:num w:numId="42">
    <w:abstractNumId w:val="15"/>
  </w:num>
  <w:num w:numId="43">
    <w:abstractNumId w:val="11"/>
  </w:num>
  <w:num w:numId="44">
    <w:abstractNumId w:val="7"/>
  </w:num>
  <w:num w:numId="45">
    <w:abstractNumId w:val="57"/>
  </w:num>
  <w:num w:numId="46">
    <w:abstractNumId w:val="17"/>
  </w:num>
  <w:num w:numId="47">
    <w:abstractNumId w:val="37"/>
  </w:num>
  <w:num w:numId="48">
    <w:abstractNumId w:val="50"/>
  </w:num>
  <w:num w:numId="49">
    <w:abstractNumId w:val="60"/>
  </w:num>
  <w:num w:numId="50">
    <w:abstractNumId w:val="2"/>
  </w:num>
  <w:num w:numId="51">
    <w:abstractNumId w:val="1"/>
  </w:num>
  <w:num w:numId="52">
    <w:abstractNumId w:val="25"/>
  </w:num>
  <w:num w:numId="53">
    <w:abstractNumId w:val="43"/>
  </w:num>
  <w:num w:numId="54">
    <w:abstractNumId w:val="34"/>
  </w:num>
  <w:num w:numId="55">
    <w:abstractNumId w:val="12"/>
  </w:num>
  <w:num w:numId="56">
    <w:abstractNumId w:val="21"/>
  </w:num>
  <w:num w:numId="57">
    <w:abstractNumId w:val="4"/>
  </w:num>
  <w:num w:numId="58">
    <w:abstractNumId w:val="26"/>
  </w:num>
  <w:num w:numId="59">
    <w:abstractNumId w:val="22"/>
  </w:num>
  <w:num w:numId="60">
    <w:abstractNumId w:val="55"/>
  </w:num>
  <w:num w:numId="6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3"/>
    <w:rsid w:val="0000124F"/>
    <w:rsid w:val="000053BE"/>
    <w:rsid w:val="00005F5A"/>
    <w:rsid w:val="0002490C"/>
    <w:rsid w:val="00032AF6"/>
    <w:rsid w:val="000374EB"/>
    <w:rsid w:val="00037946"/>
    <w:rsid w:val="0004030D"/>
    <w:rsid w:val="00045CAE"/>
    <w:rsid w:val="00046731"/>
    <w:rsid w:val="00054942"/>
    <w:rsid w:val="000560D2"/>
    <w:rsid w:val="00062DB3"/>
    <w:rsid w:val="00070F0F"/>
    <w:rsid w:val="00072CFA"/>
    <w:rsid w:val="00072D30"/>
    <w:rsid w:val="0008173C"/>
    <w:rsid w:val="00082329"/>
    <w:rsid w:val="00082EB3"/>
    <w:rsid w:val="00086418"/>
    <w:rsid w:val="0009024D"/>
    <w:rsid w:val="000A5B54"/>
    <w:rsid w:val="000A6CE5"/>
    <w:rsid w:val="000A6CFA"/>
    <w:rsid w:val="000B0C9B"/>
    <w:rsid w:val="000C26A3"/>
    <w:rsid w:val="000C35F2"/>
    <w:rsid w:val="000D3530"/>
    <w:rsid w:val="000D76E7"/>
    <w:rsid w:val="000E21D6"/>
    <w:rsid w:val="000E39E6"/>
    <w:rsid w:val="000E53B8"/>
    <w:rsid w:val="000E7B28"/>
    <w:rsid w:val="000F0D26"/>
    <w:rsid w:val="000F523E"/>
    <w:rsid w:val="00104C00"/>
    <w:rsid w:val="001075A1"/>
    <w:rsid w:val="00117D89"/>
    <w:rsid w:val="001305BD"/>
    <w:rsid w:val="0013558D"/>
    <w:rsid w:val="001409B4"/>
    <w:rsid w:val="001456F7"/>
    <w:rsid w:val="00150FE7"/>
    <w:rsid w:val="00156B50"/>
    <w:rsid w:val="00160119"/>
    <w:rsid w:val="00163487"/>
    <w:rsid w:val="00184E4F"/>
    <w:rsid w:val="00186FBD"/>
    <w:rsid w:val="00187BE5"/>
    <w:rsid w:val="00190EB1"/>
    <w:rsid w:val="00197899"/>
    <w:rsid w:val="001A127D"/>
    <w:rsid w:val="001A1F45"/>
    <w:rsid w:val="001A2438"/>
    <w:rsid w:val="001A5C0C"/>
    <w:rsid w:val="001B597B"/>
    <w:rsid w:val="001B6AF3"/>
    <w:rsid w:val="001B7F9B"/>
    <w:rsid w:val="001C1A24"/>
    <w:rsid w:val="001C3142"/>
    <w:rsid w:val="001C3517"/>
    <w:rsid w:val="001C63D8"/>
    <w:rsid w:val="001D3E12"/>
    <w:rsid w:val="001E063A"/>
    <w:rsid w:val="001E5A69"/>
    <w:rsid w:val="001E5C99"/>
    <w:rsid w:val="001F28FE"/>
    <w:rsid w:val="002056BF"/>
    <w:rsid w:val="00207F88"/>
    <w:rsid w:val="00210749"/>
    <w:rsid w:val="00210D24"/>
    <w:rsid w:val="00220AB2"/>
    <w:rsid w:val="00221199"/>
    <w:rsid w:val="00223266"/>
    <w:rsid w:val="00223532"/>
    <w:rsid w:val="00226071"/>
    <w:rsid w:val="0022695A"/>
    <w:rsid w:val="00235799"/>
    <w:rsid w:val="00237B04"/>
    <w:rsid w:val="00244AA6"/>
    <w:rsid w:val="00244CD0"/>
    <w:rsid w:val="00253093"/>
    <w:rsid w:val="00262923"/>
    <w:rsid w:val="00264AD9"/>
    <w:rsid w:val="0027727E"/>
    <w:rsid w:val="00283DF2"/>
    <w:rsid w:val="00290EF3"/>
    <w:rsid w:val="002930B8"/>
    <w:rsid w:val="00297C2D"/>
    <w:rsid w:val="002A31E3"/>
    <w:rsid w:val="002A7092"/>
    <w:rsid w:val="002B019A"/>
    <w:rsid w:val="002B3D4E"/>
    <w:rsid w:val="002C0BE0"/>
    <w:rsid w:val="002D653E"/>
    <w:rsid w:val="002E0281"/>
    <w:rsid w:val="002E2944"/>
    <w:rsid w:val="00304A4F"/>
    <w:rsid w:val="003133DC"/>
    <w:rsid w:val="00315688"/>
    <w:rsid w:val="003161E5"/>
    <w:rsid w:val="003204CB"/>
    <w:rsid w:val="0032101A"/>
    <w:rsid w:val="00321F63"/>
    <w:rsid w:val="003224A2"/>
    <w:rsid w:val="00326D6B"/>
    <w:rsid w:val="003332D2"/>
    <w:rsid w:val="003340A0"/>
    <w:rsid w:val="00334ECC"/>
    <w:rsid w:val="00356BA9"/>
    <w:rsid w:val="00372539"/>
    <w:rsid w:val="0037735D"/>
    <w:rsid w:val="00377667"/>
    <w:rsid w:val="00381EF5"/>
    <w:rsid w:val="0038556F"/>
    <w:rsid w:val="003864AA"/>
    <w:rsid w:val="00391127"/>
    <w:rsid w:val="0039328E"/>
    <w:rsid w:val="00397A4A"/>
    <w:rsid w:val="003A0CDE"/>
    <w:rsid w:val="003B12FB"/>
    <w:rsid w:val="003C08D9"/>
    <w:rsid w:val="003D09A8"/>
    <w:rsid w:val="003D1BA1"/>
    <w:rsid w:val="003D2545"/>
    <w:rsid w:val="003D486E"/>
    <w:rsid w:val="003E4498"/>
    <w:rsid w:val="003F0D05"/>
    <w:rsid w:val="003F14E8"/>
    <w:rsid w:val="003F4AB0"/>
    <w:rsid w:val="003F53A2"/>
    <w:rsid w:val="0040016D"/>
    <w:rsid w:val="00403390"/>
    <w:rsid w:val="0040672C"/>
    <w:rsid w:val="0041219C"/>
    <w:rsid w:val="00416D6E"/>
    <w:rsid w:val="00426DC8"/>
    <w:rsid w:val="004525A1"/>
    <w:rsid w:val="00456D8E"/>
    <w:rsid w:val="0046057E"/>
    <w:rsid w:val="00463970"/>
    <w:rsid w:val="0047330E"/>
    <w:rsid w:val="00473C63"/>
    <w:rsid w:val="0047739C"/>
    <w:rsid w:val="00477B10"/>
    <w:rsid w:val="004824AF"/>
    <w:rsid w:val="00483866"/>
    <w:rsid w:val="00493B8B"/>
    <w:rsid w:val="004A12A5"/>
    <w:rsid w:val="004A7FAA"/>
    <w:rsid w:val="004D06EA"/>
    <w:rsid w:val="004D7CF6"/>
    <w:rsid w:val="004E4120"/>
    <w:rsid w:val="004E5993"/>
    <w:rsid w:val="004F1ED3"/>
    <w:rsid w:val="004F2540"/>
    <w:rsid w:val="004F3A81"/>
    <w:rsid w:val="004F3D6A"/>
    <w:rsid w:val="004F4BB9"/>
    <w:rsid w:val="0051228E"/>
    <w:rsid w:val="0051557E"/>
    <w:rsid w:val="00521689"/>
    <w:rsid w:val="00527A4A"/>
    <w:rsid w:val="00531BC2"/>
    <w:rsid w:val="00532237"/>
    <w:rsid w:val="005354F7"/>
    <w:rsid w:val="00540AB0"/>
    <w:rsid w:val="00541BA9"/>
    <w:rsid w:val="00544925"/>
    <w:rsid w:val="00547467"/>
    <w:rsid w:val="00552B29"/>
    <w:rsid w:val="00553B0F"/>
    <w:rsid w:val="0055497D"/>
    <w:rsid w:val="00561F51"/>
    <w:rsid w:val="00565598"/>
    <w:rsid w:val="005817C9"/>
    <w:rsid w:val="0058273B"/>
    <w:rsid w:val="00585567"/>
    <w:rsid w:val="00586C61"/>
    <w:rsid w:val="005A0809"/>
    <w:rsid w:val="005A0BFA"/>
    <w:rsid w:val="005A12AC"/>
    <w:rsid w:val="005A39A5"/>
    <w:rsid w:val="005A6D02"/>
    <w:rsid w:val="005B3C36"/>
    <w:rsid w:val="005B7E30"/>
    <w:rsid w:val="005C2DBC"/>
    <w:rsid w:val="005C5EFF"/>
    <w:rsid w:val="005D779E"/>
    <w:rsid w:val="005E5B69"/>
    <w:rsid w:val="005E6CEB"/>
    <w:rsid w:val="005F4C48"/>
    <w:rsid w:val="006039A6"/>
    <w:rsid w:val="00607D85"/>
    <w:rsid w:val="006100D5"/>
    <w:rsid w:val="00611100"/>
    <w:rsid w:val="00611B4A"/>
    <w:rsid w:val="0062414E"/>
    <w:rsid w:val="006243EE"/>
    <w:rsid w:val="006261D5"/>
    <w:rsid w:val="00631C81"/>
    <w:rsid w:val="00640645"/>
    <w:rsid w:val="00642043"/>
    <w:rsid w:val="0064589B"/>
    <w:rsid w:val="00646AA9"/>
    <w:rsid w:val="006528D5"/>
    <w:rsid w:val="0065606A"/>
    <w:rsid w:val="00664E11"/>
    <w:rsid w:val="00670821"/>
    <w:rsid w:val="0067148C"/>
    <w:rsid w:val="006719EE"/>
    <w:rsid w:val="006777AD"/>
    <w:rsid w:val="006836FA"/>
    <w:rsid w:val="00696455"/>
    <w:rsid w:val="006A0AEC"/>
    <w:rsid w:val="006A4246"/>
    <w:rsid w:val="006A60CF"/>
    <w:rsid w:val="006B3DDE"/>
    <w:rsid w:val="006B4C63"/>
    <w:rsid w:val="006B762B"/>
    <w:rsid w:val="006C45D3"/>
    <w:rsid w:val="006D0552"/>
    <w:rsid w:val="006E022A"/>
    <w:rsid w:val="006E15CB"/>
    <w:rsid w:val="006E1E14"/>
    <w:rsid w:val="006E2A3D"/>
    <w:rsid w:val="006E5155"/>
    <w:rsid w:val="006F6036"/>
    <w:rsid w:val="00704C8C"/>
    <w:rsid w:val="007071BA"/>
    <w:rsid w:val="007108B4"/>
    <w:rsid w:val="00717FC3"/>
    <w:rsid w:val="00722EAD"/>
    <w:rsid w:val="0072395D"/>
    <w:rsid w:val="0072552A"/>
    <w:rsid w:val="0073377E"/>
    <w:rsid w:val="00736359"/>
    <w:rsid w:val="00737308"/>
    <w:rsid w:val="007378D3"/>
    <w:rsid w:val="00747BBC"/>
    <w:rsid w:val="007537E8"/>
    <w:rsid w:val="00753DD5"/>
    <w:rsid w:val="0075426F"/>
    <w:rsid w:val="00754DD8"/>
    <w:rsid w:val="007558EC"/>
    <w:rsid w:val="00756E78"/>
    <w:rsid w:val="00772474"/>
    <w:rsid w:val="00772D34"/>
    <w:rsid w:val="007812F1"/>
    <w:rsid w:val="00784F59"/>
    <w:rsid w:val="00785388"/>
    <w:rsid w:val="00794616"/>
    <w:rsid w:val="007A43F7"/>
    <w:rsid w:val="007A7442"/>
    <w:rsid w:val="007B2FD4"/>
    <w:rsid w:val="007B3302"/>
    <w:rsid w:val="007B46A5"/>
    <w:rsid w:val="007B68BF"/>
    <w:rsid w:val="007C0D88"/>
    <w:rsid w:val="007C5CAC"/>
    <w:rsid w:val="007D1C83"/>
    <w:rsid w:val="007D3AAA"/>
    <w:rsid w:val="007E04E5"/>
    <w:rsid w:val="007E26FC"/>
    <w:rsid w:val="00807A27"/>
    <w:rsid w:val="00816688"/>
    <w:rsid w:val="00824FA6"/>
    <w:rsid w:val="008313E5"/>
    <w:rsid w:val="0083500E"/>
    <w:rsid w:val="00837999"/>
    <w:rsid w:val="008456A8"/>
    <w:rsid w:val="00851267"/>
    <w:rsid w:val="0085269E"/>
    <w:rsid w:val="00853613"/>
    <w:rsid w:val="00854A83"/>
    <w:rsid w:val="0085583C"/>
    <w:rsid w:val="008721DC"/>
    <w:rsid w:val="00882AEA"/>
    <w:rsid w:val="00883F53"/>
    <w:rsid w:val="00884F9C"/>
    <w:rsid w:val="00893843"/>
    <w:rsid w:val="008A119E"/>
    <w:rsid w:val="008A14CA"/>
    <w:rsid w:val="008B5432"/>
    <w:rsid w:val="008C7A1D"/>
    <w:rsid w:val="008D0AC6"/>
    <w:rsid w:val="008D2038"/>
    <w:rsid w:val="008D287F"/>
    <w:rsid w:val="008D6E42"/>
    <w:rsid w:val="00906216"/>
    <w:rsid w:val="009069A3"/>
    <w:rsid w:val="00916681"/>
    <w:rsid w:val="009257EB"/>
    <w:rsid w:val="00932646"/>
    <w:rsid w:val="0093312B"/>
    <w:rsid w:val="00935255"/>
    <w:rsid w:val="00936EB0"/>
    <w:rsid w:val="009374C8"/>
    <w:rsid w:val="009379A5"/>
    <w:rsid w:val="00947924"/>
    <w:rsid w:val="00950460"/>
    <w:rsid w:val="00953CEB"/>
    <w:rsid w:val="009552DB"/>
    <w:rsid w:val="00957A14"/>
    <w:rsid w:val="0096021A"/>
    <w:rsid w:val="0096027D"/>
    <w:rsid w:val="00972EC5"/>
    <w:rsid w:val="00997D3F"/>
    <w:rsid w:val="009A3004"/>
    <w:rsid w:val="009A53AD"/>
    <w:rsid w:val="009A71E7"/>
    <w:rsid w:val="009B7AD3"/>
    <w:rsid w:val="009C0A70"/>
    <w:rsid w:val="009C0EEC"/>
    <w:rsid w:val="009C5464"/>
    <w:rsid w:val="009C5FFA"/>
    <w:rsid w:val="009D1233"/>
    <w:rsid w:val="009D4995"/>
    <w:rsid w:val="009D739B"/>
    <w:rsid w:val="009E1F70"/>
    <w:rsid w:val="009F470B"/>
    <w:rsid w:val="009F4B70"/>
    <w:rsid w:val="009F4F98"/>
    <w:rsid w:val="00A05E76"/>
    <w:rsid w:val="00A1151E"/>
    <w:rsid w:val="00A11775"/>
    <w:rsid w:val="00A1445D"/>
    <w:rsid w:val="00A1489F"/>
    <w:rsid w:val="00A27868"/>
    <w:rsid w:val="00A32318"/>
    <w:rsid w:val="00A3677B"/>
    <w:rsid w:val="00A41E30"/>
    <w:rsid w:val="00A504E3"/>
    <w:rsid w:val="00A54EF1"/>
    <w:rsid w:val="00A620EB"/>
    <w:rsid w:val="00A64055"/>
    <w:rsid w:val="00A64FC0"/>
    <w:rsid w:val="00A65CC6"/>
    <w:rsid w:val="00A73D2B"/>
    <w:rsid w:val="00A749AA"/>
    <w:rsid w:val="00A764CD"/>
    <w:rsid w:val="00A77330"/>
    <w:rsid w:val="00A84016"/>
    <w:rsid w:val="00A878A0"/>
    <w:rsid w:val="00A917E6"/>
    <w:rsid w:val="00AA2D72"/>
    <w:rsid w:val="00AA4D6D"/>
    <w:rsid w:val="00AB0DFD"/>
    <w:rsid w:val="00AB6E97"/>
    <w:rsid w:val="00AC4C15"/>
    <w:rsid w:val="00AC59C6"/>
    <w:rsid w:val="00AE3AE1"/>
    <w:rsid w:val="00AE3C60"/>
    <w:rsid w:val="00AE542F"/>
    <w:rsid w:val="00B11B5F"/>
    <w:rsid w:val="00B11FA2"/>
    <w:rsid w:val="00B20885"/>
    <w:rsid w:val="00B21FC6"/>
    <w:rsid w:val="00B326B9"/>
    <w:rsid w:val="00B3741C"/>
    <w:rsid w:val="00B42535"/>
    <w:rsid w:val="00B441AD"/>
    <w:rsid w:val="00B5070F"/>
    <w:rsid w:val="00B51FD6"/>
    <w:rsid w:val="00B52F7C"/>
    <w:rsid w:val="00B54799"/>
    <w:rsid w:val="00B556ED"/>
    <w:rsid w:val="00B56B84"/>
    <w:rsid w:val="00B607B4"/>
    <w:rsid w:val="00B611E8"/>
    <w:rsid w:val="00B65811"/>
    <w:rsid w:val="00B70292"/>
    <w:rsid w:val="00B731A8"/>
    <w:rsid w:val="00B768E7"/>
    <w:rsid w:val="00B83843"/>
    <w:rsid w:val="00B847A1"/>
    <w:rsid w:val="00B84BB3"/>
    <w:rsid w:val="00BA40E2"/>
    <w:rsid w:val="00BB0EC1"/>
    <w:rsid w:val="00BB1D0F"/>
    <w:rsid w:val="00BB3E94"/>
    <w:rsid w:val="00BB3FB0"/>
    <w:rsid w:val="00BB746F"/>
    <w:rsid w:val="00BC1799"/>
    <w:rsid w:val="00BC2D9D"/>
    <w:rsid w:val="00BC5625"/>
    <w:rsid w:val="00BD2C7C"/>
    <w:rsid w:val="00BD4C6B"/>
    <w:rsid w:val="00BD5EF3"/>
    <w:rsid w:val="00BE4F0A"/>
    <w:rsid w:val="00BF4FF0"/>
    <w:rsid w:val="00BF683E"/>
    <w:rsid w:val="00C04D30"/>
    <w:rsid w:val="00C06D5C"/>
    <w:rsid w:val="00C108D5"/>
    <w:rsid w:val="00C31696"/>
    <w:rsid w:val="00C330C1"/>
    <w:rsid w:val="00C35646"/>
    <w:rsid w:val="00C36040"/>
    <w:rsid w:val="00C43532"/>
    <w:rsid w:val="00C562F1"/>
    <w:rsid w:val="00C56876"/>
    <w:rsid w:val="00C56F1C"/>
    <w:rsid w:val="00C57C30"/>
    <w:rsid w:val="00C60A18"/>
    <w:rsid w:val="00C6488E"/>
    <w:rsid w:val="00C73191"/>
    <w:rsid w:val="00C741D8"/>
    <w:rsid w:val="00C83BF4"/>
    <w:rsid w:val="00C8417D"/>
    <w:rsid w:val="00C90FCF"/>
    <w:rsid w:val="00C91AC5"/>
    <w:rsid w:val="00C932FE"/>
    <w:rsid w:val="00CA7605"/>
    <w:rsid w:val="00CB6F15"/>
    <w:rsid w:val="00CB75B6"/>
    <w:rsid w:val="00CC2F76"/>
    <w:rsid w:val="00CD547E"/>
    <w:rsid w:val="00CE0785"/>
    <w:rsid w:val="00CE2137"/>
    <w:rsid w:val="00CF72A6"/>
    <w:rsid w:val="00CF792B"/>
    <w:rsid w:val="00D22AB2"/>
    <w:rsid w:val="00D3041C"/>
    <w:rsid w:val="00D40877"/>
    <w:rsid w:val="00D440DE"/>
    <w:rsid w:val="00D742C0"/>
    <w:rsid w:val="00D90B46"/>
    <w:rsid w:val="00DA0C46"/>
    <w:rsid w:val="00DA6A72"/>
    <w:rsid w:val="00DB08B9"/>
    <w:rsid w:val="00DB4A61"/>
    <w:rsid w:val="00DC0C53"/>
    <w:rsid w:val="00DC3431"/>
    <w:rsid w:val="00DC432C"/>
    <w:rsid w:val="00DD0938"/>
    <w:rsid w:val="00DD22C9"/>
    <w:rsid w:val="00E01020"/>
    <w:rsid w:val="00E16642"/>
    <w:rsid w:val="00E209B4"/>
    <w:rsid w:val="00E21E43"/>
    <w:rsid w:val="00E25039"/>
    <w:rsid w:val="00E26903"/>
    <w:rsid w:val="00E31DCC"/>
    <w:rsid w:val="00E359FF"/>
    <w:rsid w:val="00E3612B"/>
    <w:rsid w:val="00E43369"/>
    <w:rsid w:val="00E462A7"/>
    <w:rsid w:val="00E53E8E"/>
    <w:rsid w:val="00E5653F"/>
    <w:rsid w:val="00E62017"/>
    <w:rsid w:val="00E65ACB"/>
    <w:rsid w:val="00E73833"/>
    <w:rsid w:val="00E73952"/>
    <w:rsid w:val="00E73E57"/>
    <w:rsid w:val="00E86AF0"/>
    <w:rsid w:val="00E909D6"/>
    <w:rsid w:val="00E9514A"/>
    <w:rsid w:val="00E97540"/>
    <w:rsid w:val="00EA16EA"/>
    <w:rsid w:val="00EA42BC"/>
    <w:rsid w:val="00EB2837"/>
    <w:rsid w:val="00EB5282"/>
    <w:rsid w:val="00EC0220"/>
    <w:rsid w:val="00EC192F"/>
    <w:rsid w:val="00ED7F0A"/>
    <w:rsid w:val="00F0540E"/>
    <w:rsid w:val="00F07401"/>
    <w:rsid w:val="00F20C41"/>
    <w:rsid w:val="00F21970"/>
    <w:rsid w:val="00F21A30"/>
    <w:rsid w:val="00F24384"/>
    <w:rsid w:val="00F24746"/>
    <w:rsid w:val="00F302D2"/>
    <w:rsid w:val="00F42797"/>
    <w:rsid w:val="00F54A67"/>
    <w:rsid w:val="00F5798F"/>
    <w:rsid w:val="00F6161B"/>
    <w:rsid w:val="00F61891"/>
    <w:rsid w:val="00F84671"/>
    <w:rsid w:val="00F873D5"/>
    <w:rsid w:val="00F91EE3"/>
    <w:rsid w:val="00F92EEA"/>
    <w:rsid w:val="00FB22AE"/>
    <w:rsid w:val="00FB3272"/>
    <w:rsid w:val="00FB5783"/>
    <w:rsid w:val="00FC2CE0"/>
    <w:rsid w:val="00FC4C31"/>
    <w:rsid w:val="00FD2F0E"/>
    <w:rsid w:val="00FD2F98"/>
    <w:rsid w:val="00FD5B3C"/>
    <w:rsid w:val="00FD70D0"/>
    <w:rsid w:val="00FE2B53"/>
    <w:rsid w:val="00FE6947"/>
    <w:rsid w:val="00FE7448"/>
    <w:rsid w:val="00FF1930"/>
    <w:rsid w:val="00FF3D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F677E"/>
  <w15:chartTrackingRefBased/>
  <w15:docId w15:val="{547E4A38-FC11-475C-8940-542D5CF5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4E"/>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10749"/>
    <w:rPr>
      <w:rFonts w:ascii="Segoe UI Semibold" w:hAnsi="Segoe UI Semibold"/>
      <w:b w:val="0"/>
      <w:color w:val="54575A" w:themeColor="text1"/>
    </w:rPr>
  </w:style>
  <w:style w:type="paragraph" w:styleId="Title">
    <w:name w:val="Title"/>
    <w:basedOn w:val="Normal"/>
    <w:next w:val="Normal"/>
    <w:link w:val="TitleChar"/>
    <w:autoRedefine/>
    <w:uiPriority w:val="10"/>
    <w:qFormat/>
    <w:rsid w:val="00B83843"/>
    <w:pPr>
      <w:spacing w:before="100" w:beforeAutospacing="1" w:after="100" w:afterAutospacing="1"/>
      <w:contextualSpacing/>
      <w:jc w:val="center"/>
    </w:pPr>
    <w:rPr>
      <w:rFonts w:asciiTheme="majorHAnsi" w:eastAsiaTheme="majorEastAsia" w:hAnsiTheme="majorHAnsi" w:cstheme="majorHAnsi"/>
      <w:spacing w:val="-10"/>
      <w:kern w:val="28"/>
      <w:sz w:val="44"/>
      <w:szCs w:val="44"/>
      <w:lang w:val="en-CA"/>
    </w:rPr>
  </w:style>
  <w:style w:type="character" w:customStyle="1" w:styleId="TitleChar">
    <w:name w:val="Title Char"/>
    <w:basedOn w:val="DefaultParagraphFont"/>
    <w:link w:val="Title"/>
    <w:uiPriority w:val="10"/>
    <w:rsid w:val="00B83843"/>
    <w:rPr>
      <w:rFonts w:asciiTheme="majorHAnsi" w:eastAsiaTheme="majorEastAsia" w:hAnsiTheme="majorHAnsi" w:cstheme="majorHAnsi"/>
      <w:spacing w:val="-10"/>
      <w:kern w:val="28"/>
      <w:sz w:val="44"/>
      <w:szCs w:val="44"/>
    </w:rPr>
  </w:style>
  <w:style w:type="paragraph" w:customStyle="1" w:styleId="Style2">
    <w:name w:val="Style2"/>
    <w:basedOn w:val="Normal"/>
    <w:link w:val="Style2Char"/>
    <w:qFormat/>
    <w:rsid w:val="007378D3"/>
    <w:pPr>
      <w:shd w:val="clear" w:color="auto" w:fill="F2F2F2"/>
    </w:pPr>
    <w:rPr>
      <w:rFonts w:ascii="Arial" w:hAnsi="Arial" w:cs="Arial"/>
      <w:b/>
      <w:color w:val="009999"/>
      <w:spacing w:val="-10"/>
      <w:lang w:val="en-CA"/>
    </w:rPr>
  </w:style>
  <w:style w:type="character" w:customStyle="1" w:styleId="Style2Char">
    <w:name w:val="Style2 Char"/>
    <w:basedOn w:val="DefaultParagraphFont"/>
    <w:link w:val="Style2"/>
    <w:rsid w:val="007378D3"/>
    <w:rPr>
      <w:rFonts w:ascii="Arial" w:eastAsia="Times New Roman" w:hAnsi="Arial" w:cs="Arial"/>
      <w:b/>
      <w:color w:val="009999"/>
      <w:spacing w:val="-10"/>
      <w:shd w:val="clear" w:color="auto" w:fill="F2F2F2"/>
    </w:rPr>
  </w:style>
  <w:style w:type="paragraph" w:customStyle="1" w:styleId="Style4">
    <w:name w:val="Style4"/>
    <w:basedOn w:val="Normal"/>
    <w:link w:val="Style4Char"/>
    <w:qFormat/>
    <w:rsid w:val="007378D3"/>
    <w:rPr>
      <w:rFonts w:ascii="Arial" w:hAnsi="Arial" w:cs="Arial"/>
      <w:u w:val="single"/>
      <w:lang w:val="en-CA" w:eastAsia="en-CA"/>
    </w:rPr>
  </w:style>
  <w:style w:type="character" w:customStyle="1" w:styleId="Style4Char">
    <w:name w:val="Style4 Char"/>
    <w:basedOn w:val="DefaultParagraphFont"/>
    <w:link w:val="Style4"/>
    <w:rsid w:val="007378D3"/>
    <w:rPr>
      <w:rFonts w:ascii="Arial" w:eastAsia="Times New Roman" w:hAnsi="Arial" w:cs="Arial"/>
      <w:u w:val="single"/>
      <w:lang w:eastAsia="en-CA"/>
    </w:rPr>
  </w:style>
  <w:style w:type="paragraph" w:styleId="NormalWeb">
    <w:name w:val="Normal (Web)"/>
    <w:basedOn w:val="Normal"/>
    <w:uiPriority w:val="99"/>
    <w:unhideWhenUsed/>
    <w:rsid w:val="007378D3"/>
    <w:pPr>
      <w:spacing w:before="100" w:beforeAutospacing="1" w:after="100" w:afterAutospacing="1"/>
    </w:pPr>
    <w:rPr>
      <w:rFonts w:ascii="Verdana" w:hAnsi="Verdana"/>
      <w:szCs w:val="24"/>
    </w:rPr>
  </w:style>
  <w:style w:type="paragraph" w:customStyle="1" w:styleId="Level1">
    <w:name w:val="Level 1"/>
    <w:basedOn w:val="Normal"/>
    <w:uiPriority w:val="99"/>
    <w:rsid w:val="007378D3"/>
    <w:pPr>
      <w:widowControl w:val="0"/>
    </w:pPr>
  </w:style>
  <w:style w:type="character" w:styleId="Hyperlink">
    <w:name w:val="Hyperlink"/>
    <w:uiPriority w:val="99"/>
    <w:unhideWhenUsed/>
    <w:rsid w:val="007378D3"/>
    <w:rPr>
      <w:color w:val="0563C1"/>
      <w:u w:val="single"/>
    </w:rPr>
  </w:style>
  <w:style w:type="paragraph" w:styleId="NoSpacing">
    <w:name w:val="No Spacing"/>
    <w:uiPriority w:val="1"/>
    <w:qFormat/>
    <w:rsid w:val="007378D3"/>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7378D3"/>
    <w:pPr>
      <w:pBdr>
        <w:bottom w:val="single" w:sz="4" w:space="1" w:color="92D050"/>
      </w:pBdr>
      <w:autoSpaceDE w:val="0"/>
      <w:autoSpaceDN w:val="0"/>
      <w:adjustRightInd w:val="0"/>
      <w:ind w:right="50"/>
    </w:pPr>
    <w:rPr>
      <w:rFonts w:ascii="Arial" w:hAnsi="Arial" w:cs="Arial"/>
      <w:b/>
      <w:caps/>
      <w:color w:val="92D050"/>
      <w:lang w:val="en-CA"/>
    </w:rPr>
  </w:style>
  <w:style w:type="character" w:customStyle="1" w:styleId="Style1Char">
    <w:name w:val="Style1 Char"/>
    <w:basedOn w:val="DefaultParagraphFont"/>
    <w:link w:val="Style1"/>
    <w:rsid w:val="007378D3"/>
    <w:rPr>
      <w:rFonts w:ascii="Arial" w:eastAsia="Times New Roman" w:hAnsi="Arial" w:cs="Arial"/>
      <w:b/>
      <w:caps/>
      <w:color w:val="92D050"/>
    </w:rPr>
  </w:style>
  <w:style w:type="paragraph" w:customStyle="1" w:styleId="Style6">
    <w:name w:val="Style6"/>
    <w:basedOn w:val="Normal"/>
    <w:link w:val="Style6Char"/>
    <w:qFormat/>
    <w:rsid w:val="007378D3"/>
    <w:pPr>
      <w:jc w:val="center"/>
    </w:pPr>
    <w:rPr>
      <w:rFonts w:ascii="Arial" w:hAnsi="Arial" w:cs="Arial"/>
      <w:b/>
      <w:color w:val="009999"/>
      <w:szCs w:val="24"/>
    </w:rPr>
  </w:style>
  <w:style w:type="paragraph" w:customStyle="1" w:styleId="Style7">
    <w:name w:val="Style7"/>
    <w:basedOn w:val="Normal"/>
    <w:link w:val="Style7Char"/>
    <w:qFormat/>
    <w:rsid w:val="007378D3"/>
    <w:pPr>
      <w:jc w:val="center"/>
    </w:pPr>
    <w:rPr>
      <w:rFonts w:ascii="Arial" w:hAnsi="Arial" w:cs="Arial"/>
      <w:color w:val="009999"/>
      <w:szCs w:val="32"/>
    </w:rPr>
  </w:style>
  <w:style w:type="character" w:customStyle="1" w:styleId="Style6Char">
    <w:name w:val="Style6 Char"/>
    <w:basedOn w:val="DefaultParagraphFont"/>
    <w:link w:val="Style6"/>
    <w:rsid w:val="007378D3"/>
    <w:rPr>
      <w:rFonts w:ascii="Arial" w:eastAsia="Times New Roman" w:hAnsi="Arial" w:cs="Arial"/>
      <w:b/>
      <w:color w:val="009999"/>
      <w:sz w:val="24"/>
      <w:szCs w:val="24"/>
      <w:lang w:val="en-US"/>
    </w:rPr>
  </w:style>
  <w:style w:type="paragraph" w:customStyle="1" w:styleId="Style8">
    <w:name w:val="Style8"/>
    <w:basedOn w:val="Normal"/>
    <w:link w:val="Style8Char"/>
    <w:qFormat/>
    <w:rsid w:val="007378D3"/>
    <w:rPr>
      <w:rFonts w:ascii="Arial" w:hAnsi="Arial" w:cs="Arial"/>
      <w:color w:val="767171"/>
      <w:sz w:val="16"/>
      <w:lang w:val="en-CA"/>
    </w:rPr>
  </w:style>
  <w:style w:type="character" w:customStyle="1" w:styleId="Style7Char">
    <w:name w:val="Style7 Char"/>
    <w:basedOn w:val="DefaultParagraphFont"/>
    <w:link w:val="Style7"/>
    <w:rsid w:val="007378D3"/>
    <w:rPr>
      <w:rFonts w:ascii="Arial" w:eastAsia="Times New Roman" w:hAnsi="Arial" w:cs="Arial"/>
      <w:color w:val="009999"/>
      <w:szCs w:val="32"/>
      <w:lang w:val="en-US"/>
    </w:rPr>
  </w:style>
  <w:style w:type="paragraph" w:customStyle="1" w:styleId="Style9">
    <w:name w:val="Style9"/>
    <w:basedOn w:val="Normal"/>
    <w:link w:val="Style9Char"/>
    <w:qFormat/>
    <w:rsid w:val="007378D3"/>
    <w:rPr>
      <w:rFonts w:ascii="Arial" w:hAnsi="Arial" w:cs="Arial"/>
      <w:b/>
      <w:color w:val="009999"/>
      <w:spacing w:val="-10"/>
      <w:lang w:val="en-CA"/>
    </w:rPr>
  </w:style>
  <w:style w:type="character" w:customStyle="1" w:styleId="Style8Char">
    <w:name w:val="Style8 Char"/>
    <w:basedOn w:val="DefaultParagraphFont"/>
    <w:link w:val="Style8"/>
    <w:rsid w:val="007378D3"/>
    <w:rPr>
      <w:rFonts w:ascii="Arial" w:eastAsia="Times New Roman" w:hAnsi="Arial" w:cs="Arial"/>
      <w:color w:val="767171"/>
      <w:sz w:val="16"/>
    </w:rPr>
  </w:style>
  <w:style w:type="character" w:customStyle="1" w:styleId="Style9Char">
    <w:name w:val="Style9 Char"/>
    <w:basedOn w:val="DefaultParagraphFont"/>
    <w:link w:val="Style9"/>
    <w:rsid w:val="007378D3"/>
    <w:rPr>
      <w:rFonts w:ascii="Arial" w:eastAsia="Times New Roman" w:hAnsi="Arial" w:cs="Arial"/>
      <w:b/>
      <w:color w:val="009999"/>
      <w:spacing w:val="-10"/>
    </w:rPr>
  </w:style>
  <w:style w:type="character" w:styleId="FollowedHyperlink">
    <w:name w:val="FollowedHyperlink"/>
    <w:basedOn w:val="DefaultParagraphFont"/>
    <w:uiPriority w:val="99"/>
    <w:semiHidden/>
    <w:unhideWhenUsed/>
    <w:rsid w:val="002D653E"/>
    <w:rPr>
      <w:color w:val="A5A5A5" w:themeColor="followedHyperlink"/>
      <w:u w:val="single"/>
    </w:rPr>
  </w:style>
  <w:style w:type="character" w:styleId="Strong">
    <w:name w:val="Strong"/>
    <w:basedOn w:val="DefaultParagraphFont"/>
    <w:uiPriority w:val="22"/>
    <w:qFormat/>
    <w:rsid w:val="00953CEB"/>
    <w:rPr>
      <w:b/>
      <w:bCs/>
    </w:rPr>
  </w:style>
  <w:style w:type="table" w:customStyle="1" w:styleId="TableGrid1">
    <w:name w:val="Table Grid1"/>
    <w:basedOn w:val="TableNormal"/>
    <w:next w:val="TableGrid"/>
    <w:uiPriority w:val="39"/>
    <w:rsid w:val="0062414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414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04E3"/>
    <w:rPr>
      <w:sz w:val="16"/>
      <w:szCs w:val="16"/>
    </w:rPr>
  </w:style>
  <w:style w:type="paragraph" w:styleId="CommentText">
    <w:name w:val="annotation text"/>
    <w:basedOn w:val="Normal"/>
    <w:link w:val="CommentTextChar"/>
    <w:uiPriority w:val="99"/>
    <w:semiHidden/>
    <w:unhideWhenUsed/>
    <w:rsid w:val="00A504E3"/>
    <w:rPr>
      <w:sz w:val="20"/>
    </w:rPr>
  </w:style>
  <w:style w:type="character" w:customStyle="1" w:styleId="CommentTextChar">
    <w:name w:val="Comment Text Char"/>
    <w:basedOn w:val="DefaultParagraphFont"/>
    <w:link w:val="CommentText"/>
    <w:uiPriority w:val="99"/>
    <w:semiHidden/>
    <w:rsid w:val="00A504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504E3"/>
    <w:rPr>
      <w:b/>
      <w:bCs/>
    </w:rPr>
  </w:style>
  <w:style w:type="character" w:customStyle="1" w:styleId="CommentSubjectChar">
    <w:name w:val="Comment Subject Char"/>
    <w:basedOn w:val="CommentTextChar"/>
    <w:link w:val="CommentSubject"/>
    <w:uiPriority w:val="99"/>
    <w:semiHidden/>
    <w:rsid w:val="00A504E3"/>
    <w:rPr>
      <w:rFonts w:ascii="Times New Roman" w:eastAsia="Times New Roman" w:hAnsi="Times New Roman" w:cs="Times New Roman"/>
      <w:b/>
      <w:bCs/>
      <w:sz w:val="20"/>
      <w:szCs w:val="20"/>
      <w:lang w:val="en-US"/>
    </w:rPr>
  </w:style>
  <w:style w:type="paragraph" w:styleId="Revision">
    <w:name w:val="Revision"/>
    <w:hidden/>
    <w:uiPriority w:val="99"/>
    <w:semiHidden/>
    <w:rsid w:val="00BC5625"/>
    <w:pPr>
      <w:spacing w:after="0" w:line="240" w:lineRule="auto"/>
    </w:pPr>
    <w:rPr>
      <w:rFonts w:ascii="Times New Roman" w:eastAsia="Times New Roman" w:hAnsi="Times New Roman" w:cs="Times New Roman"/>
      <w:sz w:val="24"/>
      <w:szCs w:val="20"/>
      <w:lang w:val="en-US"/>
    </w:r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rsid w:val="00A54EF1"/>
    <w:rPr>
      <w:rFonts w:ascii="Times New Roman" w:eastAsia="Times New Roman" w:hAnsi="Times New Roman" w:cs="Times New Roman"/>
      <w:sz w:val="24"/>
      <w:szCs w:val="20"/>
      <w:lang w:val="en-US"/>
    </w:rPr>
  </w:style>
  <w:style w:type="character" w:styleId="Emphasis">
    <w:name w:val="Emphasis"/>
    <w:basedOn w:val="DefaultParagraphFont"/>
    <w:uiPriority w:val="20"/>
    <w:qFormat/>
    <w:rsid w:val="0022695A"/>
    <w:rPr>
      <w:rFonts w:ascii="Segoe UI Semilight" w:hAnsi="Segoe UI Semilight"/>
      <w:i/>
      <w:iCs/>
      <w:sz w:val="22"/>
    </w:rPr>
  </w:style>
  <w:style w:type="character" w:styleId="UnresolvedMention">
    <w:name w:val="Unresolved Mention"/>
    <w:basedOn w:val="DefaultParagraphFont"/>
    <w:uiPriority w:val="99"/>
    <w:semiHidden/>
    <w:unhideWhenUsed/>
    <w:rsid w:val="000374EB"/>
    <w:rPr>
      <w:color w:val="605E5C"/>
      <w:shd w:val="clear" w:color="auto" w:fill="E1DFDD"/>
    </w:rPr>
  </w:style>
  <w:style w:type="paragraph" w:styleId="Caption">
    <w:name w:val="caption"/>
    <w:basedOn w:val="Normal"/>
    <w:next w:val="Normal"/>
    <w:uiPriority w:val="35"/>
    <w:unhideWhenUsed/>
    <w:qFormat/>
    <w:rsid w:val="00C57C30"/>
    <w:pPr>
      <w:spacing w:after="200"/>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6397">
      <w:bodyDiv w:val="1"/>
      <w:marLeft w:val="0"/>
      <w:marRight w:val="0"/>
      <w:marTop w:val="0"/>
      <w:marBottom w:val="0"/>
      <w:divBdr>
        <w:top w:val="none" w:sz="0" w:space="0" w:color="auto"/>
        <w:left w:val="none" w:sz="0" w:space="0" w:color="auto"/>
        <w:bottom w:val="none" w:sz="0" w:space="0" w:color="auto"/>
        <w:right w:val="none" w:sz="0" w:space="0" w:color="auto"/>
      </w:divBdr>
    </w:div>
    <w:div w:id="182283706">
      <w:bodyDiv w:val="1"/>
      <w:marLeft w:val="0"/>
      <w:marRight w:val="0"/>
      <w:marTop w:val="0"/>
      <w:marBottom w:val="0"/>
      <w:divBdr>
        <w:top w:val="none" w:sz="0" w:space="0" w:color="auto"/>
        <w:left w:val="none" w:sz="0" w:space="0" w:color="auto"/>
        <w:bottom w:val="none" w:sz="0" w:space="0" w:color="auto"/>
        <w:right w:val="none" w:sz="0" w:space="0" w:color="auto"/>
      </w:divBdr>
    </w:div>
    <w:div w:id="388963675">
      <w:bodyDiv w:val="1"/>
      <w:marLeft w:val="0"/>
      <w:marRight w:val="0"/>
      <w:marTop w:val="0"/>
      <w:marBottom w:val="0"/>
      <w:divBdr>
        <w:top w:val="none" w:sz="0" w:space="0" w:color="auto"/>
        <w:left w:val="none" w:sz="0" w:space="0" w:color="auto"/>
        <w:bottom w:val="none" w:sz="0" w:space="0" w:color="auto"/>
        <w:right w:val="none" w:sz="0" w:space="0" w:color="auto"/>
      </w:divBdr>
    </w:div>
    <w:div w:id="404651134">
      <w:bodyDiv w:val="1"/>
      <w:marLeft w:val="0"/>
      <w:marRight w:val="0"/>
      <w:marTop w:val="0"/>
      <w:marBottom w:val="0"/>
      <w:divBdr>
        <w:top w:val="none" w:sz="0" w:space="0" w:color="auto"/>
        <w:left w:val="none" w:sz="0" w:space="0" w:color="auto"/>
        <w:bottom w:val="none" w:sz="0" w:space="0" w:color="auto"/>
        <w:right w:val="none" w:sz="0" w:space="0" w:color="auto"/>
      </w:divBdr>
    </w:div>
    <w:div w:id="520242788">
      <w:bodyDiv w:val="1"/>
      <w:marLeft w:val="0"/>
      <w:marRight w:val="0"/>
      <w:marTop w:val="0"/>
      <w:marBottom w:val="0"/>
      <w:divBdr>
        <w:top w:val="none" w:sz="0" w:space="0" w:color="auto"/>
        <w:left w:val="none" w:sz="0" w:space="0" w:color="auto"/>
        <w:bottom w:val="none" w:sz="0" w:space="0" w:color="auto"/>
        <w:right w:val="none" w:sz="0" w:space="0" w:color="auto"/>
      </w:divBdr>
    </w:div>
    <w:div w:id="722602210">
      <w:bodyDiv w:val="1"/>
      <w:marLeft w:val="0"/>
      <w:marRight w:val="0"/>
      <w:marTop w:val="0"/>
      <w:marBottom w:val="0"/>
      <w:divBdr>
        <w:top w:val="none" w:sz="0" w:space="0" w:color="auto"/>
        <w:left w:val="none" w:sz="0" w:space="0" w:color="auto"/>
        <w:bottom w:val="none" w:sz="0" w:space="0" w:color="auto"/>
        <w:right w:val="none" w:sz="0" w:space="0" w:color="auto"/>
      </w:divBdr>
    </w:div>
    <w:div w:id="727849438">
      <w:bodyDiv w:val="1"/>
      <w:marLeft w:val="0"/>
      <w:marRight w:val="0"/>
      <w:marTop w:val="0"/>
      <w:marBottom w:val="0"/>
      <w:divBdr>
        <w:top w:val="none" w:sz="0" w:space="0" w:color="auto"/>
        <w:left w:val="none" w:sz="0" w:space="0" w:color="auto"/>
        <w:bottom w:val="none" w:sz="0" w:space="0" w:color="auto"/>
        <w:right w:val="none" w:sz="0" w:space="0" w:color="auto"/>
      </w:divBdr>
    </w:div>
    <w:div w:id="1009332647">
      <w:bodyDiv w:val="1"/>
      <w:marLeft w:val="0"/>
      <w:marRight w:val="0"/>
      <w:marTop w:val="0"/>
      <w:marBottom w:val="0"/>
      <w:divBdr>
        <w:top w:val="none" w:sz="0" w:space="0" w:color="auto"/>
        <w:left w:val="none" w:sz="0" w:space="0" w:color="auto"/>
        <w:bottom w:val="none" w:sz="0" w:space="0" w:color="auto"/>
        <w:right w:val="none" w:sz="0" w:space="0" w:color="auto"/>
      </w:divBdr>
    </w:div>
    <w:div w:id="1255239017">
      <w:bodyDiv w:val="1"/>
      <w:marLeft w:val="0"/>
      <w:marRight w:val="0"/>
      <w:marTop w:val="0"/>
      <w:marBottom w:val="0"/>
      <w:divBdr>
        <w:top w:val="none" w:sz="0" w:space="0" w:color="auto"/>
        <w:left w:val="none" w:sz="0" w:space="0" w:color="auto"/>
        <w:bottom w:val="none" w:sz="0" w:space="0" w:color="auto"/>
        <w:right w:val="none" w:sz="0" w:space="0" w:color="auto"/>
      </w:divBdr>
    </w:div>
    <w:div w:id="1376848930">
      <w:bodyDiv w:val="1"/>
      <w:marLeft w:val="0"/>
      <w:marRight w:val="0"/>
      <w:marTop w:val="0"/>
      <w:marBottom w:val="0"/>
      <w:divBdr>
        <w:top w:val="none" w:sz="0" w:space="0" w:color="auto"/>
        <w:left w:val="none" w:sz="0" w:space="0" w:color="auto"/>
        <w:bottom w:val="none" w:sz="0" w:space="0" w:color="auto"/>
        <w:right w:val="none" w:sz="0" w:space="0" w:color="auto"/>
      </w:divBdr>
    </w:div>
    <w:div w:id="21005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yperlink" Target="https://www.canada.ca/en/government/publicservice/wellness-inclusion-diversity-public-service/diversity-inclusion-public-service/employment-equity-annual-reports/employment-equity-public-service-canada-2018-2019.html" TargetMode="Externa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r-rec.gc.ca/bts/pblctn/mplmntqt/2018-2019/index-eng.html" TargetMode="Externa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Letterhead-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Population by tenure as of March 31</a:t>
            </a:r>
          </a:p>
        </c:rich>
      </c:tx>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(N=441) </c:v>
                </c:pt>
                <c:pt idx="1">
                  <c:v> 2016 
(N=460)</c:v>
                </c:pt>
                <c:pt idx="2">
                  <c:v> 2017 
(N=472) </c:v>
                </c:pt>
                <c:pt idx="3">
                  <c:v> 2018 
(N=475) </c:v>
                </c:pt>
                <c:pt idx="4">
                  <c:v> 2019
(N=472) </c:v>
                </c:pt>
                <c:pt idx="5">
                  <c:v> 2020
(N=500) </c:v>
                </c:pt>
              </c:strCache>
            </c:strRef>
          </c:cat>
          <c:val>
            <c:numRef>
              <c:f>Sheet1!$B$2:$B$7</c:f>
              <c:numCache>
                <c:formatCode>#\ ###</c:formatCode>
                <c:ptCount val="6"/>
                <c:pt idx="0">
                  <c:v>401</c:v>
                </c:pt>
                <c:pt idx="1">
                  <c:v>416</c:v>
                </c:pt>
                <c:pt idx="2">
                  <c:v>424</c:v>
                </c:pt>
                <c:pt idx="3">
                  <c:v>418</c:v>
                </c:pt>
                <c:pt idx="4">
                  <c:v>422</c:v>
                </c:pt>
                <c:pt idx="5">
                  <c:v>435</c:v>
                </c:pt>
              </c:numCache>
            </c:numRef>
          </c:val>
          <c:extLst>
            <c:ext xmlns:c16="http://schemas.microsoft.com/office/drawing/2014/chart" uri="{C3380CC4-5D6E-409C-BE32-E72D297353CC}">
              <c16:uniqueId val="{00000000-B631-4643-9D5B-A074C337D45A}"/>
            </c:ext>
          </c:extLst>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31-4643-9D5B-A074C337D45A}"/>
                </c:ext>
              </c:extLst>
            </c:dLbl>
            <c:dLbl>
              <c:idx val="1"/>
              <c:layout>
                <c:manualLayout>
                  <c:x val="0"/>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31-4643-9D5B-A074C337D45A}"/>
                </c:ext>
              </c:extLst>
            </c:dLbl>
            <c:dLbl>
              <c:idx val="2"/>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31-4643-9D5B-A074C337D45A}"/>
                </c:ext>
              </c:extLst>
            </c:dLbl>
            <c:dLbl>
              <c:idx val="3"/>
              <c:layout>
                <c:manualLayout>
                  <c:x val="3.0807147258163892E-3"/>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31-4643-9D5B-A074C337D45A}"/>
                </c:ext>
              </c:extLst>
            </c:dLbl>
            <c:dLbl>
              <c:idx val="4"/>
              <c:layout>
                <c:manualLayout>
                  <c:x val="3.0807147258163892E-3"/>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31-4643-9D5B-A074C337D45A}"/>
                </c:ext>
              </c:extLst>
            </c:dLbl>
            <c:dLbl>
              <c:idx val="5"/>
              <c:layout>
                <c:manualLayout>
                  <c:x val="-1.1295823504343063E-16"/>
                  <c:y val="5.71428571428571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31-4643-9D5B-A074C337D45A}"/>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(N=441) </c:v>
                </c:pt>
                <c:pt idx="1">
                  <c:v> 2016 
(N=460)</c:v>
                </c:pt>
                <c:pt idx="2">
                  <c:v> 2017 
(N=472) </c:v>
                </c:pt>
                <c:pt idx="3">
                  <c:v> 2018 
(N=475) </c:v>
                </c:pt>
                <c:pt idx="4">
                  <c:v> 2019
(N=472) </c:v>
                </c:pt>
                <c:pt idx="5">
                  <c:v> 2020
(N=500) </c:v>
                </c:pt>
              </c:strCache>
            </c:strRef>
          </c:cat>
          <c:val>
            <c:numRef>
              <c:f>Sheet1!$C$2:$C$7</c:f>
              <c:numCache>
                <c:formatCode>#\ ###</c:formatCode>
                <c:ptCount val="6"/>
                <c:pt idx="0">
                  <c:v>34</c:v>
                </c:pt>
                <c:pt idx="1">
                  <c:v>28</c:v>
                </c:pt>
                <c:pt idx="2">
                  <c:v>35</c:v>
                </c:pt>
                <c:pt idx="3">
                  <c:v>45</c:v>
                </c:pt>
                <c:pt idx="4">
                  <c:v>40</c:v>
                </c:pt>
                <c:pt idx="5">
                  <c:v>56</c:v>
                </c:pt>
              </c:numCache>
            </c:numRef>
          </c:val>
          <c:extLst>
            <c:ext xmlns:c16="http://schemas.microsoft.com/office/drawing/2014/chart" uri="{C3380CC4-5D6E-409C-BE32-E72D297353CC}">
              <c16:uniqueId val="{00000007-B631-4643-9D5B-A074C337D45A}"/>
            </c:ext>
          </c:extLst>
        </c:ser>
        <c:ser>
          <c:idx val="2"/>
          <c:order val="2"/>
          <c:tx>
            <c:strRef>
              <c:f>Sheet1!$D$1</c:f>
              <c:strCache>
                <c:ptCount val="1"/>
                <c:pt idx="0">
                  <c:v> Casual </c:v>
                </c:pt>
              </c:strCache>
            </c:strRef>
          </c:tx>
          <c:spPr>
            <a:solidFill>
              <a:schemeClr val="accent3"/>
            </a:solidFill>
            <a:ln>
              <a:noFill/>
            </a:ln>
            <a:effectLst/>
          </c:spPr>
          <c:invertIfNegative val="0"/>
          <c:dLbls>
            <c:dLbl>
              <c:idx val="0"/>
              <c:layout>
                <c:manualLayout>
                  <c:x val="-2.8239558760857657E-17"/>
                  <c:y val="2.07792207792207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31-4643-9D5B-A074C337D45A}"/>
                </c:ext>
              </c:extLst>
            </c:dLbl>
            <c:dLbl>
              <c:idx val="1"/>
              <c:layout>
                <c:manualLayout>
                  <c:x val="0"/>
                  <c:y val="1.038961038961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631-4643-9D5B-A074C337D45A}"/>
                </c:ext>
              </c:extLst>
            </c:dLbl>
            <c:dLbl>
              <c:idx val="2"/>
              <c:layout>
                <c:manualLayout>
                  <c:x val="0"/>
                  <c:y val="1.55844155844155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631-4643-9D5B-A074C337D45A}"/>
                </c:ext>
              </c:extLst>
            </c:dLbl>
            <c:dLbl>
              <c:idx val="3"/>
              <c:layout>
                <c:manualLayout>
                  <c:x val="3.0807147258163892E-3"/>
                  <c:y val="2.07792207792207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631-4643-9D5B-A074C337D45A}"/>
                </c:ext>
              </c:extLst>
            </c:dLbl>
            <c:dLbl>
              <c:idx val="4"/>
              <c:layout>
                <c:manualLayout>
                  <c:x val="0"/>
                  <c:y val="1.55844155844155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631-4643-9D5B-A074C337D45A}"/>
                </c:ext>
              </c:extLst>
            </c:dLbl>
            <c:dLbl>
              <c:idx val="5"/>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631-4643-9D5B-A074C337D45A}"/>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(N=441) </c:v>
                </c:pt>
                <c:pt idx="1">
                  <c:v> 2016 
(N=460)</c:v>
                </c:pt>
                <c:pt idx="2">
                  <c:v> 2017 
(N=472) </c:v>
                </c:pt>
                <c:pt idx="3">
                  <c:v> 2018 
(N=475) </c:v>
                </c:pt>
                <c:pt idx="4">
                  <c:v> 2019
(N=472) </c:v>
                </c:pt>
                <c:pt idx="5">
                  <c:v> 2020
(N=500) </c:v>
                </c:pt>
              </c:strCache>
            </c:strRef>
          </c:cat>
          <c:val>
            <c:numRef>
              <c:f>Sheet1!$D$2:$D$7</c:f>
              <c:numCache>
                <c:formatCode>#\ ###</c:formatCode>
                <c:ptCount val="6"/>
                <c:pt idx="0">
                  <c:v>5</c:v>
                </c:pt>
                <c:pt idx="1">
                  <c:v>12</c:v>
                </c:pt>
                <c:pt idx="2">
                  <c:v>12</c:v>
                </c:pt>
                <c:pt idx="3">
                  <c:v>10</c:v>
                </c:pt>
                <c:pt idx="4">
                  <c:v>9</c:v>
                </c:pt>
                <c:pt idx="5">
                  <c:v>9</c:v>
                </c:pt>
              </c:numCache>
            </c:numRef>
          </c:val>
          <c:extLst>
            <c:ext xmlns:c16="http://schemas.microsoft.com/office/drawing/2014/chart" uri="{C3380CC4-5D6E-409C-BE32-E72D297353CC}">
              <c16:uniqueId val="{0000000E-B631-4643-9D5B-A074C337D45A}"/>
            </c:ext>
          </c:extLst>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631-4643-9D5B-A074C337D45A}"/>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631-4643-9D5B-A074C337D45A}"/>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631-4643-9D5B-A074C337D45A}"/>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631-4643-9D5B-A074C337D45A}"/>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631-4643-9D5B-A074C337D45A}"/>
                </c:ext>
              </c:extLst>
            </c:dLbl>
            <c:dLbl>
              <c:idx val="5"/>
              <c:delete val="1"/>
              <c:extLst>
                <c:ext xmlns:c15="http://schemas.microsoft.com/office/drawing/2012/chart" uri="{CE6537A1-D6FC-4f65-9D91-7224C49458BB}"/>
                <c:ext xmlns:c16="http://schemas.microsoft.com/office/drawing/2014/chart" uri="{C3380CC4-5D6E-409C-BE32-E72D297353CC}">
                  <c16:uniqueId val="{00000014-B631-4643-9D5B-A074C337D45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(N=441) </c:v>
                </c:pt>
                <c:pt idx="1">
                  <c:v> 2016 
(N=460)</c:v>
                </c:pt>
                <c:pt idx="2">
                  <c:v> 2017 
(N=472) </c:v>
                </c:pt>
                <c:pt idx="3">
                  <c:v> 2018 
(N=475) </c:v>
                </c:pt>
                <c:pt idx="4">
                  <c:v> 2019
(N=472) </c:v>
                </c:pt>
                <c:pt idx="5">
                  <c:v> 2020
(N=500) </c:v>
                </c:pt>
              </c:strCache>
            </c:strRef>
          </c:cat>
          <c:val>
            <c:numRef>
              <c:f>Sheet1!$E$2:$E$7</c:f>
              <c:numCache>
                <c:formatCode>#\ ###</c:formatCode>
                <c:ptCount val="6"/>
                <c:pt idx="0">
                  <c:v>1</c:v>
                </c:pt>
                <c:pt idx="1">
                  <c:v>4</c:v>
                </c:pt>
                <c:pt idx="2">
                  <c:v>1</c:v>
                </c:pt>
                <c:pt idx="3">
                  <c:v>2</c:v>
                </c:pt>
                <c:pt idx="4">
                  <c:v>1</c:v>
                </c:pt>
                <c:pt idx="5">
                  <c:v>0</c:v>
                </c:pt>
              </c:numCache>
            </c:numRef>
          </c:val>
          <c:extLst>
            <c:ext xmlns:c16="http://schemas.microsoft.com/office/drawing/2014/chart" uri="{C3380CC4-5D6E-409C-BE32-E72D297353CC}">
              <c16:uniqueId val="{00000015-B631-4643-9D5B-A074C337D45A}"/>
            </c:ext>
          </c:extLst>
        </c:ser>
        <c:dLbls>
          <c:dLblPos val="ctr"/>
          <c:showLegendKey val="0"/>
          <c:showVal val="1"/>
          <c:showCatName val="0"/>
          <c:showSerName val="0"/>
          <c:showPercent val="0"/>
          <c:showBubbleSize val="0"/>
        </c:dLbls>
        <c:gapWidth val="150"/>
        <c:overlap val="100"/>
        <c:axId val="428197152"/>
        <c:axId val="428198720"/>
      </c:barChart>
      <c:catAx>
        <c:axId val="42819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8198720"/>
        <c:crosses val="autoZero"/>
        <c:auto val="1"/>
        <c:lblAlgn val="ctr"/>
        <c:lblOffset val="100"/>
        <c:noMultiLvlLbl val="0"/>
      </c:catAx>
      <c:valAx>
        <c:axId val="42819872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819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Student program hires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(N=17)</c:v>
                </c:pt>
                <c:pt idx="1">
                  <c:v>2016-17
 (N=7)</c:v>
                </c:pt>
                <c:pt idx="2">
                  <c:v>2017-18
 (N=11)</c:v>
                </c:pt>
                <c:pt idx="3">
                  <c:v>2018-19
 (N=3)</c:v>
                </c:pt>
                <c:pt idx="4">
                  <c:v>2019-20
 (N=9)</c:v>
                </c:pt>
              </c:strCache>
            </c:strRef>
          </c:cat>
          <c:val>
            <c:numRef>
              <c:f>Sheet1!$B$2:$B$6</c:f>
              <c:numCache>
                <c:formatCode>General</c:formatCode>
                <c:ptCount val="5"/>
                <c:pt idx="0">
                  <c:v>17</c:v>
                </c:pt>
                <c:pt idx="1">
                  <c:v>7</c:v>
                </c:pt>
                <c:pt idx="2">
                  <c:v>11</c:v>
                </c:pt>
                <c:pt idx="3">
                  <c:v>3</c:v>
                </c:pt>
                <c:pt idx="4">
                  <c:v>9</c:v>
                </c:pt>
              </c:numCache>
            </c:numRef>
          </c:val>
          <c:extLst>
            <c:ext xmlns:c16="http://schemas.microsoft.com/office/drawing/2014/chart" uri="{C3380CC4-5D6E-409C-BE32-E72D297353CC}">
              <c16:uniqueId val="{00000000-56E6-423A-BB24-B43AFD424C37}"/>
            </c:ext>
          </c:extLst>
        </c:ser>
        <c:ser>
          <c:idx val="1"/>
          <c:order val="1"/>
          <c:tx>
            <c:strRef>
              <c:f>Sheet1!$C$1</c:f>
              <c:strCache>
                <c:ptCount val="1"/>
                <c:pt idx="0">
                  <c:v>Post-Secondary CO-OP/Internship Program (COOP)</c:v>
                </c:pt>
              </c:strCache>
            </c:strRef>
          </c:tx>
          <c:spPr>
            <a:solidFill>
              <a:schemeClr val="accent2"/>
            </a:solidFill>
            <a:ln>
              <a:noFill/>
            </a:ln>
            <a:effectLst/>
          </c:spPr>
          <c:invertIfNegative val="0"/>
          <c:dLbls>
            <c:delete val="1"/>
          </c:dLbls>
          <c:cat>
            <c:strRef>
              <c:f>Sheet1!$A$2:$A$6</c:f>
              <c:strCache>
                <c:ptCount val="5"/>
                <c:pt idx="0">
                  <c:v>2015-16
 (N=17)</c:v>
                </c:pt>
                <c:pt idx="1">
                  <c:v>2016-17
 (N=7)</c:v>
                </c:pt>
                <c:pt idx="2">
                  <c:v>2017-18
 (N=11)</c:v>
                </c:pt>
                <c:pt idx="3">
                  <c:v>2018-19
 (N=3)</c:v>
                </c:pt>
                <c:pt idx="4">
                  <c:v>2019-20
 (N=9)</c:v>
                </c:pt>
              </c:strCache>
            </c:strRef>
          </c:cat>
          <c:val>
            <c:numRef>
              <c:f>Sheet1!$C$2:$C$6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56E6-423A-BB24-B43AFD424C37}"/>
            </c:ext>
          </c:extLst>
        </c:ser>
        <c:ser>
          <c:idx val="2"/>
          <c:order val="2"/>
          <c:tx>
            <c:strRef>
              <c:f>Sheet1!$D$1</c:f>
              <c:strCache>
                <c:ptCount val="1"/>
                <c:pt idx="0">
                  <c:v>Research Affiliate Program (RAP)</c:v>
                </c:pt>
              </c:strCache>
            </c:strRef>
          </c:tx>
          <c:spPr>
            <a:solidFill>
              <a:schemeClr val="accent3"/>
            </a:solidFill>
            <a:ln>
              <a:noFill/>
            </a:ln>
            <a:effectLst/>
          </c:spPr>
          <c:invertIfNegative val="0"/>
          <c:dLbls>
            <c:delete val="1"/>
          </c:dLbls>
          <c:cat>
            <c:strRef>
              <c:f>Sheet1!$A$2:$A$6</c:f>
              <c:strCache>
                <c:ptCount val="5"/>
                <c:pt idx="0">
                  <c:v>2015-16
 (N=17)</c:v>
                </c:pt>
                <c:pt idx="1">
                  <c:v>2016-17
 (N=7)</c:v>
                </c:pt>
                <c:pt idx="2">
                  <c:v>2017-18
 (N=11)</c:v>
                </c:pt>
                <c:pt idx="3">
                  <c:v>2018-19
 (N=3)</c:v>
                </c:pt>
                <c:pt idx="4">
                  <c:v>2019-20
 (N=9)</c:v>
                </c:pt>
              </c:strCache>
            </c:strRef>
          </c:cat>
          <c:val>
            <c:numRef>
              <c:f>Sheet1!$D$2:$D$6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56E6-423A-BB24-B43AFD424C37}"/>
            </c:ext>
          </c:extLst>
        </c:ser>
        <c:dLbls>
          <c:dLblPos val="ctr"/>
          <c:showLegendKey val="0"/>
          <c:showVal val="1"/>
          <c:showCatName val="0"/>
          <c:showSerName val="0"/>
          <c:showPercent val="0"/>
          <c:showBubbleSize val="0"/>
        </c:dLbls>
        <c:gapWidth val="150"/>
        <c:overlap val="100"/>
        <c:axId val="496859368"/>
        <c:axId val="496859760"/>
      </c:barChart>
      <c:catAx>
        <c:axId val="496859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6859760"/>
        <c:crosses val="autoZero"/>
        <c:auto val="1"/>
        <c:lblAlgn val="ctr"/>
        <c:lblOffset val="100"/>
        <c:noMultiLvlLbl val="0"/>
      </c:catAx>
      <c:valAx>
        <c:axId val="496859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6859368"/>
        <c:crosses val="autoZero"/>
        <c:crossBetween val="between"/>
      </c:valAx>
      <c:spPr>
        <a:noFill/>
        <a:ln>
          <a:noFill/>
        </a:ln>
        <a:effectLst/>
      </c:spPr>
    </c:plotArea>
    <c:legend>
      <c:legendPos val="b"/>
      <c:layout>
        <c:manualLayout>
          <c:xMode val="edge"/>
          <c:yMode val="edge"/>
          <c:x val="4.2890265000242525E-2"/>
          <c:y val="0.8306778421691916"/>
          <c:w val="0.93475302753480249"/>
          <c:h val="0.1501356651216755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indeterminate and term hiring activities: Post-Secondary Recruitment Program and former student hires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22993818021404269"/>
          <c:w val="0.90621744112971792"/>
          <c:h val="0.49372254216496148"/>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7837-494B-8969-B6F188EA85D1}"/>
                </c:ext>
              </c:extLst>
            </c:dLbl>
            <c:dLbl>
              <c:idx val="2"/>
              <c:delete val="1"/>
              <c:extLst>
                <c:ext xmlns:c15="http://schemas.microsoft.com/office/drawing/2012/chart" uri="{CE6537A1-D6FC-4f65-9D91-7224C49458BB}"/>
                <c:ext xmlns:c16="http://schemas.microsoft.com/office/drawing/2014/chart" uri="{C3380CC4-5D6E-409C-BE32-E72D297353CC}">
                  <c16:uniqueId val="{00000001-7837-494B-8969-B6F188EA85D1}"/>
                </c:ext>
              </c:extLst>
            </c:dLbl>
            <c:dLbl>
              <c:idx val="3"/>
              <c:delete val="1"/>
              <c:extLst>
                <c:ext xmlns:c15="http://schemas.microsoft.com/office/drawing/2012/chart" uri="{CE6537A1-D6FC-4f65-9D91-7224C49458BB}"/>
                <c:ext xmlns:c16="http://schemas.microsoft.com/office/drawing/2014/chart" uri="{C3380CC4-5D6E-409C-BE32-E72D297353CC}">
                  <c16:uniqueId val="{00000002-7837-494B-8969-B6F188EA85D1}"/>
                </c:ext>
              </c:extLst>
            </c:dLbl>
            <c:dLbl>
              <c:idx val="4"/>
              <c:delete val="1"/>
              <c:extLst>
                <c:ext xmlns:c15="http://schemas.microsoft.com/office/drawing/2012/chart" uri="{CE6537A1-D6FC-4f65-9D91-7224C49458BB}"/>
                <c:ext xmlns:c16="http://schemas.microsoft.com/office/drawing/2014/chart" uri="{C3380CC4-5D6E-409C-BE32-E72D297353CC}">
                  <c16:uniqueId val="{00000003-7837-494B-8969-B6F188EA85D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Sheet1!$B$2:$B$6</c:f>
              <c:numCache>
                <c:formatCode>_-* #,##0_-;\-* #,##0_-;_-* "-"??_-;_-@_-</c:formatCode>
                <c:ptCount val="5"/>
                <c:pt idx="0">
                  <c:v>1</c:v>
                </c:pt>
                <c:pt idx="1">
                  <c:v>0</c:v>
                </c:pt>
                <c:pt idx="2">
                  <c:v>0</c:v>
                </c:pt>
                <c:pt idx="3">
                  <c:v>0</c:v>
                </c:pt>
                <c:pt idx="4">
                  <c:v>0</c:v>
                </c:pt>
              </c:numCache>
            </c:numRef>
          </c:val>
          <c:extLst>
            <c:ext xmlns:c16="http://schemas.microsoft.com/office/drawing/2014/chart" uri="{C3380CC4-5D6E-409C-BE32-E72D297353CC}">
              <c16:uniqueId val="{00000004-7837-494B-8969-B6F188EA85D1}"/>
            </c:ext>
          </c:extLst>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Sheet1!$C$2:$C$6</c:f>
              <c:numCache>
                <c:formatCode>_-* #,##0_-;\-* #,##0_-;_-* "-"??_-;_-@_-</c:formatCode>
                <c:ptCount val="5"/>
                <c:pt idx="0">
                  <c:v>2</c:v>
                </c:pt>
                <c:pt idx="1">
                  <c:v>2</c:v>
                </c:pt>
                <c:pt idx="2">
                  <c:v>4</c:v>
                </c:pt>
                <c:pt idx="3">
                  <c:v>4</c:v>
                </c:pt>
                <c:pt idx="4">
                  <c:v>1</c:v>
                </c:pt>
              </c:numCache>
            </c:numRef>
          </c:val>
          <c:extLst>
            <c:ext xmlns:c16="http://schemas.microsoft.com/office/drawing/2014/chart" uri="{C3380CC4-5D6E-409C-BE32-E72D297353CC}">
              <c16:uniqueId val="{00000005-7837-494B-8969-B6F188EA85D1}"/>
            </c:ext>
          </c:extLst>
        </c:ser>
        <c:dLbls>
          <c:showLegendKey val="0"/>
          <c:showVal val="1"/>
          <c:showCatName val="0"/>
          <c:showSerName val="0"/>
          <c:showPercent val="0"/>
          <c:showBubbleSize val="0"/>
        </c:dLbls>
        <c:gapWidth val="150"/>
        <c:shape val="box"/>
        <c:axId val="496857016"/>
        <c:axId val="422146664"/>
        <c:axId val="0"/>
      </c:bar3DChart>
      <c:catAx>
        <c:axId val="496857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146664"/>
        <c:crosses val="autoZero"/>
        <c:auto val="1"/>
        <c:lblAlgn val="ctr"/>
        <c:lblOffset val="100"/>
        <c:noMultiLvlLbl val="0"/>
      </c:catAx>
      <c:valAx>
        <c:axId val="42214666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6857016"/>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Internal time to staff</a:t>
            </a:r>
          </a:p>
          <a:p>
            <a:pPr>
              <a:defRPr sz="1200"/>
            </a:pPr>
            <a:r>
              <a:rPr lang="en-CA" sz="1200" b="1" i="0" baseline="0">
                <a:solidFill>
                  <a:sysClr val="windowText" lastClr="000000"/>
                </a:solidFill>
                <a:effectLst/>
              </a:rPr>
              <a:t>Public service median = 175 days</a:t>
            </a:r>
            <a:endParaRPr lang="en-CA" sz="1200" b="1">
              <a:solidFill>
                <a:sysClr val="windowText" lastClr="000000"/>
              </a:solidFill>
              <a:effectLst/>
            </a:endParaRPr>
          </a:p>
          <a:p>
            <a:pPr>
              <a:defRPr sz="1200"/>
            </a:pPr>
            <a:r>
              <a:rPr lang="en-CA" sz="1200" b="1" i="0" baseline="0">
                <a:effectLst/>
              </a:rPr>
              <a:t> </a:t>
            </a:r>
            <a:r>
              <a:rPr lang="en-CA" sz="1200" baseline="0">
                <a:solidFill>
                  <a:sysClr val="windowText" lastClr="000000"/>
                </a:solidFill>
              </a:rPr>
              <a:t>2019-2020</a:t>
            </a:r>
            <a:endParaRPr lang="en-CA" sz="1200">
              <a:solidFill>
                <a:sysClr val="windowText" lastClr="000000"/>
              </a:solidFill>
            </a:endParaRP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13</c:v>
                </c:pt>
                <c:pt idx="2">
                  <c:v>106</c:v>
                </c:pt>
                <c:pt idx="3">
                  <c:v>256</c:v>
                </c:pt>
                <c:pt idx="4">
                  <c:v>331</c:v>
                </c:pt>
                <c:pt idx="5">
                  <c:v>313</c:v>
                </c:pt>
                <c:pt idx="6">
                  <c:v>314</c:v>
                </c:pt>
                <c:pt idx="7">
                  <c:v>258</c:v>
                </c:pt>
                <c:pt idx="8">
                  <c:v>191</c:v>
                </c:pt>
                <c:pt idx="9">
                  <c:v>143</c:v>
                </c:pt>
                <c:pt idx="10">
                  <c:v>109</c:v>
                </c:pt>
                <c:pt idx="11">
                  <c:v>91</c:v>
                </c:pt>
                <c:pt idx="12">
                  <c:v>70</c:v>
                </c:pt>
                <c:pt idx="13">
                  <c:v>49</c:v>
                </c:pt>
                <c:pt idx="14">
                  <c:v>43</c:v>
                </c:pt>
                <c:pt idx="15">
                  <c:v>41</c:v>
                </c:pt>
                <c:pt idx="16">
                  <c:v>36</c:v>
                </c:pt>
                <c:pt idx="17">
                  <c:v>20</c:v>
                </c:pt>
                <c:pt idx="18">
                  <c:v>15</c:v>
                </c:pt>
                <c:pt idx="19">
                  <c:v>23</c:v>
                </c:pt>
                <c:pt idx="20">
                  <c:v>20</c:v>
                </c:pt>
                <c:pt idx="21">
                  <c:v>18</c:v>
                </c:pt>
                <c:pt idx="22">
                  <c:v>11</c:v>
                </c:pt>
                <c:pt idx="23">
                  <c:v>15</c:v>
                </c:pt>
                <c:pt idx="24">
                  <c:v>6</c:v>
                </c:pt>
                <c:pt idx="25">
                  <c:v>11</c:v>
                </c:pt>
                <c:pt idx="26">
                  <c:v>6</c:v>
                </c:pt>
                <c:pt idx="27">
                  <c:v>5</c:v>
                </c:pt>
                <c:pt idx="28">
                  <c:v>6</c:v>
                </c:pt>
                <c:pt idx="29">
                  <c:v>10</c:v>
                </c:pt>
                <c:pt idx="30">
                  <c:v>1</c:v>
                </c:pt>
                <c:pt idx="31">
                  <c:v>4</c:v>
                </c:pt>
                <c:pt idx="32">
                  <c:v>5</c:v>
                </c:pt>
                <c:pt idx="33">
                  <c:v>4</c:v>
                </c:pt>
                <c:pt idx="34">
                  <c:v>43</c:v>
                </c:pt>
              </c:numCache>
            </c:numRef>
          </c:val>
          <c:extLst>
            <c:ext xmlns:c16="http://schemas.microsoft.com/office/drawing/2014/chart" uri="{C3380CC4-5D6E-409C-BE32-E72D297353CC}">
              <c16:uniqueId val="{00000000-4C6B-43B5-AB03-0B9D7C03D157}"/>
            </c:ext>
          </c:extLst>
        </c:ser>
        <c:dLbls>
          <c:showLegendKey val="0"/>
          <c:showVal val="0"/>
          <c:showCatName val="0"/>
          <c:showSerName val="0"/>
          <c:showPercent val="0"/>
          <c:showBubbleSize val="0"/>
        </c:dLbls>
        <c:gapWidth val="150"/>
        <c:overlap val="100"/>
        <c:axId val="422146272"/>
        <c:axId val="422147840"/>
      </c:barChart>
      <c:catAx>
        <c:axId val="4221462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147840"/>
        <c:crosses val="autoZero"/>
        <c:auto val="1"/>
        <c:lblAlgn val="ctr"/>
        <c:lblOffset val="100"/>
        <c:noMultiLvlLbl val="0"/>
      </c:catAx>
      <c:valAx>
        <c:axId val="422147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146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time to staff</a:t>
            </a:r>
          </a:p>
          <a:p>
            <a:pPr>
              <a:defRPr sz="1200"/>
            </a:pPr>
            <a:r>
              <a:rPr lang="en-CA" sz="1200"/>
              <a:t>Public service median = 203 days</a:t>
            </a:r>
          </a:p>
          <a:p>
            <a:pPr>
              <a:defRPr sz="1200"/>
            </a:pPr>
            <a:r>
              <a:rPr lang="en-CA" sz="1200"/>
              <a:t> 2019-2020</a:t>
            </a:r>
          </a:p>
        </c:rich>
      </c:tx>
      <c:layout>
        <c:manualLayout>
          <c:xMode val="edge"/>
          <c:yMode val="edge"/>
          <c:x val="0.28931165126098374"/>
          <c:y val="1.27822283763291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55</c:v>
                </c:pt>
                <c:pt idx="2">
                  <c:v>75</c:v>
                </c:pt>
                <c:pt idx="3">
                  <c:v>95</c:v>
                </c:pt>
                <c:pt idx="4">
                  <c:v>108</c:v>
                </c:pt>
                <c:pt idx="5">
                  <c:v>166</c:v>
                </c:pt>
                <c:pt idx="6">
                  <c:v>164</c:v>
                </c:pt>
                <c:pt idx="7">
                  <c:v>160</c:v>
                </c:pt>
                <c:pt idx="8">
                  <c:v>133</c:v>
                </c:pt>
                <c:pt idx="9">
                  <c:v>122</c:v>
                </c:pt>
                <c:pt idx="10">
                  <c:v>101</c:v>
                </c:pt>
                <c:pt idx="11">
                  <c:v>80</c:v>
                </c:pt>
                <c:pt idx="12">
                  <c:v>61</c:v>
                </c:pt>
                <c:pt idx="13">
                  <c:v>50</c:v>
                </c:pt>
                <c:pt idx="14">
                  <c:v>45</c:v>
                </c:pt>
                <c:pt idx="15">
                  <c:v>34</c:v>
                </c:pt>
                <c:pt idx="16">
                  <c:v>34</c:v>
                </c:pt>
                <c:pt idx="17">
                  <c:v>21</c:v>
                </c:pt>
                <c:pt idx="18">
                  <c:v>16</c:v>
                </c:pt>
                <c:pt idx="19">
                  <c:v>19</c:v>
                </c:pt>
                <c:pt idx="20">
                  <c:v>13</c:v>
                </c:pt>
                <c:pt idx="21">
                  <c:v>7</c:v>
                </c:pt>
                <c:pt idx="22">
                  <c:v>7</c:v>
                </c:pt>
                <c:pt idx="23">
                  <c:v>4</c:v>
                </c:pt>
                <c:pt idx="24">
                  <c:v>11</c:v>
                </c:pt>
                <c:pt idx="25">
                  <c:v>6</c:v>
                </c:pt>
                <c:pt idx="26">
                  <c:v>2</c:v>
                </c:pt>
                <c:pt idx="27">
                  <c:v>4</c:v>
                </c:pt>
                <c:pt idx="28">
                  <c:v>4</c:v>
                </c:pt>
                <c:pt idx="29">
                  <c:v>0</c:v>
                </c:pt>
                <c:pt idx="30">
                  <c:v>1</c:v>
                </c:pt>
                <c:pt idx="31">
                  <c:v>0</c:v>
                </c:pt>
                <c:pt idx="32">
                  <c:v>0</c:v>
                </c:pt>
                <c:pt idx="33">
                  <c:v>0</c:v>
                </c:pt>
                <c:pt idx="34">
                  <c:v>0</c:v>
                </c:pt>
              </c:numCache>
            </c:numRef>
          </c:val>
          <c:extLst>
            <c:ext xmlns:c16="http://schemas.microsoft.com/office/drawing/2014/chart" uri="{C3380CC4-5D6E-409C-BE32-E72D297353CC}">
              <c16:uniqueId val="{00000000-D920-400D-9C15-71E85ABBCCBA}"/>
            </c:ext>
          </c:extLst>
        </c:ser>
        <c:dLbls>
          <c:showLegendKey val="0"/>
          <c:showVal val="0"/>
          <c:showCatName val="0"/>
          <c:showSerName val="0"/>
          <c:showPercent val="0"/>
          <c:showBubbleSize val="0"/>
        </c:dLbls>
        <c:gapWidth val="150"/>
        <c:overlap val="100"/>
        <c:axId val="422145096"/>
        <c:axId val="422147448"/>
      </c:barChart>
      <c:catAx>
        <c:axId val="4221450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147448"/>
        <c:crosses val="autoZero"/>
        <c:auto val="1"/>
        <c:lblAlgn val="ctr"/>
        <c:lblOffset val="100"/>
        <c:noMultiLvlLbl val="0"/>
      </c:catAx>
      <c:valAx>
        <c:axId val="422147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145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Population by language requirements as of March 31, 2020 (N=500)</a:t>
            </a:r>
          </a:p>
        </c:rich>
      </c:tx>
      <c:layout>
        <c:manualLayout>
          <c:xMode val="edge"/>
          <c:yMode val="edge"/>
          <c:x val="0.16200875788537977"/>
          <c:y val="4.2052144659377629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823059401084E-2"/>
          <c:y val="0.34244783216227498"/>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0CB-4332-8FDB-5ABCC9F38AE0}"/>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0CB-4332-8FDB-5ABCC9F38AE0}"/>
              </c:ext>
            </c:extLst>
          </c:dPt>
          <c:dLbls>
            <c:dLbl>
              <c:idx val="0"/>
              <c:layout>
                <c:manualLayout>
                  <c:x val="-7.0422535211267609E-2"/>
                  <c:y val="5.1527134425801129E-4"/>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 xmlns:c16="http://schemas.microsoft.com/office/drawing/2014/chart" uri="{C3380CC4-5D6E-409C-BE32-E72D297353CC}">
                  <c16:uniqueId val="{00000001-50CB-4332-8FDB-5ABCC9F38AE0}"/>
                </c:ext>
              </c:extLst>
            </c:dLbl>
            <c:dLbl>
              <c:idx val="1"/>
              <c:layout>
                <c:manualLayout>
                  <c:x val="0.10954616588419405"/>
                  <c:y val="-2.3181086030307917E-3"/>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 xmlns:c16="http://schemas.microsoft.com/office/drawing/2014/chart" uri="{C3380CC4-5D6E-409C-BE32-E72D297353CC}">
                  <c16:uniqueId val="{00000003-50CB-4332-8FDB-5ABCC9F38AE0}"/>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87</c:v>
                </c:pt>
                <c:pt idx="1">
                  <c:v>363</c:v>
                </c:pt>
              </c:numCache>
            </c:numRef>
          </c:val>
          <c:extLst>
            <c:ext xmlns:c16="http://schemas.microsoft.com/office/drawing/2014/chart" uri="{C3380CC4-5D6E-409C-BE32-E72D297353CC}">
              <c16:uniqueId val="{00000004-50CB-4332-8FDB-5ABCC9F38AE0}"/>
            </c:ext>
          </c:extLst>
        </c:ser>
        <c:dLbls>
          <c:showLegendKey val="0"/>
          <c:showVal val="0"/>
          <c:showCatName val="0"/>
          <c:showSerName val="0"/>
          <c:showPercent val="0"/>
          <c:showBubbleSize val="0"/>
          <c:showLeaderLines val="1"/>
        </c:dLbls>
        <c:firstSliceAng val="5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Population by occupational group as of March 31, 2020</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917050463029E-2"/>
          <c:y val="0.35378984241755779"/>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8BDE-4AE8-8865-0C793B675408}"/>
              </c:ext>
            </c:extLst>
          </c:dPt>
          <c:dLbls>
            <c:dLbl>
              <c:idx val="0"/>
              <c:layout>
                <c:manualLayout>
                  <c:x val="0.35616426484425295"/>
                  <c:y val="0.3228017606748572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974842767295598"/>
                      <c:h val="0.19172523668004535"/>
                    </c:manualLayout>
                  </c15:layout>
                </c:ext>
                <c:ext xmlns:c16="http://schemas.microsoft.com/office/drawing/2014/chart" uri="{C3380CC4-5D6E-409C-BE32-E72D297353CC}">
                  <c16:uniqueId val="{00000001-8BDE-4AE8-8865-0C793B675408}"/>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NB</c:v>
                </c:pt>
              </c:strCache>
            </c:strRef>
          </c:cat>
          <c:val>
            <c:numRef>
              <c:f>Sheet1!$B$2</c:f>
              <c:numCache>
                <c:formatCode>General</c:formatCode>
                <c:ptCount val="1"/>
                <c:pt idx="0">
                  <c:v>500</c:v>
                </c:pt>
              </c:numCache>
            </c:numRef>
          </c:val>
          <c:extLst>
            <c:ext xmlns:c16="http://schemas.microsoft.com/office/drawing/2014/chart" uri="{C3380CC4-5D6E-409C-BE32-E72D297353CC}">
              <c16:uniqueId val="{00000002-8BDE-4AE8-8865-0C793B675408}"/>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Population by region as of March 31, 2020 (N=500)</a:t>
            </a:r>
          </a:p>
        </c:rich>
      </c:tx>
      <c:layout>
        <c:manualLayout>
          <c:xMode val="edge"/>
          <c:yMode val="edge"/>
          <c:x val="0.1005859238693429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E01-400F-B771-272E738BAA63}"/>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E01-400F-B771-272E738BAA63}"/>
              </c:ext>
            </c:extLst>
          </c:dPt>
          <c:dLbls>
            <c:dLbl>
              <c:idx val="0"/>
              <c:layout>
                <c:manualLayout>
                  <c:x val="0.25433526011560692"/>
                  <c:y val="-0.171117448794399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01-400F-B771-272E738BAA63}"/>
                </c:ext>
              </c:extLst>
            </c:dLbl>
            <c:dLbl>
              <c:idx val="1"/>
              <c:layout>
                <c:manualLayout>
                  <c:x val="0.26204269264029856"/>
                  <c:y val="-3.184719877347455E-3"/>
                </c:manualLayout>
              </c:layout>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 xmlns:c16="http://schemas.microsoft.com/office/drawing/2014/chart" uri="{C3380CC4-5D6E-409C-BE32-E72D297353CC}">
                  <c16:uniqueId val="{00000003-AE01-400F-B771-272E738BAA63}"/>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Non-NCR</c:v>
                </c:pt>
              </c:strCache>
            </c:strRef>
          </c:cat>
          <c:val>
            <c:numRef>
              <c:f>Sheet1!$B$2:$B$3</c:f>
              <c:numCache>
                <c:formatCode>0</c:formatCode>
                <c:ptCount val="2"/>
                <c:pt idx="1">
                  <c:v>500</c:v>
                </c:pt>
              </c:numCache>
            </c:numRef>
          </c:val>
          <c:extLst>
            <c:ext xmlns:c16="http://schemas.microsoft.com/office/drawing/2014/chart" uri="{C3380CC4-5D6E-409C-BE32-E72D297353CC}">
              <c16:uniqueId val="{00000004-AE01-400F-B771-272E738BAA63}"/>
            </c:ext>
          </c:extLst>
        </c:ser>
        <c:dLbls>
          <c:showLegendKey val="0"/>
          <c:showVal val="0"/>
          <c:showCatName val="0"/>
          <c:showSerName val="0"/>
          <c:showPercent val="0"/>
          <c:showBubbleSize val="0"/>
          <c:showLeaderLines val="1"/>
        </c:dLbls>
        <c:firstSliceAng val="9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External indeterminate hires by </a:t>
            </a:r>
          </a:p>
          <a:p>
            <a:pPr>
              <a:defRPr sz="1200" b="1"/>
            </a:pPr>
            <a:r>
              <a:rPr lang="en-US" sz="1200" b="1"/>
              <a:t>occupational group,</a:t>
            </a:r>
          </a:p>
          <a:p>
            <a:pPr>
              <a:defRPr sz="1200" b="1"/>
            </a:pPr>
            <a:r>
              <a:rPr lang="en-US" sz="1200" b="1"/>
              <a:t> 2019-20 (N=11)</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40382235735607"/>
          <c:y val="0.38892041879962652"/>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dPt>
            <c:idx val="0"/>
            <c:bubble3D val="0"/>
            <c:spPr>
              <a:solidFill>
                <a:schemeClr val="accent2"/>
              </a:solidFill>
              <a:ln w="6350">
                <a:solidFill>
                  <a:schemeClr val="lt1"/>
                </a:solidFill>
              </a:ln>
              <a:effectLst/>
            </c:spPr>
            <c:extLst>
              <c:ext xmlns:c16="http://schemas.microsoft.com/office/drawing/2014/chart" uri="{C3380CC4-5D6E-409C-BE32-E72D297353CC}">
                <c16:uniqueId val="{00000001-921B-4A0A-9D92-069E0479AD55}"/>
              </c:ext>
            </c:extLst>
          </c:dPt>
          <c:dLbls>
            <c:dLbl>
              <c:idx val="0"/>
              <c:layout>
                <c:manualLayout>
                  <c:x val="0"/>
                  <c:y val="1.39982502187226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21B-4A0A-9D92-069E0479AD55}"/>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NB</c:v>
                </c:pt>
              </c:strCache>
            </c:strRef>
          </c:cat>
          <c:val>
            <c:numRef>
              <c:f>Sheet1!$B$2</c:f>
              <c:numCache>
                <c:formatCode>General</c:formatCode>
                <c:ptCount val="1"/>
                <c:pt idx="0">
                  <c:v>11</c:v>
                </c:pt>
              </c:numCache>
            </c:numRef>
          </c:val>
          <c:extLst>
            <c:ext xmlns:c16="http://schemas.microsoft.com/office/drawing/2014/chart" uri="{C3380CC4-5D6E-409C-BE32-E72D297353CC}">
              <c16:uniqueId val="{00000002-921B-4A0A-9D92-069E0479AD55}"/>
            </c:ext>
          </c:extLst>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39078434757206781"/>
          <c:y val="4.165798791918350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0.11588452178128776"/>
          <c:w val="0.84333349635643373"/>
          <c:h val="0.53375855130230465"/>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cat>
            <c:strRef>
              <c:f>Sheet1!$A$2:$A$6</c:f>
              <c:strCache>
                <c:ptCount val="5"/>
                <c:pt idx="0">
                  <c:v>2015-16</c:v>
                </c:pt>
                <c:pt idx="1">
                  <c:v>2016-17</c:v>
                </c:pt>
                <c:pt idx="2">
                  <c:v>2017-18</c:v>
                </c:pt>
                <c:pt idx="3">
                  <c:v>2018-19</c:v>
                </c:pt>
                <c:pt idx="4">
                  <c:v>2019-20</c:v>
                </c:pt>
              </c:strCache>
            </c:strRef>
          </c:cat>
          <c:val>
            <c:numRef>
              <c:f>Sheet1!$B$2:$B$6</c:f>
              <c:numCache>
                <c:formatCode>0%</c:formatCode>
                <c:ptCount val="5"/>
                <c:pt idx="0">
                  <c:v>0</c:v>
                </c:pt>
                <c:pt idx="1">
                  <c:v>0</c:v>
                </c:pt>
                <c:pt idx="2">
                  <c:v>0</c:v>
                </c:pt>
                <c:pt idx="3">
                  <c:v>0</c:v>
                </c:pt>
                <c:pt idx="4">
                  <c:v>0</c:v>
                </c:pt>
              </c:numCache>
            </c:numRef>
          </c:val>
          <c:extLst>
            <c:ext xmlns:c16="http://schemas.microsoft.com/office/drawing/2014/chart" uri="{C3380CC4-5D6E-409C-BE32-E72D297353CC}">
              <c16:uniqueId val="{00000000-50DC-4846-B8E8-E5E8C50156C6}"/>
            </c:ext>
          </c:extLst>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DC-4846-B8E8-E5E8C50156C6}"/>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DC-4846-B8E8-E5E8C50156C6}"/>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DC-4846-B8E8-E5E8C50156C6}"/>
                </c:ext>
              </c:extLst>
            </c:dLbl>
            <c:dLbl>
              <c:idx val="3"/>
              <c:layout>
                <c:manualLayout>
                  <c:x val="1.1086474501108648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DC-4846-B8E8-E5E8C50156C6}"/>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DC-4846-B8E8-E5E8C50156C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Sheet1!$C$2:$C$6</c:f>
              <c:numCache>
                <c:formatCode>0%</c:formatCode>
                <c:ptCount val="5"/>
                <c:pt idx="0">
                  <c:v>1</c:v>
                </c:pt>
                <c:pt idx="1">
                  <c:v>1</c:v>
                </c:pt>
                <c:pt idx="2">
                  <c:v>1</c:v>
                </c:pt>
                <c:pt idx="3">
                  <c:v>1</c:v>
                </c:pt>
                <c:pt idx="4">
                  <c:v>1</c:v>
                </c:pt>
              </c:numCache>
            </c:numRef>
          </c:val>
          <c:extLst>
            <c:ext xmlns:c16="http://schemas.microsoft.com/office/drawing/2014/chart" uri="{C3380CC4-5D6E-409C-BE32-E72D297353CC}">
              <c16:uniqueId val="{00000006-50DC-4846-B8E8-E5E8C50156C6}"/>
            </c:ext>
          </c:extLst>
        </c:ser>
        <c:dLbls>
          <c:showLegendKey val="0"/>
          <c:showVal val="0"/>
          <c:showCatName val="0"/>
          <c:showSerName val="0"/>
          <c:showPercent val="0"/>
          <c:showBubbleSize val="0"/>
        </c:dLbls>
        <c:gapWidth val="150"/>
        <c:axId val="422676672"/>
        <c:axId val="422677848"/>
      </c:barChart>
      <c:catAx>
        <c:axId val="422676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677848"/>
        <c:crosses val="autoZero"/>
        <c:auto val="1"/>
        <c:lblAlgn val="ctr"/>
        <c:lblOffset val="100"/>
        <c:noMultiLvlLbl val="0"/>
      </c:catAx>
      <c:valAx>
        <c:axId val="42267784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676672"/>
        <c:crosses val="autoZero"/>
        <c:crossBetween val="between"/>
      </c:valAx>
      <c:spPr>
        <a:noFill/>
        <a:ln>
          <a:noFill/>
        </a:ln>
        <a:effectLst/>
      </c:spPr>
    </c:plotArea>
    <c:legend>
      <c:legendPos val="b"/>
      <c:layout>
        <c:manualLayout>
          <c:xMode val="edge"/>
          <c:yMode val="edge"/>
          <c:x val="0.15808585179624168"/>
          <c:y val="0.7746207952797225"/>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4806371800489527"/>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00-45A3-B66D-42FC975DD205}"/>
                </c:ext>
              </c:extLst>
            </c:dLbl>
            <c:dLbl>
              <c:idx val="1"/>
              <c:layout>
                <c:manualLayout>
                  <c:x val="-7.0912620297462819E-3"/>
                  <c:y val="1.7491691446562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00-45A3-B66D-42FC975DD205}"/>
                </c:ext>
              </c:extLst>
            </c:dLbl>
            <c:dLbl>
              <c:idx val="2"/>
              <c:layout>
                <c:manualLayout>
                  <c:x val="-1.3705708661417959E-3"/>
                  <c:y val="1.7491691446562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00-45A3-B66D-42FC975DD205}"/>
                </c:ext>
              </c:extLst>
            </c:dLbl>
            <c:dLbl>
              <c:idx val="3"/>
              <c:layout>
                <c:manualLayout>
                  <c:x val="-1.251804461942257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00-45A3-B66D-42FC975DD205}"/>
                </c:ext>
              </c:extLst>
            </c:dLbl>
            <c:dLbl>
              <c:idx val="4"/>
              <c:layout>
                <c:manualLayout>
                  <c:x val="-1.1859962817147985E-2"/>
                  <c:y val="1.4415081969922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00-45A3-B66D-42FC975DD20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Sheet1!$B$2:$B$6</c:f>
              <c:numCache>
                <c:formatCode>#\ ###</c:formatCode>
                <c:ptCount val="5"/>
                <c:pt idx="0">
                  <c:v>7</c:v>
                </c:pt>
                <c:pt idx="1">
                  <c:v>2</c:v>
                </c:pt>
                <c:pt idx="2">
                  <c:v>7</c:v>
                </c:pt>
                <c:pt idx="3">
                  <c:v>22</c:v>
                </c:pt>
                <c:pt idx="4">
                  <c:v>34</c:v>
                </c:pt>
              </c:numCache>
            </c:numRef>
          </c:val>
          <c:extLst>
            <c:ext xmlns:c16="http://schemas.microsoft.com/office/drawing/2014/chart" uri="{C3380CC4-5D6E-409C-BE32-E72D297353CC}">
              <c16:uniqueId val="{00000005-F600-45A3-B66D-42FC975DD205}"/>
            </c:ext>
          </c:extLst>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5085848643919512E-3"/>
                  <c:y val="1.6992558455993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00-45A3-B66D-42FC975DD205}"/>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00-45A3-B66D-42FC975DD205}"/>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00-45A3-B66D-42FC975DD205}"/>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00-45A3-B66D-42FC975DD205}"/>
                </c:ext>
              </c:extLst>
            </c:dLbl>
            <c:dLbl>
              <c:idx val="4"/>
              <c:layout>
                <c:manualLayout>
                  <c:x val="3.4541776027996502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00-45A3-B66D-42FC975DD20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Sheet1!$C$2:$C$6</c:f>
              <c:numCache>
                <c:formatCode>#\ ###</c:formatCode>
                <c:ptCount val="5"/>
                <c:pt idx="0">
                  <c:v>66</c:v>
                </c:pt>
                <c:pt idx="1">
                  <c:v>51</c:v>
                </c:pt>
                <c:pt idx="2">
                  <c:v>84</c:v>
                </c:pt>
                <c:pt idx="3">
                  <c:v>59</c:v>
                </c:pt>
                <c:pt idx="4">
                  <c:v>50</c:v>
                </c:pt>
              </c:numCache>
            </c:numRef>
          </c:val>
          <c:extLst>
            <c:ext xmlns:c16="http://schemas.microsoft.com/office/drawing/2014/chart" uri="{C3380CC4-5D6E-409C-BE32-E72D297353CC}">
              <c16:uniqueId val="{0000000B-F600-45A3-B66D-42FC975DD205}"/>
            </c:ext>
          </c:extLst>
        </c:ser>
        <c:dLbls>
          <c:showLegendKey val="0"/>
          <c:showVal val="0"/>
          <c:showCatName val="0"/>
          <c:showSerName val="0"/>
          <c:showPercent val="0"/>
          <c:showBubbleSize val="0"/>
        </c:dLbls>
        <c:gapWidth val="150"/>
        <c:axId val="422679024"/>
        <c:axId val="422677064"/>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8906796806649174E-2"/>
                  <c:y val="-1.9178193507690146E-2"/>
                </c:manualLayout>
              </c:layout>
              <c:showLegendKey val="0"/>
              <c:showVal val="1"/>
              <c:showCatName val="0"/>
              <c:showSerName val="0"/>
              <c:showPercent val="0"/>
              <c:showBubbleSize val="0"/>
              <c:extLst>
                <c:ext xmlns:c15="http://schemas.microsoft.com/office/drawing/2012/chart" uri="{CE6537A1-D6FC-4f65-9D91-7224C49458BB}">
                  <c15:layout>
                    <c:manualLayout>
                      <c:w val="7.4843886701662282E-2"/>
                      <c:h val="4.8924398705890285E-2"/>
                    </c:manualLayout>
                  </c15:layout>
                </c:ext>
                <c:ext xmlns:c16="http://schemas.microsoft.com/office/drawing/2014/chart" uri="{C3380CC4-5D6E-409C-BE32-E72D297353CC}">
                  <c16:uniqueId val="{0000000C-F600-45A3-B66D-42FC975DD205}"/>
                </c:ext>
              </c:extLst>
            </c:dLbl>
            <c:dLbl>
              <c:idx val="1"/>
              <c:layout>
                <c:manualLayout>
                  <c:x val="-6.9140966754155764E-2"/>
                  <c:y val="-4.4931885700748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00-45A3-B66D-42FC975DD205}"/>
                </c:ext>
              </c:extLst>
            </c:dLbl>
            <c:dLbl>
              <c:idx val="2"/>
              <c:layout>
                <c:manualLayout>
                  <c:x val="-8.1524496937882829E-2"/>
                  <c:y val="-3.5831523333503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600-45A3-B66D-42FC975DD205}"/>
                </c:ext>
              </c:extLst>
            </c:dLbl>
            <c:dLbl>
              <c:idx val="3"/>
              <c:layout>
                <c:manualLayout>
                  <c:x val="-9.1648348643919506E-2"/>
                  <c:y val="-1.71947458815330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00-45A3-B66D-42FC975DD205}"/>
                </c:ext>
              </c:extLst>
            </c:dLbl>
            <c:dLbl>
              <c:idx val="4"/>
              <c:layout>
                <c:manualLayout>
                  <c:x val="-4.9828302712160981E-2"/>
                  <c:y val="-2.9970291670511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600-45A3-B66D-42FC975DD20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Sheet1!$D$2:$D$6</c:f>
              <c:numCache>
                <c:formatCode>0%</c:formatCode>
                <c:ptCount val="5"/>
                <c:pt idx="0">
                  <c:v>0.1</c:v>
                </c:pt>
                <c:pt idx="1">
                  <c:v>0.04</c:v>
                </c:pt>
                <c:pt idx="2">
                  <c:v>0.08</c:v>
                </c:pt>
                <c:pt idx="3">
                  <c:v>0.27</c:v>
                </c:pt>
                <c:pt idx="4">
                  <c:v>0.4</c:v>
                </c:pt>
              </c:numCache>
            </c:numRef>
          </c:val>
          <c:smooth val="0"/>
          <c:extLst>
            <c:ext xmlns:c16="http://schemas.microsoft.com/office/drawing/2014/chart" uri="{C3380CC4-5D6E-409C-BE32-E72D297353CC}">
              <c16:uniqueId val="{00000011-F600-45A3-B66D-42FC975DD205}"/>
            </c:ext>
          </c:extLst>
        </c:ser>
        <c:dLbls>
          <c:showLegendKey val="0"/>
          <c:showVal val="0"/>
          <c:showCatName val="0"/>
          <c:showSerName val="0"/>
          <c:showPercent val="0"/>
          <c:showBubbleSize val="0"/>
        </c:dLbls>
        <c:marker val="1"/>
        <c:smooth val="0"/>
        <c:axId val="422679416"/>
        <c:axId val="422677456"/>
      </c:lineChart>
      <c:catAx>
        <c:axId val="422679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677064"/>
        <c:crosses val="autoZero"/>
        <c:auto val="1"/>
        <c:lblAlgn val="ctr"/>
        <c:lblOffset val="100"/>
        <c:noMultiLvlLbl val="0"/>
      </c:catAx>
      <c:valAx>
        <c:axId val="42267706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679024"/>
        <c:crosses val="autoZero"/>
        <c:crossBetween val="between"/>
      </c:valAx>
      <c:valAx>
        <c:axId val="422677456"/>
        <c:scaling>
          <c:orientation val="minMax"/>
          <c:max val="0.5"/>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679416"/>
        <c:crosses val="max"/>
        <c:crossBetween val="between"/>
        <c:majorUnit val="0.1"/>
      </c:valAx>
      <c:catAx>
        <c:axId val="422679416"/>
        <c:scaling>
          <c:orientation val="minMax"/>
        </c:scaling>
        <c:delete val="1"/>
        <c:axPos val="b"/>
        <c:numFmt formatCode="General" sourceLinked="1"/>
        <c:majorTickMark val="out"/>
        <c:minorTickMark val="none"/>
        <c:tickLblPos val="nextTo"/>
        <c:crossAx val="422677456"/>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appointment type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343E-3"/>
                  <c:y val="2.1785261457702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51-44E6-AACE-35035A6F8264}"/>
                </c:ext>
              </c:extLst>
            </c:dLbl>
            <c:dLbl>
              <c:idx val="1"/>
              <c:layout>
                <c:manualLayout>
                  <c:x val="-1.1111111111111112E-2"/>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51-44E6-AACE-35035A6F8264}"/>
                </c:ext>
              </c:extLst>
            </c:dLbl>
            <c:dLbl>
              <c:idx val="2"/>
              <c:layout>
                <c:manualLayout>
                  <c:x val="-1.1111111111111162E-2"/>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51-44E6-AACE-35035A6F8264}"/>
                </c:ext>
              </c:extLst>
            </c:dLbl>
            <c:dLbl>
              <c:idx val="3"/>
              <c:layout>
                <c:manualLayout>
                  <c:x val="-1.388888888888899E-2"/>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51-44E6-AACE-35035A6F8264}"/>
                </c:ext>
              </c:extLst>
            </c:dLbl>
            <c:dLbl>
              <c:idx val="4"/>
              <c:layout>
                <c:manualLayout>
                  <c:x val="-5.5555555555556572E-3"/>
                  <c:y val="1.5680193821926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51-44E6-AACE-35035A6F826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(N=195)</c:v>
                </c:pt>
                <c:pt idx="1">
                  <c:v>2016-17 
(N=164)</c:v>
                </c:pt>
                <c:pt idx="2">
                  <c:v>2017-18
(N=201)</c:v>
                </c:pt>
                <c:pt idx="3">
                  <c:v>2018-19
(N=185)</c:v>
                </c:pt>
                <c:pt idx="4">
                  <c:v>2019-20
(N=207)</c:v>
                </c:pt>
              </c:strCache>
            </c:strRef>
          </c:cat>
          <c:val>
            <c:numRef>
              <c:f>Sheet1!$B$3:$B$7</c:f>
              <c:numCache>
                <c:formatCode>#\ ###</c:formatCode>
                <c:ptCount val="5"/>
                <c:pt idx="0">
                  <c:v>73</c:v>
                </c:pt>
                <c:pt idx="1">
                  <c:v>43</c:v>
                </c:pt>
                <c:pt idx="2">
                  <c:v>51</c:v>
                </c:pt>
                <c:pt idx="3">
                  <c:v>60</c:v>
                </c:pt>
                <c:pt idx="4">
                  <c:v>62</c:v>
                </c:pt>
              </c:numCache>
            </c:numRef>
          </c:val>
          <c:extLst>
            <c:ext xmlns:c16="http://schemas.microsoft.com/office/drawing/2014/chart" uri="{C3380CC4-5D6E-409C-BE32-E72D297353CC}">
              <c16:uniqueId val="{00000005-3251-44E6-AACE-35035A6F8264}"/>
            </c:ext>
          </c:extLst>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809E-3"/>
                  <c:y val="1.1577629719362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51-44E6-AACE-35035A6F8264}"/>
                </c:ext>
              </c:extLst>
            </c:dLbl>
            <c:dLbl>
              <c:idx val="1"/>
              <c:layout>
                <c:manualLayout>
                  <c:x val="-2.7777777777777779E-3"/>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51-44E6-AACE-35035A6F8264}"/>
                </c:ext>
              </c:extLst>
            </c:dLbl>
            <c:dLbl>
              <c:idx val="2"/>
              <c:layout>
                <c:manualLayout>
                  <c:x val="-2.7777777777777779E-3"/>
                  <c:y val="1.176014536644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51-44E6-AACE-35035A6F8264}"/>
                </c:ext>
              </c:extLst>
            </c:dLbl>
            <c:dLbl>
              <c:idx val="3"/>
              <c:layout>
                <c:manualLayout>
                  <c:x val="-2.7777777777777779E-3"/>
                  <c:y val="7.65758126388047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51-44E6-AACE-35035A6F8264}"/>
                </c:ext>
              </c:extLst>
            </c:dLbl>
            <c:dLbl>
              <c:idx val="4"/>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251-44E6-AACE-35035A6F826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(N=195)</c:v>
                </c:pt>
                <c:pt idx="1">
                  <c:v>2016-17 
(N=164)</c:v>
                </c:pt>
                <c:pt idx="2">
                  <c:v>2017-18
(N=201)</c:v>
                </c:pt>
                <c:pt idx="3">
                  <c:v>2018-19
(N=185)</c:v>
                </c:pt>
                <c:pt idx="4">
                  <c:v>2019-20
(N=207)</c:v>
                </c:pt>
              </c:strCache>
            </c:strRef>
          </c:cat>
          <c:val>
            <c:numRef>
              <c:f>Sheet1!$C$3:$C$7</c:f>
              <c:numCache>
                <c:formatCode>#\ ###</c:formatCode>
                <c:ptCount val="5"/>
                <c:pt idx="0">
                  <c:v>30</c:v>
                </c:pt>
                <c:pt idx="1">
                  <c:v>39</c:v>
                </c:pt>
                <c:pt idx="2">
                  <c:v>41</c:v>
                </c:pt>
                <c:pt idx="3">
                  <c:v>46</c:v>
                </c:pt>
                <c:pt idx="4">
                  <c:v>35</c:v>
                </c:pt>
              </c:numCache>
            </c:numRef>
          </c:val>
          <c:extLst>
            <c:ext xmlns:c16="http://schemas.microsoft.com/office/drawing/2014/chart" uri="{C3380CC4-5D6E-409C-BE32-E72D297353CC}">
              <c16:uniqueId val="{0000000B-3251-44E6-AACE-35035A6F8264}"/>
            </c:ext>
          </c:extLst>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251-44E6-AACE-35035A6F8264}"/>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251-44E6-AACE-35035A6F8264}"/>
                </c:ext>
              </c:extLst>
            </c:dLbl>
            <c:dLbl>
              <c:idx val="2"/>
              <c:layout>
                <c:manualLayout>
                  <c:x val="-2.7777777777777779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251-44E6-AACE-35035A6F8264}"/>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251-44E6-AACE-35035A6F8264}"/>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251-44E6-AACE-35035A6F826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(N=195)</c:v>
                </c:pt>
                <c:pt idx="1">
                  <c:v>2016-17 
(N=164)</c:v>
                </c:pt>
                <c:pt idx="2">
                  <c:v>2017-18
(N=201)</c:v>
                </c:pt>
                <c:pt idx="3">
                  <c:v>2018-19
(N=185)</c:v>
                </c:pt>
                <c:pt idx="4">
                  <c:v>2019-20
(N=207)</c:v>
                </c:pt>
              </c:strCache>
            </c:strRef>
          </c:cat>
          <c:val>
            <c:numRef>
              <c:f>Sheet1!$D$3:$D$7</c:f>
              <c:numCache>
                <c:formatCode>#\ ###</c:formatCode>
                <c:ptCount val="5"/>
                <c:pt idx="0">
                  <c:v>68</c:v>
                </c:pt>
                <c:pt idx="1">
                  <c:v>64</c:v>
                </c:pt>
                <c:pt idx="2">
                  <c:v>80</c:v>
                </c:pt>
                <c:pt idx="3">
                  <c:v>47</c:v>
                </c:pt>
                <c:pt idx="4">
                  <c:v>67</c:v>
                </c:pt>
              </c:numCache>
            </c:numRef>
          </c:val>
          <c:extLst>
            <c:ext xmlns:c16="http://schemas.microsoft.com/office/drawing/2014/chart" uri="{C3380CC4-5D6E-409C-BE32-E72D297353CC}">
              <c16:uniqueId val="{00000011-3251-44E6-AACE-35035A6F8264}"/>
            </c:ext>
          </c:extLst>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549767817484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251-44E6-AACE-35035A6F8264}"/>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251-44E6-AACE-35035A6F8264}"/>
                </c:ext>
              </c:extLst>
            </c:dLbl>
            <c:dLbl>
              <c:idx val="2"/>
              <c:layout>
                <c:manualLayout>
                  <c:x val="0"/>
                  <c:y val="2.0695336159903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251-44E6-AACE-35035A6F8264}"/>
                </c:ext>
              </c:extLst>
            </c:dLbl>
            <c:dLbl>
              <c:idx val="3"/>
              <c:layout>
                <c:manualLayout>
                  <c:x val="8.285214348206474E-4"/>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251-44E6-AACE-35035A6F8264}"/>
                </c:ext>
              </c:extLst>
            </c:dLbl>
            <c:dLbl>
              <c:idx val="4"/>
              <c:layout>
                <c:manualLayout>
                  <c:x val="8.285214348206474E-4"/>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251-44E6-AACE-35035A6F826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(N=195)</c:v>
                </c:pt>
                <c:pt idx="1">
                  <c:v>2016-17 
(N=164)</c:v>
                </c:pt>
                <c:pt idx="2">
                  <c:v>2017-18
(N=201)</c:v>
                </c:pt>
                <c:pt idx="3">
                  <c:v>2018-19
(N=185)</c:v>
                </c:pt>
                <c:pt idx="4">
                  <c:v>2019-20
(N=207)</c:v>
                </c:pt>
              </c:strCache>
            </c:strRef>
          </c:cat>
          <c:val>
            <c:numRef>
              <c:f>Sheet1!$E$3:$E$7</c:f>
              <c:numCache>
                <c:formatCode>#\ ###</c:formatCode>
                <c:ptCount val="5"/>
                <c:pt idx="0">
                  <c:v>24</c:v>
                </c:pt>
                <c:pt idx="1">
                  <c:v>18</c:v>
                </c:pt>
                <c:pt idx="2">
                  <c:v>29</c:v>
                </c:pt>
                <c:pt idx="3">
                  <c:v>32</c:v>
                </c:pt>
                <c:pt idx="4">
                  <c:v>43</c:v>
                </c:pt>
              </c:numCache>
            </c:numRef>
          </c:val>
          <c:extLst>
            <c:ext xmlns:c16="http://schemas.microsoft.com/office/drawing/2014/chart" uri="{C3380CC4-5D6E-409C-BE32-E72D297353CC}">
              <c16:uniqueId val="{00000017-3251-44E6-AACE-35035A6F8264}"/>
            </c:ext>
          </c:extLst>
        </c:ser>
        <c:dLbls>
          <c:showLegendKey val="0"/>
          <c:showVal val="0"/>
          <c:showCatName val="0"/>
          <c:showSerName val="0"/>
          <c:showPercent val="0"/>
          <c:showBubbleSize val="0"/>
        </c:dLbls>
        <c:gapWidth val="150"/>
        <c:shape val="box"/>
        <c:axId val="422676280"/>
        <c:axId val="496857408"/>
        <c:axId val="0"/>
      </c:bar3DChart>
      <c:catAx>
        <c:axId val="422676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6857408"/>
        <c:crosses val="autoZero"/>
        <c:auto val="0"/>
        <c:lblAlgn val="ctr"/>
        <c:lblOffset val="100"/>
        <c:noMultiLvlLbl val="0"/>
      </c:catAx>
      <c:valAx>
        <c:axId val="49685740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676280"/>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tenure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53-4AF8-9882-74CD0F83B9C8}"/>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53-4AF8-9882-74CD0F83B9C8}"/>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53-4AF8-9882-74CD0F83B9C8}"/>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53-4AF8-9882-74CD0F83B9C8}"/>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53-4AF8-9882-74CD0F83B9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(N=195)</c:v>
                </c:pt>
                <c:pt idx="1">
                  <c:v>2016-17
 (N=164)</c:v>
                </c:pt>
                <c:pt idx="2">
                  <c:v>2017-18
 (N=201)</c:v>
                </c:pt>
                <c:pt idx="3">
                  <c:v>2018-19
 (N=185)</c:v>
                </c:pt>
                <c:pt idx="4">
                  <c:v>2019-20
 (N=207)</c:v>
                </c:pt>
              </c:strCache>
            </c:strRef>
          </c:cat>
          <c:val>
            <c:numRef>
              <c:f>Sheet1!$B$2:$B$6</c:f>
              <c:numCache>
                <c:formatCode>#\ ###</c:formatCode>
                <c:ptCount val="5"/>
                <c:pt idx="0">
                  <c:v>138</c:v>
                </c:pt>
                <c:pt idx="1">
                  <c:v>112</c:v>
                </c:pt>
                <c:pt idx="2">
                  <c:v>127</c:v>
                </c:pt>
                <c:pt idx="3">
                  <c:v>142</c:v>
                </c:pt>
                <c:pt idx="4">
                  <c:v>135</c:v>
                </c:pt>
              </c:numCache>
            </c:numRef>
          </c:val>
          <c:extLst>
            <c:ext xmlns:c16="http://schemas.microsoft.com/office/drawing/2014/chart" uri="{C3380CC4-5D6E-409C-BE32-E72D297353CC}">
              <c16:uniqueId val="{00000005-6253-4AF8-9882-74CD0F83B9C8}"/>
            </c:ext>
          </c:extLst>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9417726630325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53-4AF8-9882-74CD0F83B9C8}"/>
                </c:ext>
              </c:extLst>
            </c:dLbl>
            <c:dLbl>
              <c:idx val="1"/>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53-4AF8-9882-74CD0F83B9C8}"/>
                </c:ext>
              </c:extLst>
            </c:dLbl>
            <c:dLbl>
              <c:idx val="2"/>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253-4AF8-9882-74CD0F83B9C8}"/>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53-4AF8-9882-74CD0F83B9C8}"/>
                </c:ext>
              </c:extLst>
            </c:dLbl>
            <c:dLbl>
              <c:idx val="4"/>
              <c:layout>
                <c:manualLayout>
                  <c:x val="-1.0185067526415994E-16"/>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253-4AF8-9882-74CD0F83B9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(N=195)</c:v>
                </c:pt>
                <c:pt idx="1">
                  <c:v>2016-17
 (N=164)</c:v>
                </c:pt>
                <c:pt idx="2">
                  <c:v>2017-18
 (N=201)</c:v>
                </c:pt>
                <c:pt idx="3">
                  <c:v>2018-19
 (N=185)</c:v>
                </c:pt>
                <c:pt idx="4">
                  <c:v>2019-20
 (N=207)</c:v>
                </c:pt>
              </c:strCache>
            </c:strRef>
          </c:cat>
          <c:val>
            <c:numRef>
              <c:f>Sheet1!$C$2:$C$6</c:f>
              <c:numCache>
                <c:formatCode>#\ ###</c:formatCode>
                <c:ptCount val="5"/>
                <c:pt idx="0">
                  <c:v>22</c:v>
                </c:pt>
                <c:pt idx="1">
                  <c:v>25</c:v>
                </c:pt>
                <c:pt idx="2">
                  <c:v>39</c:v>
                </c:pt>
                <c:pt idx="3">
                  <c:v>21</c:v>
                </c:pt>
                <c:pt idx="4">
                  <c:v>46</c:v>
                </c:pt>
              </c:numCache>
            </c:numRef>
          </c:val>
          <c:extLst>
            <c:ext xmlns:c16="http://schemas.microsoft.com/office/drawing/2014/chart" uri="{C3380CC4-5D6E-409C-BE32-E72D297353CC}">
              <c16:uniqueId val="{0000000B-6253-4AF8-9882-74CD0F83B9C8}"/>
            </c:ext>
          </c:extLst>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033030486573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253-4AF8-9882-74CD0F83B9C8}"/>
                </c:ext>
              </c:extLst>
            </c:dLbl>
            <c:dLbl>
              <c:idx val="1"/>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253-4AF8-9882-74CD0F83B9C8}"/>
                </c:ext>
              </c:extLst>
            </c:dLbl>
            <c:dLbl>
              <c:idx val="2"/>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253-4AF8-9882-74CD0F83B9C8}"/>
                </c:ext>
              </c:extLst>
            </c:dLbl>
            <c:dLbl>
              <c:idx val="3"/>
              <c:layout>
                <c:manualLayout>
                  <c:x val="-2.7777777777777814E-3"/>
                  <c:y val="2.3702806379971731E-2"/>
                </c:manualLayout>
              </c:layout>
              <c:showLegendKey val="0"/>
              <c:showVal val="1"/>
              <c:showCatName val="0"/>
              <c:showSerName val="0"/>
              <c:showPercent val="0"/>
              <c:showBubbleSize val="0"/>
              <c:extLst>
                <c:ext xmlns:c15="http://schemas.microsoft.com/office/drawing/2012/chart" uri="{CE6537A1-D6FC-4f65-9D91-7224C49458BB}">
                  <c15:layout>
                    <c:manualLayout>
                      <c:w val="4.7652887139107605E-2"/>
                      <c:h val="5.7374520492630719E-2"/>
                    </c:manualLayout>
                  </c15:layout>
                </c:ext>
                <c:ext xmlns:c16="http://schemas.microsoft.com/office/drawing/2014/chart" uri="{C3380CC4-5D6E-409C-BE32-E72D297353CC}">
                  <c16:uniqueId val="{0000000F-6253-4AF8-9882-74CD0F83B9C8}"/>
                </c:ext>
              </c:extLst>
            </c:dLbl>
            <c:dLbl>
              <c:idx val="4"/>
              <c:layout>
                <c:manualLayout>
                  <c:x val="-5.5555555555555558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253-4AF8-9882-74CD0F83B9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(N=195)</c:v>
                </c:pt>
                <c:pt idx="1">
                  <c:v>2016-17
 (N=164)</c:v>
                </c:pt>
                <c:pt idx="2">
                  <c:v>2017-18
 (N=201)</c:v>
                </c:pt>
                <c:pt idx="3">
                  <c:v>2018-19
 (N=185)</c:v>
                </c:pt>
                <c:pt idx="4">
                  <c:v>2019-20
 (N=207)</c:v>
                </c:pt>
              </c:strCache>
            </c:strRef>
          </c:cat>
          <c:val>
            <c:numRef>
              <c:f>Sheet1!$D$2:$D$6</c:f>
              <c:numCache>
                <c:formatCode>#\ ###</c:formatCode>
                <c:ptCount val="5"/>
                <c:pt idx="0">
                  <c:v>18</c:v>
                </c:pt>
                <c:pt idx="1">
                  <c:v>20</c:v>
                </c:pt>
                <c:pt idx="2">
                  <c:v>24</c:v>
                </c:pt>
                <c:pt idx="3">
                  <c:v>19</c:v>
                </c:pt>
                <c:pt idx="4">
                  <c:v>17</c:v>
                </c:pt>
              </c:numCache>
            </c:numRef>
          </c:val>
          <c:extLst>
            <c:ext xmlns:c16="http://schemas.microsoft.com/office/drawing/2014/chart" uri="{C3380CC4-5D6E-409C-BE32-E72D297353CC}">
              <c16:uniqueId val="{00000011-6253-4AF8-9882-74CD0F83B9C8}"/>
            </c:ext>
          </c:extLst>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253-4AF8-9882-74CD0F83B9C8}"/>
                </c:ext>
              </c:extLst>
            </c:dLbl>
            <c:dLbl>
              <c:idx val="1"/>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253-4AF8-9882-74CD0F83B9C8}"/>
                </c:ext>
              </c:extLst>
            </c:dLbl>
            <c:dLbl>
              <c:idx val="2"/>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253-4AF8-9882-74CD0F83B9C8}"/>
                </c:ext>
              </c:extLst>
            </c:dLbl>
            <c:dLbl>
              <c:idx val="3"/>
              <c:layout>
                <c:manualLayout>
                  <c:x val="0"/>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253-4AF8-9882-74CD0F83B9C8}"/>
                </c:ext>
              </c:extLst>
            </c:dLbl>
            <c:dLbl>
              <c:idx val="4"/>
              <c:layout>
                <c:manualLayout>
                  <c:x val="0"/>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253-4AF8-9882-74CD0F83B9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(N=195)</c:v>
                </c:pt>
                <c:pt idx="1">
                  <c:v>2016-17
 (N=164)</c:v>
                </c:pt>
                <c:pt idx="2">
                  <c:v>2017-18
 (N=201)</c:v>
                </c:pt>
                <c:pt idx="3">
                  <c:v>2018-19
 (N=185)</c:v>
                </c:pt>
                <c:pt idx="4">
                  <c:v>2019-20
 (N=207)</c:v>
                </c:pt>
              </c:strCache>
            </c:strRef>
          </c:cat>
          <c:val>
            <c:numRef>
              <c:f>Sheet1!$E$2:$E$6</c:f>
              <c:numCache>
                <c:formatCode>#\ ###</c:formatCode>
                <c:ptCount val="5"/>
                <c:pt idx="0">
                  <c:v>17</c:v>
                </c:pt>
                <c:pt idx="1">
                  <c:v>7</c:v>
                </c:pt>
                <c:pt idx="2">
                  <c:v>11</c:v>
                </c:pt>
                <c:pt idx="3">
                  <c:v>3</c:v>
                </c:pt>
                <c:pt idx="4">
                  <c:v>9</c:v>
                </c:pt>
              </c:numCache>
            </c:numRef>
          </c:val>
          <c:extLst>
            <c:ext xmlns:c16="http://schemas.microsoft.com/office/drawing/2014/chart" uri="{C3380CC4-5D6E-409C-BE32-E72D297353CC}">
              <c16:uniqueId val="{00000017-6253-4AF8-9882-74CD0F83B9C8}"/>
            </c:ext>
          </c:extLst>
        </c:ser>
        <c:dLbls>
          <c:showLegendKey val="0"/>
          <c:showVal val="1"/>
          <c:showCatName val="0"/>
          <c:showSerName val="0"/>
          <c:showPercent val="0"/>
          <c:showBubbleSize val="0"/>
        </c:dLbls>
        <c:gapWidth val="150"/>
        <c:shape val="box"/>
        <c:axId val="496860152"/>
        <c:axId val="496858192"/>
        <c:axId val="0"/>
      </c:bar3DChart>
      <c:catAx>
        <c:axId val="496860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6858192"/>
        <c:crosses val="autoZero"/>
        <c:auto val="1"/>
        <c:lblAlgn val="ctr"/>
        <c:lblOffset val="100"/>
        <c:noMultiLvlLbl val="0"/>
      </c:catAx>
      <c:valAx>
        <c:axId val="49685819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6860152"/>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50</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0</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 Includes only appointments where the staffing process type is known </a:t>
          </a:r>
          <a:r>
            <a:rPr lang="en-CA" sz="850" baseline="0">
              <a:solidFill>
                <a:sysClr val="windowText" lastClr="000000"/>
              </a:solidFill>
            </a:rPr>
            <a:t>(54% to 73</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1D51-0192-455B-B95A-BBDB22FB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PSC-Letterhead-Corpo2019.dotx</Template>
  <TotalTime>1</TotalTime>
  <Pages>31</Pages>
  <Words>6325</Words>
  <Characters>36055</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Snjezana Kulic</cp:lastModifiedBy>
  <cp:revision>2</cp:revision>
  <dcterms:created xsi:type="dcterms:W3CDTF">2022-03-04T22:31:00Z</dcterms:created>
  <dcterms:modified xsi:type="dcterms:W3CDTF">2022-03-04T22:31:00Z</dcterms:modified>
</cp:coreProperties>
</file>