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297D" w14:textId="11B638BD" w:rsidR="00753DD5" w:rsidRPr="00085A29" w:rsidRDefault="00C6488E" w:rsidP="00073FE9">
      <w:pPr>
        <w:pStyle w:val="Title"/>
        <w:spacing w:before="0" w:beforeAutospacing="0" w:after="240" w:afterAutospacing="0"/>
        <w:rPr>
          <w:sz w:val="52"/>
          <w:szCs w:val="52"/>
          <w:lang w:val="fr-CA"/>
        </w:rPr>
      </w:pPr>
      <w:r w:rsidRPr="00085A29">
        <w:rPr>
          <w:rFonts w:ascii="Segoe UI" w:hAnsi="Segoe UI"/>
          <w:sz w:val="48"/>
          <w:szCs w:val="48"/>
          <w:lang w:val="fr-CA"/>
        </w:rPr>
        <w:t xml:space="preserve"> </w:t>
      </w:r>
      <w:r w:rsidRPr="00085A29">
        <w:rPr>
          <w:sz w:val="52"/>
          <w:szCs w:val="52"/>
          <w:lang w:val="fr-CA"/>
        </w:rPr>
        <w:t>Rencontre du président avec Mme</w:t>
      </w:r>
      <w:r w:rsidR="00866F51" w:rsidRPr="00085A29">
        <w:rPr>
          <w:sz w:val="52"/>
          <w:szCs w:val="52"/>
          <w:lang w:val="fr-CA"/>
        </w:rPr>
        <w:t> </w:t>
      </w:r>
      <w:r w:rsidRPr="00085A29">
        <w:rPr>
          <w:sz w:val="52"/>
          <w:szCs w:val="52"/>
          <w:lang w:val="fr-CA"/>
        </w:rPr>
        <w:t>Gitane De Silva, présidente-directrice générale, Régie de l’énergie du Canada</w:t>
      </w:r>
      <w:r w:rsidR="005854F9" w:rsidRPr="00085A29">
        <w:rPr>
          <w:sz w:val="52"/>
          <w:szCs w:val="52"/>
          <w:lang w:val="fr-CA"/>
        </w:rPr>
        <w:t xml:space="preserve"> </w:t>
      </w:r>
    </w:p>
    <w:p w14:paraId="63E97D05" w14:textId="431299D1" w:rsidR="00753DD5" w:rsidRPr="00085A29" w:rsidRDefault="00753DD5" w:rsidP="00073FE9">
      <w:pPr>
        <w:pStyle w:val="Title"/>
        <w:spacing w:before="0" w:beforeAutospacing="0" w:after="240" w:afterAutospacing="0"/>
        <w:rPr>
          <w:sz w:val="52"/>
          <w:szCs w:val="52"/>
          <w:lang w:val="fr-CA"/>
        </w:rPr>
      </w:pPr>
      <w:r w:rsidRPr="00085A29">
        <w:rPr>
          <w:sz w:val="52"/>
          <w:szCs w:val="52"/>
          <w:lang w:val="fr-CA"/>
        </w:rPr>
        <w:t xml:space="preserve"> Information valide en date du 1</w:t>
      </w:r>
      <w:r w:rsidRPr="00085A29">
        <w:rPr>
          <w:sz w:val="52"/>
          <w:szCs w:val="52"/>
          <w:vertAlign w:val="superscript"/>
          <w:lang w:val="fr-CA"/>
        </w:rPr>
        <w:t>er</w:t>
      </w:r>
      <w:r w:rsidR="00866F51" w:rsidRPr="00085A29">
        <w:rPr>
          <w:sz w:val="52"/>
          <w:szCs w:val="52"/>
          <w:lang w:val="fr-CA"/>
        </w:rPr>
        <w:t> </w:t>
      </w:r>
      <w:r w:rsidRPr="00085A29">
        <w:rPr>
          <w:sz w:val="52"/>
          <w:szCs w:val="52"/>
          <w:lang w:val="fr-CA"/>
        </w:rPr>
        <w:t>septembre</w:t>
      </w:r>
      <w:r w:rsidR="00866F51" w:rsidRPr="00085A29">
        <w:rPr>
          <w:sz w:val="52"/>
          <w:szCs w:val="52"/>
          <w:lang w:val="fr-CA"/>
        </w:rPr>
        <w:t> </w:t>
      </w:r>
      <w:r w:rsidRPr="00085A29">
        <w:rPr>
          <w:sz w:val="52"/>
          <w:szCs w:val="52"/>
          <w:lang w:val="fr-CA"/>
        </w:rPr>
        <w:t>2020</w:t>
      </w:r>
    </w:p>
    <w:p w14:paraId="0F6E1624" w14:textId="7BD1C06F" w:rsidR="00753DD5" w:rsidRPr="00085A29" w:rsidRDefault="006864EB" w:rsidP="00073FE9">
      <w:pPr>
        <w:pStyle w:val="Heading1"/>
        <w:spacing w:after="120"/>
        <w:rPr>
          <w:rFonts w:cstheme="majorHAnsi"/>
          <w:lang w:val="fr-CA"/>
        </w:rPr>
      </w:pPr>
      <w:r w:rsidRPr="00085A29">
        <w:rPr>
          <w:rFonts w:cstheme="majorHAnsi"/>
          <w:lang w:val="fr-CA"/>
        </w:rPr>
        <w:t>Introduction</w:t>
      </w:r>
    </w:p>
    <w:p w14:paraId="0D541715" w14:textId="43A5C9C0" w:rsidR="00753DD5" w:rsidRPr="00085A29" w:rsidRDefault="00753DD5" w:rsidP="00073FE9">
      <w:pPr>
        <w:pStyle w:val="Heading2"/>
        <w:spacing w:after="120"/>
        <w:rPr>
          <w:lang w:val="fr-CA"/>
        </w:rPr>
      </w:pPr>
      <w:r w:rsidRPr="00085A29">
        <w:rPr>
          <w:lang w:val="fr-CA"/>
        </w:rPr>
        <w:t>Administratr</w:t>
      </w:r>
      <w:r w:rsidR="005854F9" w:rsidRPr="00085A29">
        <w:rPr>
          <w:lang w:val="fr-CA"/>
        </w:rPr>
        <w:t>ice</w:t>
      </w:r>
      <w:r w:rsidRPr="00085A29">
        <w:rPr>
          <w:lang w:val="fr-CA"/>
        </w:rPr>
        <w:t xml:space="preserve"> général</w:t>
      </w:r>
      <w:r w:rsidR="005854F9" w:rsidRPr="00085A29">
        <w:rPr>
          <w:lang w:val="fr-CA"/>
        </w:rPr>
        <w:t>e</w:t>
      </w:r>
    </w:p>
    <w:p w14:paraId="2090CDCC" w14:textId="3107AF57" w:rsidR="00753DD5" w:rsidRPr="00085A29" w:rsidRDefault="00381EF5" w:rsidP="00073FE9">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Gitane De Silva a été nommée présidente-directrice générale de la Régie de l’énergie du Canada (REC) </w:t>
      </w:r>
      <w:proofErr w:type="gramStart"/>
      <w:r w:rsidRPr="00085A29">
        <w:rPr>
          <w:rFonts w:asciiTheme="minorHAnsi" w:hAnsiTheme="minorHAnsi" w:cstheme="minorHAnsi"/>
          <w:sz w:val="22"/>
          <w:szCs w:val="22"/>
          <w:lang w:val="fr-CA"/>
        </w:rPr>
        <w:t>pour</w:t>
      </w:r>
      <w:proofErr w:type="gramEnd"/>
      <w:r w:rsidRPr="00085A29">
        <w:rPr>
          <w:rFonts w:asciiTheme="minorHAnsi" w:hAnsiTheme="minorHAnsi" w:cstheme="minorHAnsi"/>
          <w:sz w:val="22"/>
          <w:szCs w:val="22"/>
          <w:lang w:val="fr-CA"/>
        </w:rPr>
        <w:t xml:space="preserve"> un mandat de cinq ans</w:t>
      </w:r>
      <w:r w:rsidR="00B965A0" w:rsidRPr="00085A29">
        <w:rPr>
          <w:rFonts w:asciiTheme="minorHAnsi" w:hAnsiTheme="minorHAnsi" w:cstheme="minorHAnsi"/>
          <w:sz w:val="22"/>
          <w:szCs w:val="22"/>
          <w:lang w:val="fr-CA"/>
        </w:rPr>
        <w:t xml:space="preserve">. Elle est entrée en fonction le </w:t>
      </w:r>
      <w:r w:rsidRPr="00085A29">
        <w:rPr>
          <w:rFonts w:asciiTheme="minorHAnsi" w:hAnsiTheme="minorHAnsi" w:cstheme="minorHAnsi"/>
          <w:sz w:val="22"/>
          <w:szCs w:val="22"/>
          <w:lang w:val="fr-CA"/>
        </w:rPr>
        <w:t>10 août 2020.</w:t>
      </w:r>
    </w:p>
    <w:p w14:paraId="27560602" w14:textId="65D1EC26" w:rsidR="00381EF5" w:rsidRPr="00085A29" w:rsidRDefault="00C741D8" w:rsidP="00073FE9">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Mme</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De</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Silva exe</w:t>
      </w:r>
      <w:r w:rsidR="005854F9" w:rsidRPr="00085A29">
        <w:rPr>
          <w:rFonts w:asciiTheme="minorHAnsi" w:hAnsiTheme="minorHAnsi" w:cstheme="minorHAnsi"/>
          <w:sz w:val="22"/>
          <w:szCs w:val="22"/>
          <w:lang w:val="fr-CA"/>
        </w:rPr>
        <w:t>rce</w:t>
      </w:r>
      <w:r w:rsidRPr="00085A29">
        <w:rPr>
          <w:rFonts w:asciiTheme="minorHAnsi" w:hAnsiTheme="minorHAnsi" w:cstheme="minorHAnsi"/>
          <w:sz w:val="22"/>
          <w:szCs w:val="22"/>
          <w:lang w:val="fr-CA"/>
        </w:rPr>
        <w:t xml:space="preserve"> l</w:t>
      </w:r>
      <w:r w:rsidR="00866F51" w:rsidRPr="00085A29">
        <w:rPr>
          <w:rFonts w:asciiTheme="minorHAnsi" w:hAnsiTheme="minorHAnsi" w:cstheme="minorHAnsi"/>
          <w:sz w:val="22"/>
          <w:szCs w:val="22"/>
          <w:lang w:val="fr-CA"/>
        </w:rPr>
        <w:t>’</w:t>
      </w:r>
      <w:r w:rsidRPr="00085A29">
        <w:rPr>
          <w:rFonts w:asciiTheme="minorHAnsi" w:hAnsiTheme="minorHAnsi" w:cstheme="minorHAnsi"/>
          <w:sz w:val="22"/>
          <w:szCs w:val="22"/>
          <w:lang w:val="fr-CA"/>
        </w:rPr>
        <w:t xml:space="preserve">autorité de la Commission de la fonction publique (CFP) pour la deuxième fois à titre d’administratrice générale. On suggère de lui faire part des </w:t>
      </w:r>
      <w:r w:rsidR="00584F8C" w:rsidRPr="00085A29">
        <w:rPr>
          <w:rFonts w:asciiTheme="minorHAnsi" w:hAnsiTheme="minorHAnsi" w:cstheme="minorHAnsi"/>
          <w:sz w:val="22"/>
          <w:szCs w:val="22"/>
          <w:lang w:val="fr-CA"/>
        </w:rPr>
        <w:t>faits</w:t>
      </w:r>
      <w:r w:rsidRPr="00085A29">
        <w:rPr>
          <w:rFonts w:asciiTheme="minorHAnsi" w:hAnsiTheme="minorHAnsi" w:cstheme="minorHAnsi"/>
          <w:sz w:val="22"/>
          <w:szCs w:val="22"/>
          <w:lang w:val="fr-CA"/>
        </w:rPr>
        <w:t xml:space="preserve"> saillants de la Nouvelle orientation en dotation (NOD) pour les AG. Une copie du document en question est jointe en </w:t>
      </w:r>
      <w:hyperlink w:anchor="Annexe_A" w:history="1">
        <w:r w:rsidRPr="00085A29">
          <w:rPr>
            <w:rStyle w:val="Hyperlink"/>
            <w:rFonts w:asciiTheme="minorHAnsi" w:hAnsiTheme="minorHAnsi" w:cstheme="minorHAnsi"/>
            <w:sz w:val="22"/>
            <w:szCs w:val="22"/>
            <w:lang w:val="fr-CA"/>
          </w:rPr>
          <w:t>annexe A</w:t>
        </w:r>
      </w:hyperlink>
      <w:r w:rsidRPr="00085A29">
        <w:rPr>
          <w:rFonts w:asciiTheme="minorHAnsi" w:hAnsiTheme="minorHAnsi" w:cstheme="minorHAnsi"/>
          <w:sz w:val="22"/>
          <w:szCs w:val="22"/>
          <w:lang w:val="fr-CA"/>
        </w:rPr>
        <w:t>.</w:t>
      </w:r>
    </w:p>
    <w:p w14:paraId="5A0AB79D" w14:textId="77777777" w:rsidR="00753DD5" w:rsidRPr="00085A29" w:rsidRDefault="00753DD5" w:rsidP="00073FE9">
      <w:pPr>
        <w:pStyle w:val="Heading1"/>
        <w:spacing w:after="120"/>
        <w:rPr>
          <w:rFonts w:cstheme="majorHAnsi"/>
          <w:lang w:val="fr-CA"/>
        </w:rPr>
      </w:pPr>
      <w:r w:rsidRPr="00085A29">
        <w:rPr>
          <w:rFonts w:cstheme="majorHAnsi"/>
          <w:lang w:val="fr-CA"/>
        </w:rPr>
        <w:t>Contexte organisationnel</w:t>
      </w:r>
    </w:p>
    <w:p w14:paraId="6832E277" w14:textId="77777777" w:rsidR="00753DD5" w:rsidRPr="00085A29" w:rsidRDefault="00753DD5" w:rsidP="00073FE9">
      <w:pPr>
        <w:pStyle w:val="Heading2"/>
        <w:spacing w:after="120"/>
        <w:rPr>
          <w:lang w:val="fr-CA"/>
        </w:rPr>
      </w:pPr>
      <w:r w:rsidRPr="00085A29">
        <w:rPr>
          <w:lang w:val="fr-CA"/>
        </w:rPr>
        <w:t>Mandat</w:t>
      </w:r>
    </w:p>
    <w:p w14:paraId="0326E6AC" w14:textId="563C6D34" w:rsidR="00A1151E" w:rsidRPr="00085A29" w:rsidRDefault="00A1151E" w:rsidP="00073FE9">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Le 21 juin 2019, le Parlement a adopté le projet de loi</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 xml:space="preserve">C-69, en vertu duquel la </w:t>
      </w:r>
      <w:r w:rsidRPr="00085A29">
        <w:rPr>
          <w:rStyle w:val="Emphasis"/>
          <w:rFonts w:asciiTheme="minorHAnsi" w:hAnsiTheme="minorHAnsi" w:cstheme="minorHAnsi"/>
          <w:sz w:val="22"/>
          <w:szCs w:val="18"/>
          <w:lang w:val="fr-CA"/>
        </w:rPr>
        <w:t xml:space="preserve">Loi sur l’Office national de l’énergie </w:t>
      </w:r>
      <w:r w:rsidRPr="00085A29">
        <w:rPr>
          <w:rFonts w:asciiTheme="minorHAnsi" w:hAnsiTheme="minorHAnsi" w:cstheme="minorHAnsi"/>
          <w:color w:val="000000"/>
          <w:sz w:val="22"/>
          <w:szCs w:val="22"/>
          <w:lang w:val="fr-CA"/>
        </w:rPr>
        <w:t xml:space="preserve">a été remplacée par la </w:t>
      </w:r>
      <w:r w:rsidRPr="00085A29">
        <w:rPr>
          <w:rStyle w:val="Emphasis"/>
          <w:rFonts w:asciiTheme="minorHAnsi" w:hAnsiTheme="minorHAnsi" w:cstheme="minorHAnsi"/>
          <w:sz w:val="22"/>
          <w:szCs w:val="18"/>
          <w:lang w:val="fr-CA"/>
        </w:rPr>
        <w:t>Loi sur la Régie canadienne de l’énergie</w:t>
      </w:r>
      <w:r w:rsidRPr="00085A29">
        <w:rPr>
          <w:rFonts w:asciiTheme="minorHAnsi" w:hAnsiTheme="minorHAnsi" w:cstheme="minorHAnsi"/>
          <w:color w:val="000000"/>
          <w:sz w:val="22"/>
          <w:szCs w:val="22"/>
          <w:lang w:val="fr-CA"/>
        </w:rPr>
        <w:t>. Le 28 août 2019, l’Office national de l’énergie est officiellement devenu la REC.</w:t>
      </w:r>
    </w:p>
    <w:p w14:paraId="066BF622" w14:textId="29664407" w:rsidR="00A1151E" w:rsidRPr="00085A29" w:rsidRDefault="00A1151E" w:rsidP="00073FE9">
      <w:pPr>
        <w:pStyle w:val="NoSpacing"/>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La REC surveille le déplacement de l’énergie au Canada. Elle est responsable de surveiller les sociétés qui exploitent des oléoducs, des gazoducs et des lignes de transport d’électricité qui franchissent des frontières nationales, provinciales ou territoriales. La </w:t>
      </w:r>
      <w:r w:rsidR="005854F9" w:rsidRPr="00085A29">
        <w:rPr>
          <w:rFonts w:asciiTheme="minorHAnsi" w:hAnsiTheme="minorHAnsi" w:cstheme="minorHAnsi"/>
          <w:color w:val="000000"/>
          <w:sz w:val="22"/>
          <w:szCs w:val="22"/>
          <w:lang w:val="fr-CA"/>
        </w:rPr>
        <w:t>REC</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w:t>
      </w:r>
    </w:p>
    <w:p w14:paraId="76CE18D1" w14:textId="2A3810BE" w:rsidR="00A1151E" w:rsidRPr="00085A29" w:rsidRDefault="00A1151E" w:rsidP="00073FE9">
      <w:pPr>
        <w:pStyle w:val="NoSpacing"/>
        <w:numPr>
          <w:ilvl w:val="0"/>
          <w:numId w:val="12"/>
        </w:numPr>
        <w:rPr>
          <w:rFonts w:asciiTheme="minorHAnsi" w:hAnsiTheme="minorHAnsi" w:cstheme="minorHAnsi"/>
          <w:color w:val="000000"/>
          <w:sz w:val="22"/>
          <w:szCs w:val="22"/>
          <w:lang w:val="fr-CA"/>
        </w:rPr>
      </w:pPr>
      <w:proofErr w:type="gramStart"/>
      <w:r w:rsidRPr="00085A29">
        <w:rPr>
          <w:rFonts w:asciiTheme="minorHAnsi" w:hAnsiTheme="minorHAnsi" w:cstheme="minorHAnsi"/>
          <w:color w:val="000000"/>
          <w:sz w:val="22"/>
          <w:szCs w:val="22"/>
          <w:lang w:val="fr-CA"/>
        </w:rPr>
        <w:t>examine</w:t>
      </w:r>
      <w:proofErr w:type="gramEnd"/>
      <w:r w:rsidRPr="00085A29">
        <w:rPr>
          <w:rFonts w:asciiTheme="minorHAnsi" w:hAnsiTheme="minorHAnsi" w:cstheme="minorHAnsi"/>
          <w:color w:val="000000"/>
          <w:sz w:val="22"/>
          <w:szCs w:val="22"/>
          <w:lang w:val="fr-CA"/>
        </w:rPr>
        <w:t xml:space="preserve"> les demandes de nouveaux projets et de mises à niveau des projets actuels;</w:t>
      </w:r>
    </w:p>
    <w:p w14:paraId="5B9B1009" w14:textId="43E71D51" w:rsidR="00A1151E" w:rsidRPr="00085A29" w:rsidRDefault="00A1151E" w:rsidP="00073FE9">
      <w:pPr>
        <w:pStyle w:val="NoSpacing"/>
        <w:numPr>
          <w:ilvl w:val="0"/>
          <w:numId w:val="12"/>
        </w:numPr>
        <w:rPr>
          <w:rFonts w:asciiTheme="minorHAnsi" w:hAnsiTheme="minorHAnsi" w:cstheme="minorHAnsi"/>
          <w:color w:val="000000"/>
          <w:sz w:val="22"/>
          <w:szCs w:val="22"/>
          <w:lang w:val="fr-CA"/>
        </w:rPr>
      </w:pPr>
      <w:proofErr w:type="gramStart"/>
      <w:r w:rsidRPr="00085A29">
        <w:rPr>
          <w:rFonts w:asciiTheme="minorHAnsi" w:hAnsiTheme="minorHAnsi" w:cstheme="minorHAnsi"/>
          <w:color w:val="000000"/>
          <w:sz w:val="22"/>
          <w:szCs w:val="22"/>
          <w:lang w:val="fr-CA"/>
        </w:rPr>
        <w:t>assure</w:t>
      </w:r>
      <w:proofErr w:type="gramEnd"/>
      <w:r w:rsidRPr="00085A29">
        <w:rPr>
          <w:rFonts w:asciiTheme="minorHAnsi" w:hAnsiTheme="minorHAnsi" w:cstheme="minorHAnsi"/>
          <w:color w:val="000000"/>
          <w:sz w:val="22"/>
          <w:szCs w:val="22"/>
          <w:lang w:val="fr-CA"/>
        </w:rPr>
        <w:t xml:space="preserve"> la surveillance de l’exploration et des activités pétrolières et gazières dans les régions pionnières et extracôtières qui ne sont pas autrement réglementées en vertu d’une loi territoriale ou d’un accord fédéral-provincial;</w:t>
      </w:r>
    </w:p>
    <w:p w14:paraId="66C31F94" w14:textId="145C9388" w:rsidR="00A1151E" w:rsidRPr="00085A29" w:rsidRDefault="00A1151E" w:rsidP="006E3CFD">
      <w:pPr>
        <w:pStyle w:val="NoSpacing"/>
        <w:numPr>
          <w:ilvl w:val="0"/>
          <w:numId w:val="12"/>
        </w:numPr>
        <w:spacing w:before="100" w:beforeAutospacing="1" w:after="100" w:afterAutospacing="1"/>
        <w:rPr>
          <w:rFonts w:asciiTheme="minorHAnsi" w:hAnsiTheme="minorHAnsi" w:cstheme="minorHAnsi"/>
          <w:color w:val="000000"/>
          <w:sz w:val="22"/>
          <w:szCs w:val="22"/>
          <w:lang w:val="fr-CA"/>
        </w:rPr>
      </w:pPr>
      <w:proofErr w:type="gramStart"/>
      <w:r w:rsidRPr="00085A29">
        <w:rPr>
          <w:rFonts w:asciiTheme="minorHAnsi" w:hAnsiTheme="minorHAnsi" w:cstheme="minorHAnsi"/>
          <w:color w:val="000000"/>
          <w:sz w:val="22"/>
          <w:szCs w:val="22"/>
          <w:lang w:val="fr-CA"/>
        </w:rPr>
        <w:t>décide</w:t>
      </w:r>
      <w:proofErr w:type="gramEnd"/>
      <w:r w:rsidRPr="00085A29">
        <w:rPr>
          <w:rFonts w:asciiTheme="minorHAnsi" w:hAnsiTheme="minorHAnsi" w:cstheme="minorHAnsi"/>
          <w:color w:val="000000"/>
          <w:sz w:val="22"/>
          <w:szCs w:val="22"/>
          <w:lang w:val="fr-CA"/>
        </w:rPr>
        <w:t xml:space="preserve"> de ce qui peut être transporté par pipeline et du montant que les sociétés peuvent exiger pour leurs services;</w:t>
      </w:r>
    </w:p>
    <w:p w14:paraId="669F69B3" w14:textId="3E94797C" w:rsidR="00A1151E" w:rsidRPr="00085A29" w:rsidRDefault="00A1151E" w:rsidP="00073FE9">
      <w:pPr>
        <w:pStyle w:val="NoSpacing"/>
        <w:numPr>
          <w:ilvl w:val="0"/>
          <w:numId w:val="12"/>
        </w:numPr>
        <w:rPr>
          <w:rFonts w:asciiTheme="minorHAnsi" w:hAnsiTheme="minorHAnsi" w:cstheme="minorHAnsi"/>
          <w:color w:val="000000"/>
          <w:sz w:val="22"/>
          <w:szCs w:val="22"/>
          <w:lang w:val="fr-CA"/>
        </w:rPr>
      </w:pPr>
      <w:proofErr w:type="gramStart"/>
      <w:r w:rsidRPr="00085A29">
        <w:rPr>
          <w:rFonts w:asciiTheme="minorHAnsi" w:hAnsiTheme="minorHAnsi" w:cstheme="minorHAnsi"/>
          <w:color w:val="000000"/>
          <w:sz w:val="22"/>
          <w:szCs w:val="22"/>
          <w:lang w:val="fr-CA"/>
        </w:rPr>
        <w:t>approuve</w:t>
      </w:r>
      <w:proofErr w:type="gramEnd"/>
      <w:r w:rsidRPr="00085A29">
        <w:rPr>
          <w:rFonts w:asciiTheme="minorHAnsi" w:hAnsiTheme="minorHAnsi" w:cstheme="minorHAnsi"/>
          <w:color w:val="000000"/>
          <w:sz w:val="22"/>
          <w:szCs w:val="22"/>
          <w:lang w:val="fr-CA"/>
        </w:rPr>
        <w:t xml:space="preserve"> l’exportation et l’importation de gaz naturel et l’exportation de pétrole;</w:t>
      </w:r>
    </w:p>
    <w:p w14:paraId="0CA6D850" w14:textId="610562E9" w:rsidR="00A1151E" w:rsidRPr="00085A29" w:rsidRDefault="00A1151E" w:rsidP="00085A29">
      <w:pPr>
        <w:pStyle w:val="NoSpacing"/>
        <w:numPr>
          <w:ilvl w:val="0"/>
          <w:numId w:val="12"/>
        </w:numPr>
        <w:spacing w:after="120"/>
        <w:rPr>
          <w:rFonts w:ascii="Segoe UI" w:hAnsi="Segoe UI" w:cs="Segoe UI"/>
          <w:color w:val="000000"/>
          <w:sz w:val="22"/>
          <w:szCs w:val="22"/>
          <w:lang w:val="fr-CA"/>
        </w:rPr>
      </w:pPr>
      <w:proofErr w:type="gramStart"/>
      <w:r w:rsidRPr="00085A29">
        <w:rPr>
          <w:rFonts w:ascii="Segoe UI" w:hAnsi="Segoe UI"/>
          <w:color w:val="000000"/>
          <w:sz w:val="22"/>
          <w:szCs w:val="22"/>
          <w:lang w:val="fr-CA"/>
        </w:rPr>
        <w:t>fournit</w:t>
      </w:r>
      <w:proofErr w:type="gramEnd"/>
      <w:r w:rsidRPr="00085A29">
        <w:rPr>
          <w:rFonts w:ascii="Segoe UI" w:hAnsi="Segoe UI"/>
          <w:color w:val="000000"/>
          <w:sz w:val="22"/>
          <w:szCs w:val="22"/>
          <w:lang w:val="fr-CA"/>
        </w:rPr>
        <w:t xml:space="preserve"> aux gens des statistiques, des analyses et des renseignements sur l’énergie.</w:t>
      </w:r>
    </w:p>
    <w:p w14:paraId="6DDB9DC5" w14:textId="3878C511" w:rsidR="005D779E" w:rsidRPr="00085A29" w:rsidRDefault="00A1151E" w:rsidP="00073FE9">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lastRenderedPageBreak/>
        <w:t xml:space="preserve">Bien que la REC soit un organisme distinct nommé à l’annexe V de la </w:t>
      </w:r>
      <w:r w:rsidRPr="00085A29">
        <w:rPr>
          <w:rStyle w:val="Emphasis"/>
          <w:rFonts w:asciiTheme="minorHAnsi" w:hAnsiTheme="minorHAnsi" w:cstheme="minorHAnsi"/>
          <w:sz w:val="22"/>
          <w:szCs w:val="18"/>
          <w:lang w:val="fr-CA"/>
        </w:rPr>
        <w:t>Loi sur la gestion des finances publiques</w:t>
      </w:r>
      <w:r w:rsidRPr="00085A29">
        <w:rPr>
          <w:rFonts w:asciiTheme="minorHAnsi" w:hAnsiTheme="minorHAnsi" w:cstheme="minorHAnsi"/>
          <w:color w:val="000000"/>
          <w:sz w:val="22"/>
          <w:szCs w:val="22"/>
          <w:lang w:val="fr-CA"/>
        </w:rPr>
        <w:t xml:space="preserve"> (LGFP), ses employés sont assujettis à la </w:t>
      </w:r>
      <w:r w:rsidRPr="00085A29">
        <w:rPr>
          <w:rStyle w:val="Emphasis"/>
          <w:rFonts w:asciiTheme="minorHAnsi" w:hAnsiTheme="minorHAnsi" w:cstheme="minorHAnsi"/>
          <w:sz w:val="22"/>
          <w:szCs w:val="18"/>
          <w:lang w:val="fr-CA"/>
        </w:rPr>
        <w:t>Loi sur l’emploi dans la fonction publique</w:t>
      </w:r>
      <w:r w:rsidRPr="00085A29">
        <w:rPr>
          <w:rFonts w:asciiTheme="minorHAnsi" w:hAnsiTheme="minorHAnsi" w:cstheme="minorHAnsi"/>
          <w:color w:val="000000"/>
          <w:sz w:val="20"/>
          <w:lang w:val="fr-CA"/>
        </w:rPr>
        <w:t xml:space="preserve"> </w:t>
      </w:r>
      <w:r w:rsidRPr="00085A29">
        <w:rPr>
          <w:rFonts w:asciiTheme="minorHAnsi" w:hAnsiTheme="minorHAnsi" w:cstheme="minorHAnsi"/>
          <w:color w:val="000000"/>
          <w:sz w:val="22"/>
          <w:szCs w:val="22"/>
          <w:lang w:val="fr-CA"/>
        </w:rPr>
        <w:t>(LEFP). La REC a également son propre système de classification qui est différent de celui des organisations dont l’employeur est le Secrétariat du Conseil du Trésor (c.‑à‑d. que tous les postes des niveaux</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1 à 16 sont classifiés NB).</w:t>
      </w:r>
    </w:p>
    <w:p w14:paraId="77C53832" w14:textId="497BD355" w:rsidR="00356BA9" w:rsidRPr="00085A29" w:rsidRDefault="00A1151E" w:rsidP="00073FE9">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Le </w:t>
      </w:r>
      <w:r w:rsidR="00127BD3" w:rsidRPr="00085A29">
        <w:rPr>
          <w:rFonts w:asciiTheme="minorHAnsi" w:hAnsiTheme="minorHAnsi" w:cstheme="minorHAnsi"/>
          <w:color w:val="000000"/>
          <w:sz w:val="22"/>
          <w:szCs w:val="22"/>
          <w:lang w:val="fr-CA"/>
        </w:rPr>
        <w:t>bureau princip</w:t>
      </w:r>
      <w:r w:rsidRPr="00085A29">
        <w:rPr>
          <w:rFonts w:asciiTheme="minorHAnsi" w:hAnsiTheme="minorHAnsi" w:cstheme="minorHAnsi"/>
          <w:color w:val="000000"/>
          <w:sz w:val="22"/>
          <w:szCs w:val="22"/>
          <w:lang w:val="fr-CA"/>
        </w:rPr>
        <w:t>al de l’organisme est situé à Calgary, en Alberta</w:t>
      </w:r>
      <w:r w:rsidR="00127BD3" w:rsidRPr="00085A29">
        <w:rPr>
          <w:rFonts w:asciiTheme="minorHAnsi" w:hAnsiTheme="minorHAnsi" w:cstheme="minorHAnsi"/>
          <w:color w:val="000000"/>
          <w:sz w:val="22"/>
          <w:szCs w:val="22"/>
          <w:lang w:val="fr-CA"/>
        </w:rPr>
        <w:t>.</w:t>
      </w:r>
      <w:r w:rsidRPr="00085A29">
        <w:rPr>
          <w:rFonts w:asciiTheme="minorHAnsi" w:hAnsiTheme="minorHAnsi" w:cstheme="minorHAnsi"/>
          <w:color w:val="000000"/>
          <w:sz w:val="22"/>
          <w:szCs w:val="22"/>
          <w:lang w:val="fr-CA"/>
        </w:rPr>
        <w:t xml:space="preserve"> </w:t>
      </w:r>
      <w:r w:rsidR="00127BD3" w:rsidRPr="00085A29">
        <w:rPr>
          <w:rFonts w:asciiTheme="minorHAnsi" w:hAnsiTheme="minorHAnsi" w:cstheme="minorHAnsi"/>
          <w:color w:val="000000"/>
          <w:sz w:val="22"/>
          <w:szCs w:val="22"/>
          <w:lang w:val="fr-CA"/>
        </w:rPr>
        <w:t>La REC</w:t>
      </w:r>
      <w:r w:rsidRPr="00085A29">
        <w:rPr>
          <w:rFonts w:asciiTheme="minorHAnsi" w:hAnsiTheme="minorHAnsi" w:cstheme="minorHAnsi"/>
          <w:color w:val="000000"/>
          <w:sz w:val="22"/>
          <w:szCs w:val="22"/>
          <w:lang w:val="fr-CA"/>
        </w:rPr>
        <w:t xml:space="preserve"> compte trois bureaux régionaux (Montréal, Vancouver et Yellowknife). Au 31 mars 2020, la REC comptait 500</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employés (nommés pour une période indéterminée, nommés pour une période déterminée, occasionnels et étudiants).</w:t>
      </w:r>
    </w:p>
    <w:p w14:paraId="6409CCC6" w14:textId="3F00A6CE" w:rsidR="00A1151E" w:rsidRPr="00085A29" w:rsidRDefault="00A1151E" w:rsidP="00073FE9">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Il convient de noter que la </w:t>
      </w:r>
      <w:r w:rsidR="005854F9" w:rsidRPr="00085A29">
        <w:rPr>
          <w:rFonts w:asciiTheme="minorHAnsi" w:hAnsiTheme="minorHAnsi" w:cstheme="minorHAnsi"/>
          <w:color w:val="000000"/>
          <w:sz w:val="22"/>
          <w:szCs w:val="22"/>
          <w:lang w:val="fr-CA"/>
        </w:rPr>
        <w:t>REC</w:t>
      </w:r>
      <w:r w:rsidRPr="00085A29">
        <w:rPr>
          <w:rFonts w:asciiTheme="minorHAnsi" w:hAnsiTheme="minorHAnsi" w:cstheme="minorHAnsi"/>
          <w:color w:val="000000"/>
          <w:sz w:val="22"/>
          <w:szCs w:val="22"/>
          <w:lang w:val="fr-CA"/>
        </w:rPr>
        <w:t xml:space="preserve"> a été </w:t>
      </w:r>
      <w:r w:rsidR="00B3146D" w:rsidRPr="00085A29">
        <w:rPr>
          <w:rFonts w:asciiTheme="minorHAnsi" w:hAnsiTheme="minorHAnsi" w:cstheme="minorHAnsi"/>
          <w:color w:val="000000"/>
          <w:sz w:val="22"/>
          <w:szCs w:val="22"/>
          <w:lang w:val="fr-CA"/>
        </w:rPr>
        <w:t>nommée</w:t>
      </w:r>
      <w:r w:rsidRPr="00085A29">
        <w:rPr>
          <w:rFonts w:asciiTheme="minorHAnsi" w:hAnsiTheme="minorHAnsi" w:cstheme="minorHAnsi"/>
          <w:color w:val="000000"/>
          <w:sz w:val="22"/>
          <w:szCs w:val="22"/>
          <w:lang w:val="fr-CA"/>
        </w:rPr>
        <w:t xml:space="preserve"> parmi les 100</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 xml:space="preserve">meilleurs employeurs au Canada en 2020, palmarès annuel </w:t>
      </w:r>
      <w:r w:rsidR="00B3146D" w:rsidRPr="00085A29">
        <w:rPr>
          <w:rFonts w:asciiTheme="minorHAnsi" w:hAnsiTheme="minorHAnsi" w:cstheme="minorHAnsi"/>
          <w:color w:val="000000"/>
          <w:sz w:val="22"/>
          <w:szCs w:val="22"/>
          <w:lang w:val="fr-CA"/>
        </w:rPr>
        <w:t>dévoilé</w:t>
      </w:r>
      <w:r w:rsidRPr="00085A29">
        <w:rPr>
          <w:rFonts w:asciiTheme="minorHAnsi" w:hAnsiTheme="minorHAnsi" w:cstheme="minorHAnsi"/>
          <w:color w:val="000000"/>
          <w:sz w:val="22"/>
          <w:szCs w:val="22"/>
          <w:lang w:val="fr-CA"/>
        </w:rPr>
        <w:t xml:space="preserve"> dans un article spécial publié dans le Globe and Mail.</w:t>
      </w:r>
    </w:p>
    <w:p w14:paraId="6701B672" w14:textId="77777777" w:rsidR="00753DD5" w:rsidRPr="00085A29" w:rsidRDefault="00753DD5" w:rsidP="00073FE9">
      <w:pPr>
        <w:pStyle w:val="Heading2"/>
        <w:spacing w:after="120"/>
        <w:rPr>
          <w:u w:val="single"/>
          <w:lang w:val="fr-CA"/>
        </w:rPr>
      </w:pPr>
      <w:r w:rsidRPr="00085A29">
        <w:rPr>
          <w:lang w:val="fr-CA"/>
        </w:rPr>
        <w:t>Défis</w:t>
      </w:r>
    </w:p>
    <w:p w14:paraId="7BD3A637" w14:textId="4585131A" w:rsidR="00853613" w:rsidRPr="00085A29" w:rsidRDefault="007B3302" w:rsidP="00073FE9">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La détermination de l’identification linguistique d’un poste, l’établissement du profil linguistique approprié d’un poste bilingue (p. ex., CBC/CBC) et la dotation de postes bilingues présente des défis pour la </w:t>
      </w:r>
      <w:r w:rsidR="005854F9" w:rsidRPr="00085A29">
        <w:rPr>
          <w:rFonts w:asciiTheme="minorHAnsi" w:hAnsiTheme="minorHAnsi" w:cstheme="minorHAnsi"/>
          <w:color w:val="000000"/>
          <w:sz w:val="22"/>
          <w:szCs w:val="22"/>
          <w:lang w:val="fr-CA"/>
        </w:rPr>
        <w:t>REC</w:t>
      </w:r>
      <w:r w:rsidRPr="00085A29">
        <w:rPr>
          <w:rFonts w:asciiTheme="minorHAnsi" w:hAnsiTheme="minorHAnsi" w:cstheme="minorHAnsi"/>
          <w:color w:val="000000"/>
          <w:sz w:val="22"/>
          <w:szCs w:val="22"/>
          <w:lang w:val="fr-CA"/>
        </w:rPr>
        <w:t xml:space="preserve"> étant donné que la majorité de l’effectif de l’organisation est située dans une région unilingue.</w:t>
      </w:r>
    </w:p>
    <w:p w14:paraId="48C93540" w14:textId="5DF34060" w:rsidR="00853613" w:rsidRPr="00085A29" w:rsidRDefault="00F24384" w:rsidP="00073FE9">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Les nominations intérimaires à des postes bilingues présentent un défi particulier pa</w:t>
      </w:r>
      <w:r w:rsidR="00617E5E" w:rsidRPr="00085A29">
        <w:rPr>
          <w:rFonts w:asciiTheme="minorHAnsi" w:hAnsiTheme="minorHAnsi" w:cstheme="minorHAnsi"/>
          <w:color w:val="000000"/>
          <w:sz w:val="22"/>
          <w:szCs w:val="22"/>
          <w:lang w:val="fr-CA"/>
        </w:rPr>
        <w:t>rce</w:t>
      </w:r>
      <w:r w:rsidRPr="00085A29">
        <w:rPr>
          <w:rFonts w:asciiTheme="minorHAnsi" w:hAnsiTheme="minorHAnsi" w:cstheme="minorHAnsi"/>
          <w:color w:val="000000"/>
          <w:sz w:val="22"/>
          <w:szCs w:val="22"/>
          <w:lang w:val="fr-CA"/>
        </w:rPr>
        <w:t xml:space="preserve"> que les employés qui occupent des postes subalternes n’ont souvent pas le niveau de bilinguisme requis. De plus, l’organisme a de la difficulté à recruter des rédacteurs techniques bilingues pour travailler à son </w:t>
      </w:r>
      <w:r w:rsidR="00B3146D" w:rsidRPr="00085A29">
        <w:rPr>
          <w:rFonts w:asciiTheme="minorHAnsi" w:hAnsiTheme="minorHAnsi" w:cstheme="minorHAnsi"/>
          <w:color w:val="000000"/>
          <w:sz w:val="22"/>
          <w:szCs w:val="22"/>
          <w:lang w:val="fr-CA"/>
        </w:rPr>
        <w:t>bureau principal</w:t>
      </w:r>
      <w:r w:rsidRPr="00085A29">
        <w:rPr>
          <w:rFonts w:asciiTheme="minorHAnsi" w:hAnsiTheme="minorHAnsi" w:cstheme="minorHAnsi"/>
          <w:color w:val="000000"/>
          <w:sz w:val="22"/>
          <w:szCs w:val="22"/>
          <w:lang w:val="fr-CA"/>
        </w:rPr>
        <w:t xml:space="preserve"> de Calgary, mais la </w:t>
      </w:r>
      <w:r w:rsidR="005854F9" w:rsidRPr="00085A29">
        <w:rPr>
          <w:rFonts w:asciiTheme="minorHAnsi" w:hAnsiTheme="minorHAnsi" w:cstheme="minorHAnsi"/>
          <w:color w:val="000000"/>
          <w:sz w:val="22"/>
          <w:szCs w:val="22"/>
          <w:lang w:val="fr-CA"/>
        </w:rPr>
        <w:t>REC</w:t>
      </w:r>
      <w:r w:rsidRPr="00085A29">
        <w:rPr>
          <w:rFonts w:asciiTheme="minorHAnsi" w:hAnsiTheme="minorHAnsi" w:cstheme="minorHAnsi"/>
          <w:color w:val="000000"/>
          <w:sz w:val="22"/>
          <w:szCs w:val="22"/>
          <w:lang w:val="fr-CA"/>
        </w:rPr>
        <w:t xml:space="preserve"> a réussi, dans une certaine mesure, à trouver des employés bilingues </w:t>
      </w:r>
      <w:r w:rsidR="00B3146D" w:rsidRPr="00085A29">
        <w:rPr>
          <w:rFonts w:asciiTheme="minorHAnsi" w:hAnsiTheme="minorHAnsi" w:cstheme="minorHAnsi"/>
          <w:color w:val="000000"/>
          <w:sz w:val="22"/>
          <w:szCs w:val="22"/>
          <w:lang w:val="fr-CA"/>
        </w:rPr>
        <w:t xml:space="preserve">afin de </w:t>
      </w:r>
      <w:r w:rsidR="00617E5E" w:rsidRPr="00085A29">
        <w:rPr>
          <w:rFonts w:asciiTheme="minorHAnsi" w:hAnsiTheme="minorHAnsi" w:cstheme="minorHAnsi"/>
          <w:color w:val="000000"/>
          <w:sz w:val="22"/>
          <w:szCs w:val="22"/>
          <w:lang w:val="fr-CA"/>
        </w:rPr>
        <w:t>pourvoi</w:t>
      </w:r>
      <w:r w:rsidRPr="00085A29">
        <w:rPr>
          <w:rFonts w:asciiTheme="minorHAnsi" w:hAnsiTheme="minorHAnsi" w:cstheme="minorHAnsi"/>
          <w:color w:val="000000"/>
          <w:sz w:val="22"/>
          <w:szCs w:val="22"/>
          <w:lang w:val="fr-CA"/>
        </w:rPr>
        <w:t>r ces postes dans son bureau régional de Montréal.</w:t>
      </w:r>
    </w:p>
    <w:p w14:paraId="59702B5F" w14:textId="236FEE3F" w:rsidR="00F24384" w:rsidRPr="00085A29" w:rsidRDefault="00F24384" w:rsidP="00073FE9">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Le conseiller en soutien à la dotation </w:t>
      </w:r>
      <w:r w:rsidR="00095DCA" w:rsidRPr="00085A29">
        <w:rPr>
          <w:rFonts w:asciiTheme="minorHAnsi" w:hAnsiTheme="minorHAnsi" w:cstheme="minorHAnsi"/>
          <w:color w:val="000000"/>
          <w:sz w:val="22"/>
          <w:szCs w:val="22"/>
          <w:lang w:val="fr-CA"/>
        </w:rPr>
        <w:t xml:space="preserve">(CSD) </w:t>
      </w:r>
      <w:r w:rsidRPr="00085A29">
        <w:rPr>
          <w:rFonts w:asciiTheme="minorHAnsi" w:hAnsiTheme="minorHAnsi" w:cstheme="minorHAnsi"/>
          <w:color w:val="000000"/>
          <w:sz w:val="22"/>
          <w:szCs w:val="22"/>
          <w:lang w:val="fr-CA"/>
        </w:rPr>
        <w:t>travaille avec la REC sur des stratégies de recrutement possibles et offre un soutien continu en matière de langues officielles pour l’évaluation et le recrutement.</w:t>
      </w:r>
    </w:p>
    <w:p w14:paraId="3F3CC469" w14:textId="77777777" w:rsidR="00753DD5" w:rsidRPr="00085A29" w:rsidRDefault="00753DD5" w:rsidP="00073FE9">
      <w:pPr>
        <w:pStyle w:val="Heading2"/>
        <w:spacing w:after="120"/>
        <w:rPr>
          <w:u w:val="single"/>
          <w:lang w:val="fr-CA"/>
        </w:rPr>
      </w:pPr>
      <w:r w:rsidRPr="00085A29">
        <w:rPr>
          <w:lang w:val="fr-CA"/>
        </w:rPr>
        <w:t>Expérimentation</w:t>
      </w:r>
    </w:p>
    <w:p w14:paraId="095298EB" w14:textId="2689CE9A" w:rsidR="00F91EE3" w:rsidRPr="00085A29" w:rsidRDefault="001305BD" w:rsidP="00073FE9">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La REC n’a pas d’exemples de pratiques novatrices qu’elle met en œuvre, mais elle concentre ses efforts sur une meilleure planification des ressou</w:t>
      </w:r>
      <w:r w:rsidR="00617E5E" w:rsidRPr="00085A29">
        <w:rPr>
          <w:rFonts w:asciiTheme="minorHAnsi" w:hAnsiTheme="minorHAnsi" w:cstheme="minorHAnsi"/>
          <w:sz w:val="22"/>
          <w:szCs w:val="22"/>
          <w:lang w:val="fr-CA"/>
        </w:rPr>
        <w:t>rce</w:t>
      </w:r>
      <w:r w:rsidRPr="00085A29">
        <w:rPr>
          <w:rFonts w:asciiTheme="minorHAnsi" w:hAnsiTheme="minorHAnsi" w:cstheme="minorHAnsi"/>
          <w:sz w:val="22"/>
          <w:szCs w:val="22"/>
          <w:lang w:val="fr-CA"/>
        </w:rPr>
        <w:t>s humaines, ce qui, elle l’espère, mènera à de meilleurs résultats en matière de dotation pour ses gestionnaires d’embauche.</w:t>
      </w:r>
    </w:p>
    <w:p w14:paraId="73D1868F" w14:textId="40C11BBB" w:rsidR="00753DD5" w:rsidRPr="00085A29" w:rsidRDefault="00753DD5" w:rsidP="00073FE9">
      <w:pPr>
        <w:pStyle w:val="Heading1"/>
        <w:spacing w:after="120"/>
        <w:rPr>
          <w:rFonts w:cstheme="majorHAnsi"/>
          <w:lang w:val="fr-CA"/>
        </w:rPr>
      </w:pPr>
      <w:r w:rsidRPr="00085A29">
        <w:rPr>
          <w:rFonts w:cstheme="majorHAnsi"/>
          <w:lang w:val="fr-CA"/>
        </w:rPr>
        <w:t>Effectif et activités de dotation</w:t>
      </w:r>
    </w:p>
    <w:p w14:paraId="48240F1D" w14:textId="77777777" w:rsidR="00473C63" w:rsidRPr="00085A29" w:rsidRDefault="00753DD5" w:rsidP="00073FE9">
      <w:pPr>
        <w:pStyle w:val="Heading2"/>
        <w:spacing w:after="120"/>
        <w:rPr>
          <w:u w:val="single"/>
          <w:lang w:val="fr-CA"/>
        </w:rPr>
      </w:pPr>
      <w:r w:rsidRPr="00085A29">
        <w:rPr>
          <w:lang w:val="fr-CA"/>
        </w:rPr>
        <w:t>Effectif</w:t>
      </w:r>
    </w:p>
    <w:p w14:paraId="2A64AC6B" w14:textId="60FC17E3" w:rsidR="00753DD5" w:rsidRPr="00085A29" w:rsidRDefault="00473C63" w:rsidP="00073FE9">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La REC est une petite organisation qui comptait 500 employés au 31</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mars</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 xml:space="preserve">2020. La plupart des employés travaillent au </w:t>
      </w:r>
      <w:r w:rsidR="00B3146D" w:rsidRPr="00085A29">
        <w:rPr>
          <w:rFonts w:asciiTheme="minorHAnsi" w:hAnsiTheme="minorHAnsi" w:cstheme="minorHAnsi"/>
          <w:color w:val="000000"/>
          <w:sz w:val="22"/>
          <w:szCs w:val="22"/>
          <w:lang w:val="fr-CA"/>
        </w:rPr>
        <w:t>bureau principal</w:t>
      </w:r>
      <w:r w:rsidRPr="00085A29">
        <w:rPr>
          <w:rFonts w:asciiTheme="minorHAnsi" w:hAnsiTheme="minorHAnsi" w:cstheme="minorHAnsi"/>
          <w:color w:val="000000"/>
          <w:sz w:val="22"/>
          <w:szCs w:val="22"/>
          <w:lang w:val="fr-CA"/>
        </w:rPr>
        <w:t xml:space="preserve"> de la REC, situé au centre-ville de Calgary, en Alberta. Les autres employés travaillent dans les bureaux régionaux de Montréal, Vancouver et Yellowknife. Aucun employé de la </w:t>
      </w:r>
      <w:r w:rsidR="005854F9" w:rsidRPr="00085A29">
        <w:rPr>
          <w:rFonts w:asciiTheme="minorHAnsi" w:hAnsiTheme="minorHAnsi" w:cstheme="minorHAnsi"/>
          <w:color w:val="000000"/>
          <w:sz w:val="22"/>
          <w:szCs w:val="22"/>
          <w:lang w:val="fr-CA"/>
        </w:rPr>
        <w:t>REC</w:t>
      </w:r>
      <w:r w:rsidRPr="00085A29">
        <w:rPr>
          <w:rFonts w:asciiTheme="minorHAnsi" w:hAnsiTheme="minorHAnsi" w:cstheme="minorHAnsi"/>
          <w:color w:val="000000"/>
          <w:sz w:val="22"/>
          <w:szCs w:val="22"/>
          <w:lang w:val="fr-CA"/>
        </w:rPr>
        <w:t xml:space="preserve"> ne travaille dans la région de la capitale nationale.</w:t>
      </w:r>
    </w:p>
    <w:p w14:paraId="2D6D26F9" w14:textId="77777777" w:rsidR="00753DD5" w:rsidRPr="00085A29" w:rsidRDefault="00753DD5" w:rsidP="00073FE9">
      <w:pPr>
        <w:pStyle w:val="Heading2"/>
        <w:spacing w:after="120"/>
        <w:rPr>
          <w:u w:val="single"/>
          <w:lang w:val="fr-CA"/>
        </w:rPr>
      </w:pPr>
      <w:r w:rsidRPr="00085A29">
        <w:rPr>
          <w:lang w:val="fr-CA"/>
        </w:rPr>
        <w:t>Activités de dotation</w:t>
      </w:r>
    </w:p>
    <w:p w14:paraId="4F7CE99C" w14:textId="1BB67526" w:rsidR="00753DD5" w:rsidRPr="00085A29" w:rsidRDefault="006A60CF" w:rsidP="00073FE9">
      <w:pPr>
        <w:pStyle w:val="NoSpacing"/>
        <w:rPr>
          <w:rFonts w:asciiTheme="minorHAnsi" w:hAnsiTheme="minorHAnsi" w:cstheme="minorHAnsi"/>
          <w:sz w:val="22"/>
          <w:szCs w:val="22"/>
          <w:lang w:val="fr-CA"/>
        </w:rPr>
      </w:pPr>
      <w:r w:rsidRPr="00085A29">
        <w:rPr>
          <w:rFonts w:asciiTheme="minorHAnsi" w:hAnsiTheme="minorHAnsi" w:cstheme="minorHAnsi"/>
          <w:sz w:val="22"/>
          <w:szCs w:val="22"/>
          <w:lang w:val="fr-CA"/>
        </w:rPr>
        <w:t>En 2019-2020, la REC a procédé à un total de 207</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activités de dotation</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w:t>
      </w:r>
    </w:p>
    <w:p w14:paraId="061AE6A2" w14:textId="15C35757" w:rsidR="00936EB0" w:rsidRPr="00085A29" w:rsidRDefault="004F3A81" w:rsidP="00073FE9">
      <w:pPr>
        <w:pStyle w:val="NoSpacing"/>
        <w:numPr>
          <w:ilvl w:val="0"/>
          <w:numId w:val="13"/>
        </w:numPr>
        <w:rPr>
          <w:rFonts w:asciiTheme="minorHAnsi" w:hAnsiTheme="minorHAnsi" w:cstheme="minorHAnsi"/>
          <w:sz w:val="22"/>
          <w:szCs w:val="22"/>
          <w:lang w:val="fr-CA"/>
        </w:rPr>
      </w:pPr>
      <w:r w:rsidRPr="00085A29">
        <w:rPr>
          <w:rFonts w:asciiTheme="minorHAnsi" w:hAnsiTheme="minorHAnsi" w:cstheme="minorHAnsi"/>
          <w:sz w:val="22"/>
          <w:szCs w:val="22"/>
          <w:lang w:val="fr-CA"/>
        </w:rPr>
        <w:t>62 promotions effectuées au sein de la fonction publique;</w:t>
      </w:r>
    </w:p>
    <w:p w14:paraId="510E89FA" w14:textId="5D11B7B7" w:rsidR="00753DD5" w:rsidRPr="00085A29" w:rsidRDefault="00F302D2" w:rsidP="00073FE9">
      <w:pPr>
        <w:pStyle w:val="NoSpacing"/>
        <w:numPr>
          <w:ilvl w:val="0"/>
          <w:numId w:val="13"/>
        </w:numPr>
        <w:rPr>
          <w:rFonts w:asciiTheme="minorHAnsi" w:hAnsiTheme="minorHAnsi" w:cstheme="minorHAnsi"/>
          <w:sz w:val="22"/>
          <w:szCs w:val="22"/>
          <w:lang w:val="fr-CA"/>
        </w:rPr>
      </w:pPr>
      <w:r w:rsidRPr="00085A29">
        <w:rPr>
          <w:rFonts w:asciiTheme="minorHAnsi" w:hAnsiTheme="minorHAnsi" w:cstheme="minorHAnsi"/>
          <w:sz w:val="22"/>
          <w:szCs w:val="22"/>
          <w:lang w:val="fr-CA"/>
        </w:rPr>
        <w:t>41 nominations à durée indéterminée et déterminée dans la fonction publique;</w:t>
      </w:r>
    </w:p>
    <w:p w14:paraId="35D00D58" w14:textId="1F9DD2E5" w:rsidR="00753DD5" w:rsidRPr="00085A29" w:rsidRDefault="003D1BA1" w:rsidP="00073FE9">
      <w:pPr>
        <w:pStyle w:val="NoSpacing"/>
        <w:numPr>
          <w:ilvl w:val="0"/>
          <w:numId w:val="13"/>
        </w:numPr>
        <w:rPr>
          <w:rFonts w:asciiTheme="minorHAnsi" w:hAnsiTheme="minorHAnsi" w:cstheme="minorHAnsi"/>
          <w:sz w:val="22"/>
          <w:szCs w:val="22"/>
          <w:lang w:val="fr-CA"/>
        </w:rPr>
      </w:pPr>
      <w:r w:rsidRPr="00085A29">
        <w:rPr>
          <w:rFonts w:asciiTheme="minorHAnsi" w:hAnsiTheme="minorHAnsi" w:cstheme="minorHAnsi"/>
          <w:sz w:val="22"/>
          <w:szCs w:val="22"/>
          <w:lang w:val="fr-CA"/>
        </w:rPr>
        <w:lastRenderedPageBreak/>
        <w:t xml:space="preserve">43 nominations intérimaires (à l’exclusion des nominations intérimaires de moins de </w:t>
      </w:r>
      <w:r w:rsidR="00B3678B" w:rsidRPr="00085A29">
        <w:rPr>
          <w:rFonts w:asciiTheme="minorHAnsi" w:hAnsiTheme="minorHAnsi" w:cstheme="minorHAnsi"/>
          <w:sz w:val="22"/>
          <w:szCs w:val="22"/>
          <w:lang w:val="fr-CA"/>
        </w:rPr>
        <w:t xml:space="preserve">4 </w:t>
      </w:r>
      <w:r w:rsidRPr="00085A29">
        <w:rPr>
          <w:rFonts w:asciiTheme="minorHAnsi" w:hAnsiTheme="minorHAnsi" w:cstheme="minorHAnsi"/>
          <w:sz w:val="22"/>
          <w:szCs w:val="22"/>
          <w:lang w:val="fr-CA"/>
        </w:rPr>
        <w:t>mois);</w:t>
      </w:r>
    </w:p>
    <w:p w14:paraId="099CB46D" w14:textId="27F763CF" w:rsidR="00753DD5" w:rsidRPr="00085A29" w:rsidRDefault="003D1BA1" w:rsidP="00073FE9">
      <w:pPr>
        <w:pStyle w:val="NoSpacing"/>
        <w:numPr>
          <w:ilvl w:val="0"/>
          <w:numId w:val="13"/>
        </w:numPr>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17 </w:t>
      </w:r>
      <w:r w:rsidR="00222A7E">
        <w:rPr>
          <w:rFonts w:asciiTheme="minorHAnsi" w:hAnsiTheme="minorHAnsi" w:cstheme="minorHAnsi"/>
          <w:sz w:val="22"/>
          <w:szCs w:val="22"/>
          <w:lang w:val="fr-CA"/>
        </w:rPr>
        <w:t>employés</w:t>
      </w:r>
      <w:r w:rsidR="00222A7E"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occasionnels;</w:t>
      </w:r>
    </w:p>
    <w:p w14:paraId="5BC269B3" w14:textId="1BCC0E6B" w:rsidR="00753DD5" w:rsidRPr="00085A29" w:rsidRDefault="003D1BA1" w:rsidP="00073FE9">
      <w:pPr>
        <w:pStyle w:val="NoSpacing"/>
        <w:numPr>
          <w:ilvl w:val="0"/>
          <w:numId w:val="13"/>
        </w:numPr>
        <w:rPr>
          <w:rFonts w:asciiTheme="minorHAnsi" w:hAnsiTheme="minorHAnsi" w:cstheme="minorHAnsi"/>
          <w:sz w:val="22"/>
          <w:szCs w:val="22"/>
          <w:lang w:val="fr-CA"/>
        </w:rPr>
      </w:pPr>
      <w:r w:rsidRPr="00085A29">
        <w:rPr>
          <w:rFonts w:asciiTheme="minorHAnsi" w:hAnsiTheme="minorHAnsi" w:cstheme="minorHAnsi"/>
          <w:sz w:val="22"/>
          <w:szCs w:val="22"/>
          <w:lang w:val="fr-CA"/>
        </w:rPr>
        <w:t>9 étudiants;</w:t>
      </w:r>
    </w:p>
    <w:p w14:paraId="4C5DE965" w14:textId="79BC48C7" w:rsidR="00753DD5" w:rsidRPr="00085A29" w:rsidRDefault="00F302D2" w:rsidP="00073FE9">
      <w:pPr>
        <w:pStyle w:val="NoSpacing"/>
        <w:numPr>
          <w:ilvl w:val="0"/>
          <w:numId w:val="13"/>
        </w:num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35 mutations</w:t>
      </w:r>
      <w:r w:rsidR="004B0D0A" w:rsidRPr="00085A29">
        <w:rPr>
          <w:rFonts w:asciiTheme="minorHAnsi" w:hAnsiTheme="minorHAnsi" w:cstheme="minorHAnsi"/>
          <w:sz w:val="22"/>
          <w:szCs w:val="22"/>
          <w:lang w:val="fr-CA"/>
        </w:rPr>
        <w:t xml:space="preserve"> latérales et régressives</w:t>
      </w:r>
      <w:r w:rsidRPr="00085A29">
        <w:rPr>
          <w:rFonts w:asciiTheme="minorHAnsi" w:hAnsiTheme="minorHAnsi" w:cstheme="minorHAnsi"/>
          <w:sz w:val="22"/>
          <w:szCs w:val="22"/>
          <w:lang w:val="fr-CA"/>
        </w:rPr>
        <w:t>.</w:t>
      </w:r>
    </w:p>
    <w:p w14:paraId="3C6F1BD9" w14:textId="1FC6B966" w:rsidR="00816688" w:rsidRPr="00085A29" w:rsidRDefault="00753DD5" w:rsidP="00073FE9">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Veuillez consulter </w:t>
      </w:r>
      <w:hyperlink w:anchor="Annexe_B" w:history="1">
        <w:r w:rsidRPr="00085A29">
          <w:rPr>
            <w:rStyle w:val="Hyperlink"/>
            <w:rFonts w:asciiTheme="minorHAnsi" w:hAnsiTheme="minorHAnsi" w:cstheme="minorHAnsi"/>
            <w:sz w:val="22"/>
            <w:szCs w:val="22"/>
            <w:lang w:val="fr-CA"/>
          </w:rPr>
          <w:t>l’annexe B</w:t>
        </w:r>
      </w:hyperlink>
      <w:r w:rsidRPr="00085A29">
        <w:rPr>
          <w:rFonts w:asciiTheme="minorHAnsi" w:hAnsiTheme="minorHAnsi" w:cstheme="minorHAnsi"/>
          <w:sz w:val="22"/>
          <w:szCs w:val="22"/>
          <w:lang w:val="fr-CA"/>
        </w:rPr>
        <w:t xml:space="preserve"> pour plus de détails</w:t>
      </w:r>
      <w:r w:rsidR="00073FE9" w:rsidRPr="00085A29">
        <w:rPr>
          <w:rFonts w:asciiTheme="minorHAnsi" w:hAnsiTheme="minorHAnsi" w:cstheme="minorHAnsi"/>
          <w:sz w:val="22"/>
          <w:szCs w:val="22"/>
          <w:lang w:val="fr-CA"/>
        </w:rPr>
        <w:t xml:space="preserve"> sur les activités de dotation</w:t>
      </w:r>
      <w:r w:rsidRPr="00085A29">
        <w:rPr>
          <w:rFonts w:asciiTheme="minorHAnsi" w:hAnsiTheme="minorHAnsi" w:cstheme="minorHAnsi"/>
          <w:sz w:val="22"/>
          <w:szCs w:val="22"/>
          <w:lang w:val="fr-CA"/>
        </w:rPr>
        <w:t>.</w:t>
      </w:r>
    </w:p>
    <w:p w14:paraId="0D8C249C" w14:textId="309D6738" w:rsidR="00816688" w:rsidRPr="00085A29" w:rsidRDefault="006719EE" w:rsidP="00073FE9">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Depuis le début de 2020, la REC a soumis 13</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recommandations dans le cadre du PFETE, en plus d’embaucher 9 étudiants dans le cadre du programme au cours de l’exercice</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2019-2020.</w:t>
      </w:r>
    </w:p>
    <w:p w14:paraId="7C325D8B" w14:textId="1D4661DF" w:rsidR="00670821" w:rsidRPr="00085A29" w:rsidRDefault="007A43F7" w:rsidP="00073FE9">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Parmi les priorités en matière de dotation, mentionnons l’expansion de l’équipe des </w:t>
      </w:r>
      <w:r w:rsidR="00617E5E" w:rsidRPr="00085A29">
        <w:rPr>
          <w:rFonts w:asciiTheme="minorHAnsi" w:hAnsiTheme="minorHAnsi" w:cstheme="minorHAnsi"/>
          <w:sz w:val="22"/>
          <w:szCs w:val="22"/>
          <w:lang w:val="fr-CA"/>
        </w:rPr>
        <w:t>ressources</w:t>
      </w:r>
      <w:r w:rsidRPr="00085A29">
        <w:rPr>
          <w:rFonts w:asciiTheme="minorHAnsi" w:hAnsiTheme="minorHAnsi" w:cstheme="minorHAnsi"/>
          <w:sz w:val="22"/>
          <w:szCs w:val="22"/>
          <w:lang w:val="fr-CA"/>
        </w:rPr>
        <w:t xml:space="preserve"> humaines et l’ajout de plus de 30</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nouveaux postes liés à la réalisation d’analyses et à l’augmentation de sa capacité de communiquer avec les Canadiens. De plus, à l’appui de son mandat, la </w:t>
      </w:r>
      <w:r w:rsidR="005854F9" w:rsidRPr="00085A29">
        <w:rPr>
          <w:rFonts w:asciiTheme="minorHAnsi" w:hAnsiTheme="minorHAnsi" w:cstheme="minorHAnsi"/>
          <w:sz w:val="22"/>
          <w:szCs w:val="22"/>
          <w:lang w:val="fr-CA"/>
        </w:rPr>
        <w:t>REC</w:t>
      </w:r>
      <w:r w:rsidRPr="00085A29">
        <w:rPr>
          <w:rFonts w:asciiTheme="minorHAnsi" w:hAnsiTheme="minorHAnsi" w:cstheme="minorHAnsi"/>
          <w:sz w:val="22"/>
          <w:szCs w:val="22"/>
          <w:lang w:val="fr-CA"/>
        </w:rPr>
        <w:t xml:space="preserve"> souhaite attirer davantage d’employés autochtones. Par exemple, une partie de sa stratégie de recrutement des Autochtones consiste à travailler avec d’autres organisations de la fonction publique fédérale dans la région, comme Pétrole et gaz des Indiens du Canada. La REC prévoit également continuer de participer à des salons de l’emploi pour Autochtones et envisage d’étudier la possibilité de recourir au Programme de recrutement postsecondaire et à d’autres programmes de recrutement de la CFP pour mener des activités d’équité en matière d’emploi.</w:t>
      </w:r>
    </w:p>
    <w:p w14:paraId="50918294" w14:textId="77777777" w:rsidR="00670821" w:rsidRPr="00085A29" w:rsidRDefault="00753DD5" w:rsidP="00851D27">
      <w:pPr>
        <w:pStyle w:val="Heading1"/>
        <w:spacing w:after="120"/>
        <w:rPr>
          <w:rFonts w:cstheme="majorHAnsi"/>
          <w:lang w:val="fr-CA"/>
        </w:rPr>
      </w:pPr>
      <w:r w:rsidRPr="00085A29">
        <w:rPr>
          <w:rFonts w:cstheme="majorHAnsi"/>
          <w:lang w:val="fr-CA"/>
        </w:rPr>
        <w:t>Durée du processus de dotation</w:t>
      </w:r>
    </w:p>
    <w:p w14:paraId="46A85826" w14:textId="0D6ED832" w:rsidR="00C108D5" w:rsidRPr="00085A29" w:rsidRDefault="00670821" w:rsidP="00851D27">
      <w:pPr>
        <w:pStyle w:val="NoSpacing"/>
        <w:spacing w:after="120"/>
        <w:rPr>
          <w:rFonts w:asciiTheme="minorHAnsi" w:hAnsiTheme="minorHAnsi" w:cstheme="minorHAnsi"/>
          <w:sz w:val="48"/>
          <w:szCs w:val="48"/>
          <w:lang w:val="fr-CA"/>
        </w:rPr>
      </w:pPr>
      <w:r w:rsidRPr="00085A29">
        <w:rPr>
          <w:rFonts w:asciiTheme="minorHAnsi" w:hAnsiTheme="minorHAnsi" w:cstheme="minorHAnsi"/>
          <w:sz w:val="22"/>
          <w:szCs w:val="22"/>
          <w:lang w:val="fr-CA"/>
        </w:rPr>
        <w:t>Il n’y a pas suffisamment de données pour évaluer la durée des processus de dotation internes ou externes à la REC.</w:t>
      </w:r>
    </w:p>
    <w:p w14:paraId="434A976D" w14:textId="77777777" w:rsidR="00753DD5" w:rsidRPr="00085A29" w:rsidRDefault="00753DD5" w:rsidP="00851D27">
      <w:pPr>
        <w:pStyle w:val="Heading1"/>
        <w:spacing w:after="120"/>
        <w:rPr>
          <w:rFonts w:cstheme="majorHAnsi"/>
          <w:lang w:val="fr-CA"/>
        </w:rPr>
      </w:pPr>
      <w:r w:rsidRPr="00085A29">
        <w:rPr>
          <w:rFonts w:cstheme="majorHAnsi"/>
          <w:lang w:val="fr-CA"/>
        </w:rPr>
        <w:t>Cadre de dotation</w:t>
      </w:r>
    </w:p>
    <w:p w14:paraId="1FA00079" w14:textId="77777777" w:rsidR="00753DD5" w:rsidRPr="00085A29" w:rsidRDefault="00753DD5" w:rsidP="00851D27">
      <w:pPr>
        <w:pStyle w:val="Heading2"/>
        <w:spacing w:after="120"/>
        <w:rPr>
          <w:lang w:val="fr-CA"/>
        </w:rPr>
      </w:pPr>
      <w:r w:rsidRPr="00085A29">
        <w:rPr>
          <w:lang w:val="fr-CA"/>
        </w:rPr>
        <w:t>Mise en œuvre de la nouvelle orientation en dotation</w:t>
      </w:r>
    </w:p>
    <w:p w14:paraId="583EED8F" w14:textId="77777777" w:rsidR="00187BE5" w:rsidRPr="00085A29" w:rsidRDefault="00187BE5" w:rsidP="00374684">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La REC a terminé la préparation de tous les documents obligatoires (c.‑à‑d. la politique sur la zone de sélection, les directives sur l’utilisation des processus de nomination annoncés et non annoncés et la formulation des décisions de sélection) liés aux nouvelles exigences découlant de la NOD.</w:t>
      </w:r>
    </w:p>
    <w:p w14:paraId="48FEF9F3" w14:textId="77777777" w:rsidR="00222A7E" w:rsidRDefault="00222A7E" w:rsidP="00851D27">
      <w:pPr>
        <w:pStyle w:val="NoSpacing"/>
        <w:spacing w:after="120"/>
        <w:rPr>
          <w:rFonts w:asciiTheme="minorHAnsi" w:hAnsiTheme="minorHAnsi" w:cstheme="minorHAnsi"/>
          <w:color w:val="000000"/>
          <w:sz w:val="22"/>
          <w:szCs w:val="22"/>
          <w:lang w:val="fr-CA"/>
        </w:rPr>
      </w:pPr>
    </w:p>
    <w:p w14:paraId="201F44D2" w14:textId="2202302D" w:rsidR="00187BE5" w:rsidRPr="00085A29" w:rsidRDefault="00187BE5"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En plus des exigences obligatoires, la REC a établi d’autres politiques et/ou instructions de travail à l’appui de sa politique de nomination sur les sujets suivants : les affectations, les échanges et les nominations intérimaires, les recours et les enquêtes, ainsi que la probation et l’emploi pour une période déterminée.</w:t>
      </w:r>
    </w:p>
    <w:p w14:paraId="172F27A4" w14:textId="41A510AF" w:rsidR="00187BE5" w:rsidRPr="00085A29" w:rsidRDefault="00187BE5"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La REC a communiqué sa politique de nomination et les instructions de travail connexes</w:t>
      </w:r>
      <w:r w:rsidR="00DE7011" w:rsidRPr="00085A29">
        <w:rPr>
          <w:rFonts w:asciiTheme="minorHAnsi" w:hAnsiTheme="minorHAnsi" w:cstheme="minorHAnsi"/>
          <w:color w:val="000000"/>
          <w:sz w:val="22"/>
          <w:szCs w:val="22"/>
          <w:lang w:val="fr-CA"/>
        </w:rPr>
        <w:t>, ainsi que son instrument de subdélégation,</w:t>
      </w:r>
      <w:r w:rsidRPr="00085A29">
        <w:rPr>
          <w:rFonts w:asciiTheme="minorHAnsi" w:hAnsiTheme="minorHAnsi" w:cstheme="minorHAnsi"/>
          <w:color w:val="000000"/>
          <w:sz w:val="22"/>
          <w:szCs w:val="22"/>
          <w:lang w:val="fr-CA"/>
        </w:rPr>
        <w:t xml:space="preserve"> à la CFP. Il convient de noter que la REC entreprend un examen de sa politique de nomination, notamment en ce qui a trait aux directives de l’administrateur général sur le recours aux nominations annoncées et non annoncées. De plus, à l’été</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 xml:space="preserve">2020, la REC a entrepris un examen de sa politique et de ses lignes directrices relatives au Programme d’emploi pour étudiants. Le </w:t>
      </w:r>
      <w:r w:rsidR="00095DCA" w:rsidRPr="00085A29">
        <w:rPr>
          <w:rFonts w:asciiTheme="minorHAnsi" w:hAnsiTheme="minorHAnsi" w:cstheme="minorHAnsi"/>
          <w:color w:val="000000"/>
          <w:sz w:val="22"/>
          <w:szCs w:val="22"/>
          <w:lang w:val="fr-CA"/>
        </w:rPr>
        <w:t>CSD</w:t>
      </w:r>
      <w:r w:rsidRPr="00085A29">
        <w:rPr>
          <w:rFonts w:asciiTheme="minorHAnsi" w:hAnsiTheme="minorHAnsi" w:cstheme="minorHAnsi"/>
          <w:color w:val="000000"/>
          <w:sz w:val="22"/>
          <w:szCs w:val="22"/>
          <w:lang w:val="fr-CA"/>
        </w:rPr>
        <w:t xml:space="preserve"> de la REC a déjà commencé à fournir un soutien lié à ces initiatives, notamment en recommandant que l’organisation utilise davantage les programmes d’emploi pour étudiants reconnus.</w:t>
      </w:r>
    </w:p>
    <w:p w14:paraId="1D5EAFFA" w14:textId="1323762F" w:rsidR="00187BE5" w:rsidRPr="00085A29" w:rsidRDefault="00541BA9"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lastRenderedPageBreak/>
        <w:t xml:space="preserve">Au cours des visites en personne de septembre 2018 et d’avril 2019 au bureau principal de la REC à Calgary, le </w:t>
      </w:r>
      <w:r w:rsidR="00095DCA" w:rsidRPr="00085A29">
        <w:rPr>
          <w:rFonts w:asciiTheme="minorHAnsi" w:hAnsiTheme="minorHAnsi" w:cstheme="minorHAnsi"/>
          <w:color w:val="000000"/>
          <w:sz w:val="22"/>
          <w:szCs w:val="22"/>
          <w:lang w:val="fr-CA"/>
        </w:rPr>
        <w:t>CSD</w:t>
      </w:r>
      <w:r w:rsidRPr="00085A29">
        <w:rPr>
          <w:rFonts w:asciiTheme="minorHAnsi" w:hAnsiTheme="minorHAnsi" w:cstheme="minorHAnsi"/>
          <w:color w:val="000000"/>
          <w:sz w:val="22"/>
          <w:szCs w:val="22"/>
          <w:lang w:val="fr-CA"/>
        </w:rPr>
        <w:t xml:space="preserve"> a animé diverses séances pour les professionnels des ressou</w:t>
      </w:r>
      <w:r w:rsidR="00617E5E" w:rsidRPr="00085A29">
        <w:rPr>
          <w:rFonts w:asciiTheme="minorHAnsi" w:hAnsiTheme="minorHAnsi" w:cstheme="minorHAnsi"/>
          <w:color w:val="000000"/>
          <w:sz w:val="22"/>
          <w:szCs w:val="22"/>
          <w:lang w:val="fr-CA"/>
        </w:rPr>
        <w:t>rce</w:t>
      </w:r>
      <w:r w:rsidRPr="00085A29">
        <w:rPr>
          <w:rFonts w:asciiTheme="minorHAnsi" w:hAnsiTheme="minorHAnsi" w:cstheme="minorHAnsi"/>
          <w:color w:val="000000"/>
          <w:sz w:val="22"/>
          <w:szCs w:val="22"/>
          <w:lang w:val="fr-CA"/>
        </w:rPr>
        <w:t xml:space="preserve">s humaines de la REC dans le cadre desquelles on a discuté des domaines d’intérêt cernés par l’organisation, comme le renouvellement des annonces d’emploi, comment améliorer la communication sur les possibilités d’emploi avec les candidats potentiels, les approches pour élaborer de meilleurs critères de mérite et l’utilisation de l’information sur la gestion du rendement dans le contexte de la dotation. Le </w:t>
      </w:r>
      <w:r w:rsidR="00095DCA" w:rsidRPr="00085A29">
        <w:rPr>
          <w:rFonts w:asciiTheme="minorHAnsi" w:hAnsiTheme="minorHAnsi" w:cstheme="minorHAnsi"/>
          <w:color w:val="000000"/>
          <w:sz w:val="22"/>
          <w:szCs w:val="22"/>
          <w:lang w:val="fr-CA"/>
        </w:rPr>
        <w:t>CSD</w:t>
      </w:r>
      <w:r w:rsidRPr="00085A29">
        <w:rPr>
          <w:rFonts w:asciiTheme="minorHAnsi" w:hAnsiTheme="minorHAnsi" w:cstheme="minorHAnsi"/>
          <w:color w:val="000000"/>
          <w:sz w:val="22"/>
          <w:szCs w:val="22"/>
          <w:lang w:val="fr-CA"/>
        </w:rPr>
        <w:t xml:space="preserve"> a également fait le point sur diverses initiatives de la CFP, discuté des sujets chauds et de l’expérimentation en matière de dotation, en plus d’examiner les scénarios liés à la dotation de la NOD. De plus, le Centre de psychologie du personnel (CPP) a offert un aperçu de ses produits et services. </w:t>
      </w:r>
    </w:p>
    <w:p w14:paraId="762BFD5F" w14:textId="2DF18AB9" w:rsidR="00187BE5" w:rsidRPr="00085A29" w:rsidRDefault="00A05E76"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Durant la visite d’avril</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 xml:space="preserve">2019, le </w:t>
      </w:r>
      <w:r w:rsidR="00095DCA" w:rsidRPr="00085A29">
        <w:rPr>
          <w:rFonts w:asciiTheme="minorHAnsi" w:hAnsiTheme="minorHAnsi" w:cstheme="minorHAnsi"/>
          <w:color w:val="000000"/>
          <w:sz w:val="22"/>
          <w:szCs w:val="22"/>
          <w:lang w:val="fr-CA"/>
        </w:rPr>
        <w:t>CSD</w:t>
      </w:r>
      <w:r w:rsidRPr="00085A29">
        <w:rPr>
          <w:rFonts w:asciiTheme="minorHAnsi" w:hAnsiTheme="minorHAnsi" w:cstheme="minorHAnsi"/>
          <w:color w:val="000000"/>
          <w:sz w:val="22"/>
          <w:szCs w:val="22"/>
          <w:lang w:val="fr-CA"/>
        </w:rPr>
        <w:t xml:space="preserve"> a également offert une séance d’information personnalisée sur la NOD aux représentants syndicaux de la REC. Des représentants de l’équipe des ressou</w:t>
      </w:r>
      <w:r w:rsidR="00617E5E" w:rsidRPr="00085A29">
        <w:rPr>
          <w:rFonts w:asciiTheme="minorHAnsi" w:hAnsiTheme="minorHAnsi" w:cstheme="minorHAnsi"/>
          <w:color w:val="000000"/>
          <w:sz w:val="22"/>
          <w:szCs w:val="22"/>
          <w:lang w:val="fr-CA"/>
        </w:rPr>
        <w:t>rce</w:t>
      </w:r>
      <w:r w:rsidRPr="00085A29">
        <w:rPr>
          <w:rFonts w:asciiTheme="minorHAnsi" w:hAnsiTheme="minorHAnsi" w:cstheme="minorHAnsi"/>
          <w:color w:val="000000"/>
          <w:sz w:val="22"/>
          <w:szCs w:val="22"/>
          <w:lang w:val="fr-CA"/>
        </w:rPr>
        <w:t xml:space="preserve">s humaines de la REC étaient présents pour répondre à toute question en lien avec l’organisation. Des scénarios liés à la dotation ont été sélectionnés aux fins de discussion, ce qui a permis aux membres de l’organisation et à ses agents négociateurs d’avoir des échanges francs et efficaces. </w:t>
      </w:r>
    </w:p>
    <w:p w14:paraId="05A37F82" w14:textId="03BF5099" w:rsidR="0037735D" w:rsidRPr="00085A29" w:rsidRDefault="00CB6F15"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Lors de </w:t>
      </w:r>
      <w:r w:rsidR="00A00E2B" w:rsidRPr="00085A29">
        <w:rPr>
          <w:rFonts w:asciiTheme="minorHAnsi" w:hAnsiTheme="minorHAnsi" w:cstheme="minorHAnsi"/>
          <w:color w:val="000000"/>
          <w:sz w:val="22"/>
          <w:szCs w:val="22"/>
          <w:lang w:val="fr-CA"/>
        </w:rPr>
        <w:t>s</w:t>
      </w:r>
      <w:r w:rsidRPr="00085A29">
        <w:rPr>
          <w:rFonts w:asciiTheme="minorHAnsi" w:hAnsiTheme="minorHAnsi" w:cstheme="minorHAnsi"/>
          <w:color w:val="000000"/>
          <w:sz w:val="22"/>
          <w:szCs w:val="22"/>
          <w:lang w:val="fr-CA"/>
        </w:rPr>
        <w:t>a dernière visite à la REC, en octobre</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 xml:space="preserve">2019, </w:t>
      </w:r>
      <w:r w:rsidR="00A00E2B" w:rsidRPr="00085A29">
        <w:rPr>
          <w:rFonts w:asciiTheme="minorHAnsi" w:hAnsiTheme="minorHAnsi" w:cstheme="minorHAnsi"/>
          <w:color w:val="000000"/>
          <w:sz w:val="22"/>
          <w:szCs w:val="22"/>
          <w:lang w:val="fr-CA"/>
        </w:rPr>
        <w:t xml:space="preserve">le </w:t>
      </w:r>
      <w:r w:rsidR="00095DCA" w:rsidRPr="00085A29">
        <w:rPr>
          <w:rFonts w:asciiTheme="minorHAnsi" w:hAnsiTheme="minorHAnsi" w:cstheme="minorHAnsi"/>
          <w:color w:val="000000"/>
          <w:sz w:val="22"/>
          <w:szCs w:val="22"/>
          <w:lang w:val="fr-CA"/>
        </w:rPr>
        <w:t>CSD</w:t>
      </w:r>
      <w:r w:rsidRPr="00085A29">
        <w:rPr>
          <w:rFonts w:asciiTheme="minorHAnsi" w:hAnsiTheme="minorHAnsi" w:cstheme="minorHAnsi"/>
          <w:color w:val="000000"/>
          <w:sz w:val="22"/>
          <w:szCs w:val="22"/>
          <w:lang w:val="fr-CA"/>
        </w:rPr>
        <w:t xml:space="preserve"> a animé les séances suivantes au cours d’une période de deux jours</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 une séance de scénarios personnalisés de la NOD avec plus de 30</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gestionnaires, deux séances sur la NOD pour les employés en partenariat avec les ressou</w:t>
      </w:r>
      <w:r w:rsidR="00617E5E" w:rsidRPr="00085A29">
        <w:rPr>
          <w:rFonts w:asciiTheme="minorHAnsi" w:hAnsiTheme="minorHAnsi" w:cstheme="minorHAnsi"/>
          <w:color w:val="000000"/>
          <w:sz w:val="22"/>
          <w:szCs w:val="22"/>
          <w:lang w:val="fr-CA"/>
        </w:rPr>
        <w:t>rce</w:t>
      </w:r>
      <w:r w:rsidRPr="00085A29">
        <w:rPr>
          <w:rFonts w:asciiTheme="minorHAnsi" w:hAnsiTheme="minorHAnsi" w:cstheme="minorHAnsi"/>
          <w:color w:val="000000"/>
          <w:sz w:val="22"/>
          <w:szCs w:val="22"/>
          <w:lang w:val="fr-CA"/>
        </w:rPr>
        <w:t>s humaines de la REC pour plus de 50</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employés chacune, et une rencontre avec l’équipe des ressou</w:t>
      </w:r>
      <w:r w:rsidR="00617E5E" w:rsidRPr="00085A29">
        <w:rPr>
          <w:rFonts w:asciiTheme="minorHAnsi" w:hAnsiTheme="minorHAnsi" w:cstheme="minorHAnsi"/>
          <w:color w:val="000000"/>
          <w:sz w:val="22"/>
          <w:szCs w:val="22"/>
          <w:lang w:val="fr-CA"/>
        </w:rPr>
        <w:t>rce</w:t>
      </w:r>
      <w:r w:rsidRPr="00085A29">
        <w:rPr>
          <w:rFonts w:asciiTheme="minorHAnsi" w:hAnsiTheme="minorHAnsi" w:cstheme="minorHAnsi"/>
          <w:color w:val="000000"/>
          <w:sz w:val="22"/>
          <w:szCs w:val="22"/>
          <w:lang w:val="fr-CA"/>
        </w:rPr>
        <w:t>s humaines de la REC pour leur fournir des mises à jour de la CFP et répondre à leurs questions. Chacune de ces quatre</w:t>
      </w:r>
      <w:r w:rsidR="00A00E2B" w:rsidRPr="00085A29">
        <w:rPr>
          <w:rFonts w:asciiTheme="minorHAnsi" w:hAnsiTheme="minorHAnsi" w:cstheme="minorHAnsi"/>
          <w:color w:val="000000"/>
          <w:sz w:val="22"/>
          <w:szCs w:val="22"/>
          <w:lang w:val="fr-CA"/>
        </w:rPr>
        <w:t xml:space="preserve"> </w:t>
      </w:r>
      <w:r w:rsidRPr="00085A29">
        <w:rPr>
          <w:rFonts w:asciiTheme="minorHAnsi" w:hAnsiTheme="minorHAnsi" w:cstheme="minorHAnsi"/>
          <w:color w:val="000000"/>
          <w:sz w:val="22"/>
          <w:szCs w:val="22"/>
          <w:lang w:val="fr-CA"/>
        </w:rPr>
        <w:t>séances a donné lieu à des discussions et à un engagement, notamment les séances sur la NOD pour les gestionnaires et les employés.</w:t>
      </w:r>
    </w:p>
    <w:p w14:paraId="1FBFD8B6" w14:textId="3889E8EE" w:rsidR="0037735D" w:rsidRPr="00085A29" w:rsidRDefault="0037735D" w:rsidP="00851D27">
      <w:pPr>
        <w:pStyle w:val="NoSpacing"/>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Le </w:t>
      </w:r>
      <w:r w:rsidR="00095DCA" w:rsidRPr="00085A29">
        <w:rPr>
          <w:rFonts w:asciiTheme="minorHAnsi" w:hAnsiTheme="minorHAnsi" w:cstheme="minorHAnsi"/>
          <w:color w:val="000000"/>
          <w:sz w:val="22"/>
          <w:szCs w:val="22"/>
          <w:lang w:val="fr-CA"/>
        </w:rPr>
        <w:t>CSD</w:t>
      </w:r>
      <w:r w:rsidRPr="00085A29">
        <w:rPr>
          <w:rFonts w:asciiTheme="minorHAnsi" w:hAnsiTheme="minorHAnsi" w:cstheme="minorHAnsi"/>
          <w:color w:val="000000"/>
          <w:sz w:val="22"/>
          <w:szCs w:val="22"/>
          <w:lang w:val="fr-CA"/>
        </w:rPr>
        <w:t xml:space="preserve"> discute actuellement avec l’organisation de sujets d’intérêt possibles pour de futures séances virtuelles. Jusqu’ici, on prévoit offrir les présentations suivantes à l’automne</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2020 :</w:t>
      </w:r>
    </w:p>
    <w:p w14:paraId="57831F8F" w14:textId="4E616AC3" w:rsidR="00AA4D6D" w:rsidRPr="00085A29" w:rsidRDefault="00A00E2B" w:rsidP="00851D27">
      <w:pPr>
        <w:pStyle w:val="NoSpacing"/>
        <w:numPr>
          <w:ilvl w:val="0"/>
          <w:numId w:val="14"/>
        </w:numPr>
        <w:rPr>
          <w:rFonts w:asciiTheme="minorHAnsi" w:hAnsiTheme="minorHAnsi" w:cstheme="minorHAnsi"/>
          <w:color w:val="000000"/>
          <w:sz w:val="22"/>
          <w:szCs w:val="22"/>
          <w:lang w:val="fr-CA"/>
        </w:rPr>
      </w:pPr>
      <w:proofErr w:type="gramStart"/>
      <w:r w:rsidRPr="00085A29">
        <w:rPr>
          <w:rFonts w:asciiTheme="minorHAnsi" w:hAnsiTheme="minorHAnsi" w:cstheme="minorHAnsi"/>
          <w:color w:val="000000"/>
          <w:sz w:val="22"/>
          <w:szCs w:val="22"/>
          <w:lang w:val="fr-CA"/>
        </w:rPr>
        <w:t>é</w:t>
      </w:r>
      <w:r w:rsidR="00AA4D6D" w:rsidRPr="00085A29">
        <w:rPr>
          <w:rFonts w:asciiTheme="minorHAnsi" w:hAnsiTheme="minorHAnsi" w:cstheme="minorHAnsi"/>
          <w:color w:val="000000"/>
          <w:sz w:val="22"/>
          <w:szCs w:val="22"/>
          <w:lang w:val="fr-CA"/>
        </w:rPr>
        <w:t>quité</w:t>
      </w:r>
      <w:proofErr w:type="gramEnd"/>
      <w:r w:rsidR="00AA4D6D" w:rsidRPr="00085A29">
        <w:rPr>
          <w:rFonts w:asciiTheme="minorHAnsi" w:hAnsiTheme="minorHAnsi" w:cstheme="minorHAnsi"/>
          <w:color w:val="000000"/>
          <w:sz w:val="22"/>
          <w:szCs w:val="22"/>
          <w:lang w:val="fr-CA"/>
        </w:rPr>
        <w:t xml:space="preserve"> en matière d’emploi et les façons possibles d’utiliser le cadre législatif pour appuyer les efforts d’embauche d’employés autochtones;</w:t>
      </w:r>
    </w:p>
    <w:p w14:paraId="62826FDA" w14:textId="46A568AE" w:rsidR="00AA4D6D" w:rsidRPr="00085A29" w:rsidRDefault="00A00E2B" w:rsidP="00851D27">
      <w:pPr>
        <w:pStyle w:val="NoSpacing"/>
        <w:numPr>
          <w:ilvl w:val="0"/>
          <w:numId w:val="14"/>
        </w:numPr>
        <w:spacing w:after="120"/>
        <w:rPr>
          <w:rFonts w:asciiTheme="minorHAnsi" w:hAnsiTheme="minorHAnsi" w:cstheme="minorHAnsi"/>
          <w:color w:val="000000"/>
          <w:sz w:val="22"/>
          <w:szCs w:val="22"/>
          <w:lang w:val="fr-CA"/>
        </w:rPr>
      </w:pPr>
      <w:proofErr w:type="gramStart"/>
      <w:r w:rsidRPr="00085A29">
        <w:rPr>
          <w:rFonts w:asciiTheme="minorHAnsi" w:hAnsiTheme="minorHAnsi" w:cstheme="minorHAnsi"/>
          <w:color w:val="000000"/>
          <w:sz w:val="22"/>
          <w:szCs w:val="22"/>
          <w:lang w:val="fr-CA"/>
        </w:rPr>
        <w:t>é</w:t>
      </w:r>
      <w:r w:rsidR="00AA4D6D" w:rsidRPr="00085A29">
        <w:rPr>
          <w:rFonts w:asciiTheme="minorHAnsi" w:hAnsiTheme="minorHAnsi" w:cstheme="minorHAnsi"/>
          <w:color w:val="000000"/>
          <w:sz w:val="22"/>
          <w:szCs w:val="22"/>
          <w:lang w:val="fr-CA"/>
        </w:rPr>
        <w:t>valuation</w:t>
      </w:r>
      <w:proofErr w:type="gramEnd"/>
      <w:r w:rsidR="00AA4D6D" w:rsidRPr="00085A29">
        <w:rPr>
          <w:rFonts w:asciiTheme="minorHAnsi" w:hAnsiTheme="minorHAnsi" w:cstheme="minorHAnsi"/>
          <w:color w:val="000000"/>
          <w:sz w:val="22"/>
          <w:szCs w:val="22"/>
          <w:lang w:val="fr-CA"/>
        </w:rPr>
        <w:t xml:space="preserve"> cyclique.</w:t>
      </w:r>
    </w:p>
    <w:p w14:paraId="76747A33" w14:textId="100A43B1" w:rsidR="00AA4D6D" w:rsidRPr="00085A29" w:rsidRDefault="00AA4D6D" w:rsidP="00851D27">
      <w:pPr>
        <w:pStyle w:val="NoSpacing"/>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De plus, un certain nombre de séances sont actuellement à l’étape de la planification en vue d’être offertes à l’automne</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2020, notamment :</w:t>
      </w:r>
    </w:p>
    <w:p w14:paraId="54FEE364" w14:textId="0744EA45" w:rsidR="00AA4D6D" w:rsidRPr="00085A29" w:rsidRDefault="00AA4D6D" w:rsidP="00851D27">
      <w:pPr>
        <w:pStyle w:val="NoSpacing"/>
        <w:numPr>
          <w:ilvl w:val="0"/>
          <w:numId w:val="15"/>
        </w:numPr>
        <w:rPr>
          <w:rFonts w:asciiTheme="minorHAnsi" w:hAnsiTheme="minorHAnsi" w:cstheme="minorHAnsi"/>
          <w:color w:val="000000"/>
          <w:sz w:val="22"/>
          <w:szCs w:val="22"/>
          <w:lang w:val="fr-CA"/>
        </w:rPr>
      </w:pPr>
      <w:proofErr w:type="gramStart"/>
      <w:r w:rsidRPr="00085A29">
        <w:rPr>
          <w:rFonts w:asciiTheme="minorHAnsi" w:hAnsiTheme="minorHAnsi" w:cstheme="minorHAnsi"/>
          <w:color w:val="000000"/>
          <w:sz w:val="22"/>
          <w:szCs w:val="22"/>
          <w:lang w:val="fr-CA"/>
        </w:rPr>
        <w:t>un</w:t>
      </w:r>
      <w:proofErr w:type="gramEnd"/>
      <w:r w:rsidRPr="00085A29">
        <w:rPr>
          <w:rFonts w:asciiTheme="minorHAnsi" w:hAnsiTheme="minorHAnsi" w:cstheme="minorHAnsi"/>
          <w:color w:val="000000"/>
          <w:sz w:val="22"/>
          <w:szCs w:val="22"/>
          <w:lang w:val="fr-CA"/>
        </w:rPr>
        <w:t xml:space="preserve"> aperçu des produits de données de la CFP;</w:t>
      </w:r>
    </w:p>
    <w:p w14:paraId="2A3F5AB7" w14:textId="4DE4430C" w:rsidR="00AA4D6D" w:rsidRPr="00085A29" w:rsidRDefault="00AA4D6D" w:rsidP="00851D27">
      <w:pPr>
        <w:pStyle w:val="NoSpacing"/>
        <w:numPr>
          <w:ilvl w:val="0"/>
          <w:numId w:val="15"/>
        </w:numPr>
        <w:rPr>
          <w:rFonts w:asciiTheme="minorHAnsi" w:hAnsiTheme="minorHAnsi" w:cstheme="minorHAnsi"/>
          <w:color w:val="000000"/>
          <w:sz w:val="22"/>
          <w:szCs w:val="22"/>
          <w:lang w:val="fr-CA"/>
        </w:rPr>
      </w:pPr>
      <w:proofErr w:type="gramStart"/>
      <w:r w:rsidRPr="00085A29">
        <w:rPr>
          <w:rFonts w:asciiTheme="minorHAnsi" w:hAnsiTheme="minorHAnsi" w:cstheme="minorHAnsi"/>
          <w:color w:val="000000"/>
          <w:sz w:val="22"/>
          <w:szCs w:val="22"/>
          <w:lang w:val="fr-CA"/>
        </w:rPr>
        <w:t>les</w:t>
      </w:r>
      <w:proofErr w:type="gramEnd"/>
      <w:r w:rsidRPr="00085A29">
        <w:rPr>
          <w:rFonts w:asciiTheme="minorHAnsi" w:hAnsiTheme="minorHAnsi" w:cstheme="minorHAnsi"/>
          <w:color w:val="000000"/>
          <w:sz w:val="22"/>
          <w:szCs w:val="22"/>
          <w:lang w:val="fr-CA"/>
        </w:rPr>
        <w:t xml:space="preserve"> programmes de recrutement et les services d’évaluation de la CFP;</w:t>
      </w:r>
    </w:p>
    <w:p w14:paraId="78FF635E" w14:textId="791FFE07" w:rsidR="00E73E57" w:rsidRPr="00085A29" w:rsidRDefault="008B5432" w:rsidP="00851D27">
      <w:pPr>
        <w:pStyle w:val="NoSpacing"/>
        <w:numPr>
          <w:ilvl w:val="0"/>
          <w:numId w:val="15"/>
        </w:numPr>
        <w:spacing w:after="120"/>
        <w:rPr>
          <w:rFonts w:asciiTheme="minorHAnsi" w:hAnsiTheme="minorHAnsi" w:cstheme="minorHAnsi"/>
          <w:color w:val="000000"/>
          <w:sz w:val="22"/>
          <w:szCs w:val="22"/>
          <w:lang w:val="fr-CA"/>
        </w:rPr>
      </w:pPr>
      <w:proofErr w:type="gramStart"/>
      <w:r w:rsidRPr="00085A29">
        <w:rPr>
          <w:rFonts w:asciiTheme="minorHAnsi" w:hAnsiTheme="minorHAnsi" w:cstheme="minorHAnsi"/>
          <w:color w:val="000000"/>
          <w:sz w:val="22"/>
          <w:szCs w:val="22"/>
          <w:lang w:val="fr-CA"/>
        </w:rPr>
        <w:t>les</w:t>
      </w:r>
      <w:proofErr w:type="gramEnd"/>
      <w:r w:rsidRPr="00085A29">
        <w:rPr>
          <w:rFonts w:asciiTheme="minorHAnsi" w:hAnsiTheme="minorHAnsi" w:cstheme="minorHAnsi"/>
          <w:color w:val="000000"/>
          <w:sz w:val="22"/>
          <w:szCs w:val="22"/>
          <w:lang w:val="fr-CA"/>
        </w:rPr>
        <w:t xml:space="preserve"> langues officielles dans le processus de dotation et les nominations bilingues non impératives.</w:t>
      </w:r>
    </w:p>
    <w:p w14:paraId="67DCCF53" w14:textId="6D359CD2" w:rsidR="00F84671" w:rsidRPr="00085A29" w:rsidRDefault="00F84671"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À l’automne</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 xml:space="preserve">2020, le </w:t>
      </w:r>
      <w:r w:rsidR="00AE3ED7" w:rsidRPr="00085A29">
        <w:rPr>
          <w:rFonts w:asciiTheme="minorHAnsi" w:hAnsiTheme="minorHAnsi" w:cstheme="minorHAnsi"/>
          <w:color w:val="000000"/>
          <w:sz w:val="22"/>
          <w:szCs w:val="22"/>
          <w:lang w:val="fr-CA"/>
        </w:rPr>
        <w:t>CSD</w:t>
      </w:r>
      <w:r w:rsidRPr="00085A29">
        <w:rPr>
          <w:rFonts w:asciiTheme="minorHAnsi" w:hAnsiTheme="minorHAnsi" w:cstheme="minorHAnsi"/>
          <w:color w:val="000000"/>
          <w:sz w:val="22"/>
          <w:szCs w:val="22"/>
          <w:lang w:val="fr-CA"/>
        </w:rPr>
        <w:t xml:space="preserve"> prévoit également inviter l’équipe des ressou</w:t>
      </w:r>
      <w:r w:rsidR="00617E5E" w:rsidRPr="00085A29">
        <w:rPr>
          <w:rFonts w:asciiTheme="minorHAnsi" w:hAnsiTheme="minorHAnsi" w:cstheme="minorHAnsi"/>
          <w:color w:val="000000"/>
          <w:sz w:val="22"/>
          <w:szCs w:val="22"/>
          <w:lang w:val="fr-CA"/>
        </w:rPr>
        <w:t>rce</w:t>
      </w:r>
      <w:r w:rsidRPr="00085A29">
        <w:rPr>
          <w:rFonts w:asciiTheme="minorHAnsi" w:hAnsiTheme="minorHAnsi" w:cstheme="minorHAnsi"/>
          <w:color w:val="000000"/>
          <w:sz w:val="22"/>
          <w:szCs w:val="22"/>
          <w:lang w:val="fr-CA"/>
        </w:rPr>
        <w:t>s humaines de la REC à une visite virtuelle et a récemment commencé à tenir des réunions mensuelles avec la personne-ressou</w:t>
      </w:r>
      <w:r w:rsidR="00617E5E" w:rsidRPr="00085A29">
        <w:rPr>
          <w:rFonts w:asciiTheme="minorHAnsi" w:hAnsiTheme="minorHAnsi" w:cstheme="minorHAnsi"/>
          <w:color w:val="000000"/>
          <w:sz w:val="22"/>
          <w:szCs w:val="22"/>
          <w:lang w:val="fr-CA"/>
        </w:rPr>
        <w:t>rce</w:t>
      </w:r>
      <w:r w:rsidRPr="00085A29">
        <w:rPr>
          <w:rFonts w:asciiTheme="minorHAnsi" w:hAnsiTheme="minorHAnsi" w:cstheme="minorHAnsi"/>
          <w:color w:val="000000"/>
          <w:sz w:val="22"/>
          <w:szCs w:val="22"/>
          <w:lang w:val="fr-CA"/>
        </w:rPr>
        <w:t xml:space="preserve"> de l’organisation.</w:t>
      </w:r>
    </w:p>
    <w:p w14:paraId="2CCFF467" w14:textId="10046202" w:rsidR="006864EB" w:rsidRPr="00085A29" w:rsidRDefault="006864EB" w:rsidP="00851D27">
      <w:pPr>
        <w:pStyle w:val="Heading1"/>
        <w:spacing w:after="120"/>
        <w:rPr>
          <w:b/>
          <w:lang w:val="fr-CA"/>
        </w:rPr>
      </w:pPr>
      <w:r w:rsidRPr="00085A29">
        <w:rPr>
          <w:lang w:val="fr-CA"/>
        </w:rPr>
        <w:lastRenderedPageBreak/>
        <w:t>Rapport</w:t>
      </w:r>
      <w:r w:rsidR="009273E6" w:rsidRPr="00085A29">
        <w:rPr>
          <w:lang w:val="fr-CA"/>
        </w:rPr>
        <w:t xml:space="preserve"> </w:t>
      </w:r>
      <w:r w:rsidRPr="00085A29">
        <w:rPr>
          <w:lang w:val="fr-CA"/>
        </w:rPr>
        <w:t>prévu par l’annexe D de l’</w:t>
      </w:r>
      <w:r w:rsidR="00BA137C">
        <w:rPr>
          <w:lang w:val="fr-CA"/>
        </w:rPr>
        <w:t>I</w:t>
      </w:r>
      <w:r w:rsidRPr="00085A29">
        <w:rPr>
          <w:lang w:val="fr-CA"/>
        </w:rPr>
        <w:t>nstrument de délégation et de responsabilisation en matière de nomination</w:t>
      </w:r>
    </w:p>
    <w:p w14:paraId="22BFC2FA" w14:textId="65DDB9D7" w:rsidR="00753DD5" w:rsidRPr="00085A29" w:rsidRDefault="00753DD5" w:rsidP="00851D27">
      <w:pPr>
        <w:pStyle w:val="Heading2"/>
        <w:spacing w:after="120"/>
        <w:rPr>
          <w:lang w:val="fr-CA"/>
        </w:rPr>
      </w:pPr>
      <w:r w:rsidRPr="00085A29">
        <w:rPr>
          <w:lang w:val="fr-CA"/>
        </w:rPr>
        <w:t xml:space="preserve">Recours au </w:t>
      </w:r>
      <w:r w:rsidRPr="00085A29">
        <w:rPr>
          <w:rStyle w:val="Emphasis"/>
          <w:lang w:val="fr-CA"/>
        </w:rPr>
        <w:t>Décret d’exemption concernant les langues officielles dans la fonction publique</w:t>
      </w:r>
      <w:r w:rsidRPr="00085A29">
        <w:rPr>
          <w:i/>
          <w:iCs/>
          <w:lang w:val="fr-CA"/>
        </w:rPr>
        <w:t xml:space="preserve"> (DELOFP) et au </w:t>
      </w:r>
      <w:r w:rsidRPr="00085A29">
        <w:rPr>
          <w:rStyle w:val="Emphasis"/>
          <w:lang w:val="fr-CA"/>
        </w:rPr>
        <w:t>Règlement sur les langues officielles</w:t>
      </w:r>
      <w:r w:rsidR="00866F51" w:rsidRPr="00085A29">
        <w:rPr>
          <w:rStyle w:val="Emphasis"/>
          <w:lang w:val="fr-CA"/>
        </w:rPr>
        <w:t> —</w:t>
      </w:r>
      <w:r w:rsidRPr="00085A29">
        <w:rPr>
          <w:rStyle w:val="Emphasis"/>
          <w:lang w:val="fr-CA"/>
        </w:rPr>
        <w:t xml:space="preserve"> nominations dans la fonction publique</w:t>
      </w:r>
      <w:r w:rsidRPr="00085A29">
        <w:rPr>
          <w:i/>
          <w:iCs/>
          <w:lang w:val="fr-CA"/>
        </w:rPr>
        <w:t xml:space="preserve"> (RLONFP)</w:t>
      </w:r>
    </w:p>
    <w:p w14:paraId="613A9CCA" w14:textId="49574CDE" w:rsidR="0083500E" w:rsidRPr="00085A29" w:rsidRDefault="00E26903" w:rsidP="00851D27">
      <w:pPr>
        <w:pStyle w:val="NoSpacing"/>
        <w:spacing w:after="120"/>
        <w:rPr>
          <w:rFonts w:asciiTheme="minorHAnsi" w:hAnsiTheme="minorHAnsi" w:cstheme="minorHAnsi"/>
          <w:color w:val="222222"/>
          <w:sz w:val="22"/>
          <w:szCs w:val="22"/>
          <w:lang w:val="fr-CA"/>
        </w:rPr>
      </w:pPr>
      <w:r w:rsidRPr="00085A29">
        <w:rPr>
          <w:rFonts w:asciiTheme="minorHAnsi" w:hAnsiTheme="minorHAnsi" w:cstheme="minorHAnsi"/>
          <w:sz w:val="22"/>
          <w:szCs w:val="22"/>
          <w:lang w:val="fr-CA"/>
        </w:rPr>
        <w:t>La REC a indiqué que l’organisation a utilisé le DELOFP et le RLONFP quatre fois au cours de la période du 1</w:t>
      </w:r>
      <w:r w:rsidRPr="00085A29">
        <w:rPr>
          <w:rFonts w:asciiTheme="minorHAnsi" w:hAnsiTheme="minorHAnsi" w:cstheme="minorHAnsi"/>
          <w:sz w:val="22"/>
          <w:szCs w:val="22"/>
          <w:vertAlign w:val="superscript"/>
          <w:lang w:val="fr-CA"/>
        </w:rPr>
        <w:t>er</w:t>
      </w:r>
      <w:r w:rsidRPr="00085A29">
        <w:rPr>
          <w:rFonts w:asciiTheme="minorHAnsi" w:hAnsiTheme="minorHAnsi" w:cstheme="minorHAnsi"/>
          <w:sz w:val="22"/>
          <w:szCs w:val="22"/>
          <w:lang w:val="fr-CA"/>
        </w:rPr>
        <w:t> avril 2019 au 31 mars 2020.</w:t>
      </w:r>
      <w:r w:rsidRPr="00085A29">
        <w:rPr>
          <w:rFonts w:asciiTheme="minorHAnsi" w:hAnsiTheme="minorHAnsi" w:cstheme="minorHAnsi"/>
          <w:color w:val="222222"/>
          <w:sz w:val="22"/>
          <w:szCs w:val="22"/>
          <w:lang w:val="fr-CA"/>
        </w:rPr>
        <w:t xml:space="preserve"> Il n’y a eu aucune situation non réglée où l’employé n’a pas respecté la période initiale de </w:t>
      </w:r>
      <w:r w:rsidR="00B3678B" w:rsidRPr="00085A29">
        <w:rPr>
          <w:rFonts w:asciiTheme="minorHAnsi" w:hAnsiTheme="minorHAnsi" w:cstheme="minorHAnsi"/>
          <w:color w:val="222222"/>
          <w:sz w:val="22"/>
          <w:szCs w:val="22"/>
          <w:lang w:val="fr-CA"/>
        </w:rPr>
        <w:t>deux ans mentionnés</w:t>
      </w:r>
      <w:r w:rsidRPr="00085A29">
        <w:rPr>
          <w:rFonts w:asciiTheme="minorHAnsi" w:hAnsiTheme="minorHAnsi" w:cstheme="minorHAnsi"/>
          <w:color w:val="222222"/>
          <w:sz w:val="22"/>
          <w:szCs w:val="22"/>
          <w:lang w:val="fr-CA"/>
        </w:rPr>
        <w:t xml:space="preserve"> dans une entente pour devenir bilingue et aucune situation nécessitant un suivi de la part de la CFP.</w:t>
      </w:r>
    </w:p>
    <w:p w14:paraId="6F66B4BA" w14:textId="7FD5BB4B" w:rsidR="00016E56" w:rsidRPr="00085A29" w:rsidRDefault="00016E56" w:rsidP="00851D27">
      <w:pPr>
        <w:pStyle w:val="Heading2"/>
        <w:spacing w:after="120"/>
        <w:rPr>
          <w:lang w:val="fr-CA"/>
        </w:rPr>
      </w:pPr>
      <w:r w:rsidRPr="00085A29">
        <w:rPr>
          <w:lang w:val="fr-CA"/>
        </w:rPr>
        <w:t>Exceptions approuvées par l’Administratrice générale aux exigences de la zone nationale de sélection pour un processus de nomination externe annoncé</w:t>
      </w:r>
    </w:p>
    <w:p w14:paraId="3541596C" w14:textId="79E55E7C" w:rsidR="00753DD5" w:rsidRPr="00085A29" w:rsidRDefault="00403390" w:rsidP="00851D27">
      <w:pPr>
        <w:pStyle w:val="NormalWeb"/>
        <w:spacing w:before="0" w:beforeAutospacing="0" w:after="120" w:afterAutospacing="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La REC n’a signalé aucune exception approuvée par l’administrateur général relative à la zone nationale de sélection entre le 1</w:t>
      </w:r>
      <w:r w:rsidRPr="00085A29">
        <w:rPr>
          <w:rFonts w:asciiTheme="minorHAnsi" w:hAnsiTheme="minorHAnsi" w:cstheme="minorHAnsi"/>
          <w:color w:val="000000"/>
          <w:sz w:val="22"/>
          <w:szCs w:val="22"/>
          <w:vertAlign w:val="superscript"/>
          <w:lang w:val="fr-CA"/>
        </w:rPr>
        <w:t>er</w:t>
      </w:r>
      <w:r w:rsidRPr="00085A29">
        <w:rPr>
          <w:rFonts w:asciiTheme="minorHAnsi" w:hAnsiTheme="minorHAnsi" w:cstheme="minorHAnsi"/>
          <w:color w:val="000000"/>
          <w:sz w:val="22"/>
          <w:szCs w:val="22"/>
          <w:lang w:val="fr-CA"/>
        </w:rPr>
        <w:t> avril 2019 et le 31 mars 2020.</w:t>
      </w:r>
    </w:p>
    <w:p w14:paraId="27104F77" w14:textId="77777777" w:rsidR="00753DD5" w:rsidRPr="00085A29" w:rsidRDefault="00753DD5" w:rsidP="00851D27">
      <w:pPr>
        <w:pStyle w:val="Heading2"/>
        <w:spacing w:after="120"/>
        <w:rPr>
          <w:lang w:val="fr-CA"/>
        </w:rPr>
      </w:pPr>
      <w:r w:rsidRPr="00085A29">
        <w:rPr>
          <w:lang w:val="fr-CA"/>
        </w:rPr>
        <w:t xml:space="preserve">Résultats de l’évaluation cyclique de l’organisation </w:t>
      </w:r>
    </w:p>
    <w:p w14:paraId="37C549CB" w14:textId="6A789336" w:rsidR="00753DD5" w:rsidRPr="00085A29" w:rsidRDefault="0055497D" w:rsidP="00851D27">
      <w:pPr>
        <w:pStyle w:val="NormalWeb"/>
        <w:spacing w:before="0" w:beforeAutospacing="0" w:after="120" w:afterAutospacing="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La REC n’a pas encore effectué d’évaluation </w:t>
      </w:r>
      <w:r w:rsidR="00B3678B" w:rsidRPr="00085A29">
        <w:rPr>
          <w:rFonts w:asciiTheme="minorHAnsi" w:hAnsiTheme="minorHAnsi" w:cstheme="minorHAnsi"/>
          <w:sz w:val="22"/>
          <w:szCs w:val="22"/>
          <w:lang w:val="fr-CA"/>
        </w:rPr>
        <w:t>cyclique ;</w:t>
      </w:r>
      <w:r w:rsidRPr="00085A29">
        <w:rPr>
          <w:rFonts w:asciiTheme="minorHAnsi" w:hAnsiTheme="minorHAnsi" w:cstheme="minorHAnsi"/>
          <w:sz w:val="22"/>
          <w:szCs w:val="22"/>
          <w:lang w:val="fr-CA"/>
        </w:rPr>
        <w:t xml:space="preserve"> elle prévoit toutefois le faire dès l’automne</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2020. Le </w:t>
      </w:r>
      <w:r w:rsidR="00AE3ED7" w:rsidRPr="00085A29">
        <w:rPr>
          <w:rFonts w:asciiTheme="minorHAnsi" w:hAnsiTheme="minorHAnsi" w:cstheme="minorHAnsi"/>
          <w:sz w:val="22"/>
          <w:szCs w:val="22"/>
          <w:lang w:val="fr-CA"/>
        </w:rPr>
        <w:t>CSD</w:t>
      </w:r>
      <w:r w:rsidRPr="00085A29">
        <w:rPr>
          <w:rFonts w:asciiTheme="minorHAnsi" w:hAnsiTheme="minorHAnsi" w:cstheme="minorHAnsi"/>
          <w:sz w:val="22"/>
          <w:szCs w:val="22"/>
          <w:lang w:val="fr-CA"/>
        </w:rPr>
        <w:t xml:space="preserve"> fournira un soutien à l’organisation tout au long du projet.</w:t>
      </w:r>
    </w:p>
    <w:p w14:paraId="26ACC81D" w14:textId="755879CB" w:rsidR="006E5155" w:rsidRPr="00085A29" w:rsidRDefault="00753DD5" w:rsidP="00851D27">
      <w:pPr>
        <w:pStyle w:val="Heading2"/>
        <w:spacing w:after="120"/>
        <w:rPr>
          <w:rStyle w:val="Hyperlink"/>
          <w:color w:val="5B315E" w:themeColor="accent2"/>
          <w:u w:val="none"/>
          <w:lang w:val="fr-CA"/>
        </w:rPr>
      </w:pPr>
      <w:r w:rsidRPr="00085A29">
        <w:rPr>
          <w:lang w:val="fr-CA"/>
        </w:rPr>
        <w:t xml:space="preserve">Demandes </w:t>
      </w:r>
      <w:r w:rsidR="00016E56" w:rsidRPr="00085A29">
        <w:rPr>
          <w:lang w:val="fr-CA"/>
        </w:rPr>
        <w:t xml:space="preserve">de renseignements </w:t>
      </w:r>
      <w:r w:rsidRPr="00085A29">
        <w:rPr>
          <w:lang w:val="fr-CA"/>
        </w:rPr>
        <w:t>et tendances</w:t>
      </w:r>
    </w:p>
    <w:p w14:paraId="5626BB60" w14:textId="16B86548" w:rsidR="00377667" w:rsidRPr="00085A29" w:rsidRDefault="005354F7" w:rsidP="00851D27">
      <w:p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Depuis l’entrée en vigueur de la NOD, le 1</w:t>
      </w:r>
      <w:r w:rsidRPr="00085A29">
        <w:rPr>
          <w:rFonts w:asciiTheme="minorHAnsi" w:hAnsiTheme="minorHAnsi" w:cstheme="minorHAnsi"/>
          <w:sz w:val="22"/>
          <w:szCs w:val="22"/>
          <w:vertAlign w:val="superscript"/>
          <w:lang w:val="fr-CA"/>
        </w:rPr>
        <w:t>er</w:t>
      </w:r>
      <w:r w:rsidRPr="00085A29">
        <w:rPr>
          <w:rFonts w:asciiTheme="minorHAnsi" w:hAnsiTheme="minorHAnsi" w:cstheme="minorHAnsi"/>
          <w:sz w:val="22"/>
          <w:szCs w:val="22"/>
          <w:lang w:val="fr-CA"/>
        </w:rPr>
        <w:t xml:space="preserve"> avril 2016, la </w:t>
      </w:r>
      <w:r w:rsidR="00DA7ECF" w:rsidRPr="00085A29">
        <w:rPr>
          <w:rFonts w:asciiTheme="minorHAnsi" w:hAnsiTheme="minorHAnsi" w:cstheme="minorHAnsi"/>
          <w:sz w:val="22"/>
          <w:szCs w:val="22"/>
          <w:lang w:val="fr-CA"/>
        </w:rPr>
        <w:t>plupart</w:t>
      </w:r>
      <w:r w:rsidRPr="00085A29">
        <w:rPr>
          <w:rFonts w:asciiTheme="minorHAnsi" w:hAnsiTheme="minorHAnsi" w:cstheme="minorHAnsi"/>
          <w:sz w:val="22"/>
          <w:szCs w:val="22"/>
          <w:lang w:val="fr-CA"/>
        </w:rPr>
        <w:t xml:space="preserve"> des questions de la REC portaient sur la Politique de nomination, plus précisément sur l’évaluation. Dans l’ensemble, les questions reçues étaient très variées.</w:t>
      </w:r>
      <w:r w:rsidR="00B3678B"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Plus récemment, depuis le 1</w:t>
      </w:r>
      <w:r w:rsidRPr="00085A29">
        <w:rPr>
          <w:rFonts w:asciiTheme="minorHAnsi" w:hAnsiTheme="minorHAnsi" w:cstheme="minorHAnsi"/>
          <w:sz w:val="22"/>
          <w:szCs w:val="22"/>
          <w:vertAlign w:val="superscript"/>
          <w:lang w:val="fr-CA"/>
        </w:rPr>
        <w:t>er</w:t>
      </w:r>
      <w:r w:rsidRPr="00085A29">
        <w:rPr>
          <w:rFonts w:asciiTheme="minorHAnsi" w:hAnsiTheme="minorHAnsi" w:cstheme="minorHAnsi"/>
          <w:sz w:val="22"/>
          <w:szCs w:val="22"/>
          <w:lang w:val="fr-CA"/>
        </w:rPr>
        <w:t> avril 2020, les questions de l’organisation portaient sur les langues officielles, y compris les nominations non impératives, les nouvelles mesures de la CFP liées à la Covid-19 et la nouvelle série d’outils et de ressou</w:t>
      </w:r>
      <w:r w:rsidR="00617E5E" w:rsidRPr="00085A29">
        <w:rPr>
          <w:rFonts w:asciiTheme="minorHAnsi" w:hAnsiTheme="minorHAnsi" w:cstheme="minorHAnsi"/>
          <w:sz w:val="22"/>
          <w:szCs w:val="22"/>
          <w:lang w:val="fr-CA"/>
        </w:rPr>
        <w:t>rce</w:t>
      </w:r>
      <w:r w:rsidRPr="00085A29">
        <w:rPr>
          <w:rFonts w:asciiTheme="minorHAnsi" w:hAnsiTheme="minorHAnsi" w:cstheme="minorHAnsi"/>
          <w:sz w:val="22"/>
          <w:szCs w:val="22"/>
          <w:lang w:val="fr-CA"/>
        </w:rPr>
        <w:t>s d’évaluation de la langue seconde de la CFP. Depuis février 2020, la REC a soumis quatre</w:t>
      </w:r>
      <w:r w:rsidR="00242B78"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 xml:space="preserve">demandes de renseignements à son </w:t>
      </w:r>
      <w:r w:rsidR="00AE3ED7" w:rsidRPr="00085A29">
        <w:rPr>
          <w:rFonts w:asciiTheme="minorHAnsi" w:hAnsiTheme="minorHAnsi" w:cstheme="minorHAnsi"/>
          <w:sz w:val="22"/>
          <w:szCs w:val="22"/>
          <w:lang w:val="fr-CA"/>
        </w:rPr>
        <w:t>CSD</w:t>
      </w:r>
      <w:r w:rsidRPr="00085A29">
        <w:rPr>
          <w:rFonts w:asciiTheme="minorHAnsi" w:hAnsiTheme="minorHAnsi" w:cstheme="minorHAnsi"/>
          <w:sz w:val="22"/>
          <w:szCs w:val="22"/>
          <w:lang w:val="fr-CA"/>
        </w:rPr>
        <w:t xml:space="preserve"> concernant la Covid-19. Ces questions portaient sur les mesures d’adaptation, les offres d’emploi pour le travail à distance et la nouvelle mesure de la CFP qui exempte les administrateurs généraux de l’obligation d’utiliser les tests d’évaluation de la langue seconde de la CFP pour évaluer la compétence en langue seconde.</w:t>
      </w:r>
    </w:p>
    <w:p w14:paraId="0BEC49FC" w14:textId="2CEBABDD" w:rsidR="00972EC5" w:rsidRPr="00374684" w:rsidRDefault="004E4120" w:rsidP="00851D27">
      <w:pPr>
        <w:spacing w:after="120"/>
        <w:contextualSpacing/>
        <w:rPr>
          <w:rFonts w:asciiTheme="minorHAnsi" w:hAnsiTheme="minorHAnsi" w:cstheme="minorHAnsi"/>
          <w:sz w:val="22"/>
          <w:szCs w:val="22"/>
          <w:lang w:val="fr-CA"/>
        </w:rPr>
      </w:pPr>
      <w:r w:rsidRPr="00374684">
        <w:rPr>
          <w:rFonts w:asciiTheme="minorHAnsi" w:hAnsiTheme="minorHAnsi" w:cstheme="minorHAnsi"/>
          <w:sz w:val="22"/>
          <w:szCs w:val="22"/>
          <w:lang w:val="fr-CA"/>
        </w:rPr>
        <w:t xml:space="preserve">L’organisation a également demandé au </w:t>
      </w:r>
      <w:r w:rsidR="00AE3ED7" w:rsidRPr="00374684">
        <w:rPr>
          <w:rFonts w:asciiTheme="minorHAnsi" w:hAnsiTheme="minorHAnsi" w:cstheme="minorHAnsi"/>
          <w:sz w:val="22"/>
          <w:szCs w:val="22"/>
          <w:lang w:val="fr-CA"/>
        </w:rPr>
        <w:t>CSD</w:t>
      </w:r>
      <w:r w:rsidRPr="00374684">
        <w:rPr>
          <w:rFonts w:asciiTheme="minorHAnsi" w:hAnsiTheme="minorHAnsi" w:cstheme="minorHAnsi"/>
          <w:sz w:val="22"/>
          <w:szCs w:val="22"/>
          <w:lang w:val="fr-CA"/>
        </w:rPr>
        <w:t xml:space="preserve"> de fournir des commentaires pendant qu’elle met à jour son cadre de dotation afin de mieux refléter l’intention de la NOD et le contexte de l’organisation, ainsi que pour l’aider dans son évaluation cyclique, qui doit commencer plus tard cet automne.</w:t>
      </w:r>
    </w:p>
    <w:p w14:paraId="7FD1346E" w14:textId="77777777" w:rsidR="00753DD5" w:rsidRPr="00085A29" w:rsidRDefault="00753DD5" w:rsidP="00851D27">
      <w:pPr>
        <w:pStyle w:val="Heading1"/>
        <w:spacing w:after="120"/>
        <w:rPr>
          <w:rFonts w:cstheme="majorHAnsi"/>
          <w:lang w:val="fr-CA"/>
        </w:rPr>
      </w:pPr>
      <w:r w:rsidRPr="00085A29">
        <w:rPr>
          <w:rFonts w:cstheme="majorHAnsi"/>
          <w:lang w:val="fr-CA"/>
        </w:rPr>
        <w:lastRenderedPageBreak/>
        <w:t>Surveillance</w:t>
      </w:r>
    </w:p>
    <w:p w14:paraId="17D56C9B" w14:textId="39890C28" w:rsidR="00753DD5" w:rsidRPr="00085A29" w:rsidRDefault="006A246A" w:rsidP="00851D27">
      <w:pPr>
        <w:pStyle w:val="Heading2"/>
        <w:spacing w:after="120"/>
        <w:rPr>
          <w:u w:val="single"/>
          <w:lang w:val="fr-CA"/>
        </w:rPr>
      </w:pPr>
      <w:r w:rsidRPr="00085A29">
        <w:rPr>
          <w:lang w:val="fr-CA"/>
        </w:rPr>
        <w:t>Vérifications</w:t>
      </w:r>
    </w:p>
    <w:p w14:paraId="71B42789" w14:textId="3CC0EB0F" w:rsidR="00163487" w:rsidRPr="00085A29" w:rsidRDefault="002B20D8" w:rsidP="00851D27">
      <w:p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La CFP a effectué </w:t>
      </w:r>
      <w:r w:rsidR="006A246A" w:rsidRPr="00085A29">
        <w:rPr>
          <w:rFonts w:asciiTheme="minorHAnsi" w:hAnsiTheme="minorHAnsi" w:cstheme="minorHAnsi"/>
          <w:sz w:val="22"/>
          <w:szCs w:val="22"/>
          <w:lang w:val="fr-CA"/>
        </w:rPr>
        <w:t>une vérification</w:t>
      </w:r>
      <w:r w:rsidR="00163487" w:rsidRPr="00085A29">
        <w:rPr>
          <w:rFonts w:asciiTheme="minorHAnsi" w:hAnsiTheme="minorHAnsi" w:cstheme="minorHAnsi"/>
          <w:sz w:val="22"/>
          <w:szCs w:val="22"/>
          <w:lang w:val="fr-CA"/>
        </w:rPr>
        <w:t xml:space="preserve"> de la REC en 2011, qui est incluse dans l’échantillon </w:t>
      </w:r>
      <w:r w:rsidR="0015004D" w:rsidRPr="00085A29">
        <w:rPr>
          <w:rFonts w:asciiTheme="minorHAnsi" w:hAnsiTheme="minorHAnsi" w:cstheme="minorHAnsi"/>
          <w:sz w:val="22"/>
          <w:szCs w:val="22"/>
          <w:lang w:val="fr-CA"/>
        </w:rPr>
        <w:t xml:space="preserve">de l’un de </w:t>
      </w:r>
      <w:r w:rsidR="009273E6" w:rsidRPr="00085A29">
        <w:rPr>
          <w:rFonts w:asciiTheme="minorHAnsi" w:hAnsiTheme="minorHAnsi" w:cstheme="minorHAnsi"/>
          <w:sz w:val="22"/>
          <w:szCs w:val="22"/>
          <w:lang w:val="fr-CA"/>
        </w:rPr>
        <w:t>ses vérifications</w:t>
      </w:r>
      <w:r w:rsidR="00711442" w:rsidRPr="00085A29">
        <w:rPr>
          <w:rFonts w:asciiTheme="minorHAnsi" w:hAnsiTheme="minorHAnsi" w:cstheme="minorHAnsi"/>
          <w:sz w:val="22"/>
          <w:szCs w:val="22"/>
          <w:lang w:val="fr-CA"/>
        </w:rPr>
        <w:t xml:space="preserve"> </w:t>
      </w:r>
      <w:r w:rsidR="0015004D" w:rsidRPr="00085A29">
        <w:rPr>
          <w:rFonts w:asciiTheme="minorHAnsi" w:hAnsiTheme="minorHAnsi" w:cstheme="minorHAnsi"/>
          <w:sz w:val="22"/>
          <w:szCs w:val="22"/>
          <w:lang w:val="fr-CA"/>
        </w:rPr>
        <w:t>de gestion actuel</w:t>
      </w:r>
      <w:r w:rsidR="00163487" w:rsidRPr="00085A29">
        <w:rPr>
          <w:rFonts w:asciiTheme="minorHAnsi" w:hAnsiTheme="minorHAnsi" w:cstheme="minorHAnsi"/>
          <w:sz w:val="22"/>
          <w:szCs w:val="22"/>
          <w:lang w:val="fr-CA"/>
        </w:rPr>
        <w:t>s.</w:t>
      </w:r>
    </w:p>
    <w:p w14:paraId="76D92DC8" w14:textId="41B6CB0A" w:rsidR="00163487" w:rsidRPr="00085A29" w:rsidRDefault="006A246A" w:rsidP="00851D27">
      <w:pPr>
        <w:pStyle w:val="Heading3"/>
        <w:spacing w:after="120"/>
        <w:rPr>
          <w:rFonts w:ascii="Segoe UI" w:hAnsi="Segoe UI" w:cs="Segoe UI"/>
          <w:b/>
          <w:bCs/>
          <w:lang w:val="fr-CA"/>
        </w:rPr>
      </w:pPr>
      <w:r w:rsidRPr="00085A29">
        <w:rPr>
          <w:rFonts w:ascii="Segoe UI" w:hAnsi="Segoe UI" w:cs="Segoe UI"/>
          <w:b/>
          <w:bCs/>
          <w:lang w:val="fr-CA"/>
        </w:rPr>
        <w:t>Vérifications</w:t>
      </w:r>
      <w:r w:rsidR="00163487" w:rsidRPr="00085A29">
        <w:rPr>
          <w:rFonts w:ascii="Segoe UI" w:hAnsi="Segoe UI" w:cs="Segoe UI"/>
          <w:b/>
          <w:bCs/>
          <w:lang w:val="fr-CA"/>
        </w:rPr>
        <w:t xml:space="preserve"> en cours</w:t>
      </w:r>
      <w:r w:rsidR="00866F51" w:rsidRPr="00085A29">
        <w:rPr>
          <w:rFonts w:ascii="Segoe UI" w:hAnsi="Segoe UI" w:cs="Segoe UI"/>
          <w:b/>
          <w:bCs/>
          <w:lang w:val="fr-CA"/>
        </w:rPr>
        <w:t> </w:t>
      </w:r>
      <w:r w:rsidR="00163487" w:rsidRPr="00085A29">
        <w:rPr>
          <w:rFonts w:ascii="Segoe UI" w:hAnsi="Segoe UI" w:cs="Segoe UI"/>
          <w:b/>
          <w:bCs/>
          <w:lang w:val="fr-CA"/>
        </w:rPr>
        <w:t>:</w:t>
      </w:r>
    </w:p>
    <w:p w14:paraId="14151992" w14:textId="7A592E06" w:rsidR="00163487" w:rsidRPr="00085A29" w:rsidRDefault="00163487" w:rsidP="00851D27">
      <w:pPr>
        <w:rPr>
          <w:rFonts w:asciiTheme="minorHAnsi" w:hAnsiTheme="minorHAnsi" w:cstheme="minorHAnsi"/>
          <w:sz w:val="22"/>
          <w:szCs w:val="22"/>
          <w:lang w:val="fr-CA"/>
        </w:rPr>
      </w:pPr>
      <w:r w:rsidRPr="00085A29">
        <w:rPr>
          <w:rFonts w:asciiTheme="minorHAnsi" w:hAnsiTheme="minorHAnsi" w:cstheme="minorHAnsi"/>
          <w:sz w:val="22"/>
          <w:szCs w:val="22"/>
          <w:lang w:val="fr-CA"/>
        </w:rPr>
        <w:t>La REC fait partie des organisations sélectionnées aux fins de</w:t>
      </w:r>
      <w:r w:rsidR="00584F8C" w:rsidRPr="00085A29">
        <w:rPr>
          <w:rFonts w:asciiTheme="minorHAnsi" w:hAnsiTheme="minorHAnsi" w:cstheme="minorHAnsi"/>
          <w:sz w:val="22"/>
          <w:szCs w:val="22"/>
          <w:lang w:val="fr-CA"/>
        </w:rPr>
        <w:t xml:space="preserve"> la Vérification portant sur la représentation des groupes visés par l’équité en matière d’emploi lors du recrutement. </w:t>
      </w:r>
      <w:r w:rsidR="0015004D" w:rsidRPr="00085A29">
        <w:rPr>
          <w:rFonts w:asciiTheme="minorHAnsi" w:hAnsiTheme="minorHAnsi" w:cstheme="minorHAnsi"/>
          <w:sz w:val="22"/>
          <w:szCs w:val="22"/>
          <w:lang w:val="fr-CA"/>
        </w:rPr>
        <w:t xml:space="preserve">Les objectifs de </w:t>
      </w:r>
      <w:r w:rsidR="00584F8C" w:rsidRPr="00085A29">
        <w:rPr>
          <w:rFonts w:asciiTheme="minorHAnsi" w:hAnsiTheme="minorHAnsi" w:cstheme="minorHAnsi"/>
          <w:sz w:val="22"/>
          <w:szCs w:val="22"/>
          <w:lang w:val="fr-CA"/>
        </w:rPr>
        <w:t>la vérification</w:t>
      </w:r>
      <w:r w:rsidRPr="00085A29">
        <w:rPr>
          <w:rFonts w:asciiTheme="minorHAnsi" w:hAnsiTheme="minorHAnsi" w:cstheme="minorHAnsi"/>
          <w:sz w:val="22"/>
          <w:szCs w:val="22"/>
          <w:lang w:val="fr-CA"/>
        </w:rPr>
        <w:t xml:space="preserve"> sont les suivants</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w:t>
      </w:r>
    </w:p>
    <w:p w14:paraId="0882BB20" w14:textId="612B1772" w:rsidR="00163487" w:rsidRPr="00085A29" w:rsidRDefault="00163487" w:rsidP="00851D27">
      <w:pPr>
        <w:pStyle w:val="ListParagraph"/>
        <w:numPr>
          <w:ilvl w:val="0"/>
          <w:numId w:val="8"/>
        </w:numPr>
        <w:autoSpaceDE w:val="0"/>
        <w:autoSpaceDN w:val="0"/>
        <w:adjustRightInd w:val="0"/>
        <w:spacing w:after="0"/>
        <w:ind w:left="360"/>
        <w:rPr>
          <w:rFonts w:asciiTheme="minorHAnsi" w:hAnsiTheme="minorHAnsi" w:cstheme="minorHAnsi"/>
          <w:sz w:val="22"/>
          <w:szCs w:val="22"/>
          <w:lang w:val="fr-CA"/>
        </w:rPr>
      </w:pPr>
      <w:r w:rsidRPr="00085A29">
        <w:rPr>
          <w:rFonts w:asciiTheme="minorHAnsi" w:hAnsiTheme="minorHAnsi" w:cstheme="minorHAnsi"/>
          <w:sz w:val="22"/>
          <w:szCs w:val="22"/>
          <w:lang w:val="fr-CA"/>
        </w:rPr>
        <w:t>Déterminer si les quatre groupes visés par l’équité en matière d’emploi sont représentés proportionnellement dans les processus de recrutement.</w:t>
      </w:r>
    </w:p>
    <w:p w14:paraId="1A51803C" w14:textId="77777777" w:rsidR="00163487" w:rsidRPr="00085A29" w:rsidRDefault="00163487" w:rsidP="00851D27">
      <w:pPr>
        <w:pStyle w:val="ListParagraph"/>
        <w:numPr>
          <w:ilvl w:val="0"/>
          <w:numId w:val="8"/>
        </w:numPr>
        <w:autoSpaceDE w:val="0"/>
        <w:autoSpaceDN w:val="0"/>
        <w:adjustRightInd w:val="0"/>
        <w:spacing w:after="120"/>
        <w:ind w:left="360"/>
        <w:rPr>
          <w:rFonts w:asciiTheme="minorHAnsi" w:hAnsiTheme="minorHAnsi" w:cstheme="minorHAnsi"/>
          <w:sz w:val="22"/>
          <w:szCs w:val="22"/>
          <w:lang w:val="fr-CA"/>
        </w:rPr>
      </w:pPr>
      <w:r w:rsidRPr="00085A29">
        <w:rPr>
          <w:rFonts w:asciiTheme="minorHAnsi" w:hAnsiTheme="minorHAnsi" w:cstheme="minorHAnsi"/>
          <w:sz w:val="22"/>
          <w:szCs w:val="22"/>
          <w:lang w:val="fr-CA"/>
        </w:rPr>
        <w:t>Déterminer les facteurs clés qui influent sur la représentation dans le système de nomination parmi les quatre groupes visés par l’équité en matière d’emploi.</w:t>
      </w:r>
    </w:p>
    <w:p w14:paraId="04034AD5" w14:textId="024B65E6" w:rsidR="00163487" w:rsidRPr="00085A29" w:rsidRDefault="00163487" w:rsidP="00851D27">
      <w:p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Il est important de noter que les résultats seront diffusés à un niveau agrégé dans le rapport final et non au niveau de l</w:t>
      </w:r>
      <w:r w:rsidR="00866F51" w:rsidRPr="00085A29">
        <w:rPr>
          <w:rFonts w:asciiTheme="minorHAnsi" w:hAnsiTheme="minorHAnsi" w:cstheme="minorHAnsi"/>
          <w:sz w:val="22"/>
          <w:szCs w:val="22"/>
          <w:lang w:val="fr-CA"/>
        </w:rPr>
        <w:t>’</w:t>
      </w:r>
      <w:r w:rsidRPr="00085A29">
        <w:rPr>
          <w:rFonts w:asciiTheme="minorHAnsi" w:hAnsiTheme="minorHAnsi" w:cstheme="minorHAnsi"/>
          <w:sz w:val="22"/>
          <w:szCs w:val="22"/>
          <w:lang w:val="fr-CA"/>
        </w:rPr>
        <w:t>organisation. Deux processus de dotation de</w:t>
      </w:r>
      <w:r w:rsidR="00242B78" w:rsidRPr="00085A29">
        <w:rPr>
          <w:rFonts w:asciiTheme="minorHAnsi" w:hAnsiTheme="minorHAnsi" w:cstheme="minorHAnsi"/>
          <w:sz w:val="22"/>
          <w:szCs w:val="22"/>
          <w:lang w:val="fr-CA"/>
        </w:rPr>
        <w:t xml:space="preserve"> la</w:t>
      </w:r>
      <w:r w:rsidRPr="00085A29">
        <w:rPr>
          <w:rFonts w:asciiTheme="minorHAnsi" w:hAnsiTheme="minorHAnsi" w:cstheme="minorHAnsi"/>
          <w:sz w:val="22"/>
          <w:szCs w:val="22"/>
          <w:lang w:val="fr-CA"/>
        </w:rPr>
        <w:t xml:space="preserve"> REC ont été inclus dans l’échantillon global de 181</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processus sélectionnés parmi 30</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organisations.</w:t>
      </w:r>
    </w:p>
    <w:p w14:paraId="64673F38" w14:textId="6F60CA3C" w:rsidR="00163487" w:rsidRPr="00085A29" w:rsidRDefault="00163487" w:rsidP="00851D27">
      <w:p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Le rapport final sera publié au cours de l’exercice</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2020-2021.</w:t>
      </w:r>
    </w:p>
    <w:p w14:paraId="2C5B8E2A" w14:textId="77777777" w:rsidR="00753DD5" w:rsidRPr="00085A29" w:rsidRDefault="00753DD5" w:rsidP="00851D27">
      <w:pPr>
        <w:pStyle w:val="Heading2"/>
        <w:spacing w:after="120"/>
        <w:rPr>
          <w:u w:val="single"/>
          <w:lang w:val="fr-CA"/>
        </w:rPr>
      </w:pPr>
      <w:r w:rsidRPr="00085A29">
        <w:rPr>
          <w:lang w:val="fr-CA"/>
        </w:rPr>
        <w:t>Enquêtes</w:t>
      </w:r>
    </w:p>
    <w:p w14:paraId="4F69B2EE" w14:textId="33587579" w:rsidR="00753DD5" w:rsidRPr="00085A29" w:rsidRDefault="00B556ED"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Entre le 21 août 2017 et le 21 août 2020, une</w:t>
      </w:r>
      <w:r w:rsidR="003578BD" w:rsidRPr="00085A29">
        <w:rPr>
          <w:rFonts w:asciiTheme="minorHAnsi" w:hAnsiTheme="minorHAnsi" w:cstheme="minorHAnsi"/>
          <w:color w:val="000000"/>
          <w:sz w:val="22"/>
          <w:szCs w:val="22"/>
          <w:lang w:val="fr-CA"/>
        </w:rPr>
        <w:t xml:space="preserve"> </w:t>
      </w:r>
      <w:r w:rsidRPr="00085A29">
        <w:rPr>
          <w:rFonts w:asciiTheme="minorHAnsi" w:hAnsiTheme="minorHAnsi" w:cstheme="minorHAnsi"/>
          <w:color w:val="000000"/>
          <w:sz w:val="22"/>
          <w:szCs w:val="22"/>
          <w:lang w:val="fr-CA"/>
        </w:rPr>
        <w:t>allégation a été renvoyée par la REC à la CFP en vertu de l’article</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66, Nominations externes (c.-à-d. mérite, erreur, omission, conduite inappropriée). Toutefois, elle a été fermée par la CFP dès sa réception. La CFP a reçu une deuxième allégation de fraude en vertu de l’article</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69. L’enquête est en cours.</w:t>
      </w:r>
    </w:p>
    <w:p w14:paraId="3BB14817" w14:textId="23E22868" w:rsidR="00F00A6B" w:rsidRPr="00085A29" w:rsidRDefault="00F00A6B" w:rsidP="00F00A6B">
      <w:pPr>
        <w:pStyle w:val="Caption"/>
        <w:keepNext/>
        <w:spacing w:after="0"/>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lastRenderedPageBreak/>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1</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Enquêtes</w:t>
      </w:r>
    </w:p>
    <w:tbl>
      <w:tblPr>
        <w:tblStyle w:val="TableGrid"/>
        <w:tblW w:w="5000" w:type="pct"/>
        <w:jc w:val="center"/>
        <w:tblLook w:val="04A0" w:firstRow="1" w:lastRow="0" w:firstColumn="1" w:lastColumn="0" w:noHBand="0" w:noVBand="1"/>
        <w:tblDescription w:val="Enquêtes"/>
      </w:tblPr>
      <w:tblGrid>
        <w:gridCol w:w="2605"/>
        <w:gridCol w:w="943"/>
        <w:gridCol w:w="1607"/>
        <w:gridCol w:w="1184"/>
        <w:gridCol w:w="1335"/>
        <w:gridCol w:w="1335"/>
        <w:gridCol w:w="1061"/>
      </w:tblGrid>
      <w:tr w:rsidR="00F00A6B" w:rsidRPr="00BA137C" w14:paraId="5D67CAAC" w14:textId="77777777" w:rsidTr="001A6DF2">
        <w:trPr>
          <w:cantSplit/>
          <w:trHeight w:val="900"/>
          <w:tblHeader/>
          <w:jc w:val="center"/>
        </w:trPr>
        <w:tc>
          <w:tcPr>
            <w:tcW w:w="1293" w:type="pct"/>
            <w:shd w:val="clear" w:color="auto" w:fill="54575A" w:themeFill="text1"/>
            <w:hideMark/>
          </w:tcPr>
          <w:p w14:paraId="33DD2AC7" w14:textId="712EF3D9" w:rsidR="00F00A6B" w:rsidRPr="00BA137C" w:rsidRDefault="00F00A6B" w:rsidP="00F00A6B">
            <w:pPr>
              <w:pStyle w:val="TableTitle"/>
              <w:contextualSpacing/>
              <w:rPr>
                <w:rFonts w:cs="Segoe UI Semibold"/>
                <w:color w:val="FFFFFF" w:themeColor="background1"/>
                <w:sz w:val="22"/>
                <w:szCs w:val="22"/>
                <w:lang w:val="fr-CA"/>
              </w:rPr>
            </w:pPr>
            <w:r w:rsidRPr="00BA137C">
              <w:rPr>
                <w:rFonts w:cs="Segoe UI Semibold"/>
                <w:color w:val="FFFFFF" w:themeColor="background1"/>
                <w:sz w:val="22"/>
                <w:lang w:val="fr-CA"/>
              </w:rPr>
              <w:t>Nature de la question</w:t>
            </w:r>
          </w:p>
        </w:tc>
        <w:tc>
          <w:tcPr>
            <w:tcW w:w="468" w:type="pct"/>
            <w:shd w:val="clear" w:color="auto" w:fill="54575A" w:themeFill="text1"/>
            <w:hideMark/>
          </w:tcPr>
          <w:p w14:paraId="46BEDF25" w14:textId="0F09B8EC" w:rsidR="00F00A6B" w:rsidRPr="00BA137C" w:rsidRDefault="00F00A6B" w:rsidP="00F00A6B">
            <w:pPr>
              <w:pStyle w:val="TableTitle"/>
              <w:contextualSpacing/>
              <w:rPr>
                <w:rFonts w:cs="Segoe UI Semibold"/>
                <w:color w:val="FFFFFF" w:themeColor="background1"/>
                <w:sz w:val="22"/>
                <w:szCs w:val="22"/>
                <w:lang w:val="fr-CA"/>
              </w:rPr>
            </w:pPr>
            <w:r w:rsidRPr="00BA137C">
              <w:rPr>
                <w:rFonts w:cs="Segoe UI Semibold"/>
                <w:color w:val="FFFFFF" w:themeColor="background1"/>
                <w:sz w:val="22"/>
                <w:lang w:val="fr-CA"/>
              </w:rPr>
              <w:t>Cas reçus</w:t>
            </w:r>
          </w:p>
        </w:tc>
        <w:tc>
          <w:tcPr>
            <w:tcW w:w="798" w:type="pct"/>
            <w:shd w:val="clear" w:color="auto" w:fill="54575A" w:themeFill="text1"/>
            <w:hideMark/>
          </w:tcPr>
          <w:p w14:paraId="238379E4" w14:textId="6114B397" w:rsidR="00F00A6B" w:rsidRPr="00BA137C" w:rsidRDefault="00F00A6B" w:rsidP="00F00A6B">
            <w:pPr>
              <w:pStyle w:val="TableTitle"/>
              <w:contextualSpacing/>
              <w:rPr>
                <w:rFonts w:cs="Segoe UI Semibold"/>
                <w:color w:val="FFFFFF" w:themeColor="background1"/>
                <w:sz w:val="22"/>
                <w:szCs w:val="22"/>
                <w:lang w:val="fr-CA"/>
              </w:rPr>
            </w:pPr>
            <w:r w:rsidRPr="00BA137C">
              <w:rPr>
                <w:rFonts w:cs="Segoe UI Semibold"/>
                <w:color w:val="FFFFFF" w:themeColor="background1"/>
                <w:sz w:val="22"/>
                <w:lang w:val="fr-CA"/>
              </w:rPr>
              <w:t>Cas signalés par l’organisation</w:t>
            </w:r>
          </w:p>
        </w:tc>
        <w:tc>
          <w:tcPr>
            <w:tcW w:w="588" w:type="pct"/>
            <w:shd w:val="clear" w:color="auto" w:fill="54575A" w:themeFill="text1"/>
            <w:hideMark/>
          </w:tcPr>
          <w:p w14:paraId="05E7E571" w14:textId="4BD03858" w:rsidR="00F00A6B" w:rsidRPr="00BA137C" w:rsidRDefault="00F00A6B" w:rsidP="00F00A6B">
            <w:pPr>
              <w:pStyle w:val="TableTitle"/>
              <w:contextualSpacing/>
              <w:rPr>
                <w:rFonts w:cs="Segoe UI Semibold"/>
                <w:color w:val="FFFFFF" w:themeColor="background1"/>
                <w:sz w:val="22"/>
                <w:szCs w:val="22"/>
                <w:lang w:val="fr-CA"/>
              </w:rPr>
            </w:pPr>
            <w:r w:rsidRPr="00BA137C">
              <w:rPr>
                <w:rFonts w:cs="Segoe UI Semibold"/>
                <w:color w:val="FFFFFF" w:themeColor="background1"/>
                <w:sz w:val="22"/>
                <w:lang w:val="fr-CA"/>
              </w:rPr>
              <w:t>Cas clos- Non acceptés</w:t>
            </w:r>
          </w:p>
        </w:tc>
        <w:tc>
          <w:tcPr>
            <w:tcW w:w="663" w:type="pct"/>
            <w:shd w:val="clear" w:color="auto" w:fill="54575A" w:themeFill="text1"/>
            <w:hideMark/>
          </w:tcPr>
          <w:p w14:paraId="2C59C9B6" w14:textId="59BC8902" w:rsidR="00F00A6B" w:rsidRPr="00BA137C" w:rsidRDefault="00F00A6B" w:rsidP="00F00A6B">
            <w:pPr>
              <w:pStyle w:val="TableTitle"/>
              <w:contextualSpacing/>
              <w:rPr>
                <w:rFonts w:cs="Segoe UI Semibold"/>
                <w:color w:val="FFFFFF" w:themeColor="background1"/>
                <w:sz w:val="22"/>
                <w:szCs w:val="22"/>
                <w:lang w:val="fr-CA"/>
              </w:rPr>
            </w:pPr>
            <w:r w:rsidRPr="00BA137C">
              <w:rPr>
                <w:rFonts w:cs="Segoe UI Semibold"/>
                <w:color w:val="FFFFFF" w:themeColor="background1"/>
                <w:sz w:val="22"/>
                <w:lang w:val="fr-CA"/>
              </w:rPr>
              <w:t>Cas traités – Non fondés</w:t>
            </w:r>
          </w:p>
        </w:tc>
        <w:tc>
          <w:tcPr>
            <w:tcW w:w="663" w:type="pct"/>
            <w:shd w:val="clear" w:color="auto" w:fill="54575A" w:themeFill="text1"/>
            <w:hideMark/>
          </w:tcPr>
          <w:p w14:paraId="0B9C24A9" w14:textId="3F862DAD" w:rsidR="00F00A6B" w:rsidRPr="00BA137C" w:rsidRDefault="00F00A6B" w:rsidP="00F00A6B">
            <w:pPr>
              <w:pStyle w:val="TableTitle"/>
              <w:contextualSpacing/>
              <w:rPr>
                <w:rFonts w:cs="Segoe UI Semibold"/>
                <w:color w:val="FFFFFF" w:themeColor="background1"/>
                <w:sz w:val="22"/>
                <w:szCs w:val="22"/>
                <w:lang w:val="fr-CA"/>
              </w:rPr>
            </w:pPr>
            <w:r w:rsidRPr="00BA137C">
              <w:rPr>
                <w:rFonts w:cs="Segoe UI Semibold"/>
                <w:color w:val="FFFFFF" w:themeColor="background1"/>
                <w:sz w:val="22"/>
                <w:lang w:val="fr-CA"/>
              </w:rPr>
              <w:t>Cas traités – Fondés</w:t>
            </w:r>
          </w:p>
        </w:tc>
        <w:tc>
          <w:tcPr>
            <w:tcW w:w="527" w:type="pct"/>
            <w:shd w:val="clear" w:color="auto" w:fill="54575A" w:themeFill="text1"/>
            <w:hideMark/>
          </w:tcPr>
          <w:p w14:paraId="00371D33" w14:textId="3BC079C8" w:rsidR="00F00A6B" w:rsidRPr="00BA137C" w:rsidRDefault="00F00A6B" w:rsidP="00F00A6B">
            <w:pPr>
              <w:pStyle w:val="TableTitle"/>
              <w:contextualSpacing/>
              <w:rPr>
                <w:rFonts w:cs="Segoe UI Semibold"/>
                <w:color w:val="FFFFFF" w:themeColor="background1"/>
                <w:sz w:val="22"/>
                <w:szCs w:val="22"/>
                <w:lang w:val="fr-CA"/>
              </w:rPr>
            </w:pPr>
            <w:r w:rsidRPr="00BA137C">
              <w:rPr>
                <w:rFonts w:cs="Segoe UI Semibold"/>
                <w:color w:val="FFFFFF" w:themeColor="background1"/>
                <w:sz w:val="22"/>
                <w:lang w:val="fr-CA"/>
              </w:rPr>
              <w:t>En cours</w:t>
            </w:r>
          </w:p>
        </w:tc>
      </w:tr>
      <w:tr w:rsidR="00BB088D" w:rsidRPr="00085A29" w14:paraId="6D025F02" w14:textId="77777777" w:rsidTr="001A6DF2">
        <w:trPr>
          <w:cantSplit/>
          <w:trHeight w:val="600"/>
          <w:tblHeader/>
          <w:jc w:val="center"/>
        </w:trPr>
        <w:tc>
          <w:tcPr>
            <w:tcW w:w="1293" w:type="pct"/>
            <w:shd w:val="clear" w:color="auto" w:fill="54575A" w:themeFill="text1"/>
            <w:hideMark/>
          </w:tcPr>
          <w:p w14:paraId="71D71B93" w14:textId="77777777" w:rsidR="00F00A6B" w:rsidRPr="00085A29" w:rsidRDefault="00F00A6B" w:rsidP="00F00A6B">
            <w:pPr>
              <w:pStyle w:val="ListParagraph"/>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Article 66 — Nominations externes (mérite, erreur, omission, conduite irrégulière)</w:t>
            </w:r>
          </w:p>
        </w:tc>
        <w:tc>
          <w:tcPr>
            <w:tcW w:w="468" w:type="pct"/>
            <w:noWrap/>
            <w:hideMark/>
          </w:tcPr>
          <w:p w14:paraId="6449BEA0"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798" w:type="pct"/>
            <w:noWrap/>
            <w:hideMark/>
          </w:tcPr>
          <w:p w14:paraId="7C22F370"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588" w:type="pct"/>
            <w:noWrap/>
            <w:hideMark/>
          </w:tcPr>
          <w:p w14:paraId="63E1FE6E"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663" w:type="pct"/>
            <w:noWrap/>
            <w:hideMark/>
          </w:tcPr>
          <w:p w14:paraId="6FEAADC8"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1919BA1C"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27" w:type="pct"/>
            <w:noWrap/>
            <w:hideMark/>
          </w:tcPr>
          <w:p w14:paraId="0B057FBE"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r>
      <w:tr w:rsidR="00BB088D" w:rsidRPr="00085A29" w14:paraId="4491A46F" w14:textId="77777777" w:rsidTr="001A6DF2">
        <w:trPr>
          <w:cantSplit/>
          <w:trHeight w:val="600"/>
          <w:tblHeader/>
          <w:jc w:val="center"/>
        </w:trPr>
        <w:tc>
          <w:tcPr>
            <w:tcW w:w="1293" w:type="pct"/>
            <w:shd w:val="clear" w:color="auto" w:fill="54575A" w:themeFill="text1"/>
            <w:hideMark/>
          </w:tcPr>
          <w:p w14:paraId="0F03B868" w14:textId="77777777" w:rsidR="00F00A6B" w:rsidRPr="00085A29" w:rsidRDefault="00F00A6B" w:rsidP="00F00A6B">
            <w:pPr>
              <w:pStyle w:val="ListParagraph"/>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Paragraphe 67 (2) — Nominations internes (sur demande de l’administrateur général)</w:t>
            </w:r>
          </w:p>
        </w:tc>
        <w:tc>
          <w:tcPr>
            <w:tcW w:w="468" w:type="pct"/>
            <w:noWrap/>
            <w:hideMark/>
          </w:tcPr>
          <w:p w14:paraId="1CC617D2"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798" w:type="pct"/>
            <w:noWrap/>
            <w:hideMark/>
          </w:tcPr>
          <w:p w14:paraId="768C82F1"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88" w:type="pct"/>
            <w:noWrap/>
            <w:hideMark/>
          </w:tcPr>
          <w:p w14:paraId="07884579"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11DDF86B"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0B8FE2F6"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27" w:type="pct"/>
            <w:noWrap/>
            <w:hideMark/>
          </w:tcPr>
          <w:p w14:paraId="2A02B2C9"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r>
      <w:tr w:rsidR="00BB088D" w:rsidRPr="00085A29" w14:paraId="3126AA8A" w14:textId="77777777" w:rsidTr="001A6DF2">
        <w:trPr>
          <w:cantSplit/>
          <w:trHeight w:val="300"/>
          <w:tblHeader/>
          <w:jc w:val="center"/>
        </w:trPr>
        <w:tc>
          <w:tcPr>
            <w:tcW w:w="1293" w:type="pct"/>
            <w:shd w:val="clear" w:color="auto" w:fill="54575A" w:themeFill="text1"/>
            <w:hideMark/>
          </w:tcPr>
          <w:p w14:paraId="225E00E1" w14:textId="77777777" w:rsidR="00F00A6B" w:rsidRPr="00085A29" w:rsidRDefault="00F00A6B" w:rsidP="00F00A6B">
            <w:pPr>
              <w:pStyle w:val="ListParagraph"/>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Article 68 — Nomination fondée sur des motifs d’ordre politique</w:t>
            </w:r>
          </w:p>
        </w:tc>
        <w:tc>
          <w:tcPr>
            <w:tcW w:w="468" w:type="pct"/>
            <w:noWrap/>
            <w:hideMark/>
          </w:tcPr>
          <w:p w14:paraId="0B548751"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798" w:type="pct"/>
            <w:noWrap/>
            <w:hideMark/>
          </w:tcPr>
          <w:p w14:paraId="44D7DE28"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88" w:type="pct"/>
            <w:noWrap/>
            <w:hideMark/>
          </w:tcPr>
          <w:p w14:paraId="2872730F"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49B4C7B6"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375E72F9"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27" w:type="pct"/>
            <w:noWrap/>
            <w:hideMark/>
          </w:tcPr>
          <w:p w14:paraId="3D6D9CD7"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r>
      <w:tr w:rsidR="00BB088D" w:rsidRPr="00085A29" w14:paraId="38D1EC0F" w14:textId="77777777" w:rsidTr="001A6DF2">
        <w:trPr>
          <w:cantSplit/>
          <w:trHeight w:val="300"/>
          <w:tblHeader/>
          <w:jc w:val="center"/>
        </w:trPr>
        <w:tc>
          <w:tcPr>
            <w:tcW w:w="1293" w:type="pct"/>
            <w:shd w:val="clear" w:color="auto" w:fill="54575A" w:themeFill="text1"/>
            <w:hideMark/>
          </w:tcPr>
          <w:p w14:paraId="33694015" w14:textId="77777777" w:rsidR="00F00A6B" w:rsidRPr="00085A29" w:rsidRDefault="00F00A6B" w:rsidP="00F00A6B">
            <w:pPr>
              <w:pStyle w:val="ListParagraph"/>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Article 69 —Fraude</w:t>
            </w:r>
          </w:p>
        </w:tc>
        <w:tc>
          <w:tcPr>
            <w:tcW w:w="468" w:type="pct"/>
            <w:noWrap/>
            <w:hideMark/>
          </w:tcPr>
          <w:p w14:paraId="67CC3833"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798" w:type="pct"/>
            <w:noWrap/>
            <w:hideMark/>
          </w:tcPr>
          <w:p w14:paraId="2094DCD0"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88" w:type="pct"/>
            <w:noWrap/>
            <w:hideMark/>
          </w:tcPr>
          <w:p w14:paraId="09E7DAB4"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1EBDD547"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73ABCCDF"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27" w:type="pct"/>
            <w:noWrap/>
            <w:hideMark/>
          </w:tcPr>
          <w:p w14:paraId="20DF7D2D"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r>
      <w:tr w:rsidR="00BB088D" w:rsidRPr="00085A29" w14:paraId="3E7BC07F" w14:textId="77777777" w:rsidTr="001A6DF2">
        <w:trPr>
          <w:cantSplit/>
          <w:trHeight w:val="600"/>
          <w:tblHeader/>
          <w:jc w:val="center"/>
        </w:trPr>
        <w:tc>
          <w:tcPr>
            <w:tcW w:w="1293" w:type="pct"/>
            <w:shd w:val="clear" w:color="auto" w:fill="54575A" w:themeFill="text1"/>
            <w:hideMark/>
          </w:tcPr>
          <w:p w14:paraId="6859C494" w14:textId="77777777" w:rsidR="00F00A6B" w:rsidRPr="00085A29" w:rsidRDefault="00F00A6B" w:rsidP="00F00A6B">
            <w:pPr>
              <w:pStyle w:val="ListParagraph"/>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Article 118 — Activités politiques irrégulières — fonctionnaires</w:t>
            </w:r>
          </w:p>
        </w:tc>
        <w:tc>
          <w:tcPr>
            <w:tcW w:w="468" w:type="pct"/>
            <w:noWrap/>
            <w:hideMark/>
          </w:tcPr>
          <w:p w14:paraId="56D74665"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798" w:type="pct"/>
            <w:noWrap/>
            <w:hideMark/>
          </w:tcPr>
          <w:p w14:paraId="1BB4685C"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88" w:type="pct"/>
            <w:noWrap/>
            <w:hideMark/>
          </w:tcPr>
          <w:p w14:paraId="731458D3"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6EA09AD3"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22607A61"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27" w:type="pct"/>
            <w:noWrap/>
            <w:hideMark/>
          </w:tcPr>
          <w:p w14:paraId="6A439A1A"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r>
      <w:tr w:rsidR="00BB088D" w:rsidRPr="00085A29" w14:paraId="6276144B" w14:textId="77777777" w:rsidTr="001A6DF2">
        <w:trPr>
          <w:cantSplit/>
          <w:trHeight w:val="300"/>
          <w:tblHeader/>
          <w:jc w:val="center"/>
        </w:trPr>
        <w:tc>
          <w:tcPr>
            <w:tcW w:w="1293" w:type="pct"/>
            <w:shd w:val="clear" w:color="auto" w:fill="54575A" w:themeFill="text1"/>
            <w:hideMark/>
          </w:tcPr>
          <w:p w14:paraId="2C9494F1" w14:textId="77777777" w:rsidR="00F00A6B" w:rsidRPr="00085A29" w:rsidRDefault="00F00A6B" w:rsidP="00F00A6B">
            <w:pPr>
              <w:pStyle w:val="ListParagraph"/>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Total</w:t>
            </w:r>
          </w:p>
        </w:tc>
        <w:tc>
          <w:tcPr>
            <w:tcW w:w="468" w:type="pct"/>
            <w:noWrap/>
            <w:hideMark/>
          </w:tcPr>
          <w:p w14:paraId="5B229BFE"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2</w:t>
            </w:r>
          </w:p>
        </w:tc>
        <w:tc>
          <w:tcPr>
            <w:tcW w:w="798" w:type="pct"/>
            <w:noWrap/>
            <w:hideMark/>
          </w:tcPr>
          <w:p w14:paraId="59C75330"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588" w:type="pct"/>
            <w:noWrap/>
            <w:hideMark/>
          </w:tcPr>
          <w:p w14:paraId="4ECF3233"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663" w:type="pct"/>
            <w:noWrap/>
            <w:hideMark/>
          </w:tcPr>
          <w:p w14:paraId="7DC5BF97"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663" w:type="pct"/>
            <w:noWrap/>
            <w:hideMark/>
          </w:tcPr>
          <w:p w14:paraId="265407BB"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27" w:type="pct"/>
            <w:noWrap/>
            <w:hideMark/>
          </w:tcPr>
          <w:p w14:paraId="00B95ECA" w14:textId="77777777" w:rsidR="00F00A6B" w:rsidRPr="00085A29" w:rsidRDefault="00F00A6B" w:rsidP="00F00A6B">
            <w:pPr>
              <w:pStyle w:val="ListParagraph"/>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r>
    </w:tbl>
    <w:p w14:paraId="66F561D4" w14:textId="77777777" w:rsidR="00F00A6B" w:rsidRPr="00085A29" w:rsidRDefault="00F00A6B" w:rsidP="00F00A6B">
      <w:pPr>
        <w:pStyle w:val="ListParagraph"/>
        <w:spacing w:after="0"/>
        <w:rPr>
          <w:rFonts w:asciiTheme="minorHAnsi" w:hAnsiTheme="minorHAnsi" w:cstheme="minorHAnsi"/>
          <w:sz w:val="22"/>
          <w:szCs w:val="22"/>
          <w:lang w:val="fr-CA"/>
        </w:rPr>
      </w:pPr>
      <w:r w:rsidRPr="00085A29">
        <w:rPr>
          <w:rFonts w:asciiTheme="minorHAnsi" w:hAnsiTheme="minorHAnsi" w:cstheme="minorHAnsi"/>
          <w:sz w:val="22"/>
          <w:szCs w:val="22"/>
          <w:lang w:val="fr-CA"/>
        </w:rPr>
        <w:t>Remarque : la somme des chiffres pourrait ne pas correspondre au total indiqué, car les cas abandonnés, les cas résolus au moyen d’une intervention précoce et les cas rares (paragraphe 67(1) et article 119) ne sont pas pris en compte dans le tableau.</w:t>
      </w:r>
    </w:p>
    <w:p w14:paraId="6EB6EC7C" w14:textId="77777777" w:rsidR="00F00A6B" w:rsidRPr="00085A29" w:rsidRDefault="00F00A6B" w:rsidP="00F00A6B">
      <w:pPr>
        <w:pStyle w:val="ListParagraph"/>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Remarque : les calculs dans chaque colonne sont indépendants les uns des autres. Les cas reçus représentent les cas qui ont été reçus durant la période visée, et les cas traités représentent les cas qui ont été traités durant la période visée (et non pas nécessairement les cas qui ont été traités parmi ceux qui ont été reçus).</w:t>
      </w:r>
    </w:p>
    <w:p w14:paraId="0D578CAC" w14:textId="225DED60" w:rsidR="00753DD5" w:rsidRPr="00085A29" w:rsidRDefault="00753DD5" w:rsidP="00851D27">
      <w:pPr>
        <w:pStyle w:val="Heading2"/>
        <w:spacing w:after="120"/>
        <w:rPr>
          <w:u w:val="single"/>
          <w:lang w:val="fr-CA"/>
        </w:rPr>
      </w:pPr>
      <w:r w:rsidRPr="00085A29">
        <w:rPr>
          <w:lang w:val="fr-CA"/>
        </w:rPr>
        <w:t xml:space="preserve">Résultats du </w:t>
      </w:r>
      <w:r w:rsidR="00016E56" w:rsidRPr="00085A29">
        <w:rPr>
          <w:lang w:val="fr-CA"/>
        </w:rPr>
        <w:t>s</w:t>
      </w:r>
      <w:r w:rsidRPr="00085A29">
        <w:rPr>
          <w:lang w:val="fr-CA"/>
        </w:rPr>
        <w:t>ondage sur la dotation et l’impartialité politique</w:t>
      </w:r>
    </w:p>
    <w:p w14:paraId="72BC507D" w14:textId="21886EE0" w:rsidR="00AC4C15" w:rsidRPr="00085A29" w:rsidRDefault="00AC4C15" w:rsidP="00851D27">
      <w:pPr>
        <w:spacing w:after="120"/>
        <w:rPr>
          <w:rFonts w:asciiTheme="minorHAnsi" w:eastAsia="Calibri" w:hAnsiTheme="minorHAnsi" w:cstheme="minorHAnsi"/>
          <w:color w:val="000000"/>
          <w:sz w:val="22"/>
          <w:szCs w:val="22"/>
          <w:lang w:val="fr-CA"/>
        </w:rPr>
      </w:pPr>
      <w:r w:rsidRPr="00085A29">
        <w:rPr>
          <w:rFonts w:asciiTheme="minorHAnsi" w:hAnsiTheme="minorHAnsi" w:cstheme="minorHAnsi"/>
          <w:sz w:val="22"/>
          <w:szCs w:val="22"/>
          <w:lang w:val="fr-CA"/>
        </w:rPr>
        <w:t xml:space="preserve">Dans l’ensemble, les résultats du </w:t>
      </w:r>
      <w:r w:rsidR="00016E56" w:rsidRPr="00085A29">
        <w:rPr>
          <w:rFonts w:asciiTheme="minorHAnsi" w:hAnsiTheme="minorHAnsi" w:cstheme="minorHAnsi"/>
          <w:sz w:val="22"/>
          <w:szCs w:val="22"/>
          <w:lang w:val="fr-CA"/>
        </w:rPr>
        <w:t>s</w:t>
      </w:r>
      <w:r w:rsidRPr="00085A29">
        <w:rPr>
          <w:rFonts w:asciiTheme="minorHAnsi" w:hAnsiTheme="minorHAnsi" w:cstheme="minorHAnsi"/>
          <w:sz w:val="22"/>
          <w:szCs w:val="22"/>
          <w:lang w:val="fr-CA"/>
        </w:rPr>
        <w:t xml:space="preserve">ondage sur la dotation et l’impartialité politique </w:t>
      </w:r>
      <w:r w:rsidR="00095DCA" w:rsidRPr="00085A29">
        <w:rPr>
          <w:rFonts w:asciiTheme="minorHAnsi" w:hAnsiTheme="minorHAnsi" w:cstheme="minorHAnsi"/>
          <w:sz w:val="22"/>
          <w:szCs w:val="22"/>
          <w:lang w:val="fr-CA"/>
        </w:rPr>
        <w:t xml:space="preserve">(SDIP) </w:t>
      </w:r>
      <w:r w:rsidRPr="00085A29">
        <w:rPr>
          <w:rFonts w:asciiTheme="minorHAnsi" w:hAnsiTheme="minorHAnsi" w:cstheme="minorHAnsi"/>
          <w:sz w:val="22"/>
          <w:szCs w:val="22"/>
          <w:lang w:val="fr-CA"/>
        </w:rPr>
        <w:t xml:space="preserve">de la REC sont généralement comparables aux résultats à l’échelle de la fonction publique et à ceux d’autres organisations de taille semblable (c.‑à‑d. petites), à quelques exceptions près. L’organisation n’a pas reçu de résultats pour les questions du </w:t>
      </w:r>
      <w:r w:rsidR="00095DCA" w:rsidRPr="00085A29">
        <w:rPr>
          <w:rFonts w:asciiTheme="minorHAnsi" w:hAnsiTheme="minorHAnsi" w:cstheme="minorHAnsi"/>
          <w:sz w:val="22"/>
          <w:szCs w:val="22"/>
          <w:lang w:val="fr-CA"/>
        </w:rPr>
        <w:t>SDIP</w:t>
      </w:r>
      <w:r w:rsidRPr="00085A29">
        <w:rPr>
          <w:rFonts w:asciiTheme="minorHAnsi" w:hAnsiTheme="minorHAnsi" w:cstheme="minorHAnsi"/>
          <w:sz w:val="22"/>
          <w:szCs w:val="22"/>
          <w:lang w:val="fr-CA"/>
        </w:rPr>
        <w:t xml:space="preserve"> destinées aux conseillers en dotation, car les résultats n’ont été fournis que pour les questions auxquelles au moins 10</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personnes ont répondu.</w:t>
      </w:r>
    </w:p>
    <w:p w14:paraId="28051A7A" w14:textId="72C324E3" w:rsidR="00AC4C15" w:rsidRPr="00085A29" w:rsidRDefault="00AC4C15" w:rsidP="00851D27">
      <w:pPr>
        <w:contextualSpacing/>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 xml:space="preserve">Voici quelques constatations clés tirées des résultats du </w:t>
      </w:r>
      <w:r w:rsidR="00095DCA" w:rsidRPr="00085A29">
        <w:rPr>
          <w:rFonts w:asciiTheme="minorHAnsi" w:hAnsiTheme="minorHAnsi" w:cstheme="minorHAnsi"/>
          <w:sz w:val="22"/>
          <w:szCs w:val="22"/>
          <w:lang w:val="fr-CA"/>
        </w:rPr>
        <w:t>SDIP</w:t>
      </w:r>
      <w:r w:rsidRPr="00085A29">
        <w:rPr>
          <w:rFonts w:asciiTheme="minorHAnsi" w:hAnsiTheme="minorHAnsi" w:cstheme="minorHAnsi"/>
          <w:sz w:val="22"/>
          <w:szCs w:val="22"/>
          <w:lang w:val="fr-CA"/>
        </w:rPr>
        <w:t xml:space="preserve"> de 2018 de la </w:t>
      </w:r>
      <w:r w:rsidR="00242B78" w:rsidRPr="00085A29">
        <w:rPr>
          <w:rFonts w:asciiTheme="minorHAnsi" w:hAnsiTheme="minorHAnsi" w:cstheme="minorHAnsi"/>
          <w:sz w:val="22"/>
          <w:szCs w:val="22"/>
          <w:lang w:val="fr-CA"/>
        </w:rPr>
        <w:t>REC</w:t>
      </w:r>
      <w:r w:rsidRPr="00085A29">
        <w:rPr>
          <w:rFonts w:asciiTheme="minorHAnsi" w:hAnsiTheme="minorHAnsi" w:cstheme="minorHAnsi"/>
          <w:sz w:val="22"/>
          <w:szCs w:val="22"/>
          <w:lang w:val="fr-CA"/>
        </w:rPr>
        <w:t> :</w:t>
      </w:r>
    </w:p>
    <w:p w14:paraId="66D5767C" w14:textId="5006852D" w:rsidR="00AC4C15" w:rsidRPr="00085A29" w:rsidRDefault="00AC4C15" w:rsidP="00851D27">
      <w:pPr>
        <w:numPr>
          <w:ilvl w:val="0"/>
          <w:numId w:val="2"/>
        </w:numPr>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47,9</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 des </w:t>
      </w:r>
      <w:r w:rsidRPr="00085A29">
        <w:rPr>
          <w:rStyle w:val="Strong"/>
          <w:rFonts w:asciiTheme="minorHAnsi" w:hAnsiTheme="minorHAnsi" w:cstheme="minorHAnsi"/>
          <w:sz w:val="22"/>
          <w:szCs w:val="18"/>
          <w:lang w:val="fr-CA"/>
        </w:rPr>
        <w:t>employés</w:t>
      </w:r>
      <w:r w:rsidRPr="00085A29">
        <w:rPr>
          <w:rFonts w:asciiTheme="minorHAnsi" w:hAnsiTheme="minorHAnsi" w:cstheme="minorHAnsi"/>
          <w:sz w:val="22"/>
          <w:szCs w:val="22"/>
          <w:lang w:val="fr-CA"/>
        </w:rPr>
        <w:t xml:space="preserve"> ont indiqué que les personnes embauchées dans leur unité de travail pouvaient </w:t>
      </w:r>
      <w:proofErr w:type="gramStart"/>
      <w:r w:rsidRPr="00085A29">
        <w:rPr>
          <w:rFonts w:asciiTheme="minorHAnsi" w:hAnsiTheme="minorHAnsi" w:cstheme="minorHAnsi"/>
          <w:sz w:val="22"/>
          <w:szCs w:val="22"/>
          <w:lang w:val="fr-CA"/>
        </w:rPr>
        <w:t>faire</w:t>
      </w:r>
      <w:proofErr w:type="gramEnd"/>
      <w:r w:rsidRPr="00085A29">
        <w:rPr>
          <w:rFonts w:asciiTheme="minorHAnsi" w:hAnsiTheme="minorHAnsi" w:cstheme="minorHAnsi"/>
          <w:sz w:val="22"/>
          <w:szCs w:val="22"/>
          <w:lang w:val="fr-CA"/>
        </w:rPr>
        <w:t xml:space="preserve"> leur travail, contre 56,9 % dans des organisations d’une taille semblable et 46,4 % dans l’ensemble des organisations de la fonction publique fédérale</w:t>
      </w:r>
      <w:r w:rsidR="009273E6"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w:t>
      </w:r>
    </w:p>
    <w:p w14:paraId="62CD7F57" w14:textId="252FEA50" w:rsidR="00226071" w:rsidRPr="00085A29" w:rsidRDefault="00283DF2" w:rsidP="00851D27">
      <w:pPr>
        <w:numPr>
          <w:ilvl w:val="0"/>
          <w:numId w:val="2"/>
        </w:numPr>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58,8</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 des </w:t>
      </w:r>
      <w:r w:rsidRPr="00085A29">
        <w:rPr>
          <w:rStyle w:val="Strong"/>
          <w:rFonts w:asciiTheme="minorHAnsi" w:hAnsiTheme="minorHAnsi" w:cstheme="minorHAnsi"/>
          <w:sz w:val="22"/>
          <w:szCs w:val="18"/>
          <w:lang w:val="fr-CA"/>
        </w:rPr>
        <w:t>employés</w:t>
      </w:r>
      <w:r w:rsidRPr="00085A29">
        <w:rPr>
          <w:rFonts w:asciiTheme="minorHAnsi" w:hAnsiTheme="minorHAnsi" w:cstheme="minorHAnsi"/>
          <w:sz w:val="22"/>
          <w:szCs w:val="22"/>
          <w:lang w:val="fr-CA"/>
        </w:rPr>
        <w:t xml:space="preserve"> ont convenu que les personnes embauchées sont aptes à </w:t>
      </w:r>
      <w:proofErr w:type="gramStart"/>
      <w:r w:rsidRPr="00085A29">
        <w:rPr>
          <w:rFonts w:asciiTheme="minorHAnsi" w:hAnsiTheme="minorHAnsi" w:cstheme="minorHAnsi"/>
          <w:sz w:val="22"/>
          <w:szCs w:val="22"/>
          <w:lang w:val="fr-CA"/>
        </w:rPr>
        <w:t>faire</w:t>
      </w:r>
      <w:proofErr w:type="gramEnd"/>
      <w:r w:rsidRPr="00085A29">
        <w:rPr>
          <w:rFonts w:asciiTheme="minorHAnsi" w:hAnsiTheme="minorHAnsi" w:cstheme="minorHAnsi"/>
          <w:sz w:val="22"/>
          <w:szCs w:val="22"/>
          <w:lang w:val="fr-CA"/>
        </w:rPr>
        <w:t xml:space="preserve"> le travail, comparativement à 67,1 % dans les organisations de taille semblable et à 53,8</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dans la fonction publique fédérale</w:t>
      </w:r>
      <w:r w:rsidR="009273E6"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w:t>
      </w:r>
    </w:p>
    <w:p w14:paraId="0E3E4E88" w14:textId="3A3CC62C" w:rsidR="00226071" w:rsidRPr="00085A29" w:rsidRDefault="00AC4C15" w:rsidP="00851D27">
      <w:pPr>
        <w:numPr>
          <w:ilvl w:val="0"/>
          <w:numId w:val="2"/>
        </w:numPr>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lastRenderedPageBreak/>
        <w:t xml:space="preserve">50 % des </w:t>
      </w:r>
      <w:r w:rsidRPr="00085A29">
        <w:rPr>
          <w:rStyle w:val="Strong"/>
          <w:rFonts w:asciiTheme="minorHAnsi" w:hAnsiTheme="minorHAnsi" w:cstheme="minorHAnsi"/>
          <w:sz w:val="22"/>
          <w:szCs w:val="18"/>
          <w:lang w:val="fr-CA"/>
        </w:rPr>
        <w:t>employés</w:t>
      </w:r>
      <w:r w:rsidRPr="00085A29">
        <w:rPr>
          <w:rFonts w:asciiTheme="minorHAnsi" w:hAnsiTheme="minorHAnsi" w:cstheme="minorHAnsi"/>
          <w:sz w:val="22"/>
          <w:szCs w:val="22"/>
          <w:lang w:val="fr-CA"/>
        </w:rPr>
        <w:t xml:space="preserve"> ont indiqué que les personnes embauchées dans leur unité de travail pouvaient </w:t>
      </w:r>
      <w:proofErr w:type="gramStart"/>
      <w:r w:rsidRPr="00085A29">
        <w:rPr>
          <w:rFonts w:asciiTheme="minorHAnsi" w:hAnsiTheme="minorHAnsi" w:cstheme="minorHAnsi"/>
          <w:sz w:val="22"/>
          <w:szCs w:val="22"/>
          <w:lang w:val="fr-CA"/>
        </w:rPr>
        <w:t>faire</w:t>
      </w:r>
      <w:proofErr w:type="gramEnd"/>
      <w:r w:rsidRPr="00085A29">
        <w:rPr>
          <w:rFonts w:asciiTheme="minorHAnsi" w:hAnsiTheme="minorHAnsi" w:cstheme="minorHAnsi"/>
          <w:sz w:val="22"/>
          <w:szCs w:val="22"/>
          <w:lang w:val="fr-CA"/>
        </w:rPr>
        <w:t xml:space="preserve"> leur travail, contre 45,5 % dans des organisations d’une taille semblable et 54 % dans l’ensemble des organisations de la fonction publique fédérale</w:t>
      </w:r>
      <w:r w:rsidR="009273E6"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w:t>
      </w:r>
    </w:p>
    <w:p w14:paraId="26CC1FFF" w14:textId="488B47EC" w:rsidR="00226071" w:rsidRPr="00085A29" w:rsidRDefault="00AC4C15" w:rsidP="00851D27">
      <w:pPr>
        <w:numPr>
          <w:ilvl w:val="0"/>
          <w:numId w:val="2"/>
        </w:numPr>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 xml:space="preserve">44,3 % des </w:t>
      </w:r>
      <w:r w:rsidRPr="00085A29">
        <w:rPr>
          <w:rStyle w:val="Strong"/>
          <w:rFonts w:asciiTheme="minorHAnsi" w:hAnsiTheme="minorHAnsi" w:cstheme="minorHAnsi"/>
          <w:sz w:val="22"/>
          <w:szCs w:val="18"/>
          <w:lang w:val="fr-CA"/>
        </w:rPr>
        <w:t>employés</w:t>
      </w:r>
      <w:r w:rsidRPr="00085A29">
        <w:rPr>
          <w:rFonts w:asciiTheme="minorHAnsi" w:hAnsiTheme="minorHAnsi" w:cstheme="minorHAnsi"/>
          <w:sz w:val="22"/>
          <w:szCs w:val="22"/>
          <w:lang w:val="fr-CA"/>
        </w:rPr>
        <w:t xml:space="preserve"> ont indiqué que les personnes embauchées dans leur unité de travail pouvaient </w:t>
      </w:r>
      <w:proofErr w:type="gramStart"/>
      <w:r w:rsidRPr="00085A29">
        <w:rPr>
          <w:rFonts w:asciiTheme="minorHAnsi" w:hAnsiTheme="minorHAnsi" w:cstheme="minorHAnsi"/>
          <w:sz w:val="22"/>
          <w:szCs w:val="22"/>
          <w:lang w:val="fr-CA"/>
        </w:rPr>
        <w:t>faire</w:t>
      </w:r>
      <w:proofErr w:type="gramEnd"/>
      <w:r w:rsidRPr="00085A29">
        <w:rPr>
          <w:rFonts w:asciiTheme="minorHAnsi" w:hAnsiTheme="minorHAnsi" w:cstheme="minorHAnsi"/>
          <w:sz w:val="22"/>
          <w:szCs w:val="22"/>
          <w:lang w:val="fr-CA"/>
        </w:rPr>
        <w:t xml:space="preserve"> leur travail, contre 51,3 % dans des organisations d’une taille semblable et 44,3 % dans l’ensemble des organisations de la fonction publique fédérale</w:t>
      </w:r>
      <w:r w:rsidR="009273E6"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w:t>
      </w:r>
    </w:p>
    <w:p w14:paraId="2603F33D" w14:textId="2252FC95" w:rsidR="00226071" w:rsidRPr="00085A29" w:rsidRDefault="00AC4C15" w:rsidP="00851D27">
      <w:pPr>
        <w:numPr>
          <w:ilvl w:val="0"/>
          <w:numId w:val="2"/>
        </w:numPr>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54,5</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 des </w:t>
      </w:r>
      <w:r w:rsidRPr="00085A29">
        <w:rPr>
          <w:rStyle w:val="Strong"/>
          <w:rFonts w:asciiTheme="minorHAnsi" w:hAnsiTheme="minorHAnsi" w:cstheme="minorHAnsi"/>
          <w:sz w:val="22"/>
          <w:szCs w:val="18"/>
          <w:lang w:val="fr-CA"/>
        </w:rPr>
        <w:t>gestionnaires</w:t>
      </w:r>
      <w:r w:rsidRPr="00085A29">
        <w:rPr>
          <w:rFonts w:asciiTheme="minorHAnsi" w:hAnsiTheme="minorHAnsi" w:cstheme="minorHAnsi"/>
          <w:sz w:val="22"/>
          <w:szCs w:val="22"/>
          <w:lang w:val="fr-CA"/>
        </w:rPr>
        <w:t xml:space="preserve"> ont indiqué qu’ils comprenaient la NOD, alors que la proportion était de 72,8 % dans des organisations de taille semblable et de 61,4</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dans l’ensemble des organisations de la fonction publique fédérale</w:t>
      </w:r>
      <w:r w:rsidR="009273E6"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w:t>
      </w:r>
    </w:p>
    <w:p w14:paraId="2DB43051" w14:textId="64B09D6B" w:rsidR="00226071" w:rsidRPr="00085A29" w:rsidRDefault="00AC4C15" w:rsidP="00851D27">
      <w:pPr>
        <w:numPr>
          <w:ilvl w:val="0"/>
          <w:numId w:val="2"/>
        </w:numPr>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 xml:space="preserve">50 % des </w:t>
      </w:r>
      <w:r w:rsidRPr="00085A29">
        <w:rPr>
          <w:rStyle w:val="Strong"/>
          <w:rFonts w:asciiTheme="minorHAnsi" w:hAnsiTheme="minorHAnsi" w:cstheme="minorHAnsi"/>
          <w:sz w:val="22"/>
          <w:szCs w:val="18"/>
          <w:lang w:val="fr-CA"/>
        </w:rPr>
        <w:t xml:space="preserve">gestionnaires </w:t>
      </w:r>
      <w:r w:rsidRPr="00085A29">
        <w:rPr>
          <w:rFonts w:asciiTheme="minorHAnsi" w:hAnsiTheme="minorHAnsi" w:cstheme="minorHAnsi"/>
          <w:sz w:val="22"/>
          <w:szCs w:val="22"/>
          <w:lang w:val="fr-CA"/>
        </w:rPr>
        <w:t>estiment que la Nouvelle orientation en dotation a amélioré les processus d’embauche et de nomination des candidats dans leur organisation, comparativement à 69,7 % dans les organisations de taille semblable et à 56,1</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dans l’ensemble des organisations de la fonction publique fédérale</w:t>
      </w:r>
      <w:r w:rsidR="009273E6"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w:t>
      </w:r>
    </w:p>
    <w:p w14:paraId="26F9A5F7" w14:textId="66940209" w:rsidR="00226071" w:rsidRPr="00085A29" w:rsidRDefault="00AC4C15" w:rsidP="00851D27">
      <w:pPr>
        <w:numPr>
          <w:ilvl w:val="0"/>
          <w:numId w:val="2"/>
        </w:numPr>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 xml:space="preserve">66,6 % des </w:t>
      </w:r>
      <w:r w:rsidR="00095DCA" w:rsidRPr="00085A29">
        <w:rPr>
          <w:rStyle w:val="Strong"/>
          <w:rFonts w:asciiTheme="minorHAnsi" w:hAnsiTheme="minorHAnsi" w:cstheme="minorHAnsi"/>
          <w:sz w:val="22"/>
          <w:szCs w:val="18"/>
          <w:lang w:val="fr-CA"/>
        </w:rPr>
        <w:t>gestionnaires</w:t>
      </w:r>
      <w:r w:rsidRPr="00085A29">
        <w:rPr>
          <w:rStyle w:val="Strong"/>
          <w:rFonts w:asciiTheme="minorHAnsi" w:hAnsiTheme="minorHAnsi" w:cstheme="minorHAnsi"/>
          <w:sz w:val="22"/>
          <w:szCs w:val="18"/>
          <w:lang w:val="fr-CA"/>
        </w:rPr>
        <w:t xml:space="preserve"> </w:t>
      </w:r>
      <w:r w:rsidR="00095DCA" w:rsidRPr="00085A29">
        <w:rPr>
          <w:rFonts w:asciiTheme="minorHAnsi" w:hAnsiTheme="minorHAnsi" w:cstheme="minorHAnsi"/>
          <w:sz w:val="22"/>
          <w:szCs w:val="22"/>
          <w:lang w:val="fr-CA"/>
        </w:rPr>
        <w:t>ont indiqué que la NOD ne simplifiait pas la dotation dans leur organisation</w:t>
      </w:r>
      <w:r w:rsidRPr="00085A29">
        <w:rPr>
          <w:rFonts w:asciiTheme="minorHAnsi" w:hAnsiTheme="minorHAnsi" w:cstheme="minorHAnsi"/>
          <w:sz w:val="22"/>
          <w:szCs w:val="22"/>
          <w:lang w:val="fr-CA"/>
        </w:rPr>
        <w:t>, contre 41,7 % dans des organisations d’une taille semblable et 53,8 % dans l’ensemble des organisations de la fonction publique fédérale</w:t>
      </w:r>
      <w:r w:rsidR="009273E6"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w:t>
      </w:r>
    </w:p>
    <w:p w14:paraId="482A0575" w14:textId="571F1040" w:rsidR="00226071" w:rsidRPr="00085A29" w:rsidRDefault="00AC4C15" w:rsidP="00851D27">
      <w:pPr>
        <w:numPr>
          <w:ilvl w:val="0"/>
          <w:numId w:val="2"/>
        </w:numPr>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78,7</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 des </w:t>
      </w:r>
      <w:r w:rsidRPr="00085A29">
        <w:rPr>
          <w:rStyle w:val="Strong"/>
          <w:rFonts w:asciiTheme="minorHAnsi" w:hAnsiTheme="minorHAnsi" w:cstheme="minorHAnsi"/>
          <w:sz w:val="22"/>
          <w:szCs w:val="18"/>
          <w:lang w:val="fr-CA"/>
        </w:rPr>
        <w:t xml:space="preserve">gestionnaires </w:t>
      </w:r>
      <w:r w:rsidRPr="00085A29">
        <w:rPr>
          <w:rFonts w:asciiTheme="minorHAnsi" w:hAnsiTheme="minorHAnsi" w:cstheme="minorHAnsi"/>
          <w:sz w:val="22"/>
          <w:szCs w:val="22"/>
          <w:lang w:val="fr-CA"/>
        </w:rPr>
        <w:t>estiment que la dotation est un processus lourd, alors que la proportion était de 79,3</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dans des organisations d’une taille semblable et de 87,9</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dans l’ensemble des organisations de la fonction publique fédérale</w:t>
      </w:r>
      <w:r w:rsidR="009273E6"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w:t>
      </w:r>
    </w:p>
    <w:p w14:paraId="3B6E7E39" w14:textId="4026DDC3" w:rsidR="00AC4C15" w:rsidRPr="00085A29" w:rsidRDefault="00AC4C15" w:rsidP="00851D27">
      <w:pPr>
        <w:numPr>
          <w:ilvl w:val="0"/>
          <w:numId w:val="2"/>
        </w:numPr>
        <w:spacing w:after="120"/>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60</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 des </w:t>
      </w:r>
      <w:r w:rsidRPr="00085A29">
        <w:rPr>
          <w:rStyle w:val="Strong"/>
          <w:rFonts w:asciiTheme="minorHAnsi" w:hAnsiTheme="minorHAnsi" w:cstheme="minorHAnsi"/>
          <w:sz w:val="22"/>
          <w:szCs w:val="18"/>
          <w:lang w:val="fr-CA"/>
        </w:rPr>
        <w:t>gestionnaires</w:t>
      </w:r>
      <w:r w:rsidRPr="00085A29">
        <w:rPr>
          <w:rFonts w:asciiTheme="minorHAnsi" w:hAnsiTheme="minorHAnsi" w:cstheme="minorHAnsi"/>
          <w:sz w:val="22"/>
          <w:szCs w:val="22"/>
          <w:lang w:val="fr-CA"/>
        </w:rPr>
        <w:t xml:space="preserve"> estimaient que la dotation n’est pas assez rapide, alors que la proportion était de 45 % dans des organisations d’une taille semblable et de 62,4</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dans l’ensemble des organisations de la fonction publique fédérale.</w:t>
      </w:r>
    </w:p>
    <w:p w14:paraId="59E2C6D1" w14:textId="54F6A301" w:rsidR="00753DD5" w:rsidRPr="00085A29" w:rsidRDefault="00372539" w:rsidP="00851D27">
      <w:pPr>
        <w:spacing w:after="120"/>
        <w:contextualSpacing/>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Ces résultats ont servi à éclairer le choix de diverses séances personnalisées qui ont été offertes par le </w:t>
      </w:r>
      <w:r w:rsidR="00AE3ED7" w:rsidRPr="00085A29">
        <w:rPr>
          <w:rFonts w:asciiTheme="minorHAnsi" w:hAnsiTheme="minorHAnsi" w:cstheme="minorHAnsi"/>
          <w:sz w:val="22"/>
          <w:szCs w:val="22"/>
          <w:lang w:val="fr-CA"/>
        </w:rPr>
        <w:t>CSD</w:t>
      </w:r>
      <w:r w:rsidRPr="00085A29">
        <w:rPr>
          <w:rFonts w:asciiTheme="minorHAnsi" w:hAnsiTheme="minorHAnsi" w:cstheme="minorHAnsi"/>
          <w:sz w:val="22"/>
          <w:szCs w:val="22"/>
          <w:lang w:val="fr-CA"/>
        </w:rPr>
        <w:t xml:space="preserve"> aux ressou</w:t>
      </w:r>
      <w:r w:rsidR="00617E5E" w:rsidRPr="00085A29">
        <w:rPr>
          <w:rFonts w:asciiTheme="minorHAnsi" w:hAnsiTheme="minorHAnsi" w:cstheme="minorHAnsi"/>
          <w:sz w:val="22"/>
          <w:szCs w:val="22"/>
          <w:lang w:val="fr-CA"/>
        </w:rPr>
        <w:t>rce</w:t>
      </w:r>
      <w:r w:rsidRPr="00085A29">
        <w:rPr>
          <w:rFonts w:asciiTheme="minorHAnsi" w:hAnsiTheme="minorHAnsi" w:cstheme="minorHAnsi"/>
          <w:sz w:val="22"/>
          <w:szCs w:val="22"/>
          <w:lang w:val="fr-CA"/>
        </w:rPr>
        <w:t xml:space="preserve">s humaines, aux gestionnaires et aux employés de la </w:t>
      </w:r>
      <w:r w:rsidR="005854F9" w:rsidRPr="00085A29">
        <w:rPr>
          <w:rFonts w:asciiTheme="minorHAnsi" w:hAnsiTheme="minorHAnsi" w:cstheme="minorHAnsi"/>
          <w:sz w:val="22"/>
          <w:szCs w:val="22"/>
          <w:lang w:val="fr-CA"/>
        </w:rPr>
        <w:t>REC</w:t>
      </w:r>
      <w:r w:rsidRPr="00085A29">
        <w:rPr>
          <w:rFonts w:asciiTheme="minorHAnsi" w:hAnsiTheme="minorHAnsi" w:cstheme="minorHAnsi"/>
          <w:sz w:val="22"/>
          <w:szCs w:val="22"/>
          <w:lang w:val="fr-CA"/>
        </w:rPr>
        <w:t xml:space="preserve"> en avril et octobre 2019.</w:t>
      </w:r>
    </w:p>
    <w:p w14:paraId="6BF23363" w14:textId="24887AF1" w:rsidR="00753DD5" w:rsidRPr="00085A29" w:rsidRDefault="00753DD5" w:rsidP="00851D27">
      <w:pPr>
        <w:pStyle w:val="Heading1"/>
        <w:spacing w:after="120"/>
        <w:rPr>
          <w:rFonts w:cstheme="majorHAnsi"/>
          <w:lang w:val="fr-CA"/>
        </w:rPr>
      </w:pPr>
      <w:r w:rsidRPr="00085A29">
        <w:rPr>
          <w:rStyle w:val="Heading1Char"/>
          <w:rFonts w:cstheme="majorHAnsi"/>
          <w:color w:val="auto"/>
          <w:lang w:val="fr-CA"/>
        </w:rPr>
        <w:t xml:space="preserve">Profil de </w:t>
      </w:r>
      <w:r w:rsidR="00016E56" w:rsidRPr="00085A29">
        <w:rPr>
          <w:rStyle w:val="Heading1Char"/>
          <w:rFonts w:cstheme="majorHAnsi"/>
          <w:color w:val="auto"/>
          <w:lang w:val="fr-CA"/>
        </w:rPr>
        <w:t xml:space="preserve">la </w:t>
      </w:r>
      <w:r w:rsidRPr="00085A29">
        <w:rPr>
          <w:rStyle w:val="Heading1Char"/>
          <w:rFonts w:cstheme="majorHAnsi"/>
          <w:color w:val="auto"/>
          <w:lang w:val="fr-CA"/>
        </w:rPr>
        <w:t>diversité</w:t>
      </w:r>
    </w:p>
    <w:p w14:paraId="59375CCA" w14:textId="77777777" w:rsidR="00F00A6B" w:rsidRPr="00085A29" w:rsidRDefault="00AE3AE1"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La REC a une bonne représentation des femmes et des Autochtones et a participé à des activités de recrutement pour les Autochtones. Cependant, le taux de représentation de l’organisation est en deçà de la disponibilité au sein de la population active pour les </w:t>
      </w:r>
      <w:r w:rsidR="00822C76" w:rsidRPr="00085A29">
        <w:rPr>
          <w:rFonts w:asciiTheme="minorHAnsi" w:hAnsiTheme="minorHAnsi" w:cstheme="minorHAnsi"/>
          <w:color w:val="000000"/>
          <w:sz w:val="22"/>
          <w:szCs w:val="22"/>
          <w:lang w:val="fr-CA"/>
        </w:rPr>
        <w:t>personnes en situation de handicap</w:t>
      </w:r>
      <w:r w:rsidRPr="00085A29">
        <w:rPr>
          <w:rFonts w:asciiTheme="minorHAnsi" w:hAnsiTheme="minorHAnsi" w:cstheme="minorHAnsi"/>
          <w:color w:val="000000"/>
          <w:sz w:val="22"/>
          <w:szCs w:val="22"/>
          <w:lang w:val="fr-CA"/>
        </w:rPr>
        <w:t xml:space="preserve">, qui ne représentent que 4,3 % de sa population active, tandis que la disponibilité au sein de la population active pour ce groupe est de 9,0 %. Le taux de représentation de la </w:t>
      </w:r>
      <w:r w:rsidR="005854F9" w:rsidRPr="00085A29">
        <w:rPr>
          <w:rFonts w:asciiTheme="minorHAnsi" w:hAnsiTheme="minorHAnsi" w:cstheme="minorHAnsi"/>
          <w:color w:val="000000"/>
          <w:sz w:val="22"/>
          <w:szCs w:val="22"/>
          <w:lang w:val="fr-CA"/>
        </w:rPr>
        <w:t>REC</w:t>
      </w:r>
      <w:r w:rsidRPr="00085A29">
        <w:rPr>
          <w:rFonts w:asciiTheme="minorHAnsi" w:hAnsiTheme="minorHAnsi" w:cstheme="minorHAnsi"/>
          <w:color w:val="000000"/>
          <w:sz w:val="22"/>
          <w:szCs w:val="22"/>
          <w:lang w:val="fr-CA"/>
        </w:rPr>
        <w:t xml:space="preserve"> est également inférieur à la disponibilité au sein de la population active pour les membres des minorités visibles, qui représentent 12,1 % de sa population active, tandis que la disponibilité au sein de la population active pour ce groupe est de 15,3 %. </w:t>
      </w:r>
    </w:p>
    <w:p w14:paraId="0A759885" w14:textId="219507FE" w:rsidR="00F00A6B" w:rsidRPr="00085A29" w:rsidRDefault="00F00A6B" w:rsidP="00F00A6B">
      <w:pPr>
        <w:pStyle w:val="Caption"/>
        <w:keepNext/>
        <w:spacing w:after="0"/>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lastRenderedPageBreak/>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2</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Profil de diversité</w:t>
      </w:r>
    </w:p>
    <w:tbl>
      <w:tblPr>
        <w:tblStyle w:val="TableGrid"/>
        <w:tblW w:w="5000" w:type="pct"/>
        <w:jc w:val="center"/>
        <w:tblLook w:val="04A0" w:firstRow="1" w:lastRow="0" w:firstColumn="1" w:lastColumn="0" w:noHBand="0" w:noVBand="1"/>
        <w:tblDescription w:val="Profil de diversité"/>
      </w:tblPr>
      <w:tblGrid>
        <w:gridCol w:w="2542"/>
        <w:gridCol w:w="2528"/>
        <w:gridCol w:w="2342"/>
        <w:gridCol w:w="2658"/>
      </w:tblGrid>
      <w:tr w:rsidR="00F00A6B" w:rsidRPr="00085A29" w14:paraId="5BB1940A" w14:textId="77777777" w:rsidTr="001A6DF2">
        <w:trPr>
          <w:cantSplit/>
          <w:trHeight w:val="1022"/>
          <w:tblHeader/>
          <w:jc w:val="center"/>
        </w:trPr>
        <w:tc>
          <w:tcPr>
            <w:tcW w:w="1262" w:type="pct"/>
            <w:shd w:val="clear" w:color="auto" w:fill="54575A" w:themeFill="text1"/>
            <w:hideMark/>
          </w:tcPr>
          <w:p w14:paraId="67E6393F" w14:textId="77777777" w:rsidR="00F00A6B" w:rsidRPr="00085A29" w:rsidRDefault="00F00A6B" w:rsidP="00F00A6B">
            <w:pPr>
              <w:pStyle w:val="TableTitle"/>
              <w:rPr>
                <w:rFonts w:cs="Segoe UI Semibold"/>
                <w:color w:val="FFFFFF" w:themeColor="background1"/>
                <w:sz w:val="22"/>
                <w:szCs w:val="22"/>
                <w:lang w:val="fr-CA"/>
              </w:rPr>
            </w:pPr>
            <w:r w:rsidRPr="00085A29">
              <w:rPr>
                <w:rFonts w:cs="Segoe UI Semibold"/>
                <w:color w:val="FFFFFF" w:themeColor="background1"/>
                <w:sz w:val="22"/>
                <w:szCs w:val="22"/>
                <w:lang w:val="fr-CA"/>
              </w:rPr>
              <w:t>Groupe désigné</w:t>
            </w:r>
          </w:p>
        </w:tc>
        <w:tc>
          <w:tcPr>
            <w:tcW w:w="1255" w:type="pct"/>
            <w:shd w:val="clear" w:color="auto" w:fill="54575A" w:themeFill="text1"/>
            <w:hideMark/>
          </w:tcPr>
          <w:p w14:paraId="062F1B01" w14:textId="77777777" w:rsidR="00F00A6B" w:rsidRPr="00085A29" w:rsidRDefault="00F00A6B" w:rsidP="00F00A6B">
            <w:pPr>
              <w:pStyle w:val="TableTitle"/>
              <w:rPr>
                <w:rFonts w:cs="Segoe UI Semibold"/>
                <w:color w:val="FFFFFF" w:themeColor="background1"/>
                <w:sz w:val="22"/>
                <w:szCs w:val="22"/>
                <w:lang w:val="fr-CA"/>
              </w:rPr>
            </w:pPr>
            <w:r w:rsidRPr="00085A29">
              <w:rPr>
                <w:rFonts w:cs="Segoe UI Semibold"/>
                <w:color w:val="FFFFFF" w:themeColor="background1"/>
                <w:sz w:val="22"/>
                <w:szCs w:val="22"/>
                <w:lang w:val="fr-CA"/>
              </w:rPr>
              <w:t>Disponibilité au sein de la population active</w:t>
            </w:r>
          </w:p>
        </w:tc>
        <w:tc>
          <w:tcPr>
            <w:tcW w:w="1163" w:type="pct"/>
            <w:shd w:val="clear" w:color="auto" w:fill="BF3C00"/>
            <w:hideMark/>
          </w:tcPr>
          <w:p w14:paraId="582BA52B" w14:textId="77777777" w:rsidR="00F00A6B" w:rsidRPr="00085A29" w:rsidRDefault="00F00A6B" w:rsidP="00F00A6B">
            <w:pPr>
              <w:pStyle w:val="TableTitle"/>
              <w:rPr>
                <w:rFonts w:cs="Segoe UI Semibold"/>
                <w:color w:val="FFFFFF" w:themeColor="background1"/>
                <w:sz w:val="22"/>
                <w:szCs w:val="22"/>
                <w:lang w:val="fr-CA"/>
              </w:rPr>
            </w:pPr>
            <w:r w:rsidRPr="00085A29">
              <w:rPr>
                <w:rFonts w:cs="Segoe UI Semibold"/>
                <w:color w:val="FFFFFF" w:themeColor="background1"/>
                <w:sz w:val="22"/>
                <w:szCs w:val="22"/>
                <w:lang w:val="fr-CA"/>
              </w:rPr>
              <w:t>Régie de l’énergie du Canada</w:t>
            </w:r>
          </w:p>
        </w:tc>
        <w:tc>
          <w:tcPr>
            <w:tcW w:w="1320" w:type="pct"/>
            <w:shd w:val="clear" w:color="auto" w:fill="54575A" w:themeFill="text1"/>
            <w:hideMark/>
          </w:tcPr>
          <w:p w14:paraId="1D6C381E" w14:textId="77777777" w:rsidR="00F00A6B" w:rsidRPr="00085A29" w:rsidRDefault="00F00A6B" w:rsidP="00F00A6B">
            <w:pPr>
              <w:pStyle w:val="TableTitle"/>
              <w:rPr>
                <w:rFonts w:cs="Segoe UI Semibold"/>
                <w:color w:val="FFFFFF" w:themeColor="background1"/>
                <w:sz w:val="22"/>
                <w:szCs w:val="22"/>
                <w:lang w:val="fr-CA"/>
              </w:rPr>
            </w:pPr>
            <w:r w:rsidRPr="00085A29">
              <w:rPr>
                <w:rFonts w:cs="Segoe UI Semibold"/>
                <w:color w:val="FFFFFF" w:themeColor="background1"/>
                <w:sz w:val="22"/>
                <w:szCs w:val="22"/>
                <w:lang w:val="fr-CA"/>
              </w:rPr>
              <w:t>Représentation à la fonction publique</w:t>
            </w:r>
          </w:p>
        </w:tc>
      </w:tr>
      <w:tr w:rsidR="00F00A6B" w:rsidRPr="00085A29" w14:paraId="0B1F46D0" w14:textId="77777777" w:rsidTr="001A6DF2">
        <w:trPr>
          <w:cantSplit/>
          <w:trHeight w:val="420"/>
          <w:tblHeader/>
          <w:jc w:val="center"/>
        </w:trPr>
        <w:tc>
          <w:tcPr>
            <w:tcW w:w="1262" w:type="pct"/>
            <w:shd w:val="clear" w:color="auto" w:fill="54575A" w:themeFill="text1"/>
            <w:hideMark/>
          </w:tcPr>
          <w:p w14:paraId="468925DD" w14:textId="77777777" w:rsidR="00F00A6B" w:rsidRPr="00085A29" w:rsidRDefault="00F00A6B" w:rsidP="004460BE">
            <w:pPr>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Femmes</w:t>
            </w:r>
          </w:p>
        </w:tc>
        <w:tc>
          <w:tcPr>
            <w:tcW w:w="1255" w:type="pct"/>
            <w:hideMark/>
          </w:tcPr>
          <w:p w14:paraId="167E6E26" w14:textId="77777777" w:rsidR="00F00A6B" w:rsidRPr="00085A29" w:rsidRDefault="00F00A6B" w:rsidP="004460BE">
            <w:pPr>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52.7%</w:t>
            </w:r>
          </w:p>
        </w:tc>
        <w:tc>
          <w:tcPr>
            <w:tcW w:w="1163" w:type="pct"/>
          </w:tcPr>
          <w:p w14:paraId="0B5459A3" w14:textId="77777777" w:rsidR="00F00A6B" w:rsidRPr="00085A29" w:rsidRDefault="00F00A6B" w:rsidP="004460BE">
            <w:pPr>
              <w:autoSpaceDE w:val="0"/>
              <w:autoSpaceDN w:val="0"/>
              <w:jc w:val="center"/>
              <w:rPr>
                <w:rFonts w:asciiTheme="minorHAnsi" w:hAnsiTheme="minorHAnsi" w:cstheme="minorHAnsi"/>
                <w:bCs/>
                <w:sz w:val="22"/>
                <w:szCs w:val="22"/>
                <w:lang w:val="fr-CA"/>
              </w:rPr>
            </w:pPr>
            <w:r w:rsidRPr="00085A29">
              <w:rPr>
                <w:rFonts w:asciiTheme="minorHAnsi" w:hAnsiTheme="minorHAnsi" w:cstheme="minorHAnsi"/>
                <w:bCs/>
                <w:sz w:val="22"/>
                <w:szCs w:val="22"/>
                <w:lang w:val="fr-CA"/>
              </w:rPr>
              <w:t>64.7%</w:t>
            </w:r>
          </w:p>
        </w:tc>
        <w:tc>
          <w:tcPr>
            <w:tcW w:w="1320" w:type="pct"/>
            <w:hideMark/>
          </w:tcPr>
          <w:p w14:paraId="3DFF6DAC" w14:textId="77777777" w:rsidR="00F00A6B" w:rsidRPr="00085A29" w:rsidRDefault="00F00A6B" w:rsidP="004460BE">
            <w:pPr>
              <w:autoSpaceDE w:val="0"/>
              <w:autoSpaceDN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54.8%</w:t>
            </w:r>
          </w:p>
        </w:tc>
      </w:tr>
      <w:tr w:rsidR="00F00A6B" w:rsidRPr="00085A29" w14:paraId="08AE0602" w14:textId="77777777" w:rsidTr="001A6DF2">
        <w:trPr>
          <w:cantSplit/>
          <w:trHeight w:val="425"/>
          <w:tblHeader/>
          <w:jc w:val="center"/>
        </w:trPr>
        <w:tc>
          <w:tcPr>
            <w:tcW w:w="1262" w:type="pct"/>
            <w:shd w:val="clear" w:color="auto" w:fill="54575A" w:themeFill="text1"/>
            <w:hideMark/>
          </w:tcPr>
          <w:p w14:paraId="49EC5F8C" w14:textId="77777777" w:rsidR="00F00A6B" w:rsidRPr="00085A29" w:rsidRDefault="00F00A6B" w:rsidP="004460BE">
            <w:pPr>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Autochtones</w:t>
            </w:r>
          </w:p>
        </w:tc>
        <w:tc>
          <w:tcPr>
            <w:tcW w:w="1255" w:type="pct"/>
            <w:hideMark/>
          </w:tcPr>
          <w:p w14:paraId="0C1A4A5D" w14:textId="77777777" w:rsidR="00F00A6B" w:rsidRPr="00085A29" w:rsidRDefault="00F00A6B" w:rsidP="004460BE">
            <w:pPr>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4.0%</w:t>
            </w:r>
          </w:p>
        </w:tc>
        <w:tc>
          <w:tcPr>
            <w:tcW w:w="1163" w:type="pct"/>
          </w:tcPr>
          <w:p w14:paraId="67A396B8" w14:textId="77777777" w:rsidR="00F00A6B" w:rsidRPr="00085A29" w:rsidRDefault="00F00A6B" w:rsidP="004460BE">
            <w:pPr>
              <w:autoSpaceDE w:val="0"/>
              <w:autoSpaceDN w:val="0"/>
              <w:jc w:val="center"/>
              <w:rPr>
                <w:rFonts w:asciiTheme="minorHAnsi" w:hAnsiTheme="minorHAnsi" w:cstheme="minorHAnsi"/>
                <w:bCs/>
                <w:sz w:val="22"/>
                <w:szCs w:val="22"/>
                <w:lang w:val="fr-CA"/>
              </w:rPr>
            </w:pPr>
            <w:r w:rsidRPr="00085A29">
              <w:rPr>
                <w:rFonts w:asciiTheme="minorHAnsi" w:hAnsiTheme="minorHAnsi" w:cstheme="minorHAnsi"/>
                <w:bCs/>
                <w:sz w:val="22"/>
                <w:szCs w:val="22"/>
                <w:lang w:val="fr-CA"/>
              </w:rPr>
              <w:t>5.0%</w:t>
            </w:r>
          </w:p>
        </w:tc>
        <w:tc>
          <w:tcPr>
            <w:tcW w:w="1320" w:type="pct"/>
            <w:hideMark/>
          </w:tcPr>
          <w:p w14:paraId="09D9EEE2" w14:textId="77777777" w:rsidR="00F00A6B" w:rsidRPr="00085A29" w:rsidRDefault="00F00A6B" w:rsidP="004460BE">
            <w:pPr>
              <w:autoSpaceDE w:val="0"/>
              <w:autoSpaceDN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5.1%</w:t>
            </w:r>
          </w:p>
        </w:tc>
      </w:tr>
      <w:tr w:rsidR="00F00A6B" w:rsidRPr="00085A29" w14:paraId="7E3E2BFB" w14:textId="77777777" w:rsidTr="001A6DF2">
        <w:trPr>
          <w:cantSplit/>
          <w:trHeight w:val="598"/>
          <w:tblHeader/>
          <w:jc w:val="center"/>
        </w:trPr>
        <w:tc>
          <w:tcPr>
            <w:tcW w:w="1262" w:type="pct"/>
            <w:shd w:val="clear" w:color="auto" w:fill="54575A" w:themeFill="text1"/>
            <w:hideMark/>
          </w:tcPr>
          <w:p w14:paraId="17292D28" w14:textId="77777777" w:rsidR="00F00A6B" w:rsidRPr="00085A29" w:rsidRDefault="00F00A6B" w:rsidP="004460BE">
            <w:pPr>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Personnes handicapées</w:t>
            </w:r>
          </w:p>
        </w:tc>
        <w:tc>
          <w:tcPr>
            <w:tcW w:w="1255" w:type="pct"/>
            <w:hideMark/>
          </w:tcPr>
          <w:p w14:paraId="21B61460" w14:textId="77777777" w:rsidR="00F00A6B" w:rsidRPr="00085A29" w:rsidRDefault="00F00A6B" w:rsidP="004460BE">
            <w:pPr>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9.0%</w:t>
            </w:r>
          </w:p>
        </w:tc>
        <w:tc>
          <w:tcPr>
            <w:tcW w:w="1163" w:type="pct"/>
          </w:tcPr>
          <w:p w14:paraId="61386D3B" w14:textId="77777777" w:rsidR="00F00A6B" w:rsidRPr="00085A29" w:rsidRDefault="00F00A6B" w:rsidP="004460BE">
            <w:pPr>
              <w:autoSpaceDE w:val="0"/>
              <w:autoSpaceDN w:val="0"/>
              <w:jc w:val="center"/>
              <w:rPr>
                <w:rFonts w:asciiTheme="minorHAnsi" w:hAnsiTheme="minorHAnsi" w:cstheme="minorHAnsi"/>
                <w:bCs/>
                <w:sz w:val="22"/>
                <w:szCs w:val="22"/>
                <w:lang w:val="fr-CA"/>
              </w:rPr>
            </w:pPr>
            <w:r w:rsidRPr="00085A29">
              <w:rPr>
                <w:rFonts w:asciiTheme="minorHAnsi" w:hAnsiTheme="minorHAnsi" w:cstheme="minorHAnsi"/>
                <w:bCs/>
                <w:sz w:val="22"/>
                <w:szCs w:val="22"/>
                <w:lang w:val="fr-CA"/>
              </w:rPr>
              <w:t>4.3%</w:t>
            </w:r>
          </w:p>
        </w:tc>
        <w:tc>
          <w:tcPr>
            <w:tcW w:w="1320" w:type="pct"/>
            <w:hideMark/>
          </w:tcPr>
          <w:p w14:paraId="4CC35FC7" w14:textId="77777777" w:rsidR="00F00A6B" w:rsidRPr="00085A29" w:rsidRDefault="00F00A6B" w:rsidP="004460BE">
            <w:pPr>
              <w:autoSpaceDE w:val="0"/>
              <w:autoSpaceDN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5.2%</w:t>
            </w:r>
          </w:p>
        </w:tc>
      </w:tr>
      <w:tr w:rsidR="00F00A6B" w:rsidRPr="00085A29" w14:paraId="31DF9569" w14:textId="77777777" w:rsidTr="001A6DF2">
        <w:trPr>
          <w:cantSplit/>
          <w:trHeight w:val="762"/>
          <w:tblHeader/>
          <w:jc w:val="center"/>
        </w:trPr>
        <w:tc>
          <w:tcPr>
            <w:tcW w:w="1262" w:type="pct"/>
            <w:shd w:val="clear" w:color="auto" w:fill="54575A" w:themeFill="text1"/>
            <w:hideMark/>
          </w:tcPr>
          <w:p w14:paraId="322A4275" w14:textId="77777777" w:rsidR="00F00A6B" w:rsidRPr="00085A29" w:rsidRDefault="00F00A6B" w:rsidP="004460BE">
            <w:pPr>
              <w:rPr>
                <w:rFonts w:asciiTheme="minorHAnsi" w:hAnsiTheme="minorHAnsi" w:cstheme="minorHAnsi"/>
                <w:color w:val="FFFFFF" w:themeColor="background1"/>
                <w:sz w:val="22"/>
                <w:szCs w:val="22"/>
                <w:lang w:val="fr-CA"/>
              </w:rPr>
            </w:pPr>
            <w:r w:rsidRPr="00085A29">
              <w:rPr>
                <w:rFonts w:asciiTheme="minorHAnsi" w:hAnsiTheme="minorHAnsi" w:cstheme="minorHAnsi"/>
                <w:color w:val="FFFFFF" w:themeColor="background1"/>
                <w:sz w:val="22"/>
                <w:szCs w:val="22"/>
                <w:lang w:val="fr-CA"/>
              </w:rPr>
              <w:t>Membres de minorités visibles</w:t>
            </w:r>
          </w:p>
        </w:tc>
        <w:tc>
          <w:tcPr>
            <w:tcW w:w="1255" w:type="pct"/>
            <w:hideMark/>
          </w:tcPr>
          <w:p w14:paraId="1A44492A" w14:textId="77777777" w:rsidR="00F00A6B" w:rsidRPr="00085A29" w:rsidRDefault="00F00A6B" w:rsidP="004460BE">
            <w:pPr>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15.3%</w:t>
            </w:r>
          </w:p>
        </w:tc>
        <w:tc>
          <w:tcPr>
            <w:tcW w:w="1163" w:type="pct"/>
          </w:tcPr>
          <w:p w14:paraId="48B78EBF" w14:textId="77777777" w:rsidR="00F00A6B" w:rsidRPr="00085A29" w:rsidRDefault="00F00A6B" w:rsidP="004460BE">
            <w:pPr>
              <w:autoSpaceDE w:val="0"/>
              <w:autoSpaceDN w:val="0"/>
              <w:jc w:val="center"/>
              <w:rPr>
                <w:rFonts w:asciiTheme="minorHAnsi" w:hAnsiTheme="minorHAnsi" w:cstheme="minorHAnsi"/>
                <w:bCs/>
                <w:sz w:val="22"/>
                <w:szCs w:val="22"/>
                <w:lang w:val="fr-CA"/>
              </w:rPr>
            </w:pPr>
            <w:r w:rsidRPr="00085A29">
              <w:rPr>
                <w:rFonts w:asciiTheme="minorHAnsi" w:hAnsiTheme="minorHAnsi" w:cstheme="minorHAnsi"/>
                <w:bCs/>
                <w:sz w:val="22"/>
                <w:szCs w:val="22"/>
                <w:lang w:val="fr-CA"/>
              </w:rPr>
              <w:t>12.1%</w:t>
            </w:r>
          </w:p>
        </w:tc>
        <w:tc>
          <w:tcPr>
            <w:tcW w:w="1320" w:type="pct"/>
            <w:hideMark/>
          </w:tcPr>
          <w:p w14:paraId="44EC21F5" w14:textId="77777777" w:rsidR="00F00A6B" w:rsidRPr="00085A29" w:rsidRDefault="00F00A6B" w:rsidP="004460BE">
            <w:pPr>
              <w:autoSpaceDE w:val="0"/>
              <w:autoSpaceDN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16.7%</w:t>
            </w:r>
          </w:p>
        </w:tc>
      </w:tr>
    </w:tbl>
    <w:p w14:paraId="18032A6D" w14:textId="1E19C665" w:rsidR="00F00A6B" w:rsidRPr="00085A29" w:rsidRDefault="00F00A6B" w:rsidP="00F00A6B">
      <w:pPr>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Source : </w:t>
      </w:r>
      <w:hyperlink r:id="rId8" w:anchor="t1" w:history="1">
        <w:r w:rsidRPr="00085A29">
          <w:rPr>
            <w:rStyle w:val="Hyperlink"/>
            <w:rFonts w:asciiTheme="minorHAnsi" w:hAnsiTheme="minorHAnsi" w:cstheme="minorHAnsi"/>
            <w:sz w:val="22"/>
            <w:szCs w:val="22"/>
            <w:lang w:val="fr-CA"/>
          </w:rPr>
          <w:t>Office national de l’énergie – Rapport sur l’équité en matière d’emploi 2018-2019</w:t>
        </w:r>
      </w:hyperlink>
      <w:r w:rsidRPr="00085A29">
        <w:rPr>
          <w:rStyle w:val="Hyperlink"/>
          <w:rFonts w:asciiTheme="minorHAnsi" w:hAnsiTheme="minorHAnsi" w:cstheme="minorHAnsi"/>
          <w:sz w:val="22"/>
          <w:szCs w:val="22"/>
          <w:lang w:val="fr-CA"/>
        </w:rPr>
        <w:t xml:space="preserve"> - </w:t>
      </w:r>
      <w:r w:rsidRPr="00085A29">
        <w:rPr>
          <w:rFonts w:asciiTheme="minorHAnsi" w:hAnsiTheme="minorHAnsi" w:cstheme="minorHAnsi"/>
          <w:color w:val="222222"/>
          <w:sz w:val="22"/>
          <w:szCs w:val="22"/>
          <w:lang w:val="fr-CA"/>
        </w:rPr>
        <w:t>aucune donnée EE trouvée pour 2017-2018 (pour déterminer les tendances)</w:t>
      </w:r>
    </w:p>
    <w:p w14:paraId="4C7F654C" w14:textId="77777777" w:rsidR="00F00A6B" w:rsidRPr="00085A29" w:rsidRDefault="00AF0A32" w:rsidP="00F00A6B">
      <w:pPr>
        <w:spacing w:after="120"/>
        <w:rPr>
          <w:rFonts w:asciiTheme="minorHAnsi" w:hAnsiTheme="minorHAnsi" w:cstheme="minorHAnsi"/>
          <w:sz w:val="22"/>
          <w:szCs w:val="22"/>
          <w:lang w:val="fr-CA"/>
        </w:rPr>
      </w:pPr>
      <w:hyperlink r:id="rId9" w:history="1">
        <w:r w:rsidR="00F00A6B" w:rsidRPr="00085A29">
          <w:rPr>
            <w:rStyle w:val="Hyperlink"/>
            <w:rFonts w:asciiTheme="minorHAnsi" w:hAnsiTheme="minorHAnsi" w:cstheme="minorHAnsi"/>
            <w:sz w:val="22"/>
            <w:szCs w:val="22"/>
            <w:lang w:val="fr-CA"/>
          </w:rPr>
          <w:t>L’équité en matière d’emploi dans la fonction publique du Canada 2018 à 2019</w:t>
        </w:r>
      </w:hyperlink>
      <w:r w:rsidR="00F00A6B" w:rsidRPr="00085A29">
        <w:rPr>
          <w:rStyle w:val="Hyperlink"/>
          <w:rFonts w:asciiTheme="minorHAnsi" w:hAnsiTheme="minorHAnsi" w:cstheme="minorHAnsi"/>
          <w:sz w:val="22"/>
          <w:szCs w:val="22"/>
          <w:lang w:val="fr-CA"/>
        </w:rPr>
        <w:t xml:space="preserve">, </w:t>
      </w:r>
      <w:r w:rsidR="00F00A6B" w:rsidRPr="00085A29">
        <w:rPr>
          <w:rFonts w:asciiTheme="minorHAnsi" w:hAnsiTheme="minorHAnsi" w:cstheme="minorHAnsi"/>
          <w:sz w:val="22"/>
          <w:szCs w:val="22"/>
          <w:lang w:val="fr-CA"/>
        </w:rPr>
        <w:t>Secrétariat du Conseil du Trésor</w:t>
      </w:r>
    </w:p>
    <w:p w14:paraId="333DF25F" w14:textId="0422C396" w:rsidR="00AE3AE1" w:rsidRPr="00085A29" w:rsidRDefault="00AE3AE1"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L’organisation devrait prendre des mesures pour combler l’écart pour les </w:t>
      </w:r>
      <w:r w:rsidR="00822C76" w:rsidRPr="00085A29">
        <w:rPr>
          <w:rFonts w:asciiTheme="minorHAnsi" w:hAnsiTheme="minorHAnsi" w:cstheme="minorHAnsi"/>
          <w:color w:val="000000"/>
          <w:sz w:val="22"/>
          <w:szCs w:val="22"/>
          <w:lang w:val="fr-CA"/>
        </w:rPr>
        <w:t>personnes en situation de handicap</w:t>
      </w:r>
      <w:r w:rsidRPr="00085A29">
        <w:rPr>
          <w:rFonts w:asciiTheme="minorHAnsi" w:hAnsiTheme="minorHAnsi" w:cstheme="minorHAnsi"/>
          <w:color w:val="000000"/>
          <w:sz w:val="22"/>
          <w:szCs w:val="22"/>
          <w:lang w:val="fr-CA"/>
        </w:rPr>
        <w:t xml:space="preserve"> et les membres des minorités visibles et continuer de procéder à des nominations fondées sur le mérite des membres des groupes désignés, au besoin, pour assurer la représentativité continue de son effectif.</w:t>
      </w:r>
    </w:p>
    <w:p w14:paraId="6A8801C6" w14:textId="07632E18" w:rsidR="00AE3AE1" w:rsidRPr="00085A29" w:rsidRDefault="00AE3AE1" w:rsidP="00851D27">
      <w:pPr>
        <w:pStyle w:val="NoSpacing"/>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En tant qu’organisme distinct (annexe</w:t>
      </w:r>
      <w:r w:rsidR="00866F51" w:rsidRPr="00085A29">
        <w:rPr>
          <w:rFonts w:asciiTheme="minorHAnsi" w:hAnsiTheme="minorHAnsi" w:cstheme="minorHAnsi"/>
          <w:color w:val="000000"/>
          <w:sz w:val="22"/>
          <w:szCs w:val="22"/>
          <w:lang w:val="fr-CA"/>
        </w:rPr>
        <w:t> </w:t>
      </w:r>
      <w:r w:rsidR="003578BD" w:rsidRPr="00085A29">
        <w:rPr>
          <w:rFonts w:asciiTheme="minorHAnsi" w:hAnsiTheme="minorHAnsi" w:cstheme="minorHAnsi"/>
          <w:color w:val="000000"/>
          <w:sz w:val="22"/>
          <w:szCs w:val="22"/>
          <w:lang w:val="fr-CA"/>
        </w:rPr>
        <w:t>V</w:t>
      </w:r>
      <w:r w:rsidRPr="00085A29">
        <w:rPr>
          <w:rFonts w:asciiTheme="minorHAnsi" w:hAnsiTheme="minorHAnsi" w:cstheme="minorHAnsi"/>
          <w:color w:val="000000"/>
          <w:sz w:val="22"/>
          <w:szCs w:val="22"/>
          <w:lang w:val="fr-CA"/>
        </w:rPr>
        <w:t xml:space="preserve"> de la </w:t>
      </w:r>
      <w:r w:rsidRPr="00085A29">
        <w:rPr>
          <w:rStyle w:val="Emphasis"/>
          <w:rFonts w:asciiTheme="minorHAnsi" w:hAnsiTheme="minorHAnsi" w:cstheme="minorHAnsi"/>
          <w:sz w:val="22"/>
          <w:szCs w:val="18"/>
          <w:lang w:val="fr-CA"/>
        </w:rPr>
        <w:t>Loi sur la gestion des finances publiques</w:t>
      </w:r>
      <w:r w:rsidRPr="00085A29">
        <w:rPr>
          <w:rFonts w:asciiTheme="minorHAnsi" w:hAnsiTheme="minorHAnsi" w:cstheme="minorHAnsi"/>
          <w:color w:val="000000"/>
          <w:sz w:val="22"/>
          <w:szCs w:val="22"/>
          <w:lang w:val="fr-CA"/>
        </w:rPr>
        <w:t>) comptant au moins 100</w:t>
      </w:r>
      <w:r w:rsidR="00866F51" w:rsidRPr="00085A29">
        <w:rPr>
          <w:rFonts w:asciiTheme="minorHAnsi" w:hAnsiTheme="minorHAnsi" w:cstheme="minorHAnsi"/>
          <w:color w:val="000000"/>
          <w:sz w:val="22"/>
          <w:szCs w:val="22"/>
          <w:lang w:val="fr-CA"/>
        </w:rPr>
        <w:t> </w:t>
      </w:r>
      <w:r w:rsidRPr="00085A29">
        <w:rPr>
          <w:rFonts w:asciiTheme="minorHAnsi" w:hAnsiTheme="minorHAnsi" w:cstheme="minorHAnsi"/>
          <w:color w:val="000000"/>
          <w:sz w:val="22"/>
          <w:szCs w:val="22"/>
          <w:lang w:val="fr-CA"/>
        </w:rPr>
        <w:t>employés, la REC crée ses propres rapports sur l’équité en matière d’emploi. Cela signifie que leurs données ne sont pas incluses dans le rapport du Conseil du Trésor sur l’équité en matière d’emploi.</w:t>
      </w:r>
    </w:p>
    <w:p w14:paraId="3314D791" w14:textId="163FABE4" w:rsidR="001E5F59" w:rsidRPr="00085A29" w:rsidRDefault="001E5F59" w:rsidP="00215572">
      <w:pPr>
        <w:autoSpaceDE w:val="0"/>
        <w:autoSpaceDN w:val="0"/>
        <w:adjustRightInd w:val="0"/>
        <w:spacing w:after="120"/>
        <w:rPr>
          <w:rFonts w:asciiTheme="minorHAnsi" w:hAnsiTheme="minorHAnsi" w:cstheme="minorHAnsi"/>
          <w:sz w:val="22"/>
          <w:szCs w:val="22"/>
          <w:lang w:val="fr-CA" w:eastAsia="en-CA"/>
        </w:rPr>
      </w:pPr>
      <w:r w:rsidRPr="00085A29">
        <w:rPr>
          <w:rFonts w:asciiTheme="minorHAnsi" w:hAnsiTheme="minorHAnsi" w:cstheme="minorHAnsi"/>
          <w:sz w:val="22"/>
          <w:szCs w:val="22"/>
          <w:lang w:val="fr-CA" w:eastAsia="en-CA"/>
        </w:rPr>
        <w:t xml:space="preserve">La gamme de solutions qui suit </w:t>
      </w:r>
      <w:proofErr w:type="gramStart"/>
      <w:r w:rsidRPr="00085A29">
        <w:rPr>
          <w:rFonts w:asciiTheme="minorHAnsi" w:hAnsiTheme="minorHAnsi" w:cstheme="minorHAnsi"/>
          <w:sz w:val="22"/>
          <w:szCs w:val="22"/>
          <w:lang w:val="fr-CA" w:eastAsia="en-CA"/>
        </w:rPr>
        <w:t>peut être</w:t>
      </w:r>
      <w:proofErr w:type="gramEnd"/>
      <w:r w:rsidRPr="00085A29">
        <w:rPr>
          <w:rFonts w:asciiTheme="minorHAnsi" w:hAnsiTheme="minorHAnsi" w:cstheme="minorHAnsi"/>
          <w:sz w:val="22"/>
          <w:szCs w:val="22"/>
          <w:lang w:val="fr-CA" w:eastAsia="en-CA"/>
        </w:rPr>
        <w:t xml:space="preserve"> utile pour que la Régie de l’énergie du Canada continue de bâtir une organisation représentative et diversifiée :</w:t>
      </w:r>
    </w:p>
    <w:p w14:paraId="7E5E9C87" w14:textId="02EC0139" w:rsidR="001E5F59" w:rsidRPr="00085A29" w:rsidRDefault="001E5F59" w:rsidP="006E3CFD">
      <w:pPr>
        <w:pStyle w:val="ListParagraph"/>
        <w:numPr>
          <w:ilvl w:val="0"/>
          <w:numId w:val="16"/>
        </w:numPr>
        <w:autoSpaceDE w:val="0"/>
        <w:autoSpaceDN w:val="0"/>
        <w:adjustRightInd w:val="0"/>
        <w:spacing w:after="0"/>
        <w:rPr>
          <w:rFonts w:asciiTheme="minorHAnsi" w:hAnsiTheme="minorHAnsi" w:cstheme="minorHAnsi"/>
          <w:sz w:val="22"/>
          <w:szCs w:val="22"/>
          <w:lang w:val="fr-CA"/>
        </w:rPr>
      </w:pPr>
      <w:r w:rsidRPr="00085A29">
        <w:rPr>
          <w:rFonts w:asciiTheme="minorHAnsi" w:hAnsiTheme="minorHAnsi" w:cstheme="minorHAnsi"/>
          <w:sz w:val="22"/>
          <w:szCs w:val="22"/>
          <w:lang w:val="fr-CA" w:eastAsia="en-CA"/>
        </w:rPr>
        <w:t xml:space="preserve">La </w:t>
      </w:r>
      <w:r w:rsidRPr="00085A29">
        <w:rPr>
          <w:rStyle w:val="Emphasis"/>
          <w:rFonts w:asciiTheme="minorHAnsi" w:hAnsiTheme="minorHAnsi" w:cstheme="minorHAnsi"/>
          <w:sz w:val="22"/>
          <w:szCs w:val="18"/>
          <w:lang w:val="fr-CA"/>
        </w:rPr>
        <w:t>Loi sur l'emploi dans la fonction publique</w:t>
      </w:r>
      <w:r w:rsidRPr="00085A29">
        <w:rPr>
          <w:rFonts w:asciiTheme="minorHAnsi" w:hAnsiTheme="minorHAnsi" w:cstheme="minorHAnsi"/>
          <w:sz w:val="20"/>
          <w:lang w:val="fr-CA" w:eastAsia="en-CA"/>
        </w:rPr>
        <w:t xml:space="preserve"> </w:t>
      </w:r>
      <w:r w:rsidRPr="00085A29">
        <w:rPr>
          <w:rFonts w:asciiTheme="minorHAnsi" w:hAnsiTheme="minorHAnsi" w:cstheme="minorHAnsi"/>
          <w:sz w:val="22"/>
          <w:szCs w:val="22"/>
          <w:lang w:val="fr-CA" w:eastAsia="en-CA"/>
        </w:rPr>
        <w:t>comprend des dispositions qui permettent aux gestionnaires de :</w:t>
      </w:r>
    </w:p>
    <w:p w14:paraId="0EA7EEF7" w14:textId="77777777" w:rsidR="001E5F59" w:rsidRPr="00085A29" w:rsidRDefault="001E5F59" w:rsidP="006E3CFD">
      <w:pPr>
        <w:pStyle w:val="ListParagraph"/>
        <w:numPr>
          <w:ilvl w:val="1"/>
          <w:numId w:val="16"/>
        </w:numPr>
        <w:autoSpaceDE w:val="0"/>
        <w:autoSpaceDN w:val="0"/>
        <w:adjustRightInd w:val="0"/>
        <w:spacing w:after="0"/>
        <w:rPr>
          <w:rFonts w:asciiTheme="minorHAnsi" w:hAnsiTheme="minorHAnsi" w:cstheme="minorHAnsi"/>
          <w:sz w:val="22"/>
          <w:szCs w:val="22"/>
          <w:lang w:val="fr-CA"/>
        </w:rPr>
      </w:pPr>
      <w:r w:rsidRPr="00085A29">
        <w:rPr>
          <w:rFonts w:asciiTheme="minorHAnsi" w:hAnsiTheme="minorHAnsi" w:cstheme="minorHAnsi"/>
          <w:sz w:val="22"/>
          <w:szCs w:val="22"/>
          <w:lang w:val="fr-CA" w:eastAsia="en-CA"/>
        </w:rPr>
        <w:t>Cibler les membres des groupes désignés dans la zone de sélection pour les processus de nomination annoncés</w:t>
      </w:r>
    </w:p>
    <w:p w14:paraId="5B874063" w14:textId="77777777" w:rsidR="001E5F59" w:rsidRPr="00085A29" w:rsidRDefault="001E5F59" w:rsidP="006E3CFD">
      <w:pPr>
        <w:pStyle w:val="ListParagraph"/>
        <w:numPr>
          <w:ilvl w:val="1"/>
          <w:numId w:val="16"/>
        </w:numPr>
        <w:autoSpaceDE w:val="0"/>
        <w:autoSpaceDN w:val="0"/>
        <w:adjustRightInd w:val="0"/>
        <w:spacing w:after="0"/>
        <w:rPr>
          <w:rFonts w:asciiTheme="minorHAnsi" w:hAnsiTheme="minorHAnsi" w:cstheme="minorHAnsi"/>
          <w:sz w:val="22"/>
          <w:szCs w:val="22"/>
          <w:lang w:val="fr-CA"/>
        </w:rPr>
      </w:pPr>
      <w:r w:rsidRPr="00085A29">
        <w:rPr>
          <w:rFonts w:asciiTheme="minorHAnsi" w:hAnsiTheme="minorHAnsi" w:cstheme="minorHAnsi"/>
          <w:sz w:val="22"/>
          <w:szCs w:val="22"/>
          <w:lang w:val="fr-CA" w:eastAsia="en-CA"/>
        </w:rPr>
        <w:t>Établir et appliquer un besoin organisationnel pour nommer les membres des groupes désignés</w:t>
      </w:r>
    </w:p>
    <w:p w14:paraId="6EBDFAD1" w14:textId="77777777" w:rsidR="001E5F59" w:rsidRPr="00085A29" w:rsidRDefault="001E5F59" w:rsidP="00215572">
      <w:pPr>
        <w:pStyle w:val="ListParagraph"/>
        <w:numPr>
          <w:ilvl w:val="1"/>
          <w:numId w:val="16"/>
        </w:numPr>
        <w:autoSpaceDE w:val="0"/>
        <w:autoSpaceDN w:val="0"/>
        <w:adjustRightInd w:val="0"/>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eastAsia="en-CA"/>
        </w:rPr>
        <w:t>Utiliser un processus de nomination externe et interne non annoncé pour nommer les membres des groupes désignés</w:t>
      </w:r>
    </w:p>
    <w:p w14:paraId="094C1080" w14:textId="32F7AB85" w:rsidR="001E5F59" w:rsidRPr="00085A29" w:rsidRDefault="001E5F59" w:rsidP="006E3CFD">
      <w:pPr>
        <w:widowControl w:val="0"/>
        <w:numPr>
          <w:ilvl w:val="0"/>
          <w:numId w:val="16"/>
        </w:num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eastAsia="en-CA"/>
        </w:rPr>
        <w:t>La CFP offre des solutions de recrutement ciblant les membres des groupes désignés :</w:t>
      </w:r>
    </w:p>
    <w:p w14:paraId="4621B99E" w14:textId="77777777" w:rsidR="001E5F59" w:rsidRPr="00085A29" w:rsidRDefault="001E5F59" w:rsidP="006E3CFD">
      <w:pPr>
        <w:widowControl w:val="0"/>
        <w:numPr>
          <w:ilvl w:val="1"/>
          <w:numId w:val="16"/>
        </w:num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D</w:t>
      </w:r>
      <w:r w:rsidRPr="00085A29">
        <w:rPr>
          <w:rFonts w:asciiTheme="minorHAnsi" w:hAnsiTheme="minorHAnsi" w:cstheme="minorHAnsi"/>
          <w:sz w:val="22"/>
          <w:szCs w:val="22"/>
          <w:lang w:val="fr-CA" w:eastAsia="en-CA"/>
        </w:rPr>
        <w:t>emander la présentation de la candidature de membres des groupes désignés lors de l'utilisation des programmes pour étudiants tels que le Programme fédéral d'expérience de travail étudiant (PFETE) et le Programme d'enseignement coopératif/d’internat (PEC), avec un plan qui pourrait éventuellement inclure le recrutement d'étudiants dans la fonction publique</w:t>
      </w:r>
    </w:p>
    <w:p w14:paraId="16DAC84E" w14:textId="67184B5E" w:rsidR="001E5F59" w:rsidRPr="00085A29" w:rsidRDefault="001E5F59" w:rsidP="006E3CFD">
      <w:pPr>
        <w:widowControl w:val="0"/>
        <w:numPr>
          <w:ilvl w:val="1"/>
          <w:numId w:val="16"/>
        </w:numPr>
        <w:autoSpaceDE w:val="0"/>
        <w:autoSpaceDN w:val="0"/>
        <w:adjustRightInd w:val="0"/>
        <w:rPr>
          <w:rFonts w:asciiTheme="minorHAnsi" w:hAnsiTheme="minorHAnsi" w:cstheme="minorHAnsi"/>
          <w:sz w:val="22"/>
          <w:szCs w:val="22"/>
          <w:u w:val="single"/>
          <w:lang w:val="fr-CA" w:eastAsia="en-CA"/>
        </w:rPr>
      </w:pPr>
      <w:r w:rsidRPr="00085A29">
        <w:rPr>
          <w:rFonts w:asciiTheme="minorHAnsi" w:hAnsiTheme="minorHAnsi" w:cstheme="minorHAnsi"/>
          <w:sz w:val="22"/>
          <w:szCs w:val="22"/>
          <w:lang w:val="fr-CA" w:eastAsia="en-CA"/>
        </w:rPr>
        <w:t>Afficher dans le cadre du programme d'étudiants « Programme des adjoints de recherche (PAR) » pour recruter des étudiants des groupes désignés</w:t>
      </w:r>
    </w:p>
    <w:p w14:paraId="62430D02" w14:textId="24B24BF2" w:rsidR="001E5F59" w:rsidRPr="00085A29" w:rsidRDefault="001E5F59" w:rsidP="00215572">
      <w:pPr>
        <w:widowControl w:val="0"/>
        <w:numPr>
          <w:ilvl w:val="1"/>
          <w:numId w:val="16"/>
        </w:numPr>
        <w:autoSpaceDE w:val="0"/>
        <w:autoSpaceDN w:val="0"/>
        <w:adjustRightInd w:val="0"/>
        <w:spacing w:after="120"/>
        <w:rPr>
          <w:rFonts w:asciiTheme="minorHAnsi" w:hAnsiTheme="minorHAnsi" w:cstheme="minorHAnsi"/>
          <w:sz w:val="22"/>
          <w:szCs w:val="22"/>
          <w:u w:val="single"/>
          <w:lang w:val="fr-CA" w:eastAsia="en-CA"/>
        </w:rPr>
      </w:pPr>
      <w:r w:rsidRPr="00085A29">
        <w:rPr>
          <w:rFonts w:asciiTheme="minorHAnsi" w:hAnsiTheme="minorHAnsi" w:cstheme="minorHAnsi"/>
          <w:sz w:val="22"/>
          <w:szCs w:val="22"/>
          <w:lang w:val="fr-CA" w:eastAsia="en-CA"/>
        </w:rPr>
        <w:t xml:space="preserve">Demander la présentation de la candidature de membres des groupes désignés lors de l'utilisation de certains inventaires, comme le recrutement postsecondaire (RP) </w:t>
      </w:r>
    </w:p>
    <w:p w14:paraId="65E35861" w14:textId="7CF67A86" w:rsidR="001E5F59" w:rsidRPr="00085A29" w:rsidRDefault="001E5F59" w:rsidP="00E04814">
      <w:pPr>
        <w:keepLines/>
        <w:spacing w:after="120"/>
        <w:rPr>
          <w:rStyle w:val="Hyperlink"/>
          <w:rFonts w:asciiTheme="minorHAnsi" w:hAnsiTheme="minorHAnsi" w:cstheme="minorHAnsi"/>
          <w:sz w:val="22"/>
          <w:szCs w:val="22"/>
          <w:lang w:val="fr-CA"/>
        </w:rPr>
      </w:pPr>
      <w:r w:rsidRPr="00085A29">
        <w:rPr>
          <w:rFonts w:asciiTheme="minorHAnsi" w:hAnsiTheme="minorHAnsi" w:cstheme="minorHAnsi"/>
          <w:color w:val="222222"/>
          <w:sz w:val="22"/>
          <w:szCs w:val="22"/>
          <w:lang w:val="fr-CA"/>
        </w:rPr>
        <w:lastRenderedPageBreak/>
        <w:t>Les recommandations organisationnelles se trouvent dans l’</w:t>
      </w:r>
      <w:r w:rsidRPr="00085A29">
        <w:rPr>
          <w:rFonts w:asciiTheme="minorHAnsi" w:hAnsiTheme="minorHAnsi" w:cstheme="minorHAnsi"/>
          <w:sz w:val="22"/>
          <w:szCs w:val="22"/>
          <w:lang w:val="fr-CA"/>
        </w:rPr>
        <w:t>Office national de l’énergie – Rapport sur l’équité en matière d’emploi 2018-2019</w:t>
      </w:r>
      <w:r w:rsidRPr="00374684">
        <w:rPr>
          <w:rStyle w:val="Hyperlink"/>
          <w:rFonts w:asciiTheme="minorHAnsi" w:hAnsiTheme="minorHAnsi" w:cstheme="minorHAnsi"/>
          <w:sz w:val="22"/>
          <w:szCs w:val="22"/>
          <w:u w:val="none"/>
          <w:lang w:val="fr-CA"/>
        </w:rPr>
        <w:t>.</w:t>
      </w:r>
    </w:p>
    <w:p w14:paraId="3AB97AAD" w14:textId="55BBE660" w:rsidR="0062414E" w:rsidRPr="00085A29" w:rsidRDefault="00753DD5" w:rsidP="00215572">
      <w:pPr>
        <w:pStyle w:val="Heading1"/>
        <w:spacing w:after="120"/>
        <w:rPr>
          <w:rFonts w:cstheme="majorHAnsi"/>
          <w:lang w:val="fr-CA"/>
        </w:rPr>
      </w:pPr>
      <w:r w:rsidRPr="00085A29">
        <w:rPr>
          <w:rFonts w:cstheme="majorHAnsi"/>
          <w:lang w:val="fr-CA"/>
        </w:rPr>
        <w:t>Droits de priorité et anciens combattants</w:t>
      </w:r>
    </w:p>
    <w:p w14:paraId="0E63B6A3" w14:textId="77777777" w:rsidR="00016E56" w:rsidRPr="00085A29" w:rsidRDefault="00016E56" w:rsidP="00215572">
      <w:pPr>
        <w:pStyle w:val="Heading2"/>
        <w:spacing w:after="120"/>
        <w:rPr>
          <w:lang w:val="fr-CA"/>
        </w:rPr>
      </w:pPr>
      <w:r w:rsidRPr="00085A29">
        <w:rPr>
          <w:lang w:val="fr-CA"/>
        </w:rPr>
        <w:t>Nominations de personnes bénéficiant d'un droit de priorité</w:t>
      </w:r>
    </w:p>
    <w:p w14:paraId="24E0C701" w14:textId="4222136C" w:rsidR="0083500E" w:rsidRPr="00085A29" w:rsidRDefault="0062414E" w:rsidP="00215572">
      <w:pPr>
        <w:spacing w:after="120"/>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Du 1</w:t>
      </w:r>
      <w:r w:rsidRPr="00085A29">
        <w:rPr>
          <w:rFonts w:asciiTheme="minorHAnsi" w:hAnsiTheme="minorHAnsi" w:cstheme="minorHAnsi"/>
          <w:sz w:val="22"/>
          <w:szCs w:val="22"/>
          <w:vertAlign w:val="superscript"/>
          <w:lang w:val="fr-CA"/>
        </w:rPr>
        <w:t>er</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avril</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2019 au 20</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août</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2020, la REC n’a nommé </w:t>
      </w:r>
      <w:r w:rsidR="00016E56" w:rsidRPr="00085A29">
        <w:rPr>
          <w:rFonts w:asciiTheme="minorHAnsi" w:hAnsiTheme="minorHAnsi" w:cstheme="minorHAnsi"/>
          <w:sz w:val="22"/>
          <w:szCs w:val="22"/>
          <w:lang w:val="fr-CA"/>
        </w:rPr>
        <w:t xml:space="preserve">aucunes personnes </w:t>
      </w:r>
      <w:r w:rsidRPr="00085A29">
        <w:rPr>
          <w:rFonts w:asciiTheme="minorHAnsi" w:hAnsiTheme="minorHAnsi" w:cstheme="minorHAnsi"/>
          <w:sz w:val="22"/>
          <w:szCs w:val="22"/>
          <w:lang w:val="fr-CA"/>
        </w:rPr>
        <w:t>bénéficia</w:t>
      </w:r>
      <w:r w:rsidR="00016E56" w:rsidRPr="00085A29">
        <w:rPr>
          <w:rFonts w:asciiTheme="minorHAnsi" w:hAnsiTheme="minorHAnsi" w:cstheme="minorHAnsi"/>
          <w:sz w:val="22"/>
          <w:szCs w:val="22"/>
          <w:lang w:val="fr-CA"/>
        </w:rPr>
        <w:t>nt</w:t>
      </w:r>
      <w:r w:rsidRPr="00085A29">
        <w:rPr>
          <w:rFonts w:asciiTheme="minorHAnsi" w:hAnsiTheme="minorHAnsi" w:cstheme="minorHAnsi"/>
          <w:sz w:val="22"/>
          <w:szCs w:val="22"/>
          <w:lang w:val="fr-CA"/>
        </w:rPr>
        <w:t xml:space="preserve"> </w:t>
      </w:r>
      <w:r w:rsidR="00016E56" w:rsidRPr="00085A29">
        <w:rPr>
          <w:rFonts w:asciiTheme="minorHAnsi" w:hAnsiTheme="minorHAnsi" w:cstheme="minorHAnsi"/>
          <w:sz w:val="22"/>
          <w:szCs w:val="22"/>
          <w:lang w:val="fr-CA"/>
        </w:rPr>
        <w:t>d’un droit de</w:t>
      </w:r>
      <w:r w:rsidRPr="00085A29">
        <w:rPr>
          <w:rFonts w:asciiTheme="minorHAnsi" w:hAnsiTheme="minorHAnsi" w:cstheme="minorHAnsi"/>
          <w:sz w:val="22"/>
          <w:szCs w:val="22"/>
          <w:lang w:val="fr-CA"/>
        </w:rPr>
        <w:t xml:space="preserve"> priorité </w:t>
      </w:r>
      <w:r w:rsidR="00985881" w:rsidRPr="00085A29">
        <w:rPr>
          <w:rFonts w:asciiTheme="minorHAnsi" w:hAnsiTheme="minorHAnsi" w:cstheme="minorHAnsi"/>
          <w:sz w:val="22"/>
          <w:szCs w:val="22"/>
          <w:lang w:val="fr-CA"/>
        </w:rPr>
        <w:t>(BP</w:t>
      </w:r>
      <w:r w:rsidR="00016E56" w:rsidRPr="00085A29">
        <w:rPr>
          <w:rFonts w:asciiTheme="minorHAnsi" w:hAnsiTheme="minorHAnsi" w:cstheme="minorHAnsi"/>
          <w:sz w:val="22"/>
          <w:szCs w:val="22"/>
          <w:lang w:val="fr-CA"/>
        </w:rPr>
        <w:t>DP</w:t>
      </w:r>
      <w:r w:rsidR="00985881"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pour une période indéterminée.</w:t>
      </w:r>
    </w:p>
    <w:p w14:paraId="0F621B5A" w14:textId="77777777" w:rsidR="00016E56" w:rsidRPr="00085A29" w:rsidRDefault="00016E56" w:rsidP="00215572">
      <w:pPr>
        <w:pStyle w:val="Heading2"/>
        <w:spacing w:after="120"/>
        <w:rPr>
          <w:lang w:val="fr-CA"/>
        </w:rPr>
      </w:pPr>
      <w:r w:rsidRPr="00085A29">
        <w:rPr>
          <w:lang w:val="fr-CA"/>
        </w:rPr>
        <w:t>Nominations de personnes ayant un droit de priorité des Forces armées canadiennes (FAC)</w:t>
      </w:r>
    </w:p>
    <w:p w14:paraId="22909EE4" w14:textId="3BED083F" w:rsidR="0062414E" w:rsidRPr="00085A29" w:rsidRDefault="002B3D4E" w:rsidP="00215572">
      <w:pPr>
        <w:spacing w:after="120"/>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Du 1</w:t>
      </w:r>
      <w:r w:rsidRPr="00085A29">
        <w:rPr>
          <w:rFonts w:asciiTheme="minorHAnsi" w:hAnsiTheme="minorHAnsi" w:cstheme="minorHAnsi"/>
          <w:sz w:val="22"/>
          <w:szCs w:val="22"/>
          <w:vertAlign w:val="superscript"/>
          <w:lang w:val="fr-CA"/>
        </w:rPr>
        <w:t>er</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juillet</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2015, soit la date d’entrée en vigueur de la </w:t>
      </w:r>
      <w:r w:rsidRPr="00085A29">
        <w:rPr>
          <w:rStyle w:val="Emphasis"/>
          <w:rFonts w:asciiTheme="minorHAnsi" w:hAnsiTheme="minorHAnsi" w:cstheme="minorHAnsi"/>
          <w:sz w:val="22"/>
          <w:szCs w:val="18"/>
          <w:lang w:val="fr-CA"/>
        </w:rPr>
        <w:t>Loi sur l’embauche des anciens combattants</w:t>
      </w:r>
      <w:r w:rsidRPr="00085A29">
        <w:rPr>
          <w:rFonts w:asciiTheme="minorHAnsi" w:hAnsiTheme="minorHAnsi" w:cstheme="minorHAnsi"/>
          <w:sz w:val="22"/>
          <w:szCs w:val="22"/>
          <w:lang w:val="fr-CA"/>
        </w:rPr>
        <w:t>,</w:t>
      </w:r>
      <w:r w:rsidR="00CC00D1"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au jeudi</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20</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août</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2020, l’organisation n’a procédé à aucune nomination de personnes bénéficiant d’un droit de priorité des FAC.</w:t>
      </w:r>
    </w:p>
    <w:p w14:paraId="3E3EC83A" w14:textId="77777777" w:rsidR="0062414E" w:rsidRPr="00085A29" w:rsidRDefault="0062414E" w:rsidP="00215572">
      <w:pPr>
        <w:pStyle w:val="Heading2"/>
        <w:spacing w:after="120"/>
        <w:rPr>
          <w:rFonts w:eastAsia="Calibri"/>
          <w:lang w:val="fr-CA"/>
        </w:rPr>
      </w:pPr>
      <w:r w:rsidRPr="00085A29">
        <w:rPr>
          <w:lang w:val="fr-CA"/>
        </w:rPr>
        <w:t>Demandes d’autorisation en matière de priorité</w:t>
      </w:r>
    </w:p>
    <w:p w14:paraId="6142176A" w14:textId="77777777" w:rsidR="00416E76" w:rsidRPr="00085A29" w:rsidRDefault="0062414E" w:rsidP="00416E76">
      <w:p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Du 1</w:t>
      </w:r>
      <w:r w:rsidRPr="00085A29">
        <w:rPr>
          <w:rFonts w:asciiTheme="minorHAnsi" w:hAnsiTheme="minorHAnsi" w:cstheme="minorHAnsi"/>
          <w:sz w:val="22"/>
          <w:szCs w:val="22"/>
          <w:vertAlign w:val="superscript"/>
          <w:lang w:val="fr-CA"/>
        </w:rPr>
        <w:t>er</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avril</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2019 au 20</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août</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2020, la REC a soumis 162</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demandes d’autorisation en matière de priorité. </w:t>
      </w:r>
    </w:p>
    <w:p w14:paraId="6538A660" w14:textId="4188364F" w:rsidR="00416E76" w:rsidRPr="00085A29" w:rsidRDefault="00416E76" w:rsidP="00416E76">
      <w:pPr>
        <w:pStyle w:val="Caption"/>
        <w:keepNext/>
        <w:spacing w:after="0"/>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3</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Type d'autorisation en matière de priorité</w:t>
      </w:r>
    </w:p>
    <w:tbl>
      <w:tblPr>
        <w:tblStyle w:val="TableGrid"/>
        <w:tblW w:w="5000" w:type="pct"/>
        <w:jc w:val="center"/>
        <w:tblLook w:val="04A0" w:firstRow="1" w:lastRow="0" w:firstColumn="1" w:lastColumn="0" w:noHBand="0" w:noVBand="1"/>
        <w:tblDescription w:val="Type d'autorisation en matière de priorité"/>
      </w:tblPr>
      <w:tblGrid>
        <w:gridCol w:w="7156"/>
        <w:gridCol w:w="1321"/>
        <w:gridCol w:w="1593"/>
      </w:tblGrid>
      <w:tr w:rsidR="00416E76" w:rsidRPr="00E04814" w14:paraId="0D4332FE" w14:textId="77777777" w:rsidTr="00E04814">
        <w:trPr>
          <w:cantSplit/>
          <w:tblHeader/>
          <w:jc w:val="center"/>
        </w:trPr>
        <w:tc>
          <w:tcPr>
            <w:tcW w:w="3553" w:type="pct"/>
          </w:tcPr>
          <w:p w14:paraId="76BB8404" w14:textId="77777777" w:rsidR="00416E76" w:rsidRPr="00E04814" w:rsidRDefault="00416E76" w:rsidP="00416E76">
            <w:pPr>
              <w:pStyle w:val="TableTitle"/>
              <w:rPr>
                <w:rFonts w:cs="Segoe UI Semibold"/>
                <w:color w:val="auto"/>
                <w:sz w:val="22"/>
                <w:szCs w:val="22"/>
                <w:lang w:val="fr-CA"/>
              </w:rPr>
            </w:pPr>
            <w:r w:rsidRPr="00E04814">
              <w:rPr>
                <w:rFonts w:cs="Segoe UI Semibold"/>
                <w:color w:val="auto"/>
                <w:sz w:val="22"/>
                <w:szCs w:val="22"/>
                <w:lang w:val="fr-CA"/>
              </w:rPr>
              <w:t>Type d’autorisation en matière de priorité</w:t>
            </w:r>
          </w:p>
        </w:tc>
        <w:tc>
          <w:tcPr>
            <w:tcW w:w="656" w:type="pct"/>
          </w:tcPr>
          <w:p w14:paraId="12C4966D" w14:textId="77777777" w:rsidR="00416E76" w:rsidRPr="00E04814" w:rsidRDefault="00416E76" w:rsidP="00416E76">
            <w:pPr>
              <w:pStyle w:val="TableTitle"/>
              <w:rPr>
                <w:rFonts w:cs="Segoe UI Semibold"/>
                <w:color w:val="auto"/>
                <w:sz w:val="22"/>
                <w:szCs w:val="22"/>
                <w:lang w:val="fr-CA"/>
              </w:rPr>
            </w:pPr>
            <w:r w:rsidRPr="00E04814">
              <w:rPr>
                <w:rFonts w:cs="Segoe UI Semibold"/>
                <w:color w:val="auto"/>
                <w:sz w:val="22"/>
                <w:szCs w:val="22"/>
                <w:lang w:val="fr-CA"/>
              </w:rPr>
              <w:t>Nombre</w:t>
            </w:r>
          </w:p>
        </w:tc>
        <w:tc>
          <w:tcPr>
            <w:tcW w:w="791" w:type="pct"/>
          </w:tcPr>
          <w:p w14:paraId="1ACB8893" w14:textId="77777777" w:rsidR="00416E76" w:rsidRPr="00E04814" w:rsidRDefault="00416E76" w:rsidP="00416E76">
            <w:pPr>
              <w:pStyle w:val="TableTitle"/>
              <w:rPr>
                <w:rFonts w:cs="Segoe UI Semibold"/>
                <w:color w:val="auto"/>
                <w:sz w:val="22"/>
                <w:szCs w:val="22"/>
                <w:lang w:val="fr-CA"/>
              </w:rPr>
            </w:pPr>
            <w:r w:rsidRPr="00E04814">
              <w:rPr>
                <w:rFonts w:cs="Segoe UI Semibold"/>
                <w:color w:val="auto"/>
                <w:sz w:val="22"/>
                <w:szCs w:val="22"/>
                <w:lang w:val="fr-CA"/>
              </w:rPr>
              <w:t>Pourcentage</w:t>
            </w:r>
          </w:p>
        </w:tc>
      </w:tr>
      <w:tr w:rsidR="00E04814" w:rsidRPr="00E04814" w14:paraId="2BE29334" w14:textId="77777777" w:rsidTr="00E04814">
        <w:trPr>
          <w:cantSplit/>
          <w:trHeight w:val="1237"/>
          <w:tblHeader/>
          <w:jc w:val="center"/>
        </w:trPr>
        <w:tc>
          <w:tcPr>
            <w:tcW w:w="3553" w:type="pct"/>
          </w:tcPr>
          <w:p w14:paraId="6607E79A"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Processus internes annoncés</w:t>
            </w:r>
          </w:p>
          <w:p w14:paraId="584CFB07" w14:textId="77777777" w:rsidR="00416E76" w:rsidRPr="00E04814" w:rsidRDefault="00416E76" w:rsidP="004460BE">
            <w:pPr>
              <w:numPr>
                <w:ilvl w:val="0"/>
                <w:numId w:val="10"/>
              </w:numPr>
              <w:rPr>
                <w:rFonts w:asciiTheme="minorHAnsi" w:hAnsiTheme="minorHAnsi" w:cstheme="minorHAnsi"/>
                <w:sz w:val="22"/>
                <w:szCs w:val="22"/>
                <w:lang w:val="fr-CA"/>
              </w:rPr>
            </w:pPr>
            <w:r w:rsidRPr="00E04814">
              <w:rPr>
                <w:rFonts w:asciiTheme="minorHAnsi" w:hAnsiTheme="minorHAnsi" w:cstheme="minorHAnsi"/>
                <w:sz w:val="22"/>
                <w:szCs w:val="22"/>
                <w:lang w:val="fr-CA"/>
              </w:rPr>
              <w:t>Processus internes annoncés (12)</w:t>
            </w:r>
          </w:p>
          <w:p w14:paraId="1C470D98" w14:textId="77777777" w:rsidR="00416E76" w:rsidRPr="00E04814" w:rsidRDefault="00416E76" w:rsidP="004460BE">
            <w:pPr>
              <w:numPr>
                <w:ilvl w:val="0"/>
                <w:numId w:val="10"/>
              </w:numPr>
              <w:rPr>
                <w:rFonts w:asciiTheme="minorHAnsi" w:hAnsiTheme="minorHAnsi" w:cstheme="minorHAnsi"/>
                <w:sz w:val="22"/>
                <w:szCs w:val="22"/>
                <w:lang w:val="fr-CA"/>
              </w:rPr>
            </w:pPr>
            <w:r w:rsidRPr="00E04814">
              <w:rPr>
                <w:rFonts w:asciiTheme="minorHAnsi" w:hAnsiTheme="minorHAnsi" w:cstheme="minorHAnsi"/>
                <w:sz w:val="22"/>
                <w:szCs w:val="22"/>
                <w:lang w:val="fr-CA"/>
              </w:rPr>
              <w:t>Nomination à partir d’un bassin établi antérieurement (12)</w:t>
            </w:r>
          </w:p>
          <w:p w14:paraId="6CE12FB9" w14:textId="77777777" w:rsidR="00416E76" w:rsidRPr="00E04814" w:rsidRDefault="00416E76" w:rsidP="004460BE">
            <w:pPr>
              <w:numPr>
                <w:ilvl w:val="0"/>
                <w:numId w:val="10"/>
              </w:numPr>
              <w:rPr>
                <w:rFonts w:asciiTheme="minorHAnsi" w:hAnsiTheme="minorHAnsi" w:cstheme="minorHAnsi"/>
                <w:sz w:val="22"/>
                <w:szCs w:val="22"/>
                <w:lang w:val="fr-CA"/>
              </w:rPr>
            </w:pPr>
            <w:r w:rsidRPr="00E04814">
              <w:rPr>
                <w:rFonts w:asciiTheme="minorHAnsi" w:hAnsiTheme="minorHAnsi" w:cstheme="minorHAnsi"/>
                <w:sz w:val="22"/>
                <w:szCs w:val="22"/>
                <w:lang w:val="fr-CA"/>
              </w:rPr>
              <w:t>Processus d’équité en matière d’emploi (EE) (1)</w:t>
            </w:r>
          </w:p>
        </w:tc>
        <w:tc>
          <w:tcPr>
            <w:tcW w:w="656" w:type="pct"/>
          </w:tcPr>
          <w:p w14:paraId="15F0AC31"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25</w:t>
            </w:r>
          </w:p>
        </w:tc>
        <w:tc>
          <w:tcPr>
            <w:tcW w:w="791" w:type="pct"/>
          </w:tcPr>
          <w:p w14:paraId="4D0AA180"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15,4 %</w:t>
            </w:r>
          </w:p>
        </w:tc>
      </w:tr>
      <w:tr w:rsidR="00E04814" w:rsidRPr="00E04814" w14:paraId="6084CEFD" w14:textId="77777777" w:rsidTr="00E04814">
        <w:trPr>
          <w:cantSplit/>
          <w:tblHeader/>
          <w:jc w:val="center"/>
        </w:trPr>
        <w:tc>
          <w:tcPr>
            <w:tcW w:w="3553" w:type="pct"/>
          </w:tcPr>
          <w:p w14:paraId="2E35F45A"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Processus internes non annoncés</w:t>
            </w:r>
          </w:p>
        </w:tc>
        <w:tc>
          <w:tcPr>
            <w:tcW w:w="656" w:type="pct"/>
          </w:tcPr>
          <w:p w14:paraId="66EBFEF4"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23</w:t>
            </w:r>
          </w:p>
        </w:tc>
        <w:tc>
          <w:tcPr>
            <w:tcW w:w="791" w:type="pct"/>
          </w:tcPr>
          <w:p w14:paraId="06A0C3D1"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14,2 %</w:t>
            </w:r>
          </w:p>
        </w:tc>
      </w:tr>
      <w:tr w:rsidR="00E04814" w:rsidRPr="00E04814" w14:paraId="7B64219E" w14:textId="77777777" w:rsidTr="00E04814">
        <w:trPr>
          <w:cantSplit/>
          <w:trHeight w:val="1202"/>
          <w:tblHeader/>
          <w:jc w:val="center"/>
        </w:trPr>
        <w:tc>
          <w:tcPr>
            <w:tcW w:w="3553" w:type="pct"/>
          </w:tcPr>
          <w:p w14:paraId="6205A43D"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 xml:space="preserve">Processus externes annoncés </w:t>
            </w:r>
          </w:p>
          <w:p w14:paraId="0D7A9A52" w14:textId="77777777" w:rsidR="00416E76" w:rsidRPr="00E04814" w:rsidRDefault="00416E76" w:rsidP="004460BE">
            <w:pPr>
              <w:numPr>
                <w:ilvl w:val="0"/>
                <w:numId w:val="11"/>
              </w:numPr>
              <w:rPr>
                <w:rFonts w:asciiTheme="minorHAnsi" w:hAnsiTheme="minorHAnsi" w:cstheme="minorHAnsi"/>
                <w:sz w:val="22"/>
                <w:szCs w:val="22"/>
                <w:lang w:val="fr-CA"/>
              </w:rPr>
            </w:pPr>
            <w:r w:rsidRPr="00E04814">
              <w:rPr>
                <w:rFonts w:asciiTheme="minorHAnsi" w:hAnsiTheme="minorHAnsi" w:cstheme="minorHAnsi"/>
                <w:sz w:val="22"/>
                <w:szCs w:val="22"/>
                <w:lang w:val="fr-CA"/>
              </w:rPr>
              <w:t>Processus externes annoncés (43)</w:t>
            </w:r>
          </w:p>
          <w:p w14:paraId="337EED51" w14:textId="77777777" w:rsidR="00416E76" w:rsidRPr="00E04814" w:rsidRDefault="00416E76" w:rsidP="004460BE">
            <w:pPr>
              <w:numPr>
                <w:ilvl w:val="0"/>
                <w:numId w:val="11"/>
              </w:numPr>
              <w:rPr>
                <w:rFonts w:asciiTheme="minorHAnsi" w:hAnsiTheme="minorHAnsi" w:cstheme="minorHAnsi"/>
                <w:sz w:val="22"/>
                <w:szCs w:val="22"/>
                <w:lang w:val="fr-CA"/>
              </w:rPr>
            </w:pPr>
            <w:r w:rsidRPr="00E04814">
              <w:rPr>
                <w:rFonts w:asciiTheme="minorHAnsi" w:hAnsiTheme="minorHAnsi" w:cstheme="minorHAnsi"/>
                <w:sz w:val="22"/>
                <w:szCs w:val="22"/>
                <w:lang w:val="fr-CA"/>
              </w:rPr>
              <w:t>Nomination à partir d’un bassin établi antérieurement (25)</w:t>
            </w:r>
          </w:p>
          <w:p w14:paraId="276318BD" w14:textId="77777777" w:rsidR="00416E76" w:rsidRPr="00E04814" w:rsidRDefault="00416E76" w:rsidP="004460BE">
            <w:pPr>
              <w:numPr>
                <w:ilvl w:val="0"/>
                <w:numId w:val="11"/>
              </w:numPr>
              <w:rPr>
                <w:rFonts w:asciiTheme="minorHAnsi" w:hAnsiTheme="minorHAnsi" w:cstheme="minorHAnsi"/>
                <w:sz w:val="22"/>
                <w:szCs w:val="22"/>
                <w:lang w:val="fr-CA"/>
              </w:rPr>
            </w:pPr>
            <w:r w:rsidRPr="00E04814">
              <w:rPr>
                <w:rFonts w:asciiTheme="minorHAnsi" w:hAnsiTheme="minorHAnsi" w:cstheme="minorHAnsi"/>
                <w:sz w:val="22"/>
                <w:szCs w:val="22"/>
                <w:lang w:val="fr-CA"/>
              </w:rPr>
              <w:t>Processus d’EE (4)</w:t>
            </w:r>
          </w:p>
        </w:tc>
        <w:tc>
          <w:tcPr>
            <w:tcW w:w="656" w:type="pct"/>
          </w:tcPr>
          <w:p w14:paraId="1FB8DC1C"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72</w:t>
            </w:r>
          </w:p>
        </w:tc>
        <w:tc>
          <w:tcPr>
            <w:tcW w:w="791" w:type="pct"/>
          </w:tcPr>
          <w:p w14:paraId="11E0E2A9"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44,4 %</w:t>
            </w:r>
          </w:p>
        </w:tc>
      </w:tr>
      <w:tr w:rsidR="00E04814" w:rsidRPr="00E04814" w14:paraId="5BF54772" w14:textId="77777777" w:rsidTr="00E04814">
        <w:trPr>
          <w:cantSplit/>
          <w:tblHeader/>
          <w:jc w:val="center"/>
        </w:trPr>
        <w:tc>
          <w:tcPr>
            <w:tcW w:w="3553" w:type="pct"/>
          </w:tcPr>
          <w:p w14:paraId="4B6A9B64"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Processus non annoncés externes</w:t>
            </w:r>
          </w:p>
        </w:tc>
        <w:tc>
          <w:tcPr>
            <w:tcW w:w="656" w:type="pct"/>
          </w:tcPr>
          <w:p w14:paraId="53D821DF"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39</w:t>
            </w:r>
          </w:p>
        </w:tc>
        <w:tc>
          <w:tcPr>
            <w:tcW w:w="791" w:type="pct"/>
          </w:tcPr>
          <w:p w14:paraId="259839FC"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24,1 %</w:t>
            </w:r>
          </w:p>
        </w:tc>
      </w:tr>
      <w:tr w:rsidR="00E04814" w:rsidRPr="00E04814" w14:paraId="65EA7284" w14:textId="77777777" w:rsidTr="00E04814">
        <w:trPr>
          <w:cantSplit/>
          <w:tblHeader/>
          <w:jc w:val="center"/>
        </w:trPr>
        <w:tc>
          <w:tcPr>
            <w:tcW w:w="3553" w:type="pct"/>
          </w:tcPr>
          <w:p w14:paraId="6BC2C484"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Nomination de bénéficiaires de priorité (comprend les nominations prévues pour une période déterminée et indéterminée)</w:t>
            </w:r>
          </w:p>
        </w:tc>
        <w:tc>
          <w:tcPr>
            <w:tcW w:w="656" w:type="pct"/>
          </w:tcPr>
          <w:p w14:paraId="29F9EF92"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0</w:t>
            </w:r>
          </w:p>
        </w:tc>
        <w:tc>
          <w:tcPr>
            <w:tcW w:w="791" w:type="pct"/>
          </w:tcPr>
          <w:p w14:paraId="74687200"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0 %</w:t>
            </w:r>
          </w:p>
        </w:tc>
      </w:tr>
      <w:tr w:rsidR="00E04814" w:rsidRPr="00E04814" w14:paraId="4C4BB155" w14:textId="77777777" w:rsidTr="00E04814">
        <w:trPr>
          <w:cantSplit/>
          <w:tblHeader/>
          <w:jc w:val="center"/>
        </w:trPr>
        <w:tc>
          <w:tcPr>
            <w:tcW w:w="3553" w:type="pct"/>
          </w:tcPr>
          <w:p w14:paraId="6E38305B"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Intégration des étudiants</w:t>
            </w:r>
          </w:p>
        </w:tc>
        <w:tc>
          <w:tcPr>
            <w:tcW w:w="656" w:type="pct"/>
          </w:tcPr>
          <w:p w14:paraId="7CA3FD4E"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2</w:t>
            </w:r>
          </w:p>
        </w:tc>
        <w:tc>
          <w:tcPr>
            <w:tcW w:w="791" w:type="pct"/>
          </w:tcPr>
          <w:p w14:paraId="3A39890E"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1,2 %</w:t>
            </w:r>
          </w:p>
        </w:tc>
      </w:tr>
      <w:tr w:rsidR="00E04814" w:rsidRPr="00E04814" w14:paraId="45FBC9B7" w14:textId="77777777" w:rsidTr="00E04814">
        <w:trPr>
          <w:cantSplit/>
          <w:tblHeader/>
          <w:jc w:val="center"/>
        </w:trPr>
        <w:tc>
          <w:tcPr>
            <w:tcW w:w="3553" w:type="pct"/>
          </w:tcPr>
          <w:p w14:paraId="0EDEDC27"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Article 43</w:t>
            </w:r>
          </w:p>
        </w:tc>
        <w:tc>
          <w:tcPr>
            <w:tcW w:w="656" w:type="pct"/>
          </w:tcPr>
          <w:p w14:paraId="16B08895"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1</w:t>
            </w:r>
          </w:p>
        </w:tc>
        <w:tc>
          <w:tcPr>
            <w:tcW w:w="791" w:type="pct"/>
          </w:tcPr>
          <w:p w14:paraId="0D746964"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0,6 %</w:t>
            </w:r>
          </w:p>
        </w:tc>
      </w:tr>
      <w:tr w:rsidR="00E04814" w:rsidRPr="00E04814" w14:paraId="114F6A45" w14:textId="77777777" w:rsidTr="00E04814">
        <w:trPr>
          <w:cantSplit/>
          <w:tblHeader/>
          <w:jc w:val="center"/>
        </w:trPr>
        <w:tc>
          <w:tcPr>
            <w:tcW w:w="3553" w:type="pct"/>
          </w:tcPr>
          <w:p w14:paraId="677647A5"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Total</w:t>
            </w:r>
          </w:p>
        </w:tc>
        <w:tc>
          <w:tcPr>
            <w:tcW w:w="656" w:type="pct"/>
          </w:tcPr>
          <w:p w14:paraId="3FA780CC"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162</w:t>
            </w:r>
          </w:p>
        </w:tc>
        <w:tc>
          <w:tcPr>
            <w:tcW w:w="791" w:type="pct"/>
          </w:tcPr>
          <w:p w14:paraId="1804F59E" w14:textId="77777777" w:rsidR="00416E76" w:rsidRPr="00E04814" w:rsidRDefault="00416E76" w:rsidP="004460BE">
            <w:pPr>
              <w:rPr>
                <w:rFonts w:asciiTheme="minorHAnsi" w:hAnsiTheme="minorHAnsi" w:cstheme="minorHAnsi"/>
                <w:sz w:val="22"/>
                <w:szCs w:val="22"/>
                <w:lang w:val="fr-CA"/>
              </w:rPr>
            </w:pPr>
            <w:r w:rsidRPr="00E04814">
              <w:rPr>
                <w:rFonts w:asciiTheme="minorHAnsi" w:hAnsiTheme="minorHAnsi" w:cstheme="minorHAnsi"/>
                <w:sz w:val="22"/>
                <w:szCs w:val="22"/>
                <w:lang w:val="fr-CA"/>
              </w:rPr>
              <w:t>100 %</w:t>
            </w:r>
          </w:p>
        </w:tc>
      </w:tr>
    </w:tbl>
    <w:p w14:paraId="2EAC9190" w14:textId="77777777" w:rsidR="00416E76" w:rsidRPr="00085A29" w:rsidRDefault="00416E76" w:rsidP="00416E76">
      <w:pPr>
        <w:spacing w:after="120"/>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Source : Système de gestion de l’information sur les priorités</w:t>
      </w:r>
    </w:p>
    <w:p w14:paraId="7420C3DB" w14:textId="3F893A1D" w:rsidR="004F3D6A" w:rsidRPr="00085A29" w:rsidRDefault="00882AEA" w:rsidP="00416E76">
      <w:pPr>
        <w:rPr>
          <w:rFonts w:asciiTheme="minorHAnsi" w:hAnsiTheme="minorHAnsi" w:cstheme="minorHAnsi"/>
          <w:sz w:val="22"/>
          <w:szCs w:val="22"/>
          <w:lang w:val="fr-CA"/>
        </w:rPr>
      </w:pPr>
      <w:r w:rsidRPr="00085A29">
        <w:rPr>
          <w:rFonts w:asciiTheme="minorHAnsi" w:hAnsiTheme="minorHAnsi" w:cstheme="minorHAnsi"/>
          <w:sz w:val="22"/>
          <w:szCs w:val="22"/>
          <w:lang w:val="fr-CA"/>
        </w:rPr>
        <w:t>Depuis que la Division de</w:t>
      </w:r>
      <w:r w:rsidR="0015004D" w:rsidRPr="00085A29">
        <w:rPr>
          <w:rFonts w:asciiTheme="minorHAnsi" w:hAnsiTheme="minorHAnsi" w:cstheme="minorHAnsi"/>
          <w:sz w:val="22"/>
          <w:szCs w:val="22"/>
          <w:lang w:val="fr-CA"/>
        </w:rPr>
        <w:t>s</w:t>
      </w:r>
      <w:r w:rsidRPr="00085A29">
        <w:rPr>
          <w:rFonts w:asciiTheme="minorHAnsi" w:hAnsiTheme="minorHAnsi" w:cstheme="minorHAnsi"/>
          <w:sz w:val="22"/>
          <w:szCs w:val="22"/>
          <w:lang w:val="fr-CA"/>
        </w:rPr>
        <w:t xml:space="preserve"> politique</w:t>
      </w:r>
      <w:r w:rsidR="0015004D" w:rsidRPr="00085A29">
        <w:rPr>
          <w:rFonts w:asciiTheme="minorHAnsi" w:hAnsiTheme="minorHAnsi" w:cstheme="minorHAnsi"/>
          <w:sz w:val="22"/>
          <w:szCs w:val="22"/>
          <w:lang w:val="fr-CA"/>
        </w:rPr>
        <w:t>s</w:t>
      </w:r>
      <w:r w:rsidRPr="00085A29">
        <w:rPr>
          <w:rFonts w:asciiTheme="minorHAnsi" w:hAnsiTheme="minorHAnsi" w:cstheme="minorHAnsi"/>
          <w:sz w:val="22"/>
          <w:szCs w:val="22"/>
          <w:lang w:val="fr-CA"/>
        </w:rPr>
        <w:t xml:space="preserve"> </w:t>
      </w:r>
      <w:r w:rsidR="0015004D" w:rsidRPr="00085A29">
        <w:rPr>
          <w:rFonts w:asciiTheme="minorHAnsi" w:hAnsiTheme="minorHAnsi" w:cstheme="minorHAnsi"/>
          <w:sz w:val="22"/>
          <w:szCs w:val="22"/>
          <w:lang w:val="fr-CA"/>
        </w:rPr>
        <w:t>des</w:t>
      </w:r>
      <w:r w:rsidRPr="00085A29">
        <w:rPr>
          <w:rFonts w:asciiTheme="minorHAnsi" w:hAnsiTheme="minorHAnsi" w:cstheme="minorHAnsi"/>
          <w:sz w:val="22"/>
          <w:szCs w:val="22"/>
          <w:lang w:val="fr-CA"/>
        </w:rPr>
        <w:t xml:space="preserve"> droits de priorité a commencé à surveiller les autorisations de droit de priorité liées à Covid-19, la REC a présenté 5 demandes à la CFP pour des postes classifiés NB :</w:t>
      </w:r>
    </w:p>
    <w:p w14:paraId="04D62280" w14:textId="77777777" w:rsidR="00A917E6" w:rsidRPr="00085A29" w:rsidRDefault="00A917E6" w:rsidP="00215572">
      <w:pPr>
        <w:pStyle w:val="NoSpacing"/>
        <w:numPr>
          <w:ilvl w:val="0"/>
          <w:numId w:val="4"/>
        </w:numPr>
        <w:rPr>
          <w:rFonts w:asciiTheme="minorHAnsi" w:hAnsiTheme="minorHAnsi" w:cstheme="minorHAnsi"/>
          <w:sz w:val="22"/>
          <w:szCs w:val="22"/>
          <w:lang w:val="fr-CA"/>
        </w:rPr>
      </w:pPr>
      <w:r w:rsidRPr="00085A29">
        <w:rPr>
          <w:rFonts w:asciiTheme="minorHAnsi" w:hAnsiTheme="minorHAnsi" w:cstheme="minorHAnsi"/>
          <w:sz w:val="22"/>
          <w:szCs w:val="22"/>
          <w:lang w:val="fr-CA"/>
        </w:rPr>
        <w:t>2 équivalents AS,</w:t>
      </w:r>
    </w:p>
    <w:p w14:paraId="05D93050" w14:textId="7AAE300F" w:rsidR="00A917E6" w:rsidRPr="00085A29" w:rsidRDefault="00882AEA" w:rsidP="00215572">
      <w:pPr>
        <w:pStyle w:val="NoSpacing"/>
        <w:numPr>
          <w:ilvl w:val="0"/>
          <w:numId w:val="4"/>
        </w:numPr>
        <w:rPr>
          <w:rFonts w:asciiTheme="minorHAnsi" w:hAnsiTheme="minorHAnsi" w:cstheme="minorHAnsi"/>
          <w:sz w:val="22"/>
          <w:szCs w:val="22"/>
          <w:lang w:val="fr-CA"/>
        </w:rPr>
      </w:pPr>
      <w:r w:rsidRPr="00085A29">
        <w:rPr>
          <w:rFonts w:asciiTheme="minorHAnsi" w:hAnsiTheme="minorHAnsi" w:cstheme="minorHAnsi"/>
          <w:sz w:val="22"/>
          <w:szCs w:val="22"/>
          <w:lang w:val="fr-CA"/>
        </w:rPr>
        <w:t>1</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équivalent EN,</w:t>
      </w:r>
    </w:p>
    <w:p w14:paraId="6DECFE18" w14:textId="6C0A3058" w:rsidR="00882AEA" w:rsidRPr="00085A29" w:rsidRDefault="00882AEA" w:rsidP="00215572">
      <w:pPr>
        <w:pStyle w:val="NoSpacing"/>
        <w:numPr>
          <w:ilvl w:val="0"/>
          <w:numId w:val="4"/>
        </w:num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2</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équivalents EX.</w:t>
      </w:r>
    </w:p>
    <w:p w14:paraId="6578D8B3" w14:textId="77777777" w:rsidR="008A6D0A" w:rsidRPr="00085A29" w:rsidRDefault="008A6D0A" w:rsidP="00215572">
      <w:pPr>
        <w:pStyle w:val="Heading2"/>
        <w:spacing w:after="120"/>
        <w:rPr>
          <w:lang w:val="fr-CA"/>
        </w:rPr>
      </w:pPr>
      <w:r w:rsidRPr="00085A29">
        <w:rPr>
          <w:lang w:val="fr-CA"/>
        </w:rPr>
        <w:lastRenderedPageBreak/>
        <w:t>Personnes ayant un droit de priorité</w:t>
      </w:r>
    </w:p>
    <w:p w14:paraId="061A2DC9" w14:textId="6BD47824" w:rsidR="0062414E" w:rsidRPr="00085A29" w:rsidRDefault="00FD70D0" w:rsidP="00215572">
      <w:pPr>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 xml:space="preserve">En date du 21 août 2020, la REC </w:t>
      </w:r>
      <w:r w:rsidR="009C3F42" w:rsidRPr="00085A29">
        <w:rPr>
          <w:rFonts w:asciiTheme="minorHAnsi" w:hAnsiTheme="minorHAnsi" w:cstheme="minorHAnsi"/>
          <w:sz w:val="22"/>
          <w:szCs w:val="22"/>
          <w:lang w:val="fr-CA"/>
        </w:rPr>
        <w:t>comptait</w:t>
      </w:r>
      <w:r w:rsidRPr="00085A29">
        <w:rPr>
          <w:rFonts w:asciiTheme="minorHAnsi" w:hAnsiTheme="minorHAnsi" w:cstheme="minorHAnsi"/>
          <w:sz w:val="22"/>
          <w:szCs w:val="22"/>
          <w:lang w:val="fr-CA"/>
        </w:rPr>
        <w:t xml:space="preserve"> 5 </w:t>
      </w:r>
      <w:r w:rsidR="00985881" w:rsidRPr="00085A29">
        <w:rPr>
          <w:rFonts w:asciiTheme="minorHAnsi" w:hAnsiTheme="minorHAnsi" w:cstheme="minorHAnsi"/>
          <w:sz w:val="22"/>
          <w:szCs w:val="22"/>
          <w:lang w:val="fr-CA"/>
        </w:rPr>
        <w:t>BP</w:t>
      </w:r>
      <w:r w:rsidR="008A6D0A" w:rsidRPr="00085A29">
        <w:rPr>
          <w:rFonts w:asciiTheme="minorHAnsi" w:hAnsiTheme="minorHAnsi" w:cstheme="minorHAnsi"/>
          <w:sz w:val="22"/>
          <w:szCs w:val="22"/>
          <w:lang w:val="fr-CA"/>
        </w:rPr>
        <w:t>DP</w:t>
      </w:r>
      <w:r w:rsidR="00985881" w:rsidRPr="00085A29">
        <w:rPr>
          <w:rFonts w:asciiTheme="minorHAnsi" w:hAnsiTheme="minorHAnsi" w:cstheme="minorHAnsi"/>
          <w:sz w:val="22"/>
          <w:szCs w:val="22"/>
          <w:lang w:val="fr-CA"/>
        </w:rPr>
        <w:t>s</w:t>
      </w:r>
      <w:r w:rsidRPr="00085A29">
        <w:rPr>
          <w:rFonts w:asciiTheme="minorHAnsi" w:hAnsiTheme="minorHAnsi" w:cstheme="minorHAnsi"/>
          <w:sz w:val="22"/>
          <w:szCs w:val="22"/>
          <w:lang w:val="fr-CA"/>
        </w:rPr>
        <w:t xml:space="preserve"> actifs dans le Système de gestion de l’information sur les priorités :</w:t>
      </w:r>
    </w:p>
    <w:p w14:paraId="355B28F3" w14:textId="5A259BCB" w:rsidR="0062414E" w:rsidRPr="00085A29" w:rsidRDefault="00321F63" w:rsidP="00215572">
      <w:pPr>
        <w:numPr>
          <w:ilvl w:val="0"/>
          <w:numId w:val="9"/>
        </w:numPr>
        <w:contextualSpacing/>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 xml:space="preserve">4 </w:t>
      </w:r>
      <w:r w:rsidR="00985881" w:rsidRPr="00085A29">
        <w:rPr>
          <w:rFonts w:asciiTheme="minorHAnsi" w:hAnsiTheme="minorHAnsi" w:cstheme="minorHAnsi"/>
          <w:sz w:val="22"/>
          <w:szCs w:val="22"/>
          <w:lang w:val="fr-CA"/>
        </w:rPr>
        <w:t xml:space="preserve">fonctionnaires qui reviennent d’un congé </w:t>
      </w:r>
      <w:r w:rsidRPr="00085A29">
        <w:rPr>
          <w:rFonts w:asciiTheme="minorHAnsi" w:hAnsiTheme="minorHAnsi" w:cstheme="minorHAnsi"/>
          <w:sz w:val="22"/>
          <w:szCs w:val="22"/>
          <w:lang w:val="fr-CA"/>
        </w:rPr>
        <w:t>;</w:t>
      </w:r>
      <w:r w:rsidR="00985881" w:rsidRPr="00085A29">
        <w:rPr>
          <w:rFonts w:asciiTheme="minorHAnsi" w:hAnsiTheme="minorHAnsi" w:cstheme="minorHAnsi"/>
          <w:sz w:val="22"/>
          <w:szCs w:val="22"/>
          <w:lang w:val="fr-CA"/>
        </w:rPr>
        <w:t xml:space="preserve"> et</w:t>
      </w:r>
    </w:p>
    <w:p w14:paraId="0E03488D" w14:textId="4F17A7C2" w:rsidR="00EC192F" w:rsidRPr="00085A29" w:rsidRDefault="00321F63" w:rsidP="00215572">
      <w:pPr>
        <w:numPr>
          <w:ilvl w:val="0"/>
          <w:numId w:val="9"/>
        </w:numPr>
        <w:spacing w:after="120"/>
        <w:contextualSpacing/>
        <w:rPr>
          <w:rFonts w:asciiTheme="minorHAnsi" w:eastAsia="Calibri" w:hAnsiTheme="minorHAnsi" w:cstheme="minorHAnsi"/>
          <w:sz w:val="22"/>
          <w:szCs w:val="22"/>
          <w:lang w:val="fr-CA"/>
        </w:rPr>
      </w:pPr>
      <w:r w:rsidRPr="00085A29">
        <w:rPr>
          <w:rFonts w:asciiTheme="minorHAnsi" w:hAnsiTheme="minorHAnsi" w:cstheme="minorHAnsi"/>
          <w:sz w:val="22"/>
          <w:szCs w:val="22"/>
          <w:lang w:val="fr-CA"/>
        </w:rPr>
        <w:t xml:space="preserve">1 </w:t>
      </w:r>
      <w:r w:rsidR="00985881" w:rsidRPr="00085A29">
        <w:rPr>
          <w:rFonts w:asciiTheme="minorHAnsi" w:hAnsiTheme="minorHAnsi" w:cstheme="minorHAnsi"/>
          <w:sz w:val="22"/>
          <w:szCs w:val="22"/>
          <w:lang w:val="fr-CA"/>
        </w:rPr>
        <w:t>à la réinstallation de l’époux ou du conjoint de fait</w:t>
      </w:r>
      <w:r w:rsidRPr="00085A29">
        <w:rPr>
          <w:rFonts w:asciiTheme="minorHAnsi" w:hAnsiTheme="minorHAnsi" w:cstheme="minorHAnsi"/>
          <w:sz w:val="22"/>
          <w:szCs w:val="22"/>
          <w:lang w:val="fr-CA"/>
        </w:rPr>
        <w:t>.</w:t>
      </w:r>
    </w:p>
    <w:p w14:paraId="52ED664E" w14:textId="3634F2AF" w:rsidR="00753DD5" w:rsidRPr="00085A29" w:rsidRDefault="00753DD5" w:rsidP="00215572">
      <w:pPr>
        <w:pStyle w:val="Heading1"/>
        <w:spacing w:after="120"/>
        <w:rPr>
          <w:rFonts w:cstheme="majorHAnsi"/>
          <w:lang w:val="fr-CA"/>
        </w:rPr>
      </w:pPr>
      <w:r w:rsidRPr="00085A29">
        <w:rPr>
          <w:rFonts w:cstheme="majorHAnsi"/>
          <w:lang w:val="fr-CA"/>
        </w:rPr>
        <w:t>Impartialité d</w:t>
      </w:r>
      <w:r w:rsidR="008A6D0A" w:rsidRPr="00085A29">
        <w:rPr>
          <w:rFonts w:cstheme="majorHAnsi"/>
          <w:lang w:val="fr-CA"/>
        </w:rPr>
        <w:t>e</w:t>
      </w:r>
      <w:r w:rsidRPr="00085A29">
        <w:rPr>
          <w:rFonts w:cstheme="majorHAnsi"/>
          <w:lang w:val="fr-CA"/>
        </w:rPr>
        <w:t xml:space="preserve"> la fonction publique</w:t>
      </w:r>
    </w:p>
    <w:p w14:paraId="787AA62F" w14:textId="3E7FB2B3" w:rsidR="003204CB" w:rsidRPr="00085A29" w:rsidRDefault="003F14E8" w:rsidP="00215572">
      <w:pPr>
        <w:pStyle w:val="NoSpacing"/>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Les renseignements suivants au sujet des activités politiques et de l’impartialité comprennent la période actuelle, ainsi que la période précédant le 28 août 2019, alors que la </w:t>
      </w:r>
      <w:r w:rsidR="005854F9" w:rsidRPr="00085A29">
        <w:rPr>
          <w:rFonts w:asciiTheme="minorHAnsi" w:hAnsiTheme="minorHAnsi" w:cstheme="minorHAnsi"/>
          <w:color w:val="000000"/>
          <w:sz w:val="22"/>
          <w:szCs w:val="22"/>
          <w:lang w:val="fr-CA"/>
        </w:rPr>
        <w:t>REC</w:t>
      </w:r>
      <w:r w:rsidRPr="00085A29">
        <w:rPr>
          <w:rFonts w:asciiTheme="minorHAnsi" w:hAnsiTheme="minorHAnsi" w:cstheme="minorHAnsi"/>
          <w:color w:val="000000"/>
          <w:sz w:val="22"/>
          <w:szCs w:val="22"/>
          <w:lang w:val="fr-CA"/>
        </w:rPr>
        <w:t xml:space="preserve"> était connue sous le nom d’Office national de l’énergie.</w:t>
      </w:r>
      <w:r w:rsidR="00CC00D1" w:rsidRPr="00085A29">
        <w:rPr>
          <w:rFonts w:asciiTheme="minorHAnsi" w:hAnsiTheme="minorHAnsi" w:cstheme="minorHAnsi"/>
          <w:color w:val="000000"/>
          <w:sz w:val="22"/>
          <w:szCs w:val="22"/>
          <w:lang w:val="fr-CA"/>
        </w:rPr>
        <w:t xml:space="preserve"> </w:t>
      </w:r>
    </w:p>
    <w:p w14:paraId="14464FD7" w14:textId="63C5E0B6" w:rsidR="003204CB" w:rsidRPr="00085A29" w:rsidRDefault="003204CB" w:rsidP="00215572">
      <w:pPr>
        <w:pStyle w:val="NoSpacing"/>
        <w:numPr>
          <w:ilvl w:val="0"/>
          <w:numId w:val="3"/>
        </w:numP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Chaque organisation compte un </w:t>
      </w:r>
      <w:r w:rsidR="00985881" w:rsidRPr="00085A29">
        <w:rPr>
          <w:rFonts w:asciiTheme="minorHAnsi" w:hAnsiTheme="minorHAnsi" w:cstheme="minorHAnsi"/>
          <w:color w:val="000000"/>
          <w:sz w:val="22"/>
          <w:szCs w:val="22"/>
          <w:lang w:val="fr-CA"/>
        </w:rPr>
        <w:t>R</w:t>
      </w:r>
      <w:r w:rsidRPr="00085A29">
        <w:rPr>
          <w:rFonts w:asciiTheme="minorHAnsi" w:hAnsiTheme="minorHAnsi" w:cstheme="minorHAnsi"/>
          <w:color w:val="000000"/>
          <w:sz w:val="22"/>
          <w:szCs w:val="22"/>
          <w:lang w:val="fr-CA"/>
        </w:rPr>
        <w:t xml:space="preserve">eprésentant désigné en matière d’activités politiques (RDAP) qui est un employé de cette organisation. Le RDAP assure la liaison avec la CFP sur les questions liées aux activités politiques et à l’impartialité et facilite le traitement rapide des demandes de candidature. Le RDAP de la </w:t>
      </w:r>
      <w:r w:rsidR="005854F9" w:rsidRPr="00085A29">
        <w:rPr>
          <w:rFonts w:asciiTheme="minorHAnsi" w:hAnsiTheme="minorHAnsi" w:cstheme="minorHAnsi"/>
          <w:color w:val="000000"/>
          <w:sz w:val="22"/>
          <w:szCs w:val="22"/>
          <w:lang w:val="fr-CA"/>
        </w:rPr>
        <w:t>REC</w:t>
      </w:r>
      <w:r w:rsidR="00A77B7A" w:rsidRPr="00085A29">
        <w:rPr>
          <w:rFonts w:asciiTheme="minorHAnsi" w:hAnsiTheme="minorHAnsi" w:cstheme="minorHAnsi"/>
          <w:color w:val="000000"/>
          <w:sz w:val="22"/>
          <w:szCs w:val="22"/>
          <w:lang w:val="fr-CA"/>
        </w:rPr>
        <w:t xml:space="preserve"> est Alexis Williamson, </w:t>
      </w:r>
      <w:r w:rsidR="00FF61FE" w:rsidRPr="00085A29">
        <w:rPr>
          <w:rFonts w:asciiTheme="minorHAnsi" w:hAnsiTheme="minorHAnsi" w:cstheme="minorHAnsi"/>
          <w:color w:val="000000"/>
          <w:sz w:val="22"/>
          <w:szCs w:val="22"/>
          <w:lang w:val="fr-CA"/>
        </w:rPr>
        <w:t>Vice-présidente, Personnel et rendement</w:t>
      </w:r>
      <w:r w:rsidRPr="00085A29">
        <w:rPr>
          <w:rFonts w:asciiTheme="minorHAnsi" w:hAnsiTheme="minorHAnsi" w:cstheme="minorHAnsi"/>
          <w:color w:val="000000"/>
          <w:sz w:val="22"/>
          <w:szCs w:val="22"/>
          <w:lang w:val="fr-CA"/>
        </w:rPr>
        <w:t>.</w:t>
      </w:r>
    </w:p>
    <w:p w14:paraId="68719AD5" w14:textId="409CDDBC" w:rsidR="003204CB" w:rsidRPr="00085A29" w:rsidRDefault="003204CB" w:rsidP="00215572">
      <w:pPr>
        <w:pStyle w:val="NoSpacing"/>
        <w:numPr>
          <w:ilvl w:val="0"/>
          <w:numId w:val="3"/>
        </w:numP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Les résultats du Sondage sur la dotation et l’impartialité politique de 2018 démontrent que les employés de la REC sont généralement plus sensibilisés et comprennent mieux les activités politiques et l’impartialité que l’ensemble de la fonction publique. Par exemple, 87,9 % des employés de la </w:t>
      </w:r>
      <w:r w:rsidR="005854F9" w:rsidRPr="00085A29">
        <w:rPr>
          <w:rFonts w:asciiTheme="minorHAnsi" w:hAnsiTheme="minorHAnsi" w:cstheme="minorHAnsi"/>
          <w:color w:val="000000"/>
          <w:sz w:val="22"/>
          <w:szCs w:val="22"/>
          <w:lang w:val="fr-CA"/>
        </w:rPr>
        <w:t>REC</w:t>
      </w:r>
      <w:r w:rsidRPr="00085A29">
        <w:rPr>
          <w:rFonts w:asciiTheme="minorHAnsi" w:hAnsiTheme="minorHAnsi" w:cstheme="minorHAnsi"/>
          <w:color w:val="000000"/>
          <w:sz w:val="22"/>
          <w:szCs w:val="22"/>
          <w:lang w:val="fr-CA"/>
        </w:rPr>
        <w:t xml:space="preserve"> ont mentionné avoir une connaissance modérée à élevée de leurs droits et obligations en matière d’activités politiques, tandis que les résultats pour l’ensemble de la fonction publique sont de 80,1 %.</w:t>
      </w:r>
    </w:p>
    <w:p w14:paraId="694DD244" w14:textId="7FB164EA" w:rsidR="003204CB" w:rsidRPr="00085A29" w:rsidRDefault="003204CB" w:rsidP="00E04814">
      <w:pPr>
        <w:pStyle w:val="NoSpacing"/>
        <w:numPr>
          <w:ilvl w:val="0"/>
          <w:numId w:val="3"/>
        </w:numPr>
        <w:spacing w:after="12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 xml:space="preserve">Au cours de la dernière décennie, la CFP a reçu deux demandes de candidature d’employés de la </w:t>
      </w:r>
      <w:r w:rsidR="005854F9" w:rsidRPr="00085A29">
        <w:rPr>
          <w:rFonts w:asciiTheme="minorHAnsi" w:hAnsiTheme="minorHAnsi" w:cstheme="minorHAnsi"/>
          <w:color w:val="000000"/>
          <w:sz w:val="22"/>
          <w:szCs w:val="22"/>
          <w:lang w:val="fr-CA"/>
        </w:rPr>
        <w:t>REC</w:t>
      </w:r>
      <w:r w:rsidRPr="00085A29">
        <w:rPr>
          <w:rFonts w:asciiTheme="minorHAnsi" w:hAnsiTheme="minorHAnsi" w:cstheme="minorHAnsi"/>
          <w:color w:val="000000"/>
          <w:sz w:val="22"/>
          <w:szCs w:val="22"/>
          <w:lang w:val="fr-CA"/>
        </w:rPr>
        <w:t>, une demande municipale en 2011 et une</w:t>
      </w:r>
      <w:r w:rsidR="0061555E" w:rsidRPr="00085A29">
        <w:rPr>
          <w:rFonts w:asciiTheme="minorHAnsi" w:hAnsiTheme="minorHAnsi" w:cstheme="minorHAnsi"/>
          <w:color w:val="000000"/>
          <w:sz w:val="22"/>
          <w:szCs w:val="22"/>
          <w:lang w:val="fr-CA"/>
        </w:rPr>
        <w:t xml:space="preserve"> </w:t>
      </w:r>
      <w:r w:rsidRPr="00085A29">
        <w:rPr>
          <w:rFonts w:asciiTheme="minorHAnsi" w:hAnsiTheme="minorHAnsi" w:cstheme="minorHAnsi"/>
          <w:color w:val="000000"/>
          <w:sz w:val="22"/>
          <w:szCs w:val="22"/>
          <w:lang w:val="fr-CA"/>
        </w:rPr>
        <w:t xml:space="preserve">demande fédérale en 2014. Ce faible nombre d’employés qui se présentent à des élections correspond à celui d’autres organisations de taille semblable. </w:t>
      </w:r>
    </w:p>
    <w:p w14:paraId="79A2648C" w14:textId="066AF1A4" w:rsidR="00704C8C" w:rsidRPr="00085A29" w:rsidRDefault="00753DD5" w:rsidP="00215572">
      <w:pPr>
        <w:pStyle w:val="Heading1"/>
        <w:spacing w:after="120"/>
        <w:rPr>
          <w:rFonts w:cstheme="majorHAnsi"/>
          <w:lang w:val="fr-CA"/>
        </w:rPr>
      </w:pPr>
      <w:r w:rsidRPr="00085A29">
        <w:rPr>
          <w:rFonts w:cstheme="majorHAnsi"/>
          <w:lang w:val="fr-CA"/>
        </w:rPr>
        <w:t>Programmes de recrutement</w:t>
      </w:r>
    </w:p>
    <w:p w14:paraId="65F8361C" w14:textId="3B280C3B" w:rsidR="00221199" w:rsidRPr="00085A29" w:rsidRDefault="00221199" w:rsidP="00215572">
      <w:pPr>
        <w:pStyle w:val="Heading2"/>
        <w:spacing w:after="120"/>
        <w:rPr>
          <w:lang w:val="fr-CA"/>
        </w:rPr>
      </w:pPr>
      <w:r w:rsidRPr="00085A29">
        <w:rPr>
          <w:lang w:val="fr-CA"/>
        </w:rPr>
        <w:t xml:space="preserve">Programme </w:t>
      </w:r>
      <w:r w:rsidR="00A77B7A" w:rsidRPr="00085A29">
        <w:rPr>
          <w:lang w:val="fr-CA"/>
        </w:rPr>
        <w:t>fédéral de stages</w:t>
      </w:r>
      <w:r w:rsidRPr="00085A29">
        <w:rPr>
          <w:lang w:val="fr-CA"/>
        </w:rPr>
        <w:t xml:space="preserve"> pour les Canadiens </w:t>
      </w:r>
      <w:r w:rsidR="00A77B7A" w:rsidRPr="00085A29">
        <w:rPr>
          <w:lang w:val="fr-CA"/>
        </w:rPr>
        <w:t>en situation de handicap (PFSCSH</w:t>
      </w:r>
      <w:r w:rsidRPr="00085A29">
        <w:rPr>
          <w:lang w:val="fr-CA"/>
        </w:rPr>
        <w:t>)</w:t>
      </w:r>
    </w:p>
    <w:p w14:paraId="7CB81DF5" w14:textId="20D41061" w:rsidR="00C43532" w:rsidRPr="00085A29" w:rsidRDefault="00221199" w:rsidP="00215572">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Bien que la </w:t>
      </w:r>
      <w:r w:rsidR="005854F9" w:rsidRPr="00085A29">
        <w:rPr>
          <w:rFonts w:asciiTheme="minorHAnsi" w:hAnsiTheme="minorHAnsi" w:cstheme="minorHAnsi"/>
          <w:sz w:val="22"/>
          <w:szCs w:val="22"/>
          <w:lang w:val="fr-CA"/>
        </w:rPr>
        <w:t>REC</w:t>
      </w:r>
      <w:r w:rsidRPr="00085A29">
        <w:rPr>
          <w:rFonts w:asciiTheme="minorHAnsi" w:hAnsiTheme="minorHAnsi" w:cstheme="minorHAnsi"/>
          <w:sz w:val="22"/>
          <w:szCs w:val="22"/>
          <w:lang w:val="fr-CA"/>
        </w:rPr>
        <w:t xml:space="preserve"> ne par</w:t>
      </w:r>
      <w:r w:rsidR="00A77B7A" w:rsidRPr="00085A29">
        <w:rPr>
          <w:rFonts w:asciiTheme="minorHAnsi" w:hAnsiTheme="minorHAnsi" w:cstheme="minorHAnsi"/>
          <w:sz w:val="22"/>
          <w:szCs w:val="22"/>
          <w:lang w:val="fr-CA"/>
        </w:rPr>
        <w:t>ticipe pas actuellement au PFSCSH</w:t>
      </w:r>
      <w:r w:rsidRPr="00085A29">
        <w:rPr>
          <w:rFonts w:asciiTheme="minorHAnsi" w:hAnsiTheme="minorHAnsi" w:cstheme="minorHAnsi"/>
          <w:sz w:val="22"/>
          <w:szCs w:val="22"/>
          <w:lang w:val="fr-CA"/>
        </w:rPr>
        <w:t xml:space="preserve">, ce programme est une excellente initiative pour contribuer à la Stratégie d’accessibilité du gouvernement du Canada en ayant un stagiaire et en l’aidant à perfectionner ses compétences afin d’accroître son employabilité. Le programme offre également un remboursement salarial de 50 % aux ministères recruteurs pour la durée du stage. De plus, la CFP fournit des conseils sur les possibilités de formation offertes par les écoles et les associations. </w:t>
      </w:r>
    </w:p>
    <w:p w14:paraId="5600C370" w14:textId="3E6231BF" w:rsidR="000F523E" w:rsidRPr="00085A29" w:rsidRDefault="000F523E" w:rsidP="00215572">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La pandémie de Covid-19 a retardé le lancement de la deuxième année du PSFCH et le recrutement de la prochaine cohorte de stagiaires. Le plan révisé de la CFP consiste à embaucher des stagiaires d’ici décembre 2020. Le processus d’évaluation initiale des candidats potentiels est en cours, tout comme l’engagement auprès des gestionnaires d’embauche intéressés. La phase de jumelage du processus est </w:t>
      </w:r>
      <w:r w:rsidRPr="00085A29">
        <w:rPr>
          <w:rFonts w:asciiTheme="minorHAnsi" w:hAnsiTheme="minorHAnsi" w:cstheme="minorHAnsi"/>
          <w:sz w:val="22"/>
          <w:szCs w:val="22"/>
          <w:lang w:val="fr-CA"/>
        </w:rPr>
        <w:lastRenderedPageBreak/>
        <w:t>prévue pour septembre et octobre 2020. Si la REC souhaite participer, le personnel du PSFCH se fera un plaisir de fournir plus d’information et d’aider l’organisation à démarrer.</w:t>
      </w:r>
    </w:p>
    <w:p w14:paraId="5EE1DF52" w14:textId="42447F60" w:rsidR="000B0C9B" w:rsidRPr="00085A29" w:rsidRDefault="00221199" w:rsidP="00215572">
      <w:pPr>
        <w:pStyle w:val="Heading2"/>
        <w:spacing w:after="120"/>
        <w:rPr>
          <w:lang w:val="fr-CA"/>
        </w:rPr>
      </w:pPr>
      <w:r w:rsidRPr="00085A29">
        <w:rPr>
          <w:lang w:val="fr-CA"/>
        </w:rPr>
        <w:t>Occasion d’emploi pour étudiants en situation de handicap (O</w:t>
      </w:r>
      <w:r w:rsidR="00A77B7A" w:rsidRPr="00085A29">
        <w:rPr>
          <w:lang w:val="fr-CA"/>
        </w:rPr>
        <w:t>EESH)/Occasion d’emploi pour</w:t>
      </w:r>
      <w:r w:rsidRPr="00085A29">
        <w:rPr>
          <w:lang w:val="fr-CA"/>
        </w:rPr>
        <w:t xml:space="preserve"> étudiants autochtones (OEEA)</w:t>
      </w:r>
    </w:p>
    <w:p w14:paraId="4E43C752" w14:textId="79D78537" w:rsidR="00221199" w:rsidRPr="00085A29" w:rsidRDefault="00221199" w:rsidP="00215572">
      <w:pPr>
        <w:pStyle w:val="NoSpacing"/>
        <w:rPr>
          <w:rFonts w:asciiTheme="minorHAnsi" w:hAnsiTheme="minorHAnsi" w:cstheme="minorHAnsi"/>
          <w:b/>
          <w:sz w:val="22"/>
          <w:szCs w:val="22"/>
          <w:lang w:val="fr-CA"/>
        </w:rPr>
      </w:pPr>
      <w:r w:rsidRPr="00085A29">
        <w:rPr>
          <w:rFonts w:asciiTheme="minorHAnsi" w:hAnsiTheme="minorHAnsi" w:cstheme="minorHAnsi"/>
          <w:sz w:val="22"/>
          <w:szCs w:val="22"/>
          <w:lang w:val="fr-CA"/>
        </w:rPr>
        <w:t>Bien que la REC n’ait pas embauché d’étudiants dans le cadre de ces initiatives, l’OEESH et l’OEEA sont d’excellentes options de recrutement pour accroître la diversité en milieu de travail en embauchant des étudiants handicapés ou autochtones. Les gestionnaires et les étudiants reçoivent des ressou</w:t>
      </w:r>
      <w:r w:rsidR="00617E5E" w:rsidRPr="00085A29">
        <w:rPr>
          <w:rFonts w:asciiTheme="minorHAnsi" w:hAnsiTheme="minorHAnsi" w:cstheme="minorHAnsi"/>
          <w:sz w:val="22"/>
          <w:szCs w:val="22"/>
          <w:lang w:val="fr-CA"/>
        </w:rPr>
        <w:t>rce</w:t>
      </w:r>
      <w:r w:rsidRPr="00085A29">
        <w:rPr>
          <w:rFonts w:asciiTheme="minorHAnsi" w:hAnsiTheme="minorHAnsi" w:cstheme="minorHAnsi"/>
          <w:sz w:val="22"/>
          <w:szCs w:val="22"/>
          <w:lang w:val="fr-CA"/>
        </w:rPr>
        <w:t>s, comme des outils d’intégration, de la formation et des activités de réseautage. Les candidats issus de ces deux initiatives sont disponibles toute l’année dans le répertoire permanent du PFETE.</w:t>
      </w:r>
    </w:p>
    <w:p w14:paraId="19428509" w14:textId="2B94B7A6" w:rsidR="00221199" w:rsidRPr="00085A29" w:rsidRDefault="00221199" w:rsidP="00215572">
      <w:pPr>
        <w:pStyle w:val="NoSpacing"/>
        <w:numPr>
          <w:ilvl w:val="0"/>
          <w:numId w:val="5"/>
        </w:numPr>
        <w:rPr>
          <w:rFonts w:asciiTheme="minorHAnsi" w:hAnsiTheme="minorHAnsi" w:cstheme="minorHAnsi"/>
          <w:sz w:val="22"/>
          <w:szCs w:val="22"/>
          <w:lang w:val="fr-CA"/>
        </w:rPr>
      </w:pPr>
      <w:r w:rsidRPr="00085A29">
        <w:rPr>
          <w:rFonts w:asciiTheme="minorHAnsi" w:hAnsiTheme="minorHAnsi" w:cstheme="minorHAnsi"/>
          <w:sz w:val="22"/>
          <w:szCs w:val="22"/>
          <w:lang w:val="fr-CA"/>
        </w:rPr>
        <w:t>Nombre d’étudiants disponibles dans l’OEESH </w:t>
      </w:r>
      <w:r w:rsidRPr="00085A29">
        <w:rPr>
          <w:rFonts w:asciiTheme="minorHAnsi" w:hAnsiTheme="minorHAnsi" w:cstheme="minorHAnsi"/>
          <w:sz w:val="22"/>
          <w:szCs w:val="22"/>
          <w:vertAlign w:val="superscript"/>
          <w:lang w:val="fr-CA"/>
        </w:rPr>
        <w:footnoteReference w:id="1"/>
      </w:r>
      <w:r w:rsidRPr="00085A29">
        <w:rPr>
          <w:rFonts w:asciiTheme="minorHAnsi" w:hAnsiTheme="minorHAnsi" w:cstheme="minorHAnsi"/>
          <w:sz w:val="22"/>
          <w:szCs w:val="22"/>
          <w:lang w:val="fr-CA"/>
        </w:rPr>
        <w:t>: 3</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580</w:t>
      </w:r>
    </w:p>
    <w:p w14:paraId="27F6617E" w14:textId="03562D35" w:rsidR="00221199" w:rsidRPr="00085A29" w:rsidRDefault="00221199" w:rsidP="00E04814">
      <w:pPr>
        <w:pStyle w:val="NoSpacing"/>
        <w:numPr>
          <w:ilvl w:val="0"/>
          <w:numId w:val="5"/>
        </w:num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Nombre d’étudiants disponibles dans l’OEEA </w:t>
      </w:r>
      <w:r w:rsidRPr="00085A29">
        <w:rPr>
          <w:rFonts w:asciiTheme="minorHAnsi" w:hAnsiTheme="minorHAnsi" w:cstheme="minorHAnsi"/>
          <w:sz w:val="22"/>
          <w:szCs w:val="22"/>
          <w:vertAlign w:val="superscript"/>
          <w:lang w:val="fr-CA"/>
        </w:rPr>
        <w:footnoteReference w:id="2"/>
      </w:r>
      <w:r w:rsidRPr="00085A29">
        <w:rPr>
          <w:rFonts w:asciiTheme="minorHAnsi" w:hAnsiTheme="minorHAnsi" w:cstheme="minorHAnsi"/>
          <w:sz w:val="22"/>
          <w:szCs w:val="22"/>
          <w:lang w:val="fr-CA"/>
        </w:rPr>
        <w:t>: 2</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215</w:t>
      </w:r>
    </w:p>
    <w:p w14:paraId="3206F398" w14:textId="7FF5AC00" w:rsidR="00221199" w:rsidRPr="00085A29" w:rsidRDefault="00221199" w:rsidP="00215572">
      <w:pPr>
        <w:pStyle w:val="Heading2"/>
        <w:spacing w:after="120"/>
        <w:rPr>
          <w:lang w:val="fr-CA"/>
        </w:rPr>
      </w:pPr>
      <w:r w:rsidRPr="00085A29">
        <w:rPr>
          <w:lang w:val="fr-CA"/>
        </w:rPr>
        <w:t>Programme fédéral d</w:t>
      </w:r>
      <w:r w:rsidR="00866F51" w:rsidRPr="00085A29">
        <w:rPr>
          <w:lang w:val="fr-CA"/>
        </w:rPr>
        <w:t>’</w:t>
      </w:r>
      <w:r w:rsidRPr="00085A29">
        <w:rPr>
          <w:lang w:val="fr-CA"/>
        </w:rPr>
        <w:t xml:space="preserve">expérience de travail étudiant (PFETE) </w:t>
      </w:r>
    </w:p>
    <w:p w14:paraId="2AE2B06D" w14:textId="5D6DEC87" w:rsidR="0083500E" w:rsidRPr="00085A29" w:rsidRDefault="00F61891" w:rsidP="00215572">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En 2020, la REC a soumis 13</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demandes de recommandation du PFETE. Ce programme demeure une excellente façon pour une organisation de renouveler son effectif et d’apporter une énergie, des idées et des approches nouvelles à son milieu de travail. Au total, 71 962</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étudiants sont disponibles dans le cadre de ce programme</w:t>
      </w:r>
      <w:r w:rsidR="00221199" w:rsidRPr="00085A29">
        <w:rPr>
          <w:rFonts w:asciiTheme="minorHAnsi" w:hAnsiTheme="minorHAnsi" w:cstheme="minorHAnsi"/>
          <w:sz w:val="22"/>
          <w:szCs w:val="22"/>
          <w:vertAlign w:val="superscript"/>
          <w:lang w:val="fr-CA"/>
        </w:rPr>
        <w:footnoteReference w:id="3"/>
      </w:r>
      <w:r w:rsidRPr="00085A29">
        <w:rPr>
          <w:rFonts w:asciiTheme="minorHAnsi" w:hAnsiTheme="minorHAnsi" w:cstheme="minorHAnsi"/>
          <w:sz w:val="22"/>
          <w:szCs w:val="22"/>
          <w:lang w:val="fr-CA"/>
        </w:rPr>
        <w:t xml:space="preserve">. </w:t>
      </w:r>
    </w:p>
    <w:p w14:paraId="4B5578A8" w14:textId="77777777" w:rsidR="0083500E" w:rsidRPr="00085A29" w:rsidRDefault="00221199" w:rsidP="00215572">
      <w:pPr>
        <w:pStyle w:val="Heading2"/>
        <w:spacing w:after="120"/>
        <w:rPr>
          <w:lang w:val="fr-CA"/>
        </w:rPr>
      </w:pPr>
      <w:r w:rsidRPr="00085A29">
        <w:rPr>
          <w:lang w:val="fr-CA"/>
        </w:rPr>
        <w:t>Recrutement postsecondaire (RPS)</w:t>
      </w:r>
    </w:p>
    <w:p w14:paraId="33B51C72" w14:textId="06E7D263" w:rsidR="00102C6D" w:rsidRPr="00102C6D" w:rsidRDefault="00221199" w:rsidP="001E6DB5">
      <w:pPr>
        <w:pStyle w:val="NoSpacing"/>
        <w:rPr>
          <w:rFonts w:asciiTheme="minorHAnsi" w:hAnsiTheme="minorHAnsi" w:cstheme="minorHAnsi"/>
          <w:sz w:val="22"/>
          <w:szCs w:val="18"/>
          <w:lang w:val="fr-CA"/>
        </w:rPr>
      </w:pPr>
      <w:r w:rsidRPr="00085A29">
        <w:rPr>
          <w:rFonts w:asciiTheme="minorHAnsi" w:hAnsiTheme="minorHAnsi" w:cstheme="minorHAnsi"/>
          <w:sz w:val="22"/>
          <w:szCs w:val="22"/>
          <w:lang w:val="fr-CA"/>
        </w:rPr>
        <w:t>La REC a soumis 15</w:t>
      </w:r>
      <w:r w:rsidR="00866F51" w:rsidRPr="00085A29">
        <w:rPr>
          <w:rFonts w:asciiTheme="minorHAnsi" w:hAnsiTheme="minorHAnsi" w:cstheme="minorHAnsi"/>
          <w:sz w:val="22"/>
          <w:szCs w:val="22"/>
          <w:lang w:val="fr-CA"/>
        </w:rPr>
        <w:t> </w:t>
      </w:r>
      <w:r w:rsidRPr="00085A29">
        <w:rPr>
          <w:rFonts w:asciiTheme="minorHAnsi" w:hAnsiTheme="minorHAnsi" w:cstheme="minorHAnsi"/>
          <w:sz w:val="22"/>
          <w:szCs w:val="22"/>
          <w:lang w:val="fr-CA"/>
        </w:rPr>
        <w:t xml:space="preserve">demandes de recommandation des inventaires du RPS. Il s’agissait de doter des postes liés aux classifications AS, CS, EC, EN, IS et PM. </w:t>
      </w:r>
      <w:bookmarkStart w:id="0" w:name="_Hlk70599786"/>
    </w:p>
    <w:bookmarkEnd w:id="0"/>
    <w:p w14:paraId="3E81B077" w14:textId="458A816A" w:rsidR="00AB0DFD" w:rsidRPr="00085A29" w:rsidRDefault="00AB0DFD" w:rsidP="00664A9D">
      <w:pPr>
        <w:pStyle w:val="Heading2"/>
        <w:spacing w:after="120"/>
        <w:rPr>
          <w:lang w:val="fr-CA"/>
        </w:rPr>
      </w:pPr>
      <w:r w:rsidRPr="00085A29">
        <w:rPr>
          <w:lang w:val="fr-CA"/>
        </w:rPr>
        <w:t>Participation à des initiatives liées à l’embauche d</w:t>
      </w:r>
      <w:r w:rsidR="008A6D0A" w:rsidRPr="00085A29">
        <w:rPr>
          <w:lang w:val="fr-CA"/>
        </w:rPr>
        <w:t>es a</w:t>
      </w:r>
      <w:r w:rsidRPr="00085A29">
        <w:rPr>
          <w:lang w:val="fr-CA"/>
        </w:rPr>
        <w:t>utochtones</w:t>
      </w:r>
    </w:p>
    <w:p w14:paraId="105B9ED9" w14:textId="7F93D9C4" w:rsidR="00AB0DFD" w:rsidRPr="00085A29" w:rsidRDefault="00AB0DFD" w:rsidP="00664A9D">
      <w:pPr>
        <w:pStyle w:val="NoSpacing"/>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Bien que la REC n’ait participé à aucune initiative avec la CFP, le Centre d’expertise autochtone de la CFP et le Bureau du dirigeant principal des </w:t>
      </w:r>
      <w:r w:rsidR="00E01FD9" w:rsidRPr="00085A29">
        <w:rPr>
          <w:rFonts w:asciiTheme="minorHAnsi" w:hAnsiTheme="minorHAnsi" w:cstheme="minorHAnsi"/>
          <w:sz w:val="22"/>
          <w:szCs w:val="22"/>
          <w:lang w:val="fr-CA"/>
        </w:rPr>
        <w:t>ressources</w:t>
      </w:r>
      <w:r w:rsidRPr="00085A29">
        <w:rPr>
          <w:rFonts w:asciiTheme="minorHAnsi" w:hAnsiTheme="minorHAnsi" w:cstheme="minorHAnsi"/>
          <w:sz w:val="22"/>
          <w:szCs w:val="22"/>
          <w:lang w:val="fr-CA"/>
        </w:rPr>
        <w:t xml:space="preserve"> humaines du Secrétariat du Conseil du Trésor ont élaboré un Parcours de carrière pour Autochtones qui pourrait intéresser la REC. Le Parcours de carrière pour Autochtones fournit de l’information sur le recrutement, l’avancement professionnel, ainsi que le perfectionnement et le maintien en poste des Autochtones :</w:t>
      </w:r>
    </w:p>
    <w:p w14:paraId="25E9A79A" w14:textId="1D2B1B72" w:rsidR="00AB0DFD" w:rsidRPr="00085A29" w:rsidRDefault="00AB0DFD" w:rsidP="00664A9D">
      <w:pPr>
        <w:pStyle w:val="NoSpacing"/>
        <w:numPr>
          <w:ilvl w:val="0"/>
          <w:numId w:val="7"/>
        </w:numPr>
        <w:rPr>
          <w:rFonts w:asciiTheme="minorHAnsi" w:hAnsiTheme="minorHAnsi" w:cstheme="minorHAnsi"/>
          <w:sz w:val="22"/>
          <w:szCs w:val="22"/>
          <w:lang w:val="fr-CA"/>
        </w:rPr>
      </w:pPr>
      <w:r w:rsidRPr="00085A29">
        <w:rPr>
          <w:rFonts w:asciiTheme="minorHAnsi" w:hAnsiTheme="minorHAnsi" w:cstheme="minorHAnsi"/>
          <w:sz w:val="22"/>
          <w:szCs w:val="22"/>
          <w:lang w:val="fr-CA"/>
        </w:rPr>
        <w:t>L</w:t>
      </w:r>
      <w:r w:rsidR="00FF61FE" w:rsidRPr="00085A29">
        <w:rPr>
          <w:rFonts w:asciiTheme="minorHAnsi" w:hAnsiTheme="minorHAnsi" w:cstheme="minorHAnsi"/>
          <w:sz w:val="22"/>
          <w:szCs w:val="22"/>
          <w:lang w:val="fr-CA"/>
        </w:rPr>
        <w:t xml:space="preserve">’inventaire </w:t>
      </w:r>
      <w:r w:rsidRPr="00085A29">
        <w:rPr>
          <w:rFonts w:asciiTheme="minorHAnsi" w:hAnsiTheme="minorHAnsi" w:cstheme="minorHAnsi"/>
          <w:sz w:val="22"/>
          <w:szCs w:val="22"/>
          <w:lang w:val="fr-CA"/>
        </w:rPr>
        <w:t xml:space="preserve">de postulants autochtones facilite le jumelage entre les gestionnaires d’embauche et les candidats en trouvant des talents autochtones à partir des répertoires existants de la Commission de la fonction publique et en faisant la promotion proactive de leurs profils auprès des organisations fédérales. </w:t>
      </w:r>
    </w:p>
    <w:p w14:paraId="0FCF7E57" w14:textId="7CB74D98" w:rsidR="00AB0DFD" w:rsidRPr="00085A29" w:rsidRDefault="00AB0DFD" w:rsidP="00664A9D">
      <w:pPr>
        <w:pStyle w:val="NoSpacing"/>
        <w:numPr>
          <w:ilvl w:val="0"/>
          <w:numId w:val="7"/>
        </w:num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De plus, la Boîte à outils pour le recrutement autochtone fournira des outils, des </w:t>
      </w:r>
      <w:r w:rsidR="00E01FD9" w:rsidRPr="00085A29">
        <w:rPr>
          <w:rFonts w:asciiTheme="minorHAnsi" w:hAnsiTheme="minorHAnsi" w:cstheme="minorHAnsi"/>
          <w:sz w:val="22"/>
          <w:szCs w:val="22"/>
          <w:lang w:val="fr-CA"/>
        </w:rPr>
        <w:t>ressources</w:t>
      </w:r>
      <w:r w:rsidRPr="00085A29">
        <w:rPr>
          <w:rFonts w:asciiTheme="minorHAnsi" w:hAnsiTheme="minorHAnsi" w:cstheme="minorHAnsi"/>
          <w:sz w:val="22"/>
          <w:szCs w:val="22"/>
          <w:lang w:val="fr-CA"/>
        </w:rPr>
        <w:t xml:space="preserve"> et des conseils sur le recrutement, la sensibilisation et les initiatives qu’offrent la CFP et les autres ministères. La boîte à outils devrait être accessible aux gestionnaires d’embauche et aux conseillers en RH sur GCintranet à la fin de 2020.</w:t>
      </w:r>
    </w:p>
    <w:p w14:paraId="58EF7225" w14:textId="688A078C" w:rsidR="0065606A" w:rsidRPr="00085A29" w:rsidRDefault="00AB0DFD" w:rsidP="00664A9D">
      <w:pPr>
        <w:pStyle w:val="NoSpacing"/>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La REC n’a pas son propre partenariat de recrutement avec la CFP.</w:t>
      </w:r>
    </w:p>
    <w:p w14:paraId="5F7EE449" w14:textId="77777777" w:rsidR="00753DD5" w:rsidRPr="00085A29" w:rsidRDefault="00753DD5" w:rsidP="00664A9D">
      <w:pPr>
        <w:pStyle w:val="Heading1"/>
        <w:spacing w:after="120"/>
        <w:rPr>
          <w:rFonts w:cstheme="majorHAnsi"/>
          <w:lang w:val="fr-CA"/>
        </w:rPr>
      </w:pPr>
      <w:r w:rsidRPr="00085A29">
        <w:rPr>
          <w:rFonts w:cstheme="majorHAnsi"/>
          <w:lang w:val="fr-CA"/>
        </w:rPr>
        <w:lastRenderedPageBreak/>
        <w:t>Soutien à la dotation</w:t>
      </w:r>
    </w:p>
    <w:p w14:paraId="2208A7F4" w14:textId="78C6E86D" w:rsidR="00753DD5" w:rsidRPr="00085A29" w:rsidRDefault="00753DD5" w:rsidP="00664A9D">
      <w:pPr>
        <w:pStyle w:val="Heading2"/>
        <w:spacing w:after="120"/>
        <w:rPr>
          <w:u w:val="single"/>
          <w:lang w:val="fr-CA"/>
        </w:rPr>
      </w:pPr>
      <w:r w:rsidRPr="00085A29">
        <w:rPr>
          <w:lang w:val="fr-CA"/>
        </w:rPr>
        <w:t>Représentants de la Commission de la fonction publique et personnes-</w:t>
      </w:r>
      <w:r w:rsidR="00E01FD9" w:rsidRPr="00085A29">
        <w:rPr>
          <w:lang w:val="fr-CA"/>
        </w:rPr>
        <w:t>ressources</w:t>
      </w:r>
      <w:r w:rsidRPr="00085A29">
        <w:rPr>
          <w:lang w:val="fr-CA"/>
        </w:rPr>
        <w:t xml:space="preserve"> au sein de l’organisation</w:t>
      </w:r>
    </w:p>
    <w:p w14:paraId="0F2B1CC0" w14:textId="77777777" w:rsidR="00664A9D" w:rsidRDefault="00753DD5" w:rsidP="00102C6D">
      <w:pPr>
        <w:pStyle w:val="NoSpacing"/>
        <w:spacing w:before="24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Le </w:t>
      </w:r>
      <w:r w:rsidR="00AE3ED7" w:rsidRPr="00085A29">
        <w:rPr>
          <w:rFonts w:asciiTheme="minorHAnsi" w:hAnsiTheme="minorHAnsi" w:cstheme="minorHAnsi"/>
          <w:sz w:val="22"/>
          <w:szCs w:val="22"/>
          <w:lang w:val="fr-CA"/>
        </w:rPr>
        <w:t>CSD</w:t>
      </w:r>
      <w:r w:rsidRPr="00085A29">
        <w:rPr>
          <w:rFonts w:asciiTheme="minorHAnsi" w:hAnsiTheme="minorHAnsi" w:cstheme="minorHAnsi"/>
          <w:sz w:val="22"/>
          <w:szCs w:val="22"/>
          <w:lang w:val="fr-CA"/>
        </w:rPr>
        <w:t xml:space="preserve"> aux </w:t>
      </w:r>
      <w:r w:rsidR="00E01FD9" w:rsidRPr="00085A29">
        <w:rPr>
          <w:rFonts w:asciiTheme="minorHAnsi" w:hAnsiTheme="minorHAnsi" w:cstheme="minorHAnsi"/>
          <w:sz w:val="22"/>
          <w:szCs w:val="22"/>
          <w:lang w:val="fr-CA"/>
        </w:rPr>
        <w:t>ressources</w:t>
      </w:r>
      <w:r w:rsidRPr="00085A29">
        <w:rPr>
          <w:rFonts w:asciiTheme="minorHAnsi" w:hAnsiTheme="minorHAnsi" w:cstheme="minorHAnsi"/>
          <w:sz w:val="22"/>
          <w:szCs w:val="22"/>
          <w:lang w:val="fr-CA"/>
        </w:rPr>
        <w:t xml:space="preserve"> humaines assigné à la CFP est Steven Davidson et les principales personnes-</w:t>
      </w:r>
      <w:r w:rsidR="00E01FD9" w:rsidRPr="00085A29">
        <w:rPr>
          <w:rFonts w:asciiTheme="minorHAnsi" w:hAnsiTheme="minorHAnsi" w:cstheme="minorHAnsi"/>
          <w:sz w:val="22"/>
          <w:szCs w:val="22"/>
          <w:lang w:val="fr-CA"/>
        </w:rPr>
        <w:t>ressources</w:t>
      </w:r>
      <w:r w:rsidRPr="00085A29">
        <w:rPr>
          <w:rFonts w:asciiTheme="minorHAnsi" w:hAnsiTheme="minorHAnsi" w:cstheme="minorHAnsi"/>
          <w:sz w:val="22"/>
          <w:szCs w:val="22"/>
          <w:lang w:val="fr-CA"/>
        </w:rPr>
        <w:t xml:space="preserve"> de l’organisation sont Stacey Narrowmore, directrice intérimaire, Programmes et services de </w:t>
      </w:r>
      <w:r w:rsidR="00E01FD9" w:rsidRPr="00085A29">
        <w:rPr>
          <w:rFonts w:asciiTheme="minorHAnsi" w:hAnsiTheme="minorHAnsi" w:cstheme="minorHAnsi"/>
          <w:sz w:val="22"/>
          <w:szCs w:val="22"/>
          <w:lang w:val="fr-CA"/>
        </w:rPr>
        <w:t>ressources</w:t>
      </w:r>
      <w:r w:rsidRPr="00085A29">
        <w:rPr>
          <w:rFonts w:asciiTheme="minorHAnsi" w:hAnsiTheme="minorHAnsi" w:cstheme="minorHAnsi"/>
          <w:sz w:val="22"/>
          <w:szCs w:val="22"/>
          <w:lang w:val="fr-CA"/>
        </w:rPr>
        <w:t xml:space="preserve"> humaines (dotation), et Cathy Martinello, chef de groupe intérimaire, Services de </w:t>
      </w:r>
      <w:r w:rsidR="00E01FD9" w:rsidRPr="00085A29">
        <w:rPr>
          <w:rFonts w:asciiTheme="minorHAnsi" w:hAnsiTheme="minorHAnsi" w:cstheme="minorHAnsi"/>
          <w:sz w:val="22"/>
          <w:szCs w:val="22"/>
          <w:lang w:val="fr-CA"/>
        </w:rPr>
        <w:t>ressources</w:t>
      </w:r>
      <w:r w:rsidRPr="00085A29">
        <w:rPr>
          <w:rFonts w:asciiTheme="minorHAnsi" w:hAnsiTheme="minorHAnsi" w:cstheme="minorHAnsi"/>
          <w:sz w:val="22"/>
          <w:szCs w:val="22"/>
          <w:lang w:val="fr-CA"/>
        </w:rPr>
        <w:t xml:space="preserve"> humaines (dotation).</w:t>
      </w:r>
      <w:r w:rsidR="00CC00D1" w:rsidRPr="00085A29">
        <w:rPr>
          <w:rFonts w:asciiTheme="minorHAnsi" w:hAnsiTheme="minorHAnsi" w:cstheme="minorHAnsi"/>
          <w:sz w:val="22"/>
          <w:szCs w:val="22"/>
          <w:lang w:val="fr-CA"/>
        </w:rPr>
        <w:t xml:space="preserve"> </w:t>
      </w:r>
      <w:r w:rsidRPr="00085A29">
        <w:rPr>
          <w:rFonts w:asciiTheme="minorHAnsi" w:hAnsiTheme="minorHAnsi" w:cstheme="minorHAnsi"/>
          <w:sz w:val="22"/>
          <w:szCs w:val="22"/>
          <w:lang w:val="fr-CA"/>
        </w:rPr>
        <w:t xml:space="preserve">Le chef des </w:t>
      </w:r>
      <w:r w:rsidR="00E01FD9" w:rsidRPr="00085A29">
        <w:rPr>
          <w:rFonts w:asciiTheme="minorHAnsi" w:hAnsiTheme="minorHAnsi" w:cstheme="minorHAnsi"/>
          <w:sz w:val="22"/>
          <w:szCs w:val="22"/>
          <w:lang w:val="fr-CA"/>
        </w:rPr>
        <w:t>ressources</w:t>
      </w:r>
      <w:r w:rsidRPr="00085A29">
        <w:rPr>
          <w:rFonts w:asciiTheme="minorHAnsi" w:hAnsiTheme="minorHAnsi" w:cstheme="minorHAnsi"/>
          <w:sz w:val="22"/>
          <w:szCs w:val="22"/>
          <w:lang w:val="fr-CA"/>
        </w:rPr>
        <w:t xml:space="preserve"> humaines de la REC est Alexis Williamson, </w:t>
      </w:r>
      <w:r w:rsidR="00FF61FE" w:rsidRPr="00085A29">
        <w:rPr>
          <w:rFonts w:asciiTheme="minorHAnsi" w:hAnsiTheme="minorHAnsi" w:cstheme="minorHAnsi"/>
          <w:sz w:val="22"/>
          <w:szCs w:val="22"/>
          <w:lang w:val="fr-CA"/>
        </w:rPr>
        <w:t>V</w:t>
      </w:r>
      <w:r w:rsidRPr="00085A29">
        <w:rPr>
          <w:rFonts w:asciiTheme="minorHAnsi" w:hAnsiTheme="minorHAnsi" w:cstheme="minorHAnsi"/>
          <w:sz w:val="22"/>
          <w:szCs w:val="22"/>
          <w:lang w:val="fr-CA"/>
        </w:rPr>
        <w:t>ice-président</w:t>
      </w:r>
      <w:r w:rsidR="00FF61FE" w:rsidRPr="00085A29">
        <w:rPr>
          <w:rFonts w:asciiTheme="minorHAnsi" w:hAnsiTheme="minorHAnsi" w:cstheme="minorHAnsi"/>
          <w:sz w:val="22"/>
          <w:szCs w:val="22"/>
          <w:lang w:val="fr-CA"/>
        </w:rPr>
        <w:t>e</w:t>
      </w:r>
      <w:r w:rsidRPr="00085A29">
        <w:rPr>
          <w:rFonts w:asciiTheme="minorHAnsi" w:hAnsiTheme="minorHAnsi" w:cstheme="minorHAnsi"/>
          <w:sz w:val="22"/>
          <w:szCs w:val="22"/>
          <w:lang w:val="fr-CA"/>
        </w:rPr>
        <w:t xml:space="preserve">, </w:t>
      </w:r>
      <w:r w:rsidR="00FF61FE" w:rsidRPr="00085A29">
        <w:rPr>
          <w:rFonts w:asciiTheme="minorHAnsi" w:hAnsiTheme="minorHAnsi" w:cstheme="minorHAnsi"/>
          <w:sz w:val="22"/>
          <w:szCs w:val="22"/>
          <w:lang w:val="fr-CA"/>
        </w:rPr>
        <w:t>Personnel et rendement.</w:t>
      </w:r>
    </w:p>
    <w:p w14:paraId="380C4D5A" w14:textId="71C9C200" w:rsidR="00753DD5" w:rsidRPr="00085A29" w:rsidRDefault="00102C6D" w:rsidP="00102C6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20"/>
        <w:rPr>
          <w:rFonts w:ascii="Segoe UI" w:hAnsi="Segoe UI" w:cs="Segoe UI"/>
          <w:b/>
          <w:bCs/>
          <w:sz w:val="22"/>
          <w:szCs w:val="22"/>
          <w:lang w:val="fr-CA"/>
        </w:rPr>
      </w:pPr>
      <w:r>
        <w:rPr>
          <w:rFonts w:ascii="Segoe UI" w:hAnsi="Segoe UI"/>
          <w:b/>
          <w:bCs/>
          <w:sz w:val="22"/>
          <w:szCs w:val="22"/>
          <w:lang w:val="fr-CA"/>
        </w:rPr>
        <w:t>P</w:t>
      </w:r>
      <w:r w:rsidR="00753DD5" w:rsidRPr="00085A29">
        <w:rPr>
          <w:rFonts w:ascii="Segoe UI" w:hAnsi="Segoe UI"/>
          <w:b/>
          <w:bCs/>
          <w:sz w:val="22"/>
          <w:szCs w:val="22"/>
          <w:lang w:val="fr-CA"/>
        </w:rPr>
        <w:t>RÉPARÉ PAR</w:t>
      </w:r>
      <w:r w:rsidR="00866F51" w:rsidRPr="00085A29">
        <w:rPr>
          <w:rFonts w:ascii="Segoe UI" w:hAnsi="Segoe UI"/>
          <w:b/>
          <w:bCs/>
          <w:sz w:val="22"/>
          <w:szCs w:val="22"/>
          <w:lang w:val="fr-CA"/>
        </w:rPr>
        <w:t> </w:t>
      </w:r>
      <w:r w:rsidR="00753DD5" w:rsidRPr="00085A29">
        <w:rPr>
          <w:rFonts w:ascii="Segoe UI" w:hAnsi="Segoe UI"/>
          <w:b/>
          <w:bCs/>
          <w:sz w:val="22"/>
          <w:szCs w:val="22"/>
          <w:lang w:val="fr-CA"/>
        </w:rPr>
        <w:t>:</w:t>
      </w:r>
    </w:p>
    <w:p w14:paraId="4B004B0A" w14:textId="77777777" w:rsidR="00753DD5" w:rsidRPr="00374684" w:rsidRDefault="00E53E8E" w:rsidP="000B0C9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fr-CA"/>
        </w:rPr>
      </w:pPr>
      <w:r w:rsidRPr="00374684">
        <w:rPr>
          <w:rFonts w:asciiTheme="minorHAnsi" w:hAnsiTheme="minorHAnsi" w:cstheme="minorHAnsi"/>
          <w:sz w:val="22"/>
          <w:szCs w:val="22"/>
          <w:lang w:val="fr-CA"/>
        </w:rPr>
        <w:t>Steven Davidson</w:t>
      </w:r>
    </w:p>
    <w:p w14:paraId="5597158C" w14:textId="0B89C0CF" w:rsidR="0083500E" w:rsidRPr="00374684" w:rsidRDefault="00753DD5" w:rsidP="00664A9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hAnsiTheme="minorHAnsi" w:cstheme="minorHAnsi"/>
          <w:sz w:val="22"/>
          <w:szCs w:val="22"/>
          <w:lang w:val="fr-CA"/>
        </w:rPr>
      </w:pPr>
      <w:r w:rsidRPr="00374684">
        <w:rPr>
          <w:rFonts w:asciiTheme="minorHAnsi" w:hAnsiTheme="minorHAnsi" w:cstheme="minorHAnsi"/>
          <w:sz w:val="22"/>
          <w:szCs w:val="22"/>
          <w:lang w:val="fr-CA"/>
        </w:rPr>
        <w:t>Conseiller au soutien en dotation</w:t>
      </w:r>
    </w:p>
    <w:p w14:paraId="589024C4" w14:textId="30F66B53" w:rsidR="00753DD5" w:rsidRPr="00085A29" w:rsidRDefault="00753DD5" w:rsidP="00664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Segoe UI" w:hAnsi="Segoe UI" w:cs="Segoe UI"/>
          <w:sz w:val="22"/>
          <w:szCs w:val="22"/>
          <w:lang w:val="fr-CA"/>
        </w:rPr>
      </w:pPr>
      <w:r w:rsidRPr="00085A29">
        <w:rPr>
          <w:rFonts w:ascii="Segoe UI" w:hAnsi="Segoe UI"/>
          <w:sz w:val="22"/>
          <w:szCs w:val="22"/>
          <w:lang w:val="fr-CA"/>
        </w:rPr>
        <w:t>Annexes</w:t>
      </w:r>
      <w:r w:rsidR="00866F51" w:rsidRPr="00085A29">
        <w:rPr>
          <w:rFonts w:ascii="Segoe UI" w:hAnsi="Segoe UI"/>
          <w:sz w:val="22"/>
          <w:szCs w:val="22"/>
          <w:lang w:val="fr-CA"/>
        </w:rPr>
        <w:t> </w:t>
      </w:r>
      <w:r w:rsidRPr="00085A29">
        <w:rPr>
          <w:rFonts w:ascii="Segoe UI" w:hAnsi="Segoe UI"/>
          <w:sz w:val="22"/>
          <w:szCs w:val="22"/>
          <w:lang w:val="fr-CA"/>
        </w:rPr>
        <w:t>:</w:t>
      </w:r>
    </w:p>
    <w:p w14:paraId="4E8688B1" w14:textId="3A29D0BA" w:rsidR="00664A9D" w:rsidRPr="00085A29" w:rsidRDefault="00AF0A32" w:rsidP="00A5753A">
      <w:pPr>
        <w:pStyle w:val="ListParagraph"/>
        <w:numPr>
          <w:ilvl w:val="0"/>
          <w:numId w:val="30"/>
        </w:numPr>
        <w:spacing w:after="120"/>
        <w:ind w:left="714" w:hanging="357"/>
        <w:contextualSpacing w:val="0"/>
        <w:rPr>
          <w:rStyle w:val="Hyperlink"/>
          <w:rFonts w:asciiTheme="minorHAnsi" w:hAnsiTheme="minorHAnsi" w:cstheme="minorHAnsi"/>
          <w:bCs/>
          <w:sz w:val="22"/>
          <w:szCs w:val="22"/>
          <w:lang w:val="fr-CA"/>
        </w:rPr>
      </w:pPr>
      <w:hyperlink r:id="rId10" w:history="1">
        <w:hyperlink w:anchor="Annexe_A" w:history="1">
          <w:r w:rsidR="00664A9D" w:rsidRPr="00A5753A">
            <w:rPr>
              <w:rStyle w:val="Hyperlink"/>
              <w:rFonts w:asciiTheme="minorHAnsi" w:hAnsiTheme="minorHAnsi" w:cstheme="minorHAnsi"/>
              <w:sz w:val="22"/>
              <w:szCs w:val="22"/>
              <w:lang w:val="fr-CA"/>
            </w:rPr>
            <w:t>Annexe A – Document Faits Saillants de la Nouvelle orientation en dotation (NOD) pour les AG</w:t>
          </w:r>
        </w:hyperlink>
        <w:r w:rsidR="00664A9D" w:rsidRPr="00A5753A">
          <w:rPr>
            <w:rStyle w:val="Hyperlink"/>
            <w:rFonts w:asciiTheme="minorHAnsi" w:hAnsiTheme="minorHAnsi" w:cstheme="minorHAnsi"/>
            <w:sz w:val="22"/>
            <w:szCs w:val="22"/>
            <w:lang w:val="fr-CA"/>
          </w:rPr>
          <w:t xml:space="preserve"> </w:t>
        </w:r>
      </w:hyperlink>
    </w:p>
    <w:p w14:paraId="1A36BE07" w14:textId="4052280D" w:rsidR="00664A9D" w:rsidRPr="00085A29" w:rsidRDefault="00AF0A32" w:rsidP="00664A9D">
      <w:pPr>
        <w:pStyle w:val="ListParagraph"/>
        <w:numPr>
          <w:ilvl w:val="0"/>
          <w:numId w:val="30"/>
        </w:numPr>
        <w:spacing w:after="0"/>
        <w:rPr>
          <w:rFonts w:asciiTheme="minorHAnsi" w:hAnsiTheme="minorHAnsi" w:cstheme="minorHAnsi"/>
          <w:bCs/>
          <w:sz w:val="22"/>
          <w:szCs w:val="22"/>
          <w:lang w:val="fr-CA"/>
        </w:rPr>
        <w:sectPr w:rsidR="00664A9D" w:rsidRPr="00085A29" w:rsidSect="004460BE">
          <w:headerReference w:type="even" r:id="rId11"/>
          <w:footerReference w:type="even" r:id="rId12"/>
          <w:footerReference w:type="default" r:id="rId13"/>
          <w:footerReference w:type="first" r:id="rId14"/>
          <w:footnotePr>
            <w:numFmt w:val="lowerLetter"/>
          </w:footnotePr>
          <w:endnotePr>
            <w:numFmt w:val="lowerLetter"/>
          </w:endnotePr>
          <w:pgSz w:w="12240" w:h="15840" w:code="1"/>
          <w:pgMar w:top="1440" w:right="1080" w:bottom="1440" w:left="1080" w:header="284" w:footer="284" w:gutter="0"/>
          <w:cols w:space="720"/>
          <w:docGrid w:linePitch="326"/>
        </w:sectPr>
      </w:pPr>
      <w:hyperlink w:anchor="Annexe_B" w:history="1">
        <w:r w:rsidR="00664A9D" w:rsidRPr="00085A29">
          <w:rPr>
            <w:rStyle w:val="Hyperlink"/>
            <w:rFonts w:asciiTheme="minorHAnsi" w:hAnsiTheme="minorHAnsi" w:cstheme="minorHAnsi"/>
            <w:sz w:val="22"/>
            <w:szCs w:val="22"/>
            <w:lang w:val="fr-CA"/>
          </w:rPr>
          <w:t>Annexe B - Données sur l’effectif et les activités de dotation</w:t>
        </w:r>
      </w:hyperlink>
    </w:p>
    <w:p w14:paraId="4E30DCB3" w14:textId="09429D47" w:rsidR="006E3CFD" w:rsidRPr="00085A29" w:rsidRDefault="006E3CFD" w:rsidP="002C05C5">
      <w:pPr>
        <w:pStyle w:val="Heading3"/>
        <w:jc w:val="right"/>
        <w:rPr>
          <w:rFonts w:ascii="Segoe UI" w:hAnsi="Segoe UI" w:cs="Segoe UI"/>
          <w:b/>
          <w:bCs/>
          <w:lang w:val="fr-CA"/>
        </w:rPr>
      </w:pPr>
      <w:bookmarkStart w:id="1" w:name="Annexe_A"/>
      <w:r w:rsidRPr="00085A29">
        <w:rPr>
          <w:rFonts w:ascii="Segoe UI" w:hAnsi="Segoe UI" w:cs="Segoe UI"/>
          <w:b/>
          <w:bCs/>
          <w:lang w:val="fr-CA"/>
        </w:rPr>
        <w:lastRenderedPageBreak/>
        <w:t>Annexe A</w:t>
      </w:r>
    </w:p>
    <w:bookmarkEnd w:id="1"/>
    <w:p w14:paraId="438F9F89" w14:textId="77777777" w:rsidR="006E3CFD" w:rsidRPr="00085A29" w:rsidRDefault="006E3CFD" w:rsidP="006E3CFD">
      <w:pPr>
        <w:keepNext/>
        <w:spacing w:before="40" w:after="120"/>
        <w:outlineLvl w:val="2"/>
        <w:rPr>
          <w:rFonts w:asciiTheme="minorHAnsi" w:eastAsiaTheme="minorHAnsi" w:hAnsiTheme="minorHAnsi" w:cstheme="minorHAnsi"/>
          <w:sz w:val="22"/>
          <w:szCs w:val="22"/>
          <w:lang w:val="fr-CA"/>
        </w:rPr>
      </w:pPr>
      <w:r w:rsidRPr="00085A29">
        <w:rPr>
          <w:rFonts w:asciiTheme="minorHAnsi" w:eastAsiaTheme="minorHAnsi" w:hAnsiTheme="minorHAnsi" w:cstheme="minorHAnsi"/>
          <w:sz w:val="22"/>
          <w:szCs w:val="22"/>
          <w:lang w:val="fr-CA"/>
        </w:rPr>
        <w:t>Faits saillants pour les administrateurs généraux</w:t>
      </w:r>
    </w:p>
    <w:p w14:paraId="77E822CF" w14:textId="77777777" w:rsidR="006E3CFD" w:rsidRPr="00085A29" w:rsidRDefault="006E3CFD" w:rsidP="006E3CFD">
      <w:pPr>
        <w:keepNext/>
        <w:keepLines/>
        <w:spacing w:before="40" w:after="120" w:line="259" w:lineRule="auto"/>
        <w:jc w:val="center"/>
        <w:outlineLvl w:val="1"/>
        <w:rPr>
          <w:rFonts w:asciiTheme="minorHAnsi" w:eastAsiaTheme="majorEastAsia" w:hAnsiTheme="minorHAnsi" w:cstheme="minorHAnsi"/>
          <w:b/>
          <w:color w:val="5B315E" w:themeColor="accent2"/>
          <w:sz w:val="22"/>
          <w:szCs w:val="22"/>
          <w:lang w:val="fr-CA"/>
        </w:rPr>
      </w:pPr>
      <w:r w:rsidRPr="00085A29">
        <w:rPr>
          <w:rFonts w:asciiTheme="minorHAnsi" w:eastAsiaTheme="majorEastAsia" w:hAnsiTheme="minorHAnsi" w:cstheme="minorHAnsi"/>
          <w:b/>
          <w:color w:val="5B315E" w:themeColor="accent2"/>
          <w:sz w:val="22"/>
          <w:szCs w:val="22"/>
          <w:lang w:val="fr-CA"/>
        </w:rPr>
        <w:t>Une nouvelle orientation en dotation - un système fondé sur le mérite</w:t>
      </w:r>
      <w:r w:rsidRPr="00085A29">
        <w:rPr>
          <w:rFonts w:asciiTheme="minorHAnsi" w:eastAsiaTheme="majorEastAsia" w:hAnsiTheme="minorHAnsi" w:cstheme="minorHAnsi"/>
          <w:b/>
          <w:color w:val="54575A" w:themeColor="text1"/>
          <w:sz w:val="22"/>
          <w:szCs w:val="22"/>
          <w:lang w:val="fr-CA"/>
        </w:rPr>
        <w:t xml:space="preserve"> </w:t>
      </w:r>
      <w:r w:rsidRPr="00085A29">
        <w:rPr>
          <w:rFonts w:asciiTheme="minorHAnsi" w:eastAsiaTheme="majorEastAsia" w:hAnsiTheme="minorHAnsi" w:cstheme="minorHAnsi"/>
          <w:b/>
          <w:color w:val="5B315E" w:themeColor="accent2"/>
          <w:sz w:val="22"/>
          <w:szCs w:val="22"/>
          <w:lang w:val="fr-CA"/>
        </w:rPr>
        <w:t>et axé sur l’efficacité, l’efficience et la justice</w:t>
      </w:r>
    </w:p>
    <w:p w14:paraId="1F8C4973" w14:textId="77777777" w:rsidR="006E3CFD" w:rsidRPr="00085A29" w:rsidRDefault="006E3CFD" w:rsidP="006E3CFD">
      <w:pPr>
        <w:keepNext/>
        <w:spacing w:before="40" w:after="120"/>
        <w:outlineLvl w:val="2"/>
        <w:rPr>
          <w:rFonts w:asciiTheme="minorHAnsi" w:eastAsiaTheme="majorEastAsia" w:hAnsiTheme="minorHAnsi" w:cstheme="minorHAnsi"/>
          <w:sz w:val="22"/>
          <w:szCs w:val="22"/>
          <w:lang w:val="fr-CA"/>
        </w:rPr>
      </w:pPr>
      <w:r w:rsidRPr="00085A29">
        <w:rPr>
          <w:rFonts w:asciiTheme="minorHAnsi" w:eastAsiaTheme="majorEastAsia" w:hAnsiTheme="minorHAnsi" w:cstheme="minorHAnsi"/>
          <w:sz w:val="22"/>
          <w:szCs w:val="22"/>
          <w:lang w:val="fr-CA"/>
        </w:rPr>
        <w:t>Politique de nomination</w:t>
      </w:r>
    </w:p>
    <w:p w14:paraId="63EA8A21" w14:textId="3D31FA07" w:rsidR="006E3CFD" w:rsidRPr="00085A29" w:rsidRDefault="006E3CFD" w:rsidP="006E3CFD">
      <w:pPr>
        <w:keepLines/>
        <w:spacing w:line="259" w:lineRule="auto"/>
        <w:rPr>
          <w:rFonts w:asciiTheme="minorHAnsi" w:eastAsiaTheme="minorHAnsi" w:hAnsiTheme="minorHAnsi" w:cstheme="minorHAnsi"/>
          <w:spacing w:val="-6"/>
          <w:sz w:val="22"/>
          <w:szCs w:val="22"/>
          <w:lang w:val="fr-CA"/>
        </w:rPr>
      </w:pPr>
      <w:r w:rsidRPr="00085A29">
        <w:rPr>
          <w:rFonts w:asciiTheme="minorHAnsi" w:eastAsiaTheme="minorHAnsi" w:hAnsiTheme="minorHAnsi" w:cstheme="minorHAnsi"/>
          <w:b/>
          <w:bCs/>
          <w:sz w:val="22"/>
          <w:szCs w:val="22"/>
          <w:lang w:val="fr-CA"/>
        </w:rPr>
        <w:t>L’accent est davantage mis sur les exigences de base</w:t>
      </w:r>
      <w:r w:rsidRPr="00085A29">
        <w:rPr>
          <w:rFonts w:asciiTheme="minorHAnsi" w:eastAsiaTheme="minorHAnsi" w:hAnsiTheme="minorHAnsi" w:cstheme="minorHAnsi"/>
          <w:spacing w:val="-6"/>
          <w:sz w:val="22"/>
          <w:szCs w:val="22"/>
          <w:lang w:val="fr-CA"/>
        </w:rPr>
        <w:t xml:space="preserve"> afin de fournir aux personnes subdéléguées une plus grande latitude à l’égard des nominations</w:t>
      </w:r>
    </w:p>
    <w:p w14:paraId="37C20D86" w14:textId="77777777" w:rsidR="006E3CFD" w:rsidRPr="00085A29" w:rsidRDefault="006E3CFD" w:rsidP="006E3CFD">
      <w:pPr>
        <w:keepLines/>
        <w:numPr>
          <w:ilvl w:val="0"/>
          <w:numId w:val="21"/>
        </w:numPr>
        <w:spacing w:line="259" w:lineRule="auto"/>
        <w:rPr>
          <w:rFonts w:asciiTheme="minorHAnsi" w:eastAsiaTheme="minorHAnsi" w:hAnsiTheme="minorHAnsi" w:cstheme="minorHAnsi"/>
          <w:spacing w:val="-6"/>
          <w:sz w:val="22"/>
          <w:szCs w:val="22"/>
          <w:lang w:val="fr-CA"/>
        </w:rPr>
      </w:pPr>
      <w:r w:rsidRPr="00085A29">
        <w:rPr>
          <w:rFonts w:asciiTheme="minorHAnsi" w:eastAsiaTheme="minorHAnsi" w:hAnsiTheme="minorHAnsi" w:cstheme="minorHAnsi"/>
          <w:b/>
          <w:bCs/>
          <w:sz w:val="22"/>
          <w:szCs w:val="22"/>
          <w:lang w:val="fr-CA"/>
        </w:rPr>
        <w:t>Une seule politique de nomination</w:t>
      </w:r>
      <w:r w:rsidRPr="00085A29">
        <w:rPr>
          <w:rFonts w:asciiTheme="minorHAnsi" w:eastAsiaTheme="minorHAnsi" w:hAnsiTheme="minorHAnsi" w:cstheme="minorHAnsi"/>
          <w:spacing w:val="-6"/>
          <w:sz w:val="22"/>
          <w:szCs w:val="22"/>
          <w:lang w:val="fr-CA"/>
        </w:rPr>
        <w:t xml:space="preserve">, sans chevauchement des obligations juridiques </w:t>
      </w:r>
    </w:p>
    <w:p w14:paraId="2A8D98FC" w14:textId="77777777" w:rsidR="006E3CFD" w:rsidRPr="00085A29" w:rsidRDefault="006E3CFD" w:rsidP="006E3CFD">
      <w:pPr>
        <w:keepLines/>
        <w:numPr>
          <w:ilvl w:val="0"/>
          <w:numId w:val="21"/>
        </w:numPr>
        <w:spacing w:line="259" w:lineRule="auto"/>
        <w:rPr>
          <w:rFonts w:asciiTheme="minorHAnsi" w:eastAsiaTheme="minorHAnsi" w:hAnsiTheme="minorHAnsi" w:cstheme="minorHAnsi"/>
          <w:spacing w:val="-6"/>
          <w:sz w:val="22"/>
          <w:szCs w:val="22"/>
          <w:lang w:val="fr-CA"/>
        </w:rPr>
      </w:pPr>
      <w:r w:rsidRPr="00085A29">
        <w:rPr>
          <w:rFonts w:asciiTheme="minorHAnsi" w:eastAsiaTheme="minorHAnsi" w:hAnsiTheme="minorHAnsi" w:cstheme="minorHAnsi"/>
          <w:b/>
          <w:bCs/>
          <w:sz w:val="22"/>
          <w:szCs w:val="22"/>
          <w:lang w:val="fr-CA"/>
        </w:rPr>
        <w:t>Accent accru sur un système axé sur les valeurs</w:t>
      </w:r>
      <w:r w:rsidRPr="00085A29">
        <w:rPr>
          <w:rFonts w:asciiTheme="minorHAnsi" w:eastAsiaTheme="minorHAnsi" w:hAnsiTheme="minorHAnsi" w:cstheme="minorHAnsi"/>
          <w:sz w:val="22"/>
          <w:szCs w:val="22"/>
          <w:lang w:val="fr-CA"/>
        </w:rPr>
        <w:t xml:space="preserve"> plutôt que sur un </w:t>
      </w:r>
      <w:r w:rsidRPr="00085A29">
        <w:rPr>
          <w:rFonts w:asciiTheme="minorHAnsi" w:eastAsiaTheme="minorHAnsi" w:hAnsiTheme="minorHAnsi" w:cstheme="minorHAnsi"/>
          <w:spacing w:val="-6"/>
          <w:sz w:val="22"/>
          <w:szCs w:val="22"/>
          <w:lang w:val="fr-CA"/>
        </w:rPr>
        <w:t>système axé sur les règles</w:t>
      </w:r>
      <w:r w:rsidRPr="00085A29">
        <w:rPr>
          <w:rFonts w:asciiTheme="minorHAnsi" w:eastAsiaTheme="minorHAnsi" w:hAnsiTheme="minorHAnsi" w:cstheme="minorHAnsi"/>
          <w:b/>
          <w:spacing w:val="-6"/>
          <w:sz w:val="22"/>
          <w:szCs w:val="22"/>
          <w:lang w:val="fr-CA"/>
        </w:rPr>
        <w:t xml:space="preserve"> </w:t>
      </w:r>
    </w:p>
    <w:p w14:paraId="1532C415" w14:textId="77777777" w:rsidR="006E3CFD" w:rsidRPr="00085A29" w:rsidRDefault="006E3CFD" w:rsidP="006E3CFD">
      <w:pPr>
        <w:keepLines/>
        <w:numPr>
          <w:ilvl w:val="0"/>
          <w:numId w:val="21"/>
        </w:numPr>
        <w:spacing w:line="259" w:lineRule="auto"/>
        <w:rPr>
          <w:rFonts w:asciiTheme="minorHAnsi" w:eastAsiaTheme="minorHAnsi" w:hAnsiTheme="minorHAnsi" w:cstheme="minorHAnsi"/>
          <w:spacing w:val="-6"/>
          <w:sz w:val="22"/>
          <w:szCs w:val="22"/>
          <w:lang w:val="fr-CA"/>
        </w:rPr>
      </w:pPr>
      <w:r w:rsidRPr="00085A29">
        <w:rPr>
          <w:rFonts w:asciiTheme="minorHAnsi" w:eastAsiaTheme="minorHAnsi" w:hAnsiTheme="minorHAnsi" w:cstheme="minorHAnsi"/>
          <w:spacing w:val="-6"/>
          <w:sz w:val="22"/>
          <w:szCs w:val="22"/>
          <w:lang w:val="fr-CA"/>
        </w:rPr>
        <w:t xml:space="preserve">Politique de nomination appuyée par une </w:t>
      </w:r>
      <w:r w:rsidRPr="00085A29">
        <w:rPr>
          <w:rFonts w:asciiTheme="minorHAnsi" w:eastAsiaTheme="minorHAnsi" w:hAnsiTheme="minorHAnsi" w:cstheme="minorHAnsi"/>
          <w:b/>
          <w:bCs/>
          <w:sz w:val="22"/>
          <w:szCs w:val="22"/>
          <w:lang w:val="fr-CA"/>
        </w:rPr>
        <w:t>orientation rationalisée</w:t>
      </w:r>
      <w:r w:rsidRPr="00085A29">
        <w:rPr>
          <w:rFonts w:asciiTheme="minorHAnsi" w:eastAsiaTheme="minorHAnsi" w:hAnsiTheme="minorHAnsi" w:cstheme="minorHAnsi"/>
          <w:b/>
          <w:spacing w:val="-6"/>
          <w:sz w:val="22"/>
          <w:szCs w:val="22"/>
          <w:lang w:val="fr-CA"/>
        </w:rPr>
        <w:t xml:space="preserve"> </w:t>
      </w:r>
      <w:r w:rsidRPr="00085A29">
        <w:rPr>
          <w:rFonts w:asciiTheme="minorHAnsi" w:eastAsiaTheme="minorHAnsi" w:hAnsiTheme="minorHAnsi" w:cstheme="minorHAnsi"/>
          <w:spacing w:val="-6"/>
          <w:sz w:val="22"/>
          <w:szCs w:val="22"/>
          <w:lang w:val="fr-CA"/>
        </w:rPr>
        <w:t>:</w:t>
      </w:r>
    </w:p>
    <w:p w14:paraId="57990683" w14:textId="77777777" w:rsidR="006E3CFD" w:rsidRPr="00085A29" w:rsidRDefault="006E3CFD" w:rsidP="006E3CFD">
      <w:pPr>
        <w:keepLines/>
        <w:numPr>
          <w:ilvl w:val="1"/>
          <w:numId w:val="17"/>
        </w:numPr>
        <w:spacing w:line="259" w:lineRule="auto"/>
        <w:ind w:left="1508" w:hanging="425"/>
        <w:rPr>
          <w:rFonts w:asciiTheme="minorHAnsi" w:eastAsiaTheme="minorHAnsi" w:hAnsiTheme="minorHAnsi" w:cstheme="minorHAnsi"/>
          <w:spacing w:val="-6"/>
          <w:sz w:val="22"/>
          <w:szCs w:val="22"/>
          <w:lang w:val="fr-CA"/>
        </w:rPr>
      </w:pPr>
      <w:r w:rsidRPr="00085A29">
        <w:rPr>
          <w:rFonts w:asciiTheme="minorHAnsi" w:eastAsiaTheme="minorHAnsi" w:hAnsiTheme="minorHAnsi" w:cstheme="minorHAnsi"/>
          <w:spacing w:val="-6"/>
          <w:sz w:val="22"/>
          <w:szCs w:val="22"/>
          <w:lang w:val="fr-CA"/>
        </w:rPr>
        <w:t>Feuille de route précisant les exigences relatives aux lois, règlements et politiques</w:t>
      </w:r>
    </w:p>
    <w:p w14:paraId="249BA1DD" w14:textId="4151A14E" w:rsidR="006E3CFD" w:rsidRPr="00085A29" w:rsidRDefault="006E3CFD" w:rsidP="006E3CFD">
      <w:pPr>
        <w:keepLines/>
        <w:numPr>
          <w:ilvl w:val="1"/>
          <w:numId w:val="17"/>
        </w:numPr>
        <w:spacing w:line="259" w:lineRule="auto"/>
        <w:ind w:left="1508" w:hanging="425"/>
        <w:rPr>
          <w:rFonts w:asciiTheme="minorHAnsi" w:eastAsiaTheme="minorHAnsi" w:hAnsiTheme="minorHAnsi" w:cstheme="minorHAnsi"/>
          <w:spacing w:val="-6"/>
          <w:sz w:val="22"/>
          <w:szCs w:val="22"/>
          <w:lang w:val="fr-CA"/>
        </w:rPr>
      </w:pPr>
      <w:r w:rsidRPr="00085A29">
        <w:rPr>
          <w:rFonts w:asciiTheme="minorHAnsi" w:eastAsiaTheme="minorHAnsi" w:hAnsiTheme="minorHAnsi" w:cstheme="minorHAnsi"/>
          <w:spacing w:val="-6"/>
          <w:sz w:val="22"/>
          <w:szCs w:val="22"/>
          <w:lang w:val="fr-CA"/>
        </w:rPr>
        <w:t>Options et considérations relatives à la prise de décisions dans les cas où il existe une certaine latitude</w:t>
      </w:r>
    </w:p>
    <w:p w14:paraId="019D5FB3" w14:textId="77777777" w:rsidR="006E3CFD" w:rsidRPr="00085A29" w:rsidRDefault="006E3CFD" w:rsidP="006E3CFD">
      <w:pPr>
        <w:keepLines/>
        <w:numPr>
          <w:ilvl w:val="0"/>
          <w:numId w:val="22"/>
        </w:numPr>
        <w:spacing w:line="259" w:lineRule="auto"/>
        <w:rPr>
          <w:rFonts w:asciiTheme="minorHAnsi" w:eastAsiaTheme="minorHAnsi" w:hAnsiTheme="minorHAnsi" w:cstheme="minorHAnsi"/>
          <w:spacing w:val="-6"/>
          <w:sz w:val="22"/>
          <w:szCs w:val="22"/>
          <w:lang w:val="fr-CA"/>
        </w:rPr>
      </w:pPr>
      <w:r w:rsidRPr="00085A29">
        <w:rPr>
          <w:rFonts w:asciiTheme="minorHAnsi" w:eastAsiaTheme="minorHAnsi" w:hAnsiTheme="minorHAnsi" w:cstheme="minorHAnsi"/>
          <w:b/>
          <w:bCs/>
          <w:sz w:val="22"/>
          <w:szCs w:val="22"/>
          <w:lang w:val="fr-CA"/>
        </w:rPr>
        <w:t>Attentes clairement définies</w:t>
      </w:r>
      <w:r w:rsidRPr="00085A29">
        <w:rPr>
          <w:rFonts w:asciiTheme="minorHAnsi" w:eastAsiaTheme="minorHAnsi" w:hAnsiTheme="minorHAnsi" w:cstheme="minorHAnsi"/>
          <w:spacing w:val="-6"/>
          <w:sz w:val="22"/>
          <w:szCs w:val="22"/>
          <w:lang w:val="fr-CA"/>
        </w:rPr>
        <w:t xml:space="preserve"> quant aux droits de priorité</w:t>
      </w:r>
    </w:p>
    <w:p w14:paraId="0D6D034A" w14:textId="64A167E5" w:rsidR="006E3CFD" w:rsidRPr="00085A29" w:rsidRDefault="006E3CFD" w:rsidP="006E3CFD">
      <w:pPr>
        <w:keepLines/>
        <w:numPr>
          <w:ilvl w:val="0"/>
          <w:numId w:val="22"/>
        </w:numPr>
        <w:spacing w:line="259" w:lineRule="auto"/>
        <w:rPr>
          <w:rFonts w:asciiTheme="minorHAnsi" w:eastAsiaTheme="minorHAnsi" w:hAnsiTheme="minorHAnsi" w:cstheme="minorHAnsi"/>
          <w:spacing w:val="-6"/>
          <w:sz w:val="22"/>
          <w:szCs w:val="22"/>
          <w:lang w:val="fr-CA"/>
        </w:rPr>
      </w:pPr>
      <w:r w:rsidRPr="00085A29">
        <w:rPr>
          <w:rFonts w:asciiTheme="minorHAnsi" w:eastAsiaTheme="minorHAnsi" w:hAnsiTheme="minorHAnsi" w:cstheme="minorHAnsi"/>
          <w:spacing w:val="-6"/>
          <w:sz w:val="22"/>
          <w:szCs w:val="22"/>
          <w:lang w:val="fr-CA"/>
        </w:rPr>
        <w:t>Aucune restriction quant aux méthodes d’évaluation pour la nomination des cadres de direction (EX)</w:t>
      </w:r>
    </w:p>
    <w:p w14:paraId="2A23D646" w14:textId="77777777" w:rsidR="006E3CFD" w:rsidRPr="00085A29" w:rsidRDefault="006E3CFD" w:rsidP="006E3CFD">
      <w:pPr>
        <w:keepLines/>
        <w:numPr>
          <w:ilvl w:val="0"/>
          <w:numId w:val="22"/>
        </w:numPr>
        <w:spacing w:after="240" w:line="259" w:lineRule="auto"/>
        <w:rPr>
          <w:rFonts w:asciiTheme="minorHAnsi" w:eastAsiaTheme="minorHAnsi" w:hAnsiTheme="minorHAnsi" w:cstheme="minorHAnsi"/>
          <w:spacing w:val="-6"/>
          <w:sz w:val="22"/>
          <w:szCs w:val="22"/>
          <w:lang w:val="fr-CA"/>
        </w:rPr>
      </w:pPr>
      <w:r w:rsidRPr="00085A29">
        <w:rPr>
          <w:rFonts w:asciiTheme="minorHAnsi" w:eastAsiaTheme="minorHAnsi" w:hAnsiTheme="minorHAnsi" w:cstheme="minorHAnsi"/>
          <w:spacing w:val="-6"/>
          <w:sz w:val="22"/>
          <w:szCs w:val="22"/>
          <w:lang w:val="fr-CA"/>
        </w:rPr>
        <w:t>Exceptions à la zone nationale de sélection approuvées</w:t>
      </w:r>
    </w:p>
    <w:p w14:paraId="3BDFF6BC" w14:textId="77777777" w:rsidR="006E3CFD" w:rsidRPr="00085A29" w:rsidRDefault="006E3CFD" w:rsidP="006E3CFD">
      <w:pPr>
        <w:keepNext/>
        <w:spacing w:before="40" w:after="120"/>
        <w:outlineLvl w:val="2"/>
        <w:rPr>
          <w:rFonts w:asciiTheme="minorHAnsi" w:eastAsiaTheme="majorEastAsia" w:hAnsiTheme="minorHAnsi" w:cstheme="minorHAnsi"/>
          <w:sz w:val="22"/>
          <w:szCs w:val="22"/>
          <w:lang w:val="fr-CA"/>
        </w:rPr>
      </w:pPr>
      <w:r w:rsidRPr="00085A29">
        <w:rPr>
          <w:rFonts w:asciiTheme="minorHAnsi" w:eastAsiaTheme="majorEastAsia" w:hAnsiTheme="minorHAnsi" w:cstheme="minorHAnsi"/>
          <w:sz w:val="22"/>
          <w:szCs w:val="22"/>
          <w:lang w:val="fr-CA"/>
        </w:rPr>
        <w:t>Délégation</w:t>
      </w:r>
    </w:p>
    <w:p w14:paraId="1A096E71" w14:textId="1F1BBA13" w:rsidR="006E3CFD" w:rsidRPr="00085A29" w:rsidRDefault="006E3CFD" w:rsidP="006E3CFD">
      <w:pPr>
        <w:keepLines/>
        <w:numPr>
          <w:ilvl w:val="0"/>
          <w:numId w:val="23"/>
        </w:numPr>
        <w:spacing w:line="259" w:lineRule="auto"/>
        <w:contextualSpacing/>
        <w:rPr>
          <w:rFonts w:asciiTheme="minorHAnsi" w:eastAsiaTheme="minorHAnsi" w:hAnsiTheme="minorHAnsi" w:cstheme="minorHAnsi"/>
          <w:spacing w:val="-8"/>
          <w:sz w:val="22"/>
          <w:szCs w:val="22"/>
          <w:lang w:val="fr-CA"/>
        </w:rPr>
      </w:pPr>
      <w:r w:rsidRPr="00085A29">
        <w:rPr>
          <w:rFonts w:asciiTheme="minorHAnsi" w:eastAsiaTheme="minorHAnsi" w:hAnsiTheme="minorHAnsi" w:cstheme="minorHAnsi"/>
          <w:b/>
          <w:bCs/>
          <w:sz w:val="22"/>
          <w:szCs w:val="22"/>
          <w:lang w:val="fr-CA"/>
        </w:rPr>
        <w:t>L’accent est davantage mis sur la capacité d’adapter le système de dotation de l’organisation</w:t>
      </w:r>
      <w:r w:rsidRPr="00085A29">
        <w:rPr>
          <w:rFonts w:asciiTheme="minorHAnsi" w:eastAsiaTheme="minorHAnsi" w:hAnsiTheme="minorHAnsi" w:cstheme="minorHAnsi"/>
          <w:b/>
          <w:bCs/>
          <w:spacing w:val="-8"/>
          <w:sz w:val="22"/>
          <w:szCs w:val="22"/>
          <w:lang w:val="fr-CA"/>
        </w:rPr>
        <w:t xml:space="preserve"> </w:t>
      </w:r>
      <w:r w:rsidRPr="00085A29">
        <w:rPr>
          <w:rFonts w:asciiTheme="minorHAnsi" w:eastAsiaTheme="minorHAnsi" w:hAnsiTheme="minorHAnsi" w:cstheme="minorHAnsi"/>
          <w:spacing w:val="-8"/>
          <w:sz w:val="22"/>
          <w:szCs w:val="22"/>
          <w:lang w:val="fr-CA"/>
        </w:rPr>
        <w:t xml:space="preserve">en fonction du contexte particulier et des besoins opérationnels en évolution </w:t>
      </w:r>
    </w:p>
    <w:p w14:paraId="76DEA2A4" w14:textId="77777777" w:rsidR="006E3CFD" w:rsidRPr="00085A29" w:rsidRDefault="006E3CFD" w:rsidP="006E3CFD">
      <w:pPr>
        <w:keepLines/>
        <w:numPr>
          <w:ilvl w:val="0"/>
          <w:numId w:val="23"/>
        </w:numPr>
        <w:spacing w:line="259" w:lineRule="auto"/>
        <w:rPr>
          <w:rFonts w:asciiTheme="minorHAnsi" w:eastAsiaTheme="minorHAnsi" w:hAnsiTheme="minorHAnsi" w:cstheme="minorHAnsi"/>
          <w:b/>
          <w:bCs/>
          <w:sz w:val="22"/>
          <w:szCs w:val="22"/>
          <w:lang w:val="fr-CA"/>
        </w:rPr>
      </w:pPr>
      <w:r w:rsidRPr="00085A29">
        <w:rPr>
          <w:rFonts w:asciiTheme="minorHAnsi" w:eastAsiaTheme="minorHAnsi" w:hAnsiTheme="minorHAnsi" w:cstheme="minorHAnsi"/>
          <w:spacing w:val="-8"/>
          <w:sz w:val="22"/>
          <w:szCs w:val="22"/>
          <w:lang w:val="fr-CA"/>
        </w:rPr>
        <w:t xml:space="preserve">L’administrateur général établit une orientation quant à </w:t>
      </w:r>
      <w:r w:rsidRPr="00085A29">
        <w:rPr>
          <w:rFonts w:asciiTheme="minorHAnsi" w:eastAsiaTheme="minorHAnsi" w:hAnsiTheme="minorHAnsi" w:cstheme="minorHAnsi"/>
          <w:b/>
          <w:bCs/>
          <w:sz w:val="22"/>
          <w:szCs w:val="22"/>
          <w:lang w:val="fr-CA"/>
        </w:rPr>
        <w:t xml:space="preserve">l’utilisation des processus de nomination annoncés et non annoncés </w:t>
      </w:r>
    </w:p>
    <w:p w14:paraId="56125341" w14:textId="77777777" w:rsidR="006E3CFD" w:rsidRPr="00085A29" w:rsidRDefault="006E3CFD" w:rsidP="006E3CFD">
      <w:pPr>
        <w:keepLines/>
        <w:numPr>
          <w:ilvl w:val="0"/>
          <w:numId w:val="23"/>
        </w:numPr>
        <w:spacing w:line="259" w:lineRule="auto"/>
        <w:rPr>
          <w:rFonts w:asciiTheme="minorHAnsi" w:eastAsiaTheme="minorHAnsi" w:hAnsiTheme="minorHAnsi" w:cstheme="minorHAnsi"/>
          <w:b/>
          <w:bCs/>
          <w:sz w:val="22"/>
          <w:szCs w:val="22"/>
          <w:lang w:val="fr-CA"/>
        </w:rPr>
      </w:pPr>
      <w:r w:rsidRPr="00085A29">
        <w:rPr>
          <w:rFonts w:asciiTheme="minorHAnsi" w:eastAsiaTheme="minorHAnsi" w:hAnsiTheme="minorHAnsi" w:cstheme="minorHAnsi"/>
          <w:spacing w:val="-8"/>
          <w:sz w:val="22"/>
          <w:szCs w:val="22"/>
          <w:lang w:val="fr-CA"/>
        </w:rPr>
        <w:t xml:space="preserve">L’administrateur général établit les exigences pour les personnes subdéléguées </w:t>
      </w:r>
      <w:r w:rsidRPr="00085A29">
        <w:rPr>
          <w:rFonts w:asciiTheme="minorHAnsi" w:eastAsiaTheme="minorHAnsi" w:hAnsiTheme="minorHAnsi" w:cstheme="minorHAnsi"/>
          <w:b/>
          <w:bCs/>
          <w:sz w:val="22"/>
          <w:szCs w:val="22"/>
          <w:lang w:val="fr-CA"/>
        </w:rPr>
        <w:t>de formuler, par écrit, la décision de sélection</w:t>
      </w:r>
    </w:p>
    <w:p w14:paraId="1810D130" w14:textId="77777777" w:rsidR="006E3CFD" w:rsidRPr="00085A29" w:rsidRDefault="006E3CFD" w:rsidP="006E3CFD">
      <w:pPr>
        <w:keepLines/>
        <w:numPr>
          <w:ilvl w:val="0"/>
          <w:numId w:val="23"/>
        </w:numPr>
        <w:spacing w:line="259" w:lineRule="auto"/>
        <w:rPr>
          <w:rFonts w:asciiTheme="minorHAnsi" w:eastAsiaTheme="minorHAnsi" w:hAnsiTheme="minorHAnsi" w:cstheme="minorHAnsi"/>
          <w:spacing w:val="-8"/>
          <w:sz w:val="22"/>
          <w:szCs w:val="22"/>
          <w:lang w:val="fr-CA"/>
        </w:rPr>
      </w:pPr>
      <w:r w:rsidRPr="00085A29">
        <w:rPr>
          <w:rFonts w:asciiTheme="minorHAnsi" w:eastAsiaTheme="minorHAnsi" w:hAnsiTheme="minorHAnsi" w:cstheme="minorHAnsi"/>
          <w:spacing w:val="-8"/>
          <w:sz w:val="22"/>
          <w:szCs w:val="22"/>
          <w:lang w:val="fr-CA"/>
        </w:rPr>
        <w:t>Exigences plus claires concernant les enquêtes</w:t>
      </w:r>
    </w:p>
    <w:p w14:paraId="5835D97B" w14:textId="77777777" w:rsidR="006E3CFD" w:rsidRPr="00085A29" w:rsidRDefault="006E3CFD" w:rsidP="006E3CFD">
      <w:pPr>
        <w:keepLines/>
        <w:numPr>
          <w:ilvl w:val="0"/>
          <w:numId w:val="23"/>
        </w:numPr>
        <w:spacing w:line="259" w:lineRule="auto"/>
        <w:rPr>
          <w:rFonts w:asciiTheme="minorHAnsi" w:eastAsiaTheme="minorHAnsi" w:hAnsiTheme="minorHAnsi" w:cstheme="minorHAnsi"/>
          <w:spacing w:val="-8"/>
          <w:sz w:val="22"/>
          <w:szCs w:val="22"/>
          <w:lang w:val="fr-CA"/>
        </w:rPr>
      </w:pPr>
      <w:r w:rsidRPr="00085A29">
        <w:rPr>
          <w:rFonts w:asciiTheme="minorHAnsi" w:eastAsiaTheme="minorHAnsi" w:hAnsiTheme="minorHAnsi" w:cstheme="minorHAnsi"/>
          <w:b/>
          <w:bCs/>
          <w:sz w:val="22"/>
          <w:szCs w:val="22"/>
          <w:lang w:val="fr-CA"/>
        </w:rPr>
        <w:t>Formulaire d’attestation</w:t>
      </w:r>
      <w:r w:rsidRPr="00085A29">
        <w:rPr>
          <w:rFonts w:asciiTheme="minorHAnsi" w:eastAsiaTheme="minorHAnsi" w:hAnsiTheme="minorHAnsi" w:cstheme="minorHAnsi"/>
          <w:spacing w:val="-8"/>
          <w:sz w:val="22"/>
          <w:szCs w:val="22"/>
          <w:lang w:val="fr-CA"/>
        </w:rPr>
        <w:t xml:space="preserve"> réitérant les responsabilités des personnes subdéléguées</w:t>
      </w:r>
    </w:p>
    <w:p w14:paraId="24E5229F" w14:textId="77777777" w:rsidR="006E3CFD" w:rsidRPr="00085A29" w:rsidRDefault="006E3CFD" w:rsidP="006E3CFD">
      <w:pPr>
        <w:keepLines/>
        <w:spacing w:after="160" w:line="259" w:lineRule="auto"/>
        <w:ind w:right="-202"/>
        <w:rPr>
          <w:rFonts w:asciiTheme="minorHAnsi" w:eastAsiaTheme="minorHAnsi" w:hAnsiTheme="minorHAnsi" w:cstheme="minorHAnsi"/>
          <w:spacing w:val="-8"/>
          <w:sz w:val="22"/>
          <w:szCs w:val="22"/>
          <w:lang w:val="fr-CA"/>
        </w:rPr>
      </w:pPr>
      <w:r w:rsidRPr="00085A29">
        <w:rPr>
          <w:rFonts w:asciiTheme="minorHAnsi" w:eastAsiaTheme="minorHAnsi" w:hAnsiTheme="minorHAnsi" w:cstheme="minorHAnsi"/>
          <w:spacing w:val="-8"/>
          <w:sz w:val="22"/>
          <w:szCs w:val="22"/>
          <w:lang w:val="fr-CA"/>
        </w:rPr>
        <w:t>Toutes les exigences de la CFP en matière de surveillance et de présentation de rapports figurent maintenant dans l’Instrument de délégation et de responsabilisation en matière de nomination</w:t>
      </w:r>
    </w:p>
    <w:p w14:paraId="056DE690" w14:textId="77777777" w:rsidR="006E3CFD" w:rsidRPr="00085A29" w:rsidRDefault="006E3CFD" w:rsidP="006E3CFD">
      <w:pPr>
        <w:keepNext/>
        <w:spacing w:before="40" w:after="120"/>
        <w:outlineLvl w:val="2"/>
        <w:rPr>
          <w:rFonts w:asciiTheme="minorHAnsi" w:eastAsiaTheme="majorEastAsia" w:hAnsiTheme="minorHAnsi" w:cstheme="minorHAnsi"/>
          <w:sz w:val="22"/>
          <w:szCs w:val="22"/>
          <w:lang w:val="fr-CA"/>
        </w:rPr>
      </w:pPr>
      <w:r w:rsidRPr="00085A29">
        <w:rPr>
          <w:rFonts w:asciiTheme="minorHAnsi" w:eastAsiaTheme="majorEastAsia" w:hAnsiTheme="minorHAnsi" w:cstheme="minorHAnsi"/>
          <w:sz w:val="22"/>
          <w:szCs w:val="22"/>
          <w:lang w:val="fr-CA"/>
        </w:rPr>
        <w:br w:type="page"/>
      </w:r>
    </w:p>
    <w:p w14:paraId="6432C9A6" w14:textId="77777777" w:rsidR="006E3CFD" w:rsidRPr="00085A29" w:rsidRDefault="006E3CFD" w:rsidP="006E3CFD">
      <w:pPr>
        <w:keepNext/>
        <w:spacing w:before="40" w:after="120"/>
        <w:outlineLvl w:val="2"/>
        <w:rPr>
          <w:rFonts w:asciiTheme="minorHAnsi" w:eastAsiaTheme="majorEastAsia" w:hAnsiTheme="minorHAnsi" w:cstheme="minorHAnsi"/>
          <w:sz w:val="22"/>
          <w:szCs w:val="22"/>
          <w:lang w:val="fr-CA"/>
        </w:rPr>
      </w:pPr>
      <w:r w:rsidRPr="00085A29">
        <w:rPr>
          <w:rFonts w:asciiTheme="minorHAnsi" w:eastAsiaTheme="majorEastAsia" w:hAnsiTheme="minorHAnsi" w:cstheme="minorHAnsi"/>
          <w:sz w:val="22"/>
          <w:szCs w:val="22"/>
          <w:lang w:val="fr-CA"/>
        </w:rPr>
        <w:lastRenderedPageBreak/>
        <w:t>Surveillance et rapports</w:t>
      </w:r>
    </w:p>
    <w:p w14:paraId="0B6ECD02" w14:textId="77777777" w:rsidR="006E3CFD" w:rsidRPr="00085A29" w:rsidRDefault="006E3CFD" w:rsidP="006E3CFD">
      <w:pPr>
        <w:spacing w:after="120"/>
        <w:rPr>
          <w:rFonts w:asciiTheme="minorHAnsi" w:eastAsiaTheme="minorHAnsi" w:hAnsiTheme="minorHAnsi" w:cstheme="minorHAnsi"/>
          <w:sz w:val="22"/>
          <w:szCs w:val="22"/>
          <w:highlight w:val="yellow"/>
          <w:lang w:val="fr-CA"/>
        </w:rPr>
      </w:pPr>
      <w:r w:rsidRPr="00085A29">
        <w:rPr>
          <w:rFonts w:asciiTheme="minorHAnsi" w:eastAsiaTheme="minorHAnsi" w:hAnsiTheme="minorHAnsi" w:cstheme="minorHAnsi"/>
          <w:b/>
          <w:bCs/>
          <w:sz w:val="22"/>
          <w:szCs w:val="22"/>
          <w:lang w:val="fr-CA"/>
        </w:rPr>
        <w:t>La surveillance est établie par les organisations</w:t>
      </w:r>
      <w:r w:rsidRPr="00085A29">
        <w:rPr>
          <w:rFonts w:asciiTheme="minorHAnsi" w:eastAsiaTheme="minorHAnsi" w:hAnsiTheme="minorHAnsi" w:cstheme="minorHAnsi"/>
          <w:sz w:val="22"/>
          <w:szCs w:val="22"/>
          <w:lang w:val="fr-CA"/>
        </w:rPr>
        <w:t>, ciblée à leurs besoins</w:t>
      </w:r>
    </w:p>
    <w:p w14:paraId="34BB8830" w14:textId="77777777" w:rsidR="006E3CFD" w:rsidRPr="00085A29" w:rsidRDefault="006E3CFD" w:rsidP="006E3CFD">
      <w:pPr>
        <w:numPr>
          <w:ilvl w:val="0"/>
          <w:numId w:val="24"/>
        </w:numPr>
        <w:rPr>
          <w:rFonts w:asciiTheme="minorHAnsi" w:eastAsiaTheme="minorHAnsi" w:hAnsiTheme="minorHAnsi" w:cstheme="minorHAnsi"/>
          <w:sz w:val="22"/>
          <w:szCs w:val="22"/>
          <w:lang w:val="fr-CA"/>
        </w:rPr>
      </w:pPr>
      <w:r w:rsidRPr="00085A29">
        <w:rPr>
          <w:rFonts w:asciiTheme="minorHAnsi" w:eastAsiaTheme="minorHAnsi" w:hAnsiTheme="minorHAnsi" w:cstheme="minorHAnsi"/>
          <w:sz w:val="22"/>
          <w:szCs w:val="22"/>
          <w:lang w:val="fr-CA"/>
        </w:rPr>
        <w:t>Le Rapport ministériel sur l’obligation de rendre compte en dotation n’est plus requis</w:t>
      </w:r>
    </w:p>
    <w:p w14:paraId="196477B3" w14:textId="77777777" w:rsidR="006E3CFD" w:rsidRPr="00085A29" w:rsidRDefault="006E3CFD" w:rsidP="006E3CFD">
      <w:pPr>
        <w:numPr>
          <w:ilvl w:val="0"/>
          <w:numId w:val="24"/>
        </w:numPr>
        <w:rPr>
          <w:rFonts w:asciiTheme="minorHAnsi" w:eastAsiaTheme="minorHAnsi" w:hAnsiTheme="minorHAnsi" w:cstheme="minorHAnsi"/>
          <w:sz w:val="22"/>
          <w:szCs w:val="22"/>
          <w:lang w:val="fr-CA"/>
        </w:rPr>
      </w:pPr>
      <w:r w:rsidRPr="00085A29">
        <w:rPr>
          <w:rFonts w:asciiTheme="minorHAnsi" w:eastAsiaTheme="minorHAnsi" w:hAnsiTheme="minorHAnsi" w:cstheme="minorHAnsi"/>
          <w:b/>
          <w:bCs/>
          <w:sz w:val="22"/>
          <w:szCs w:val="22"/>
          <w:lang w:val="fr-CA"/>
        </w:rPr>
        <w:t>Le rapport annuel à la CFP portera seulement</w:t>
      </w:r>
      <w:r w:rsidRPr="00085A29">
        <w:rPr>
          <w:rFonts w:asciiTheme="minorHAnsi" w:eastAsiaTheme="minorHAnsi" w:hAnsiTheme="minorHAnsi" w:cstheme="minorHAnsi"/>
          <w:sz w:val="22"/>
          <w:szCs w:val="22"/>
          <w:lang w:val="fr-CA"/>
        </w:rPr>
        <w:t xml:space="preserve"> sur :</w:t>
      </w:r>
    </w:p>
    <w:p w14:paraId="3E50D4D6" w14:textId="77777777" w:rsidR="006E3CFD" w:rsidRPr="00085A29" w:rsidRDefault="006E3CFD" w:rsidP="006E3CFD">
      <w:pPr>
        <w:numPr>
          <w:ilvl w:val="0"/>
          <w:numId w:val="18"/>
        </w:numPr>
        <w:rPr>
          <w:rFonts w:asciiTheme="minorHAnsi" w:eastAsiaTheme="minorHAnsi" w:hAnsiTheme="minorHAnsi" w:cstheme="minorHAnsi"/>
          <w:sz w:val="22"/>
          <w:szCs w:val="22"/>
          <w:lang w:val="fr-CA"/>
        </w:rPr>
      </w:pPr>
      <w:proofErr w:type="gramStart"/>
      <w:r w:rsidRPr="00085A29">
        <w:rPr>
          <w:rFonts w:asciiTheme="minorHAnsi" w:eastAsiaTheme="minorHAnsi" w:hAnsiTheme="minorHAnsi" w:cstheme="minorHAnsi"/>
          <w:sz w:val="22"/>
          <w:szCs w:val="22"/>
          <w:lang w:val="fr-CA"/>
        </w:rPr>
        <w:t>l’utilisation</w:t>
      </w:r>
      <w:proofErr w:type="gramEnd"/>
      <w:r w:rsidRPr="00085A29">
        <w:rPr>
          <w:rFonts w:asciiTheme="minorHAnsi" w:eastAsiaTheme="minorHAnsi" w:hAnsiTheme="minorHAnsi" w:cstheme="minorHAnsi"/>
          <w:sz w:val="22"/>
          <w:szCs w:val="22"/>
          <w:lang w:val="fr-CA"/>
        </w:rPr>
        <w:t xml:space="preserve"> du Décret d’exemption concernant les langues officielles dans la fonction publique</w:t>
      </w:r>
    </w:p>
    <w:p w14:paraId="3E01E22B" w14:textId="77777777" w:rsidR="006E3CFD" w:rsidRPr="00085A29" w:rsidRDefault="006E3CFD" w:rsidP="006E3CFD">
      <w:pPr>
        <w:numPr>
          <w:ilvl w:val="0"/>
          <w:numId w:val="18"/>
        </w:numPr>
        <w:rPr>
          <w:rFonts w:asciiTheme="minorHAnsi" w:eastAsiaTheme="minorHAnsi" w:hAnsiTheme="minorHAnsi" w:cstheme="minorHAnsi"/>
          <w:sz w:val="22"/>
          <w:szCs w:val="22"/>
          <w:lang w:val="fr-CA"/>
        </w:rPr>
      </w:pPr>
      <w:proofErr w:type="gramStart"/>
      <w:r w:rsidRPr="00085A29">
        <w:rPr>
          <w:rFonts w:asciiTheme="minorHAnsi" w:eastAsiaTheme="minorHAnsi" w:hAnsiTheme="minorHAnsi" w:cstheme="minorHAnsi"/>
          <w:sz w:val="22"/>
          <w:szCs w:val="22"/>
          <w:lang w:val="fr-CA"/>
        </w:rPr>
        <w:t>les</w:t>
      </w:r>
      <w:proofErr w:type="gramEnd"/>
      <w:r w:rsidRPr="00085A29">
        <w:rPr>
          <w:rFonts w:asciiTheme="minorHAnsi" w:eastAsiaTheme="minorHAnsi" w:hAnsiTheme="minorHAnsi" w:cstheme="minorHAnsi"/>
          <w:sz w:val="22"/>
          <w:szCs w:val="22"/>
          <w:lang w:val="fr-CA"/>
        </w:rPr>
        <w:t xml:space="preserve"> exceptions à la zone nationale de sélection approuvée par l’administrateur général</w:t>
      </w:r>
    </w:p>
    <w:p w14:paraId="694E6FF3" w14:textId="77777777" w:rsidR="006E3CFD" w:rsidRPr="00085A29" w:rsidRDefault="006E3CFD" w:rsidP="006E3CFD">
      <w:pPr>
        <w:numPr>
          <w:ilvl w:val="0"/>
          <w:numId w:val="18"/>
        </w:numPr>
        <w:rPr>
          <w:rFonts w:asciiTheme="minorHAnsi" w:eastAsiaTheme="minorHAnsi" w:hAnsiTheme="minorHAnsi" w:cstheme="minorHAnsi"/>
          <w:sz w:val="22"/>
          <w:szCs w:val="22"/>
          <w:lang w:val="fr-CA"/>
        </w:rPr>
      </w:pPr>
      <w:proofErr w:type="gramStart"/>
      <w:r w:rsidRPr="00085A29">
        <w:rPr>
          <w:rFonts w:asciiTheme="minorHAnsi" w:eastAsiaTheme="minorHAnsi" w:hAnsiTheme="minorHAnsi" w:cstheme="minorHAnsi"/>
          <w:sz w:val="22"/>
          <w:szCs w:val="22"/>
          <w:lang w:val="fr-CA"/>
        </w:rPr>
        <w:t>les</w:t>
      </w:r>
      <w:proofErr w:type="gramEnd"/>
      <w:r w:rsidRPr="00085A29">
        <w:rPr>
          <w:rFonts w:asciiTheme="minorHAnsi" w:eastAsiaTheme="minorHAnsi" w:hAnsiTheme="minorHAnsi" w:cstheme="minorHAnsi"/>
          <w:sz w:val="22"/>
          <w:szCs w:val="22"/>
          <w:lang w:val="fr-CA"/>
        </w:rPr>
        <w:t xml:space="preserve"> résultats de toutes enquêtes internes </w:t>
      </w:r>
    </w:p>
    <w:p w14:paraId="01299F70" w14:textId="77777777" w:rsidR="006E3CFD" w:rsidRPr="00085A29" w:rsidRDefault="006E3CFD" w:rsidP="006E3CFD">
      <w:pPr>
        <w:numPr>
          <w:ilvl w:val="0"/>
          <w:numId w:val="18"/>
        </w:numPr>
        <w:rPr>
          <w:rFonts w:asciiTheme="minorHAnsi" w:eastAsiaTheme="minorHAnsi" w:hAnsiTheme="minorHAnsi" w:cstheme="minorHAnsi"/>
          <w:sz w:val="22"/>
          <w:szCs w:val="22"/>
          <w:lang w:val="fr-CA"/>
        </w:rPr>
      </w:pPr>
      <w:proofErr w:type="gramStart"/>
      <w:r w:rsidRPr="00085A29">
        <w:rPr>
          <w:rFonts w:asciiTheme="minorHAnsi" w:eastAsiaTheme="minorHAnsi" w:hAnsiTheme="minorHAnsi" w:cstheme="minorHAnsi"/>
          <w:sz w:val="22"/>
          <w:szCs w:val="22"/>
          <w:lang w:val="fr-CA"/>
        </w:rPr>
        <w:t>les</w:t>
      </w:r>
      <w:proofErr w:type="gramEnd"/>
      <w:r w:rsidRPr="00085A29">
        <w:rPr>
          <w:rFonts w:asciiTheme="minorHAnsi" w:eastAsiaTheme="minorHAnsi" w:hAnsiTheme="minorHAnsi" w:cstheme="minorHAnsi"/>
          <w:sz w:val="22"/>
          <w:szCs w:val="22"/>
          <w:lang w:val="fr-CA"/>
        </w:rPr>
        <w:t xml:space="preserve"> mesures prises à la suite de toutes enquêtes ou vérifications menées par la CFP</w:t>
      </w:r>
    </w:p>
    <w:p w14:paraId="34D63D37" w14:textId="77777777" w:rsidR="006E3CFD" w:rsidRPr="00085A29" w:rsidRDefault="006E3CFD" w:rsidP="006E3CFD">
      <w:pPr>
        <w:numPr>
          <w:ilvl w:val="0"/>
          <w:numId w:val="19"/>
        </w:numPr>
        <w:rPr>
          <w:rFonts w:asciiTheme="minorHAnsi" w:eastAsiaTheme="minorHAnsi" w:hAnsiTheme="minorHAnsi" w:cstheme="minorHAnsi"/>
          <w:sz w:val="22"/>
          <w:szCs w:val="22"/>
          <w:lang w:val="fr-CA"/>
        </w:rPr>
      </w:pPr>
      <w:r w:rsidRPr="00085A29">
        <w:rPr>
          <w:rFonts w:asciiTheme="minorHAnsi" w:eastAsiaTheme="minorHAnsi" w:hAnsiTheme="minorHAnsi" w:cstheme="minorHAnsi"/>
          <w:sz w:val="22"/>
          <w:szCs w:val="22"/>
          <w:lang w:val="fr-CA"/>
        </w:rPr>
        <w:t xml:space="preserve">L’administrateur général est responsable </w:t>
      </w:r>
      <w:r w:rsidRPr="00085A29">
        <w:rPr>
          <w:rFonts w:asciiTheme="minorHAnsi" w:eastAsiaTheme="minorHAnsi" w:hAnsiTheme="minorHAnsi" w:cstheme="minorHAnsi"/>
          <w:b/>
          <w:bCs/>
          <w:sz w:val="22"/>
          <w:szCs w:val="22"/>
          <w:lang w:val="fr-CA"/>
        </w:rPr>
        <w:t>de la surveillance continue du système de dotation</w:t>
      </w:r>
      <w:r w:rsidRPr="00085A29">
        <w:rPr>
          <w:rFonts w:asciiTheme="minorHAnsi" w:eastAsiaTheme="minorHAnsi" w:hAnsiTheme="minorHAnsi" w:cstheme="minorHAnsi"/>
          <w:sz w:val="22"/>
          <w:szCs w:val="22"/>
          <w:lang w:val="fr-CA"/>
        </w:rPr>
        <w:t xml:space="preserve"> de l’organisation en fonction de son contexte particulier</w:t>
      </w:r>
    </w:p>
    <w:p w14:paraId="19F7434C" w14:textId="77777777" w:rsidR="006E3CFD" w:rsidRPr="00085A29" w:rsidRDefault="006E3CFD" w:rsidP="006E3CFD">
      <w:pPr>
        <w:numPr>
          <w:ilvl w:val="0"/>
          <w:numId w:val="20"/>
        </w:numPr>
        <w:spacing w:after="320"/>
        <w:rPr>
          <w:rFonts w:asciiTheme="minorHAnsi" w:eastAsiaTheme="minorHAnsi" w:hAnsiTheme="minorHAnsi" w:cstheme="minorHAnsi"/>
          <w:sz w:val="22"/>
          <w:szCs w:val="22"/>
          <w:lang w:val="fr-CA"/>
        </w:rPr>
      </w:pPr>
      <w:proofErr w:type="gramStart"/>
      <w:r w:rsidRPr="00085A29">
        <w:rPr>
          <w:rFonts w:asciiTheme="minorHAnsi" w:eastAsiaTheme="minorHAnsi" w:hAnsiTheme="minorHAnsi" w:cstheme="minorHAnsi"/>
          <w:b/>
          <w:bCs/>
          <w:sz w:val="22"/>
          <w:szCs w:val="22"/>
          <w:lang w:val="fr-CA"/>
        </w:rPr>
        <w:t>examen</w:t>
      </w:r>
      <w:proofErr w:type="gramEnd"/>
      <w:r w:rsidRPr="00085A29">
        <w:rPr>
          <w:rFonts w:asciiTheme="minorHAnsi" w:eastAsiaTheme="minorHAnsi" w:hAnsiTheme="minorHAnsi" w:cstheme="minorHAnsi"/>
          <w:b/>
          <w:bCs/>
          <w:sz w:val="22"/>
          <w:szCs w:val="22"/>
          <w:lang w:val="fr-CA"/>
        </w:rPr>
        <w:t xml:space="preserve"> de la conformité aux exigences</w:t>
      </w:r>
      <w:r w:rsidRPr="00085A29">
        <w:rPr>
          <w:rFonts w:asciiTheme="minorHAnsi" w:eastAsiaTheme="minorHAnsi" w:hAnsiTheme="minorHAnsi" w:cstheme="minorHAnsi"/>
          <w:sz w:val="22"/>
          <w:szCs w:val="22"/>
          <w:lang w:val="fr-CA"/>
        </w:rPr>
        <w:t>, fondé sur les risques spécifiques de l’organisation, au moins une fois tous les cinq ans</w:t>
      </w:r>
    </w:p>
    <w:p w14:paraId="3DDD7132" w14:textId="77777777" w:rsidR="006E3CFD" w:rsidRPr="00085A29" w:rsidRDefault="006E3CFD" w:rsidP="006E3CFD">
      <w:pPr>
        <w:keepNext/>
        <w:spacing w:before="40" w:after="120"/>
        <w:outlineLvl w:val="2"/>
        <w:rPr>
          <w:rFonts w:asciiTheme="minorHAnsi" w:eastAsiaTheme="majorEastAsia" w:hAnsiTheme="minorHAnsi" w:cstheme="minorHAnsi"/>
          <w:sz w:val="22"/>
          <w:szCs w:val="22"/>
          <w:lang w:val="fr-CA"/>
        </w:rPr>
      </w:pPr>
      <w:r w:rsidRPr="00085A29">
        <w:rPr>
          <w:rFonts w:asciiTheme="minorHAnsi" w:eastAsiaTheme="majorEastAsia" w:hAnsiTheme="minorHAnsi" w:cstheme="minorHAnsi"/>
          <w:sz w:val="22"/>
          <w:szCs w:val="22"/>
          <w:lang w:val="fr-CA"/>
        </w:rPr>
        <w:t>Surveillance de la CFP</w:t>
      </w:r>
    </w:p>
    <w:p w14:paraId="734C5E4B" w14:textId="77777777" w:rsidR="006E3CFD" w:rsidRPr="00085A29" w:rsidRDefault="006E3CFD" w:rsidP="006E3CFD">
      <w:p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Axée sur l’ensemble du système</w:t>
      </w:r>
    </w:p>
    <w:p w14:paraId="53CA6492" w14:textId="77777777" w:rsidR="006E3CFD" w:rsidRPr="00085A29" w:rsidRDefault="006E3CFD" w:rsidP="006E3CFD">
      <w:pPr>
        <w:numPr>
          <w:ilvl w:val="0"/>
          <w:numId w:val="25"/>
        </w:numPr>
        <w:ind w:left="723"/>
        <w:rPr>
          <w:rFonts w:asciiTheme="minorHAnsi" w:eastAsiaTheme="minorHAnsi" w:hAnsiTheme="minorHAnsi" w:cstheme="minorHAnsi"/>
          <w:b/>
          <w:bCs/>
          <w:sz w:val="22"/>
          <w:szCs w:val="22"/>
          <w:lang w:val="fr-CA"/>
        </w:rPr>
      </w:pPr>
      <w:r w:rsidRPr="00085A29">
        <w:rPr>
          <w:rFonts w:asciiTheme="minorHAnsi" w:eastAsiaTheme="minorHAnsi" w:hAnsiTheme="minorHAnsi" w:cstheme="minorHAnsi"/>
          <w:b/>
          <w:bCs/>
          <w:sz w:val="22"/>
          <w:szCs w:val="22"/>
          <w:lang w:val="fr-CA"/>
        </w:rPr>
        <w:t xml:space="preserve">Vérification de la conformité pangouvernementale tous les deux ans </w:t>
      </w:r>
    </w:p>
    <w:p w14:paraId="168122A9" w14:textId="77777777" w:rsidR="006E3CFD" w:rsidRPr="00085A29" w:rsidRDefault="006E3CFD" w:rsidP="006E3CFD">
      <w:pPr>
        <w:numPr>
          <w:ilvl w:val="0"/>
          <w:numId w:val="25"/>
        </w:numPr>
        <w:ind w:left="723"/>
        <w:rPr>
          <w:rFonts w:asciiTheme="minorHAnsi" w:eastAsiaTheme="minorHAnsi" w:hAnsiTheme="minorHAnsi" w:cstheme="minorHAnsi"/>
          <w:sz w:val="22"/>
          <w:szCs w:val="22"/>
          <w:lang w:val="fr-CA"/>
        </w:rPr>
      </w:pPr>
      <w:r w:rsidRPr="00085A29">
        <w:rPr>
          <w:rFonts w:asciiTheme="minorHAnsi" w:eastAsiaTheme="minorHAnsi" w:hAnsiTheme="minorHAnsi" w:cstheme="minorHAnsi"/>
          <w:b/>
          <w:bCs/>
          <w:sz w:val="22"/>
          <w:szCs w:val="22"/>
          <w:lang w:val="fr-CA"/>
        </w:rPr>
        <w:t>Nouveau Sondage sur la dotation</w:t>
      </w:r>
      <w:r w:rsidRPr="00085A29">
        <w:rPr>
          <w:rFonts w:asciiTheme="minorHAnsi" w:eastAsiaTheme="minorHAnsi" w:hAnsiTheme="minorHAnsi" w:cstheme="minorHAnsi"/>
          <w:sz w:val="22"/>
          <w:szCs w:val="22"/>
          <w:lang w:val="fr-CA"/>
        </w:rPr>
        <w:t xml:space="preserve"> administré en alternance avec la vérification pangouvernementale</w:t>
      </w:r>
    </w:p>
    <w:p w14:paraId="731B7D44" w14:textId="77777777" w:rsidR="006E3CFD" w:rsidRPr="00085A29" w:rsidRDefault="006E3CFD" w:rsidP="006E3CFD">
      <w:pPr>
        <w:numPr>
          <w:ilvl w:val="0"/>
          <w:numId w:val="25"/>
        </w:numPr>
        <w:ind w:left="723"/>
        <w:rPr>
          <w:rFonts w:asciiTheme="minorHAnsi" w:eastAsiaTheme="minorHAnsi" w:hAnsiTheme="minorHAnsi" w:cstheme="minorHAnsi"/>
          <w:sz w:val="22"/>
          <w:szCs w:val="22"/>
          <w:lang w:val="fr-CA"/>
        </w:rPr>
      </w:pPr>
      <w:r w:rsidRPr="00085A29">
        <w:rPr>
          <w:rFonts w:asciiTheme="minorHAnsi" w:eastAsiaTheme="minorHAnsi" w:hAnsiTheme="minorHAnsi" w:cstheme="minorHAnsi"/>
          <w:b/>
          <w:bCs/>
          <w:sz w:val="22"/>
          <w:szCs w:val="22"/>
          <w:lang w:val="fr-CA"/>
        </w:rPr>
        <w:t>Examens de l’efficacité et de l’efficience de l’ensemble du système</w:t>
      </w:r>
      <w:r w:rsidRPr="00085A29">
        <w:rPr>
          <w:rFonts w:asciiTheme="minorHAnsi" w:eastAsiaTheme="minorHAnsi" w:hAnsiTheme="minorHAnsi" w:cstheme="minorHAnsi"/>
          <w:sz w:val="22"/>
          <w:szCs w:val="22"/>
          <w:lang w:val="fr-CA"/>
        </w:rPr>
        <w:t xml:space="preserve"> pour appuyer l’amélioration continue</w:t>
      </w:r>
    </w:p>
    <w:p w14:paraId="00A18BAC" w14:textId="77777777" w:rsidR="006E3CFD" w:rsidRPr="00085A29" w:rsidRDefault="006E3CFD" w:rsidP="006E3CFD">
      <w:pPr>
        <w:numPr>
          <w:ilvl w:val="0"/>
          <w:numId w:val="25"/>
        </w:numPr>
        <w:ind w:left="723"/>
        <w:rPr>
          <w:rFonts w:asciiTheme="minorHAnsi" w:eastAsiaTheme="minorHAnsi" w:hAnsiTheme="minorHAnsi" w:cstheme="minorHAnsi"/>
          <w:sz w:val="22"/>
          <w:szCs w:val="22"/>
          <w:lang w:val="fr-CA"/>
        </w:rPr>
      </w:pPr>
      <w:r w:rsidRPr="00085A29">
        <w:rPr>
          <w:rFonts w:asciiTheme="minorHAnsi" w:eastAsiaTheme="minorHAnsi" w:hAnsiTheme="minorHAnsi" w:cstheme="minorHAnsi"/>
          <w:b/>
          <w:bCs/>
          <w:sz w:val="22"/>
          <w:szCs w:val="22"/>
          <w:lang w:val="fr-CA"/>
        </w:rPr>
        <w:t>Vérifications ciblées de la CFP</w:t>
      </w:r>
      <w:r w:rsidRPr="00085A29">
        <w:rPr>
          <w:rFonts w:asciiTheme="minorHAnsi" w:eastAsiaTheme="minorHAnsi" w:hAnsiTheme="minorHAnsi" w:cstheme="minorHAnsi"/>
          <w:sz w:val="22"/>
          <w:szCs w:val="22"/>
          <w:lang w:val="fr-CA"/>
        </w:rPr>
        <w:t xml:space="preserve"> </w:t>
      </w:r>
      <w:proofErr w:type="gramStart"/>
      <w:r w:rsidRPr="00085A29">
        <w:rPr>
          <w:rFonts w:asciiTheme="minorHAnsi" w:eastAsiaTheme="minorHAnsi" w:hAnsiTheme="minorHAnsi" w:cstheme="minorHAnsi"/>
          <w:sz w:val="22"/>
          <w:szCs w:val="22"/>
          <w:lang w:val="fr-CA"/>
        </w:rPr>
        <w:t>suite aux</w:t>
      </w:r>
      <w:proofErr w:type="gramEnd"/>
      <w:r w:rsidRPr="00085A29">
        <w:rPr>
          <w:rFonts w:asciiTheme="minorHAnsi" w:eastAsiaTheme="minorHAnsi" w:hAnsiTheme="minorHAnsi" w:cstheme="minorHAnsi"/>
          <w:sz w:val="22"/>
          <w:szCs w:val="22"/>
          <w:lang w:val="fr-CA"/>
        </w:rPr>
        <w:t xml:space="preserve"> risques pangouvernementaux ou organisationnels identifiés, ou à la demande de l’administrateur général </w:t>
      </w:r>
    </w:p>
    <w:p w14:paraId="50780399" w14:textId="6A863690" w:rsidR="006E3CFD" w:rsidRPr="00085A29" w:rsidRDefault="006E3CFD" w:rsidP="006E3CFD">
      <w:pPr>
        <w:numPr>
          <w:ilvl w:val="0"/>
          <w:numId w:val="25"/>
        </w:numPr>
        <w:spacing w:after="320"/>
        <w:ind w:left="723"/>
        <w:rPr>
          <w:rFonts w:asciiTheme="minorHAnsi" w:eastAsiaTheme="minorHAnsi" w:hAnsiTheme="minorHAnsi" w:cstheme="minorHAnsi"/>
          <w:sz w:val="22"/>
          <w:szCs w:val="22"/>
          <w:lang w:val="fr-CA"/>
        </w:rPr>
      </w:pPr>
      <w:r w:rsidRPr="00085A29">
        <w:rPr>
          <w:rFonts w:asciiTheme="minorHAnsi" w:eastAsiaTheme="minorHAnsi" w:hAnsiTheme="minorHAnsi" w:cstheme="minorHAnsi"/>
          <w:b/>
          <w:bCs/>
          <w:sz w:val="22"/>
          <w:szCs w:val="22"/>
          <w:lang w:val="fr-CA"/>
        </w:rPr>
        <w:t>Enquêtes menées</w:t>
      </w:r>
      <w:r w:rsidRPr="00085A29">
        <w:rPr>
          <w:rFonts w:asciiTheme="minorHAnsi" w:eastAsiaTheme="minorHAnsi" w:hAnsiTheme="minorHAnsi" w:cstheme="minorHAnsi"/>
          <w:sz w:val="22"/>
          <w:szCs w:val="22"/>
          <w:lang w:val="fr-CA"/>
        </w:rPr>
        <w:t xml:space="preserve"> lorsqu’il y a lieu de croire qu’il pourrait y avoir ingérence politique, fraude ou conduite irrégulière dans le cadre d’un processus de nomination</w:t>
      </w:r>
    </w:p>
    <w:p w14:paraId="24ECE905" w14:textId="77777777" w:rsidR="00664A9D" w:rsidRPr="00085A29" w:rsidRDefault="006E3CFD" w:rsidP="006E3CFD">
      <w:pPr>
        <w:jc w:val="both"/>
        <w:rPr>
          <w:rFonts w:asciiTheme="minorHAnsi" w:eastAsiaTheme="minorHAnsi" w:hAnsiTheme="minorHAnsi" w:cstheme="minorHAnsi"/>
          <w:bCs/>
          <w:sz w:val="22"/>
          <w:szCs w:val="22"/>
          <w:lang w:val="fr-CA"/>
        </w:rPr>
        <w:sectPr w:rsidR="00664A9D" w:rsidRPr="00085A29" w:rsidSect="00664A9D">
          <w:pgSz w:w="12240" w:h="15840"/>
          <w:pgMar w:top="1440" w:right="1440" w:bottom="1440" w:left="1440" w:header="709" w:footer="284" w:gutter="0"/>
          <w:cols w:space="708"/>
          <w:titlePg/>
          <w:docGrid w:linePitch="360"/>
        </w:sectPr>
      </w:pPr>
      <w:r w:rsidRPr="00085A29">
        <w:rPr>
          <w:rFonts w:asciiTheme="minorHAnsi" w:eastAsiaTheme="minorHAnsi" w:hAnsiTheme="minorHAnsi" w:cstheme="minorHAnsi"/>
          <w:bCs/>
          <w:sz w:val="22"/>
          <w:szCs w:val="22"/>
          <w:lang w:val="fr-CA"/>
        </w:rPr>
        <w:t xml:space="preserve">Ce document doit être lu conjointement avec la </w:t>
      </w:r>
      <w:r w:rsidRPr="00085A29">
        <w:rPr>
          <w:rStyle w:val="Emphasis"/>
          <w:rFonts w:asciiTheme="minorHAnsi" w:eastAsiaTheme="minorHAnsi" w:hAnsiTheme="minorHAnsi" w:cstheme="minorHAnsi"/>
          <w:sz w:val="22"/>
          <w:szCs w:val="18"/>
          <w:lang w:val="fr-CA"/>
        </w:rPr>
        <w:t>Loi sur l’emploi dans la fonction publique</w:t>
      </w:r>
      <w:r w:rsidRPr="00085A29">
        <w:rPr>
          <w:rFonts w:asciiTheme="minorHAnsi" w:eastAsiaTheme="minorHAnsi" w:hAnsiTheme="minorHAnsi" w:cstheme="minorHAnsi"/>
          <w:bCs/>
          <w:sz w:val="22"/>
          <w:szCs w:val="22"/>
          <w:lang w:val="fr-CA"/>
        </w:rPr>
        <w:t xml:space="preserve">, le </w:t>
      </w:r>
      <w:r w:rsidRPr="00085A29">
        <w:rPr>
          <w:rStyle w:val="Emphasis"/>
          <w:rFonts w:asciiTheme="minorHAnsi" w:eastAsiaTheme="minorHAnsi" w:hAnsiTheme="minorHAnsi" w:cstheme="minorHAnsi"/>
          <w:sz w:val="22"/>
          <w:szCs w:val="18"/>
          <w:lang w:val="fr-CA"/>
        </w:rPr>
        <w:t>Règlement sur l'emploi dans la fonction publique</w:t>
      </w:r>
      <w:r w:rsidRPr="00085A29">
        <w:rPr>
          <w:rFonts w:asciiTheme="minorHAnsi" w:eastAsiaTheme="minorHAnsi" w:hAnsiTheme="minorHAnsi" w:cstheme="minorHAnsi"/>
          <w:bCs/>
          <w:sz w:val="22"/>
          <w:szCs w:val="22"/>
          <w:lang w:val="fr-CA"/>
        </w:rPr>
        <w:t>, la ligne directrice en matière de nomination de la CFP ainsi que l’Instrument de délégation et de responsabilisation en matière de nomination de la CFP.</w:t>
      </w:r>
    </w:p>
    <w:p w14:paraId="18E6CFC3" w14:textId="10859F8E" w:rsidR="004F66B5" w:rsidRPr="00085A29" w:rsidRDefault="004F66B5" w:rsidP="002C05C5">
      <w:pPr>
        <w:pStyle w:val="Heading3"/>
        <w:jc w:val="right"/>
        <w:rPr>
          <w:rFonts w:ascii="Segoe UI" w:hAnsi="Segoe UI" w:cs="Segoe UI"/>
          <w:b/>
          <w:bCs/>
          <w:lang w:val="fr-CA"/>
        </w:rPr>
      </w:pPr>
      <w:bookmarkStart w:id="2" w:name="Annexe_B"/>
      <w:r w:rsidRPr="00085A29">
        <w:rPr>
          <w:rFonts w:ascii="Segoe UI" w:hAnsi="Segoe UI" w:cs="Segoe UI"/>
          <w:b/>
          <w:bCs/>
          <w:lang w:val="fr-CA"/>
        </w:rPr>
        <w:lastRenderedPageBreak/>
        <w:t>Annexe B</w:t>
      </w:r>
    </w:p>
    <w:bookmarkEnd w:id="2"/>
    <w:p w14:paraId="7C9F038A" w14:textId="77777777" w:rsidR="002C05C5" w:rsidRPr="00085A29" w:rsidRDefault="002C05C5" w:rsidP="002C05C5">
      <w:pPr>
        <w:pStyle w:val="Heading1"/>
        <w:spacing w:before="120" w:after="120"/>
        <w:rPr>
          <w:sz w:val="40"/>
          <w:szCs w:val="40"/>
          <w:lang w:val="fr-CA"/>
        </w:rPr>
      </w:pPr>
      <w:r w:rsidRPr="00085A29">
        <w:rPr>
          <w:rFonts w:eastAsia="Times New Roman"/>
          <w:sz w:val="40"/>
          <w:szCs w:val="40"/>
          <w:lang w:val="fr-CA"/>
        </w:rPr>
        <w:t>Population selon la durée d'emploi au 31 mars</w:t>
      </w:r>
    </w:p>
    <w:p w14:paraId="3039E159" w14:textId="4C8B70FF" w:rsidR="002C05C5" w:rsidRPr="00085A29" w:rsidRDefault="00FD1620" w:rsidP="002C05C5">
      <w:pPr>
        <w:keepNext/>
        <w:jc w:val="center"/>
        <w:rPr>
          <w:lang w:val="fr-CA"/>
        </w:rPr>
      </w:pPr>
      <w:r w:rsidRPr="00085A29">
        <w:rPr>
          <w:noProof/>
          <w:lang w:val="fr-CA" w:eastAsia="en-CA"/>
        </w:rPr>
        <w:drawing>
          <wp:inline distT="0" distB="0" distL="0" distR="0" wp14:anchorId="1C7AD2D6" wp14:editId="22AE7458">
            <wp:extent cx="5648400" cy="3049200"/>
            <wp:effectExtent l="0" t="0" r="9525" b="18415"/>
            <wp:docPr id="13" name="Chart 13" descr="Population selon la durée d'emploi au 31 mar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1B9383" w14:textId="526A0F02" w:rsidR="00A6338F" w:rsidRPr="00085A29" w:rsidRDefault="002C05C5" w:rsidP="00BD5415">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003D2915" w:rsidRPr="00085A29">
        <w:rPr>
          <w:rFonts w:asciiTheme="minorHAnsi" w:hAnsiTheme="minorHAnsi" w:cstheme="minorHAnsi"/>
          <w:i w:val="0"/>
          <w:iCs w:val="0"/>
          <w:noProof/>
          <w:color w:val="auto"/>
          <w:lang w:val="fr-CA"/>
        </w:rPr>
        <w:t>1</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Population selon la durée d'emploi au 31 mars</w:t>
      </w:r>
    </w:p>
    <w:p w14:paraId="0003583D" w14:textId="1231FA75" w:rsidR="00BD5415" w:rsidRPr="00085A29" w:rsidRDefault="00BD5415" w:rsidP="00BD5415">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4</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Effectif régi par la </w:t>
      </w:r>
      <w:r w:rsidRPr="00085A29">
        <w:rPr>
          <w:rStyle w:val="Emphasis"/>
          <w:rFonts w:asciiTheme="minorHAnsi" w:hAnsiTheme="minorHAnsi" w:cstheme="minorHAnsi"/>
          <w:i/>
          <w:iCs/>
          <w:color w:val="auto"/>
          <w:lang w:val="fr-CA"/>
        </w:rPr>
        <w:t>Loi sur l’emploi dans la fonction publique</w:t>
      </w:r>
      <w:r w:rsidRPr="00085A29">
        <w:rPr>
          <w:rFonts w:asciiTheme="minorHAnsi" w:hAnsiTheme="minorHAnsi" w:cstheme="minorHAnsi"/>
          <w:i w:val="0"/>
          <w:iCs w:val="0"/>
          <w:color w:val="auto"/>
          <w:lang w:val="fr-CA"/>
        </w:rPr>
        <w:t xml:space="preserve"> au 31 mars selon la durée d’emploi</w:t>
      </w:r>
    </w:p>
    <w:tbl>
      <w:tblPr>
        <w:tblStyle w:val="TableGrid"/>
        <w:tblW w:w="5000" w:type="pct"/>
        <w:jc w:val="center"/>
        <w:tblLook w:val="0020" w:firstRow="1" w:lastRow="0" w:firstColumn="0" w:lastColumn="0" w:noHBand="0" w:noVBand="0"/>
        <w:tblDescription w:val="Effectif selon la durée d’emploi au 31 mars 2015 à 2020"/>
      </w:tblPr>
      <w:tblGrid>
        <w:gridCol w:w="2546"/>
        <w:gridCol w:w="2835"/>
        <w:gridCol w:w="2550"/>
        <w:gridCol w:w="2553"/>
        <w:gridCol w:w="2268"/>
        <w:gridCol w:w="1638"/>
      </w:tblGrid>
      <w:tr w:rsidR="0020785C" w:rsidRPr="00085A29" w14:paraId="65E8AF77" w14:textId="77777777" w:rsidTr="00A5753A">
        <w:trPr>
          <w:cantSplit/>
          <w:trHeight w:val="290"/>
          <w:tblHeader/>
          <w:jc w:val="center"/>
        </w:trPr>
        <w:tc>
          <w:tcPr>
            <w:tcW w:w="885" w:type="pct"/>
          </w:tcPr>
          <w:p w14:paraId="075AACB6" w14:textId="44714156" w:rsidR="004460BE" w:rsidRPr="00085A29" w:rsidRDefault="004460BE" w:rsidP="004460BE">
            <w:pPr>
              <w:pStyle w:val="TableTitle"/>
              <w:rPr>
                <w:color w:val="auto"/>
                <w:sz w:val="22"/>
                <w:szCs w:val="22"/>
                <w:lang w:val="fr-CA"/>
              </w:rPr>
            </w:pPr>
            <w:r w:rsidRPr="00085A29">
              <w:rPr>
                <w:rFonts w:cs="Arial"/>
                <w:color w:val="auto"/>
                <w:sz w:val="22"/>
                <w:szCs w:val="22"/>
                <w:lang w:val="fr-CA"/>
              </w:rPr>
              <w:t xml:space="preserve"> Année</w:t>
            </w:r>
          </w:p>
        </w:tc>
        <w:tc>
          <w:tcPr>
            <w:tcW w:w="985" w:type="pct"/>
          </w:tcPr>
          <w:p w14:paraId="3CA07F69" w14:textId="200FE15E" w:rsidR="004460BE" w:rsidRPr="00085A29" w:rsidRDefault="004460BE" w:rsidP="004460BE">
            <w:pPr>
              <w:pStyle w:val="TableTitle"/>
              <w:rPr>
                <w:color w:val="auto"/>
                <w:sz w:val="22"/>
                <w:szCs w:val="22"/>
                <w:lang w:val="fr-CA"/>
              </w:rPr>
            </w:pPr>
            <w:r w:rsidRPr="00085A29">
              <w:rPr>
                <w:rFonts w:cs="Arial"/>
                <w:color w:val="auto"/>
                <w:sz w:val="22"/>
                <w:szCs w:val="22"/>
                <w:lang w:val="fr-CA"/>
              </w:rPr>
              <w:t>Indéterminée</w:t>
            </w:r>
          </w:p>
        </w:tc>
        <w:tc>
          <w:tcPr>
            <w:tcW w:w="886" w:type="pct"/>
          </w:tcPr>
          <w:p w14:paraId="7444A8F2" w14:textId="361EADB3" w:rsidR="004460BE" w:rsidRPr="00085A29" w:rsidRDefault="004460BE" w:rsidP="004460BE">
            <w:pPr>
              <w:pStyle w:val="TableTitle"/>
              <w:rPr>
                <w:color w:val="auto"/>
                <w:sz w:val="22"/>
                <w:szCs w:val="22"/>
                <w:lang w:val="fr-CA"/>
              </w:rPr>
            </w:pPr>
            <w:r w:rsidRPr="00085A29">
              <w:rPr>
                <w:rFonts w:cs="Arial"/>
                <w:color w:val="auto"/>
                <w:sz w:val="22"/>
                <w:szCs w:val="22"/>
                <w:lang w:val="fr-CA"/>
              </w:rPr>
              <w:t>Déterminée</w:t>
            </w:r>
          </w:p>
        </w:tc>
        <w:tc>
          <w:tcPr>
            <w:tcW w:w="887" w:type="pct"/>
          </w:tcPr>
          <w:p w14:paraId="091248E6" w14:textId="0F3CB1DF" w:rsidR="004460BE" w:rsidRPr="00085A29" w:rsidRDefault="004460BE" w:rsidP="004460BE">
            <w:pPr>
              <w:pStyle w:val="TableTitle"/>
              <w:rPr>
                <w:color w:val="auto"/>
                <w:sz w:val="22"/>
                <w:szCs w:val="22"/>
                <w:lang w:val="fr-CA"/>
              </w:rPr>
            </w:pPr>
            <w:r w:rsidRPr="00085A29">
              <w:rPr>
                <w:rFonts w:cs="Arial"/>
                <w:color w:val="auto"/>
                <w:sz w:val="22"/>
                <w:szCs w:val="22"/>
                <w:lang w:val="fr-CA"/>
              </w:rPr>
              <w:t>Occasionnels</w:t>
            </w:r>
          </w:p>
        </w:tc>
        <w:tc>
          <w:tcPr>
            <w:tcW w:w="788" w:type="pct"/>
          </w:tcPr>
          <w:p w14:paraId="1D835222" w14:textId="298E363A" w:rsidR="004460BE" w:rsidRPr="00085A29" w:rsidRDefault="004460BE" w:rsidP="004460BE">
            <w:pPr>
              <w:pStyle w:val="TableTitle"/>
              <w:rPr>
                <w:color w:val="auto"/>
                <w:sz w:val="22"/>
                <w:szCs w:val="22"/>
                <w:lang w:val="fr-CA"/>
              </w:rPr>
            </w:pPr>
            <w:r w:rsidRPr="00085A29">
              <w:rPr>
                <w:rFonts w:cs="Arial"/>
                <w:color w:val="auto"/>
                <w:sz w:val="22"/>
                <w:szCs w:val="22"/>
                <w:lang w:val="fr-CA"/>
              </w:rPr>
              <w:t>Étudiant</w:t>
            </w:r>
          </w:p>
        </w:tc>
        <w:tc>
          <w:tcPr>
            <w:tcW w:w="569" w:type="pct"/>
          </w:tcPr>
          <w:p w14:paraId="51F2AD21" w14:textId="0C10EF50" w:rsidR="004460BE" w:rsidRPr="00085A29" w:rsidRDefault="004460BE" w:rsidP="004460BE">
            <w:pPr>
              <w:pStyle w:val="TableTitle"/>
              <w:rPr>
                <w:color w:val="auto"/>
                <w:sz w:val="22"/>
                <w:szCs w:val="22"/>
                <w:lang w:val="fr-CA"/>
              </w:rPr>
            </w:pPr>
            <w:r w:rsidRPr="00085A29">
              <w:rPr>
                <w:rFonts w:cs="Arial"/>
                <w:color w:val="auto"/>
                <w:sz w:val="22"/>
                <w:szCs w:val="22"/>
                <w:lang w:val="fr-CA"/>
              </w:rPr>
              <w:t>Total</w:t>
            </w:r>
          </w:p>
        </w:tc>
      </w:tr>
      <w:tr w:rsidR="0020785C" w:rsidRPr="00085A29" w14:paraId="019509E2" w14:textId="77777777" w:rsidTr="00A5753A">
        <w:trPr>
          <w:cantSplit/>
          <w:trHeight w:val="290"/>
          <w:tblHeader/>
          <w:jc w:val="center"/>
        </w:trPr>
        <w:tc>
          <w:tcPr>
            <w:tcW w:w="885" w:type="pct"/>
          </w:tcPr>
          <w:p w14:paraId="2AA05853" w14:textId="68A76EEA" w:rsidR="004460BE" w:rsidRPr="00085A29" w:rsidRDefault="004460BE" w:rsidP="0020785C">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Au 31 mars 2015</w:t>
            </w:r>
          </w:p>
        </w:tc>
        <w:tc>
          <w:tcPr>
            <w:tcW w:w="985" w:type="pct"/>
          </w:tcPr>
          <w:p w14:paraId="646937CD" w14:textId="747DC52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401</w:t>
            </w:r>
          </w:p>
        </w:tc>
        <w:tc>
          <w:tcPr>
            <w:tcW w:w="886" w:type="pct"/>
          </w:tcPr>
          <w:p w14:paraId="338E9089" w14:textId="5FF90E2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34</w:t>
            </w:r>
          </w:p>
        </w:tc>
        <w:tc>
          <w:tcPr>
            <w:tcW w:w="887" w:type="pct"/>
          </w:tcPr>
          <w:p w14:paraId="7F4BA22B" w14:textId="557B83C9"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w:t>
            </w:r>
          </w:p>
        </w:tc>
        <w:tc>
          <w:tcPr>
            <w:tcW w:w="788" w:type="pct"/>
          </w:tcPr>
          <w:p w14:paraId="139959FD" w14:textId="69724CB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569" w:type="pct"/>
          </w:tcPr>
          <w:p w14:paraId="7D1DF6E1" w14:textId="7D9AD5E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441</w:t>
            </w:r>
          </w:p>
        </w:tc>
      </w:tr>
      <w:tr w:rsidR="0020785C" w:rsidRPr="00085A29" w14:paraId="4951489E" w14:textId="77777777" w:rsidTr="00A5753A">
        <w:trPr>
          <w:cantSplit/>
          <w:trHeight w:val="290"/>
          <w:tblHeader/>
          <w:jc w:val="center"/>
        </w:trPr>
        <w:tc>
          <w:tcPr>
            <w:tcW w:w="885" w:type="pct"/>
          </w:tcPr>
          <w:p w14:paraId="4DA8C532" w14:textId="7ABA6722" w:rsidR="004460BE" w:rsidRPr="00085A29" w:rsidRDefault="004460BE" w:rsidP="0020785C">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Au 31 mars 2016</w:t>
            </w:r>
          </w:p>
        </w:tc>
        <w:tc>
          <w:tcPr>
            <w:tcW w:w="985" w:type="pct"/>
          </w:tcPr>
          <w:p w14:paraId="5EA1DB71" w14:textId="706635E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416</w:t>
            </w:r>
          </w:p>
        </w:tc>
        <w:tc>
          <w:tcPr>
            <w:tcW w:w="886" w:type="pct"/>
          </w:tcPr>
          <w:p w14:paraId="026C5FE9" w14:textId="37A09285"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28</w:t>
            </w:r>
          </w:p>
        </w:tc>
        <w:tc>
          <w:tcPr>
            <w:tcW w:w="887" w:type="pct"/>
          </w:tcPr>
          <w:p w14:paraId="12A829AA" w14:textId="78DBCD78"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12</w:t>
            </w:r>
          </w:p>
        </w:tc>
        <w:tc>
          <w:tcPr>
            <w:tcW w:w="788" w:type="pct"/>
          </w:tcPr>
          <w:p w14:paraId="58532531" w14:textId="2C92E82C"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w:t>
            </w:r>
          </w:p>
        </w:tc>
        <w:tc>
          <w:tcPr>
            <w:tcW w:w="569" w:type="pct"/>
          </w:tcPr>
          <w:p w14:paraId="08C6AFC2" w14:textId="5CABF2FA"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460</w:t>
            </w:r>
          </w:p>
        </w:tc>
      </w:tr>
      <w:tr w:rsidR="0020785C" w:rsidRPr="00085A29" w14:paraId="1AB68430" w14:textId="77777777" w:rsidTr="00A5753A">
        <w:trPr>
          <w:cantSplit/>
          <w:trHeight w:val="290"/>
          <w:tblHeader/>
          <w:jc w:val="center"/>
        </w:trPr>
        <w:tc>
          <w:tcPr>
            <w:tcW w:w="885" w:type="pct"/>
          </w:tcPr>
          <w:p w14:paraId="4E5BB681" w14:textId="36711D25" w:rsidR="004460BE" w:rsidRPr="00085A29" w:rsidRDefault="004460BE" w:rsidP="0020785C">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Au 31 mars 2017</w:t>
            </w:r>
          </w:p>
        </w:tc>
        <w:tc>
          <w:tcPr>
            <w:tcW w:w="985" w:type="pct"/>
          </w:tcPr>
          <w:p w14:paraId="2F755C4A" w14:textId="1033AF6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424</w:t>
            </w:r>
          </w:p>
        </w:tc>
        <w:tc>
          <w:tcPr>
            <w:tcW w:w="886" w:type="pct"/>
          </w:tcPr>
          <w:p w14:paraId="44624C2A" w14:textId="6AAF16D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35</w:t>
            </w:r>
          </w:p>
        </w:tc>
        <w:tc>
          <w:tcPr>
            <w:tcW w:w="887" w:type="pct"/>
          </w:tcPr>
          <w:p w14:paraId="0A10B377" w14:textId="37E764E2"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12</w:t>
            </w:r>
          </w:p>
        </w:tc>
        <w:tc>
          <w:tcPr>
            <w:tcW w:w="788" w:type="pct"/>
          </w:tcPr>
          <w:p w14:paraId="3DC1854B" w14:textId="4078C6DA"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569" w:type="pct"/>
          </w:tcPr>
          <w:p w14:paraId="44235667" w14:textId="3E909AD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472</w:t>
            </w:r>
          </w:p>
        </w:tc>
      </w:tr>
      <w:tr w:rsidR="0020785C" w:rsidRPr="00085A29" w14:paraId="0DDD2E16" w14:textId="77777777" w:rsidTr="00A5753A">
        <w:trPr>
          <w:cantSplit/>
          <w:trHeight w:val="290"/>
          <w:tblHeader/>
          <w:jc w:val="center"/>
        </w:trPr>
        <w:tc>
          <w:tcPr>
            <w:tcW w:w="885" w:type="pct"/>
          </w:tcPr>
          <w:p w14:paraId="66F9E5F3" w14:textId="171FC4A9" w:rsidR="004460BE" w:rsidRPr="00085A29" w:rsidRDefault="004460BE" w:rsidP="0020785C">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Au 31 mars 2018</w:t>
            </w:r>
          </w:p>
        </w:tc>
        <w:tc>
          <w:tcPr>
            <w:tcW w:w="985" w:type="pct"/>
          </w:tcPr>
          <w:p w14:paraId="1BF7842E" w14:textId="73B857F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418</w:t>
            </w:r>
          </w:p>
        </w:tc>
        <w:tc>
          <w:tcPr>
            <w:tcW w:w="886" w:type="pct"/>
          </w:tcPr>
          <w:p w14:paraId="01969794" w14:textId="6C6B0B6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45</w:t>
            </w:r>
          </w:p>
        </w:tc>
        <w:tc>
          <w:tcPr>
            <w:tcW w:w="887" w:type="pct"/>
          </w:tcPr>
          <w:p w14:paraId="0941CB75" w14:textId="2E0BE929"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w:t>
            </w:r>
          </w:p>
        </w:tc>
        <w:tc>
          <w:tcPr>
            <w:tcW w:w="788" w:type="pct"/>
          </w:tcPr>
          <w:p w14:paraId="3C26EDF2" w14:textId="09F76DEF"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w:t>
            </w:r>
          </w:p>
        </w:tc>
        <w:tc>
          <w:tcPr>
            <w:tcW w:w="569" w:type="pct"/>
          </w:tcPr>
          <w:p w14:paraId="3C8322DC" w14:textId="7F72D722"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475</w:t>
            </w:r>
          </w:p>
        </w:tc>
      </w:tr>
      <w:tr w:rsidR="0020785C" w:rsidRPr="00085A29" w14:paraId="72B3AE3A" w14:textId="77777777" w:rsidTr="00A5753A">
        <w:trPr>
          <w:cantSplit/>
          <w:trHeight w:val="290"/>
          <w:tblHeader/>
          <w:jc w:val="center"/>
        </w:trPr>
        <w:tc>
          <w:tcPr>
            <w:tcW w:w="885" w:type="pct"/>
          </w:tcPr>
          <w:p w14:paraId="793DC580" w14:textId="6530090D" w:rsidR="004460BE" w:rsidRPr="00085A29" w:rsidRDefault="004460BE" w:rsidP="0020785C">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Au 31 mars 2019</w:t>
            </w:r>
          </w:p>
        </w:tc>
        <w:tc>
          <w:tcPr>
            <w:tcW w:w="985" w:type="pct"/>
          </w:tcPr>
          <w:p w14:paraId="51CEB297" w14:textId="46F4DBA2"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422</w:t>
            </w:r>
          </w:p>
        </w:tc>
        <w:tc>
          <w:tcPr>
            <w:tcW w:w="886" w:type="pct"/>
          </w:tcPr>
          <w:p w14:paraId="01A624B3" w14:textId="5B69E9F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40</w:t>
            </w:r>
          </w:p>
        </w:tc>
        <w:tc>
          <w:tcPr>
            <w:tcW w:w="887" w:type="pct"/>
          </w:tcPr>
          <w:p w14:paraId="5DDA9256" w14:textId="09BA73AF"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9</w:t>
            </w:r>
          </w:p>
        </w:tc>
        <w:tc>
          <w:tcPr>
            <w:tcW w:w="788" w:type="pct"/>
          </w:tcPr>
          <w:p w14:paraId="252CC6A3" w14:textId="5616AF1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569" w:type="pct"/>
          </w:tcPr>
          <w:p w14:paraId="41CD0E8A" w14:textId="6ED59D4F"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472</w:t>
            </w:r>
          </w:p>
        </w:tc>
      </w:tr>
      <w:tr w:rsidR="0020785C" w:rsidRPr="00085A29" w14:paraId="7D3CA86B" w14:textId="77777777" w:rsidTr="00A5753A">
        <w:trPr>
          <w:cantSplit/>
          <w:trHeight w:val="290"/>
          <w:tblHeader/>
          <w:jc w:val="center"/>
        </w:trPr>
        <w:tc>
          <w:tcPr>
            <w:tcW w:w="885" w:type="pct"/>
          </w:tcPr>
          <w:p w14:paraId="722FEF10" w14:textId="7D3099FA" w:rsidR="004460BE" w:rsidRPr="00085A29" w:rsidRDefault="004460BE" w:rsidP="0020785C">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Au 31 mars 2020</w:t>
            </w:r>
          </w:p>
        </w:tc>
        <w:tc>
          <w:tcPr>
            <w:tcW w:w="985" w:type="pct"/>
          </w:tcPr>
          <w:p w14:paraId="33F32CBA" w14:textId="4C2A3F8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435</w:t>
            </w:r>
          </w:p>
        </w:tc>
        <w:tc>
          <w:tcPr>
            <w:tcW w:w="886" w:type="pct"/>
          </w:tcPr>
          <w:p w14:paraId="1307B56A" w14:textId="4659197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56</w:t>
            </w:r>
          </w:p>
        </w:tc>
        <w:tc>
          <w:tcPr>
            <w:tcW w:w="887" w:type="pct"/>
          </w:tcPr>
          <w:p w14:paraId="29C74ED1" w14:textId="1B53EAA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9</w:t>
            </w:r>
          </w:p>
        </w:tc>
        <w:tc>
          <w:tcPr>
            <w:tcW w:w="788" w:type="pct"/>
          </w:tcPr>
          <w:p w14:paraId="5E278150" w14:textId="6C2D660C"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569" w:type="pct"/>
          </w:tcPr>
          <w:p w14:paraId="2C98CEA7" w14:textId="2FAC58D6"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500</w:t>
            </w:r>
          </w:p>
        </w:tc>
      </w:tr>
    </w:tbl>
    <w:p w14:paraId="1B160337" w14:textId="2DC27814" w:rsidR="00A6338F" w:rsidRPr="00085A29" w:rsidRDefault="00A6338F" w:rsidP="00A6338F">
      <w:pPr>
        <w:rPr>
          <w:rFonts w:asciiTheme="minorHAnsi" w:hAnsiTheme="minorHAnsi" w:cstheme="minorHAnsi"/>
          <w:sz w:val="22"/>
          <w:szCs w:val="22"/>
          <w:lang w:val="fr-CA"/>
        </w:rPr>
      </w:pPr>
    </w:p>
    <w:p w14:paraId="446BF526" w14:textId="77777777" w:rsidR="00651E4A" w:rsidRPr="00085A29" w:rsidRDefault="00651E4A" w:rsidP="00A6338F">
      <w:pPr>
        <w:rPr>
          <w:rFonts w:asciiTheme="minorHAnsi" w:hAnsiTheme="minorHAnsi" w:cstheme="minorHAnsi"/>
          <w:sz w:val="22"/>
          <w:szCs w:val="22"/>
          <w:lang w:val="fr-CA"/>
        </w:rPr>
        <w:sectPr w:rsidR="00651E4A" w:rsidRPr="00085A29" w:rsidSect="00BD5415">
          <w:pgSz w:w="15840" w:h="12240" w:orient="landscape"/>
          <w:pgMar w:top="720" w:right="720" w:bottom="720" w:left="720" w:header="709" w:footer="284" w:gutter="0"/>
          <w:cols w:space="708"/>
          <w:titlePg/>
          <w:docGrid w:linePitch="360"/>
        </w:sectPr>
      </w:pPr>
    </w:p>
    <w:p w14:paraId="30E9DA46" w14:textId="77777777" w:rsidR="007B2036" w:rsidRPr="00085A29" w:rsidRDefault="007B2036" w:rsidP="007B2036">
      <w:pPr>
        <w:pStyle w:val="Heading1"/>
        <w:spacing w:before="120" w:after="120"/>
        <w:rPr>
          <w:sz w:val="40"/>
          <w:szCs w:val="40"/>
          <w:lang w:val="fr-CA"/>
        </w:rPr>
      </w:pPr>
      <w:r w:rsidRPr="00085A29">
        <w:rPr>
          <w:rFonts w:eastAsia="Times New Roman"/>
          <w:sz w:val="40"/>
          <w:szCs w:val="40"/>
          <w:lang w:val="fr-CA"/>
        </w:rPr>
        <w:lastRenderedPageBreak/>
        <w:t>Population selon le profil linguistique au 31 mars 2020</w:t>
      </w:r>
    </w:p>
    <w:p w14:paraId="11E352B4" w14:textId="77777777" w:rsidR="007B2036" w:rsidRPr="00085A29" w:rsidRDefault="00FD1620" w:rsidP="007B2036">
      <w:pPr>
        <w:keepNext/>
        <w:jc w:val="center"/>
        <w:rPr>
          <w:lang w:val="fr-CA"/>
        </w:rPr>
      </w:pPr>
      <w:r w:rsidRPr="00085A29">
        <w:rPr>
          <w:noProof/>
          <w:lang w:val="fr-CA" w:eastAsia="en-CA"/>
        </w:rPr>
        <w:drawing>
          <wp:inline distT="0" distB="0" distL="0" distR="0" wp14:anchorId="77BC2D0C" wp14:editId="5F362E78">
            <wp:extent cx="1980000" cy="3020400"/>
            <wp:effectExtent l="0" t="0" r="1270" b="8890"/>
            <wp:docPr id="6" name="Chart 18" descr="Population selon le profil linguistique au 31 mars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856AE3" w14:textId="61DBC78F" w:rsidR="00651E4A" w:rsidRPr="00085A29" w:rsidRDefault="007B2036" w:rsidP="007B2036">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003D2915" w:rsidRPr="00085A29">
        <w:rPr>
          <w:rFonts w:asciiTheme="minorHAnsi" w:hAnsiTheme="minorHAnsi" w:cstheme="minorHAnsi"/>
          <w:i w:val="0"/>
          <w:iCs w:val="0"/>
          <w:noProof/>
          <w:color w:val="auto"/>
          <w:lang w:val="fr-CA"/>
        </w:rPr>
        <w:t>2</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Population selon le profil linguistique au 31 mars 2020</w:t>
      </w:r>
    </w:p>
    <w:p w14:paraId="4797C543" w14:textId="4D224FCA" w:rsidR="007B2036" w:rsidRPr="00085A29" w:rsidRDefault="007B2036" w:rsidP="007B2036">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5</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Effectif régi par la </w:t>
      </w:r>
      <w:r w:rsidRPr="00085A29">
        <w:rPr>
          <w:rStyle w:val="Emphasis"/>
          <w:rFonts w:asciiTheme="minorHAnsi" w:hAnsiTheme="minorHAnsi" w:cstheme="minorHAnsi"/>
          <w:i/>
          <w:iCs/>
          <w:color w:val="auto"/>
          <w:lang w:val="fr-CA"/>
        </w:rPr>
        <w:t>Loi sur l’emploi dans la fonction publique</w:t>
      </w:r>
      <w:r w:rsidRPr="00085A29">
        <w:rPr>
          <w:rFonts w:asciiTheme="minorHAnsi" w:hAnsiTheme="minorHAnsi" w:cstheme="minorHAnsi"/>
          <w:i w:val="0"/>
          <w:iCs w:val="0"/>
          <w:color w:val="auto"/>
          <w:lang w:val="fr-CA"/>
        </w:rPr>
        <w:t xml:space="preserve"> selon le profil linguistique au 31 mars 2020</w:t>
      </w:r>
    </w:p>
    <w:tbl>
      <w:tblPr>
        <w:tblStyle w:val="TableGrid"/>
        <w:tblW w:w="5000" w:type="pct"/>
        <w:jc w:val="center"/>
        <w:tblLook w:val="0020" w:firstRow="1" w:lastRow="0" w:firstColumn="0" w:lastColumn="0" w:noHBand="0" w:noVBand="0"/>
        <w:tblDescription w:val="Effectif selon le profil linguistique au 31 mars 2020"/>
      </w:tblPr>
      <w:tblGrid>
        <w:gridCol w:w="3822"/>
        <w:gridCol w:w="5244"/>
        <w:gridCol w:w="5324"/>
      </w:tblGrid>
      <w:tr w:rsidR="007B2036" w:rsidRPr="00085A29" w14:paraId="4E990CA4" w14:textId="77777777" w:rsidTr="001D692D">
        <w:trPr>
          <w:cantSplit/>
          <w:trHeight w:val="290"/>
          <w:tblHeader/>
          <w:jc w:val="center"/>
        </w:trPr>
        <w:tc>
          <w:tcPr>
            <w:tcW w:w="1328" w:type="pct"/>
          </w:tcPr>
          <w:p w14:paraId="501335C3" w14:textId="51920A40" w:rsidR="004460BE" w:rsidRPr="00085A29" w:rsidRDefault="004460BE" w:rsidP="007B2036">
            <w:pPr>
              <w:pStyle w:val="TableTitle"/>
              <w:rPr>
                <w:rFonts w:asciiTheme="minorHAnsi" w:hAnsiTheme="minorHAnsi" w:cstheme="minorHAnsi"/>
                <w:color w:val="auto"/>
                <w:sz w:val="22"/>
                <w:szCs w:val="22"/>
                <w:lang w:val="fr-CA"/>
              </w:rPr>
            </w:pPr>
            <w:r w:rsidRPr="00085A29">
              <w:rPr>
                <w:color w:val="auto"/>
                <w:sz w:val="22"/>
                <w:szCs w:val="22"/>
                <w:lang w:val="fr-CA"/>
              </w:rPr>
              <w:t xml:space="preserve">Profil linguistique  </w:t>
            </w:r>
          </w:p>
        </w:tc>
        <w:tc>
          <w:tcPr>
            <w:tcW w:w="1822" w:type="pct"/>
          </w:tcPr>
          <w:p w14:paraId="0C02473F" w14:textId="196B1225" w:rsidR="004460BE" w:rsidRPr="00085A29" w:rsidRDefault="004460BE" w:rsidP="007B2036">
            <w:pPr>
              <w:pStyle w:val="TableTitle"/>
              <w:rPr>
                <w:rFonts w:asciiTheme="minorHAnsi" w:hAnsiTheme="minorHAnsi" w:cstheme="minorHAnsi"/>
                <w:color w:val="auto"/>
                <w:sz w:val="22"/>
                <w:szCs w:val="22"/>
                <w:lang w:val="fr-CA"/>
              </w:rPr>
            </w:pPr>
            <w:r w:rsidRPr="00085A29">
              <w:rPr>
                <w:color w:val="auto"/>
                <w:sz w:val="22"/>
                <w:szCs w:val="22"/>
                <w:lang w:val="fr-CA"/>
              </w:rPr>
              <w:t>Effectif au 31 mars 2020</w:t>
            </w:r>
          </w:p>
        </w:tc>
        <w:tc>
          <w:tcPr>
            <w:tcW w:w="1850" w:type="pct"/>
          </w:tcPr>
          <w:p w14:paraId="4E73E15A" w14:textId="14C757E6" w:rsidR="004460BE" w:rsidRPr="00085A29" w:rsidRDefault="004460BE" w:rsidP="007B2036">
            <w:pPr>
              <w:pStyle w:val="TableTitle"/>
              <w:rPr>
                <w:rFonts w:asciiTheme="minorHAnsi" w:hAnsiTheme="minorHAnsi" w:cstheme="minorHAnsi"/>
                <w:color w:val="auto"/>
                <w:sz w:val="22"/>
                <w:szCs w:val="22"/>
                <w:lang w:val="fr-CA"/>
              </w:rPr>
            </w:pPr>
            <w:r w:rsidRPr="00085A29">
              <w:rPr>
                <w:color w:val="auto"/>
                <w:sz w:val="22"/>
                <w:szCs w:val="22"/>
                <w:lang w:val="fr-CA"/>
              </w:rPr>
              <w:t>Pourcentage de l'effectif au 31 mars 2020</w:t>
            </w:r>
          </w:p>
        </w:tc>
      </w:tr>
      <w:tr w:rsidR="007B2036" w:rsidRPr="00085A29" w14:paraId="0DFBFA9A" w14:textId="77777777" w:rsidTr="001D692D">
        <w:trPr>
          <w:cantSplit/>
          <w:trHeight w:val="290"/>
          <w:tblHeader/>
          <w:jc w:val="center"/>
        </w:trPr>
        <w:tc>
          <w:tcPr>
            <w:tcW w:w="1328" w:type="pct"/>
          </w:tcPr>
          <w:p w14:paraId="6086CC56" w14:textId="643C2571"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Bilingue </w:t>
            </w:r>
          </w:p>
        </w:tc>
        <w:tc>
          <w:tcPr>
            <w:tcW w:w="1822" w:type="pct"/>
          </w:tcPr>
          <w:p w14:paraId="2E59FA80" w14:textId="1917B086"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87</w:t>
            </w:r>
          </w:p>
        </w:tc>
        <w:tc>
          <w:tcPr>
            <w:tcW w:w="1850" w:type="pct"/>
          </w:tcPr>
          <w:p w14:paraId="4CEBD29F" w14:textId="57A440A1"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19%</w:t>
            </w:r>
          </w:p>
        </w:tc>
      </w:tr>
      <w:tr w:rsidR="007B2036" w:rsidRPr="00085A29" w14:paraId="250A1030" w14:textId="77777777" w:rsidTr="001D692D">
        <w:trPr>
          <w:cantSplit/>
          <w:trHeight w:val="290"/>
          <w:tblHeader/>
          <w:jc w:val="center"/>
        </w:trPr>
        <w:tc>
          <w:tcPr>
            <w:tcW w:w="1328" w:type="pct"/>
          </w:tcPr>
          <w:p w14:paraId="16C99B72" w14:textId="4886F26D"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Unilingue</w:t>
            </w:r>
          </w:p>
        </w:tc>
        <w:tc>
          <w:tcPr>
            <w:tcW w:w="1822" w:type="pct"/>
          </w:tcPr>
          <w:p w14:paraId="4F5D326A" w14:textId="6D6ECB68"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363</w:t>
            </w:r>
          </w:p>
        </w:tc>
        <w:tc>
          <w:tcPr>
            <w:tcW w:w="1850" w:type="pct"/>
          </w:tcPr>
          <w:p w14:paraId="4563E9B8" w14:textId="5A87533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81%</w:t>
            </w:r>
          </w:p>
        </w:tc>
      </w:tr>
      <w:tr w:rsidR="007B2036" w:rsidRPr="00085A29" w14:paraId="5B795430" w14:textId="77777777" w:rsidTr="001D692D">
        <w:trPr>
          <w:cantSplit/>
          <w:trHeight w:val="290"/>
          <w:tblHeader/>
          <w:jc w:val="center"/>
        </w:trPr>
        <w:tc>
          <w:tcPr>
            <w:tcW w:w="1328" w:type="pct"/>
          </w:tcPr>
          <w:p w14:paraId="0E1BBAD6" w14:textId="1577D394"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Inconnus</w:t>
            </w:r>
          </w:p>
        </w:tc>
        <w:tc>
          <w:tcPr>
            <w:tcW w:w="1822" w:type="pct"/>
          </w:tcPr>
          <w:p w14:paraId="58DB5C76" w14:textId="61AD7395"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50</w:t>
            </w:r>
          </w:p>
        </w:tc>
        <w:tc>
          <w:tcPr>
            <w:tcW w:w="1850" w:type="pct"/>
          </w:tcPr>
          <w:p w14:paraId="727707F6" w14:textId="1141B326" w:rsidR="004460BE" w:rsidRPr="00085A29" w:rsidRDefault="007B2036"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r>
    </w:tbl>
    <w:p w14:paraId="589F9DF6" w14:textId="6090118F" w:rsidR="00A6338F" w:rsidRPr="00085A29" w:rsidRDefault="00A6338F" w:rsidP="00A6338F">
      <w:pPr>
        <w:rPr>
          <w:rFonts w:asciiTheme="minorHAnsi" w:hAnsiTheme="minorHAnsi" w:cstheme="minorHAnsi"/>
          <w:sz w:val="22"/>
          <w:szCs w:val="22"/>
          <w:lang w:val="fr-CA"/>
        </w:rPr>
      </w:pPr>
    </w:p>
    <w:p w14:paraId="0720D237" w14:textId="77777777" w:rsidR="00651E4A" w:rsidRPr="00085A29" w:rsidRDefault="00651E4A" w:rsidP="00A6338F">
      <w:pPr>
        <w:rPr>
          <w:rFonts w:asciiTheme="minorHAnsi" w:hAnsiTheme="minorHAnsi" w:cstheme="minorHAnsi"/>
          <w:sz w:val="22"/>
          <w:szCs w:val="22"/>
          <w:lang w:val="fr-CA"/>
        </w:rPr>
        <w:sectPr w:rsidR="00651E4A" w:rsidRPr="00085A29" w:rsidSect="007B2036">
          <w:pgSz w:w="15840" w:h="12240" w:orient="landscape"/>
          <w:pgMar w:top="720" w:right="720" w:bottom="720" w:left="720" w:header="709" w:footer="284" w:gutter="0"/>
          <w:cols w:space="708"/>
          <w:titlePg/>
          <w:docGrid w:linePitch="360"/>
        </w:sectPr>
      </w:pPr>
    </w:p>
    <w:p w14:paraId="029EAF1B" w14:textId="77777777" w:rsidR="001D692D" w:rsidRPr="00085A29" w:rsidRDefault="001D692D" w:rsidP="001D692D">
      <w:pPr>
        <w:pStyle w:val="Heading1"/>
        <w:spacing w:before="120" w:after="120"/>
        <w:rPr>
          <w:sz w:val="40"/>
          <w:szCs w:val="40"/>
          <w:lang w:val="fr-CA"/>
        </w:rPr>
      </w:pPr>
      <w:r w:rsidRPr="00085A29">
        <w:rPr>
          <w:rFonts w:eastAsia="Times New Roman"/>
          <w:sz w:val="40"/>
          <w:szCs w:val="40"/>
          <w:lang w:val="fr-CA"/>
        </w:rPr>
        <w:lastRenderedPageBreak/>
        <w:t>Population selon le groupe professionnel au 31 mars 2020</w:t>
      </w:r>
    </w:p>
    <w:p w14:paraId="70428F44" w14:textId="77777777" w:rsidR="001D692D" w:rsidRPr="00085A29" w:rsidRDefault="00FD1620" w:rsidP="001D692D">
      <w:pPr>
        <w:keepNext/>
        <w:jc w:val="center"/>
        <w:rPr>
          <w:lang w:val="fr-CA"/>
        </w:rPr>
      </w:pPr>
      <w:r w:rsidRPr="00085A29">
        <w:rPr>
          <w:noProof/>
          <w:lang w:val="fr-CA" w:eastAsia="en-CA"/>
        </w:rPr>
        <w:drawing>
          <wp:inline distT="0" distB="0" distL="0" distR="0" wp14:anchorId="38DBFA05" wp14:editId="1239DA02">
            <wp:extent cx="1980000" cy="3020400"/>
            <wp:effectExtent l="0" t="0" r="1270" b="8890"/>
            <wp:docPr id="11" name="Chart 5" descr="Population selon le groupe professionnel au 31 mars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FE8187" w14:textId="2F597B77" w:rsidR="00651E4A" w:rsidRPr="00085A29" w:rsidRDefault="001D692D" w:rsidP="001D692D">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003D2915" w:rsidRPr="00085A29">
        <w:rPr>
          <w:rFonts w:asciiTheme="minorHAnsi" w:hAnsiTheme="minorHAnsi" w:cstheme="minorHAnsi"/>
          <w:i w:val="0"/>
          <w:iCs w:val="0"/>
          <w:noProof/>
          <w:color w:val="auto"/>
          <w:lang w:val="fr-CA"/>
        </w:rPr>
        <w:t>3</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Population selon le groupe professionnel au 31 mars 2020</w:t>
      </w:r>
    </w:p>
    <w:p w14:paraId="635A75C7" w14:textId="35B1B89D" w:rsidR="001D692D" w:rsidRPr="00085A29" w:rsidRDefault="001D692D" w:rsidP="001D692D">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6</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Groupes d’emploi, pourcentage de l'effectif régi par la </w:t>
      </w:r>
      <w:r w:rsidRPr="00085A29">
        <w:rPr>
          <w:rStyle w:val="Emphasis"/>
          <w:rFonts w:asciiTheme="minorHAnsi" w:hAnsiTheme="minorHAnsi" w:cstheme="minorHAnsi"/>
          <w:i/>
          <w:iCs/>
          <w:color w:val="auto"/>
          <w:lang w:val="fr-CA"/>
        </w:rPr>
        <w:t>Loi sur l’emploi dans la fonction publique</w:t>
      </w:r>
      <w:r w:rsidRPr="00085A29">
        <w:rPr>
          <w:rFonts w:asciiTheme="minorHAnsi" w:hAnsiTheme="minorHAnsi" w:cstheme="minorHAnsi"/>
          <w:i w:val="0"/>
          <w:iCs w:val="0"/>
          <w:color w:val="auto"/>
          <w:lang w:val="fr-CA"/>
        </w:rPr>
        <w:t xml:space="preserve"> au 31 mars 2020</w:t>
      </w:r>
    </w:p>
    <w:tbl>
      <w:tblPr>
        <w:tblStyle w:val="TableGrid"/>
        <w:tblW w:w="5000" w:type="pct"/>
        <w:jc w:val="center"/>
        <w:tblLook w:val="0020" w:firstRow="1" w:lastRow="0" w:firstColumn="0" w:lastColumn="0" w:noHBand="0" w:noVBand="0"/>
        <w:tblDescription w:val="Effectif selon le groupe professionnel au 31 mars 2020"/>
      </w:tblPr>
      <w:tblGrid>
        <w:gridCol w:w="5350"/>
        <w:gridCol w:w="3937"/>
        <w:gridCol w:w="5103"/>
      </w:tblGrid>
      <w:tr w:rsidR="001D692D" w:rsidRPr="00085A29" w14:paraId="5C224128" w14:textId="77777777" w:rsidTr="001D692D">
        <w:trPr>
          <w:cantSplit/>
          <w:trHeight w:val="290"/>
          <w:tblHeader/>
          <w:jc w:val="center"/>
        </w:trPr>
        <w:tc>
          <w:tcPr>
            <w:tcW w:w="1859" w:type="pct"/>
          </w:tcPr>
          <w:p w14:paraId="6EC58930" w14:textId="34A36FFB" w:rsidR="004460BE" w:rsidRPr="00085A29" w:rsidRDefault="004460BE" w:rsidP="001D692D">
            <w:pPr>
              <w:pStyle w:val="TableTitle"/>
              <w:rPr>
                <w:rFonts w:asciiTheme="minorHAnsi" w:hAnsiTheme="minorHAnsi" w:cstheme="minorHAnsi"/>
                <w:color w:val="auto"/>
                <w:sz w:val="22"/>
                <w:szCs w:val="22"/>
                <w:lang w:val="fr-CA"/>
              </w:rPr>
            </w:pPr>
            <w:r w:rsidRPr="00085A29">
              <w:rPr>
                <w:color w:val="auto"/>
                <w:sz w:val="22"/>
                <w:szCs w:val="22"/>
                <w:lang w:val="fr-CA"/>
              </w:rPr>
              <w:t>Groupes professionnels</w:t>
            </w:r>
          </w:p>
        </w:tc>
        <w:tc>
          <w:tcPr>
            <w:tcW w:w="1368" w:type="pct"/>
          </w:tcPr>
          <w:p w14:paraId="2B2CE7CE" w14:textId="487D37E9" w:rsidR="004460BE" w:rsidRPr="00085A29" w:rsidRDefault="004460BE" w:rsidP="001D692D">
            <w:pPr>
              <w:pStyle w:val="TableTitle"/>
              <w:rPr>
                <w:rFonts w:asciiTheme="minorHAnsi" w:hAnsiTheme="minorHAnsi" w:cstheme="minorHAnsi"/>
                <w:color w:val="auto"/>
                <w:sz w:val="22"/>
                <w:szCs w:val="22"/>
                <w:lang w:val="fr-CA"/>
              </w:rPr>
            </w:pPr>
            <w:r w:rsidRPr="00085A29">
              <w:rPr>
                <w:color w:val="auto"/>
                <w:sz w:val="22"/>
                <w:szCs w:val="22"/>
                <w:lang w:val="fr-CA"/>
              </w:rPr>
              <w:t>Effectif au 31 mars 2020</w:t>
            </w:r>
          </w:p>
        </w:tc>
        <w:tc>
          <w:tcPr>
            <w:tcW w:w="1773" w:type="pct"/>
          </w:tcPr>
          <w:p w14:paraId="74C59CEE" w14:textId="79AA70A0" w:rsidR="004460BE" w:rsidRPr="00085A29" w:rsidRDefault="004460BE" w:rsidP="001D692D">
            <w:pPr>
              <w:pStyle w:val="TableTitle"/>
              <w:rPr>
                <w:rFonts w:asciiTheme="minorHAnsi" w:hAnsiTheme="minorHAnsi" w:cstheme="minorHAnsi"/>
                <w:color w:val="auto"/>
                <w:sz w:val="22"/>
                <w:szCs w:val="22"/>
                <w:lang w:val="fr-CA"/>
              </w:rPr>
            </w:pPr>
            <w:r w:rsidRPr="00085A29">
              <w:rPr>
                <w:color w:val="auto"/>
                <w:sz w:val="22"/>
                <w:szCs w:val="22"/>
                <w:lang w:val="fr-CA"/>
              </w:rPr>
              <w:t>Pourcentage de l'effectif au 31 mars 2020</w:t>
            </w:r>
          </w:p>
        </w:tc>
      </w:tr>
      <w:tr w:rsidR="001D692D" w:rsidRPr="00085A29" w14:paraId="552A0296" w14:textId="77777777" w:rsidTr="001D692D">
        <w:trPr>
          <w:cantSplit/>
          <w:trHeight w:val="290"/>
          <w:tblHeader/>
          <w:jc w:val="center"/>
        </w:trPr>
        <w:tc>
          <w:tcPr>
            <w:tcW w:w="1859" w:type="pct"/>
          </w:tcPr>
          <w:p w14:paraId="292A8E8C" w14:textId="6100A06F"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NB – Employés de l’Office national de l’énergie</w:t>
            </w:r>
          </w:p>
        </w:tc>
        <w:tc>
          <w:tcPr>
            <w:tcW w:w="1368" w:type="pct"/>
          </w:tcPr>
          <w:p w14:paraId="60AB63BA" w14:textId="54D7688A"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500</w:t>
            </w:r>
          </w:p>
        </w:tc>
        <w:tc>
          <w:tcPr>
            <w:tcW w:w="1773" w:type="pct"/>
          </w:tcPr>
          <w:p w14:paraId="2A1DD2BA" w14:textId="3129E8E7"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100%</w:t>
            </w:r>
          </w:p>
        </w:tc>
      </w:tr>
    </w:tbl>
    <w:p w14:paraId="475B6BCD" w14:textId="229AFBB6" w:rsidR="00A6338F" w:rsidRPr="00085A29" w:rsidRDefault="00A6338F" w:rsidP="00A6338F">
      <w:pPr>
        <w:rPr>
          <w:rFonts w:asciiTheme="minorHAnsi" w:hAnsiTheme="minorHAnsi" w:cstheme="minorHAnsi"/>
          <w:sz w:val="22"/>
          <w:szCs w:val="22"/>
          <w:lang w:val="fr-CA"/>
        </w:rPr>
      </w:pPr>
    </w:p>
    <w:p w14:paraId="34F82D81" w14:textId="77777777" w:rsidR="00651E4A" w:rsidRPr="00085A29" w:rsidRDefault="00651E4A" w:rsidP="00A6338F">
      <w:pPr>
        <w:rPr>
          <w:rFonts w:asciiTheme="minorHAnsi" w:hAnsiTheme="minorHAnsi" w:cstheme="minorHAnsi"/>
          <w:sz w:val="22"/>
          <w:szCs w:val="22"/>
          <w:lang w:val="fr-CA"/>
        </w:rPr>
        <w:sectPr w:rsidR="00651E4A" w:rsidRPr="00085A29" w:rsidSect="001D692D">
          <w:pgSz w:w="15840" w:h="12240" w:orient="landscape"/>
          <w:pgMar w:top="720" w:right="720" w:bottom="720" w:left="720" w:header="709" w:footer="284" w:gutter="0"/>
          <w:cols w:space="708"/>
          <w:titlePg/>
          <w:docGrid w:linePitch="360"/>
        </w:sectPr>
      </w:pPr>
    </w:p>
    <w:p w14:paraId="614F9240" w14:textId="2422B2BC" w:rsidR="001D692D" w:rsidRPr="00085A29" w:rsidRDefault="001D692D" w:rsidP="001D692D">
      <w:pPr>
        <w:pStyle w:val="Heading1"/>
        <w:spacing w:before="120" w:after="120"/>
        <w:rPr>
          <w:sz w:val="40"/>
          <w:szCs w:val="40"/>
          <w:lang w:val="fr-CA"/>
        </w:rPr>
      </w:pPr>
      <w:r w:rsidRPr="00085A29">
        <w:rPr>
          <w:sz w:val="40"/>
          <w:szCs w:val="40"/>
          <w:lang w:val="fr-CA"/>
        </w:rPr>
        <w:lastRenderedPageBreak/>
        <w:t>Population selon la région au 31 mars 2020</w:t>
      </w:r>
    </w:p>
    <w:p w14:paraId="3249E046" w14:textId="77777777" w:rsidR="001D692D" w:rsidRPr="00085A29" w:rsidRDefault="00FD1620" w:rsidP="001D692D">
      <w:pPr>
        <w:keepNext/>
        <w:jc w:val="center"/>
        <w:rPr>
          <w:lang w:val="fr-CA"/>
        </w:rPr>
      </w:pPr>
      <w:r w:rsidRPr="00085A29">
        <w:rPr>
          <w:noProof/>
          <w:lang w:val="fr-CA" w:eastAsia="en-CA"/>
        </w:rPr>
        <w:drawing>
          <wp:inline distT="0" distB="0" distL="0" distR="0" wp14:anchorId="426D7161" wp14:editId="2C80594C">
            <wp:extent cx="1980000" cy="3020400"/>
            <wp:effectExtent l="0" t="0" r="1270" b="8890"/>
            <wp:docPr id="12" name="Chart 15" descr="Population selon la région au 31 mars 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B72FF0" w14:textId="05C472EB" w:rsidR="00651E4A" w:rsidRPr="00DD5A7F" w:rsidRDefault="001D692D" w:rsidP="001D692D">
      <w:pPr>
        <w:pStyle w:val="Caption"/>
        <w:spacing w:after="0"/>
        <w:jc w:val="center"/>
        <w:rPr>
          <w:rFonts w:asciiTheme="minorHAnsi" w:hAnsiTheme="minorHAnsi" w:cstheme="minorHAnsi"/>
          <w:i w:val="0"/>
          <w:iCs w:val="0"/>
          <w:color w:val="auto"/>
          <w:sz w:val="22"/>
          <w:szCs w:val="22"/>
          <w:lang w:val="fr-CA"/>
        </w:rPr>
      </w:pPr>
      <w:r w:rsidRPr="00DD5A7F">
        <w:rPr>
          <w:rFonts w:asciiTheme="minorHAnsi" w:hAnsiTheme="minorHAnsi" w:cstheme="minorHAnsi"/>
          <w:i w:val="0"/>
          <w:iCs w:val="0"/>
          <w:color w:val="auto"/>
          <w:lang w:val="fr-CA"/>
        </w:rPr>
        <w:t xml:space="preserve">Figure </w:t>
      </w:r>
      <w:r w:rsidRPr="00DD5A7F">
        <w:rPr>
          <w:rFonts w:asciiTheme="minorHAnsi" w:hAnsiTheme="minorHAnsi" w:cstheme="minorHAnsi"/>
          <w:i w:val="0"/>
          <w:iCs w:val="0"/>
          <w:color w:val="auto"/>
          <w:lang w:val="fr-CA"/>
        </w:rPr>
        <w:fldChar w:fldCharType="begin"/>
      </w:r>
      <w:r w:rsidRPr="00DD5A7F">
        <w:rPr>
          <w:rFonts w:asciiTheme="minorHAnsi" w:hAnsiTheme="minorHAnsi" w:cstheme="minorHAnsi"/>
          <w:i w:val="0"/>
          <w:iCs w:val="0"/>
          <w:color w:val="auto"/>
          <w:lang w:val="fr-CA"/>
        </w:rPr>
        <w:instrText xml:space="preserve"> SEQ Figure \* ARABIC </w:instrText>
      </w:r>
      <w:r w:rsidRPr="00DD5A7F">
        <w:rPr>
          <w:rFonts w:asciiTheme="minorHAnsi" w:hAnsiTheme="minorHAnsi" w:cstheme="minorHAnsi"/>
          <w:i w:val="0"/>
          <w:iCs w:val="0"/>
          <w:color w:val="auto"/>
          <w:lang w:val="fr-CA"/>
        </w:rPr>
        <w:fldChar w:fldCharType="separate"/>
      </w:r>
      <w:r w:rsidR="003D2915" w:rsidRPr="00DD5A7F">
        <w:rPr>
          <w:rFonts w:asciiTheme="minorHAnsi" w:hAnsiTheme="minorHAnsi" w:cstheme="minorHAnsi"/>
          <w:i w:val="0"/>
          <w:iCs w:val="0"/>
          <w:noProof/>
          <w:color w:val="auto"/>
          <w:lang w:val="fr-CA"/>
        </w:rPr>
        <w:t>4</w:t>
      </w:r>
      <w:r w:rsidRPr="00DD5A7F">
        <w:rPr>
          <w:rFonts w:asciiTheme="minorHAnsi" w:hAnsiTheme="minorHAnsi" w:cstheme="minorHAnsi"/>
          <w:i w:val="0"/>
          <w:iCs w:val="0"/>
          <w:color w:val="auto"/>
          <w:lang w:val="fr-CA"/>
        </w:rPr>
        <w:fldChar w:fldCharType="end"/>
      </w:r>
      <w:r w:rsidRPr="00DD5A7F">
        <w:rPr>
          <w:rFonts w:asciiTheme="minorHAnsi" w:hAnsiTheme="minorHAnsi" w:cstheme="minorHAnsi"/>
          <w:i w:val="0"/>
          <w:iCs w:val="0"/>
          <w:color w:val="auto"/>
          <w:lang w:val="fr-CA"/>
        </w:rPr>
        <w:t xml:space="preserve"> - Population selon la région au 31 mars 2020</w:t>
      </w:r>
    </w:p>
    <w:p w14:paraId="4B28E110" w14:textId="172E4257" w:rsidR="001D692D" w:rsidRPr="00DD5A7F" w:rsidRDefault="001D692D" w:rsidP="001D692D">
      <w:pPr>
        <w:pStyle w:val="Caption"/>
        <w:keepNext/>
        <w:spacing w:before="240" w:after="0"/>
        <w:jc w:val="center"/>
        <w:rPr>
          <w:rFonts w:asciiTheme="minorHAnsi" w:hAnsiTheme="minorHAnsi" w:cstheme="minorHAnsi"/>
          <w:i w:val="0"/>
          <w:iCs w:val="0"/>
          <w:color w:val="auto"/>
          <w:lang w:val="fr-CA"/>
        </w:rPr>
      </w:pPr>
      <w:r w:rsidRPr="00DD5A7F">
        <w:rPr>
          <w:rFonts w:asciiTheme="minorHAnsi" w:hAnsiTheme="minorHAnsi" w:cstheme="minorHAnsi"/>
          <w:i w:val="0"/>
          <w:iCs w:val="0"/>
          <w:color w:val="auto"/>
          <w:lang w:val="fr-CA"/>
        </w:rPr>
        <w:t xml:space="preserve">Tableau </w:t>
      </w:r>
      <w:r w:rsidRPr="00DD5A7F">
        <w:rPr>
          <w:rFonts w:asciiTheme="minorHAnsi" w:hAnsiTheme="minorHAnsi" w:cstheme="minorHAnsi"/>
          <w:i w:val="0"/>
          <w:iCs w:val="0"/>
          <w:color w:val="auto"/>
          <w:lang w:val="fr-CA"/>
        </w:rPr>
        <w:fldChar w:fldCharType="begin"/>
      </w:r>
      <w:r w:rsidRPr="00DD5A7F">
        <w:rPr>
          <w:rFonts w:asciiTheme="minorHAnsi" w:hAnsiTheme="minorHAnsi" w:cstheme="minorHAnsi"/>
          <w:i w:val="0"/>
          <w:iCs w:val="0"/>
          <w:color w:val="auto"/>
          <w:lang w:val="fr-CA"/>
        </w:rPr>
        <w:instrText xml:space="preserve"> SEQ Tableau \* ARABIC </w:instrText>
      </w:r>
      <w:r w:rsidRPr="00DD5A7F">
        <w:rPr>
          <w:rFonts w:asciiTheme="minorHAnsi" w:hAnsiTheme="minorHAnsi" w:cstheme="minorHAnsi"/>
          <w:i w:val="0"/>
          <w:iCs w:val="0"/>
          <w:color w:val="auto"/>
          <w:lang w:val="fr-CA"/>
        </w:rPr>
        <w:fldChar w:fldCharType="separate"/>
      </w:r>
      <w:r w:rsidR="007D61E0" w:rsidRPr="00DD5A7F">
        <w:rPr>
          <w:rFonts w:asciiTheme="minorHAnsi" w:hAnsiTheme="minorHAnsi" w:cstheme="minorHAnsi"/>
          <w:i w:val="0"/>
          <w:iCs w:val="0"/>
          <w:noProof/>
          <w:color w:val="auto"/>
          <w:lang w:val="fr-CA"/>
        </w:rPr>
        <w:t>7</w:t>
      </w:r>
      <w:r w:rsidRPr="00DD5A7F">
        <w:rPr>
          <w:rFonts w:asciiTheme="minorHAnsi" w:hAnsiTheme="minorHAnsi" w:cstheme="minorHAnsi"/>
          <w:i w:val="0"/>
          <w:iCs w:val="0"/>
          <w:color w:val="auto"/>
          <w:lang w:val="fr-CA"/>
        </w:rPr>
        <w:fldChar w:fldCharType="end"/>
      </w:r>
      <w:r w:rsidRPr="00DD5A7F">
        <w:rPr>
          <w:rFonts w:asciiTheme="minorHAnsi" w:hAnsiTheme="minorHAnsi" w:cstheme="minorHAnsi"/>
          <w:i w:val="0"/>
          <w:iCs w:val="0"/>
          <w:color w:val="auto"/>
          <w:lang w:val="fr-CA"/>
        </w:rPr>
        <w:t xml:space="preserve"> - Effectif par région, pourcentage de l'effectif régi par la </w:t>
      </w:r>
      <w:r w:rsidRPr="00DD5A7F">
        <w:rPr>
          <w:rStyle w:val="Emphasis"/>
          <w:rFonts w:asciiTheme="minorHAnsi" w:hAnsiTheme="minorHAnsi" w:cstheme="minorHAnsi"/>
          <w:i/>
          <w:iCs/>
          <w:color w:val="auto"/>
          <w:lang w:val="fr-CA"/>
        </w:rPr>
        <w:t>Loi sur l’emploi dans la fonction publique</w:t>
      </w:r>
      <w:r w:rsidRPr="00DD5A7F">
        <w:rPr>
          <w:rFonts w:asciiTheme="minorHAnsi" w:hAnsiTheme="minorHAnsi" w:cstheme="minorHAnsi"/>
          <w:i w:val="0"/>
          <w:iCs w:val="0"/>
          <w:color w:val="auto"/>
          <w:lang w:val="fr-CA"/>
        </w:rPr>
        <w:t xml:space="preserve"> au 31 mars 2020</w:t>
      </w:r>
    </w:p>
    <w:tbl>
      <w:tblPr>
        <w:tblStyle w:val="TableGrid"/>
        <w:tblW w:w="5000" w:type="pct"/>
        <w:jc w:val="center"/>
        <w:tblLook w:val="0020" w:firstRow="1" w:lastRow="0" w:firstColumn="0" w:lastColumn="0" w:noHBand="0" w:noVBand="0"/>
        <w:tblDescription w:val="Effectif selon la région au 31 mars 2020"/>
      </w:tblPr>
      <w:tblGrid>
        <w:gridCol w:w="4248"/>
        <w:gridCol w:w="4962"/>
        <w:gridCol w:w="5180"/>
      </w:tblGrid>
      <w:tr w:rsidR="001D692D" w:rsidRPr="00085A29" w14:paraId="1155FCC7" w14:textId="77777777" w:rsidTr="008D2A17">
        <w:trPr>
          <w:cantSplit/>
          <w:trHeight w:val="290"/>
          <w:tblHeader/>
          <w:jc w:val="center"/>
        </w:trPr>
        <w:tc>
          <w:tcPr>
            <w:tcW w:w="1476" w:type="pct"/>
          </w:tcPr>
          <w:p w14:paraId="4AE0616D" w14:textId="78BE2DFD" w:rsidR="004460BE" w:rsidRPr="00085A29" w:rsidRDefault="004460BE" w:rsidP="001D692D">
            <w:pPr>
              <w:pStyle w:val="TableTitle"/>
              <w:rPr>
                <w:rFonts w:asciiTheme="minorHAnsi" w:hAnsiTheme="minorHAnsi" w:cstheme="minorHAnsi"/>
                <w:color w:val="auto"/>
                <w:sz w:val="22"/>
                <w:szCs w:val="22"/>
                <w:lang w:val="fr-CA"/>
              </w:rPr>
            </w:pPr>
            <w:r w:rsidRPr="00085A29">
              <w:rPr>
                <w:color w:val="auto"/>
                <w:sz w:val="22"/>
                <w:szCs w:val="22"/>
                <w:lang w:val="fr-CA"/>
              </w:rPr>
              <w:t>Région</w:t>
            </w:r>
          </w:p>
        </w:tc>
        <w:tc>
          <w:tcPr>
            <w:tcW w:w="1724" w:type="pct"/>
          </w:tcPr>
          <w:p w14:paraId="1D066180" w14:textId="4FD703BD" w:rsidR="004460BE" w:rsidRPr="00085A29" w:rsidRDefault="004460BE" w:rsidP="001D692D">
            <w:pPr>
              <w:pStyle w:val="TableTitle"/>
              <w:rPr>
                <w:rFonts w:asciiTheme="minorHAnsi" w:hAnsiTheme="minorHAnsi" w:cstheme="minorHAnsi"/>
                <w:color w:val="auto"/>
                <w:sz w:val="22"/>
                <w:szCs w:val="22"/>
                <w:lang w:val="fr-CA"/>
              </w:rPr>
            </w:pPr>
            <w:r w:rsidRPr="00085A29">
              <w:rPr>
                <w:color w:val="auto"/>
                <w:sz w:val="22"/>
                <w:szCs w:val="22"/>
                <w:lang w:val="fr-CA"/>
              </w:rPr>
              <w:t>Effectif au 31 mars 2020</w:t>
            </w:r>
          </w:p>
        </w:tc>
        <w:tc>
          <w:tcPr>
            <w:tcW w:w="1800" w:type="pct"/>
          </w:tcPr>
          <w:p w14:paraId="18D7293E" w14:textId="3DBF8D07" w:rsidR="004460BE" w:rsidRPr="00085A29" w:rsidRDefault="004460BE" w:rsidP="001D692D">
            <w:pPr>
              <w:pStyle w:val="TableTitle"/>
              <w:rPr>
                <w:rFonts w:asciiTheme="minorHAnsi" w:hAnsiTheme="minorHAnsi" w:cstheme="minorHAnsi"/>
                <w:color w:val="auto"/>
                <w:sz w:val="22"/>
                <w:szCs w:val="22"/>
                <w:lang w:val="fr-CA"/>
              </w:rPr>
            </w:pPr>
            <w:r w:rsidRPr="00085A29">
              <w:rPr>
                <w:color w:val="auto"/>
                <w:sz w:val="22"/>
                <w:szCs w:val="22"/>
                <w:lang w:val="fr-CA"/>
              </w:rPr>
              <w:t>Pourcentage de l'effectif au 31 mars 2020</w:t>
            </w:r>
          </w:p>
        </w:tc>
      </w:tr>
      <w:tr w:rsidR="004460BE" w:rsidRPr="00085A29" w14:paraId="1DE908A2" w14:textId="77777777" w:rsidTr="008D2A17">
        <w:trPr>
          <w:cantSplit/>
          <w:trHeight w:val="290"/>
          <w:tblHeader/>
          <w:jc w:val="center"/>
        </w:trPr>
        <w:tc>
          <w:tcPr>
            <w:tcW w:w="1476" w:type="pct"/>
          </w:tcPr>
          <w:p w14:paraId="2ACF1C2F" w14:textId="199C9AD6" w:rsidR="004460BE" w:rsidRPr="00085A29" w:rsidRDefault="004460BE" w:rsidP="004460BE">
            <w:pPr>
              <w:autoSpaceDE w:val="0"/>
              <w:autoSpaceDN w:val="0"/>
              <w:adjustRightInd w:val="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Région de la capitale nationale (RCN)</w:t>
            </w:r>
          </w:p>
        </w:tc>
        <w:tc>
          <w:tcPr>
            <w:tcW w:w="1724" w:type="pct"/>
          </w:tcPr>
          <w:p w14:paraId="66791243" w14:textId="40182730"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1800" w:type="pct"/>
          </w:tcPr>
          <w:p w14:paraId="4DBE705A" w14:textId="2AC05F1B"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r>
      <w:tr w:rsidR="004460BE" w:rsidRPr="00085A29" w14:paraId="746B51E0" w14:textId="77777777" w:rsidTr="008D2A17">
        <w:trPr>
          <w:cantSplit/>
          <w:trHeight w:val="290"/>
          <w:tblHeader/>
          <w:jc w:val="center"/>
        </w:trPr>
        <w:tc>
          <w:tcPr>
            <w:tcW w:w="1476" w:type="pct"/>
          </w:tcPr>
          <w:p w14:paraId="0FFD03D3" w14:textId="687A90BC" w:rsidR="004460BE" w:rsidRPr="00085A29" w:rsidRDefault="004460BE" w:rsidP="004460BE">
            <w:pPr>
              <w:autoSpaceDE w:val="0"/>
              <w:autoSpaceDN w:val="0"/>
              <w:adjustRightInd w:val="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Régions à l’extérieur de la RCN</w:t>
            </w:r>
          </w:p>
        </w:tc>
        <w:tc>
          <w:tcPr>
            <w:tcW w:w="1724" w:type="pct"/>
          </w:tcPr>
          <w:p w14:paraId="78886860" w14:textId="098CD329"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500</w:t>
            </w:r>
          </w:p>
        </w:tc>
        <w:tc>
          <w:tcPr>
            <w:tcW w:w="1800" w:type="pct"/>
          </w:tcPr>
          <w:p w14:paraId="241929F5" w14:textId="2025BF27"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100%</w:t>
            </w:r>
          </w:p>
        </w:tc>
      </w:tr>
      <w:tr w:rsidR="004460BE" w:rsidRPr="00085A29" w14:paraId="3E726EDB" w14:textId="77777777" w:rsidTr="008D2A17">
        <w:trPr>
          <w:cantSplit/>
          <w:trHeight w:val="290"/>
          <w:tblHeader/>
          <w:jc w:val="center"/>
        </w:trPr>
        <w:tc>
          <w:tcPr>
            <w:tcW w:w="1476" w:type="pct"/>
          </w:tcPr>
          <w:p w14:paraId="5430EF37" w14:textId="5193DA4C" w:rsidR="004460BE" w:rsidRPr="00085A29" w:rsidRDefault="004460BE" w:rsidP="004460BE">
            <w:pPr>
              <w:autoSpaceDE w:val="0"/>
              <w:autoSpaceDN w:val="0"/>
              <w:adjustRightInd w:val="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Inconnus</w:t>
            </w:r>
          </w:p>
        </w:tc>
        <w:tc>
          <w:tcPr>
            <w:tcW w:w="1724" w:type="pct"/>
          </w:tcPr>
          <w:p w14:paraId="74560019" w14:textId="68EB0A76"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1800" w:type="pct"/>
          </w:tcPr>
          <w:p w14:paraId="224EA73C" w14:textId="355CD48A" w:rsidR="004460BE" w:rsidRPr="00085A29" w:rsidRDefault="001D692D"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r>
    </w:tbl>
    <w:p w14:paraId="2185B874" w14:textId="22020CB7" w:rsidR="00651E4A" w:rsidRPr="00085A29" w:rsidRDefault="00651E4A" w:rsidP="00A6338F">
      <w:pPr>
        <w:rPr>
          <w:rFonts w:asciiTheme="minorHAnsi" w:hAnsiTheme="minorHAnsi" w:cstheme="minorHAnsi"/>
          <w:sz w:val="22"/>
          <w:szCs w:val="22"/>
          <w:lang w:val="fr-CA"/>
        </w:rPr>
      </w:pPr>
    </w:p>
    <w:p w14:paraId="1BCA53D6" w14:textId="77777777" w:rsidR="00651E4A" w:rsidRPr="00085A29" w:rsidRDefault="00651E4A" w:rsidP="00A6338F">
      <w:pPr>
        <w:rPr>
          <w:rFonts w:asciiTheme="minorHAnsi" w:hAnsiTheme="minorHAnsi" w:cstheme="minorHAnsi"/>
          <w:sz w:val="22"/>
          <w:szCs w:val="22"/>
          <w:lang w:val="fr-CA"/>
        </w:rPr>
        <w:sectPr w:rsidR="00651E4A" w:rsidRPr="00085A29" w:rsidSect="001D692D">
          <w:pgSz w:w="15840" w:h="12240" w:orient="landscape"/>
          <w:pgMar w:top="720" w:right="720" w:bottom="720" w:left="720" w:header="709" w:footer="284" w:gutter="0"/>
          <w:cols w:space="708"/>
          <w:titlePg/>
          <w:docGrid w:linePitch="360"/>
        </w:sectPr>
      </w:pPr>
    </w:p>
    <w:p w14:paraId="6EE37A44" w14:textId="00A0D7E5" w:rsidR="008D2A17" w:rsidRPr="00085A29" w:rsidRDefault="008D2A17" w:rsidP="008D2A17">
      <w:pPr>
        <w:pStyle w:val="Heading1"/>
        <w:spacing w:before="120" w:after="120"/>
        <w:rPr>
          <w:sz w:val="40"/>
          <w:szCs w:val="40"/>
          <w:lang w:val="fr-CA"/>
        </w:rPr>
      </w:pPr>
      <w:r w:rsidRPr="00085A29">
        <w:rPr>
          <w:rFonts w:eastAsia="Times New Roman"/>
          <w:sz w:val="40"/>
          <w:szCs w:val="40"/>
          <w:lang w:val="fr-CA"/>
        </w:rPr>
        <w:lastRenderedPageBreak/>
        <w:t>Embauche externe pour une période indéterminée selon le groupe professionnel, 2019-2020</w:t>
      </w:r>
    </w:p>
    <w:p w14:paraId="0407EBB2" w14:textId="77777777" w:rsidR="008D2A17" w:rsidRPr="00085A29" w:rsidRDefault="00FD1620" w:rsidP="008D2A17">
      <w:pPr>
        <w:keepNext/>
        <w:jc w:val="center"/>
        <w:rPr>
          <w:lang w:val="fr-CA"/>
        </w:rPr>
      </w:pPr>
      <w:r w:rsidRPr="00085A29">
        <w:rPr>
          <w:noProof/>
          <w:lang w:val="fr-CA" w:eastAsia="en-CA"/>
        </w:rPr>
        <w:drawing>
          <wp:inline distT="0" distB="0" distL="0" distR="0" wp14:anchorId="00999D53" wp14:editId="66AB3804">
            <wp:extent cx="1980000" cy="3020400"/>
            <wp:effectExtent l="0" t="0" r="1270" b="8890"/>
            <wp:docPr id="16" name="Chart 7" descr="Embauche externe pour une période indéterminée selon le groupe professionnel, 2019-202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AE8266" w14:textId="1E6FBCEF" w:rsidR="00651E4A" w:rsidRPr="00085A29" w:rsidRDefault="008D2A17" w:rsidP="008D2A17">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003D2915" w:rsidRPr="00085A29">
        <w:rPr>
          <w:rFonts w:asciiTheme="minorHAnsi" w:hAnsiTheme="minorHAnsi" w:cstheme="minorHAnsi"/>
          <w:i w:val="0"/>
          <w:iCs w:val="0"/>
          <w:noProof/>
          <w:color w:val="auto"/>
          <w:lang w:val="fr-CA"/>
        </w:rPr>
        <w:t>5</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Embauche externe pour une période indéterminée selon le groupe professionnel, 2019-2020</w:t>
      </w:r>
    </w:p>
    <w:p w14:paraId="65925418" w14:textId="30DAB49D" w:rsidR="008D2A17" w:rsidRPr="00085A29" w:rsidRDefault="008D2A17" w:rsidP="008D2A17">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8</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Embauche externe à des postes pour une période indéterminée selon le groupe professionnel, de 2019 à 2020</w:t>
      </w:r>
    </w:p>
    <w:tbl>
      <w:tblPr>
        <w:tblStyle w:val="TableGrid"/>
        <w:tblW w:w="5000" w:type="pct"/>
        <w:jc w:val="center"/>
        <w:tblLook w:val="0020" w:firstRow="1" w:lastRow="0" w:firstColumn="0" w:lastColumn="0" w:noHBand="0" w:noVBand="0"/>
        <w:tblDescription w:val="Embauches externes indéterminées selon le groupe professionnel 2019-2020"/>
      </w:tblPr>
      <w:tblGrid>
        <w:gridCol w:w="4824"/>
        <w:gridCol w:w="4786"/>
        <w:gridCol w:w="4780"/>
      </w:tblGrid>
      <w:tr w:rsidR="008D2A17" w:rsidRPr="00085A29" w14:paraId="5D72CA83" w14:textId="77777777" w:rsidTr="008D2A17">
        <w:trPr>
          <w:cantSplit/>
          <w:trHeight w:val="290"/>
          <w:tblHeader/>
          <w:jc w:val="center"/>
        </w:trPr>
        <w:tc>
          <w:tcPr>
            <w:tcW w:w="1676" w:type="pct"/>
          </w:tcPr>
          <w:p w14:paraId="4662715B" w14:textId="64D121FC" w:rsidR="004460BE" w:rsidRPr="00085A29" w:rsidRDefault="004460BE" w:rsidP="008D2A17">
            <w:pPr>
              <w:pStyle w:val="TableTitle"/>
              <w:rPr>
                <w:rFonts w:cs="Segoe UI Semibold"/>
                <w:color w:val="auto"/>
                <w:sz w:val="22"/>
                <w:szCs w:val="22"/>
                <w:lang w:val="fr-CA"/>
              </w:rPr>
            </w:pPr>
            <w:r w:rsidRPr="00085A29">
              <w:rPr>
                <w:rFonts w:cs="Segoe UI Semibold"/>
                <w:color w:val="auto"/>
                <w:sz w:val="22"/>
                <w:szCs w:val="22"/>
                <w:lang w:val="fr-CA"/>
              </w:rPr>
              <w:t>Groupes professionnels</w:t>
            </w:r>
          </w:p>
        </w:tc>
        <w:tc>
          <w:tcPr>
            <w:tcW w:w="1663" w:type="pct"/>
          </w:tcPr>
          <w:p w14:paraId="2471F142" w14:textId="29A1FFB9" w:rsidR="004460BE" w:rsidRPr="00085A29" w:rsidRDefault="004460BE" w:rsidP="008D2A17">
            <w:pPr>
              <w:pStyle w:val="TableTitle"/>
              <w:rPr>
                <w:rFonts w:cs="Segoe UI Semibold"/>
                <w:color w:val="auto"/>
                <w:sz w:val="22"/>
                <w:szCs w:val="22"/>
                <w:lang w:val="fr-CA"/>
              </w:rPr>
            </w:pPr>
            <w:r w:rsidRPr="00085A29">
              <w:rPr>
                <w:rFonts w:cs="Segoe UI Semibold"/>
                <w:color w:val="auto"/>
                <w:sz w:val="22"/>
                <w:szCs w:val="22"/>
                <w:lang w:val="fr-CA"/>
              </w:rPr>
              <w:t>Nombre d'embauches pour une période indéterminée dans</w:t>
            </w:r>
            <w:r w:rsidR="008D2A17" w:rsidRPr="00085A29">
              <w:rPr>
                <w:rFonts w:cs="Segoe UI Semibold"/>
                <w:color w:val="auto"/>
                <w:sz w:val="22"/>
                <w:szCs w:val="22"/>
                <w:lang w:val="fr-CA"/>
              </w:rPr>
              <w:t xml:space="preserve"> </w:t>
            </w:r>
            <w:r w:rsidRPr="00085A29">
              <w:rPr>
                <w:rFonts w:cs="Segoe UI Semibold"/>
                <w:color w:val="auto"/>
                <w:sz w:val="22"/>
                <w:szCs w:val="22"/>
                <w:lang w:val="fr-CA"/>
              </w:rPr>
              <w:t>l’organisation</w:t>
            </w:r>
          </w:p>
        </w:tc>
        <w:tc>
          <w:tcPr>
            <w:tcW w:w="1661" w:type="pct"/>
          </w:tcPr>
          <w:p w14:paraId="424147F8" w14:textId="784D9932" w:rsidR="004460BE" w:rsidRPr="00085A29" w:rsidRDefault="004460BE" w:rsidP="008D2A17">
            <w:pPr>
              <w:pStyle w:val="TableTitle"/>
              <w:rPr>
                <w:rFonts w:cs="Segoe UI Semibold"/>
                <w:color w:val="auto"/>
                <w:sz w:val="22"/>
                <w:szCs w:val="22"/>
                <w:lang w:val="fr-CA"/>
              </w:rPr>
            </w:pPr>
            <w:r w:rsidRPr="00085A29">
              <w:rPr>
                <w:rFonts w:cs="Segoe UI Semibold"/>
                <w:color w:val="auto"/>
                <w:sz w:val="22"/>
                <w:szCs w:val="22"/>
                <w:lang w:val="fr-CA"/>
              </w:rPr>
              <w:t>Pourcentage d'embauches pour une période indéterminée dans l’organisation</w:t>
            </w:r>
          </w:p>
        </w:tc>
      </w:tr>
      <w:tr w:rsidR="008D2A17" w:rsidRPr="00085A29" w14:paraId="529FC60C" w14:textId="77777777" w:rsidTr="008D2A17">
        <w:trPr>
          <w:cantSplit/>
          <w:trHeight w:val="290"/>
          <w:tblHeader/>
          <w:jc w:val="center"/>
        </w:trPr>
        <w:tc>
          <w:tcPr>
            <w:tcW w:w="1676" w:type="pct"/>
          </w:tcPr>
          <w:p w14:paraId="17CFE021" w14:textId="61A73461"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NB – Employés de l’Office national de l’énergie</w:t>
            </w:r>
          </w:p>
        </w:tc>
        <w:tc>
          <w:tcPr>
            <w:tcW w:w="1663" w:type="pct"/>
          </w:tcPr>
          <w:p w14:paraId="1CD611FB" w14:textId="71DE93B7"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11</w:t>
            </w:r>
          </w:p>
        </w:tc>
        <w:tc>
          <w:tcPr>
            <w:tcW w:w="1661" w:type="pct"/>
          </w:tcPr>
          <w:p w14:paraId="5B7C824E" w14:textId="5DBCAE0D"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100%</w:t>
            </w:r>
          </w:p>
        </w:tc>
      </w:tr>
      <w:tr w:rsidR="008D2A17" w:rsidRPr="00085A29" w14:paraId="56869AA9" w14:textId="77777777" w:rsidTr="008D2A17">
        <w:trPr>
          <w:cantSplit/>
          <w:trHeight w:val="290"/>
          <w:tblHeader/>
          <w:jc w:val="center"/>
        </w:trPr>
        <w:tc>
          <w:tcPr>
            <w:tcW w:w="1676" w:type="pct"/>
          </w:tcPr>
          <w:p w14:paraId="567DA0C9" w14:textId="59E0D16D"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Total</w:t>
            </w:r>
          </w:p>
        </w:tc>
        <w:tc>
          <w:tcPr>
            <w:tcW w:w="1663" w:type="pct"/>
          </w:tcPr>
          <w:p w14:paraId="2C8E2479" w14:textId="45463D91"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11</w:t>
            </w:r>
          </w:p>
        </w:tc>
        <w:tc>
          <w:tcPr>
            <w:tcW w:w="1661" w:type="pct"/>
          </w:tcPr>
          <w:p w14:paraId="641A0D8C" w14:textId="5905979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100%</w:t>
            </w:r>
          </w:p>
        </w:tc>
      </w:tr>
    </w:tbl>
    <w:p w14:paraId="0AA0326E" w14:textId="3EBB51DF" w:rsidR="00651E4A" w:rsidRPr="00085A29" w:rsidRDefault="00651E4A" w:rsidP="00A6338F">
      <w:pPr>
        <w:rPr>
          <w:rFonts w:asciiTheme="minorHAnsi" w:hAnsiTheme="minorHAnsi" w:cstheme="minorHAnsi"/>
          <w:sz w:val="22"/>
          <w:szCs w:val="22"/>
          <w:lang w:val="fr-CA"/>
        </w:rPr>
      </w:pPr>
    </w:p>
    <w:p w14:paraId="17E9D650" w14:textId="77777777" w:rsidR="00651E4A" w:rsidRPr="00085A29" w:rsidRDefault="00651E4A" w:rsidP="00A6338F">
      <w:pPr>
        <w:rPr>
          <w:rFonts w:asciiTheme="minorHAnsi" w:hAnsiTheme="minorHAnsi" w:cstheme="minorHAnsi"/>
          <w:sz w:val="22"/>
          <w:szCs w:val="22"/>
          <w:lang w:val="fr-CA"/>
        </w:rPr>
        <w:sectPr w:rsidR="00651E4A" w:rsidRPr="00085A29" w:rsidSect="008D2A17">
          <w:pgSz w:w="15840" w:h="12240" w:orient="landscape"/>
          <w:pgMar w:top="720" w:right="720" w:bottom="720" w:left="720" w:header="709" w:footer="284" w:gutter="0"/>
          <w:cols w:space="708"/>
          <w:titlePg/>
          <w:docGrid w:linePitch="360"/>
        </w:sectPr>
      </w:pPr>
    </w:p>
    <w:p w14:paraId="48985847" w14:textId="77777777" w:rsidR="008D2A17" w:rsidRPr="00085A29" w:rsidRDefault="008D2A17" w:rsidP="008D2A17">
      <w:pPr>
        <w:pStyle w:val="Heading1"/>
        <w:spacing w:before="120" w:after="120"/>
        <w:rPr>
          <w:sz w:val="40"/>
          <w:szCs w:val="40"/>
          <w:lang w:val="fr-CA"/>
        </w:rPr>
      </w:pPr>
      <w:r w:rsidRPr="00085A29">
        <w:rPr>
          <w:rFonts w:eastAsia="Times New Roman"/>
          <w:sz w:val="40"/>
          <w:szCs w:val="40"/>
          <w:lang w:val="fr-CA"/>
        </w:rPr>
        <w:lastRenderedPageBreak/>
        <w:t>Dotation selon la région</w:t>
      </w:r>
    </w:p>
    <w:p w14:paraId="69096F99" w14:textId="77777777" w:rsidR="008D2A17" w:rsidRPr="00085A29" w:rsidRDefault="00FD1620" w:rsidP="008D2A17">
      <w:pPr>
        <w:keepNext/>
        <w:jc w:val="center"/>
        <w:rPr>
          <w:lang w:val="fr-CA"/>
        </w:rPr>
      </w:pPr>
      <w:r w:rsidRPr="00085A29">
        <w:rPr>
          <w:noProof/>
          <w:lang w:val="fr-CA" w:eastAsia="en-CA"/>
        </w:rPr>
        <w:drawing>
          <wp:inline distT="0" distB="0" distL="0" distR="0" wp14:anchorId="7F11D509" wp14:editId="14F8C7AA">
            <wp:extent cx="5648400" cy="3049200"/>
            <wp:effectExtent l="0" t="0" r="9525" b="18415"/>
            <wp:docPr id="19" name="Chart 10" descr="Dotation selon la rég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409C6C" w14:textId="147C227D" w:rsidR="00651E4A" w:rsidRPr="00085A29" w:rsidRDefault="008D2A17" w:rsidP="008D2A17">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003D2915" w:rsidRPr="00085A29">
        <w:rPr>
          <w:rFonts w:asciiTheme="minorHAnsi" w:hAnsiTheme="minorHAnsi" w:cstheme="minorHAnsi"/>
          <w:i w:val="0"/>
          <w:iCs w:val="0"/>
          <w:noProof/>
          <w:color w:val="auto"/>
          <w:lang w:val="fr-CA"/>
        </w:rPr>
        <w:t>6</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Dotation selon la région</w:t>
      </w:r>
    </w:p>
    <w:p w14:paraId="6417E135" w14:textId="153F8622" w:rsidR="008D2A17" w:rsidRPr="00085A29" w:rsidRDefault="008D2A17" w:rsidP="008D2A17">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9</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Pourcentage des activités de dotation dans la région de la capitale nationale en comparaison avec les régions à l’extérieur de la région de la capitale nationale selon l'exercice financier</w:t>
      </w:r>
    </w:p>
    <w:tbl>
      <w:tblPr>
        <w:tblStyle w:val="TableGrid"/>
        <w:tblW w:w="5000" w:type="pct"/>
        <w:jc w:val="center"/>
        <w:tblLook w:val="0020" w:firstRow="1" w:lastRow="0" w:firstColumn="0" w:lastColumn="0" w:noHBand="0" w:noVBand="0"/>
        <w:tblDescription w:val="Dotation selon la région de 2015 à 2020"/>
      </w:tblPr>
      <w:tblGrid>
        <w:gridCol w:w="2193"/>
        <w:gridCol w:w="5883"/>
        <w:gridCol w:w="6314"/>
      </w:tblGrid>
      <w:tr w:rsidR="008D2A17" w:rsidRPr="00085A29" w14:paraId="36CBE5F0" w14:textId="77777777" w:rsidTr="008D2A17">
        <w:trPr>
          <w:cantSplit/>
          <w:trHeight w:val="290"/>
          <w:tblHeader/>
          <w:jc w:val="center"/>
        </w:trPr>
        <w:tc>
          <w:tcPr>
            <w:tcW w:w="762" w:type="pct"/>
          </w:tcPr>
          <w:p w14:paraId="39C28DAC" w14:textId="45207B51" w:rsidR="004460BE" w:rsidRPr="00085A29" w:rsidRDefault="004460BE" w:rsidP="008D2A17">
            <w:pPr>
              <w:pStyle w:val="TableTitle"/>
              <w:rPr>
                <w:rFonts w:asciiTheme="minorHAnsi" w:hAnsiTheme="minorHAnsi" w:cstheme="minorHAnsi"/>
                <w:color w:val="auto"/>
                <w:sz w:val="22"/>
                <w:szCs w:val="22"/>
                <w:lang w:val="fr-CA"/>
              </w:rPr>
            </w:pPr>
            <w:r w:rsidRPr="00085A29">
              <w:rPr>
                <w:color w:val="auto"/>
                <w:sz w:val="22"/>
                <w:szCs w:val="22"/>
                <w:lang w:val="fr-CA"/>
              </w:rPr>
              <w:t>L'exercice financier</w:t>
            </w:r>
          </w:p>
        </w:tc>
        <w:tc>
          <w:tcPr>
            <w:tcW w:w="2044" w:type="pct"/>
          </w:tcPr>
          <w:p w14:paraId="77C1CE88" w14:textId="318F4147" w:rsidR="004460BE" w:rsidRPr="00085A29" w:rsidRDefault="004460BE" w:rsidP="008D2A17">
            <w:pPr>
              <w:pStyle w:val="TableTitle"/>
              <w:rPr>
                <w:rFonts w:asciiTheme="minorHAnsi" w:hAnsiTheme="minorHAnsi" w:cstheme="minorHAnsi"/>
                <w:color w:val="auto"/>
                <w:sz w:val="22"/>
                <w:szCs w:val="22"/>
                <w:lang w:val="fr-CA"/>
              </w:rPr>
            </w:pPr>
            <w:r w:rsidRPr="00085A29">
              <w:rPr>
                <w:color w:val="auto"/>
                <w:sz w:val="22"/>
                <w:szCs w:val="22"/>
                <w:lang w:val="fr-CA"/>
              </w:rPr>
              <w:t xml:space="preserve">Pourcentage des activités de dotation à l’organisation qui a eu lieu dans la région de la capitale nationale (RCN) </w:t>
            </w:r>
          </w:p>
        </w:tc>
        <w:tc>
          <w:tcPr>
            <w:tcW w:w="2194" w:type="pct"/>
          </w:tcPr>
          <w:p w14:paraId="611D2972" w14:textId="19A7368E" w:rsidR="004460BE" w:rsidRPr="00085A29" w:rsidRDefault="004460BE" w:rsidP="008D2A17">
            <w:pPr>
              <w:pStyle w:val="TableTitle"/>
              <w:rPr>
                <w:rFonts w:asciiTheme="minorHAnsi" w:hAnsiTheme="minorHAnsi" w:cstheme="minorHAnsi"/>
                <w:color w:val="auto"/>
                <w:sz w:val="22"/>
                <w:szCs w:val="22"/>
                <w:lang w:val="fr-CA"/>
              </w:rPr>
            </w:pPr>
            <w:r w:rsidRPr="00085A29">
              <w:rPr>
                <w:color w:val="auto"/>
                <w:sz w:val="22"/>
                <w:szCs w:val="22"/>
                <w:lang w:val="fr-CA"/>
              </w:rPr>
              <w:t>Pourcentage des activités de dotation à l’organisation qui a eu lieu à l’extérieur de la région de la capitale nationale (RCN)</w:t>
            </w:r>
          </w:p>
        </w:tc>
      </w:tr>
      <w:tr w:rsidR="008D2A17" w:rsidRPr="00085A29" w14:paraId="3C0949D9" w14:textId="77777777" w:rsidTr="008D2A17">
        <w:trPr>
          <w:cantSplit/>
          <w:trHeight w:val="290"/>
          <w:tblHeader/>
          <w:jc w:val="center"/>
        </w:trPr>
        <w:tc>
          <w:tcPr>
            <w:tcW w:w="762" w:type="pct"/>
          </w:tcPr>
          <w:p w14:paraId="4740F4C4" w14:textId="62B12DE8"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2015 à 2016</w:t>
            </w:r>
          </w:p>
        </w:tc>
        <w:tc>
          <w:tcPr>
            <w:tcW w:w="2044" w:type="pct"/>
          </w:tcPr>
          <w:p w14:paraId="21FACF1C" w14:textId="6C2146A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2194" w:type="pct"/>
          </w:tcPr>
          <w:p w14:paraId="2DE818B9" w14:textId="73E088D8"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100%</w:t>
            </w:r>
          </w:p>
        </w:tc>
      </w:tr>
      <w:tr w:rsidR="008D2A17" w:rsidRPr="00085A29" w14:paraId="7E8EF196" w14:textId="77777777" w:rsidTr="008D2A17">
        <w:trPr>
          <w:cantSplit/>
          <w:trHeight w:val="290"/>
          <w:tblHeader/>
          <w:jc w:val="center"/>
        </w:trPr>
        <w:tc>
          <w:tcPr>
            <w:tcW w:w="762" w:type="pct"/>
          </w:tcPr>
          <w:p w14:paraId="4B62DF1A" w14:textId="6C403DB6"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2016 à 2017</w:t>
            </w:r>
          </w:p>
        </w:tc>
        <w:tc>
          <w:tcPr>
            <w:tcW w:w="2044" w:type="pct"/>
          </w:tcPr>
          <w:p w14:paraId="2B15B70C" w14:textId="60699C3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2194" w:type="pct"/>
          </w:tcPr>
          <w:p w14:paraId="7B1C0F96" w14:textId="7DBC468F"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100%</w:t>
            </w:r>
          </w:p>
        </w:tc>
      </w:tr>
      <w:tr w:rsidR="008D2A17" w:rsidRPr="00085A29" w14:paraId="7E257472" w14:textId="77777777" w:rsidTr="008D2A17">
        <w:trPr>
          <w:cantSplit/>
          <w:trHeight w:val="290"/>
          <w:tblHeader/>
          <w:jc w:val="center"/>
        </w:trPr>
        <w:tc>
          <w:tcPr>
            <w:tcW w:w="762" w:type="pct"/>
          </w:tcPr>
          <w:p w14:paraId="4CD710AF" w14:textId="0677C9C3"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2017 à 2018</w:t>
            </w:r>
          </w:p>
        </w:tc>
        <w:tc>
          <w:tcPr>
            <w:tcW w:w="2044" w:type="pct"/>
          </w:tcPr>
          <w:p w14:paraId="71A7F9E4" w14:textId="2D37DD5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2194" w:type="pct"/>
          </w:tcPr>
          <w:p w14:paraId="542A8462" w14:textId="4512D1AF"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100%</w:t>
            </w:r>
          </w:p>
        </w:tc>
      </w:tr>
      <w:tr w:rsidR="008D2A17" w:rsidRPr="00085A29" w14:paraId="7232EE52" w14:textId="77777777" w:rsidTr="008D2A17">
        <w:trPr>
          <w:cantSplit/>
          <w:trHeight w:val="290"/>
          <w:tblHeader/>
          <w:jc w:val="center"/>
        </w:trPr>
        <w:tc>
          <w:tcPr>
            <w:tcW w:w="762" w:type="pct"/>
          </w:tcPr>
          <w:p w14:paraId="7DF1393D" w14:textId="558F8488"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2018 à 2019</w:t>
            </w:r>
          </w:p>
        </w:tc>
        <w:tc>
          <w:tcPr>
            <w:tcW w:w="2044" w:type="pct"/>
          </w:tcPr>
          <w:p w14:paraId="2A2DD4DE" w14:textId="0301D61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2194" w:type="pct"/>
          </w:tcPr>
          <w:p w14:paraId="3B4C1E4B" w14:textId="2824DEC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100%</w:t>
            </w:r>
          </w:p>
        </w:tc>
      </w:tr>
      <w:tr w:rsidR="008D2A17" w:rsidRPr="00085A29" w14:paraId="720975DB" w14:textId="77777777" w:rsidTr="008D2A17">
        <w:trPr>
          <w:cantSplit/>
          <w:trHeight w:val="290"/>
          <w:tblHeader/>
          <w:jc w:val="center"/>
        </w:trPr>
        <w:tc>
          <w:tcPr>
            <w:tcW w:w="762" w:type="pct"/>
          </w:tcPr>
          <w:p w14:paraId="26EDC025" w14:textId="192CE347"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2019 à 2020</w:t>
            </w:r>
          </w:p>
        </w:tc>
        <w:tc>
          <w:tcPr>
            <w:tcW w:w="2044" w:type="pct"/>
          </w:tcPr>
          <w:p w14:paraId="09F104C4" w14:textId="3272CF26"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2194" w:type="pct"/>
          </w:tcPr>
          <w:p w14:paraId="7E5084F4" w14:textId="7E5C759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100%</w:t>
            </w:r>
          </w:p>
        </w:tc>
      </w:tr>
    </w:tbl>
    <w:p w14:paraId="6FFB3E14" w14:textId="618295EC" w:rsidR="00A6338F" w:rsidRPr="00085A29" w:rsidRDefault="00A6338F" w:rsidP="0008073E">
      <w:pPr>
        <w:pStyle w:val="ListParagraph"/>
        <w:numPr>
          <w:ilvl w:val="0"/>
          <w:numId w:val="28"/>
        </w:numPr>
        <w:spacing w:after="100" w:afterAutospacing="1"/>
        <w:contextualSpacing w:val="0"/>
        <w:rPr>
          <w:rFonts w:asciiTheme="minorHAnsi" w:hAnsiTheme="minorHAnsi" w:cstheme="minorHAnsi"/>
          <w:sz w:val="22"/>
          <w:szCs w:val="22"/>
          <w:lang w:val="fr-CA"/>
        </w:rPr>
      </w:pPr>
      <w:r w:rsidRPr="00085A29">
        <w:rPr>
          <w:rFonts w:asciiTheme="minorHAnsi" w:hAnsiTheme="minorHAnsi" w:cstheme="minorHAnsi"/>
          <w:sz w:val="22"/>
          <w:szCs w:val="22"/>
          <w:lang w:val="fr-CA"/>
        </w:rPr>
        <w:t>La distribution régionale exclus les inconnus</w:t>
      </w:r>
    </w:p>
    <w:p w14:paraId="03BC0FB4" w14:textId="77777777" w:rsidR="0008073E" w:rsidRPr="00085A29" w:rsidRDefault="0008073E" w:rsidP="0008073E">
      <w:pPr>
        <w:spacing w:after="100" w:afterAutospacing="1"/>
        <w:rPr>
          <w:rFonts w:asciiTheme="minorHAnsi" w:hAnsiTheme="minorHAnsi" w:cstheme="minorHAnsi"/>
          <w:sz w:val="22"/>
          <w:szCs w:val="22"/>
          <w:lang w:val="fr-CA"/>
        </w:rPr>
        <w:sectPr w:rsidR="0008073E" w:rsidRPr="00085A29" w:rsidSect="008D2A17">
          <w:pgSz w:w="15840" w:h="12240" w:orient="landscape"/>
          <w:pgMar w:top="720" w:right="720" w:bottom="720" w:left="720" w:header="709" w:footer="284" w:gutter="0"/>
          <w:cols w:space="708"/>
          <w:titlePg/>
          <w:docGrid w:linePitch="360"/>
        </w:sectPr>
      </w:pPr>
    </w:p>
    <w:p w14:paraId="65F54B05" w14:textId="77777777" w:rsidR="00A8431F" w:rsidRPr="00085A29" w:rsidRDefault="00A8431F" w:rsidP="00A8431F">
      <w:pPr>
        <w:pStyle w:val="Heading1"/>
        <w:spacing w:before="120" w:after="120"/>
        <w:rPr>
          <w:sz w:val="40"/>
          <w:szCs w:val="40"/>
          <w:lang w:val="fr-CA"/>
        </w:rPr>
      </w:pPr>
      <w:r w:rsidRPr="00085A29">
        <w:rPr>
          <w:rFonts w:eastAsia="Times New Roman"/>
          <w:sz w:val="40"/>
          <w:szCs w:val="40"/>
          <w:lang w:val="fr-CA"/>
        </w:rPr>
        <w:lastRenderedPageBreak/>
        <w:t>Dotation selon le type de processus</w:t>
      </w:r>
    </w:p>
    <w:p w14:paraId="057D45C3" w14:textId="77777777" w:rsidR="00A8431F" w:rsidRPr="00085A29" w:rsidRDefault="00FD1620" w:rsidP="00A8431F">
      <w:pPr>
        <w:keepNext/>
        <w:jc w:val="center"/>
        <w:rPr>
          <w:lang w:val="fr-CA"/>
        </w:rPr>
      </w:pPr>
      <w:r w:rsidRPr="00085A29">
        <w:rPr>
          <w:noProof/>
          <w:lang w:val="fr-CA" w:eastAsia="en-CA"/>
        </w:rPr>
        <w:drawing>
          <wp:inline distT="0" distB="0" distL="0" distR="0" wp14:anchorId="5F39C259" wp14:editId="5D86CD34">
            <wp:extent cx="5648400" cy="3049200"/>
            <wp:effectExtent l="0" t="0" r="9525" b="18415"/>
            <wp:docPr id="20" name="Chart 1" descr="Dotation selon le type de processu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BE68E8" w14:textId="30CCFBCC" w:rsidR="0008073E" w:rsidRPr="00085A29" w:rsidRDefault="00A8431F" w:rsidP="00A8431F">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003D2915" w:rsidRPr="00085A29">
        <w:rPr>
          <w:rFonts w:asciiTheme="minorHAnsi" w:hAnsiTheme="minorHAnsi" w:cstheme="minorHAnsi"/>
          <w:i w:val="0"/>
          <w:iCs w:val="0"/>
          <w:noProof/>
          <w:color w:val="auto"/>
          <w:lang w:val="fr-CA"/>
        </w:rPr>
        <w:t>7</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Dotation selon le type de processus</w:t>
      </w:r>
    </w:p>
    <w:p w14:paraId="473F7DC5" w14:textId="08DBBE71" w:rsidR="00A8431F" w:rsidRPr="00085A29" w:rsidRDefault="00A8431F" w:rsidP="00A8431F">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10</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Nombre et pourcentage des activités de dotation selon le type de processus et l’exercice financier</w:t>
      </w:r>
    </w:p>
    <w:tbl>
      <w:tblPr>
        <w:tblStyle w:val="TableGrid"/>
        <w:tblW w:w="5000" w:type="pct"/>
        <w:jc w:val="center"/>
        <w:tblLook w:val="0020" w:firstRow="1" w:lastRow="0" w:firstColumn="0" w:lastColumn="0" w:noHBand="0" w:noVBand="0"/>
        <w:tblDescription w:val="Dotation selon le type de processus de 2015 à 2020"/>
      </w:tblPr>
      <w:tblGrid>
        <w:gridCol w:w="1980"/>
        <w:gridCol w:w="4395"/>
        <w:gridCol w:w="3543"/>
        <w:gridCol w:w="4472"/>
      </w:tblGrid>
      <w:tr w:rsidR="00A8431F" w:rsidRPr="00085A29" w14:paraId="2B2050DE" w14:textId="77777777" w:rsidTr="00A8431F">
        <w:trPr>
          <w:cantSplit/>
          <w:trHeight w:val="290"/>
          <w:tblHeader/>
          <w:jc w:val="center"/>
        </w:trPr>
        <w:tc>
          <w:tcPr>
            <w:tcW w:w="688" w:type="pct"/>
          </w:tcPr>
          <w:p w14:paraId="78D83519" w14:textId="5B827948"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Exercice financier</w:t>
            </w:r>
          </w:p>
        </w:tc>
        <w:tc>
          <w:tcPr>
            <w:tcW w:w="1527" w:type="pct"/>
          </w:tcPr>
          <w:p w14:paraId="197A0336" w14:textId="6C4217F5"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Processus non annoncé (inconnus exclus)</w:t>
            </w:r>
          </w:p>
        </w:tc>
        <w:tc>
          <w:tcPr>
            <w:tcW w:w="1231" w:type="pct"/>
          </w:tcPr>
          <w:p w14:paraId="78D9DD4B" w14:textId="4E252FEB"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Processus annoncés</w:t>
            </w:r>
          </w:p>
        </w:tc>
        <w:tc>
          <w:tcPr>
            <w:tcW w:w="1554" w:type="pct"/>
          </w:tcPr>
          <w:p w14:paraId="590B8CAB" w14:textId="7EF5D1C7"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 xml:space="preserve">Pourcentage de processus non annoncés </w:t>
            </w:r>
          </w:p>
        </w:tc>
      </w:tr>
      <w:tr w:rsidR="00A8431F" w:rsidRPr="00085A29" w14:paraId="31766C2F" w14:textId="77777777" w:rsidTr="00A8431F">
        <w:trPr>
          <w:cantSplit/>
          <w:trHeight w:val="290"/>
          <w:tblHeader/>
          <w:jc w:val="center"/>
        </w:trPr>
        <w:tc>
          <w:tcPr>
            <w:tcW w:w="688" w:type="pct"/>
          </w:tcPr>
          <w:p w14:paraId="11CB18D6" w14:textId="6ADE02D9"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2015 à 2016 </w:t>
            </w:r>
          </w:p>
        </w:tc>
        <w:tc>
          <w:tcPr>
            <w:tcW w:w="1527" w:type="pct"/>
          </w:tcPr>
          <w:p w14:paraId="37848875" w14:textId="091F399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7</w:t>
            </w:r>
          </w:p>
        </w:tc>
        <w:tc>
          <w:tcPr>
            <w:tcW w:w="1231" w:type="pct"/>
          </w:tcPr>
          <w:p w14:paraId="7273CB9D" w14:textId="097D708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66</w:t>
            </w:r>
          </w:p>
        </w:tc>
        <w:tc>
          <w:tcPr>
            <w:tcW w:w="1554" w:type="pct"/>
          </w:tcPr>
          <w:p w14:paraId="5F574171" w14:textId="66535866"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10%</w:t>
            </w:r>
          </w:p>
        </w:tc>
      </w:tr>
      <w:tr w:rsidR="00A8431F" w:rsidRPr="00085A29" w14:paraId="0151AD3A" w14:textId="77777777" w:rsidTr="00A8431F">
        <w:trPr>
          <w:cantSplit/>
          <w:trHeight w:val="290"/>
          <w:tblHeader/>
          <w:jc w:val="center"/>
        </w:trPr>
        <w:tc>
          <w:tcPr>
            <w:tcW w:w="688" w:type="pct"/>
          </w:tcPr>
          <w:p w14:paraId="272122A3" w14:textId="2D3F824C"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2016 à 2017</w:t>
            </w:r>
          </w:p>
        </w:tc>
        <w:tc>
          <w:tcPr>
            <w:tcW w:w="1527" w:type="pct"/>
          </w:tcPr>
          <w:p w14:paraId="3D3A9FB5" w14:textId="73BD295A"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w:t>
            </w:r>
          </w:p>
        </w:tc>
        <w:tc>
          <w:tcPr>
            <w:tcW w:w="1231" w:type="pct"/>
          </w:tcPr>
          <w:p w14:paraId="0D0DAA17" w14:textId="7E85175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51</w:t>
            </w:r>
          </w:p>
        </w:tc>
        <w:tc>
          <w:tcPr>
            <w:tcW w:w="1554" w:type="pct"/>
          </w:tcPr>
          <w:p w14:paraId="6042E4D5" w14:textId="3CB1E45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w:t>
            </w:r>
          </w:p>
        </w:tc>
      </w:tr>
      <w:tr w:rsidR="00A8431F" w:rsidRPr="00085A29" w14:paraId="4938FF37" w14:textId="77777777" w:rsidTr="00A8431F">
        <w:trPr>
          <w:cantSplit/>
          <w:trHeight w:val="290"/>
          <w:tblHeader/>
          <w:jc w:val="center"/>
        </w:trPr>
        <w:tc>
          <w:tcPr>
            <w:tcW w:w="688" w:type="pct"/>
          </w:tcPr>
          <w:p w14:paraId="356F487D" w14:textId="0D2AAA70"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2017 à 2018</w:t>
            </w:r>
          </w:p>
        </w:tc>
        <w:tc>
          <w:tcPr>
            <w:tcW w:w="1527" w:type="pct"/>
          </w:tcPr>
          <w:p w14:paraId="093CA2A8" w14:textId="02777452"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7</w:t>
            </w:r>
          </w:p>
        </w:tc>
        <w:tc>
          <w:tcPr>
            <w:tcW w:w="1231" w:type="pct"/>
          </w:tcPr>
          <w:p w14:paraId="7638AB4B" w14:textId="5449A956"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84</w:t>
            </w:r>
          </w:p>
        </w:tc>
        <w:tc>
          <w:tcPr>
            <w:tcW w:w="1554" w:type="pct"/>
          </w:tcPr>
          <w:p w14:paraId="77105926" w14:textId="6B435A9C"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8%</w:t>
            </w:r>
          </w:p>
        </w:tc>
      </w:tr>
      <w:tr w:rsidR="00A8431F" w:rsidRPr="00085A29" w14:paraId="6ABE92F4" w14:textId="77777777" w:rsidTr="00A8431F">
        <w:trPr>
          <w:cantSplit/>
          <w:trHeight w:val="290"/>
          <w:tblHeader/>
          <w:jc w:val="center"/>
        </w:trPr>
        <w:tc>
          <w:tcPr>
            <w:tcW w:w="688" w:type="pct"/>
          </w:tcPr>
          <w:p w14:paraId="2AA3B6ED" w14:textId="7360BF7C"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2018 à 2019</w:t>
            </w:r>
          </w:p>
        </w:tc>
        <w:tc>
          <w:tcPr>
            <w:tcW w:w="1527" w:type="pct"/>
          </w:tcPr>
          <w:p w14:paraId="65AD62AF" w14:textId="2756871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22</w:t>
            </w:r>
          </w:p>
        </w:tc>
        <w:tc>
          <w:tcPr>
            <w:tcW w:w="1231" w:type="pct"/>
          </w:tcPr>
          <w:p w14:paraId="47AFC371" w14:textId="4009A909"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59</w:t>
            </w:r>
          </w:p>
        </w:tc>
        <w:tc>
          <w:tcPr>
            <w:tcW w:w="1554" w:type="pct"/>
          </w:tcPr>
          <w:p w14:paraId="3CE9A729" w14:textId="097FAEDC"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27%</w:t>
            </w:r>
          </w:p>
        </w:tc>
      </w:tr>
      <w:tr w:rsidR="00A8431F" w:rsidRPr="00085A29" w14:paraId="54DDB47E" w14:textId="77777777" w:rsidTr="00A8431F">
        <w:trPr>
          <w:cantSplit/>
          <w:trHeight w:val="290"/>
          <w:tblHeader/>
          <w:jc w:val="center"/>
        </w:trPr>
        <w:tc>
          <w:tcPr>
            <w:tcW w:w="688" w:type="pct"/>
          </w:tcPr>
          <w:p w14:paraId="2C188A49" w14:textId="4B860657"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2019 à 2020</w:t>
            </w:r>
          </w:p>
        </w:tc>
        <w:tc>
          <w:tcPr>
            <w:tcW w:w="1527" w:type="pct"/>
          </w:tcPr>
          <w:p w14:paraId="447DDEB9" w14:textId="049B02B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34</w:t>
            </w:r>
          </w:p>
        </w:tc>
        <w:tc>
          <w:tcPr>
            <w:tcW w:w="1231" w:type="pct"/>
          </w:tcPr>
          <w:p w14:paraId="2BD62EA2" w14:textId="5001BC2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50</w:t>
            </w:r>
          </w:p>
        </w:tc>
        <w:tc>
          <w:tcPr>
            <w:tcW w:w="1554" w:type="pct"/>
          </w:tcPr>
          <w:p w14:paraId="52C7C502" w14:textId="3F3FB726"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40%</w:t>
            </w:r>
          </w:p>
        </w:tc>
      </w:tr>
    </w:tbl>
    <w:p w14:paraId="58622CA6" w14:textId="77777777" w:rsidR="00A6338F" w:rsidRPr="00085A29" w:rsidRDefault="00A6338F" w:rsidP="00DD5A7F">
      <w:pPr>
        <w:pStyle w:val="ListParagraph"/>
        <w:numPr>
          <w:ilvl w:val="0"/>
          <w:numId w:val="26"/>
        </w:numPr>
        <w:spacing w:after="0"/>
        <w:contextualSpacing w:val="0"/>
        <w:rPr>
          <w:rFonts w:asciiTheme="minorHAnsi" w:hAnsiTheme="minorHAnsi" w:cstheme="minorHAnsi"/>
          <w:sz w:val="22"/>
          <w:szCs w:val="22"/>
          <w:lang w:val="fr-CA"/>
        </w:rPr>
      </w:pPr>
      <w:r w:rsidRPr="00085A29">
        <w:rPr>
          <w:rFonts w:asciiTheme="minorHAnsi" w:hAnsiTheme="minorHAnsi" w:cstheme="minorHAnsi"/>
          <w:sz w:val="22"/>
          <w:szCs w:val="22"/>
          <w:lang w:val="fr-CA"/>
        </w:rPr>
        <w:t>Comprend les nominations pour une période indéterminée et pour une durée déterminée.</w:t>
      </w:r>
    </w:p>
    <w:p w14:paraId="4957C534" w14:textId="77777777" w:rsidR="00A6338F" w:rsidRPr="00085A29" w:rsidRDefault="00A6338F" w:rsidP="00DD5A7F">
      <w:pPr>
        <w:pStyle w:val="ListParagraph"/>
        <w:numPr>
          <w:ilvl w:val="0"/>
          <w:numId w:val="26"/>
        </w:numPr>
        <w:spacing w:after="0"/>
        <w:contextualSpacing w:val="0"/>
        <w:rPr>
          <w:rFonts w:asciiTheme="minorHAnsi" w:hAnsiTheme="minorHAnsi" w:cstheme="minorHAnsi"/>
          <w:sz w:val="22"/>
          <w:szCs w:val="22"/>
          <w:lang w:val="fr-CA"/>
        </w:rPr>
      </w:pPr>
      <w:r w:rsidRPr="00085A29">
        <w:rPr>
          <w:rFonts w:asciiTheme="minorHAnsi" w:hAnsiTheme="minorHAnsi" w:cstheme="minorHAnsi"/>
          <w:sz w:val="22"/>
          <w:szCs w:val="22"/>
          <w:lang w:val="fr-CA"/>
        </w:rPr>
        <w:t>Exclut les déplacements latéraux et régressifs, les mutations et les nominations intérimaires de moins de 4 mois.</w:t>
      </w:r>
    </w:p>
    <w:p w14:paraId="4735411E" w14:textId="0A0A1B94" w:rsidR="00A6338F" w:rsidRPr="00085A29" w:rsidRDefault="00A6338F" w:rsidP="00A6338F">
      <w:pPr>
        <w:pStyle w:val="ListParagraph"/>
        <w:numPr>
          <w:ilvl w:val="0"/>
          <w:numId w:val="26"/>
        </w:numPr>
        <w:spacing w:after="100" w:afterAutospacing="1"/>
        <w:contextualSpacing w:val="0"/>
        <w:rPr>
          <w:rFonts w:asciiTheme="minorHAnsi" w:hAnsiTheme="minorHAnsi" w:cstheme="minorHAnsi"/>
          <w:sz w:val="22"/>
          <w:szCs w:val="22"/>
          <w:lang w:val="fr-CA"/>
        </w:rPr>
      </w:pPr>
      <w:r w:rsidRPr="00085A29">
        <w:rPr>
          <w:rFonts w:asciiTheme="minorHAnsi" w:hAnsiTheme="minorHAnsi" w:cstheme="minorHAnsi"/>
          <w:sz w:val="22"/>
          <w:szCs w:val="22"/>
          <w:lang w:val="fr-CA"/>
        </w:rPr>
        <w:t>Inclut seulement les nominations où le type de processus est connu (54% à 73% des nominations).</w:t>
      </w:r>
    </w:p>
    <w:p w14:paraId="28B961B4" w14:textId="77777777" w:rsidR="0008073E" w:rsidRPr="00085A29" w:rsidRDefault="0008073E" w:rsidP="00DD5A7F">
      <w:pPr>
        <w:rPr>
          <w:rFonts w:asciiTheme="minorHAnsi" w:hAnsiTheme="minorHAnsi" w:cstheme="minorHAnsi"/>
          <w:sz w:val="22"/>
          <w:szCs w:val="22"/>
          <w:lang w:val="fr-CA"/>
        </w:rPr>
        <w:sectPr w:rsidR="0008073E" w:rsidRPr="00085A29" w:rsidSect="00A8431F">
          <w:pgSz w:w="15840" w:h="12240" w:orient="landscape"/>
          <w:pgMar w:top="720" w:right="720" w:bottom="720" w:left="720" w:header="709" w:footer="284" w:gutter="0"/>
          <w:cols w:space="708"/>
          <w:titlePg/>
          <w:docGrid w:linePitch="360"/>
        </w:sectPr>
      </w:pPr>
    </w:p>
    <w:p w14:paraId="15187A7B" w14:textId="77777777" w:rsidR="00A8431F" w:rsidRPr="00085A29" w:rsidRDefault="00A8431F" w:rsidP="00A8431F">
      <w:pPr>
        <w:pStyle w:val="Heading1"/>
        <w:spacing w:before="120" w:after="120"/>
        <w:rPr>
          <w:sz w:val="40"/>
          <w:szCs w:val="40"/>
          <w:lang w:val="fr-CA"/>
        </w:rPr>
      </w:pPr>
      <w:r w:rsidRPr="00085A29">
        <w:rPr>
          <w:rFonts w:eastAsia="Times New Roman"/>
          <w:sz w:val="40"/>
          <w:szCs w:val="40"/>
          <w:lang w:val="fr-CA"/>
        </w:rPr>
        <w:lastRenderedPageBreak/>
        <w:t>Dotation selon le type de nomination</w:t>
      </w:r>
    </w:p>
    <w:p w14:paraId="43B289E1" w14:textId="77777777" w:rsidR="00A8431F" w:rsidRPr="00085A29" w:rsidRDefault="00FD1620" w:rsidP="00A8431F">
      <w:pPr>
        <w:keepNext/>
        <w:jc w:val="center"/>
        <w:rPr>
          <w:lang w:val="fr-CA"/>
        </w:rPr>
      </w:pPr>
      <w:r w:rsidRPr="00085A29">
        <w:rPr>
          <w:noProof/>
          <w:lang w:val="fr-CA" w:eastAsia="en-CA"/>
        </w:rPr>
        <w:drawing>
          <wp:inline distT="0" distB="0" distL="0" distR="0" wp14:anchorId="34FFEB9D" wp14:editId="3C96685C">
            <wp:extent cx="5648400" cy="3049200"/>
            <wp:effectExtent l="0" t="0" r="9525" b="18415"/>
            <wp:docPr id="23" name="Chart 9" descr="Dotation selon le type de nominat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D0C3CC" w14:textId="5EEA2C14" w:rsidR="0008073E" w:rsidRPr="00085A29" w:rsidRDefault="00A8431F" w:rsidP="00A8431F">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003D2915" w:rsidRPr="00085A29">
        <w:rPr>
          <w:rFonts w:asciiTheme="minorHAnsi" w:hAnsiTheme="minorHAnsi" w:cstheme="minorHAnsi"/>
          <w:i w:val="0"/>
          <w:iCs w:val="0"/>
          <w:noProof/>
          <w:color w:val="auto"/>
          <w:lang w:val="fr-CA"/>
        </w:rPr>
        <w:t>8</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Dotation selon le type de nomination</w:t>
      </w:r>
    </w:p>
    <w:p w14:paraId="3A0357CD" w14:textId="7A2C329F" w:rsidR="00A8431F" w:rsidRPr="00085A29" w:rsidRDefault="00A8431F" w:rsidP="00A8431F">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11</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Activités de dotation selon le type de nomination et exercice financier</w:t>
      </w:r>
    </w:p>
    <w:tbl>
      <w:tblPr>
        <w:tblStyle w:val="TableGrid"/>
        <w:tblW w:w="5000" w:type="pct"/>
        <w:jc w:val="center"/>
        <w:tblLook w:val="0020" w:firstRow="1" w:lastRow="0" w:firstColumn="0" w:lastColumn="0" w:noHBand="0" w:noVBand="0"/>
        <w:tblDescription w:val="Dotation selon le type de nomination de 2015 à 2020"/>
      </w:tblPr>
      <w:tblGrid>
        <w:gridCol w:w="1555"/>
        <w:gridCol w:w="1561"/>
        <w:gridCol w:w="2409"/>
        <w:gridCol w:w="4254"/>
        <w:gridCol w:w="3258"/>
        <w:gridCol w:w="1353"/>
      </w:tblGrid>
      <w:tr w:rsidR="00A8431F" w:rsidRPr="00085A29" w14:paraId="13CB0153" w14:textId="77777777" w:rsidTr="00A8431F">
        <w:trPr>
          <w:cantSplit/>
          <w:tblHeader/>
          <w:jc w:val="center"/>
        </w:trPr>
        <w:tc>
          <w:tcPr>
            <w:tcW w:w="540" w:type="pct"/>
          </w:tcPr>
          <w:p w14:paraId="4EA1FF13" w14:textId="69AEEB3E"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Exercice financier</w:t>
            </w:r>
          </w:p>
        </w:tc>
        <w:tc>
          <w:tcPr>
            <w:tcW w:w="542" w:type="pct"/>
          </w:tcPr>
          <w:p w14:paraId="37C34974" w14:textId="31921315"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Promotions</w:t>
            </w:r>
          </w:p>
        </w:tc>
        <w:tc>
          <w:tcPr>
            <w:tcW w:w="837" w:type="pct"/>
          </w:tcPr>
          <w:p w14:paraId="59E5C0E7" w14:textId="402FDEE3"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Déplacements latéraux et régressifs</w:t>
            </w:r>
          </w:p>
        </w:tc>
        <w:tc>
          <w:tcPr>
            <w:tcW w:w="1477" w:type="pct"/>
          </w:tcPr>
          <w:p w14:paraId="5E264EFC" w14:textId="4E88B644"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Nominations à la fonction publique (y compris les employés occasionnels et les étudiants)</w:t>
            </w:r>
          </w:p>
        </w:tc>
        <w:tc>
          <w:tcPr>
            <w:tcW w:w="1132" w:type="pct"/>
          </w:tcPr>
          <w:p w14:paraId="7EB0F70E" w14:textId="40DC20B8"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Nominations intérimaires (Excluant les nominations de moins de 4 mois)</w:t>
            </w:r>
          </w:p>
        </w:tc>
        <w:tc>
          <w:tcPr>
            <w:tcW w:w="470" w:type="pct"/>
          </w:tcPr>
          <w:p w14:paraId="6602C84C" w14:textId="484AF325"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Total</w:t>
            </w:r>
          </w:p>
        </w:tc>
      </w:tr>
      <w:tr w:rsidR="00A8431F" w:rsidRPr="00085A29" w14:paraId="544B9BC0" w14:textId="77777777" w:rsidTr="00A8431F">
        <w:trPr>
          <w:cantSplit/>
          <w:tblHeader/>
          <w:jc w:val="center"/>
        </w:trPr>
        <w:tc>
          <w:tcPr>
            <w:tcW w:w="540" w:type="pct"/>
          </w:tcPr>
          <w:p w14:paraId="6DFE8E56" w14:textId="1046605E"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2015 à 2016</w:t>
            </w:r>
          </w:p>
        </w:tc>
        <w:tc>
          <w:tcPr>
            <w:tcW w:w="542" w:type="pct"/>
          </w:tcPr>
          <w:p w14:paraId="59A77A7E" w14:textId="4A4A2BA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73</w:t>
            </w:r>
          </w:p>
        </w:tc>
        <w:tc>
          <w:tcPr>
            <w:tcW w:w="837" w:type="pct"/>
          </w:tcPr>
          <w:p w14:paraId="09131A5B" w14:textId="181ED39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30</w:t>
            </w:r>
          </w:p>
        </w:tc>
        <w:tc>
          <w:tcPr>
            <w:tcW w:w="1477" w:type="pct"/>
          </w:tcPr>
          <w:p w14:paraId="3CE6BBB9" w14:textId="476C92C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68</w:t>
            </w:r>
          </w:p>
        </w:tc>
        <w:tc>
          <w:tcPr>
            <w:tcW w:w="1132" w:type="pct"/>
          </w:tcPr>
          <w:p w14:paraId="7ABC778E" w14:textId="0FDD0245"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24</w:t>
            </w:r>
          </w:p>
        </w:tc>
        <w:tc>
          <w:tcPr>
            <w:tcW w:w="470" w:type="pct"/>
          </w:tcPr>
          <w:p w14:paraId="2B436A23" w14:textId="7E3E74A9"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195</w:t>
            </w:r>
          </w:p>
        </w:tc>
      </w:tr>
      <w:tr w:rsidR="00A8431F" w:rsidRPr="00085A29" w14:paraId="55715358" w14:textId="77777777" w:rsidTr="00A8431F">
        <w:trPr>
          <w:cantSplit/>
          <w:tblHeader/>
          <w:jc w:val="center"/>
        </w:trPr>
        <w:tc>
          <w:tcPr>
            <w:tcW w:w="540" w:type="pct"/>
          </w:tcPr>
          <w:p w14:paraId="73A30930" w14:textId="6E1D8531"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2016 à 2017 </w:t>
            </w:r>
          </w:p>
        </w:tc>
        <w:tc>
          <w:tcPr>
            <w:tcW w:w="542" w:type="pct"/>
          </w:tcPr>
          <w:p w14:paraId="50A45A9E" w14:textId="6D3C3298"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43</w:t>
            </w:r>
          </w:p>
        </w:tc>
        <w:tc>
          <w:tcPr>
            <w:tcW w:w="837" w:type="pct"/>
          </w:tcPr>
          <w:p w14:paraId="4C3533B1" w14:textId="4835A09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39</w:t>
            </w:r>
          </w:p>
        </w:tc>
        <w:tc>
          <w:tcPr>
            <w:tcW w:w="1477" w:type="pct"/>
          </w:tcPr>
          <w:p w14:paraId="300CF467" w14:textId="794C9F66"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64</w:t>
            </w:r>
          </w:p>
        </w:tc>
        <w:tc>
          <w:tcPr>
            <w:tcW w:w="1132" w:type="pct"/>
          </w:tcPr>
          <w:p w14:paraId="7C08EADB" w14:textId="15F2FAD5"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18</w:t>
            </w:r>
          </w:p>
        </w:tc>
        <w:tc>
          <w:tcPr>
            <w:tcW w:w="470" w:type="pct"/>
          </w:tcPr>
          <w:p w14:paraId="7D26D2C9" w14:textId="41B8CA7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164</w:t>
            </w:r>
          </w:p>
        </w:tc>
      </w:tr>
      <w:tr w:rsidR="00A8431F" w:rsidRPr="00085A29" w14:paraId="06F7E7A2" w14:textId="77777777" w:rsidTr="00A8431F">
        <w:trPr>
          <w:cantSplit/>
          <w:tblHeader/>
          <w:jc w:val="center"/>
        </w:trPr>
        <w:tc>
          <w:tcPr>
            <w:tcW w:w="540" w:type="pct"/>
          </w:tcPr>
          <w:p w14:paraId="77972737" w14:textId="698337BF"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2017 à 2018</w:t>
            </w:r>
          </w:p>
        </w:tc>
        <w:tc>
          <w:tcPr>
            <w:tcW w:w="542" w:type="pct"/>
          </w:tcPr>
          <w:p w14:paraId="7CC8576C" w14:textId="65DC9747"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51</w:t>
            </w:r>
          </w:p>
        </w:tc>
        <w:tc>
          <w:tcPr>
            <w:tcW w:w="837" w:type="pct"/>
          </w:tcPr>
          <w:p w14:paraId="2CCEC08C" w14:textId="7127CB25"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41</w:t>
            </w:r>
          </w:p>
        </w:tc>
        <w:tc>
          <w:tcPr>
            <w:tcW w:w="1477" w:type="pct"/>
          </w:tcPr>
          <w:p w14:paraId="12BD8D82" w14:textId="5F4E118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80</w:t>
            </w:r>
          </w:p>
        </w:tc>
        <w:tc>
          <w:tcPr>
            <w:tcW w:w="1132" w:type="pct"/>
          </w:tcPr>
          <w:p w14:paraId="0CEA751E" w14:textId="70B356B9"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29</w:t>
            </w:r>
          </w:p>
        </w:tc>
        <w:tc>
          <w:tcPr>
            <w:tcW w:w="470" w:type="pct"/>
          </w:tcPr>
          <w:p w14:paraId="199BBEEA" w14:textId="0DB95637"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201</w:t>
            </w:r>
          </w:p>
        </w:tc>
      </w:tr>
      <w:tr w:rsidR="00A8431F" w:rsidRPr="00085A29" w14:paraId="19D37F68" w14:textId="77777777" w:rsidTr="00A8431F">
        <w:trPr>
          <w:cantSplit/>
          <w:tblHeader/>
          <w:jc w:val="center"/>
        </w:trPr>
        <w:tc>
          <w:tcPr>
            <w:tcW w:w="540" w:type="pct"/>
          </w:tcPr>
          <w:p w14:paraId="6F7DF669" w14:textId="50BF217B"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2018 à 2019</w:t>
            </w:r>
          </w:p>
        </w:tc>
        <w:tc>
          <w:tcPr>
            <w:tcW w:w="542" w:type="pct"/>
          </w:tcPr>
          <w:p w14:paraId="4E62FBB3" w14:textId="39C4610D"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60</w:t>
            </w:r>
          </w:p>
        </w:tc>
        <w:tc>
          <w:tcPr>
            <w:tcW w:w="837" w:type="pct"/>
          </w:tcPr>
          <w:p w14:paraId="465EEF0C" w14:textId="57D9C802"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46</w:t>
            </w:r>
          </w:p>
        </w:tc>
        <w:tc>
          <w:tcPr>
            <w:tcW w:w="1477" w:type="pct"/>
          </w:tcPr>
          <w:p w14:paraId="43058437" w14:textId="602D201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47</w:t>
            </w:r>
          </w:p>
        </w:tc>
        <w:tc>
          <w:tcPr>
            <w:tcW w:w="1132" w:type="pct"/>
          </w:tcPr>
          <w:p w14:paraId="45ADF830" w14:textId="7B569229"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32</w:t>
            </w:r>
          </w:p>
        </w:tc>
        <w:tc>
          <w:tcPr>
            <w:tcW w:w="470" w:type="pct"/>
          </w:tcPr>
          <w:p w14:paraId="3E172AD8" w14:textId="7908EF72"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185</w:t>
            </w:r>
          </w:p>
        </w:tc>
      </w:tr>
      <w:tr w:rsidR="00A8431F" w:rsidRPr="00085A29" w14:paraId="67F7EFB2" w14:textId="77777777" w:rsidTr="00A8431F">
        <w:trPr>
          <w:cantSplit/>
          <w:tblHeader/>
          <w:jc w:val="center"/>
        </w:trPr>
        <w:tc>
          <w:tcPr>
            <w:tcW w:w="540" w:type="pct"/>
          </w:tcPr>
          <w:p w14:paraId="61CB7193" w14:textId="5E5BDF12"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2019 à 2020</w:t>
            </w:r>
          </w:p>
        </w:tc>
        <w:tc>
          <w:tcPr>
            <w:tcW w:w="542" w:type="pct"/>
          </w:tcPr>
          <w:p w14:paraId="54D10877" w14:textId="0CA9C73F"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62</w:t>
            </w:r>
          </w:p>
        </w:tc>
        <w:tc>
          <w:tcPr>
            <w:tcW w:w="837" w:type="pct"/>
          </w:tcPr>
          <w:p w14:paraId="723EA4EE" w14:textId="7CF57D1E"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35</w:t>
            </w:r>
          </w:p>
        </w:tc>
        <w:tc>
          <w:tcPr>
            <w:tcW w:w="1477" w:type="pct"/>
          </w:tcPr>
          <w:p w14:paraId="684A2749" w14:textId="275F12FC"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67</w:t>
            </w:r>
          </w:p>
        </w:tc>
        <w:tc>
          <w:tcPr>
            <w:tcW w:w="1132" w:type="pct"/>
          </w:tcPr>
          <w:p w14:paraId="7FD1F9DA" w14:textId="02D68B07"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43</w:t>
            </w:r>
          </w:p>
        </w:tc>
        <w:tc>
          <w:tcPr>
            <w:tcW w:w="470" w:type="pct"/>
          </w:tcPr>
          <w:p w14:paraId="356B1456" w14:textId="4C9BC021"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207</w:t>
            </w:r>
          </w:p>
        </w:tc>
      </w:tr>
    </w:tbl>
    <w:p w14:paraId="5834F0BA" w14:textId="3DB856CD" w:rsidR="00A6338F" w:rsidRPr="00085A29" w:rsidRDefault="00A6338F" w:rsidP="00A6338F">
      <w:pPr>
        <w:rPr>
          <w:rFonts w:asciiTheme="minorHAnsi" w:hAnsiTheme="minorHAnsi" w:cstheme="minorHAnsi"/>
          <w:sz w:val="22"/>
          <w:szCs w:val="22"/>
          <w:lang w:val="fr-CA"/>
        </w:rPr>
      </w:pPr>
    </w:p>
    <w:p w14:paraId="069273E6" w14:textId="77777777" w:rsidR="0008073E" w:rsidRPr="00085A29" w:rsidRDefault="0008073E" w:rsidP="00A6338F">
      <w:pPr>
        <w:rPr>
          <w:rFonts w:asciiTheme="minorHAnsi" w:hAnsiTheme="minorHAnsi" w:cstheme="minorHAnsi"/>
          <w:sz w:val="22"/>
          <w:szCs w:val="22"/>
          <w:lang w:val="fr-CA"/>
        </w:rPr>
        <w:sectPr w:rsidR="0008073E" w:rsidRPr="00085A29" w:rsidSect="00A8431F">
          <w:pgSz w:w="15840" w:h="12240" w:orient="landscape"/>
          <w:pgMar w:top="720" w:right="720" w:bottom="720" w:left="720" w:header="709" w:footer="284" w:gutter="0"/>
          <w:cols w:space="708"/>
          <w:titlePg/>
          <w:docGrid w:linePitch="360"/>
        </w:sectPr>
      </w:pPr>
    </w:p>
    <w:p w14:paraId="4556D1C3" w14:textId="77777777" w:rsidR="00A8431F" w:rsidRPr="00085A29" w:rsidRDefault="00A8431F" w:rsidP="00A8431F">
      <w:pPr>
        <w:pStyle w:val="Heading1"/>
        <w:spacing w:before="120" w:after="120"/>
        <w:rPr>
          <w:sz w:val="40"/>
          <w:szCs w:val="40"/>
          <w:lang w:val="fr-CA"/>
        </w:rPr>
      </w:pPr>
      <w:r w:rsidRPr="00085A29">
        <w:rPr>
          <w:rFonts w:eastAsia="Times New Roman"/>
          <w:sz w:val="40"/>
          <w:szCs w:val="40"/>
          <w:lang w:val="fr-CA"/>
        </w:rPr>
        <w:lastRenderedPageBreak/>
        <w:t>Dotation selon la durée d'emploi</w:t>
      </w:r>
    </w:p>
    <w:p w14:paraId="142539AF" w14:textId="77777777" w:rsidR="00A8431F" w:rsidRPr="00085A29" w:rsidRDefault="00FD1620" w:rsidP="00A8431F">
      <w:pPr>
        <w:keepNext/>
        <w:jc w:val="center"/>
        <w:rPr>
          <w:lang w:val="fr-CA"/>
        </w:rPr>
      </w:pPr>
      <w:r w:rsidRPr="00085A29">
        <w:rPr>
          <w:noProof/>
          <w:lang w:val="fr-CA" w:eastAsia="en-CA"/>
        </w:rPr>
        <w:drawing>
          <wp:inline distT="0" distB="0" distL="0" distR="0" wp14:anchorId="08D717F8" wp14:editId="6995A0C0">
            <wp:extent cx="5648400" cy="3049200"/>
            <wp:effectExtent l="0" t="0" r="9525" b="18415"/>
            <wp:docPr id="24" name="Chart 3" descr="Dotation selon la durée d'emploi&#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3E6BCFA" w14:textId="195F2406" w:rsidR="0008073E" w:rsidRPr="00085A29" w:rsidRDefault="00A8431F" w:rsidP="00A8431F">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003D2915" w:rsidRPr="00085A29">
        <w:rPr>
          <w:rFonts w:asciiTheme="minorHAnsi" w:hAnsiTheme="minorHAnsi" w:cstheme="minorHAnsi"/>
          <w:i w:val="0"/>
          <w:iCs w:val="0"/>
          <w:noProof/>
          <w:color w:val="auto"/>
          <w:lang w:val="fr-CA"/>
        </w:rPr>
        <w:t>9</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Dotation selon la durée d'emploi</w:t>
      </w:r>
    </w:p>
    <w:p w14:paraId="6DF7C93C" w14:textId="372DC57E" w:rsidR="00A8431F" w:rsidRPr="00085A29" w:rsidRDefault="00A8431F" w:rsidP="00A8431F">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12</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Activités de dotation selon la durée d’emploi et l’exercice financier</w:t>
      </w:r>
    </w:p>
    <w:tbl>
      <w:tblPr>
        <w:tblStyle w:val="TableGrid"/>
        <w:tblW w:w="5000" w:type="pct"/>
        <w:jc w:val="center"/>
        <w:tblLook w:val="0020" w:firstRow="1" w:lastRow="0" w:firstColumn="0" w:lastColumn="0" w:noHBand="0" w:noVBand="0"/>
        <w:tblDescription w:val="Dotation selon la durée d’emploi de 2015 à 2020"/>
      </w:tblPr>
      <w:tblGrid>
        <w:gridCol w:w="2121"/>
        <w:gridCol w:w="2976"/>
        <w:gridCol w:w="2694"/>
        <w:gridCol w:w="2835"/>
        <w:gridCol w:w="2020"/>
        <w:gridCol w:w="1744"/>
      </w:tblGrid>
      <w:tr w:rsidR="00A8431F" w:rsidRPr="00085A29" w14:paraId="04D51FAE" w14:textId="77777777" w:rsidTr="003C4263">
        <w:trPr>
          <w:cantSplit/>
          <w:tblHeader/>
          <w:jc w:val="center"/>
        </w:trPr>
        <w:tc>
          <w:tcPr>
            <w:tcW w:w="737" w:type="pct"/>
          </w:tcPr>
          <w:p w14:paraId="6D99763C" w14:textId="5E164E12"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Exercice financier</w:t>
            </w:r>
          </w:p>
        </w:tc>
        <w:tc>
          <w:tcPr>
            <w:tcW w:w="1034" w:type="pct"/>
          </w:tcPr>
          <w:p w14:paraId="3359BF28" w14:textId="4A8533AC"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Activités de dotation pour des postes pour une période indéterminée</w:t>
            </w:r>
          </w:p>
        </w:tc>
        <w:tc>
          <w:tcPr>
            <w:tcW w:w="936" w:type="pct"/>
          </w:tcPr>
          <w:p w14:paraId="1507268B" w14:textId="1C4DF39C"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Activités de dotation pour des postes de durée déterminée</w:t>
            </w:r>
          </w:p>
        </w:tc>
        <w:tc>
          <w:tcPr>
            <w:tcW w:w="985" w:type="pct"/>
          </w:tcPr>
          <w:p w14:paraId="4E5E6123" w14:textId="64FFCFA1"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Activités de dotation de durée pour les emplois occasionnels</w:t>
            </w:r>
          </w:p>
        </w:tc>
        <w:tc>
          <w:tcPr>
            <w:tcW w:w="702" w:type="pct"/>
          </w:tcPr>
          <w:p w14:paraId="15C14FDD" w14:textId="11E897CE"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Activités de dotation pour les emplois étudiants</w:t>
            </w:r>
          </w:p>
        </w:tc>
        <w:tc>
          <w:tcPr>
            <w:tcW w:w="606" w:type="pct"/>
          </w:tcPr>
          <w:p w14:paraId="34218416" w14:textId="6538FF20" w:rsidR="004460BE" w:rsidRPr="00085A29" w:rsidRDefault="004460BE" w:rsidP="00A8431F">
            <w:pPr>
              <w:pStyle w:val="TableTitle"/>
              <w:rPr>
                <w:rFonts w:asciiTheme="minorHAnsi" w:hAnsiTheme="minorHAnsi" w:cstheme="minorHAnsi"/>
                <w:color w:val="auto"/>
                <w:sz w:val="22"/>
                <w:szCs w:val="22"/>
                <w:lang w:val="fr-CA"/>
              </w:rPr>
            </w:pPr>
            <w:r w:rsidRPr="00085A29">
              <w:rPr>
                <w:color w:val="auto"/>
                <w:sz w:val="22"/>
                <w:szCs w:val="22"/>
                <w:lang w:val="fr-CA"/>
              </w:rPr>
              <w:t>Activités de dotation totale</w:t>
            </w:r>
          </w:p>
        </w:tc>
      </w:tr>
      <w:tr w:rsidR="00A8431F" w:rsidRPr="00085A29" w14:paraId="729D9E44" w14:textId="77777777" w:rsidTr="003C4263">
        <w:trPr>
          <w:cantSplit/>
          <w:tblHeader/>
          <w:jc w:val="center"/>
        </w:trPr>
        <w:tc>
          <w:tcPr>
            <w:tcW w:w="737" w:type="pct"/>
          </w:tcPr>
          <w:p w14:paraId="7F2D07F6" w14:textId="5F843DD4"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2015 à 2016</w:t>
            </w:r>
          </w:p>
        </w:tc>
        <w:tc>
          <w:tcPr>
            <w:tcW w:w="1034" w:type="pct"/>
          </w:tcPr>
          <w:p w14:paraId="7D975995" w14:textId="4159F8B1"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138</w:t>
            </w:r>
          </w:p>
        </w:tc>
        <w:tc>
          <w:tcPr>
            <w:tcW w:w="936" w:type="pct"/>
          </w:tcPr>
          <w:p w14:paraId="325494A7" w14:textId="1192EED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22</w:t>
            </w:r>
          </w:p>
        </w:tc>
        <w:tc>
          <w:tcPr>
            <w:tcW w:w="985" w:type="pct"/>
          </w:tcPr>
          <w:p w14:paraId="71D79751" w14:textId="6A08020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18</w:t>
            </w:r>
          </w:p>
        </w:tc>
        <w:tc>
          <w:tcPr>
            <w:tcW w:w="702" w:type="pct"/>
          </w:tcPr>
          <w:p w14:paraId="76D4F7A8" w14:textId="181ACD8A"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17</w:t>
            </w:r>
          </w:p>
        </w:tc>
        <w:tc>
          <w:tcPr>
            <w:tcW w:w="606" w:type="pct"/>
          </w:tcPr>
          <w:p w14:paraId="632DE456" w14:textId="147B9F6F"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195</w:t>
            </w:r>
          </w:p>
        </w:tc>
      </w:tr>
      <w:tr w:rsidR="00A8431F" w:rsidRPr="00085A29" w14:paraId="756F33AA" w14:textId="77777777" w:rsidTr="003C4263">
        <w:trPr>
          <w:cantSplit/>
          <w:tblHeader/>
          <w:jc w:val="center"/>
        </w:trPr>
        <w:tc>
          <w:tcPr>
            <w:tcW w:w="737" w:type="pct"/>
          </w:tcPr>
          <w:p w14:paraId="23CD8D8B" w14:textId="0DFD961B"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2016 à 2017</w:t>
            </w:r>
          </w:p>
        </w:tc>
        <w:tc>
          <w:tcPr>
            <w:tcW w:w="1034" w:type="pct"/>
          </w:tcPr>
          <w:p w14:paraId="1FBBC445" w14:textId="5455D5DF"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112</w:t>
            </w:r>
          </w:p>
        </w:tc>
        <w:tc>
          <w:tcPr>
            <w:tcW w:w="936" w:type="pct"/>
          </w:tcPr>
          <w:p w14:paraId="01655C71" w14:textId="59F2EB48"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25</w:t>
            </w:r>
          </w:p>
        </w:tc>
        <w:tc>
          <w:tcPr>
            <w:tcW w:w="985" w:type="pct"/>
          </w:tcPr>
          <w:p w14:paraId="28981892" w14:textId="404ECCA8"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20</w:t>
            </w:r>
          </w:p>
        </w:tc>
        <w:tc>
          <w:tcPr>
            <w:tcW w:w="702" w:type="pct"/>
          </w:tcPr>
          <w:p w14:paraId="6DF35162" w14:textId="78F5725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7</w:t>
            </w:r>
          </w:p>
        </w:tc>
        <w:tc>
          <w:tcPr>
            <w:tcW w:w="606" w:type="pct"/>
          </w:tcPr>
          <w:p w14:paraId="2A8618B9" w14:textId="23B416A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165</w:t>
            </w:r>
          </w:p>
        </w:tc>
      </w:tr>
      <w:tr w:rsidR="00A8431F" w:rsidRPr="00085A29" w14:paraId="4A323916" w14:textId="77777777" w:rsidTr="003C4263">
        <w:trPr>
          <w:cantSplit/>
          <w:tblHeader/>
          <w:jc w:val="center"/>
        </w:trPr>
        <w:tc>
          <w:tcPr>
            <w:tcW w:w="737" w:type="pct"/>
          </w:tcPr>
          <w:p w14:paraId="461E0561" w14:textId="696D5D3C"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2017 à 2018</w:t>
            </w:r>
          </w:p>
        </w:tc>
        <w:tc>
          <w:tcPr>
            <w:tcW w:w="1034" w:type="pct"/>
          </w:tcPr>
          <w:p w14:paraId="08C14790" w14:textId="1B2E74B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127</w:t>
            </w:r>
          </w:p>
        </w:tc>
        <w:tc>
          <w:tcPr>
            <w:tcW w:w="936" w:type="pct"/>
          </w:tcPr>
          <w:p w14:paraId="79E3134F" w14:textId="334CD8E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39</w:t>
            </w:r>
          </w:p>
        </w:tc>
        <w:tc>
          <w:tcPr>
            <w:tcW w:w="985" w:type="pct"/>
          </w:tcPr>
          <w:p w14:paraId="1768C027" w14:textId="19319369"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24</w:t>
            </w:r>
          </w:p>
        </w:tc>
        <w:tc>
          <w:tcPr>
            <w:tcW w:w="702" w:type="pct"/>
          </w:tcPr>
          <w:p w14:paraId="28A054C9" w14:textId="3BFBDCB6"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11</w:t>
            </w:r>
          </w:p>
        </w:tc>
        <w:tc>
          <w:tcPr>
            <w:tcW w:w="606" w:type="pct"/>
          </w:tcPr>
          <w:p w14:paraId="29E17AD6" w14:textId="181AEF41"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201</w:t>
            </w:r>
          </w:p>
        </w:tc>
      </w:tr>
      <w:tr w:rsidR="00A8431F" w:rsidRPr="00085A29" w14:paraId="029B7A76" w14:textId="77777777" w:rsidTr="003C4263">
        <w:trPr>
          <w:cantSplit/>
          <w:tblHeader/>
          <w:jc w:val="center"/>
        </w:trPr>
        <w:tc>
          <w:tcPr>
            <w:tcW w:w="737" w:type="pct"/>
          </w:tcPr>
          <w:p w14:paraId="03C4D690" w14:textId="66C70156"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2018 à 2019</w:t>
            </w:r>
          </w:p>
        </w:tc>
        <w:tc>
          <w:tcPr>
            <w:tcW w:w="1034" w:type="pct"/>
          </w:tcPr>
          <w:p w14:paraId="3168166C" w14:textId="269BF97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142</w:t>
            </w:r>
          </w:p>
        </w:tc>
        <w:tc>
          <w:tcPr>
            <w:tcW w:w="936" w:type="pct"/>
          </w:tcPr>
          <w:p w14:paraId="01310B59" w14:textId="2BE01109"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21</w:t>
            </w:r>
          </w:p>
        </w:tc>
        <w:tc>
          <w:tcPr>
            <w:tcW w:w="985" w:type="pct"/>
          </w:tcPr>
          <w:p w14:paraId="518D0E34" w14:textId="175D39D5"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19</w:t>
            </w:r>
          </w:p>
        </w:tc>
        <w:tc>
          <w:tcPr>
            <w:tcW w:w="702" w:type="pct"/>
          </w:tcPr>
          <w:p w14:paraId="2B66B590" w14:textId="4D8DB9AD"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3</w:t>
            </w:r>
          </w:p>
        </w:tc>
        <w:tc>
          <w:tcPr>
            <w:tcW w:w="606" w:type="pct"/>
          </w:tcPr>
          <w:p w14:paraId="1E501DFF" w14:textId="47E0D09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185</w:t>
            </w:r>
          </w:p>
        </w:tc>
      </w:tr>
      <w:tr w:rsidR="00A8431F" w:rsidRPr="00085A29" w14:paraId="6B990A88" w14:textId="77777777" w:rsidTr="003C4263">
        <w:trPr>
          <w:cantSplit/>
          <w:tblHeader/>
          <w:jc w:val="center"/>
        </w:trPr>
        <w:tc>
          <w:tcPr>
            <w:tcW w:w="737" w:type="pct"/>
          </w:tcPr>
          <w:p w14:paraId="21B5A489" w14:textId="3B527F2E"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2019 à 2020</w:t>
            </w:r>
          </w:p>
        </w:tc>
        <w:tc>
          <w:tcPr>
            <w:tcW w:w="1034" w:type="pct"/>
          </w:tcPr>
          <w:p w14:paraId="5075E0EE" w14:textId="1D7A9F58"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135</w:t>
            </w:r>
          </w:p>
        </w:tc>
        <w:tc>
          <w:tcPr>
            <w:tcW w:w="936" w:type="pct"/>
          </w:tcPr>
          <w:p w14:paraId="5542EE0A" w14:textId="1A3FE55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46</w:t>
            </w:r>
          </w:p>
        </w:tc>
        <w:tc>
          <w:tcPr>
            <w:tcW w:w="985" w:type="pct"/>
          </w:tcPr>
          <w:p w14:paraId="03B2DED6" w14:textId="3FC8C491"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17</w:t>
            </w:r>
          </w:p>
        </w:tc>
        <w:tc>
          <w:tcPr>
            <w:tcW w:w="702" w:type="pct"/>
          </w:tcPr>
          <w:p w14:paraId="001B6C1F" w14:textId="1EBCA722"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9</w:t>
            </w:r>
          </w:p>
        </w:tc>
        <w:tc>
          <w:tcPr>
            <w:tcW w:w="606" w:type="pct"/>
          </w:tcPr>
          <w:p w14:paraId="370F9377" w14:textId="17FE6B61"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207</w:t>
            </w:r>
          </w:p>
        </w:tc>
      </w:tr>
    </w:tbl>
    <w:p w14:paraId="538C5F03" w14:textId="77777777" w:rsidR="00A6338F" w:rsidRPr="00085A29" w:rsidRDefault="00A6338F" w:rsidP="0008073E">
      <w:pPr>
        <w:contextualSpacing/>
        <w:rPr>
          <w:rStyle w:val="Strong"/>
          <w:rFonts w:asciiTheme="minorHAnsi" w:hAnsiTheme="minorHAnsi" w:cstheme="minorHAnsi"/>
          <w:sz w:val="22"/>
          <w:szCs w:val="18"/>
          <w:lang w:val="fr-CA"/>
        </w:rPr>
      </w:pPr>
      <w:r w:rsidRPr="00085A29">
        <w:rPr>
          <w:rStyle w:val="Strong"/>
          <w:rFonts w:asciiTheme="minorHAnsi" w:hAnsiTheme="minorHAnsi" w:cstheme="minorHAnsi"/>
          <w:sz w:val="22"/>
          <w:szCs w:val="18"/>
          <w:lang w:val="fr-CA"/>
        </w:rPr>
        <w:t>Sondage sur la dotation et l’impartialité politique (2018) – Principales constatations</w:t>
      </w:r>
    </w:p>
    <w:p w14:paraId="028ABBED" w14:textId="77777777" w:rsidR="003C4263" w:rsidRPr="00085A29" w:rsidRDefault="003C4263" w:rsidP="003C4263">
      <w:pPr>
        <w:pStyle w:val="ListParagraph"/>
        <w:numPr>
          <w:ilvl w:val="0"/>
          <w:numId w:val="27"/>
        </w:numPr>
        <w:spacing w:after="0"/>
        <w:jc w:val="both"/>
        <w:rPr>
          <w:rFonts w:asciiTheme="minorHAnsi" w:hAnsiTheme="minorHAnsi" w:cstheme="minorHAnsi"/>
          <w:sz w:val="22"/>
          <w:szCs w:val="18"/>
          <w:lang w:val="fr-CA"/>
        </w:rPr>
      </w:pPr>
      <w:r w:rsidRPr="00085A29">
        <w:rPr>
          <w:rFonts w:asciiTheme="minorHAnsi" w:hAnsiTheme="minorHAnsi" w:cstheme="minorHAnsi"/>
          <w:sz w:val="22"/>
          <w:szCs w:val="18"/>
          <w:lang w:val="fr-CA"/>
        </w:rPr>
        <w:t xml:space="preserve">58,8% des </w:t>
      </w:r>
      <w:r w:rsidRPr="00085A29">
        <w:rPr>
          <w:rStyle w:val="Strong"/>
          <w:rFonts w:asciiTheme="minorHAnsi" w:hAnsiTheme="minorHAnsi" w:cstheme="minorHAnsi"/>
          <w:sz w:val="22"/>
          <w:szCs w:val="18"/>
          <w:lang w:val="fr-CA"/>
        </w:rPr>
        <w:t>employés</w:t>
      </w:r>
      <w:r w:rsidRPr="00085A29">
        <w:rPr>
          <w:rFonts w:asciiTheme="minorHAnsi" w:hAnsiTheme="minorHAnsi" w:cstheme="minorHAnsi"/>
          <w:sz w:val="22"/>
          <w:szCs w:val="18"/>
          <w:lang w:val="fr-CA"/>
        </w:rPr>
        <w:t xml:space="preserve"> estiment que les personnes embauchées peuvent effectuer le travail, comparativement à 67,1% dans les organisations de même taille et à 53,8% dans la fonction publique fédérale.</w:t>
      </w:r>
    </w:p>
    <w:p w14:paraId="1F582620" w14:textId="77777777" w:rsidR="003C4263" w:rsidRPr="00085A29" w:rsidRDefault="003C4263" w:rsidP="003C4263">
      <w:pPr>
        <w:pStyle w:val="ListParagraph"/>
        <w:numPr>
          <w:ilvl w:val="0"/>
          <w:numId w:val="27"/>
        </w:numPr>
        <w:spacing w:after="0"/>
        <w:jc w:val="both"/>
        <w:rPr>
          <w:rFonts w:asciiTheme="minorHAnsi" w:hAnsiTheme="minorHAnsi" w:cstheme="minorHAnsi"/>
          <w:sz w:val="22"/>
          <w:szCs w:val="18"/>
          <w:lang w:val="fr-CA"/>
        </w:rPr>
      </w:pPr>
      <w:r w:rsidRPr="00085A29">
        <w:rPr>
          <w:rFonts w:asciiTheme="minorHAnsi" w:hAnsiTheme="minorHAnsi" w:cstheme="minorHAnsi"/>
          <w:sz w:val="22"/>
          <w:szCs w:val="18"/>
          <w:lang w:val="fr-CA"/>
        </w:rPr>
        <w:t xml:space="preserve">50,0% des </w:t>
      </w:r>
      <w:r w:rsidRPr="00085A29">
        <w:rPr>
          <w:rStyle w:val="Strong"/>
          <w:rFonts w:asciiTheme="minorHAnsi" w:hAnsiTheme="minorHAnsi" w:cstheme="minorHAnsi"/>
          <w:sz w:val="22"/>
          <w:szCs w:val="18"/>
          <w:lang w:val="fr-CA"/>
        </w:rPr>
        <w:t xml:space="preserve">gestionnaires </w:t>
      </w:r>
      <w:r w:rsidRPr="00085A29">
        <w:rPr>
          <w:rFonts w:asciiTheme="minorHAnsi" w:hAnsiTheme="minorHAnsi" w:cstheme="minorHAnsi"/>
          <w:sz w:val="22"/>
          <w:szCs w:val="18"/>
          <w:lang w:val="fr-CA"/>
        </w:rPr>
        <w:t>estiment que la Nouvelle orientation en dotation a amélioré la façon d'embaucher et de nommer les candidats au sein de leur organisation, comparativement à 69,7% dans les organisations de même taille et à 56,1% dans la fonction publique fédérale.</w:t>
      </w:r>
    </w:p>
    <w:p w14:paraId="663923F2" w14:textId="507B12E3" w:rsidR="0008073E" w:rsidRPr="00085A29" w:rsidRDefault="003C4263" w:rsidP="003C4263">
      <w:pPr>
        <w:jc w:val="both"/>
        <w:rPr>
          <w:rFonts w:asciiTheme="minorHAnsi" w:hAnsiTheme="minorHAnsi" w:cstheme="minorHAnsi"/>
          <w:sz w:val="20"/>
          <w:lang w:val="fr-CA"/>
        </w:rPr>
        <w:sectPr w:rsidR="0008073E" w:rsidRPr="00085A29" w:rsidSect="00A8431F">
          <w:pgSz w:w="15840" w:h="12240" w:orient="landscape"/>
          <w:pgMar w:top="720" w:right="720" w:bottom="720" w:left="720" w:header="709" w:footer="284" w:gutter="0"/>
          <w:cols w:space="708"/>
          <w:titlePg/>
          <w:docGrid w:linePitch="360"/>
        </w:sectPr>
      </w:pPr>
      <w:r w:rsidRPr="00085A29">
        <w:rPr>
          <w:rFonts w:asciiTheme="minorHAnsi" w:hAnsiTheme="minorHAnsi" w:cstheme="minorHAnsi"/>
          <w:sz w:val="22"/>
          <w:szCs w:val="18"/>
          <w:lang w:val="fr-CA"/>
        </w:rPr>
        <w:lastRenderedPageBreak/>
        <w:t xml:space="preserve">78,7% des </w:t>
      </w:r>
      <w:r w:rsidRPr="00085A29">
        <w:rPr>
          <w:rStyle w:val="Strong"/>
          <w:rFonts w:asciiTheme="minorHAnsi" w:hAnsiTheme="minorHAnsi" w:cstheme="minorHAnsi"/>
          <w:sz w:val="22"/>
          <w:szCs w:val="18"/>
          <w:lang w:val="fr-CA"/>
        </w:rPr>
        <w:t xml:space="preserve">gestionnaires </w:t>
      </w:r>
      <w:r w:rsidRPr="00085A29">
        <w:rPr>
          <w:rFonts w:asciiTheme="minorHAnsi" w:hAnsiTheme="minorHAnsi" w:cstheme="minorHAnsi"/>
          <w:sz w:val="22"/>
          <w:szCs w:val="18"/>
          <w:lang w:val="fr-CA"/>
        </w:rPr>
        <w:t xml:space="preserve">estiment qu'au sein de leur organisation, le processus administratif visant à pourvoir un poste est </w:t>
      </w:r>
      <w:r w:rsidRPr="00085A29">
        <w:rPr>
          <w:rStyle w:val="Strong"/>
          <w:rFonts w:asciiTheme="minorHAnsi" w:hAnsiTheme="minorHAnsi" w:cstheme="minorHAnsi"/>
          <w:sz w:val="22"/>
          <w:szCs w:val="18"/>
          <w:lang w:val="fr-CA"/>
        </w:rPr>
        <w:t>lourd,</w:t>
      </w:r>
      <w:r w:rsidRPr="00085A29">
        <w:rPr>
          <w:rFonts w:asciiTheme="minorHAnsi" w:hAnsiTheme="minorHAnsi" w:cstheme="minorHAnsi"/>
          <w:sz w:val="22"/>
          <w:szCs w:val="18"/>
          <w:lang w:val="fr-CA"/>
        </w:rPr>
        <w:t xml:space="preserve"> comparativement à 79,3% dans les organisations de même taille et à 87,9% dans la fonction publique fédérale.</w:t>
      </w:r>
    </w:p>
    <w:p w14:paraId="60373BBF" w14:textId="77777777" w:rsidR="003C4263" w:rsidRPr="00085A29" w:rsidRDefault="003C4263" w:rsidP="003C4263">
      <w:pPr>
        <w:pStyle w:val="Heading1"/>
        <w:spacing w:before="120" w:after="120"/>
        <w:rPr>
          <w:sz w:val="40"/>
          <w:szCs w:val="40"/>
          <w:lang w:val="fr-CA"/>
        </w:rPr>
      </w:pPr>
      <w:r w:rsidRPr="00085A29">
        <w:rPr>
          <w:rFonts w:eastAsia="Times New Roman"/>
          <w:sz w:val="40"/>
          <w:szCs w:val="40"/>
          <w:lang w:val="fr-CA"/>
        </w:rPr>
        <w:lastRenderedPageBreak/>
        <w:t>Embauche d'étudiants</w:t>
      </w:r>
    </w:p>
    <w:p w14:paraId="3B082E99" w14:textId="77777777" w:rsidR="00BC1F66" w:rsidRPr="00085A29" w:rsidRDefault="00FD1620" w:rsidP="00BC1F66">
      <w:pPr>
        <w:keepNext/>
        <w:jc w:val="center"/>
        <w:rPr>
          <w:lang w:val="fr-CA"/>
        </w:rPr>
      </w:pPr>
      <w:r w:rsidRPr="00085A29">
        <w:rPr>
          <w:noProof/>
          <w:lang w:val="fr-CA" w:eastAsia="en-CA"/>
        </w:rPr>
        <w:drawing>
          <wp:inline distT="0" distB="0" distL="0" distR="0" wp14:anchorId="185EC8D6" wp14:editId="0E99025C">
            <wp:extent cx="5648400" cy="3049200"/>
            <wp:effectExtent l="0" t="0" r="9525" b="18415"/>
            <wp:docPr id="25" name="Chart 17" descr="Embauche d'étudiants&#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A9CA5D" w14:textId="0070E33D" w:rsidR="0008073E" w:rsidRPr="00085A29" w:rsidRDefault="00BC1F66" w:rsidP="00BC1F66">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003D2915" w:rsidRPr="00085A29">
        <w:rPr>
          <w:rFonts w:asciiTheme="minorHAnsi" w:hAnsiTheme="minorHAnsi" w:cstheme="minorHAnsi"/>
          <w:i w:val="0"/>
          <w:iCs w:val="0"/>
          <w:noProof/>
          <w:color w:val="auto"/>
          <w:lang w:val="fr-CA"/>
        </w:rPr>
        <w:t>10</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Embauche d'étudiants</w:t>
      </w:r>
    </w:p>
    <w:p w14:paraId="122571CF" w14:textId="351B3313" w:rsidR="00BC1F66" w:rsidRPr="00085A29" w:rsidRDefault="00BC1F66" w:rsidP="00BC1F66">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13</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Activités d’embauche d’étudiants selon le programme de recrutement et l’exercice financier</w:t>
      </w:r>
    </w:p>
    <w:tbl>
      <w:tblPr>
        <w:tblStyle w:val="TableGrid"/>
        <w:tblW w:w="5000" w:type="pct"/>
        <w:jc w:val="center"/>
        <w:tblLook w:val="0020" w:firstRow="1" w:lastRow="0" w:firstColumn="0" w:lastColumn="0" w:noHBand="0" w:noVBand="0"/>
        <w:tblDescription w:val="Embauches dans le cadre de programmes d’étudiants de 2015 à 2020"/>
      </w:tblPr>
      <w:tblGrid>
        <w:gridCol w:w="1694"/>
        <w:gridCol w:w="3687"/>
        <w:gridCol w:w="4395"/>
        <w:gridCol w:w="3261"/>
        <w:gridCol w:w="1353"/>
      </w:tblGrid>
      <w:tr w:rsidR="00BC1F66" w:rsidRPr="00085A29" w14:paraId="78E9EA6E" w14:textId="77777777" w:rsidTr="003D2915">
        <w:trPr>
          <w:cantSplit/>
          <w:tblHeader/>
          <w:jc w:val="center"/>
        </w:trPr>
        <w:tc>
          <w:tcPr>
            <w:tcW w:w="589" w:type="pct"/>
          </w:tcPr>
          <w:p w14:paraId="7E70A260" w14:textId="07ED6346" w:rsidR="004460BE" w:rsidRPr="00085A29" w:rsidRDefault="004460BE" w:rsidP="00BC1F66">
            <w:pPr>
              <w:pStyle w:val="TableTitle"/>
              <w:rPr>
                <w:rFonts w:asciiTheme="minorHAnsi" w:hAnsiTheme="minorHAnsi" w:cstheme="minorHAnsi"/>
                <w:color w:val="auto"/>
                <w:sz w:val="22"/>
                <w:szCs w:val="22"/>
                <w:lang w:val="fr-CA"/>
              </w:rPr>
            </w:pPr>
            <w:r w:rsidRPr="00085A29">
              <w:rPr>
                <w:color w:val="auto"/>
                <w:sz w:val="22"/>
                <w:szCs w:val="22"/>
                <w:lang w:val="fr-CA"/>
              </w:rPr>
              <w:t>Exercice financier</w:t>
            </w:r>
          </w:p>
        </w:tc>
        <w:tc>
          <w:tcPr>
            <w:tcW w:w="1281" w:type="pct"/>
          </w:tcPr>
          <w:p w14:paraId="42124A1D" w14:textId="3E71C738" w:rsidR="004460BE" w:rsidRPr="00085A29" w:rsidRDefault="004460BE" w:rsidP="00BC1F66">
            <w:pPr>
              <w:pStyle w:val="TableTitle"/>
              <w:rPr>
                <w:rFonts w:asciiTheme="minorHAnsi" w:hAnsiTheme="minorHAnsi" w:cstheme="minorHAnsi"/>
                <w:color w:val="auto"/>
                <w:sz w:val="22"/>
                <w:szCs w:val="22"/>
                <w:lang w:val="fr-CA"/>
              </w:rPr>
            </w:pPr>
            <w:r w:rsidRPr="00085A29">
              <w:rPr>
                <w:color w:val="auto"/>
                <w:sz w:val="22"/>
                <w:szCs w:val="22"/>
                <w:lang w:val="fr-CA"/>
              </w:rPr>
              <w:t xml:space="preserve">Programme fédéral d’expérience de travail étudiant </w:t>
            </w:r>
          </w:p>
        </w:tc>
        <w:tc>
          <w:tcPr>
            <w:tcW w:w="1527" w:type="pct"/>
          </w:tcPr>
          <w:p w14:paraId="52B22382" w14:textId="17039B7C" w:rsidR="004460BE" w:rsidRPr="00085A29" w:rsidRDefault="004460BE" w:rsidP="00BC1F66">
            <w:pPr>
              <w:pStyle w:val="TableTitle"/>
              <w:rPr>
                <w:rFonts w:asciiTheme="minorHAnsi" w:hAnsiTheme="minorHAnsi" w:cstheme="minorHAnsi"/>
                <w:color w:val="auto"/>
                <w:sz w:val="22"/>
                <w:szCs w:val="22"/>
                <w:lang w:val="fr-CA"/>
              </w:rPr>
            </w:pPr>
            <w:r w:rsidRPr="00085A29">
              <w:rPr>
                <w:color w:val="auto"/>
                <w:sz w:val="22"/>
                <w:szCs w:val="22"/>
                <w:lang w:val="fr-CA"/>
              </w:rPr>
              <w:t xml:space="preserve">Programme postsecondaire d'enseignement coopératif/de stages </w:t>
            </w:r>
          </w:p>
        </w:tc>
        <w:tc>
          <w:tcPr>
            <w:tcW w:w="1133" w:type="pct"/>
          </w:tcPr>
          <w:p w14:paraId="17091E6D" w14:textId="7C8B492A" w:rsidR="004460BE" w:rsidRPr="00085A29" w:rsidRDefault="004460BE" w:rsidP="00BC1F66">
            <w:pPr>
              <w:pStyle w:val="TableTitle"/>
              <w:rPr>
                <w:rFonts w:asciiTheme="minorHAnsi" w:hAnsiTheme="minorHAnsi" w:cstheme="minorHAnsi"/>
                <w:color w:val="auto"/>
                <w:sz w:val="22"/>
                <w:szCs w:val="22"/>
                <w:lang w:val="fr-CA"/>
              </w:rPr>
            </w:pPr>
            <w:r w:rsidRPr="00085A29">
              <w:rPr>
                <w:color w:val="auto"/>
                <w:sz w:val="22"/>
                <w:szCs w:val="22"/>
                <w:lang w:val="fr-CA"/>
              </w:rPr>
              <w:t>Programme des adjoints de recherche</w:t>
            </w:r>
          </w:p>
        </w:tc>
        <w:tc>
          <w:tcPr>
            <w:tcW w:w="470" w:type="pct"/>
          </w:tcPr>
          <w:p w14:paraId="53E0FA29" w14:textId="62F182AC" w:rsidR="004460BE" w:rsidRPr="00085A29" w:rsidRDefault="004460BE" w:rsidP="00BC1F66">
            <w:pPr>
              <w:pStyle w:val="TableTitle"/>
              <w:rPr>
                <w:rFonts w:asciiTheme="minorHAnsi" w:hAnsiTheme="minorHAnsi" w:cstheme="minorHAnsi"/>
                <w:color w:val="auto"/>
                <w:sz w:val="22"/>
                <w:szCs w:val="22"/>
                <w:lang w:val="fr-CA"/>
              </w:rPr>
            </w:pPr>
            <w:r w:rsidRPr="00085A29">
              <w:rPr>
                <w:color w:val="auto"/>
                <w:sz w:val="22"/>
                <w:szCs w:val="22"/>
                <w:lang w:val="fr-CA"/>
              </w:rPr>
              <w:t>Total</w:t>
            </w:r>
          </w:p>
        </w:tc>
      </w:tr>
      <w:tr w:rsidR="004460BE" w:rsidRPr="00085A29" w14:paraId="255B76F4" w14:textId="77777777" w:rsidTr="003D2915">
        <w:trPr>
          <w:cantSplit/>
          <w:tblHeader/>
          <w:jc w:val="center"/>
        </w:trPr>
        <w:tc>
          <w:tcPr>
            <w:tcW w:w="589" w:type="pct"/>
          </w:tcPr>
          <w:p w14:paraId="40D3819C" w14:textId="310136BA" w:rsidR="004460BE" w:rsidRPr="00085A29" w:rsidRDefault="004460BE" w:rsidP="004460BE">
            <w:pPr>
              <w:autoSpaceDE w:val="0"/>
              <w:autoSpaceDN w:val="0"/>
              <w:adjustRightInd w:val="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2015 à 2016</w:t>
            </w:r>
          </w:p>
        </w:tc>
        <w:tc>
          <w:tcPr>
            <w:tcW w:w="1281" w:type="pct"/>
          </w:tcPr>
          <w:p w14:paraId="0D201D0F" w14:textId="2C23D4D8"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17</w:t>
            </w:r>
          </w:p>
        </w:tc>
        <w:tc>
          <w:tcPr>
            <w:tcW w:w="1527" w:type="pct"/>
          </w:tcPr>
          <w:p w14:paraId="240784B2" w14:textId="785BD5CA"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1133" w:type="pct"/>
          </w:tcPr>
          <w:p w14:paraId="4F7A55A3" w14:textId="1E718EDC"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470" w:type="pct"/>
          </w:tcPr>
          <w:p w14:paraId="2334382A" w14:textId="75358822"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17</w:t>
            </w:r>
          </w:p>
        </w:tc>
      </w:tr>
      <w:tr w:rsidR="004460BE" w:rsidRPr="00085A29" w14:paraId="24BE0306" w14:textId="77777777" w:rsidTr="003D2915">
        <w:trPr>
          <w:cantSplit/>
          <w:tblHeader/>
          <w:jc w:val="center"/>
        </w:trPr>
        <w:tc>
          <w:tcPr>
            <w:tcW w:w="589" w:type="pct"/>
          </w:tcPr>
          <w:p w14:paraId="40EF445C" w14:textId="21957D4A" w:rsidR="004460BE" w:rsidRPr="00085A29" w:rsidRDefault="004460BE" w:rsidP="004460BE">
            <w:pPr>
              <w:autoSpaceDE w:val="0"/>
              <w:autoSpaceDN w:val="0"/>
              <w:adjustRightInd w:val="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2016 à 2017</w:t>
            </w:r>
          </w:p>
        </w:tc>
        <w:tc>
          <w:tcPr>
            <w:tcW w:w="1281" w:type="pct"/>
          </w:tcPr>
          <w:p w14:paraId="361E4F78" w14:textId="7993FFE4"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7</w:t>
            </w:r>
          </w:p>
        </w:tc>
        <w:tc>
          <w:tcPr>
            <w:tcW w:w="1527" w:type="pct"/>
          </w:tcPr>
          <w:p w14:paraId="43DB8476" w14:textId="75FA4FC9"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1133" w:type="pct"/>
          </w:tcPr>
          <w:p w14:paraId="577582D9" w14:textId="400C3CD4"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470" w:type="pct"/>
          </w:tcPr>
          <w:p w14:paraId="5229B2D2" w14:textId="317031B4"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7</w:t>
            </w:r>
          </w:p>
        </w:tc>
      </w:tr>
      <w:tr w:rsidR="004460BE" w:rsidRPr="00085A29" w14:paraId="23D585AE" w14:textId="77777777" w:rsidTr="003D2915">
        <w:trPr>
          <w:cantSplit/>
          <w:tblHeader/>
          <w:jc w:val="center"/>
        </w:trPr>
        <w:tc>
          <w:tcPr>
            <w:tcW w:w="589" w:type="pct"/>
          </w:tcPr>
          <w:p w14:paraId="2886C3C4" w14:textId="14CCB880" w:rsidR="004460BE" w:rsidRPr="00085A29" w:rsidRDefault="004460BE" w:rsidP="004460BE">
            <w:pPr>
              <w:autoSpaceDE w:val="0"/>
              <w:autoSpaceDN w:val="0"/>
              <w:adjustRightInd w:val="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2017 à 2018</w:t>
            </w:r>
          </w:p>
        </w:tc>
        <w:tc>
          <w:tcPr>
            <w:tcW w:w="1281" w:type="pct"/>
          </w:tcPr>
          <w:p w14:paraId="5510EDB9" w14:textId="70712C9F"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11</w:t>
            </w:r>
          </w:p>
        </w:tc>
        <w:tc>
          <w:tcPr>
            <w:tcW w:w="1527" w:type="pct"/>
          </w:tcPr>
          <w:p w14:paraId="057CC2E7" w14:textId="16AF85C3"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1133" w:type="pct"/>
          </w:tcPr>
          <w:p w14:paraId="1E4DD297" w14:textId="54812565"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470" w:type="pct"/>
          </w:tcPr>
          <w:p w14:paraId="2A94A6F3" w14:textId="6B1F8CE9"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11</w:t>
            </w:r>
          </w:p>
        </w:tc>
      </w:tr>
      <w:tr w:rsidR="004460BE" w:rsidRPr="00085A29" w14:paraId="34881389" w14:textId="77777777" w:rsidTr="003D2915">
        <w:trPr>
          <w:cantSplit/>
          <w:tblHeader/>
          <w:jc w:val="center"/>
        </w:trPr>
        <w:tc>
          <w:tcPr>
            <w:tcW w:w="589" w:type="pct"/>
          </w:tcPr>
          <w:p w14:paraId="5176300A" w14:textId="6D480011" w:rsidR="004460BE" w:rsidRPr="00085A29" w:rsidRDefault="004460BE" w:rsidP="004460BE">
            <w:pPr>
              <w:autoSpaceDE w:val="0"/>
              <w:autoSpaceDN w:val="0"/>
              <w:adjustRightInd w:val="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2018 à 2019</w:t>
            </w:r>
          </w:p>
        </w:tc>
        <w:tc>
          <w:tcPr>
            <w:tcW w:w="1281" w:type="pct"/>
          </w:tcPr>
          <w:p w14:paraId="3E1DC294" w14:textId="31ACF29C"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3</w:t>
            </w:r>
          </w:p>
        </w:tc>
        <w:tc>
          <w:tcPr>
            <w:tcW w:w="1527" w:type="pct"/>
          </w:tcPr>
          <w:p w14:paraId="16BE8488" w14:textId="10F2B9F6"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1133" w:type="pct"/>
          </w:tcPr>
          <w:p w14:paraId="25EF03F0" w14:textId="60467AAC"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470" w:type="pct"/>
          </w:tcPr>
          <w:p w14:paraId="5D76E04F" w14:textId="5CD582F5"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3</w:t>
            </w:r>
          </w:p>
        </w:tc>
      </w:tr>
      <w:tr w:rsidR="004460BE" w:rsidRPr="00085A29" w14:paraId="257CCBE7" w14:textId="77777777" w:rsidTr="003D2915">
        <w:trPr>
          <w:cantSplit/>
          <w:tblHeader/>
          <w:jc w:val="center"/>
        </w:trPr>
        <w:tc>
          <w:tcPr>
            <w:tcW w:w="589" w:type="pct"/>
          </w:tcPr>
          <w:p w14:paraId="63624AA1" w14:textId="5A6ACF4B" w:rsidR="004460BE" w:rsidRPr="00085A29" w:rsidRDefault="004460BE" w:rsidP="004460BE">
            <w:pPr>
              <w:autoSpaceDE w:val="0"/>
              <w:autoSpaceDN w:val="0"/>
              <w:adjustRightInd w:val="0"/>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2019 à 2020</w:t>
            </w:r>
          </w:p>
        </w:tc>
        <w:tc>
          <w:tcPr>
            <w:tcW w:w="1281" w:type="pct"/>
          </w:tcPr>
          <w:p w14:paraId="4CD5F6DA" w14:textId="5381D647"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9</w:t>
            </w:r>
          </w:p>
        </w:tc>
        <w:tc>
          <w:tcPr>
            <w:tcW w:w="1527" w:type="pct"/>
          </w:tcPr>
          <w:p w14:paraId="476BE668" w14:textId="08B11EEB"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1133" w:type="pct"/>
          </w:tcPr>
          <w:p w14:paraId="1172FC20" w14:textId="12035570"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0</w:t>
            </w:r>
          </w:p>
        </w:tc>
        <w:tc>
          <w:tcPr>
            <w:tcW w:w="470" w:type="pct"/>
          </w:tcPr>
          <w:p w14:paraId="033F1106" w14:textId="5976329A" w:rsidR="004460BE" w:rsidRPr="00085A29" w:rsidRDefault="004460BE" w:rsidP="004460BE">
            <w:pPr>
              <w:autoSpaceDE w:val="0"/>
              <w:autoSpaceDN w:val="0"/>
              <w:adjustRightInd w:val="0"/>
              <w:jc w:val="center"/>
              <w:rPr>
                <w:rFonts w:asciiTheme="minorHAnsi" w:hAnsiTheme="minorHAnsi" w:cstheme="minorHAnsi"/>
                <w:color w:val="000000"/>
                <w:sz w:val="22"/>
                <w:szCs w:val="22"/>
                <w:lang w:val="fr-CA"/>
              </w:rPr>
            </w:pPr>
            <w:r w:rsidRPr="00085A29">
              <w:rPr>
                <w:rFonts w:asciiTheme="minorHAnsi" w:hAnsiTheme="minorHAnsi" w:cstheme="minorHAnsi"/>
                <w:color w:val="000000"/>
                <w:sz w:val="22"/>
                <w:szCs w:val="22"/>
                <w:lang w:val="fr-CA"/>
              </w:rPr>
              <w:t>9</w:t>
            </w:r>
          </w:p>
        </w:tc>
      </w:tr>
    </w:tbl>
    <w:p w14:paraId="436785BD" w14:textId="758279C0" w:rsidR="0008073E" w:rsidRPr="00085A29" w:rsidRDefault="0008073E" w:rsidP="00A6338F">
      <w:pPr>
        <w:rPr>
          <w:rFonts w:asciiTheme="minorHAnsi" w:hAnsiTheme="minorHAnsi" w:cstheme="minorHAnsi"/>
          <w:sz w:val="22"/>
          <w:szCs w:val="22"/>
          <w:lang w:val="fr-CA"/>
        </w:rPr>
      </w:pPr>
    </w:p>
    <w:p w14:paraId="5F5E04F6" w14:textId="77777777" w:rsidR="0008073E" w:rsidRPr="00085A29" w:rsidRDefault="0008073E" w:rsidP="00A6338F">
      <w:pPr>
        <w:rPr>
          <w:rFonts w:asciiTheme="minorHAnsi" w:hAnsiTheme="minorHAnsi" w:cstheme="minorHAnsi"/>
          <w:sz w:val="22"/>
          <w:szCs w:val="22"/>
          <w:lang w:val="fr-CA"/>
        </w:rPr>
        <w:sectPr w:rsidR="0008073E" w:rsidRPr="00085A29" w:rsidSect="003C4263">
          <w:pgSz w:w="15840" w:h="12240" w:orient="landscape"/>
          <w:pgMar w:top="720" w:right="720" w:bottom="720" w:left="720" w:header="709" w:footer="284" w:gutter="0"/>
          <w:cols w:space="708"/>
          <w:titlePg/>
          <w:docGrid w:linePitch="360"/>
        </w:sectPr>
      </w:pPr>
    </w:p>
    <w:p w14:paraId="422C59FF" w14:textId="77777777" w:rsidR="003D2915" w:rsidRPr="00085A29" w:rsidRDefault="003D2915" w:rsidP="003D2915">
      <w:pPr>
        <w:pStyle w:val="Heading1"/>
        <w:spacing w:before="120" w:after="120"/>
        <w:rPr>
          <w:sz w:val="40"/>
          <w:szCs w:val="40"/>
          <w:lang w:val="fr-CA"/>
        </w:rPr>
      </w:pPr>
      <w:r w:rsidRPr="00085A29">
        <w:rPr>
          <w:rFonts w:eastAsia="Times New Roman"/>
          <w:sz w:val="40"/>
          <w:szCs w:val="40"/>
          <w:lang w:val="fr-CA"/>
        </w:rPr>
        <w:lastRenderedPageBreak/>
        <w:t>Activités d'embauche externe pour une période indéterminée et d'une durée déterminée : Programme de recrutement postsecondaire et embauche d'anciens étudiants</w:t>
      </w:r>
    </w:p>
    <w:p w14:paraId="3151429A" w14:textId="77777777" w:rsidR="003D2915" w:rsidRPr="00085A29" w:rsidRDefault="006E2A5B" w:rsidP="003D2915">
      <w:pPr>
        <w:keepNext/>
        <w:jc w:val="center"/>
        <w:rPr>
          <w:lang w:val="fr-CA"/>
        </w:rPr>
      </w:pPr>
      <w:r w:rsidRPr="00085A29">
        <w:rPr>
          <w:noProof/>
          <w:lang w:val="fr-CA" w:eastAsia="en-CA"/>
        </w:rPr>
        <w:drawing>
          <wp:inline distT="0" distB="0" distL="0" distR="0" wp14:anchorId="2A213B65" wp14:editId="31650305">
            <wp:extent cx="5648400" cy="3049200"/>
            <wp:effectExtent l="0" t="0" r="9525" b="18415"/>
            <wp:docPr id="27" name="Chart 2" descr="Activités d'embauche externe pour une période indéterminée et d'une durée déterminée : 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85AFA4" w14:textId="0B377CC1" w:rsidR="0008073E" w:rsidRPr="00085A29" w:rsidRDefault="003D2915" w:rsidP="003D2915">
      <w:pPr>
        <w:pStyle w:val="Caption"/>
        <w:spacing w:after="0"/>
        <w:jc w:val="center"/>
        <w:rPr>
          <w:rFonts w:asciiTheme="minorHAnsi" w:hAnsiTheme="minorHAnsi" w:cstheme="minorHAnsi"/>
          <w:i w:val="0"/>
          <w:iCs w:val="0"/>
          <w:color w:val="auto"/>
          <w:sz w:val="22"/>
          <w:szCs w:val="22"/>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Pr="00085A29">
        <w:rPr>
          <w:rFonts w:asciiTheme="minorHAnsi" w:hAnsiTheme="minorHAnsi" w:cstheme="minorHAnsi"/>
          <w:i w:val="0"/>
          <w:iCs w:val="0"/>
          <w:noProof/>
          <w:color w:val="auto"/>
          <w:lang w:val="fr-CA"/>
        </w:rPr>
        <w:t>11</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Activités d'embauche externe pour une période indéterminée et d'une durée déterminée : Programme de recrutement postsecondaire et embauche d'anciens étudiants</w:t>
      </w:r>
    </w:p>
    <w:p w14:paraId="1B96DEE9" w14:textId="23327F01" w:rsidR="003D2915" w:rsidRPr="00085A29" w:rsidRDefault="003D2915" w:rsidP="003D2915">
      <w:pPr>
        <w:pStyle w:val="Caption"/>
        <w:keepNext/>
        <w:spacing w:before="240" w:after="0"/>
        <w:jc w:val="center"/>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14</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Activités d'embauche externe pour une période indéterminée et d'une durée déterminée : Programme de recrutement postsecondaire et embauche d'anciens étudiants selon l’exercice financier</w:t>
      </w:r>
    </w:p>
    <w:tbl>
      <w:tblPr>
        <w:tblStyle w:val="TableGrid"/>
        <w:tblW w:w="5000" w:type="pct"/>
        <w:jc w:val="center"/>
        <w:tblLook w:val="0020" w:firstRow="1" w:lastRow="0" w:firstColumn="0" w:lastColumn="0" w:noHBand="0" w:noVBand="0"/>
        <w:tblDescription w:val="Programme de recrutement postsecondaire et embauche d'anciens étudiants"/>
      </w:tblPr>
      <w:tblGrid>
        <w:gridCol w:w="2464"/>
        <w:gridCol w:w="6320"/>
        <w:gridCol w:w="5606"/>
      </w:tblGrid>
      <w:tr w:rsidR="003D2915" w:rsidRPr="00085A29" w14:paraId="0365D616" w14:textId="77777777" w:rsidTr="003D2915">
        <w:trPr>
          <w:cantSplit/>
          <w:tblHeader/>
          <w:jc w:val="center"/>
        </w:trPr>
        <w:tc>
          <w:tcPr>
            <w:tcW w:w="856" w:type="pct"/>
          </w:tcPr>
          <w:p w14:paraId="668BF61E" w14:textId="3149FDF5" w:rsidR="004460BE" w:rsidRPr="00085A29" w:rsidRDefault="004460BE" w:rsidP="003D2915">
            <w:pPr>
              <w:pStyle w:val="TableTitle"/>
              <w:rPr>
                <w:rFonts w:asciiTheme="minorHAnsi" w:hAnsiTheme="minorHAnsi" w:cstheme="minorHAnsi"/>
                <w:color w:val="auto"/>
                <w:sz w:val="22"/>
                <w:szCs w:val="22"/>
                <w:lang w:val="fr-CA"/>
              </w:rPr>
            </w:pPr>
            <w:r w:rsidRPr="00085A29">
              <w:rPr>
                <w:color w:val="auto"/>
                <w:sz w:val="22"/>
                <w:szCs w:val="22"/>
                <w:lang w:val="fr-CA"/>
              </w:rPr>
              <w:t>Exercice financier</w:t>
            </w:r>
          </w:p>
        </w:tc>
        <w:tc>
          <w:tcPr>
            <w:tcW w:w="2196" w:type="pct"/>
          </w:tcPr>
          <w:p w14:paraId="226DB83D" w14:textId="6C94AEF8" w:rsidR="004460BE" w:rsidRPr="00085A29" w:rsidRDefault="004460BE" w:rsidP="003D2915">
            <w:pPr>
              <w:pStyle w:val="TableTitle"/>
              <w:rPr>
                <w:rFonts w:asciiTheme="minorHAnsi" w:hAnsiTheme="minorHAnsi" w:cstheme="minorHAnsi"/>
                <w:color w:val="auto"/>
                <w:sz w:val="22"/>
                <w:szCs w:val="22"/>
                <w:lang w:val="fr-CA"/>
              </w:rPr>
            </w:pPr>
            <w:r w:rsidRPr="00085A29">
              <w:rPr>
                <w:color w:val="auto"/>
                <w:sz w:val="22"/>
                <w:szCs w:val="22"/>
                <w:lang w:val="fr-CA"/>
              </w:rPr>
              <w:t>Embauches du programme de recrutement postsecondaire</w:t>
            </w:r>
          </w:p>
        </w:tc>
        <w:tc>
          <w:tcPr>
            <w:tcW w:w="1948" w:type="pct"/>
          </w:tcPr>
          <w:p w14:paraId="6641BFBE" w14:textId="40E64D3A" w:rsidR="004460BE" w:rsidRPr="00085A29" w:rsidRDefault="004460BE" w:rsidP="003D2915">
            <w:pPr>
              <w:pStyle w:val="TableTitle"/>
              <w:rPr>
                <w:rFonts w:asciiTheme="minorHAnsi" w:hAnsiTheme="minorHAnsi" w:cstheme="minorHAnsi"/>
                <w:color w:val="auto"/>
                <w:sz w:val="22"/>
                <w:szCs w:val="22"/>
                <w:lang w:val="fr-CA"/>
              </w:rPr>
            </w:pPr>
            <w:r w:rsidRPr="00085A29">
              <w:rPr>
                <w:color w:val="auto"/>
                <w:sz w:val="22"/>
                <w:szCs w:val="22"/>
                <w:lang w:val="fr-CA"/>
              </w:rPr>
              <w:t>Embauches d’anciens étudiants</w:t>
            </w:r>
          </w:p>
        </w:tc>
      </w:tr>
      <w:tr w:rsidR="003D2915" w:rsidRPr="00085A29" w14:paraId="56D653A9" w14:textId="77777777" w:rsidTr="003D2915">
        <w:trPr>
          <w:cantSplit/>
          <w:tblHeader/>
          <w:jc w:val="center"/>
        </w:trPr>
        <w:tc>
          <w:tcPr>
            <w:tcW w:w="856" w:type="pct"/>
          </w:tcPr>
          <w:p w14:paraId="74D2B958" w14:textId="10BA8F62"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2015 à 2016</w:t>
            </w:r>
          </w:p>
        </w:tc>
        <w:tc>
          <w:tcPr>
            <w:tcW w:w="2196" w:type="pct"/>
          </w:tcPr>
          <w:p w14:paraId="531D5D61" w14:textId="1579DB27"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c>
          <w:tcPr>
            <w:tcW w:w="1948" w:type="pct"/>
          </w:tcPr>
          <w:p w14:paraId="2894282F" w14:textId="6D0D790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w:t>
            </w:r>
          </w:p>
        </w:tc>
      </w:tr>
      <w:tr w:rsidR="003D2915" w:rsidRPr="00085A29" w14:paraId="13B9DC77" w14:textId="77777777" w:rsidTr="003D2915">
        <w:trPr>
          <w:cantSplit/>
          <w:tblHeader/>
          <w:jc w:val="center"/>
        </w:trPr>
        <w:tc>
          <w:tcPr>
            <w:tcW w:w="856" w:type="pct"/>
          </w:tcPr>
          <w:p w14:paraId="77546A42" w14:textId="449A3227"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2016 à 2017</w:t>
            </w:r>
          </w:p>
        </w:tc>
        <w:tc>
          <w:tcPr>
            <w:tcW w:w="2196" w:type="pct"/>
          </w:tcPr>
          <w:p w14:paraId="7C7D6D72" w14:textId="37AF7C6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1948" w:type="pct"/>
          </w:tcPr>
          <w:p w14:paraId="72DC97D6" w14:textId="49D38B74"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2</w:t>
            </w:r>
          </w:p>
        </w:tc>
      </w:tr>
      <w:tr w:rsidR="003D2915" w:rsidRPr="00085A29" w14:paraId="21C7594B" w14:textId="77777777" w:rsidTr="003D2915">
        <w:trPr>
          <w:cantSplit/>
          <w:tblHeader/>
          <w:jc w:val="center"/>
        </w:trPr>
        <w:tc>
          <w:tcPr>
            <w:tcW w:w="856" w:type="pct"/>
          </w:tcPr>
          <w:p w14:paraId="5C4B6E1C" w14:textId="4DE8C6DC"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2017 à 2018</w:t>
            </w:r>
          </w:p>
        </w:tc>
        <w:tc>
          <w:tcPr>
            <w:tcW w:w="2196" w:type="pct"/>
          </w:tcPr>
          <w:p w14:paraId="54CC20CE" w14:textId="0A0DF343"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1948" w:type="pct"/>
          </w:tcPr>
          <w:p w14:paraId="3613699C" w14:textId="51E5CB71"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w:t>
            </w:r>
          </w:p>
        </w:tc>
      </w:tr>
      <w:tr w:rsidR="003D2915" w:rsidRPr="00085A29" w14:paraId="3F46E9C3" w14:textId="77777777" w:rsidTr="003D2915">
        <w:trPr>
          <w:cantSplit/>
          <w:tblHeader/>
          <w:jc w:val="center"/>
        </w:trPr>
        <w:tc>
          <w:tcPr>
            <w:tcW w:w="856" w:type="pct"/>
          </w:tcPr>
          <w:p w14:paraId="77B960FE" w14:textId="495B0EBE"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2018 à 2019</w:t>
            </w:r>
          </w:p>
        </w:tc>
        <w:tc>
          <w:tcPr>
            <w:tcW w:w="2196" w:type="pct"/>
          </w:tcPr>
          <w:p w14:paraId="1DCAECCF" w14:textId="5F3C3770"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1948" w:type="pct"/>
          </w:tcPr>
          <w:p w14:paraId="0CEB707B" w14:textId="220930B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w:t>
            </w:r>
          </w:p>
        </w:tc>
      </w:tr>
      <w:tr w:rsidR="003D2915" w:rsidRPr="00085A29" w14:paraId="213D6268" w14:textId="77777777" w:rsidTr="003D2915">
        <w:trPr>
          <w:cantSplit/>
          <w:tblHeader/>
          <w:jc w:val="center"/>
        </w:trPr>
        <w:tc>
          <w:tcPr>
            <w:tcW w:w="856" w:type="pct"/>
          </w:tcPr>
          <w:p w14:paraId="1E82B7D5" w14:textId="578B613A"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2019 à 2020</w:t>
            </w:r>
          </w:p>
        </w:tc>
        <w:tc>
          <w:tcPr>
            <w:tcW w:w="2196" w:type="pct"/>
          </w:tcPr>
          <w:p w14:paraId="17D31FA0" w14:textId="28B8AE3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0</w:t>
            </w:r>
          </w:p>
        </w:tc>
        <w:tc>
          <w:tcPr>
            <w:tcW w:w="1948" w:type="pct"/>
          </w:tcPr>
          <w:p w14:paraId="19710E46" w14:textId="48CFF27D"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1</w:t>
            </w:r>
          </w:p>
        </w:tc>
      </w:tr>
    </w:tbl>
    <w:p w14:paraId="38866D00" w14:textId="43D2A591" w:rsidR="0008073E" w:rsidRPr="00085A29" w:rsidRDefault="00A6338F" w:rsidP="00A6338F">
      <w:pPr>
        <w:spacing w:after="24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L’embauche des anciens étudiants qui avaient une expérience dans le programme fédéral de recrutement étudiant au cours des 10 dernières années. </w:t>
      </w:r>
    </w:p>
    <w:p w14:paraId="0899F712" w14:textId="77777777" w:rsidR="0008073E" w:rsidRPr="00085A29" w:rsidRDefault="0008073E" w:rsidP="00A6338F">
      <w:pPr>
        <w:spacing w:after="240"/>
        <w:rPr>
          <w:rFonts w:asciiTheme="minorHAnsi" w:hAnsiTheme="minorHAnsi" w:cstheme="minorHAnsi"/>
          <w:sz w:val="22"/>
          <w:szCs w:val="22"/>
          <w:lang w:val="fr-CA"/>
        </w:rPr>
        <w:sectPr w:rsidR="0008073E" w:rsidRPr="00085A29" w:rsidSect="003D2915">
          <w:pgSz w:w="15840" w:h="12240" w:orient="landscape"/>
          <w:pgMar w:top="720" w:right="720" w:bottom="720" w:left="720" w:header="709" w:footer="284" w:gutter="0"/>
          <w:cols w:space="708"/>
          <w:titlePg/>
          <w:docGrid w:linePitch="360"/>
        </w:sectPr>
      </w:pPr>
    </w:p>
    <w:p w14:paraId="49BC448D" w14:textId="2BC016D0" w:rsidR="003D2915" w:rsidRPr="00085A29" w:rsidRDefault="003D2915" w:rsidP="003D2915">
      <w:pPr>
        <w:pStyle w:val="Heading1"/>
        <w:spacing w:before="120" w:after="120"/>
        <w:rPr>
          <w:sz w:val="40"/>
          <w:szCs w:val="40"/>
          <w:lang w:val="fr-CA"/>
        </w:rPr>
      </w:pPr>
      <w:r w:rsidRPr="00085A29">
        <w:rPr>
          <w:sz w:val="40"/>
          <w:szCs w:val="40"/>
          <w:lang w:val="fr-CA"/>
        </w:rPr>
        <w:lastRenderedPageBreak/>
        <w:t>Durée de dotation interne</w:t>
      </w:r>
    </w:p>
    <w:p w14:paraId="2151AE4C" w14:textId="090A20F4" w:rsidR="003D2915" w:rsidRPr="00085A29" w:rsidRDefault="00FD1620" w:rsidP="003D2915">
      <w:pPr>
        <w:keepNext/>
        <w:rPr>
          <w:lang w:val="fr-CA"/>
        </w:rPr>
      </w:pPr>
      <w:r w:rsidRPr="00085A29">
        <w:rPr>
          <w:noProof/>
          <w:lang w:val="fr-CA" w:eastAsia="en-CA"/>
        </w:rPr>
        <w:drawing>
          <wp:inline distT="0" distB="0" distL="0" distR="0" wp14:anchorId="269EAEB1" wp14:editId="1CF9EDE8">
            <wp:extent cx="5648400" cy="3049200"/>
            <wp:effectExtent l="0" t="0" r="9525" b="18415"/>
            <wp:docPr id="22" name="Chart 22" descr="Durée de dotation interne Médiane pour la fonction publique = 175 jours, 2019-202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3D2915" w:rsidRPr="00085A29">
        <w:rPr>
          <w:noProof/>
          <w:lang w:val="fr-CA" w:eastAsia="en-CA"/>
        </w:rPr>
        <mc:AlternateContent>
          <mc:Choice Requires="wps">
            <w:drawing>
              <wp:inline distT="0" distB="0" distL="0" distR="0" wp14:anchorId="649EF37A" wp14:editId="6B22893B">
                <wp:extent cx="5648400" cy="3049200"/>
                <wp:effectExtent l="0" t="0" r="28575" b="1841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33C16F40" w14:textId="77777777" w:rsidR="00222A7E" w:rsidRPr="003D2915" w:rsidRDefault="00222A7E" w:rsidP="003D2915">
                            <w:pPr>
                              <w:spacing w:after="120"/>
                              <w:rPr>
                                <w:rFonts w:asciiTheme="minorHAnsi" w:hAnsiTheme="minorHAnsi" w:cstheme="minorHAnsi"/>
                                <w:sz w:val="22"/>
                                <w:szCs w:val="22"/>
                                <w:lang w:val="fr-CA"/>
                              </w:rPr>
                            </w:pPr>
                            <w:r w:rsidRPr="003D2915">
                              <w:rPr>
                                <w:rFonts w:asciiTheme="minorHAnsi" w:hAnsiTheme="minorHAnsi" w:cstheme="minorHAnsi"/>
                                <w:sz w:val="22"/>
                                <w:szCs w:val="22"/>
                                <w:lang w:val="fr-CA"/>
                              </w:rPr>
                              <w:t>Durée de dotation interne</w:t>
                            </w:r>
                          </w:p>
                          <w:p w14:paraId="1ED5BEEC" w14:textId="77777777" w:rsidR="00222A7E" w:rsidRPr="003D2915" w:rsidRDefault="00222A7E" w:rsidP="003D2915">
                            <w:pPr>
                              <w:pStyle w:val="ListParagraph"/>
                              <w:ind w:left="360"/>
                              <w:rPr>
                                <w:rFonts w:asciiTheme="minorHAnsi" w:hAnsiTheme="minorHAnsi" w:cstheme="minorHAnsi"/>
                                <w:sz w:val="22"/>
                                <w:szCs w:val="18"/>
                                <w:lang w:val="fr-CA"/>
                              </w:rPr>
                            </w:pPr>
                            <w:r w:rsidRPr="003D2915">
                              <w:rPr>
                                <w:rFonts w:asciiTheme="minorHAnsi" w:hAnsiTheme="minorHAnsi" w:cstheme="minorHAnsi"/>
                                <w:sz w:val="22"/>
                                <w:szCs w:val="18"/>
                                <w:lang w:val="fr-CA"/>
                              </w:rPr>
                              <w:t>Les données sont insuffisantes pour fournir des résultats sur la durée des processus de dotation interne pour l’Office national de l’énergie.</w:t>
                            </w:r>
                          </w:p>
                        </w:txbxContent>
                      </wps:txbx>
                      <wps:bodyPr rot="0" vert="horz" wrap="square" lIns="91440" tIns="45720" rIns="91440" bIns="45720" anchor="t" anchorCtr="0">
                        <a:noAutofit/>
                      </wps:bodyPr>
                    </wps:wsp>
                  </a:graphicData>
                </a:graphic>
              </wp:inline>
            </w:drawing>
          </mc:Choice>
          <mc:Fallback>
            <w:pict>
              <v:shapetype w14:anchorId="649EF37A" id="_x0000_t202" coordsize="21600,21600" o:spt="202" path="m,l,21600r21600,l21600,xe">
                <v:stroke joinstyle="miter"/>
                <v:path gradientshapeok="t" o:connecttype="rect"/>
              </v:shapetype>
              <v:shape id="Text Box 4" o:spid="_x0000_s1026" type="#_x0000_t202"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">
                <v:textbox>
                  <w:txbxContent>
                    <w:p w14:paraId="33C16F40" w14:textId="77777777" w:rsidR="00222A7E" w:rsidRPr="003D2915" w:rsidRDefault="00222A7E" w:rsidP="003D2915">
                      <w:pPr>
                        <w:spacing w:after="120"/>
                        <w:rPr>
                          <w:rFonts w:asciiTheme="minorHAnsi" w:hAnsiTheme="minorHAnsi" w:cstheme="minorHAnsi"/>
                          <w:sz w:val="22"/>
                          <w:szCs w:val="22"/>
                          <w:lang w:val="fr-CA"/>
                        </w:rPr>
                      </w:pPr>
                      <w:r w:rsidRPr="003D2915">
                        <w:rPr>
                          <w:rFonts w:asciiTheme="minorHAnsi" w:hAnsiTheme="minorHAnsi" w:cstheme="minorHAnsi"/>
                          <w:sz w:val="22"/>
                          <w:szCs w:val="22"/>
                          <w:lang w:val="fr-CA"/>
                        </w:rPr>
                        <w:t>Durée de dotation interne</w:t>
                      </w:r>
                    </w:p>
                    <w:p w14:paraId="1ED5BEEC" w14:textId="77777777" w:rsidR="00222A7E" w:rsidRPr="003D2915" w:rsidRDefault="00222A7E" w:rsidP="003D2915">
                      <w:pPr>
                        <w:pStyle w:val="ListParagraph"/>
                        <w:ind w:left="360"/>
                        <w:rPr>
                          <w:rFonts w:asciiTheme="minorHAnsi" w:hAnsiTheme="minorHAnsi" w:cstheme="minorHAnsi"/>
                          <w:sz w:val="22"/>
                          <w:szCs w:val="18"/>
                          <w:lang w:val="fr-CA"/>
                        </w:rPr>
                      </w:pPr>
                      <w:r w:rsidRPr="003D2915">
                        <w:rPr>
                          <w:rFonts w:asciiTheme="minorHAnsi" w:hAnsiTheme="minorHAnsi" w:cstheme="minorHAnsi"/>
                          <w:sz w:val="22"/>
                          <w:szCs w:val="18"/>
                          <w:lang w:val="fr-CA"/>
                        </w:rPr>
                        <w:t>Les données sont insuffisantes pour fournir des résultats sur la durée des processus de dotation interne pour l’Office national de l’énergie.</w:t>
                      </w:r>
                    </w:p>
                  </w:txbxContent>
                </v:textbox>
                <w10:anchorlock/>
              </v:shape>
            </w:pict>
          </mc:Fallback>
        </mc:AlternateContent>
      </w:r>
    </w:p>
    <w:p w14:paraId="5598545A" w14:textId="050A45A6" w:rsidR="003D2915" w:rsidRPr="00085A29" w:rsidRDefault="003D2915" w:rsidP="003D2915">
      <w:pPr>
        <w:pStyle w:val="Caption"/>
        <w:spacing w:after="0"/>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Pr="00085A29">
        <w:rPr>
          <w:rFonts w:asciiTheme="minorHAnsi" w:hAnsiTheme="minorHAnsi" w:cstheme="minorHAnsi"/>
          <w:i w:val="0"/>
          <w:iCs w:val="0"/>
          <w:noProof/>
          <w:color w:val="auto"/>
          <w:lang w:val="fr-CA"/>
        </w:rPr>
        <w:t>12</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Durée de dotation interne médiane pour la fonction publique = 175 jours, 2019-2020</w:t>
      </w:r>
    </w:p>
    <w:p w14:paraId="114BD8AC" w14:textId="654B9FA0" w:rsidR="003D2915" w:rsidRPr="00085A29" w:rsidRDefault="00AF0A32" w:rsidP="003D2915">
      <w:pPr>
        <w:numPr>
          <w:ilvl w:val="1"/>
          <w:numId w:val="0"/>
        </w:numPr>
        <w:spacing w:before="240" w:after="120"/>
        <w:rPr>
          <w:rFonts w:asciiTheme="minorHAnsi" w:eastAsiaTheme="minorHAnsi" w:hAnsiTheme="minorHAnsi" w:cstheme="minorHAnsi"/>
          <w:sz w:val="22"/>
          <w:szCs w:val="22"/>
          <w:lang w:val="fr-CA"/>
        </w:rPr>
      </w:pPr>
      <w:hyperlink w:anchor="Durée_de_dotation_interne" w:history="1">
        <w:r w:rsidR="003D2915" w:rsidRPr="00085A29">
          <w:rPr>
            <w:rStyle w:val="Hyperlink"/>
            <w:rFonts w:asciiTheme="minorHAnsi" w:eastAsiaTheme="minorHAnsi" w:hAnsiTheme="minorHAnsi" w:cstheme="minorHAnsi"/>
            <w:sz w:val="22"/>
            <w:szCs w:val="22"/>
            <w:lang w:val="fr-CA"/>
          </w:rPr>
          <w:t>Tableau des données sur la durée de dotation interne disponible ici</w:t>
        </w:r>
      </w:hyperlink>
      <w:r w:rsidR="003D2915" w:rsidRPr="00085A29">
        <w:rPr>
          <w:rFonts w:asciiTheme="minorHAnsi" w:eastAsiaTheme="minorHAnsi" w:hAnsiTheme="minorHAnsi" w:cstheme="minorHAnsi"/>
          <w:sz w:val="22"/>
          <w:szCs w:val="22"/>
          <w:lang w:val="fr-CA"/>
        </w:rPr>
        <w:t>.</w:t>
      </w:r>
    </w:p>
    <w:p w14:paraId="32912298" w14:textId="77777777" w:rsidR="003D2915" w:rsidRPr="00085A29" w:rsidRDefault="003D2915" w:rsidP="003D2915">
      <w:pPr>
        <w:rPr>
          <w:rFonts w:asciiTheme="minorHAnsi" w:hAnsiTheme="minorHAnsi" w:cstheme="minorHAnsi"/>
          <w:sz w:val="22"/>
          <w:szCs w:val="22"/>
          <w:lang w:val="fr-CA"/>
        </w:rPr>
        <w:sectPr w:rsidR="003D2915" w:rsidRPr="00085A29" w:rsidSect="003D2915">
          <w:pgSz w:w="20160" w:h="12240" w:orient="landscape" w:code="5"/>
          <w:pgMar w:top="720" w:right="720" w:bottom="720" w:left="720" w:header="709" w:footer="284" w:gutter="0"/>
          <w:cols w:space="708"/>
          <w:titlePg/>
          <w:docGrid w:linePitch="360"/>
        </w:sectPr>
      </w:pPr>
    </w:p>
    <w:p w14:paraId="2F0D1AC3" w14:textId="487E5BB6" w:rsidR="003D2915" w:rsidRPr="00085A29" w:rsidRDefault="0008073E" w:rsidP="003D2915">
      <w:pPr>
        <w:spacing w:after="120"/>
        <w:rPr>
          <w:rFonts w:asciiTheme="minorHAnsi" w:hAnsiTheme="minorHAnsi" w:cstheme="minorHAnsi"/>
          <w:sz w:val="22"/>
          <w:szCs w:val="22"/>
          <w:lang w:val="fr-CA"/>
        </w:rPr>
      </w:pPr>
      <w:r w:rsidRPr="00085A29">
        <w:rPr>
          <w:rFonts w:asciiTheme="minorHAnsi" w:hAnsiTheme="minorHAnsi" w:cstheme="minorHAnsi"/>
          <w:sz w:val="22"/>
          <w:szCs w:val="22"/>
          <w:lang w:val="fr-CA"/>
        </w:rPr>
        <w:t>La durée de dotation interne correspond au nombre de jours civils entre la date d'ouverture de l'annonce et la date de la première notification</w:t>
      </w:r>
      <w:r w:rsidR="003D2915" w:rsidRPr="00085A29">
        <w:rPr>
          <w:rFonts w:asciiTheme="minorHAnsi" w:hAnsiTheme="minorHAnsi" w:cstheme="minorHAnsi"/>
          <w:sz w:val="22"/>
          <w:szCs w:val="22"/>
          <w:lang w:val="fr-CA"/>
        </w:rPr>
        <w:t xml:space="preserve"> </w:t>
      </w:r>
    </w:p>
    <w:p w14:paraId="4DFCCE95" w14:textId="223D91BF" w:rsidR="003D2915" w:rsidRPr="00085A29" w:rsidRDefault="003D2915" w:rsidP="003D2915">
      <w:pPr>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La durée médiane de dotation interne pour la fonction publique (organisations assujetties à la </w:t>
      </w:r>
      <w:r w:rsidRPr="00085A29">
        <w:rPr>
          <w:rStyle w:val="Emphasis"/>
          <w:rFonts w:asciiTheme="minorHAnsi" w:hAnsiTheme="minorHAnsi" w:cstheme="minorHAnsi"/>
          <w:sz w:val="22"/>
          <w:szCs w:val="18"/>
          <w:lang w:val="fr-CA"/>
        </w:rPr>
        <w:t>Loi sur l’emploi dans la fonction publique</w:t>
      </w:r>
      <w:r w:rsidRPr="00085A29">
        <w:rPr>
          <w:rFonts w:asciiTheme="minorHAnsi" w:hAnsiTheme="minorHAnsi" w:cstheme="minorHAnsi"/>
          <w:sz w:val="22"/>
          <w:szCs w:val="22"/>
          <w:lang w:val="fr-CA"/>
        </w:rPr>
        <w:t>) pour l’exercice financier 2019 à 2020 est 175 jours</w:t>
      </w:r>
    </w:p>
    <w:p w14:paraId="45E240A9" w14:textId="5E3567E8" w:rsidR="0008073E" w:rsidRPr="00085A29" w:rsidRDefault="003D2915" w:rsidP="003D2915">
      <w:pPr>
        <w:spacing w:after="120"/>
        <w:rPr>
          <w:rStyle w:val="Strong"/>
          <w:rFonts w:asciiTheme="minorHAnsi" w:hAnsiTheme="minorHAnsi" w:cstheme="minorHAnsi"/>
          <w:sz w:val="22"/>
          <w:szCs w:val="18"/>
          <w:lang w:val="fr-CA"/>
        </w:rPr>
      </w:pPr>
      <w:r w:rsidRPr="00085A29">
        <w:rPr>
          <w:rStyle w:val="Strong"/>
          <w:rFonts w:asciiTheme="minorHAnsi" w:hAnsiTheme="minorHAnsi" w:cstheme="minorHAnsi"/>
          <w:sz w:val="22"/>
          <w:szCs w:val="18"/>
          <w:lang w:val="fr-CA"/>
        </w:rPr>
        <w:t>D</w:t>
      </w:r>
      <w:r w:rsidR="0008073E" w:rsidRPr="00085A29">
        <w:rPr>
          <w:rStyle w:val="Strong"/>
          <w:rFonts w:asciiTheme="minorHAnsi" w:hAnsiTheme="minorHAnsi" w:cstheme="minorHAnsi"/>
          <w:sz w:val="22"/>
          <w:szCs w:val="18"/>
          <w:lang w:val="fr-CA"/>
        </w:rPr>
        <w:t>urée de dotation interne pour l’exercice financier de 201</w:t>
      </w:r>
      <w:r w:rsidR="004460BE" w:rsidRPr="00085A29">
        <w:rPr>
          <w:rStyle w:val="Strong"/>
          <w:rFonts w:asciiTheme="minorHAnsi" w:hAnsiTheme="minorHAnsi" w:cstheme="minorHAnsi"/>
          <w:sz w:val="22"/>
          <w:szCs w:val="18"/>
          <w:lang w:val="fr-CA"/>
        </w:rPr>
        <w:t>9</w:t>
      </w:r>
      <w:r w:rsidR="0008073E" w:rsidRPr="00085A29">
        <w:rPr>
          <w:rStyle w:val="Strong"/>
          <w:rFonts w:asciiTheme="minorHAnsi" w:hAnsiTheme="minorHAnsi" w:cstheme="minorHAnsi"/>
          <w:sz w:val="22"/>
          <w:szCs w:val="18"/>
          <w:lang w:val="fr-CA"/>
        </w:rPr>
        <w:t xml:space="preserve"> à 20</w:t>
      </w:r>
      <w:r w:rsidR="004460BE" w:rsidRPr="00085A29">
        <w:rPr>
          <w:rStyle w:val="Strong"/>
          <w:rFonts w:asciiTheme="minorHAnsi" w:hAnsiTheme="minorHAnsi" w:cstheme="minorHAnsi"/>
          <w:sz w:val="22"/>
          <w:szCs w:val="18"/>
          <w:lang w:val="fr-CA"/>
        </w:rPr>
        <w:t>20</w:t>
      </w:r>
    </w:p>
    <w:p w14:paraId="4C15F67E" w14:textId="32696394" w:rsidR="0008073E" w:rsidRPr="00085A29" w:rsidRDefault="0008073E" w:rsidP="00016E56">
      <w:pPr>
        <w:rPr>
          <w:rFonts w:asciiTheme="minorHAnsi" w:hAnsiTheme="minorHAnsi" w:cstheme="minorHAnsi"/>
          <w:sz w:val="22"/>
          <w:szCs w:val="22"/>
          <w:lang w:val="fr-CA"/>
        </w:rPr>
      </w:pPr>
      <w:r w:rsidRPr="00085A29">
        <w:rPr>
          <w:rFonts w:asciiTheme="minorHAnsi" w:hAnsiTheme="minorHAnsi" w:cstheme="minorHAnsi"/>
          <w:sz w:val="22"/>
          <w:szCs w:val="22"/>
          <w:lang w:val="fr-CA"/>
        </w:rPr>
        <w:t>Les données sont insuffisantes pour fournir des résultats sur la durée des processus de dotation interne pour l</w:t>
      </w:r>
      <w:r w:rsidR="004460BE" w:rsidRPr="00085A29">
        <w:rPr>
          <w:rFonts w:asciiTheme="minorHAnsi" w:hAnsiTheme="minorHAnsi" w:cstheme="minorHAnsi"/>
          <w:sz w:val="22"/>
          <w:szCs w:val="22"/>
          <w:lang w:val="fr-CA"/>
        </w:rPr>
        <w:t xml:space="preserve">’Office national de </w:t>
      </w:r>
      <w:r w:rsidRPr="00085A29">
        <w:rPr>
          <w:rFonts w:asciiTheme="minorHAnsi" w:hAnsiTheme="minorHAnsi" w:cstheme="minorHAnsi"/>
          <w:color w:val="000000"/>
          <w:sz w:val="22"/>
          <w:szCs w:val="22"/>
          <w:lang w:val="fr-CA"/>
        </w:rPr>
        <w:t>l’énergie</w:t>
      </w:r>
      <w:r w:rsidR="004460BE" w:rsidRPr="00085A29">
        <w:rPr>
          <w:rFonts w:asciiTheme="minorHAnsi" w:hAnsiTheme="minorHAnsi" w:cstheme="minorHAnsi"/>
          <w:color w:val="000000"/>
          <w:sz w:val="22"/>
          <w:szCs w:val="22"/>
          <w:lang w:val="fr-CA"/>
        </w:rPr>
        <w:t>.</w:t>
      </w:r>
    </w:p>
    <w:p w14:paraId="77E60C46" w14:textId="77777777" w:rsidR="003D2915" w:rsidRPr="00085A29" w:rsidRDefault="003D2915" w:rsidP="00A6338F">
      <w:pPr>
        <w:rPr>
          <w:rFonts w:asciiTheme="minorHAnsi" w:hAnsiTheme="minorHAnsi" w:cstheme="minorHAnsi"/>
          <w:sz w:val="22"/>
          <w:szCs w:val="22"/>
          <w:lang w:val="fr-CA"/>
        </w:rPr>
        <w:sectPr w:rsidR="003D2915" w:rsidRPr="00085A29" w:rsidSect="003D2915">
          <w:type w:val="continuous"/>
          <w:pgSz w:w="20160" w:h="12240" w:orient="landscape" w:code="5"/>
          <w:pgMar w:top="720" w:right="720" w:bottom="720" w:left="720" w:header="709" w:footer="284" w:gutter="0"/>
          <w:cols w:num="2" w:space="708"/>
          <w:titlePg/>
          <w:docGrid w:linePitch="360"/>
        </w:sectPr>
      </w:pPr>
    </w:p>
    <w:p w14:paraId="6D92C103" w14:textId="04E8F405" w:rsidR="00A6338F" w:rsidRPr="00085A29" w:rsidRDefault="00A6338F" w:rsidP="00A6338F">
      <w:pPr>
        <w:rPr>
          <w:rFonts w:asciiTheme="minorHAnsi" w:hAnsiTheme="minorHAnsi" w:cstheme="minorHAnsi"/>
          <w:sz w:val="22"/>
          <w:szCs w:val="22"/>
          <w:lang w:val="fr-CA"/>
        </w:rPr>
      </w:pPr>
    </w:p>
    <w:p w14:paraId="4BBDF01A" w14:textId="77777777" w:rsidR="0008073E" w:rsidRPr="00085A29" w:rsidRDefault="0008073E" w:rsidP="00A6338F">
      <w:pPr>
        <w:pStyle w:val="ListParagraph"/>
        <w:numPr>
          <w:ilvl w:val="0"/>
          <w:numId w:val="29"/>
        </w:numPr>
        <w:spacing w:after="0"/>
        <w:ind w:left="360"/>
        <w:rPr>
          <w:rFonts w:asciiTheme="minorHAnsi" w:hAnsiTheme="minorHAnsi" w:cstheme="minorHAnsi"/>
          <w:sz w:val="22"/>
          <w:szCs w:val="22"/>
          <w:lang w:val="fr-CA"/>
        </w:rPr>
        <w:sectPr w:rsidR="0008073E" w:rsidRPr="00085A29" w:rsidSect="003D2915">
          <w:type w:val="continuous"/>
          <w:pgSz w:w="20160" w:h="12240" w:orient="landscape" w:code="5"/>
          <w:pgMar w:top="720" w:right="720" w:bottom="720" w:left="720" w:header="709" w:footer="284" w:gutter="0"/>
          <w:cols w:space="708"/>
          <w:titlePg/>
          <w:docGrid w:linePitch="360"/>
        </w:sectPr>
      </w:pPr>
    </w:p>
    <w:p w14:paraId="1509AEAE" w14:textId="3C3BBD49" w:rsidR="0008073E" w:rsidRPr="00085A29" w:rsidRDefault="003D2915" w:rsidP="003D2915">
      <w:pPr>
        <w:pStyle w:val="Heading1"/>
        <w:spacing w:before="120" w:after="120"/>
        <w:rPr>
          <w:sz w:val="40"/>
          <w:szCs w:val="40"/>
          <w:lang w:val="fr-CA"/>
        </w:rPr>
      </w:pPr>
      <w:r w:rsidRPr="00085A29">
        <w:rPr>
          <w:sz w:val="40"/>
          <w:szCs w:val="40"/>
          <w:lang w:val="fr-CA"/>
        </w:rPr>
        <w:lastRenderedPageBreak/>
        <w:t>Durée de dotation interne</w:t>
      </w:r>
    </w:p>
    <w:p w14:paraId="0CD5312C" w14:textId="710D6306" w:rsidR="003D2915" w:rsidRPr="00085A29" w:rsidRDefault="003D2915" w:rsidP="003D2915">
      <w:pPr>
        <w:pStyle w:val="Caption"/>
        <w:keepNext/>
        <w:spacing w:after="0"/>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007D61E0" w:rsidRPr="00085A29">
        <w:rPr>
          <w:rFonts w:asciiTheme="minorHAnsi" w:hAnsiTheme="minorHAnsi" w:cstheme="minorHAnsi"/>
          <w:i w:val="0"/>
          <w:iCs w:val="0"/>
          <w:noProof/>
          <w:color w:val="auto"/>
          <w:lang w:val="fr-CA"/>
        </w:rPr>
        <w:t>15</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Durée de dotation interne</w:t>
      </w:r>
    </w:p>
    <w:tbl>
      <w:tblPr>
        <w:tblStyle w:val="TableGrid"/>
        <w:tblW w:w="5000" w:type="pct"/>
        <w:jc w:val="center"/>
        <w:tblLook w:val="0020" w:firstRow="1" w:lastRow="0" w:firstColumn="0" w:lastColumn="0" w:noHBand="0" w:noVBand="0"/>
        <w:tblDescription w:val="Durée des processus de dotation interne"/>
      </w:tblPr>
      <w:tblGrid>
        <w:gridCol w:w="2846"/>
        <w:gridCol w:w="7944"/>
      </w:tblGrid>
      <w:tr w:rsidR="003D2915" w:rsidRPr="00085A29" w14:paraId="0AC9DEB6" w14:textId="77777777" w:rsidTr="003D2915">
        <w:trPr>
          <w:cantSplit/>
          <w:trHeight w:val="290"/>
          <w:tblHeader/>
          <w:jc w:val="center"/>
        </w:trPr>
        <w:tc>
          <w:tcPr>
            <w:tcW w:w="1319" w:type="pct"/>
          </w:tcPr>
          <w:p w14:paraId="6C4C8CBB" w14:textId="77777777" w:rsidR="004460BE" w:rsidRPr="00085A29" w:rsidRDefault="004460BE" w:rsidP="003D2915">
            <w:pPr>
              <w:pStyle w:val="TableTitle"/>
              <w:rPr>
                <w:color w:val="auto"/>
                <w:sz w:val="22"/>
                <w:szCs w:val="22"/>
                <w:lang w:val="fr-CA"/>
              </w:rPr>
            </w:pPr>
            <w:bookmarkStart w:id="3" w:name="Durée_de_dotation_interne"/>
            <w:r w:rsidRPr="00085A29">
              <w:rPr>
                <w:color w:val="auto"/>
                <w:sz w:val="22"/>
                <w:szCs w:val="22"/>
                <w:lang w:val="fr-CA"/>
              </w:rPr>
              <w:t>Nombre de jours civils</w:t>
            </w:r>
            <w:bookmarkEnd w:id="3"/>
          </w:p>
        </w:tc>
        <w:tc>
          <w:tcPr>
            <w:tcW w:w="3681" w:type="pct"/>
          </w:tcPr>
          <w:p w14:paraId="69772DA3" w14:textId="6F47402A" w:rsidR="004460BE" w:rsidRPr="00085A29" w:rsidRDefault="004460BE" w:rsidP="003D2915">
            <w:pPr>
              <w:pStyle w:val="TableTitle"/>
              <w:rPr>
                <w:color w:val="auto"/>
                <w:sz w:val="22"/>
                <w:szCs w:val="22"/>
                <w:lang w:val="fr-CA"/>
              </w:rPr>
            </w:pPr>
            <w:r w:rsidRPr="00085A29">
              <w:rPr>
                <w:rFonts w:cs="Arial"/>
                <w:color w:val="auto"/>
                <w:sz w:val="22"/>
                <w:szCs w:val="22"/>
                <w:lang w:val="fr-CA"/>
              </w:rPr>
              <w:t xml:space="preserve">Le nombre de premières embauches internes dans un processus interne (durée de dotation interne) dans les organisations assujetties à la </w:t>
            </w:r>
            <w:r w:rsidRPr="00085A29">
              <w:rPr>
                <w:rStyle w:val="Emphasis"/>
                <w:rFonts w:cs="Segoe UI Semibold"/>
                <w:color w:val="auto"/>
                <w:sz w:val="22"/>
                <w:szCs w:val="22"/>
                <w:lang w:val="fr-CA"/>
              </w:rPr>
              <w:t>Loi sur l’emploi dans la fonction publique</w:t>
            </w:r>
            <w:r w:rsidRPr="00085A29">
              <w:rPr>
                <w:rFonts w:cs="Arial"/>
                <w:color w:val="auto"/>
                <w:sz w:val="22"/>
                <w:szCs w:val="22"/>
                <w:lang w:val="fr-CA"/>
              </w:rPr>
              <w:t>, dans le nombre de jours civils spécifié</w:t>
            </w:r>
          </w:p>
        </w:tc>
      </w:tr>
      <w:tr w:rsidR="004460BE" w:rsidRPr="00085A29" w14:paraId="1B50717A" w14:textId="77777777" w:rsidTr="003D2915">
        <w:trPr>
          <w:cantSplit/>
          <w:trHeight w:val="290"/>
          <w:tblHeader/>
          <w:jc w:val="center"/>
        </w:trPr>
        <w:tc>
          <w:tcPr>
            <w:tcW w:w="1319" w:type="pct"/>
          </w:tcPr>
          <w:p w14:paraId="7D71B565"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0 jours civils</w:t>
            </w:r>
          </w:p>
        </w:tc>
        <w:tc>
          <w:tcPr>
            <w:tcW w:w="3681" w:type="pct"/>
          </w:tcPr>
          <w:p w14:paraId="6380CA9C" w14:textId="1B757595"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0</w:t>
            </w:r>
          </w:p>
        </w:tc>
      </w:tr>
      <w:tr w:rsidR="004460BE" w:rsidRPr="00085A29" w14:paraId="519AB2C6" w14:textId="77777777" w:rsidTr="003D2915">
        <w:trPr>
          <w:cantSplit/>
          <w:trHeight w:val="290"/>
          <w:tblHeader/>
          <w:jc w:val="center"/>
        </w:trPr>
        <w:tc>
          <w:tcPr>
            <w:tcW w:w="1319" w:type="pct"/>
          </w:tcPr>
          <w:p w14:paraId="781E2471"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0 à 29 jours civils</w:t>
            </w:r>
          </w:p>
        </w:tc>
        <w:tc>
          <w:tcPr>
            <w:tcW w:w="3681" w:type="pct"/>
          </w:tcPr>
          <w:p w14:paraId="4736B072" w14:textId="042CA562"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13</w:t>
            </w:r>
          </w:p>
        </w:tc>
      </w:tr>
      <w:tr w:rsidR="004460BE" w:rsidRPr="00085A29" w14:paraId="44FAAA8B" w14:textId="77777777" w:rsidTr="003D2915">
        <w:trPr>
          <w:cantSplit/>
          <w:trHeight w:val="290"/>
          <w:tblHeader/>
          <w:jc w:val="center"/>
        </w:trPr>
        <w:tc>
          <w:tcPr>
            <w:tcW w:w="1319" w:type="pct"/>
          </w:tcPr>
          <w:p w14:paraId="36C94247"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30 à 59 jours civils</w:t>
            </w:r>
          </w:p>
        </w:tc>
        <w:tc>
          <w:tcPr>
            <w:tcW w:w="3681" w:type="pct"/>
          </w:tcPr>
          <w:p w14:paraId="00E60B90" w14:textId="3FD14252"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106</w:t>
            </w:r>
          </w:p>
        </w:tc>
      </w:tr>
      <w:tr w:rsidR="004460BE" w:rsidRPr="00085A29" w14:paraId="2C426847" w14:textId="77777777" w:rsidTr="003D2915">
        <w:trPr>
          <w:cantSplit/>
          <w:trHeight w:val="290"/>
          <w:tblHeader/>
          <w:jc w:val="center"/>
        </w:trPr>
        <w:tc>
          <w:tcPr>
            <w:tcW w:w="1319" w:type="pct"/>
          </w:tcPr>
          <w:p w14:paraId="5F6D7488"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60 à 89 jours civils</w:t>
            </w:r>
          </w:p>
        </w:tc>
        <w:tc>
          <w:tcPr>
            <w:tcW w:w="3681" w:type="pct"/>
          </w:tcPr>
          <w:p w14:paraId="4F36AA6A" w14:textId="59EA1396"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256</w:t>
            </w:r>
          </w:p>
        </w:tc>
      </w:tr>
      <w:tr w:rsidR="004460BE" w:rsidRPr="00085A29" w14:paraId="1AFEBF63" w14:textId="77777777" w:rsidTr="003D2915">
        <w:trPr>
          <w:cantSplit/>
          <w:trHeight w:val="290"/>
          <w:tblHeader/>
          <w:jc w:val="center"/>
        </w:trPr>
        <w:tc>
          <w:tcPr>
            <w:tcW w:w="1319" w:type="pct"/>
          </w:tcPr>
          <w:p w14:paraId="0AA728A3"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90 à 119 jours civils</w:t>
            </w:r>
          </w:p>
        </w:tc>
        <w:tc>
          <w:tcPr>
            <w:tcW w:w="3681" w:type="pct"/>
          </w:tcPr>
          <w:p w14:paraId="1CCA3381" w14:textId="03FE4C7E"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331</w:t>
            </w:r>
          </w:p>
        </w:tc>
      </w:tr>
      <w:tr w:rsidR="004460BE" w:rsidRPr="00085A29" w14:paraId="14DF3F31" w14:textId="77777777" w:rsidTr="003D2915">
        <w:trPr>
          <w:cantSplit/>
          <w:trHeight w:val="290"/>
          <w:tblHeader/>
          <w:jc w:val="center"/>
        </w:trPr>
        <w:tc>
          <w:tcPr>
            <w:tcW w:w="1319" w:type="pct"/>
          </w:tcPr>
          <w:p w14:paraId="3A00E94B"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120 à 149 jours civils</w:t>
            </w:r>
          </w:p>
        </w:tc>
        <w:tc>
          <w:tcPr>
            <w:tcW w:w="3681" w:type="pct"/>
          </w:tcPr>
          <w:p w14:paraId="2838B88D" w14:textId="4DC93FEF"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313</w:t>
            </w:r>
          </w:p>
        </w:tc>
      </w:tr>
      <w:tr w:rsidR="004460BE" w:rsidRPr="00085A29" w14:paraId="42E0DB8C" w14:textId="77777777" w:rsidTr="003D2915">
        <w:trPr>
          <w:cantSplit/>
          <w:trHeight w:val="290"/>
          <w:tblHeader/>
          <w:jc w:val="center"/>
        </w:trPr>
        <w:tc>
          <w:tcPr>
            <w:tcW w:w="1319" w:type="pct"/>
          </w:tcPr>
          <w:p w14:paraId="5387F94A"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150 à 179 jours civils</w:t>
            </w:r>
          </w:p>
        </w:tc>
        <w:tc>
          <w:tcPr>
            <w:tcW w:w="3681" w:type="pct"/>
          </w:tcPr>
          <w:p w14:paraId="3DB3A25D" w14:textId="3CA69C93"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314</w:t>
            </w:r>
          </w:p>
        </w:tc>
      </w:tr>
      <w:tr w:rsidR="004460BE" w:rsidRPr="00085A29" w14:paraId="132A1BFC" w14:textId="77777777" w:rsidTr="003D2915">
        <w:trPr>
          <w:cantSplit/>
          <w:trHeight w:val="290"/>
          <w:tblHeader/>
          <w:jc w:val="center"/>
        </w:trPr>
        <w:tc>
          <w:tcPr>
            <w:tcW w:w="1319" w:type="pct"/>
          </w:tcPr>
          <w:p w14:paraId="475368CB"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180 à 209 jours civils</w:t>
            </w:r>
          </w:p>
        </w:tc>
        <w:tc>
          <w:tcPr>
            <w:tcW w:w="3681" w:type="pct"/>
          </w:tcPr>
          <w:p w14:paraId="5D9074D4" w14:textId="5ED18AB1"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258</w:t>
            </w:r>
          </w:p>
        </w:tc>
      </w:tr>
      <w:tr w:rsidR="004460BE" w:rsidRPr="00085A29" w14:paraId="149A7B5C" w14:textId="77777777" w:rsidTr="003D2915">
        <w:trPr>
          <w:cantSplit/>
          <w:trHeight w:val="290"/>
          <w:tblHeader/>
          <w:jc w:val="center"/>
        </w:trPr>
        <w:tc>
          <w:tcPr>
            <w:tcW w:w="1319" w:type="pct"/>
          </w:tcPr>
          <w:p w14:paraId="518053E2"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210 à 239 jours civils</w:t>
            </w:r>
          </w:p>
        </w:tc>
        <w:tc>
          <w:tcPr>
            <w:tcW w:w="3681" w:type="pct"/>
          </w:tcPr>
          <w:p w14:paraId="441F43A0" w14:textId="27C29998"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191</w:t>
            </w:r>
          </w:p>
        </w:tc>
      </w:tr>
      <w:tr w:rsidR="004460BE" w:rsidRPr="00085A29" w14:paraId="74838A3F" w14:textId="77777777" w:rsidTr="003D2915">
        <w:trPr>
          <w:cantSplit/>
          <w:trHeight w:val="290"/>
          <w:tblHeader/>
          <w:jc w:val="center"/>
        </w:trPr>
        <w:tc>
          <w:tcPr>
            <w:tcW w:w="1319" w:type="pct"/>
          </w:tcPr>
          <w:p w14:paraId="057B3F3C"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240 à 269 jours civils</w:t>
            </w:r>
          </w:p>
        </w:tc>
        <w:tc>
          <w:tcPr>
            <w:tcW w:w="3681" w:type="pct"/>
          </w:tcPr>
          <w:p w14:paraId="7B492A06" w14:textId="6F8B2845"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143</w:t>
            </w:r>
          </w:p>
        </w:tc>
      </w:tr>
      <w:tr w:rsidR="004460BE" w:rsidRPr="00085A29" w14:paraId="1809AE9D" w14:textId="77777777" w:rsidTr="003D2915">
        <w:trPr>
          <w:cantSplit/>
          <w:trHeight w:val="290"/>
          <w:tblHeader/>
          <w:jc w:val="center"/>
        </w:trPr>
        <w:tc>
          <w:tcPr>
            <w:tcW w:w="1319" w:type="pct"/>
          </w:tcPr>
          <w:p w14:paraId="755B9B67"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270 à 299 jours civils</w:t>
            </w:r>
          </w:p>
        </w:tc>
        <w:tc>
          <w:tcPr>
            <w:tcW w:w="3681" w:type="pct"/>
          </w:tcPr>
          <w:p w14:paraId="22A6AD0B" w14:textId="4894C6EB"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109</w:t>
            </w:r>
          </w:p>
        </w:tc>
      </w:tr>
      <w:tr w:rsidR="004460BE" w:rsidRPr="00085A29" w14:paraId="08AF06DB" w14:textId="77777777" w:rsidTr="003D2915">
        <w:trPr>
          <w:cantSplit/>
          <w:trHeight w:val="290"/>
          <w:tblHeader/>
          <w:jc w:val="center"/>
        </w:trPr>
        <w:tc>
          <w:tcPr>
            <w:tcW w:w="1319" w:type="pct"/>
          </w:tcPr>
          <w:p w14:paraId="467C8D35"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300 à 329 jours civils</w:t>
            </w:r>
          </w:p>
        </w:tc>
        <w:tc>
          <w:tcPr>
            <w:tcW w:w="3681" w:type="pct"/>
          </w:tcPr>
          <w:p w14:paraId="6AD68770" w14:textId="0E9FF5EC"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91</w:t>
            </w:r>
          </w:p>
        </w:tc>
      </w:tr>
      <w:tr w:rsidR="004460BE" w:rsidRPr="00085A29" w14:paraId="0E386B74" w14:textId="77777777" w:rsidTr="003D2915">
        <w:trPr>
          <w:cantSplit/>
          <w:trHeight w:val="290"/>
          <w:tblHeader/>
          <w:jc w:val="center"/>
        </w:trPr>
        <w:tc>
          <w:tcPr>
            <w:tcW w:w="1319" w:type="pct"/>
          </w:tcPr>
          <w:p w14:paraId="3DA6C3D2"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330 à 359 jours civils</w:t>
            </w:r>
          </w:p>
        </w:tc>
        <w:tc>
          <w:tcPr>
            <w:tcW w:w="3681" w:type="pct"/>
          </w:tcPr>
          <w:p w14:paraId="5DAEE4DE" w14:textId="29AA1C54"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70</w:t>
            </w:r>
          </w:p>
        </w:tc>
      </w:tr>
      <w:tr w:rsidR="004460BE" w:rsidRPr="00085A29" w14:paraId="2EC2DB61" w14:textId="77777777" w:rsidTr="003D2915">
        <w:trPr>
          <w:cantSplit/>
          <w:trHeight w:val="290"/>
          <w:tblHeader/>
          <w:jc w:val="center"/>
        </w:trPr>
        <w:tc>
          <w:tcPr>
            <w:tcW w:w="1319" w:type="pct"/>
          </w:tcPr>
          <w:p w14:paraId="257EF033"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360 à 389 jours civils</w:t>
            </w:r>
          </w:p>
        </w:tc>
        <w:tc>
          <w:tcPr>
            <w:tcW w:w="3681" w:type="pct"/>
          </w:tcPr>
          <w:p w14:paraId="1D60C6EB" w14:textId="7E0D81D4"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49</w:t>
            </w:r>
          </w:p>
        </w:tc>
      </w:tr>
      <w:tr w:rsidR="004460BE" w:rsidRPr="00085A29" w14:paraId="015B07CD" w14:textId="77777777" w:rsidTr="003D2915">
        <w:trPr>
          <w:cantSplit/>
          <w:trHeight w:val="290"/>
          <w:tblHeader/>
          <w:jc w:val="center"/>
        </w:trPr>
        <w:tc>
          <w:tcPr>
            <w:tcW w:w="1319" w:type="pct"/>
          </w:tcPr>
          <w:p w14:paraId="0466F6BA"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390 à 419 jours civils</w:t>
            </w:r>
          </w:p>
        </w:tc>
        <w:tc>
          <w:tcPr>
            <w:tcW w:w="3681" w:type="pct"/>
          </w:tcPr>
          <w:p w14:paraId="58B3C963" w14:textId="673A8E82"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43</w:t>
            </w:r>
          </w:p>
        </w:tc>
      </w:tr>
      <w:tr w:rsidR="004460BE" w:rsidRPr="00085A29" w14:paraId="1F136B1D" w14:textId="77777777" w:rsidTr="003D2915">
        <w:trPr>
          <w:cantSplit/>
          <w:trHeight w:val="290"/>
          <w:tblHeader/>
          <w:jc w:val="center"/>
        </w:trPr>
        <w:tc>
          <w:tcPr>
            <w:tcW w:w="1319" w:type="pct"/>
          </w:tcPr>
          <w:p w14:paraId="1C4702A4"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420 à 449 jours civils</w:t>
            </w:r>
          </w:p>
        </w:tc>
        <w:tc>
          <w:tcPr>
            <w:tcW w:w="3681" w:type="pct"/>
          </w:tcPr>
          <w:p w14:paraId="68AAEA08" w14:textId="4C7A1207"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41</w:t>
            </w:r>
          </w:p>
        </w:tc>
      </w:tr>
      <w:tr w:rsidR="004460BE" w:rsidRPr="00085A29" w14:paraId="328F8356" w14:textId="77777777" w:rsidTr="003D2915">
        <w:trPr>
          <w:cantSplit/>
          <w:trHeight w:val="290"/>
          <w:tblHeader/>
          <w:jc w:val="center"/>
        </w:trPr>
        <w:tc>
          <w:tcPr>
            <w:tcW w:w="1319" w:type="pct"/>
          </w:tcPr>
          <w:p w14:paraId="4701023D"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450 à 479 jours civils</w:t>
            </w:r>
          </w:p>
        </w:tc>
        <w:tc>
          <w:tcPr>
            <w:tcW w:w="3681" w:type="pct"/>
          </w:tcPr>
          <w:p w14:paraId="79A6140B" w14:textId="0212799A"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36</w:t>
            </w:r>
          </w:p>
        </w:tc>
      </w:tr>
      <w:tr w:rsidR="004460BE" w:rsidRPr="00085A29" w14:paraId="70AABFC7" w14:textId="77777777" w:rsidTr="003D2915">
        <w:trPr>
          <w:cantSplit/>
          <w:trHeight w:val="290"/>
          <w:tblHeader/>
          <w:jc w:val="center"/>
        </w:trPr>
        <w:tc>
          <w:tcPr>
            <w:tcW w:w="1319" w:type="pct"/>
          </w:tcPr>
          <w:p w14:paraId="46AE4984"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480 à 509 jours civils</w:t>
            </w:r>
          </w:p>
        </w:tc>
        <w:tc>
          <w:tcPr>
            <w:tcW w:w="3681" w:type="pct"/>
          </w:tcPr>
          <w:p w14:paraId="2959AB16" w14:textId="19CFC15E"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20</w:t>
            </w:r>
          </w:p>
        </w:tc>
      </w:tr>
      <w:tr w:rsidR="004460BE" w:rsidRPr="00085A29" w14:paraId="6D753E82" w14:textId="77777777" w:rsidTr="003D2915">
        <w:trPr>
          <w:cantSplit/>
          <w:trHeight w:val="290"/>
          <w:tblHeader/>
          <w:jc w:val="center"/>
        </w:trPr>
        <w:tc>
          <w:tcPr>
            <w:tcW w:w="1319" w:type="pct"/>
          </w:tcPr>
          <w:p w14:paraId="618C1B6B"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 xml:space="preserve">510 à 539 jours civils </w:t>
            </w:r>
          </w:p>
        </w:tc>
        <w:tc>
          <w:tcPr>
            <w:tcW w:w="3681" w:type="pct"/>
          </w:tcPr>
          <w:p w14:paraId="10AAE50B" w14:textId="523A045F"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15</w:t>
            </w:r>
          </w:p>
        </w:tc>
      </w:tr>
      <w:tr w:rsidR="004460BE" w:rsidRPr="00085A29" w14:paraId="5A658360" w14:textId="77777777" w:rsidTr="003D2915">
        <w:trPr>
          <w:cantSplit/>
          <w:trHeight w:val="290"/>
          <w:tblHeader/>
          <w:jc w:val="center"/>
        </w:trPr>
        <w:tc>
          <w:tcPr>
            <w:tcW w:w="1319" w:type="pct"/>
          </w:tcPr>
          <w:p w14:paraId="45EBE269"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540 à 569 jours civils</w:t>
            </w:r>
          </w:p>
        </w:tc>
        <w:tc>
          <w:tcPr>
            <w:tcW w:w="3681" w:type="pct"/>
          </w:tcPr>
          <w:p w14:paraId="2DC70A40" w14:textId="16C69D76"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23</w:t>
            </w:r>
          </w:p>
        </w:tc>
      </w:tr>
      <w:tr w:rsidR="004460BE" w:rsidRPr="00085A29" w14:paraId="41EAB3F1" w14:textId="77777777" w:rsidTr="003D2915">
        <w:trPr>
          <w:cantSplit/>
          <w:trHeight w:val="290"/>
          <w:tblHeader/>
          <w:jc w:val="center"/>
        </w:trPr>
        <w:tc>
          <w:tcPr>
            <w:tcW w:w="1319" w:type="pct"/>
          </w:tcPr>
          <w:p w14:paraId="036DE8B3"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570 à 599 jours civils</w:t>
            </w:r>
          </w:p>
        </w:tc>
        <w:tc>
          <w:tcPr>
            <w:tcW w:w="3681" w:type="pct"/>
          </w:tcPr>
          <w:p w14:paraId="1DFA09CF" w14:textId="5C936F63"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20</w:t>
            </w:r>
          </w:p>
        </w:tc>
      </w:tr>
      <w:tr w:rsidR="004460BE" w:rsidRPr="00085A29" w14:paraId="3EBE873A" w14:textId="77777777" w:rsidTr="003D2915">
        <w:trPr>
          <w:cantSplit/>
          <w:trHeight w:val="290"/>
          <w:tblHeader/>
          <w:jc w:val="center"/>
        </w:trPr>
        <w:tc>
          <w:tcPr>
            <w:tcW w:w="1319" w:type="pct"/>
          </w:tcPr>
          <w:p w14:paraId="64060EF2"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600 à 629 jours civils</w:t>
            </w:r>
          </w:p>
        </w:tc>
        <w:tc>
          <w:tcPr>
            <w:tcW w:w="3681" w:type="pct"/>
          </w:tcPr>
          <w:p w14:paraId="537F02CA" w14:textId="1F2519A9"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18</w:t>
            </w:r>
          </w:p>
        </w:tc>
      </w:tr>
      <w:tr w:rsidR="004460BE" w:rsidRPr="00085A29" w14:paraId="29F9A9E8" w14:textId="77777777" w:rsidTr="003D2915">
        <w:trPr>
          <w:cantSplit/>
          <w:trHeight w:val="290"/>
          <w:tblHeader/>
          <w:jc w:val="center"/>
        </w:trPr>
        <w:tc>
          <w:tcPr>
            <w:tcW w:w="1319" w:type="pct"/>
          </w:tcPr>
          <w:p w14:paraId="2E56905E"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630 à 659 jours civils</w:t>
            </w:r>
          </w:p>
        </w:tc>
        <w:tc>
          <w:tcPr>
            <w:tcW w:w="3681" w:type="pct"/>
          </w:tcPr>
          <w:p w14:paraId="344F5191" w14:textId="6D562310"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11</w:t>
            </w:r>
          </w:p>
        </w:tc>
      </w:tr>
      <w:tr w:rsidR="004460BE" w:rsidRPr="00085A29" w14:paraId="796A82A2" w14:textId="77777777" w:rsidTr="003D2915">
        <w:trPr>
          <w:cantSplit/>
          <w:trHeight w:val="290"/>
          <w:tblHeader/>
          <w:jc w:val="center"/>
        </w:trPr>
        <w:tc>
          <w:tcPr>
            <w:tcW w:w="1319" w:type="pct"/>
          </w:tcPr>
          <w:p w14:paraId="69F80225"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660 à 689 jours civils</w:t>
            </w:r>
          </w:p>
        </w:tc>
        <w:tc>
          <w:tcPr>
            <w:tcW w:w="3681" w:type="pct"/>
          </w:tcPr>
          <w:p w14:paraId="26381399" w14:textId="1C8BFF45"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15</w:t>
            </w:r>
          </w:p>
        </w:tc>
      </w:tr>
      <w:tr w:rsidR="004460BE" w:rsidRPr="00085A29" w14:paraId="6B2516CA" w14:textId="77777777" w:rsidTr="003D2915">
        <w:trPr>
          <w:cantSplit/>
          <w:trHeight w:val="290"/>
          <w:tblHeader/>
          <w:jc w:val="center"/>
        </w:trPr>
        <w:tc>
          <w:tcPr>
            <w:tcW w:w="1319" w:type="pct"/>
          </w:tcPr>
          <w:p w14:paraId="06227093"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690 à 719 jours civils</w:t>
            </w:r>
          </w:p>
        </w:tc>
        <w:tc>
          <w:tcPr>
            <w:tcW w:w="3681" w:type="pct"/>
          </w:tcPr>
          <w:p w14:paraId="563F35C2" w14:textId="41CCC79E"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6</w:t>
            </w:r>
          </w:p>
        </w:tc>
      </w:tr>
      <w:tr w:rsidR="004460BE" w:rsidRPr="00085A29" w14:paraId="52E6C292" w14:textId="77777777" w:rsidTr="003D2915">
        <w:trPr>
          <w:cantSplit/>
          <w:trHeight w:val="302"/>
          <w:tblHeader/>
          <w:jc w:val="center"/>
        </w:trPr>
        <w:tc>
          <w:tcPr>
            <w:tcW w:w="1319" w:type="pct"/>
          </w:tcPr>
          <w:p w14:paraId="08E82E4F"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720 à 749 jours civils</w:t>
            </w:r>
          </w:p>
        </w:tc>
        <w:tc>
          <w:tcPr>
            <w:tcW w:w="3681" w:type="pct"/>
          </w:tcPr>
          <w:p w14:paraId="203CC12B" w14:textId="6812D229"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11</w:t>
            </w:r>
          </w:p>
        </w:tc>
      </w:tr>
      <w:tr w:rsidR="004460BE" w:rsidRPr="00085A29" w14:paraId="69274CCF" w14:textId="77777777" w:rsidTr="003D2915">
        <w:trPr>
          <w:cantSplit/>
          <w:trHeight w:val="290"/>
          <w:tblHeader/>
          <w:jc w:val="center"/>
        </w:trPr>
        <w:tc>
          <w:tcPr>
            <w:tcW w:w="1319" w:type="pct"/>
          </w:tcPr>
          <w:p w14:paraId="79C32DD5"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750 à 779 jours civils</w:t>
            </w:r>
          </w:p>
        </w:tc>
        <w:tc>
          <w:tcPr>
            <w:tcW w:w="3681" w:type="pct"/>
          </w:tcPr>
          <w:p w14:paraId="731DBA75" w14:textId="35155FF6"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6</w:t>
            </w:r>
          </w:p>
        </w:tc>
      </w:tr>
      <w:tr w:rsidR="004460BE" w:rsidRPr="00085A29" w14:paraId="6E4A9419" w14:textId="77777777" w:rsidTr="003D2915">
        <w:trPr>
          <w:cantSplit/>
          <w:trHeight w:val="290"/>
          <w:tblHeader/>
          <w:jc w:val="center"/>
        </w:trPr>
        <w:tc>
          <w:tcPr>
            <w:tcW w:w="1319" w:type="pct"/>
          </w:tcPr>
          <w:p w14:paraId="23BA98F0"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780 à 809 jours civils</w:t>
            </w:r>
          </w:p>
        </w:tc>
        <w:tc>
          <w:tcPr>
            <w:tcW w:w="3681" w:type="pct"/>
          </w:tcPr>
          <w:p w14:paraId="14F387B7" w14:textId="100F3DE2"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5</w:t>
            </w:r>
          </w:p>
        </w:tc>
      </w:tr>
      <w:tr w:rsidR="004460BE" w:rsidRPr="00085A29" w14:paraId="658C5CCD" w14:textId="77777777" w:rsidTr="003D2915">
        <w:trPr>
          <w:cantSplit/>
          <w:trHeight w:val="290"/>
          <w:tblHeader/>
          <w:jc w:val="center"/>
        </w:trPr>
        <w:tc>
          <w:tcPr>
            <w:tcW w:w="1319" w:type="pct"/>
          </w:tcPr>
          <w:p w14:paraId="3E2073B3"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810 à 839 jours civils</w:t>
            </w:r>
          </w:p>
        </w:tc>
        <w:tc>
          <w:tcPr>
            <w:tcW w:w="3681" w:type="pct"/>
          </w:tcPr>
          <w:p w14:paraId="65ABDA40" w14:textId="33C5AE97"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6</w:t>
            </w:r>
          </w:p>
        </w:tc>
      </w:tr>
      <w:tr w:rsidR="004460BE" w:rsidRPr="00085A29" w14:paraId="16946A33" w14:textId="77777777" w:rsidTr="003D2915">
        <w:trPr>
          <w:cantSplit/>
          <w:trHeight w:val="290"/>
          <w:tblHeader/>
          <w:jc w:val="center"/>
        </w:trPr>
        <w:tc>
          <w:tcPr>
            <w:tcW w:w="1319" w:type="pct"/>
          </w:tcPr>
          <w:p w14:paraId="54D113E4"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840 à 869 jours civils</w:t>
            </w:r>
          </w:p>
        </w:tc>
        <w:tc>
          <w:tcPr>
            <w:tcW w:w="3681" w:type="pct"/>
          </w:tcPr>
          <w:p w14:paraId="22DA4424" w14:textId="41C7A621"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10</w:t>
            </w:r>
          </w:p>
        </w:tc>
      </w:tr>
      <w:tr w:rsidR="004460BE" w:rsidRPr="00085A29" w14:paraId="694BD403" w14:textId="77777777" w:rsidTr="003D2915">
        <w:trPr>
          <w:cantSplit/>
          <w:trHeight w:val="290"/>
          <w:tblHeader/>
          <w:jc w:val="center"/>
        </w:trPr>
        <w:tc>
          <w:tcPr>
            <w:tcW w:w="1319" w:type="pct"/>
          </w:tcPr>
          <w:p w14:paraId="56BAEDA2"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870 à 899 jours civils</w:t>
            </w:r>
          </w:p>
        </w:tc>
        <w:tc>
          <w:tcPr>
            <w:tcW w:w="3681" w:type="pct"/>
          </w:tcPr>
          <w:p w14:paraId="5DB2D6F0" w14:textId="233D2093"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1</w:t>
            </w:r>
          </w:p>
        </w:tc>
      </w:tr>
      <w:tr w:rsidR="004460BE" w:rsidRPr="00085A29" w14:paraId="66C6FD6A" w14:textId="77777777" w:rsidTr="003D2915">
        <w:trPr>
          <w:cantSplit/>
          <w:trHeight w:val="290"/>
          <w:tblHeader/>
          <w:jc w:val="center"/>
        </w:trPr>
        <w:tc>
          <w:tcPr>
            <w:tcW w:w="1319" w:type="pct"/>
          </w:tcPr>
          <w:p w14:paraId="1D115ABF"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900 à 929 jours civils</w:t>
            </w:r>
          </w:p>
        </w:tc>
        <w:tc>
          <w:tcPr>
            <w:tcW w:w="3681" w:type="pct"/>
          </w:tcPr>
          <w:p w14:paraId="006E17BE" w14:textId="7B17600B"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4</w:t>
            </w:r>
          </w:p>
        </w:tc>
      </w:tr>
      <w:tr w:rsidR="004460BE" w:rsidRPr="00085A29" w14:paraId="79EAE63B" w14:textId="77777777" w:rsidTr="003D2915">
        <w:trPr>
          <w:cantSplit/>
          <w:trHeight w:val="290"/>
          <w:tblHeader/>
          <w:jc w:val="center"/>
        </w:trPr>
        <w:tc>
          <w:tcPr>
            <w:tcW w:w="1319" w:type="pct"/>
          </w:tcPr>
          <w:p w14:paraId="7AF4CACF"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930 à 959 jours civils</w:t>
            </w:r>
          </w:p>
        </w:tc>
        <w:tc>
          <w:tcPr>
            <w:tcW w:w="3681" w:type="pct"/>
          </w:tcPr>
          <w:p w14:paraId="5B0836AF" w14:textId="4ACC927C"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5</w:t>
            </w:r>
          </w:p>
        </w:tc>
      </w:tr>
      <w:tr w:rsidR="004460BE" w:rsidRPr="00085A29" w14:paraId="451D71C4" w14:textId="77777777" w:rsidTr="003D2915">
        <w:trPr>
          <w:cantSplit/>
          <w:trHeight w:val="290"/>
          <w:tblHeader/>
          <w:jc w:val="center"/>
        </w:trPr>
        <w:tc>
          <w:tcPr>
            <w:tcW w:w="1319" w:type="pct"/>
          </w:tcPr>
          <w:p w14:paraId="438F6377" w14:textId="77777777" w:rsidR="004460BE" w:rsidRPr="00EC42F7" w:rsidRDefault="004460BE" w:rsidP="004460BE">
            <w:pPr>
              <w:autoSpaceDE w:val="0"/>
              <w:autoSpaceDN w:val="0"/>
              <w:adjustRightInd w:val="0"/>
              <w:rPr>
                <w:rFonts w:asciiTheme="minorHAnsi" w:hAnsiTheme="minorHAnsi" w:cstheme="minorHAnsi"/>
                <w:sz w:val="22"/>
                <w:szCs w:val="22"/>
                <w:lang w:val="fr-CA"/>
              </w:rPr>
            </w:pPr>
            <w:r w:rsidRPr="00EC42F7">
              <w:rPr>
                <w:rFonts w:asciiTheme="minorHAnsi" w:hAnsiTheme="minorHAnsi" w:cstheme="minorHAnsi"/>
                <w:sz w:val="22"/>
                <w:szCs w:val="22"/>
                <w:lang w:val="fr-CA"/>
              </w:rPr>
              <w:t>960 à 989 jours civils</w:t>
            </w:r>
          </w:p>
        </w:tc>
        <w:tc>
          <w:tcPr>
            <w:tcW w:w="3681" w:type="pct"/>
          </w:tcPr>
          <w:p w14:paraId="17923B2B" w14:textId="251C8F11" w:rsidR="004460BE" w:rsidRPr="00EC42F7" w:rsidRDefault="004460BE" w:rsidP="004460BE">
            <w:pPr>
              <w:autoSpaceDE w:val="0"/>
              <w:autoSpaceDN w:val="0"/>
              <w:adjustRightInd w:val="0"/>
              <w:jc w:val="center"/>
              <w:rPr>
                <w:rFonts w:asciiTheme="minorHAnsi" w:hAnsiTheme="minorHAnsi" w:cstheme="minorHAnsi"/>
                <w:sz w:val="22"/>
                <w:szCs w:val="22"/>
                <w:lang w:val="fr-CA"/>
              </w:rPr>
            </w:pPr>
            <w:r w:rsidRPr="00EC42F7">
              <w:rPr>
                <w:rFonts w:asciiTheme="minorHAnsi" w:hAnsiTheme="minorHAnsi" w:cstheme="minorHAnsi"/>
                <w:sz w:val="22"/>
                <w:szCs w:val="22"/>
                <w:lang w:val="fr-CA"/>
              </w:rPr>
              <w:t>4</w:t>
            </w:r>
          </w:p>
        </w:tc>
      </w:tr>
      <w:tr w:rsidR="004460BE" w:rsidRPr="00085A29" w14:paraId="65C3AF23" w14:textId="77777777" w:rsidTr="003D2915">
        <w:trPr>
          <w:cantSplit/>
          <w:trHeight w:val="290"/>
          <w:tblHeader/>
          <w:jc w:val="center"/>
        </w:trPr>
        <w:tc>
          <w:tcPr>
            <w:tcW w:w="1319" w:type="pct"/>
          </w:tcPr>
          <w:p w14:paraId="15A24DD6" w14:textId="77777777" w:rsidR="004460BE" w:rsidRPr="00085A29" w:rsidRDefault="004460BE" w:rsidP="004460BE">
            <w:pPr>
              <w:autoSpaceDE w:val="0"/>
              <w:autoSpaceDN w:val="0"/>
              <w:adjustRightInd w:val="0"/>
              <w:rPr>
                <w:rFonts w:asciiTheme="minorHAnsi" w:hAnsiTheme="minorHAnsi" w:cstheme="minorHAnsi"/>
                <w:sz w:val="22"/>
                <w:szCs w:val="22"/>
                <w:lang w:val="fr-CA"/>
              </w:rPr>
            </w:pPr>
            <w:r w:rsidRPr="00085A29">
              <w:rPr>
                <w:rFonts w:asciiTheme="minorHAnsi" w:hAnsiTheme="minorHAnsi" w:cstheme="minorHAnsi"/>
                <w:sz w:val="22"/>
                <w:szCs w:val="22"/>
                <w:lang w:val="fr-CA"/>
              </w:rPr>
              <w:t>Plus de 990 jours civils</w:t>
            </w:r>
          </w:p>
        </w:tc>
        <w:tc>
          <w:tcPr>
            <w:tcW w:w="3681" w:type="pct"/>
          </w:tcPr>
          <w:p w14:paraId="462A0603" w14:textId="53A947DB" w:rsidR="004460BE" w:rsidRPr="00085A29" w:rsidRDefault="004460BE" w:rsidP="004460BE">
            <w:pPr>
              <w:autoSpaceDE w:val="0"/>
              <w:autoSpaceDN w:val="0"/>
              <w:adjustRightInd w:val="0"/>
              <w:jc w:val="center"/>
              <w:rPr>
                <w:rFonts w:asciiTheme="minorHAnsi" w:hAnsiTheme="minorHAnsi" w:cstheme="minorHAnsi"/>
                <w:sz w:val="22"/>
                <w:szCs w:val="22"/>
                <w:lang w:val="fr-CA"/>
              </w:rPr>
            </w:pPr>
            <w:r w:rsidRPr="00085A29">
              <w:rPr>
                <w:rFonts w:asciiTheme="minorHAnsi" w:hAnsiTheme="minorHAnsi" w:cstheme="minorHAnsi"/>
                <w:sz w:val="22"/>
                <w:szCs w:val="22"/>
                <w:lang w:val="fr-CA"/>
              </w:rPr>
              <w:t>43</w:t>
            </w:r>
          </w:p>
        </w:tc>
      </w:tr>
    </w:tbl>
    <w:p w14:paraId="73A4B24A" w14:textId="77777777" w:rsidR="0008073E" w:rsidRPr="00085A29" w:rsidRDefault="0008073E" w:rsidP="0008073E">
      <w:pPr>
        <w:rPr>
          <w:rFonts w:asciiTheme="minorHAnsi" w:hAnsiTheme="minorHAnsi" w:cstheme="minorHAnsi"/>
          <w:sz w:val="22"/>
          <w:szCs w:val="22"/>
          <w:lang w:val="fr-CA"/>
        </w:rPr>
      </w:pPr>
    </w:p>
    <w:p w14:paraId="266AA0FC" w14:textId="5AD9E14A" w:rsidR="0008073E" w:rsidRPr="00085A29" w:rsidRDefault="0008073E" w:rsidP="0008073E">
      <w:pPr>
        <w:rPr>
          <w:rFonts w:asciiTheme="minorHAnsi" w:hAnsiTheme="minorHAnsi" w:cstheme="minorHAnsi"/>
          <w:sz w:val="22"/>
          <w:szCs w:val="22"/>
          <w:lang w:val="fr-CA"/>
        </w:rPr>
        <w:sectPr w:rsidR="0008073E" w:rsidRPr="00085A29" w:rsidSect="003D2915">
          <w:pgSz w:w="12240" w:h="15840" w:code="1"/>
          <w:pgMar w:top="720" w:right="720" w:bottom="720" w:left="720" w:header="709" w:footer="284" w:gutter="0"/>
          <w:cols w:space="708"/>
          <w:titlePg/>
          <w:docGrid w:linePitch="360"/>
        </w:sectPr>
      </w:pPr>
    </w:p>
    <w:p w14:paraId="6EDABA0D" w14:textId="39DC2058" w:rsidR="003D2915" w:rsidRPr="00085A29" w:rsidRDefault="003D2915" w:rsidP="003D2915">
      <w:pPr>
        <w:pStyle w:val="Heading1"/>
        <w:spacing w:before="120" w:after="120"/>
        <w:rPr>
          <w:sz w:val="40"/>
          <w:szCs w:val="40"/>
          <w:lang w:val="fr-CA"/>
        </w:rPr>
      </w:pPr>
      <w:bookmarkStart w:id="4" w:name="_Durée_de_dotation"/>
      <w:bookmarkEnd w:id="4"/>
      <w:r w:rsidRPr="00085A29">
        <w:rPr>
          <w:sz w:val="40"/>
          <w:szCs w:val="40"/>
          <w:lang w:val="fr-CA"/>
        </w:rPr>
        <w:lastRenderedPageBreak/>
        <w:t>Durée de dotation externe</w:t>
      </w:r>
    </w:p>
    <w:p w14:paraId="211D2ED5" w14:textId="7F2EA499" w:rsidR="003D2915" w:rsidRPr="00085A29" w:rsidRDefault="00FD1620" w:rsidP="003D2915">
      <w:pPr>
        <w:keepNext/>
        <w:ind w:left="360"/>
        <w:rPr>
          <w:lang w:val="fr-CA"/>
        </w:rPr>
      </w:pPr>
      <w:r w:rsidRPr="00085A29">
        <w:rPr>
          <w:noProof/>
          <w:lang w:val="fr-CA" w:eastAsia="en-CA"/>
        </w:rPr>
        <w:drawing>
          <wp:inline distT="0" distB="0" distL="0" distR="0" wp14:anchorId="5E0D68E0" wp14:editId="52B98E6F">
            <wp:extent cx="5648400" cy="3049200"/>
            <wp:effectExtent l="0" t="0" r="9525" b="18415"/>
            <wp:docPr id="21" name="Chart 21" descr="Durée de dotation externe Médiane pour la fonction publique = 203 jour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3D2915" w:rsidRPr="00085A29">
        <w:rPr>
          <w:noProof/>
          <w:lang w:val="fr-CA" w:eastAsia="en-CA"/>
        </w:rPr>
        <mc:AlternateContent>
          <mc:Choice Requires="wps">
            <w:drawing>
              <wp:inline distT="0" distB="0" distL="0" distR="0" wp14:anchorId="3B6D7340" wp14:editId="70EB26DA">
                <wp:extent cx="5648400" cy="3049200"/>
                <wp:effectExtent l="0" t="0" r="28575" b="18415"/>
                <wp:docPr id="14" name="Text Box 14" descr="Les données sont insuffisantes pour fournir des résultats sur la durée des processus de dotation externe pour l’Office national de l’énergie." title="Durée du processus de dotation externe pendant l’exercice financier 2018-2019 pour l'organisme concerné"/>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612E21E6" w14:textId="77777777" w:rsidR="00222A7E" w:rsidRPr="003D2915" w:rsidRDefault="00222A7E" w:rsidP="003D2915">
                            <w:pPr>
                              <w:spacing w:after="120"/>
                              <w:rPr>
                                <w:rFonts w:asciiTheme="minorHAnsi" w:hAnsiTheme="minorHAnsi" w:cstheme="minorHAnsi"/>
                                <w:sz w:val="22"/>
                                <w:szCs w:val="22"/>
                                <w:lang w:val="fr-CA"/>
                              </w:rPr>
                            </w:pPr>
                            <w:r w:rsidRPr="003D2915">
                              <w:rPr>
                                <w:rFonts w:asciiTheme="minorHAnsi" w:hAnsiTheme="minorHAnsi" w:cstheme="minorHAnsi"/>
                                <w:sz w:val="22"/>
                                <w:szCs w:val="22"/>
                                <w:lang w:val="fr-CA"/>
                              </w:rPr>
                              <w:t>Durée de dotation externe</w:t>
                            </w:r>
                          </w:p>
                          <w:p w14:paraId="41D76446" w14:textId="77777777" w:rsidR="00222A7E" w:rsidRPr="003D2915" w:rsidRDefault="00222A7E" w:rsidP="003D2915">
                            <w:pPr>
                              <w:pStyle w:val="ListParagraph"/>
                              <w:ind w:left="360"/>
                              <w:rPr>
                                <w:rFonts w:asciiTheme="minorHAnsi" w:hAnsiTheme="minorHAnsi" w:cstheme="minorHAnsi"/>
                                <w:sz w:val="22"/>
                                <w:szCs w:val="18"/>
                                <w:lang w:val="fr-CA"/>
                              </w:rPr>
                            </w:pPr>
                            <w:r w:rsidRPr="003D2915">
                              <w:rPr>
                                <w:rFonts w:asciiTheme="minorHAnsi" w:hAnsiTheme="minorHAnsi" w:cstheme="minorHAnsi"/>
                                <w:sz w:val="22"/>
                                <w:szCs w:val="18"/>
                                <w:lang w:val="fr-CA"/>
                              </w:rPr>
                              <w:t>Les données sont insuffisantes pour fournir des résultats sur la durée des processus de dotation externe pour l’Office national de l’énergie.</w:t>
                            </w:r>
                          </w:p>
                        </w:txbxContent>
                      </wps:txbx>
                      <wps:bodyPr rot="0" vert="horz" wrap="square" lIns="91440" tIns="45720" rIns="91440" bIns="45720" anchor="t" anchorCtr="0">
                        <a:noAutofit/>
                      </wps:bodyPr>
                    </wps:wsp>
                  </a:graphicData>
                </a:graphic>
              </wp:inline>
            </w:drawing>
          </mc:Choice>
          <mc:Fallback>
            <w:pict>
              <v:shape w14:anchorId="3B6D7340" id="Text Box 14" o:spid="_x0000_s1027" type="#_x0000_t202" alt="Title: Durée du processus de dotation externe pendant l’exercice financier 2018-2019 pour l'organisme concerné - Description: Les données sont insuffisantes pour fournir des résultats sur la durée des processus de dotation externe pour l’Office national de l’énergie."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">
                <v:textbox>
                  <w:txbxContent>
                    <w:p w14:paraId="612E21E6" w14:textId="77777777" w:rsidR="00222A7E" w:rsidRPr="003D2915" w:rsidRDefault="00222A7E" w:rsidP="003D2915">
                      <w:pPr>
                        <w:spacing w:after="120"/>
                        <w:rPr>
                          <w:rFonts w:asciiTheme="minorHAnsi" w:hAnsiTheme="minorHAnsi" w:cstheme="minorHAnsi"/>
                          <w:sz w:val="22"/>
                          <w:szCs w:val="22"/>
                          <w:lang w:val="fr-CA"/>
                        </w:rPr>
                      </w:pPr>
                      <w:r w:rsidRPr="003D2915">
                        <w:rPr>
                          <w:rFonts w:asciiTheme="minorHAnsi" w:hAnsiTheme="minorHAnsi" w:cstheme="minorHAnsi"/>
                          <w:sz w:val="22"/>
                          <w:szCs w:val="22"/>
                          <w:lang w:val="fr-CA"/>
                        </w:rPr>
                        <w:t>Durée de dotation externe</w:t>
                      </w:r>
                    </w:p>
                    <w:p w14:paraId="41D76446" w14:textId="77777777" w:rsidR="00222A7E" w:rsidRPr="003D2915" w:rsidRDefault="00222A7E" w:rsidP="003D2915">
                      <w:pPr>
                        <w:pStyle w:val="ListParagraph"/>
                        <w:ind w:left="360"/>
                        <w:rPr>
                          <w:rFonts w:asciiTheme="minorHAnsi" w:hAnsiTheme="minorHAnsi" w:cstheme="minorHAnsi"/>
                          <w:sz w:val="22"/>
                          <w:szCs w:val="18"/>
                          <w:lang w:val="fr-CA"/>
                        </w:rPr>
                      </w:pPr>
                      <w:r w:rsidRPr="003D2915">
                        <w:rPr>
                          <w:rFonts w:asciiTheme="minorHAnsi" w:hAnsiTheme="minorHAnsi" w:cstheme="minorHAnsi"/>
                          <w:sz w:val="22"/>
                          <w:szCs w:val="18"/>
                          <w:lang w:val="fr-CA"/>
                        </w:rPr>
                        <w:t>Les données sont insuffisantes pour fournir des résultats sur la durée des processus de dotation externe pour l’Office national de l’énergie.</w:t>
                      </w:r>
                    </w:p>
                  </w:txbxContent>
                </v:textbox>
                <w10:anchorlock/>
              </v:shape>
            </w:pict>
          </mc:Fallback>
        </mc:AlternateContent>
      </w:r>
    </w:p>
    <w:p w14:paraId="779A7598" w14:textId="406446D3" w:rsidR="003D2915" w:rsidRPr="00085A29" w:rsidRDefault="003D2915" w:rsidP="007D61E0">
      <w:pPr>
        <w:pStyle w:val="Caption"/>
        <w:spacing w:after="0"/>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Figure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Figure \* ARABIC </w:instrText>
      </w:r>
      <w:r w:rsidRPr="00085A29">
        <w:rPr>
          <w:rFonts w:asciiTheme="minorHAnsi" w:hAnsiTheme="minorHAnsi" w:cstheme="minorHAnsi"/>
          <w:i w:val="0"/>
          <w:iCs w:val="0"/>
          <w:color w:val="auto"/>
          <w:lang w:val="fr-CA"/>
        </w:rPr>
        <w:fldChar w:fldCharType="separate"/>
      </w:r>
      <w:r w:rsidRPr="00085A29">
        <w:rPr>
          <w:rFonts w:asciiTheme="minorHAnsi" w:hAnsiTheme="minorHAnsi" w:cstheme="minorHAnsi"/>
          <w:i w:val="0"/>
          <w:iCs w:val="0"/>
          <w:noProof/>
          <w:color w:val="auto"/>
          <w:lang w:val="fr-CA"/>
        </w:rPr>
        <w:t>13</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Durée de dotation externe</w:t>
      </w:r>
      <w:r w:rsidR="007D61E0" w:rsidRPr="00085A29">
        <w:rPr>
          <w:rFonts w:asciiTheme="minorHAnsi" w:hAnsiTheme="minorHAnsi" w:cstheme="minorHAnsi"/>
          <w:i w:val="0"/>
          <w:iCs w:val="0"/>
          <w:color w:val="auto"/>
          <w:lang w:val="fr-CA"/>
        </w:rPr>
        <w:t xml:space="preserve"> médiane pour la fonction publique = 203 jours, 2019-2020</w:t>
      </w:r>
    </w:p>
    <w:p w14:paraId="35CCDB9B" w14:textId="14684740" w:rsidR="003D2915" w:rsidRPr="00085A29" w:rsidRDefault="00AF0A32" w:rsidP="003D2915">
      <w:pPr>
        <w:numPr>
          <w:ilvl w:val="1"/>
          <w:numId w:val="0"/>
        </w:numPr>
        <w:spacing w:before="240" w:after="120"/>
        <w:rPr>
          <w:rFonts w:asciiTheme="minorHAnsi" w:eastAsiaTheme="minorHAnsi" w:hAnsiTheme="minorHAnsi" w:cstheme="minorHAnsi"/>
          <w:sz w:val="22"/>
          <w:szCs w:val="22"/>
          <w:lang w:val="fr-CA"/>
        </w:rPr>
      </w:pPr>
      <w:hyperlink w:anchor="Durée_de_dotation_externe" w:history="1">
        <w:r w:rsidR="003D2915" w:rsidRPr="00085A29">
          <w:rPr>
            <w:rStyle w:val="Hyperlink"/>
            <w:rFonts w:asciiTheme="minorHAnsi" w:eastAsiaTheme="minorHAnsi" w:hAnsiTheme="minorHAnsi" w:cstheme="minorHAnsi"/>
            <w:sz w:val="22"/>
            <w:szCs w:val="22"/>
            <w:lang w:val="fr-CA"/>
          </w:rPr>
          <w:t>Tableau des données sur la durée de dotation interne disponible ici</w:t>
        </w:r>
      </w:hyperlink>
      <w:r w:rsidR="003D2915" w:rsidRPr="00085A29">
        <w:rPr>
          <w:rFonts w:asciiTheme="minorHAnsi" w:eastAsiaTheme="minorHAnsi" w:hAnsiTheme="minorHAnsi" w:cstheme="minorHAnsi"/>
          <w:sz w:val="22"/>
          <w:szCs w:val="22"/>
          <w:lang w:val="fr-CA"/>
        </w:rPr>
        <w:t>.</w:t>
      </w:r>
    </w:p>
    <w:p w14:paraId="19821CB0" w14:textId="77777777" w:rsidR="007D61E0" w:rsidRPr="00085A29" w:rsidRDefault="007D61E0" w:rsidP="0008073E">
      <w:pPr>
        <w:rPr>
          <w:rFonts w:asciiTheme="minorHAnsi" w:hAnsiTheme="minorHAnsi" w:cstheme="minorHAnsi"/>
          <w:sz w:val="22"/>
          <w:szCs w:val="22"/>
          <w:lang w:val="fr-CA" w:eastAsia="en-CA"/>
        </w:rPr>
        <w:sectPr w:rsidR="007D61E0" w:rsidRPr="00085A29" w:rsidSect="003D2915">
          <w:pgSz w:w="20160" w:h="12240" w:orient="landscape" w:code="5"/>
          <w:pgMar w:top="720" w:right="720" w:bottom="720" w:left="720" w:header="709" w:footer="284" w:gutter="0"/>
          <w:cols w:space="708"/>
          <w:titlePg/>
          <w:docGrid w:linePitch="360"/>
        </w:sectPr>
      </w:pPr>
    </w:p>
    <w:p w14:paraId="687F1B60" w14:textId="4C1D4237" w:rsidR="0008073E" w:rsidRPr="00085A29" w:rsidRDefault="0008073E" w:rsidP="007D61E0">
      <w:pPr>
        <w:spacing w:after="120"/>
        <w:rPr>
          <w:rFonts w:asciiTheme="minorHAnsi" w:hAnsiTheme="minorHAnsi" w:cstheme="minorHAnsi"/>
          <w:sz w:val="22"/>
          <w:szCs w:val="22"/>
          <w:lang w:val="fr-CA" w:eastAsia="en-CA"/>
        </w:rPr>
      </w:pPr>
      <w:r w:rsidRPr="00085A29">
        <w:rPr>
          <w:rFonts w:asciiTheme="minorHAnsi" w:hAnsiTheme="minorHAnsi" w:cstheme="minorHAnsi"/>
          <w:sz w:val="22"/>
          <w:szCs w:val="22"/>
          <w:lang w:val="fr-CA" w:eastAsia="en-CA"/>
        </w:rPr>
        <w:t>La durée de dotation externe est calculée en tant que le nombre de jours civils entre la date d’ouverture de l’annonce et la date estimée de la première embauche externe</w:t>
      </w:r>
    </w:p>
    <w:p w14:paraId="2B0FFC52" w14:textId="0A371DE5" w:rsidR="007D61E0" w:rsidRPr="00085A29" w:rsidRDefault="007D61E0" w:rsidP="007D61E0">
      <w:pPr>
        <w:rPr>
          <w:rFonts w:asciiTheme="minorHAnsi" w:hAnsiTheme="minorHAnsi" w:cstheme="minorHAnsi"/>
          <w:sz w:val="22"/>
          <w:szCs w:val="22"/>
          <w:lang w:val="fr-CA"/>
        </w:rPr>
      </w:pPr>
      <w:r w:rsidRPr="00085A29">
        <w:rPr>
          <w:rFonts w:asciiTheme="minorHAnsi" w:hAnsiTheme="minorHAnsi" w:cstheme="minorHAnsi"/>
          <w:sz w:val="22"/>
          <w:szCs w:val="22"/>
          <w:lang w:val="fr-CA" w:eastAsia="en-CA"/>
        </w:rPr>
        <w:t xml:space="preserve">La durée médiane de dotation externe pour la fonction publique (organisations assujetties à la </w:t>
      </w:r>
      <w:r w:rsidRPr="00085A29">
        <w:rPr>
          <w:rStyle w:val="Emphasis"/>
          <w:rFonts w:asciiTheme="minorHAnsi" w:hAnsiTheme="minorHAnsi" w:cstheme="minorHAnsi"/>
          <w:sz w:val="22"/>
          <w:szCs w:val="18"/>
          <w:lang w:val="fr-CA"/>
        </w:rPr>
        <w:t>Loi sur l’emploi dans la fonction publique</w:t>
      </w:r>
      <w:r w:rsidRPr="00085A29">
        <w:rPr>
          <w:rFonts w:asciiTheme="minorHAnsi" w:hAnsiTheme="minorHAnsi" w:cstheme="minorHAnsi"/>
          <w:i/>
          <w:sz w:val="20"/>
          <w:lang w:val="fr-CA" w:eastAsia="en-CA"/>
        </w:rPr>
        <w:t xml:space="preserve"> </w:t>
      </w:r>
      <w:r w:rsidRPr="00085A29">
        <w:rPr>
          <w:rFonts w:asciiTheme="minorHAnsi" w:hAnsiTheme="minorHAnsi" w:cstheme="minorHAnsi"/>
          <w:sz w:val="22"/>
          <w:szCs w:val="22"/>
          <w:lang w:val="fr-CA" w:eastAsia="en-CA"/>
        </w:rPr>
        <w:t>(LEFP)) pour l’exercice financier 2019 à 2020 est 203 jours</w:t>
      </w:r>
    </w:p>
    <w:p w14:paraId="40199882" w14:textId="529D0C3E" w:rsidR="0008073E" w:rsidRPr="00085A29" w:rsidRDefault="0008073E" w:rsidP="007D61E0">
      <w:pPr>
        <w:spacing w:after="120"/>
        <w:rPr>
          <w:rStyle w:val="Strong"/>
          <w:rFonts w:asciiTheme="minorHAnsi" w:hAnsiTheme="minorHAnsi" w:cstheme="minorHAnsi"/>
          <w:sz w:val="22"/>
          <w:szCs w:val="18"/>
          <w:lang w:val="fr-CA"/>
        </w:rPr>
      </w:pPr>
      <w:r w:rsidRPr="00085A29">
        <w:rPr>
          <w:rStyle w:val="Strong"/>
          <w:rFonts w:asciiTheme="minorHAnsi" w:hAnsiTheme="minorHAnsi" w:cstheme="minorHAnsi"/>
          <w:sz w:val="22"/>
          <w:szCs w:val="18"/>
          <w:lang w:val="fr-CA"/>
        </w:rPr>
        <w:t>Durée de dotation externe pour l’exercice financier 20</w:t>
      </w:r>
      <w:r w:rsidR="004460BE" w:rsidRPr="00085A29">
        <w:rPr>
          <w:rStyle w:val="Strong"/>
          <w:rFonts w:asciiTheme="minorHAnsi" w:hAnsiTheme="minorHAnsi" w:cstheme="minorHAnsi"/>
          <w:sz w:val="22"/>
          <w:szCs w:val="18"/>
          <w:lang w:val="fr-CA"/>
        </w:rPr>
        <w:t>19</w:t>
      </w:r>
      <w:r w:rsidRPr="00085A29">
        <w:rPr>
          <w:rStyle w:val="Strong"/>
          <w:rFonts w:asciiTheme="minorHAnsi" w:hAnsiTheme="minorHAnsi" w:cstheme="minorHAnsi"/>
          <w:sz w:val="22"/>
          <w:szCs w:val="18"/>
          <w:lang w:val="fr-CA"/>
        </w:rPr>
        <w:t xml:space="preserve"> à 20</w:t>
      </w:r>
      <w:r w:rsidR="004460BE" w:rsidRPr="00085A29">
        <w:rPr>
          <w:rStyle w:val="Strong"/>
          <w:rFonts w:asciiTheme="minorHAnsi" w:hAnsiTheme="minorHAnsi" w:cstheme="minorHAnsi"/>
          <w:sz w:val="22"/>
          <w:szCs w:val="18"/>
          <w:lang w:val="fr-CA"/>
        </w:rPr>
        <w:t>20</w:t>
      </w:r>
    </w:p>
    <w:p w14:paraId="608F1B72" w14:textId="77777777" w:rsidR="0008073E" w:rsidRPr="00085A29" w:rsidRDefault="0008073E" w:rsidP="004460BE">
      <w:pPr>
        <w:rPr>
          <w:rFonts w:asciiTheme="minorHAnsi" w:hAnsiTheme="minorHAnsi" w:cstheme="minorHAnsi"/>
          <w:sz w:val="22"/>
          <w:szCs w:val="22"/>
          <w:lang w:val="fr-CA"/>
        </w:rPr>
      </w:pPr>
      <w:r w:rsidRPr="00085A29">
        <w:rPr>
          <w:rFonts w:asciiTheme="minorHAnsi" w:hAnsiTheme="minorHAnsi" w:cstheme="minorHAnsi"/>
          <w:sz w:val="22"/>
          <w:szCs w:val="22"/>
          <w:lang w:val="fr-CA"/>
        </w:rPr>
        <w:t>Les données sont insuffisantes pour fournir des résultats sur la durée des processus de dotation externe pour la Régie de l’énergie du Canada</w:t>
      </w:r>
    </w:p>
    <w:p w14:paraId="3FAC8EE7" w14:textId="77777777" w:rsidR="007D61E0" w:rsidRPr="00085A29" w:rsidRDefault="007D61E0" w:rsidP="0008073E">
      <w:pPr>
        <w:rPr>
          <w:rFonts w:asciiTheme="minorHAnsi" w:hAnsiTheme="minorHAnsi" w:cstheme="minorHAnsi"/>
          <w:sz w:val="22"/>
          <w:szCs w:val="22"/>
          <w:lang w:val="fr-CA"/>
        </w:rPr>
        <w:sectPr w:rsidR="007D61E0" w:rsidRPr="00085A29" w:rsidSect="007D61E0">
          <w:type w:val="continuous"/>
          <w:pgSz w:w="20160" w:h="12240" w:orient="landscape" w:code="5"/>
          <w:pgMar w:top="720" w:right="720" w:bottom="720" w:left="720" w:header="709" w:footer="284" w:gutter="0"/>
          <w:cols w:num="2" w:space="708"/>
          <w:titlePg/>
          <w:docGrid w:linePitch="360"/>
        </w:sectPr>
      </w:pPr>
    </w:p>
    <w:p w14:paraId="30B89F98" w14:textId="77777777" w:rsidR="0008073E" w:rsidRPr="00085A29" w:rsidRDefault="0008073E" w:rsidP="00A6338F">
      <w:pPr>
        <w:pStyle w:val="ListParagraph"/>
        <w:numPr>
          <w:ilvl w:val="0"/>
          <w:numId w:val="29"/>
        </w:numPr>
        <w:spacing w:after="0"/>
        <w:ind w:left="360"/>
        <w:rPr>
          <w:rFonts w:asciiTheme="minorHAnsi" w:hAnsiTheme="minorHAnsi" w:cstheme="minorHAnsi"/>
          <w:sz w:val="22"/>
          <w:szCs w:val="22"/>
          <w:lang w:val="fr-CA"/>
        </w:rPr>
        <w:sectPr w:rsidR="0008073E" w:rsidRPr="00085A29" w:rsidSect="007D61E0">
          <w:type w:val="continuous"/>
          <w:pgSz w:w="20160" w:h="12240" w:orient="landscape" w:code="5"/>
          <w:pgMar w:top="720" w:right="720" w:bottom="720" w:left="720" w:header="709" w:footer="284" w:gutter="0"/>
          <w:cols w:space="708"/>
          <w:titlePg/>
          <w:docGrid w:linePitch="360"/>
        </w:sectPr>
      </w:pPr>
    </w:p>
    <w:p w14:paraId="299CC9F5" w14:textId="3F3F2D0E" w:rsidR="0008073E" w:rsidRPr="00085A29" w:rsidRDefault="007D61E0" w:rsidP="007D61E0">
      <w:pPr>
        <w:pStyle w:val="Heading1"/>
        <w:spacing w:before="120" w:after="120"/>
        <w:rPr>
          <w:sz w:val="40"/>
          <w:szCs w:val="40"/>
          <w:lang w:val="fr-CA"/>
        </w:rPr>
      </w:pPr>
      <w:r w:rsidRPr="00085A29">
        <w:rPr>
          <w:sz w:val="40"/>
          <w:szCs w:val="40"/>
          <w:lang w:val="fr-CA"/>
        </w:rPr>
        <w:lastRenderedPageBreak/>
        <w:t>Durée de dotation externe</w:t>
      </w:r>
    </w:p>
    <w:p w14:paraId="56EA851C" w14:textId="64EE54A5" w:rsidR="007D61E0" w:rsidRPr="00085A29" w:rsidRDefault="007D61E0" w:rsidP="007D61E0">
      <w:pPr>
        <w:pStyle w:val="Caption"/>
        <w:keepNext/>
        <w:spacing w:after="0"/>
        <w:rPr>
          <w:rFonts w:asciiTheme="minorHAnsi" w:hAnsiTheme="minorHAnsi" w:cstheme="minorHAnsi"/>
          <w:i w:val="0"/>
          <w:iCs w:val="0"/>
          <w:color w:val="auto"/>
          <w:lang w:val="fr-CA"/>
        </w:rPr>
      </w:pPr>
      <w:r w:rsidRPr="00085A29">
        <w:rPr>
          <w:rFonts w:asciiTheme="minorHAnsi" w:hAnsiTheme="minorHAnsi" w:cstheme="minorHAnsi"/>
          <w:i w:val="0"/>
          <w:iCs w:val="0"/>
          <w:color w:val="auto"/>
          <w:lang w:val="fr-CA"/>
        </w:rPr>
        <w:t xml:space="preserve">Tableau </w:t>
      </w:r>
      <w:r w:rsidRPr="00085A29">
        <w:rPr>
          <w:rFonts w:asciiTheme="minorHAnsi" w:hAnsiTheme="minorHAnsi" w:cstheme="minorHAnsi"/>
          <w:i w:val="0"/>
          <w:iCs w:val="0"/>
          <w:color w:val="auto"/>
          <w:lang w:val="fr-CA"/>
        </w:rPr>
        <w:fldChar w:fldCharType="begin"/>
      </w:r>
      <w:r w:rsidRPr="00085A29">
        <w:rPr>
          <w:rFonts w:asciiTheme="minorHAnsi" w:hAnsiTheme="minorHAnsi" w:cstheme="minorHAnsi"/>
          <w:i w:val="0"/>
          <w:iCs w:val="0"/>
          <w:color w:val="auto"/>
          <w:lang w:val="fr-CA"/>
        </w:rPr>
        <w:instrText xml:space="preserve"> SEQ Tableau \* ARABIC </w:instrText>
      </w:r>
      <w:r w:rsidRPr="00085A29">
        <w:rPr>
          <w:rFonts w:asciiTheme="minorHAnsi" w:hAnsiTheme="minorHAnsi" w:cstheme="minorHAnsi"/>
          <w:i w:val="0"/>
          <w:iCs w:val="0"/>
          <w:color w:val="auto"/>
          <w:lang w:val="fr-CA"/>
        </w:rPr>
        <w:fldChar w:fldCharType="separate"/>
      </w:r>
      <w:r w:rsidRPr="00085A29">
        <w:rPr>
          <w:rFonts w:asciiTheme="minorHAnsi" w:hAnsiTheme="minorHAnsi" w:cstheme="minorHAnsi"/>
          <w:i w:val="0"/>
          <w:iCs w:val="0"/>
          <w:noProof/>
          <w:color w:val="auto"/>
          <w:lang w:val="fr-CA"/>
        </w:rPr>
        <w:t>16</w:t>
      </w:r>
      <w:r w:rsidRPr="00085A29">
        <w:rPr>
          <w:rFonts w:asciiTheme="minorHAnsi" w:hAnsiTheme="minorHAnsi" w:cstheme="minorHAnsi"/>
          <w:i w:val="0"/>
          <w:iCs w:val="0"/>
          <w:color w:val="auto"/>
          <w:lang w:val="fr-CA"/>
        </w:rPr>
        <w:fldChar w:fldCharType="end"/>
      </w:r>
      <w:r w:rsidRPr="00085A29">
        <w:rPr>
          <w:rFonts w:asciiTheme="minorHAnsi" w:hAnsiTheme="minorHAnsi" w:cstheme="minorHAnsi"/>
          <w:i w:val="0"/>
          <w:iCs w:val="0"/>
          <w:color w:val="auto"/>
          <w:lang w:val="fr-CA"/>
        </w:rPr>
        <w:t xml:space="preserve"> - Durée de dotation externe</w:t>
      </w:r>
    </w:p>
    <w:tbl>
      <w:tblPr>
        <w:tblStyle w:val="TableGrid"/>
        <w:tblW w:w="5001" w:type="pct"/>
        <w:jc w:val="center"/>
        <w:tblLook w:val="0020" w:firstRow="1" w:lastRow="0" w:firstColumn="0" w:lastColumn="0" w:noHBand="0" w:noVBand="0"/>
        <w:tblDescription w:val="Durée de processus de dotation externe"/>
      </w:tblPr>
      <w:tblGrid>
        <w:gridCol w:w="2892"/>
        <w:gridCol w:w="7900"/>
      </w:tblGrid>
      <w:tr w:rsidR="007D61E0" w:rsidRPr="00EC42F7" w14:paraId="22E0DF69" w14:textId="77777777" w:rsidTr="007D61E0">
        <w:trPr>
          <w:cantSplit/>
          <w:trHeight w:val="290"/>
          <w:tblHeader/>
          <w:jc w:val="center"/>
        </w:trPr>
        <w:tc>
          <w:tcPr>
            <w:tcW w:w="1340" w:type="pct"/>
          </w:tcPr>
          <w:p w14:paraId="5161F218" w14:textId="77777777" w:rsidR="004460BE" w:rsidRPr="00EC42F7" w:rsidRDefault="004460BE" w:rsidP="007D61E0">
            <w:pPr>
              <w:pStyle w:val="TableTitle"/>
              <w:rPr>
                <w:rFonts w:cs="Segoe UI Semibold"/>
                <w:color w:val="auto"/>
                <w:sz w:val="22"/>
                <w:szCs w:val="22"/>
                <w:lang w:val="fr-CA"/>
              </w:rPr>
            </w:pPr>
            <w:bookmarkStart w:id="5" w:name="Durée_de_dotation_externe"/>
            <w:r w:rsidRPr="00EC42F7">
              <w:rPr>
                <w:rFonts w:cs="Segoe UI Semibold"/>
                <w:color w:val="auto"/>
                <w:sz w:val="22"/>
                <w:szCs w:val="22"/>
                <w:lang w:val="fr-CA"/>
              </w:rPr>
              <w:t>Nombre de jours civils</w:t>
            </w:r>
            <w:bookmarkEnd w:id="5"/>
          </w:p>
        </w:tc>
        <w:tc>
          <w:tcPr>
            <w:tcW w:w="3660" w:type="pct"/>
          </w:tcPr>
          <w:p w14:paraId="60235604" w14:textId="44F2BF81" w:rsidR="004460BE" w:rsidRPr="00EC42F7" w:rsidRDefault="004460BE" w:rsidP="007D61E0">
            <w:pPr>
              <w:pStyle w:val="TableTitle"/>
              <w:rPr>
                <w:rFonts w:cs="Segoe UI Semibold"/>
                <w:color w:val="auto"/>
                <w:sz w:val="22"/>
                <w:szCs w:val="22"/>
                <w:lang w:val="fr-CA"/>
              </w:rPr>
            </w:pPr>
            <w:r w:rsidRPr="00EC42F7">
              <w:rPr>
                <w:rFonts w:cs="Segoe UI Semibold"/>
                <w:color w:val="auto"/>
                <w:sz w:val="22"/>
                <w:szCs w:val="22"/>
                <w:lang w:val="fr-CA"/>
              </w:rPr>
              <w:t>Le nombre de premières embauches externes dans un processus externe (durée de dotation externe) dans les organisations assujetties à la</w:t>
            </w:r>
            <w:r w:rsidRPr="00EC42F7">
              <w:rPr>
                <w:rFonts w:cs="Segoe UI Semibold"/>
                <w:i/>
                <w:color w:val="auto"/>
                <w:sz w:val="22"/>
                <w:szCs w:val="22"/>
                <w:lang w:val="fr-CA"/>
              </w:rPr>
              <w:t xml:space="preserve"> </w:t>
            </w:r>
            <w:r w:rsidRPr="00EC42F7">
              <w:rPr>
                <w:rStyle w:val="Emphasis"/>
                <w:rFonts w:cs="Segoe UI Semibold"/>
                <w:color w:val="auto"/>
                <w:sz w:val="22"/>
                <w:szCs w:val="22"/>
                <w:lang w:val="fr-CA"/>
              </w:rPr>
              <w:t>Loi sur l’emploi dans la fonction publique</w:t>
            </w:r>
            <w:r w:rsidRPr="00EC42F7">
              <w:rPr>
                <w:rFonts w:cs="Segoe UI Semibold"/>
                <w:i/>
                <w:color w:val="auto"/>
                <w:sz w:val="22"/>
                <w:szCs w:val="22"/>
                <w:lang w:val="fr-CA"/>
              </w:rPr>
              <w:t xml:space="preserve">, </w:t>
            </w:r>
            <w:r w:rsidRPr="00EC42F7">
              <w:rPr>
                <w:rFonts w:cs="Segoe UI Semibold"/>
                <w:color w:val="auto"/>
                <w:sz w:val="22"/>
                <w:szCs w:val="22"/>
                <w:lang w:val="fr-CA"/>
              </w:rPr>
              <w:t>dans le nombre de jours civils spécifié</w:t>
            </w:r>
          </w:p>
        </w:tc>
      </w:tr>
      <w:tr w:rsidR="004460BE" w:rsidRPr="00085A29" w14:paraId="237DB0FD" w14:textId="77777777" w:rsidTr="007D61E0">
        <w:trPr>
          <w:cantSplit/>
          <w:trHeight w:val="290"/>
          <w:tblHeader/>
          <w:jc w:val="center"/>
        </w:trPr>
        <w:tc>
          <w:tcPr>
            <w:tcW w:w="1340" w:type="pct"/>
          </w:tcPr>
          <w:p w14:paraId="27E782E2"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0 jours civils</w:t>
            </w:r>
          </w:p>
        </w:tc>
        <w:tc>
          <w:tcPr>
            <w:tcW w:w="3660" w:type="pct"/>
          </w:tcPr>
          <w:p w14:paraId="2DB6147A" w14:textId="2FA98C02"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0</w:t>
            </w:r>
          </w:p>
        </w:tc>
      </w:tr>
      <w:tr w:rsidR="004460BE" w:rsidRPr="00085A29" w14:paraId="491B60AF" w14:textId="77777777" w:rsidTr="007D61E0">
        <w:trPr>
          <w:cantSplit/>
          <w:trHeight w:val="290"/>
          <w:tblHeader/>
          <w:jc w:val="center"/>
        </w:trPr>
        <w:tc>
          <w:tcPr>
            <w:tcW w:w="1340" w:type="pct"/>
          </w:tcPr>
          <w:p w14:paraId="27FBACDC"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0 à 29 jours civils</w:t>
            </w:r>
          </w:p>
        </w:tc>
        <w:tc>
          <w:tcPr>
            <w:tcW w:w="3660" w:type="pct"/>
          </w:tcPr>
          <w:p w14:paraId="4CB2D7E9" w14:textId="166D01E5"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55</w:t>
            </w:r>
          </w:p>
        </w:tc>
      </w:tr>
      <w:tr w:rsidR="004460BE" w:rsidRPr="00085A29" w14:paraId="0F68BC42" w14:textId="77777777" w:rsidTr="007D61E0">
        <w:trPr>
          <w:cantSplit/>
          <w:trHeight w:val="290"/>
          <w:tblHeader/>
          <w:jc w:val="center"/>
        </w:trPr>
        <w:tc>
          <w:tcPr>
            <w:tcW w:w="1340" w:type="pct"/>
          </w:tcPr>
          <w:p w14:paraId="3A58EBC5"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30 à 59 jours civils</w:t>
            </w:r>
          </w:p>
        </w:tc>
        <w:tc>
          <w:tcPr>
            <w:tcW w:w="3660" w:type="pct"/>
          </w:tcPr>
          <w:p w14:paraId="3A9DE1E7" w14:textId="6EEE6782"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75</w:t>
            </w:r>
          </w:p>
        </w:tc>
      </w:tr>
      <w:tr w:rsidR="004460BE" w:rsidRPr="00085A29" w14:paraId="39EBACE7" w14:textId="77777777" w:rsidTr="007D61E0">
        <w:trPr>
          <w:cantSplit/>
          <w:trHeight w:val="290"/>
          <w:tblHeader/>
          <w:jc w:val="center"/>
        </w:trPr>
        <w:tc>
          <w:tcPr>
            <w:tcW w:w="1340" w:type="pct"/>
          </w:tcPr>
          <w:p w14:paraId="400AD7FD"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60 à 89 jours civils</w:t>
            </w:r>
          </w:p>
        </w:tc>
        <w:tc>
          <w:tcPr>
            <w:tcW w:w="3660" w:type="pct"/>
          </w:tcPr>
          <w:p w14:paraId="7B94E31A" w14:textId="4B05E4B5"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95</w:t>
            </w:r>
          </w:p>
        </w:tc>
      </w:tr>
      <w:tr w:rsidR="004460BE" w:rsidRPr="00085A29" w14:paraId="344689A8" w14:textId="77777777" w:rsidTr="007D61E0">
        <w:trPr>
          <w:cantSplit/>
          <w:trHeight w:val="290"/>
          <w:tblHeader/>
          <w:jc w:val="center"/>
        </w:trPr>
        <w:tc>
          <w:tcPr>
            <w:tcW w:w="1340" w:type="pct"/>
          </w:tcPr>
          <w:p w14:paraId="2154E66C"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90 à 119 jours civils</w:t>
            </w:r>
          </w:p>
        </w:tc>
        <w:tc>
          <w:tcPr>
            <w:tcW w:w="3660" w:type="pct"/>
          </w:tcPr>
          <w:p w14:paraId="419C0B4C" w14:textId="3C23BE9C"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108</w:t>
            </w:r>
          </w:p>
        </w:tc>
      </w:tr>
      <w:tr w:rsidR="004460BE" w:rsidRPr="00085A29" w14:paraId="34C59243" w14:textId="77777777" w:rsidTr="007D61E0">
        <w:trPr>
          <w:cantSplit/>
          <w:trHeight w:val="290"/>
          <w:tblHeader/>
          <w:jc w:val="center"/>
        </w:trPr>
        <w:tc>
          <w:tcPr>
            <w:tcW w:w="1340" w:type="pct"/>
          </w:tcPr>
          <w:p w14:paraId="111BCA4D"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120 à 149 jours civils</w:t>
            </w:r>
          </w:p>
        </w:tc>
        <w:tc>
          <w:tcPr>
            <w:tcW w:w="3660" w:type="pct"/>
          </w:tcPr>
          <w:p w14:paraId="78EB75F4" w14:textId="42542BC2"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166</w:t>
            </w:r>
          </w:p>
        </w:tc>
      </w:tr>
      <w:tr w:rsidR="004460BE" w:rsidRPr="00085A29" w14:paraId="5DFDF96B" w14:textId="77777777" w:rsidTr="007D61E0">
        <w:trPr>
          <w:cantSplit/>
          <w:trHeight w:val="290"/>
          <w:tblHeader/>
          <w:jc w:val="center"/>
        </w:trPr>
        <w:tc>
          <w:tcPr>
            <w:tcW w:w="1340" w:type="pct"/>
          </w:tcPr>
          <w:p w14:paraId="1A88DAB3"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150 à 179 jours civils</w:t>
            </w:r>
          </w:p>
        </w:tc>
        <w:tc>
          <w:tcPr>
            <w:tcW w:w="3660" w:type="pct"/>
          </w:tcPr>
          <w:p w14:paraId="694FB752" w14:textId="321F7716"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164</w:t>
            </w:r>
          </w:p>
        </w:tc>
      </w:tr>
      <w:tr w:rsidR="004460BE" w:rsidRPr="00085A29" w14:paraId="067249FF" w14:textId="77777777" w:rsidTr="007D61E0">
        <w:trPr>
          <w:cantSplit/>
          <w:trHeight w:val="290"/>
          <w:tblHeader/>
          <w:jc w:val="center"/>
        </w:trPr>
        <w:tc>
          <w:tcPr>
            <w:tcW w:w="1340" w:type="pct"/>
          </w:tcPr>
          <w:p w14:paraId="73565DC7"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180 à 209 jours civils</w:t>
            </w:r>
          </w:p>
        </w:tc>
        <w:tc>
          <w:tcPr>
            <w:tcW w:w="3660" w:type="pct"/>
          </w:tcPr>
          <w:p w14:paraId="42104DD0" w14:textId="7C285703"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160</w:t>
            </w:r>
          </w:p>
        </w:tc>
      </w:tr>
      <w:tr w:rsidR="004460BE" w:rsidRPr="00085A29" w14:paraId="4C104C1F" w14:textId="77777777" w:rsidTr="007D61E0">
        <w:trPr>
          <w:cantSplit/>
          <w:trHeight w:val="290"/>
          <w:tblHeader/>
          <w:jc w:val="center"/>
        </w:trPr>
        <w:tc>
          <w:tcPr>
            <w:tcW w:w="1340" w:type="pct"/>
          </w:tcPr>
          <w:p w14:paraId="698D6273"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210 à 239 jours civils</w:t>
            </w:r>
          </w:p>
        </w:tc>
        <w:tc>
          <w:tcPr>
            <w:tcW w:w="3660" w:type="pct"/>
          </w:tcPr>
          <w:p w14:paraId="5FC22CF7" w14:textId="329F0DFE"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133</w:t>
            </w:r>
          </w:p>
        </w:tc>
      </w:tr>
      <w:tr w:rsidR="004460BE" w:rsidRPr="00085A29" w14:paraId="0A18F3AB" w14:textId="77777777" w:rsidTr="007D61E0">
        <w:trPr>
          <w:cantSplit/>
          <w:trHeight w:val="290"/>
          <w:tblHeader/>
          <w:jc w:val="center"/>
        </w:trPr>
        <w:tc>
          <w:tcPr>
            <w:tcW w:w="1340" w:type="pct"/>
          </w:tcPr>
          <w:p w14:paraId="28451CE7"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240 à 269 jours civils</w:t>
            </w:r>
          </w:p>
        </w:tc>
        <w:tc>
          <w:tcPr>
            <w:tcW w:w="3660" w:type="pct"/>
          </w:tcPr>
          <w:p w14:paraId="42A7F492" w14:textId="1AE8A583"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122</w:t>
            </w:r>
          </w:p>
        </w:tc>
      </w:tr>
      <w:tr w:rsidR="004460BE" w:rsidRPr="00085A29" w14:paraId="22C5D3B9" w14:textId="77777777" w:rsidTr="007D61E0">
        <w:trPr>
          <w:cantSplit/>
          <w:trHeight w:val="290"/>
          <w:tblHeader/>
          <w:jc w:val="center"/>
        </w:trPr>
        <w:tc>
          <w:tcPr>
            <w:tcW w:w="1340" w:type="pct"/>
          </w:tcPr>
          <w:p w14:paraId="7A48980C"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270 à 299 jours civils</w:t>
            </w:r>
          </w:p>
        </w:tc>
        <w:tc>
          <w:tcPr>
            <w:tcW w:w="3660" w:type="pct"/>
          </w:tcPr>
          <w:p w14:paraId="7FEEE975" w14:textId="6A225D11"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101</w:t>
            </w:r>
          </w:p>
        </w:tc>
      </w:tr>
      <w:tr w:rsidR="004460BE" w:rsidRPr="00085A29" w14:paraId="33848DD5" w14:textId="77777777" w:rsidTr="007D61E0">
        <w:trPr>
          <w:cantSplit/>
          <w:trHeight w:val="290"/>
          <w:tblHeader/>
          <w:jc w:val="center"/>
        </w:trPr>
        <w:tc>
          <w:tcPr>
            <w:tcW w:w="1340" w:type="pct"/>
          </w:tcPr>
          <w:p w14:paraId="1A5821B2"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300 à 329 jours civils</w:t>
            </w:r>
          </w:p>
        </w:tc>
        <w:tc>
          <w:tcPr>
            <w:tcW w:w="3660" w:type="pct"/>
          </w:tcPr>
          <w:p w14:paraId="294E4766" w14:textId="43594425"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80</w:t>
            </w:r>
          </w:p>
        </w:tc>
      </w:tr>
      <w:tr w:rsidR="004460BE" w:rsidRPr="00085A29" w14:paraId="21FF91AC" w14:textId="77777777" w:rsidTr="007D61E0">
        <w:trPr>
          <w:cantSplit/>
          <w:trHeight w:val="290"/>
          <w:tblHeader/>
          <w:jc w:val="center"/>
        </w:trPr>
        <w:tc>
          <w:tcPr>
            <w:tcW w:w="1340" w:type="pct"/>
          </w:tcPr>
          <w:p w14:paraId="7F41EBEF"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330 à 359 jours civils</w:t>
            </w:r>
          </w:p>
        </w:tc>
        <w:tc>
          <w:tcPr>
            <w:tcW w:w="3660" w:type="pct"/>
          </w:tcPr>
          <w:p w14:paraId="50FB76E4" w14:textId="529819A7"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61</w:t>
            </w:r>
          </w:p>
        </w:tc>
      </w:tr>
      <w:tr w:rsidR="004460BE" w:rsidRPr="00085A29" w14:paraId="2B564A15" w14:textId="77777777" w:rsidTr="007D61E0">
        <w:trPr>
          <w:cantSplit/>
          <w:trHeight w:val="290"/>
          <w:tblHeader/>
          <w:jc w:val="center"/>
        </w:trPr>
        <w:tc>
          <w:tcPr>
            <w:tcW w:w="1340" w:type="pct"/>
          </w:tcPr>
          <w:p w14:paraId="648440F5"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360 à 389 jours civils</w:t>
            </w:r>
          </w:p>
        </w:tc>
        <w:tc>
          <w:tcPr>
            <w:tcW w:w="3660" w:type="pct"/>
          </w:tcPr>
          <w:p w14:paraId="3DE74EB2" w14:textId="301D102F"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50</w:t>
            </w:r>
          </w:p>
        </w:tc>
      </w:tr>
      <w:tr w:rsidR="004460BE" w:rsidRPr="00085A29" w14:paraId="0C215F49" w14:textId="77777777" w:rsidTr="007D61E0">
        <w:trPr>
          <w:cantSplit/>
          <w:trHeight w:val="290"/>
          <w:tblHeader/>
          <w:jc w:val="center"/>
        </w:trPr>
        <w:tc>
          <w:tcPr>
            <w:tcW w:w="1340" w:type="pct"/>
          </w:tcPr>
          <w:p w14:paraId="2864E4C4"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390 à 419 jours civils</w:t>
            </w:r>
          </w:p>
        </w:tc>
        <w:tc>
          <w:tcPr>
            <w:tcW w:w="3660" w:type="pct"/>
          </w:tcPr>
          <w:p w14:paraId="6686BE8F" w14:textId="66029FDB"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45</w:t>
            </w:r>
          </w:p>
        </w:tc>
      </w:tr>
      <w:tr w:rsidR="004460BE" w:rsidRPr="00085A29" w14:paraId="01785110" w14:textId="77777777" w:rsidTr="007D61E0">
        <w:trPr>
          <w:cantSplit/>
          <w:trHeight w:val="290"/>
          <w:tblHeader/>
          <w:jc w:val="center"/>
        </w:trPr>
        <w:tc>
          <w:tcPr>
            <w:tcW w:w="1340" w:type="pct"/>
          </w:tcPr>
          <w:p w14:paraId="77512BDD"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420 à 449 jours civils</w:t>
            </w:r>
          </w:p>
        </w:tc>
        <w:tc>
          <w:tcPr>
            <w:tcW w:w="3660" w:type="pct"/>
          </w:tcPr>
          <w:p w14:paraId="4EDD0F22" w14:textId="0DBB8B06"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34</w:t>
            </w:r>
          </w:p>
        </w:tc>
      </w:tr>
      <w:tr w:rsidR="004460BE" w:rsidRPr="00085A29" w14:paraId="13C1753A" w14:textId="77777777" w:rsidTr="007D61E0">
        <w:trPr>
          <w:cantSplit/>
          <w:trHeight w:val="290"/>
          <w:tblHeader/>
          <w:jc w:val="center"/>
        </w:trPr>
        <w:tc>
          <w:tcPr>
            <w:tcW w:w="1340" w:type="pct"/>
          </w:tcPr>
          <w:p w14:paraId="7FCA73A1"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450 à 479 jours civils</w:t>
            </w:r>
          </w:p>
        </w:tc>
        <w:tc>
          <w:tcPr>
            <w:tcW w:w="3660" w:type="pct"/>
          </w:tcPr>
          <w:p w14:paraId="6B84D655" w14:textId="6ED11F52"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34</w:t>
            </w:r>
          </w:p>
        </w:tc>
      </w:tr>
      <w:tr w:rsidR="004460BE" w:rsidRPr="00085A29" w14:paraId="6D2C2C02" w14:textId="77777777" w:rsidTr="007D61E0">
        <w:trPr>
          <w:cantSplit/>
          <w:trHeight w:val="290"/>
          <w:tblHeader/>
          <w:jc w:val="center"/>
        </w:trPr>
        <w:tc>
          <w:tcPr>
            <w:tcW w:w="1340" w:type="pct"/>
          </w:tcPr>
          <w:p w14:paraId="7FBAE6D1"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480 à 509 jours civils</w:t>
            </w:r>
          </w:p>
        </w:tc>
        <w:tc>
          <w:tcPr>
            <w:tcW w:w="3660" w:type="pct"/>
          </w:tcPr>
          <w:p w14:paraId="6A2C841E" w14:textId="67AB8B31"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21</w:t>
            </w:r>
          </w:p>
        </w:tc>
      </w:tr>
      <w:tr w:rsidR="004460BE" w:rsidRPr="00085A29" w14:paraId="4139C8F8" w14:textId="77777777" w:rsidTr="007D61E0">
        <w:trPr>
          <w:cantSplit/>
          <w:trHeight w:val="290"/>
          <w:tblHeader/>
          <w:jc w:val="center"/>
        </w:trPr>
        <w:tc>
          <w:tcPr>
            <w:tcW w:w="1340" w:type="pct"/>
          </w:tcPr>
          <w:p w14:paraId="52A14AA7"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 xml:space="preserve">510 à 539 jours civils </w:t>
            </w:r>
          </w:p>
        </w:tc>
        <w:tc>
          <w:tcPr>
            <w:tcW w:w="3660" w:type="pct"/>
          </w:tcPr>
          <w:p w14:paraId="3EF86644" w14:textId="3B07C120"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16</w:t>
            </w:r>
          </w:p>
        </w:tc>
      </w:tr>
      <w:tr w:rsidR="004460BE" w:rsidRPr="00085A29" w14:paraId="5C70F2ED" w14:textId="77777777" w:rsidTr="007D61E0">
        <w:trPr>
          <w:cantSplit/>
          <w:trHeight w:val="290"/>
          <w:tblHeader/>
          <w:jc w:val="center"/>
        </w:trPr>
        <w:tc>
          <w:tcPr>
            <w:tcW w:w="1340" w:type="pct"/>
          </w:tcPr>
          <w:p w14:paraId="60DFA0B1"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540 à 569 jours civils</w:t>
            </w:r>
          </w:p>
        </w:tc>
        <w:tc>
          <w:tcPr>
            <w:tcW w:w="3660" w:type="pct"/>
          </w:tcPr>
          <w:p w14:paraId="4AEB0E55" w14:textId="3388B8CD"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19</w:t>
            </w:r>
          </w:p>
        </w:tc>
      </w:tr>
      <w:tr w:rsidR="004460BE" w:rsidRPr="00085A29" w14:paraId="5C7EDB57" w14:textId="77777777" w:rsidTr="007D61E0">
        <w:trPr>
          <w:cantSplit/>
          <w:trHeight w:val="290"/>
          <w:tblHeader/>
          <w:jc w:val="center"/>
        </w:trPr>
        <w:tc>
          <w:tcPr>
            <w:tcW w:w="1340" w:type="pct"/>
          </w:tcPr>
          <w:p w14:paraId="742450ED"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570 à 599 jours civils</w:t>
            </w:r>
          </w:p>
        </w:tc>
        <w:tc>
          <w:tcPr>
            <w:tcW w:w="3660" w:type="pct"/>
          </w:tcPr>
          <w:p w14:paraId="100024F9" w14:textId="1F265196"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13</w:t>
            </w:r>
          </w:p>
        </w:tc>
      </w:tr>
      <w:tr w:rsidR="004460BE" w:rsidRPr="00085A29" w14:paraId="536ECB5F" w14:textId="77777777" w:rsidTr="007D61E0">
        <w:trPr>
          <w:cantSplit/>
          <w:trHeight w:val="290"/>
          <w:tblHeader/>
          <w:jc w:val="center"/>
        </w:trPr>
        <w:tc>
          <w:tcPr>
            <w:tcW w:w="1340" w:type="pct"/>
          </w:tcPr>
          <w:p w14:paraId="09B17B5D"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600 à 629 jours civils</w:t>
            </w:r>
          </w:p>
        </w:tc>
        <w:tc>
          <w:tcPr>
            <w:tcW w:w="3660" w:type="pct"/>
          </w:tcPr>
          <w:p w14:paraId="701C1661" w14:textId="1C14BB6A"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7</w:t>
            </w:r>
          </w:p>
        </w:tc>
      </w:tr>
      <w:tr w:rsidR="004460BE" w:rsidRPr="00085A29" w14:paraId="09B3BA6A" w14:textId="77777777" w:rsidTr="007D61E0">
        <w:trPr>
          <w:cantSplit/>
          <w:trHeight w:val="290"/>
          <w:tblHeader/>
          <w:jc w:val="center"/>
        </w:trPr>
        <w:tc>
          <w:tcPr>
            <w:tcW w:w="1340" w:type="pct"/>
          </w:tcPr>
          <w:p w14:paraId="5C7CCFF4"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630 à 659 jours civils</w:t>
            </w:r>
          </w:p>
        </w:tc>
        <w:tc>
          <w:tcPr>
            <w:tcW w:w="3660" w:type="pct"/>
          </w:tcPr>
          <w:p w14:paraId="3738865E" w14:textId="626695C4"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7</w:t>
            </w:r>
          </w:p>
        </w:tc>
      </w:tr>
      <w:tr w:rsidR="004460BE" w:rsidRPr="00085A29" w14:paraId="2A04C010" w14:textId="77777777" w:rsidTr="007D61E0">
        <w:trPr>
          <w:cantSplit/>
          <w:trHeight w:val="290"/>
          <w:tblHeader/>
          <w:jc w:val="center"/>
        </w:trPr>
        <w:tc>
          <w:tcPr>
            <w:tcW w:w="1340" w:type="pct"/>
          </w:tcPr>
          <w:p w14:paraId="4F0327C2"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660 à 689 jours civils</w:t>
            </w:r>
          </w:p>
        </w:tc>
        <w:tc>
          <w:tcPr>
            <w:tcW w:w="3660" w:type="pct"/>
          </w:tcPr>
          <w:p w14:paraId="01CDC6AF" w14:textId="148C6C41"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4</w:t>
            </w:r>
          </w:p>
        </w:tc>
      </w:tr>
      <w:tr w:rsidR="004460BE" w:rsidRPr="00085A29" w14:paraId="24BA4096" w14:textId="77777777" w:rsidTr="007D61E0">
        <w:trPr>
          <w:cantSplit/>
          <w:trHeight w:val="290"/>
          <w:tblHeader/>
          <w:jc w:val="center"/>
        </w:trPr>
        <w:tc>
          <w:tcPr>
            <w:tcW w:w="1340" w:type="pct"/>
          </w:tcPr>
          <w:p w14:paraId="1348F2EB"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690 à 719 jours civils</w:t>
            </w:r>
          </w:p>
        </w:tc>
        <w:tc>
          <w:tcPr>
            <w:tcW w:w="3660" w:type="pct"/>
          </w:tcPr>
          <w:p w14:paraId="4CB26F55" w14:textId="6A21AA3D"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11</w:t>
            </w:r>
          </w:p>
        </w:tc>
      </w:tr>
      <w:tr w:rsidR="004460BE" w:rsidRPr="00085A29" w14:paraId="588F4268" w14:textId="77777777" w:rsidTr="007D61E0">
        <w:trPr>
          <w:cantSplit/>
          <w:trHeight w:val="302"/>
          <w:tblHeader/>
          <w:jc w:val="center"/>
        </w:trPr>
        <w:tc>
          <w:tcPr>
            <w:tcW w:w="1340" w:type="pct"/>
          </w:tcPr>
          <w:p w14:paraId="184C6F78"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720 à 749 jours civils</w:t>
            </w:r>
          </w:p>
        </w:tc>
        <w:tc>
          <w:tcPr>
            <w:tcW w:w="3660" w:type="pct"/>
          </w:tcPr>
          <w:p w14:paraId="0390775C" w14:textId="288CE1F2"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6</w:t>
            </w:r>
          </w:p>
        </w:tc>
      </w:tr>
      <w:tr w:rsidR="004460BE" w:rsidRPr="00085A29" w14:paraId="5B6D1DBA" w14:textId="77777777" w:rsidTr="007D61E0">
        <w:trPr>
          <w:cantSplit/>
          <w:trHeight w:val="290"/>
          <w:tblHeader/>
          <w:jc w:val="center"/>
        </w:trPr>
        <w:tc>
          <w:tcPr>
            <w:tcW w:w="1340" w:type="pct"/>
          </w:tcPr>
          <w:p w14:paraId="0AF36581"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750 à 779 jours civils</w:t>
            </w:r>
          </w:p>
        </w:tc>
        <w:tc>
          <w:tcPr>
            <w:tcW w:w="3660" w:type="pct"/>
          </w:tcPr>
          <w:p w14:paraId="1C87E65F" w14:textId="3FC4B716"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2</w:t>
            </w:r>
          </w:p>
        </w:tc>
      </w:tr>
      <w:tr w:rsidR="004460BE" w:rsidRPr="00085A29" w14:paraId="5D5F2159" w14:textId="77777777" w:rsidTr="007D61E0">
        <w:trPr>
          <w:cantSplit/>
          <w:trHeight w:val="290"/>
          <w:tblHeader/>
          <w:jc w:val="center"/>
        </w:trPr>
        <w:tc>
          <w:tcPr>
            <w:tcW w:w="1340" w:type="pct"/>
          </w:tcPr>
          <w:p w14:paraId="041A488F"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780 à 809 jours civils</w:t>
            </w:r>
          </w:p>
        </w:tc>
        <w:tc>
          <w:tcPr>
            <w:tcW w:w="3660" w:type="pct"/>
          </w:tcPr>
          <w:p w14:paraId="4AF6CD90" w14:textId="78B0AD57"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4</w:t>
            </w:r>
          </w:p>
        </w:tc>
      </w:tr>
      <w:tr w:rsidR="004460BE" w:rsidRPr="00085A29" w14:paraId="5DD6646E" w14:textId="77777777" w:rsidTr="007D61E0">
        <w:trPr>
          <w:cantSplit/>
          <w:trHeight w:val="290"/>
          <w:tblHeader/>
          <w:jc w:val="center"/>
        </w:trPr>
        <w:tc>
          <w:tcPr>
            <w:tcW w:w="1340" w:type="pct"/>
          </w:tcPr>
          <w:p w14:paraId="258F405B"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810 à 839 jours civils</w:t>
            </w:r>
          </w:p>
        </w:tc>
        <w:tc>
          <w:tcPr>
            <w:tcW w:w="3660" w:type="pct"/>
          </w:tcPr>
          <w:p w14:paraId="16451DA3" w14:textId="2CF6E774"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4</w:t>
            </w:r>
          </w:p>
        </w:tc>
      </w:tr>
      <w:tr w:rsidR="004460BE" w:rsidRPr="00085A29" w14:paraId="0E3FFECB" w14:textId="77777777" w:rsidTr="007D61E0">
        <w:trPr>
          <w:cantSplit/>
          <w:trHeight w:val="290"/>
          <w:tblHeader/>
          <w:jc w:val="center"/>
        </w:trPr>
        <w:tc>
          <w:tcPr>
            <w:tcW w:w="1340" w:type="pct"/>
          </w:tcPr>
          <w:p w14:paraId="04D7B15F"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840 à 869 jours civils</w:t>
            </w:r>
          </w:p>
        </w:tc>
        <w:tc>
          <w:tcPr>
            <w:tcW w:w="3660" w:type="pct"/>
          </w:tcPr>
          <w:p w14:paraId="21C5A951" w14:textId="171A28EE"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0</w:t>
            </w:r>
          </w:p>
        </w:tc>
      </w:tr>
      <w:tr w:rsidR="004460BE" w:rsidRPr="00085A29" w14:paraId="40651957" w14:textId="77777777" w:rsidTr="007D61E0">
        <w:trPr>
          <w:cantSplit/>
          <w:trHeight w:val="290"/>
          <w:tblHeader/>
          <w:jc w:val="center"/>
        </w:trPr>
        <w:tc>
          <w:tcPr>
            <w:tcW w:w="1340" w:type="pct"/>
          </w:tcPr>
          <w:p w14:paraId="481E5915"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870 à 899 jours civils</w:t>
            </w:r>
          </w:p>
        </w:tc>
        <w:tc>
          <w:tcPr>
            <w:tcW w:w="3660" w:type="pct"/>
          </w:tcPr>
          <w:p w14:paraId="2FC1329F" w14:textId="61A0F97E"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1</w:t>
            </w:r>
          </w:p>
        </w:tc>
      </w:tr>
      <w:tr w:rsidR="004460BE" w:rsidRPr="00085A29" w14:paraId="68DD2FEE" w14:textId="77777777" w:rsidTr="007D61E0">
        <w:trPr>
          <w:cantSplit/>
          <w:trHeight w:val="290"/>
          <w:tblHeader/>
          <w:jc w:val="center"/>
        </w:trPr>
        <w:tc>
          <w:tcPr>
            <w:tcW w:w="1340" w:type="pct"/>
          </w:tcPr>
          <w:p w14:paraId="0189FCDF"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900 à 929 jours civils</w:t>
            </w:r>
          </w:p>
        </w:tc>
        <w:tc>
          <w:tcPr>
            <w:tcW w:w="3660" w:type="pct"/>
          </w:tcPr>
          <w:p w14:paraId="54AB640D" w14:textId="7790381A"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0</w:t>
            </w:r>
          </w:p>
        </w:tc>
      </w:tr>
      <w:tr w:rsidR="004460BE" w:rsidRPr="00085A29" w14:paraId="3AD2082D" w14:textId="77777777" w:rsidTr="007D61E0">
        <w:trPr>
          <w:cantSplit/>
          <w:trHeight w:val="290"/>
          <w:tblHeader/>
          <w:jc w:val="center"/>
        </w:trPr>
        <w:tc>
          <w:tcPr>
            <w:tcW w:w="1340" w:type="pct"/>
          </w:tcPr>
          <w:p w14:paraId="0884AD4C"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930 à 959 jours civils</w:t>
            </w:r>
          </w:p>
        </w:tc>
        <w:tc>
          <w:tcPr>
            <w:tcW w:w="3660" w:type="pct"/>
          </w:tcPr>
          <w:p w14:paraId="439CEA0D" w14:textId="72C53BC6"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0</w:t>
            </w:r>
          </w:p>
        </w:tc>
      </w:tr>
      <w:tr w:rsidR="004460BE" w:rsidRPr="00085A29" w14:paraId="071CB405" w14:textId="77777777" w:rsidTr="007D61E0">
        <w:trPr>
          <w:cantSplit/>
          <w:trHeight w:val="290"/>
          <w:tblHeader/>
          <w:jc w:val="center"/>
        </w:trPr>
        <w:tc>
          <w:tcPr>
            <w:tcW w:w="1340" w:type="pct"/>
          </w:tcPr>
          <w:p w14:paraId="26908090"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960 à 989 jours civils</w:t>
            </w:r>
          </w:p>
        </w:tc>
        <w:tc>
          <w:tcPr>
            <w:tcW w:w="3660" w:type="pct"/>
          </w:tcPr>
          <w:p w14:paraId="25840A36" w14:textId="1392FE5D"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0</w:t>
            </w:r>
          </w:p>
        </w:tc>
      </w:tr>
      <w:tr w:rsidR="004460BE" w:rsidRPr="00085A29" w14:paraId="69E52FF9" w14:textId="77777777" w:rsidTr="007D61E0">
        <w:trPr>
          <w:cantSplit/>
          <w:trHeight w:val="290"/>
          <w:tblHeader/>
          <w:jc w:val="center"/>
        </w:trPr>
        <w:tc>
          <w:tcPr>
            <w:tcW w:w="1340" w:type="pct"/>
          </w:tcPr>
          <w:p w14:paraId="7332CD8C" w14:textId="77777777" w:rsidR="004460BE" w:rsidRPr="00EC42F7" w:rsidRDefault="004460BE" w:rsidP="004460BE">
            <w:pPr>
              <w:autoSpaceDE w:val="0"/>
              <w:autoSpaceDN w:val="0"/>
              <w:adjustRightInd w:val="0"/>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Plus de 990 jours civils</w:t>
            </w:r>
          </w:p>
        </w:tc>
        <w:tc>
          <w:tcPr>
            <w:tcW w:w="3660" w:type="pct"/>
          </w:tcPr>
          <w:p w14:paraId="726E4E1B" w14:textId="0934EAC3" w:rsidR="004460BE" w:rsidRPr="00EC42F7" w:rsidRDefault="004460BE" w:rsidP="004460BE">
            <w:pPr>
              <w:autoSpaceDE w:val="0"/>
              <w:autoSpaceDN w:val="0"/>
              <w:adjustRightInd w:val="0"/>
              <w:jc w:val="center"/>
              <w:rPr>
                <w:rFonts w:asciiTheme="minorHAnsi" w:hAnsiTheme="minorHAnsi" w:cstheme="minorHAnsi"/>
                <w:color w:val="000000"/>
                <w:sz w:val="22"/>
                <w:szCs w:val="22"/>
                <w:lang w:val="fr-CA"/>
              </w:rPr>
            </w:pPr>
            <w:r w:rsidRPr="00EC42F7">
              <w:rPr>
                <w:rFonts w:asciiTheme="minorHAnsi" w:hAnsiTheme="minorHAnsi" w:cstheme="minorHAnsi"/>
                <w:color w:val="000000"/>
                <w:sz w:val="22"/>
                <w:szCs w:val="22"/>
                <w:lang w:val="fr-CA"/>
              </w:rPr>
              <w:t>0</w:t>
            </w:r>
          </w:p>
        </w:tc>
      </w:tr>
    </w:tbl>
    <w:p w14:paraId="3A52850D" w14:textId="77777777" w:rsidR="0008073E" w:rsidRPr="00085A29" w:rsidRDefault="0008073E" w:rsidP="0008073E">
      <w:pPr>
        <w:rPr>
          <w:rFonts w:asciiTheme="minorHAnsi" w:hAnsiTheme="minorHAnsi" w:cstheme="minorHAnsi"/>
          <w:sz w:val="22"/>
          <w:szCs w:val="22"/>
          <w:lang w:val="fr-CA"/>
        </w:rPr>
      </w:pPr>
    </w:p>
    <w:p w14:paraId="101159AA" w14:textId="77777777" w:rsidR="0008073E" w:rsidRPr="00085A29" w:rsidRDefault="0008073E" w:rsidP="00A6338F">
      <w:pPr>
        <w:pStyle w:val="ListParagraph"/>
        <w:numPr>
          <w:ilvl w:val="0"/>
          <w:numId w:val="29"/>
        </w:numPr>
        <w:spacing w:after="0"/>
        <w:ind w:left="360"/>
        <w:rPr>
          <w:rFonts w:asciiTheme="minorHAnsi" w:hAnsiTheme="minorHAnsi" w:cstheme="minorHAnsi"/>
          <w:sz w:val="22"/>
          <w:szCs w:val="22"/>
          <w:lang w:val="fr-CA"/>
        </w:rPr>
        <w:sectPr w:rsidR="0008073E" w:rsidRPr="00085A29" w:rsidSect="007D61E0">
          <w:pgSz w:w="12240" w:h="15840" w:code="1"/>
          <w:pgMar w:top="720" w:right="720" w:bottom="720" w:left="720" w:header="709" w:footer="284" w:gutter="0"/>
          <w:cols w:space="708"/>
          <w:titlePg/>
          <w:docGrid w:linePitch="360"/>
        </w:sectPr>
      </w:pPr>
    </w:p>
    <w:p w14:paraId="5DA8F889" w14:textId="77777777" w:rsidR="005E10CD" w:rsidRPr="00085A29" w:rsidRDefault="005E10CD" w:rsidP="005E10CD">
      <w:pPr>
        <w:pStyle w:val="Heading1"/>
        <w:spacing w:after="120"/>
        <w:rPr>
          <w:lang w:val="fr-CA"/>
        </w:rPr>
      </w:pPr>
      <w:r w:rsidRPr="00085A29">
        <w:rPr>
          <w:lang w:val="fr-CA"/>
        </w:rPr>
        <w:lastRenderedPageBreak/>
        <w:t>Notes techniques :</w:t>
      </w:r>
    </w:p>
    <w:p w14:paraId="3653768A" w14:textId="77777777" w:rsidR="005E10CD" w:rsidRPr="00085A29" w:rsidRDefault="005E10CD" w:rsidP="005E10CD">
      <w:pPr>
        <w:pStyle w:val="ListParagraph"/>
        <w:numPr>
          <w:ilvl w:val="0"/>
          <w:numId w:val="32"/>
        </w:numPr>
        <w:spacing w:after="0"/>
        <w:ind w:left="426" w:hanging="426"/>
        <w:contextualSpacing w:val="0"/>
        <w:rPr>
          <w:rFonts w:asciiTheme="minorHAnsi" w:hAnsiTheme="minorHAnsi" w:cstheme="minorHAnsi"/>
          <w:sz w:val="22"/>
          <w:szCs w:val="22"/>
          <w:lang w:val="fr-CA"/>
        </w:rPr>
      </w:pPr>
      <w:r w:rsidRPr="00085A29">
        <w:rPr>
          <w:rFonts w:asciiTheme="minorHAnsi" w:eastAsiaTheme="minorHAnsi" w:hAnsiTheme="minorHAnsi" w:cstheme="minorHAnsi"/>
          <w:bCs/>
          <w:sz w:val="22"/>
          <w:szCs w:val="22"/>
          <w:lang w:val="fr-CA"/>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085A29">
        <w:rPr>
          <w:rFonts w:asciiTheme="minorHAnsi" w:hAnsiTheme="minorHAnsi" w:cstheme="minorHAnsi"/>
          <w:sz w:val="22"/>
          <w:szCs w:val="22"/>
          <w:lang w:val="fr-CA"/>
        </w:rPr>
        <w:t xml:space="preserve">Les PANA ne sont pas requis pour toutes les activités de dotation interne. Par conséquent, cette mesure se limite aux rapports sur </w:t>
      </w:r>
      <w:proofErr w:type="gramStart"/>
      <w:r w:rsidRPr="00085A29">
        <w:rPr>
          <w:rFonts w:asciiTheme="minorHAnsi" w:hAnsiTheme="minorHAnsi" w:cstheme="minorHAnsi"/>
          <w:sz w:val="22"/>
          <w:szCs w:val="22"/>
          <w:lang w:val="fr-CA"/>
        </w:rPr>
        <w:t>les nominations promotionnels</w:t>
      </w:r>
      <w:proofErr w:type="gramEnd"/>
      <w:r w:rsidRPr="00085A29">
        <w:rPr>
          <w:rFonts w:asciiTheme="minorHAnsi" w:hAnsiTheme="minorHAnsi" w:cstheme="minorHAnsi"/>
          <w:sz w:val="22"/>
          <w:szCs w:val="22"/>
          <w:lang w:val="fr-CA"/>
        </w:rPr>
        <w:t xml:space="preserve"> internes.</w:t>
      </w:r>
    </w:p>
    <w:p w14:paraId="3AF74CA6" w14:textId="77777777" w:rsidR="005E10CD" w:rsidRPr="00085A29" w:rsidRDefault="005E10CD" w:rsidP="005E10CD">
      <w:pPr>
        <w:pStyle w:val="ListParagraph"/>
        <w:numPr>
          <w:ilvl w:val="0"/>
          <w:numId w:val="31"/>
        </w:numPr>
        <w:spacing w:after="0"/>
        <w:ind w:left="360"/>
        <w:rPr>
          <w:rFonts w:asciiTheme="minorHAnsi" w:eastAsiaTheme="minorHAnsi" w:hAnsiTheme="minorHAnsi" w:cstheme="minorHAnsi"/>
          <w:bCs/>
          <w:sz w:val="22"/>
          <w:szCs w:val="22"/>
          <w:lang w:val="fr-CA"/>
        </w:rPr>
      </w:pPr>
      <w:r w:rsidRPr="00085A29">
        <w:rPr>
          <w:rFonts w:asciiTheme="minorHAnsi" w:eastAsiaTheme="minorHAnsi" w:hAnsiTheme="minorHAnsi" w:cstheme="minorHAnsi"/>
          <w:bCs/>
          <w:sz w:val="22"/>
          <w:szCs w:val="22"/>
          <w:lang w:val="fr-CA"/>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085A29">
        <w:rPr>
          <w:rStyle w:val="Emphasis"/>
          <w:rFonts w:asciiTheme="minorHAnsi" w:eastAsiaTheme="minorHAnsi" w:hAnsiTheme="minorHAnsi" w:cstheme="minorHAnsi"/>
          <w:sz w:val="22"/>
          <w:szCs w:val="18"/>
          <w:lang w:val="fr-CA"/>
        </w:rPr>
        <w:t>Loi sur l'emploi dans la fonction publique</w:t>
      </w:r>
      <w:r w:rsidRPr="00085A29">
        <w:rPr>
          <w:rFonts w:asciiTheme="minorHAnsi" w:eastAsiaTheme="minorHAnsi" w:hAnsiTheme="minorHAnsi" w:cstheme="minorHAnsi"/>
          <w:bCs/>
          <w:i/>
          <w:sz w:val="20"/>
          <w:lang w:val="fr-CA"/>
        </w:rPr>
        <w:t xml:space="preserve"> </w:t>
      </w:r>
      <w:r w:rsidRPr="00085A29">
        <w:rPr>
          <w:rFonts w:asciiTheme="minorHAnsi" w:eastAsiaTheme="minorHAnsi" w:hAnsiTheme="minorHAnsi" w:cstheme="minorHAnsi"/>
          <w:bCs/>
          <w:sz w:val="22"/>
          <w:szCs w:val="22"/>
          <w:lang w:val="fr-CA"/>
        </w:rPr>
        <w:t>pour les postes de durée déterminée et ceux pour une période indéterminée. Parce que le lien des données entre les systèmes utilise un jumelage probabiliste, des erreurs de mesure sont donc possibles.</w:t>
      </w:r>
    </w:p>
    <w:p w14:paraId="3C443ED7" w14:textId="77777777" w:rsidR="005E10CD" w:rsidRPr="00085A29" w:rsidRDefault="005E10CD" w:rsidP="005E10CD">
      <w:pPr>
        <w:pStyle w:val="ListParagraph"/>
        <w:numPr>
          <w:ilvl w:val="0"/>
          <w:numId w:val="31"/>
        </w:numPr>
        <w:spacing w:after="120"/>
        <w:ind w:left="360"/>
        <w:rPr>
          <w:rFonts w:asciiTheme="minorHAnsi" w:eastAsiaTheme="minorHAnsi" w:hAnsiTheme="minorHAnsi" w:cstheme="minorHAnsi"/>
          <w:bCs/>
          <w:sz w:val="22"/>
          <w:szCs w:val="22"/>
          <w:lang w:val="fr-CA"/>
        </w:rPr>
      </w:pPr>
      <w:r w:rsidRPr="00085A29">
        <w:rPr>
          <w:rFonts w:asciiTheme="minorHAnsi" w:eastAsiaTheme="minorHAnsi" w:hAnsiTheme="minorHAnsi" w:cstheme="minorHAnsi"/>
          <w:bCs/>
          <w:sz w:val="22"/>
          <w:szCs w:val="22"/>
          <w:lang w:val="fr-CA"/>
        </w:rPr>
        <w:t>Seules les nominations d'une durée déterminée et les nominations pour une période indéterminée sont incluses (les mutations, les nominations d’employés occasionnels et les nominations intérimaires sont exclues).</w:t>
      </w:r>
    </w:p>
    <w:p w14:paraId="212BA356" w14:textId="77777777" w:rsidR="005E10CD" w:rsidRPr="00085A29" w:rsidRDefault="005E10CD" w:rsidP="005E10CD">
      <w:pPr>
        <w:pStyle w:val="Heading1"/>
        <w:spacing w:after="120"/>
        <w:rPr>
          <w:lang w:val="fr-CA"/>
        </w:rPr>
      </w:pPr>
      <w:r w:rsidRPr="00085A29">
        <w:rPr>
          <w:lang w:val="fr-CA"/>
        </w:rPr>
        <w:t>Source :</w:t>
      </w:r>
    </w:p>
    <w:p w14:paraId="2225DCEE" w14:textId="77777777" w:rsidR="005E10CD" w:rsidRPr="00085A29" w:rsidRDefault="005E10CD" w:rsidP="005E10CD">
      <w:pPr>
        <w:pStyle w:val="ListParagraph"/>
        <w:numPr>
          <w:ilvl w:val="0"/>
          <w:numId w:val="31"/>
        </w:numPr>
        <w:spacing w:after="0"/>
        <w:ind w:left="360"/>
        <w:rPr>
          <w:rFonts w:asciiTheme="minorHAnsi" w:eastAsiaTheme="minorHAnsi" w:hAnsiTheme="minorHAnsi" w:cstheme="minorHAnsi"/>
          <w:bCs/>
          <w:sz w:val="22"/>
          <w:szCs w:val="22"/>
          <w:lang w:val="fr-CA"/>
        </w:rPr>
      </w:pPr>
      <w:r w:rsidRPr="00085A29">
        <w:rPr>
          <w:rFonts w:asciiTheme="minorHAnsi" w:eastAsiaTheme="minorHAnsi" w:hAnsiTheme="minorHAnsi" w:cstheme="minorHAnsi"/>
          <w:bCs/>
          <w:sz w:val="22"/>
          <w:szCs w:val="22"/>
          <w:lang w:val="fr-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21996344" w14:textId="77777777" w:rsidR="005E10CD" w:rsidRPr="00085A29" w:rsidRDefault="005E10CD" w:rsidP="005E10CD">
      <w:pPr>
        <w:pStyle w:val="ListParagraph"/>
        <w:numPr>
          <w:ilvl w:val="0"/>
          <w:numId w:val="31"/>
        </w:numPr>
        <w:spacing w:after="0"/>
        <w:ind w:left="360"/>
        <w:rPr>
          <w:rFonts w:asciiTheme="minorHAnsi" w:eastAsiaTheme="minorHAnsi" w:hAnsiTheme="minorHAnsi" w:cstheme="minorHAnsi"/>
          <w:bCs/>
          <w:sz w:val="22"/>
          <w:szCs w:val="22"/>
          <w:lang w:val="fr-CA"/>
        </w:rPr>
      </w:pPr>
      <w:r w:rsidRPr="00085A29">
        <w:rPr>
          <w:rFonts w:asciiTheme="minorHAnsi" w:eastAsiaTheme="minorHAnsi" w:hAnsiTheme="minorHAnsi" w:cstheme="minorHAnsi"/>
          <w:bCs/>
          <w:sz w:val="22"/>
          <w:szCs w:val="22"/>
          <w:lang w:val="fr-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1481E226" w14:textId="77777777" w:rsidR="005E10CD" w:rsidRPr="00085A29" w:rsidRDefault="005E10CD" w:rsidP="005E10CD">
      <w:pPr>
        <w:pStyle w:val="ListParagraph"/>
        <w:numPr>
          <w:ilvl w:val="0"/>
          <w:numId w:val="31"/>
        </w:numPr>
        <w:spacing w:after="0"/>
        <w:ind w:left="360"/>
        <w:rPr>
          <w:rFonts w:asciiTheme="minorHAnsi" w:eastAsiaTheme="minorHAnsi" w:hAnsiTheme="minorHAnsi" w:cstheme="minorHAnsi"/>
          <w:bCs/>
          <w:sz w:val="22"/>
          <w:szCs w:val="22"/>
          <w:lang w:val="fr-CA"/>
        </w:rPr>
      </w:pPr>
      <w:r w:rsidRPr="00085A29">
        <w:rPr>
          <w:rFonts w:asciiTheme="minorHAnsi" w:eastAsiaTheme="minorHAnsi" w:hAnsiTheme="minorHAnsi" w:cstheme="minorHAnsi"/>
          <w:bCs/>
          <w:sz w:val="22"/>
          <w:szCs w:val="22"/>
          <w:lang w:val="fr-CA"/>
        </w:rPr>
        <w:t>Ces données ne correspondent pas nécessairement aux donnés sur les ressources humaines de chaque organisation en raison des différences de méthodologie et des périodes visées par l’analyse.</w:t>
      </w:r>
    </w:p>
    <w:p w14:paraId="55CD995B" w14:textId="5CB2A4E5" w:rsidR="005E10CD" w:rsidRPr="00085A29" w:rsidRDefault="005E10CD" w:rsidP="005E10CD">
      <w:pPr>
        <w:pStyle w:val="ListParagraph"/>
        <w:numPr>
          <w:ilvl w:val="0"/>
          <w:numId w:val="29"/>
        </w:numPr>
        <w:spacing w:after="0"/>
        <w:ind w:left="36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w:t>
      </w:r>
      <w:r w:rsidR="00374684" w:rsidRPr="00085A29">
        <w:rPr>
          <w:rFonts w:asciiTheme="minorHAnsi" w:hAnsiTheme="minorHAnsi" w:cstheme="minorHAnsi"/>
          <w:sz w:val="22"/>
          <w:szCs w:val="22"/>
          <w:lang w:val="fr-CA"/>
        </w:rPr>
        <w:t>les nominations promotionnelles</w:t>
      </w:r>
      <w:r w:rsidRPr="00085A29">
        <w:rPr>
          <w:rFonts w:asciiTheme="minorHAnsi" w:hAnsiTheme="minorHAnsi" w:cstheme="minorHAnsi"/>
          <w:sz w:val="22"/>
          <w:szCs w:val="22"/>
          <w:lang w:val="fr-CA"/>
        </w:rPr>
        <w:t xml:space="preserve"> internes</w:t>
      </w:r>
    </w:p>
    <w:p w14:paraId="4B8111D3" w14:textId="77777777" w:rsidR="005E10CD" w:rsidRPr="00085A29" w:rsidRDefault="005E10CD" w:rsidP="005E10CD">
      <w:pPr>
        <w:pStyle w:val="ListParagraph"/>
        <w:numPr>
          <w:ilvl w:val="0"/>
          <w:numId w:val="29"/>
        </w:numPr>
        <w:spacing w:after="0"/>
        <w:ind w:left="360"/>
        <w:rPr>
          <w:rFonts w:asciiTheme="minorHAnsi" w:hAnsiTheme="minorHAnsi" w:cstheme="minorHAnsi"/>
          <w:sz w:val="22"/>
          <w:szCs w:val="22"/>
          <w:lang w:val="fr-CA"/>
        </w:rPr>
      </w:pPr>
      <w:r w:rsidRPr="00085A29">
        <w:rPr>
          <w:rFonts w:asciiTheme="minorHAnsi" w:hAnsiTheme="minorHAnsi" w:cstheme="minorHAnsi"/>
          <w:sz w:val="22"/>
          <w:szCs w:val="22"/>
          <w:lang w:val="fr-CA"/>
        </w:rPr>
        <w:t>Seules les nominations à des postes de durée déterminée et les nominations à des postes pour une période indéterminée sont incluses (les mutations, les nominations occasionnelles et les nominations intérimaires sont exclues)</w:t>
      </w:r>
    </w:p>
    <w:p w14:paraId="3195965B" w14:textId="77777777" w:rsidR="005E10CD" w:rsidRPr="00085A29" w:rsidRDefault="005E10CD" w:rsidP="005E10CD">
      <w:pPr>
        <w:pStyle w:val="ListParagraph"/>
        <w:numPr>
          <w:ilvl w:val="0"/>
          <w:numId w:val="29"/>
        </w:numPr>
        <w:spacing w:after="0"/>
        <w:ind w:left="360"/>
        <w:rPr>
          <w:rFonts w:asciiTheme="minorHAnsi" w:hAnsiTheme="minorHAnsi" w:cstheme="minorHAnsi"/>
          <w:sz w:val="22"/>
          <w:szCs w:val="22"/>
          <w:lang w:val="fr-CA"/>
        </w:rPr>
      </w:pPr>
      <w:r w:rsidRPr="00085A29">
        <w:rPr>
          <w:rFonts w:asciiTheme="minorHAnsi" w:hAnsiTheme="minorHAnsi" w:cstheme="minorHAnsi"/>
          <w:sz w:val="22"/>
          <w:szCs w:val="22"/>
          <w:lang w:val="fr-CA"/>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085A29">
        <w:rPr>
          <w:rStyle w:val="Emphasis"/>
          <w:rFonts w:asciiTheme="minorHAnsi" w:hAnsiTheme="minorHAnsi" w:cstheme="minorHAnsi"/>
          <w:sz w:val="22"/>
          <w:szCs w:val="18"/>
          <w:lang w:val="fr-CA"/>
        </w:rPr>
        <w:t>Loi sur l'emploi dans la fonction publique</w:t>
      </w:r>
      <w:r w:rsidRPr="00085A29">
        <w:rPr>
          <w:rFonts w:asciiTheme="minorHAnsi" w:hAnsiTheme="minorHAnsi" w:cstheme="minorHAnsi"/>
          <w:sz w:val="20"/>
          <w:lang w:val="fr-CA"/>
        </w:rPr>
        <w:t xml:space="preserve"> </w:t>
      </w:r>
      <w:r w:rsidRPr="00085A29">
        <w:rPr>
          <w:rFonts w:asciiTheme="minorHAnsi" w:hAnsiTheme="minorHAnsi" w:cstheme="minorHAnsi"/>
          <w:sz w:val="22"/>
          <w:szCs w:val="22"/>
          <w:lang w:val="fr-CA"/>
        </w:rPr>
        <w:t>pour les postes de durée déterminée et pour les postes pour une période indéterminée. Seules les nominations d’une durée déterminée et les nominations pour une période indéterminée sont incluses (les mutations, les nominations occasionnelles et les nominations intérimaires sont exclues)</w:t>
      </w:r>
    </w:p>
    <w:p w14:paraId="52B5FE91" w14:textId="77777777" w:rsidR="005E10CD" w:rsidRPr="00085A29" w:rsidRDefault="005E10CD" w:rsidP="005E10CD">
      <w:pPr>
        <w:pStyle w:val="ListParagraph"/>
        <w:numPr>
          <w:ilvl w:val="0"/>
          <w:numId w:val="29"/>
        </w:numPr>
        <w:spacing w:after="0"/>
        <w:ind w:left="360"/>
        <w:rPr>
          <w:rFonts w:asciiTheme="minorHAnsi" w:hAnsiTheme="minorHAnsi" w:cstheme="minorHAnsi"/>
          <w:sz w:val="22"/>
          <w:szCs w:val="22"/>
          <w:lang w:val="fr-CA"/>
        </w:rPr>
      </w:pPr>
      <w:r w:rsidRPr="00085A29">
        <w:rPr>
          <w:rFonts w:asciiTheme="minorHAnsi" w:hAnsiTheme="minorHAnsi" w:cstheme="minorHAnsi"/>
          <w:sz w:val="22"/>
          <w:szCs w:val="22"/>
          <w:lang w:val="fr-CA"/>
        </w:rPr>
        <w:t>Parce que le lien des données entre les systèmes utilise un jumelage probabiliste, des erreurs de mesure sont donc possibles</w:t>
      </w:r>
    </w:p>
    <w:p w14:paraId="2AF3F4E4" w14:textId="77777777" w:rsidR="005E10CD" w:rsidRPr="00085A29" w:rsidRDefault="005E10CD" w:rsidP="005E10CD">
      <w:pPr>
        <w:pStyle w:val="ListParagraph"/>
        <w:numPr>
          <w:ilvl w:val="0"/>
          <w:numId w:val="29"/>
        </w:numPr>
        <w:spacing w:after="0"/>
        <w:ind w:left="360"/>
        <w:rPr>
          <w:rFonts w:asciiTheme="minorHAnsi" w:hAnsiTheme="minorHAnsi" w:cstheme="minorHAnsi"/>
          <w:sz w:val="22"/>
          <w:szCs w:val="22"/>
          <w:lang w:val="fr-CA"/>
        </w:rPr>
      </w:pPr>
      <w:r w:rsidRPr="00085A29">
        <w:rPr>
          <w:rFonts w:asciiTheme="minorHAnsi" w:hAnsiTheme="minorHAnsi" w:cstheme="minorHAnsi"/>
          <w:sz w:val="22"/>
          <w:szCs w:val="22"/>
          <w:lang w:val="fr-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6C069E1A" w14:textId="77777777" w:rsidR="005E10CD" w:rsidRPr="00085A29" w:rsidRDefault="005E10CD" w:rsidP="005E10CD">
      <w:pPr>
        <w:pStyle w:val="ListParagraph"/>
        <w:numPr>
          <w:ilvl w:val="0"/>
          <w:numId w:val="29"/>
        </w:numPr>
        <w:spacing w:after="0"/>
        <w:ind w:left="360"/>
        <w:rPr>
          <w:rFonts w:asciiTheme="minorHAnsi" w:hAnsiTheme="minorHAnsi" w:cstheme="minorHAnsi"/>
          <w:sz w:val="22"/>
          <w:szCs w:val="22"/>
          <w:lang w:val="fr-CA"/>
        </w:rPr>
      </w:pPr>
      <w:r w:rsidRPr="00085A29">
        <w:rPr>
          <w:rFonts w:asciiTheme="minorHAnsi" w:hAnsiTheme="minorHAnsi" w:cstheme="minorHAnsi"/>
          <w:sz w:val="22"/>
          <w:szCs w:val="22"/>
          <w:lang w:val="fr-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54EC2C07" w14:textId="77777777" w:rsidR="005E10CD" w:rsidRPr="00085A29" w:rsidRDefault="005E10CD" w:rsidP="005E10CD">
      <w:pPr>
        <w:pStyle w:val="ListParagraph"/>
        <w:numPr>
          <w:ilvl w:val="0"/>
          <w:numId w:val="29"/>
        </w:numPr>
        <w:spacing w:after="0"/>
        <w:ind w:left="360"/>
        <w:rPr>
          <w:rFonts w:asciiTheme="minorHAnsi" w:hAnsiTheme="minorHAnsi" w:cstheme="minorHAnsi"/>
          <w:sz w:val="22"/>
          <w:szCs w:val="22"/>
          <w:lang w:val="fr-CA"/>
        </w:rPr>
      </w:pPr>
      <w:r w:rsidRPr="00085A29">
        <w:rPr>
          <w:rFonts w:asciiTheme="minorHAnsi" w:hAnsiTheme="minorHAnsi" w:cstheme="minorHAnsi"/>
          <w:sz w:val="22"/>
          <w:szCs w:val="22"/>
          <w:lang w:val="fr-CA"/>
        </w:rPr>
        <w:t>Ces données ne correspondent pas nécessairement aux donnés sur les ressources humaines de chaque organisation en raison des différences de méthodologie et des périodes visées par l’analyse.</w:t>
      </w:r>
    </w:p>
    <w:sectPr w:rsidR="005E10CD" w:rsidRPr="00085A29" w:rsidSect="007D61E0">
      <w:pgSz w:w="12240" w:h="20160" w:code="5"/>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D4B8" w14:textId="77777777" w:rsidR="00AF0A32" w:rsidRDefault="00AF0A32" w:rsidP="0051557E">
      <w:r>
        <w:separator/>
      </w:r>
    </w:p>
  </w:endnote>
  <w:endnote w:type="continuationSeparator" w:id="0">
    <w:p w14:paraId="39239A24" w14:textId="77777777" w:rsidR="00AF0A32" w:rsidRDefault="00AF0A32"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085C" w14:textId="77777777" w:rsidR="00222A7E" w:rsidRDefault="00222A7E">
    <w:pPr>
      <w:pStyle w:val="Footer"/>
    </w:pPr>
  </w:p>
  <w:p w14:paraId="4CCFE1D6" w14:textId="77777777" w:rsidR="00222A7E" w:rsidRDefault="00222A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42054"/>
      <w:docPartObj>
        <w:docPartGallery w:val="Page Numbers (Bottom of Page)"/>
        <w:docPartUnique/>
      </w:docPartObj>
    </w:sdtPr>
    <w:sdtEndPr/>
    <w:sdtContent>
      <w:p w14:paraId="3CB87218" w14:textId="4905DFFB" w:rsidR="00222A7E" w:rsidRDefault="00222A7E">
        <w:pPr>
          <w:pStyle w:val="Foo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221255"/>
      <w:docPartObj>
        <w:docPartGallery w:val="Page Numbers (Bottom of Page)"/>
        <w:docPartUnique/>
      </w:docPartObj>
    </w:sdtPr>
    <w:sdtEndPr/>
    <w:sdtContent>
      <w:p w14:paraId="6111CCAA" w14:textId="37E88764" w:rsidR="00222A7E" w:rsidRDefault="00222A7E">
        <w:pPr>
          <w:pStyle w:val="Foo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15BB" w14:textId="77777777" w:rsidR="00AF0A32" w:rsidRDefault="00AF0A32" w:rsidP="0051557E">
      <w:r>
        <w:separator/>
      </w:r>
    </w:p>
  </w:footnote>
  <w:footnote w:type="continuationSeparator" w:id="0">
    <w:p w14:paraId="6ED4A474" w14:textId="77777777" w:rsidR="00AF0A32" w:rsidRDefault="00AF0A32" w:rsidP="0051557E">
      <w:r>
        <w:continuationSeparator/>
      </w:r>
    </w:p>
  </w:footnote>
  <w:footnote w:id="1">
    <w:p w14:paraId="4C77D125" w14:textId="3E7A5BEF" w:rsidR="00222A7E" w:rsidRPr="00102C6D" w:rsidRDefault="00222A7E" w:rsidP="00221199">
      <w:pPr>
        <w:pStyle w:val="FootnoteText"/>
        <w:rPr>
          <w:rFonts w:asciiTheme="minorHAnsi" w:hAnsiTheme="minorHAnsi" w:cstheme="minorHAnsi"/>
        </w:rPr>
      </w:pPr>
      <w:r w:rsidRPr="00102C6D">
        <w:rPr>
          <w:rStyle w:val="FootnoteReference"/>
          <w:rFonts w:asciiTheme="minorHAnsi" w:hAnsiTheme="minorHAnsi" w:cstheme="minorHAnsi"/>
        </w:rPr>
        <w:footnoteRef/>
      </w:r>
      <w:r w:rsidRPr="00102C6D">
        <w:rPr>
          <w:rFonts w:asciiTheme="minorHAnsi" w:hAnsiTheme="minorHAnsi" w:cstheme="minorHAnsi"/>
        </w:rPr>
        <w:t xml:space="preserve"> </w:t>
      </w:r>
      <w:r>
        <w:rPr>
          <w:rFonts w:asciiTheme="minorHAnsi" w:hAnsiTheme="minorHAnsi" w:cstheme="minorHAnsi"/>
        </w:rPr>
        <w:t xml:space="preserve"> </w:t>
      </w:r>
      <w:r w:rsidRPr="00102C6D">
        <w:rPr>
          <w:rFonts w:asciiTheme="minorHAnsi" w:hAnsiTheme="minorHAnsi" w:cstheme="minorHAnsi"/>
        </w:rPr>
        <w:t>En date du 31 juillet 2020</w:t>
      </w:r>
    </w:p>
  </w:footnote>
  <w:footnote w:id="2">
    <w:p w14:paraId="2B9F5175" w14:textId="6F612DCA" w:rsidR="00222A7E" w:rsidRPr="00102C6D" w:rsidRDefault="00222A7E" w:rsidP="00221199">
      <w:pPr>
        <w:pStyle w:val="FootnoteText"/>
        <w:rPr>
          <w:rFonts w:asciiTheme="minorHAnsi" w:hAnsiTheme="minorHAnsi" w:cstheme="minorHAnsi"/>
        </w:rPr>
      </w:pPr>
      <w:r w:rsidRPr="00102C6D">
        <w:rPr>
          <w:rStyle w:val="FootnoteReference"/>
          <w:rFonts w:asciiTheme="minorHAnsi" w:hAnsiTheme="minorHAnsi" w:cstheme="minorHAnsi"/>
        </w:rPr>
        <w:footnoteRef/>
      </w:r>
      <w:r w:rsidRPr="00102C6D">
        <w:rPr>
          <w:rFonts w:asciiTheme="minorHAnsi" w:hAnsiTheme="minorHAnsi" w:cstheme="minorHAnsi"/>
        </w:rPr>
        <w:t xml:space="preserve"> En date du 31 juillet 2020</w:t>
      </w:r>
    </w:p>
  </w:footnote>
  <w:footnote w:id="3">
    <w:p w14:paraId="1A04C741" w14:textId="164D1DAB" w:rsidR="00222A7E" w:rsidRPr="00A21E06" w:rsidRDefault="00222A7E" w:rsidP="00221199">
      <w:pPr>
        <w:pStyle w:val="FootnoteText"/>
      </w:pPr>
      <w:r w:rsidRPr="00102C6D">
        <w:rPr>
          <w:rStyle w:val="FootnoteReference"/>
          <w:rFonts w:asciiTheme="minorHAnsi" w:hAnsiTheme="minorHAnsi" w:cstheme="minorHAnsi"/>
        </w:rPr>
        <w:footnoteRef/>
      </w:r>
      <w:r w:rsidRPr="00102C6D">
        <w:rPr>
          <w:rFonts w:asciiTheme="minorHAnsi" w:hAnsiTheme="minorHAnsi" w:cstheme="minorHAnsi"/>
        </w:rPr>
        <w:t xml:space="preserve"> En date du 31 mai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874F" w14:textId="77777777" w:rsidR="00222A7E" w:rsidRDefault="00222A7E">
    <w:pPr>
      <w:pStyle w:val="Header"/>
    </w:pPr>
  </w:p>
  <w:p w14:paraId="6B6262DD" w14:textId="77777777" w:rsidR="00222A7E" w:rsidRDefault="00222A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5A0"/>
    <w:multiLevelType w:val="multilevel"/>
    <w:tmpl w:val="3E9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870344"/>
    <w:multiLevelType w:val="hybridMultilevel"/>
    <w:tmpl w:val="527853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5A1A07"/>
    <w:multiLevelType w:val="hybridMultilevel"/>
    <w:tmpl w:val="5BF4F2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70252F"/>
    <w:multiLevelType w:val="hybridMultilevel"/>
    <w:tmpl w:val="8DD81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10"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E446C2"/>
    <w:multiLevelType w:val="hybridMultilevel"/>
    <w:tmpl w:val="7E840B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3394B60"/>
    <w:multiLevelType w:val="multilevel"/>
    <w:tmpl w:val="CFD0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F8358A"/>
    <w:multiLevelType w:val="hybridMultilevel"/>
    <w:tmpl w:val="476A1A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2E49C6"/>
    <w:multiLevelType w:val="multilevel"/>
    <w:tmpl w:val="F27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A23B6"/>
    <w:multiLevelType w:val="multilevel"/>
    <w:tmpl w:val="85C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C19D5"/>
    <w:multiLevelType w:val="hybridMultilevel"/>
    <w:tmpl w:val="F3D258B6"/>
    <w:lvl w:ilvl="0" w:tplc="10090005">
      <w:start w:val="1"/>
      <w:numFmt w:val="bullet"/>
      <w:lvlText w:val=""/>
      <w:lvlJc w:val="left"/>
      <w:pPr>
        <w:ind w:left="720" w:hanging="360"/>
      </w:pPr>
      <w:rPr>
        <w:rFonts w:ascii="Wingdings" w:hAnsi="Wingdings" w:hint="default"/>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E328DB"/>
    <w:multiLevelType w:val="hybridMultilevel"/>
    <w:tmpl w:val="0C72DE7E"/>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5B906229"/>
    <w:multiLevelType w:val="hybridMultilevel"/>
    <w:tmpl w:val="80B0519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FB27E77"/>
    <w:multiLevelType w:val="hybridMultilevel"/>
    <w:tmpl w:val="E4C6F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1F37F3"/>
    <w:multiLevelType w:val="hybridMultilevel"/>
    <w:tmpl w:val="682A848A"/>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A714D19"/>
    <w:multiLevelType w:val="multilevel"/>
    <w:tmpl w:val="F4F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821CFB"/>
    <w:multiLevelType w:val="hybridMultilevel"/>
    <w:tmpl w:val="264233CA"/>
    <w:lvl w:ilvl="0" w:tplc="1009000D">
      <w:start w:val="1"/>
      <w:numFmt w:val="bullet"/>
      <w:lvlText w:val=""/>
      <w:lvlJc w:val="left"/>
      <w:pPr>
        <w:ind w:left="360" w:hanging="360"/>
      </w:pPr>
      <w:rPr>
        <w:rFonts w:ascii="Wingdings" w:hAnsi="Wingdings" w:hint="default"/>
        <w:color w:val="auto"/>
        <w:lang w:val="en-CA"/>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DC61798"/>
    <w:multiLevelType w:val="hybridMultilevel"/>
    <w:tmpl w:val="CEDEAE66"/>
    <w:lvl w:ilvl="0" w:tplc="0CBE4C1A">
      <w:start w:val="1"/>
      <w:numFmt w:val="bullet"/>
      <w:lvlText w:val=""/>
      <w:lvlJc w:val="left"/>
      <w:pPr>
        <w:ind w:left="72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32" w15:restartNumberingAfterBreak="0">
    <w:nsid w:val="6E2B3984"/>
    <w:multiLevelType w:val="multilevel"/>
    <w:tmpl w:val="AEBAB3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Segoe UI Semilight" w:eastAsia="Times New Roman" w:hAnsi="Segoe UI Semilight" w:cs="Segoe UI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B3C14"/>
    <w:multiLevelType w:val="hybridMultilevel"/>
    <w:tmpl w:val="24A64E0A"/>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3">
      <w:start w:val="1"/>
      <w:numFmt w:val="bullet"/>
      <w:lvlText w:val="o"/>
      <w:lvlJc w:val="left"/>
      <w:pPr>
        <w:ind w:left="1800" w:hanging="360"/>
      </w:pPr>
      <w:rPr>
        <w:rFonts w:ascii="Courier New" w:hAnsi="Courier New" w:cs="Courier New"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80D54F1"/>
    <w:multiLevelType w:val="hybridMultilevel"/>
    <w:tmpl w:val="F3C68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E943FB2"/>
    <w:multiLevelType w:val="hybridMultilevel"/>
    <w:tmpl w:val="B7D63774"/>
    <w:lvl w:ilvl="0" w:tplc="10090001">
      <w:start w:val="1"/>
      <w:numFmt w:val="bullet"/>
      <w:lvlText w:val=""/>
      <w:lvlJc w:val="left"/>
      <w:pPr>
        <w:ind w:left="426"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9"/>
  </w:num>
  <w:num w:numId="2">
    <w:abstractNumId w:val="5"/>
  </w:num>
  <w:num w:numId="3">
    <w:abstractNumId w:val="32"/>
  </w:num>
  <w:num w:numId="4">
    <w:abstractNumId w:val="17"/>
  </w:num>
  <w:num w:numId="5">
    <w:abstractNumId w:val="28"/>
  </w:num>
  <w:num w:numId="6">
    <w:abstractNumId w:val="30"/>
  </w:num>
  <w:num w:numId="7">
    <w:abstractNumId w:val="33"/>
  </w:num>
  <w:num w:numId="8">
    <w:abstractNumId w:val="3"/>
  </w:num>
  <w:num w:numId="9">
    <w:abstractNumId w:val="4"/>
  </w:num>
  <w:num w:numId="10">
    <w:abstractNumId w:val="35"/>
  </w:num>
  <w:num w:numId="11">
    <w:abstractNumId w:val="7"/>
  </w:num>
  <w:num w:numId="12">
    <w:abstractNumId w:val="31"/>
  </w:num>
  <w:num w:numId="13">
    <w:abstractNumId w:val="36"/>
  </w:num>
  <w:num w:numId="14">
    <w:abstractNumId w:val="14"/>
  </w:num>
  <w:num w:numId="15">
    <w:abstractNumId w:val="25"/>
  </w:num>
  <w:num w:numId="16">
    <w:abstractNumId w:val="24"/>
  </w:num>
  <w:num w:numId="17">
    <w:abstractNumId w:val="21"/>
  </w:num>
  <w:num w:numId="18">
    <w:abstractNumId w:val="37"/>
  </w:num>
  <w:num w:numId="19">
    <w:abstractNumId w:val="22"/>
  </w:num>
  <w:num w:numId="20">
    <w:abstractNumId w:val="12"/>
  </w:num>
  <w:num w:numId="21">
    <w:abstractNumId w:val="16"/>
  </w:num>
  <w:num w:numId="22">
    <w:abstractNumId w:val="2"/>
  </w:num>
  <w:num w:numId="23">
    <w:abstractNumId w:val="27"/>
  </w:num>
  <w:num w:numId="24">
    <w:abstractNumId w:val="10"/>
  </w:num>
  <w:num w:numId="25">
    <w:abstractNumId w:val="9"/>
  </w:num>
  <w:num w:numId="26">
    <w:abstractNumId w:val="8"/>
  </w:num>
  <w:num w:numId="27">
    <w:abstractNumId w:val="26"/>
  </w:num>
  <w:num w:numId="28">
    <w:abstractNumId w:val="34"/>
  </w:num>
  <w:num w:numId="29">
    <w:abstractNumId w:val="11"/>
  </w:num>
  <w:num w:numId="30">
    <w:abstractNumId w:val="13"/>
  </w:num>
  <w:num w:numId="31">
    <w:abstractNumId w:val="6"/>
  </w:num>
  <w:num w:numId="32">
    <w:abstractNumId w:val="1"/>
  </w:num>
  <w:num w:numId="33">
    <w:abstractNumId w:val="18"/>
  </w:num>
  <w:num w:numId="34">
    <w:abstractNumId w:val="20"/>
  </w:num>
  <w:num w:numId="35">
    <w:abstractNumId w:val="0"/>
  </w:num>
  <w:num w:numId="36">
    <w:abstractNumId w:val="29"/>
  </w:num>
  <w:num w:numId="37">
    <w:abstractNumId w:val="15"/>
  </w:num>
  <w:num w:numId="3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trackRevisions/>
  <w:defaultTabStop w:val="720"/>
  <w:hyphenationZone w:val="425"/>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D3"/>
    <w:rsid w:val="0000124F"/>
    <w:rsid w:val="000053BE"/>
    <w:rsid w:val="00005F5A"/>
    <w:rsid w:val="00016E56"/>
    <w:rsid w:val="0002490C"/>
    <w:rsid w:val="00032AF6"/>
    <w:rsid w:val="00037946"/>
    <w:rsid w:val="0004030D"/>
    <w:rsid w:val="00040DB4"/>
    <w:rsid w:val="00045CAE"/>
    <w:rsid w:val="00054942"/>
    <w:rsid w:val="000560D2"/>
    <w:rsid w:val="00062DB3"/>
    <w:rsid w:val="00066628"/>
    <w:rsid w:val="00072766"/>
    <w:rsid w:val="00072CFA"/>
    <w:rsid w:val="00072D30"/>
    <w:rsid w:val="00073FE9"/>
    <w:rsid w:val="0008073E"/>
    <w:rsid w:val="0008173C"/>
    <w:rsid w:val="00082329"/>
    <w:rsid w:val="00082EB3"/>
    <w:rsid w:val="00085A29"/>
    <w:rsid w:val="00086418"/>
    <w:rsid w:val="00087717"/>
    <w:rsid w:val="0009024D"/>
    <w:rsid w:val="00095DCA"/>
    <w:rsid w:val="000A5B54"/>
    <w:rsid w:val="000A6CE5"/>
    <w:rsid w:val="000B0C9B"/>
    <w:rsid w:val="000C26A3"/>
    <w:rsid w:val="000C35F2"/>
    <w:rsid w:val="000D3530"/>
    <w:rsid w:val="000D76E7"/>
    <w:rsid w:val="000E21D6"/>
    <w:rsid w:val="000E39E6"/>
    <w:rsid w:val="000E7B28"/>
    <w:rsid w:val="000F0D26"/>
    <w:rsid w:val="000F523E"/>
    <w:rsid w:val="00102C6D"/>
    <w:rsid w:val="00104C00"/>
    <w:rsid w:val="001075A1"/>
    <w:rsid w:val="00110A47"/>
    <w:rsid w:val="00117D89"/>
    <w:rsid w:val="00127BD3"/>
    <w:rsid w:val="001305BD"/>
    <w:rsid w:val="0013558D"/>
    <w:rsid w:val="001409B4"/>
    <w:rsid w:val="001456F7"/>
    <w:rsid w:val="0015004D"/>
    <w:rsid w:val="00150FE7"/>
    <w:rsid w:val="00156B50"/>
    <w:rsid w:val="00163487"/>
    <w:rsid w:val="00175DA7"/>
    <w:rsid w:val="00184E4F"/>
    <w:rsid w:val="00186FBD"/>
    <w:rsid w:val="00187BE5"/>
    <w:rsid w:val="00190EB1"/>
    <w:rsid w:val="00197899"/>
    <w:rsid w:val="001A127D"/>
    <w:rsid w:val="001A2438"/>
    <w:rsid w:val="001A5C0C"/>
    <w:rsid w:val="001A6DF2"/>
    <w:rsid w:val="001B597B"/>
    <w:rsid w:val="001B7F9B"/>
    <w:rsid w:val="001C1A24"/>
    <w:rsid w:val="001C3142"/>
    <w:rsid w:val="001C3517"/>
    <w:rsid w:val="001C63D8"/>
    <w:rsid w:val="001D3E12"/>
    <w:rsid w:val="001D692D"/>
    <w:rsid w:val="001E063A"/>
    <w:rsid w:val="001E5A69"/>
    <w:rsid w:val="001E5C99"/>
    <w:rsid w:val="001E5F59"/>
    <w:rsid w:val="001E6DB5"/>
    <w:rsid w:val="001F28FE"/>
    <w:rsid w:val="002034CA"/>
    <w:rsid w:val="002056BF"/>
    <w:rsid w:val="0020785C"/>
    <w:rsid w:val="00207F88"/>
    <w:rsid w:val="00210749"/>
    <w:rsid w:val="00215572"/>
    <w:rsid w:val="00220AB2"/>
    <w:rsid w:val="00221199"/>
    <w:rsid w:val="00222A7E"/>
    <w:rsid w:val="00223266"/>
    <w:rsid w:val="00223532"/>
    <w:rsid w:val="00226071"/>
    <w:rsid w:val="00237B04"/>
    <w:rsid w:val="00242B78"/>
    <w:rsid w:val="00244AA6"/>
    <w:rsid w:val="00244CD0"/>
    <w:rsid w:val="00253093"/>
    <w:rsid w:val="00262923"/>
    <w:rsid w:val="002727AE"/>
    <w:rsid w:val="0027539C"/>
    <w:rsid w:val="002771CB"/>
    <w:rsid w:val="0027727E"/>
    <w:rsid w:val="00283DF2"/>
    <w:rsid w:val="00290EF3"/>
    <w:rsid w:val="002930B8"/>
    <w:rsid w:val="002A31E3"/>
    <w:rsid w:val="002A7092"/>
    <w:rsid w:val="002B20D8"/>
    <w:rsid w:val="002B3D4E"/>
    <w:rsid w:val="002C05C5"/>
    <w:rsid w:val="002C0BE0"/>
    <w:rsid w:val="002D653E"/>
    <w:rsid w:val="002E0281"/>
    <w:rsid w:val="002E2944"/>
    <w:rsid w:val="00304A4F"/>
    <w:rsid w:val="003133DC"/>
    <w:rsid w:val="00315688"/>
    <w:rsid w:val="003204CB"/>
    <w:rsid w:val="0032101A"/>
    <w:rsid w:val="00321F63"/>
    <w:rsid w:val="00326D6B"/>
    <w:rsid w:val="0033213E"/>
    <w:rsid w:val="003340A0"/>
    <w:rsid w:val="00334ECC"/>
    <w:rsid w:val="00356BA9"/>
    <w:rsid w:val="003578BD"/>
    <w:rsid w:val="00361F2A"/>
    <w:rsid w:val="00372539"/>
    <w:rsid w:val="00374684"/>
    <w:rsid w:val="0037735D"/>
    <w:rsid w:val="00377667"/>
    <w:rsid w:val="00381EF5"/>
    <w:rsid w:val="0038556F"/>
    <w:rsid w:val="0039328E"/>
    <w:rsid w:val="00397A4A"/>
    <w:rsid w:val="003A0CDE"/>
    <w:rsid w:val="003B12FB"/>
    <w:rsid w:val="003C08D9"/>
    <w:rsid w:val="003C4263"/>
    <w:rsid w:val="003D09A8"/>
    <w:rsid w:val="003D1BA1"/>
    <w:rsid w:val="003D2545"/>
    <w:rsid w:val="003D2915"/>
    <w:rsid w:val="003D486E"/>
    <w:rsid w:val="003E4498"/>
    <w:rsid w:val="003F0D05"/>
    <w:rsid w:val="003F14E8"/>
    <w:rsid w:val="003F4AB0"/>
    <w:rsid w:val="00402196"/>
    <w:rsid w:val="00403390"/>
    <w:rsid w:val="0040672C"/>
    <w:rsid w:val="00416E76"/>
    <w:rsid w:val="00417F15"/>
    <w:rsid w:val="00424974"/>
    <w:rsid w:val="00426DC8"/>
    <w:rsid w:val="004460BE"/>
    <w:rsid w:val="004525A1"/>
    <w:rsid w:val="00456D8E"/>
    <w:rsid w:val="0046057E"/>
    <w:rsid w:val="00463970"/>
    <w:rsid w:val="00473C63"/>
    <w:rsid w:val="0047739C"/>
    <w:rsid w:val="00477B10"/>
    <w:rsid w:val="004824AF"/>
    <w:rsid w:val="00483866"/>
    <w:rsid w:val="00492D1F"/>
    <w:rsid w:val="00493B8B"/>
    <w:rsid w:val="004A12A5"/>
    <w:rsid w:val="004A5A88"/>
    <w:rsid w:val="004A7FAA"/>
    <w:rsid w:val="004B0D0A"/>
    <w:rsid w:val="004D06EA"/>
    <w:rsid w:val="004D7CF6"/>
    <w:rsid w:val="004E4120"/>
    <w:rsid w:val="004F2540"/>
    <w:rsid w:val="004F3A81"/>
    <w:rsid w:val="004F3D6A"/>
    <w:rsid w:val="004F4BB9"/>
    <w:rsid w:val="004F66B5"/>
    <w:rsid w:val="005025E7"/>
    <w:rsid w:val="00514C5C"/>
    <w:rsid w:val="0051557E"/>
    <w:rsid w:val="00521689"/>
    <w:rsid w:val="00524263"/>
    <w:rsid w:val="00527A4A"/>
    <w:rsid w:val="00531BC2"/>
    <w:rsid w:val="00532237"/>
    <w:rsid w:val="005354F7"/>
    <w:rsid w:val="00540AB0"/>
    <w:rsid w:val="00541BA9"/>
    <w:rsid w:val="00544925"/>
    <w:rsid w:val="00547467"/>
    <w:rsid w:val="00552B29"/>
    <w:rsid w:val="00553B0F"/>
    <w:rsid w:val="0055497D"/>
    <w:rsid w:val="00561F51"/>
    <w:rsid w:val="00565598"/>
    <w:rsid w:val="005817C9"/>
    <w:rsid w:val="0058273B"/>
    <w:rsid w:val="00584F8C"/>
    <w:rsid w:val="005854F9"/>
    <w:rsid w:val="00585567"/>
    <w:rsid w:val="00586C61"/>
    <w:rsid w:val="005A0809"/>
    <w:rsid w:val="005A12AC"/>
    <w:rsid w:val="005A6D02"/>
    <w:rsid w:val="005B3C36"/>
    <w:rsid w:val="005B7E30"/>
    <w:rsid w:val="005C26F2"/>
    <w:rsid w:val="005C2DBC"/>
    <w:rsid w:val="005C5EFF"/>
    <w:rsid w:val="005D779E"/>
    <w:rsid w:val="005E10CD"/>
    <w:rsid w:val="005E5B69"/>
    <w:rsid w:val="005F4C48"/>
    <w:rsid w:val="005F67C9"/>
    <w:rsid w:val="006039A6"/>
    <w:rsid w:val="00607D85"/>
    <w:rsid w:val="00611100"/>
    <w:rsid w:val="0061555E"/>
    <w:rsid w:val="00617E5E"/>
    <w:rsid w:val="0062414E"/>
    <w:rsid w:val="006243EE"/>
    <w:rsid w:val="006261D5"/>
    <w:rsid w:val="00631C81"/>
    <w:rsid w:val="00640645"/>
    <w:rsid w:val="00642043"/>
    <w:rsid w:val="0064589B"/>
    <w:rsid w:val="00646AA9"/>
    <w:rsid w:val="00651E4A"/>
    <w:rsid w:val="006528D5"/>
    <w:rsid w:val="0065606A"/>
    <w:rsid w:val="00664A9D"/>
    <w:rsid w:val="00670821"/>
    <w:rsid w:val="0067148C"/>
    <w:rsid w:val="006719EE"/>
    <w:rsid w:val="006777AD"/>
    <w:rsid w:val="006836FA"/>
    <w:rsid w:val="006864EB"/>
    <w:rsid w:val="00696455"/>
    <w:rsid w:val="006A0AEC"/>
    <w:rsid w:val="006A246A"/>
    <w:rsid w:val="006A4246"/>
    <w:rsid w:val="006A60CF"/>
    <w:rsid w:val="006B3DDE"/>
    <w:rsid w:val="006B4C63"/>
    <w:rsid w:val="006B762B"/>
    <w:rsid w:val="006C45D3"/>
    <w:rsid w:val="006D0552"/>
    <w:rsid w:val="006E022A"/>
    <w:rsid w:val="006E15CB"/>
    <w:rsid w:val="006E1E14"/>
    <w:rsid w:val="006E2A3D"/>
    <w:rsid w:val="006E2A5B"/>
    <w:rsid w:val="006E3CFD"/>
    <w:rsid w:val="006E5155"/>
    <w:rsid w:val="006F6036"/>
    <w:rsid w:val="006F799C"/>
    <w:rsid w:val="00704C8C"/>
    <w:rsid w:val="00711442"/>
    <w:rsid w:val="007205F3"/>
    <w:rsid w:val="00722EAD"/>
    <w:rsid w:val="0073377E"/>
    <w:rsid w:val="00736359"/>
    <w:rsid w:val="00737308"/>
    <w:rsid w:val="007378D3"/>
    <w:rsid w:val="00747BBC"/>
    <w:rsid w:val="007537E8"/>
    <w:rsid w:val="00753DD5"/>
    <w:rsid w:val="00753E9B"/>
    <w:rsid w:val="0075426F"/>
    <w:rsid w:val="00754DD8"/>
    <w:rsid w:val="007558EC"/>
    <w:rsid w:val="00756E78"/>
    <w:rsid w:val="00772D34"/>
    <w:rsid w:val="007812F1"/>
    <w:rsid w:val="00784F59"/>
    <w:rsid w:val="00785388"/>
    <w:rsid w:val="00794616"/>
    <w:rsid w:val="007A43F7"/>
    <w:rsid w:val="007A7442"/>
    <w:rsid w:val="007B2036"/>
    <w:rsid w:val="007B2FD4"/>
    <w:rsid w:val="007B3302"/>
    <w:rsid w:val="007B46A5"/>
    <w:rsid w:val="007C0D88"/>
    <w:rsid w:val="007C5CAC"/>
    <w:rsid w:val="007D1C83"/>
    <w:rsid w:val="007D3AAA"/>
    <w:rsid w:val="007D61E0"/>
    <w:rsid w:val="007E26FC"/>
    <w:rsid w:val="00804B47"/>
    <w:rsid w:val="00807A27"/>
    <w:rsid w:val="00816688"/>
    <w:rsid w:val="00822C76"/>
    <w:rsid w:val="00824FA6"/>
    <w:rsid w:val="0083500E"/>
    <w:rsid w:val="00837999"/>
    <w:rsid w:val="008456A8"/>
    <w:rsid w:val="00851267"/>
    <w:rsid w:val="00851D27"/>
    <w:rsid w:val="00853613"/>
    <w:rsid w:val="00854A83"/>
    <w:rsid w:val="0085583C"/>
    <w:rsid w:val="00866F51"/>
    <w:rsid w:val="00882AEA"/>
    <w:rsid w:val="00883F53"/>
    <w:rsid w:val="00893843"/>
    <w:rsid w:val="008A119E"/>
    <w:rsid w:val="008A14CA"/>
    <w:rsid w:val="008A6D0A"/>
    <w:rsid w:val="008B0CEB"/>
    <w:rsid w:val="008B5432"/>
    <w:rsid w:val="008D2038"/>
    <w:rsid w:val="008D2A17"/>
    <w:rsid w:val="008D6E42"/>
    <w:rsid w:val="008E7708"/>
    <w:rsid w:val="009069A3"/>
    <w:rsid w:val="00916681"/>
    <w:rsid w:val="00922BCF"/>
    <w:rsid w:val="009257EB"/>
    <w:rsid w:val="009273E6"/>
    <w:rsid w:val="00932646"/>
    <w:rsid w:val="0093312B"/>
    <w:rsid w:val="00935255"/>
    <w:rsid w:val="00935513"/>
    <w:rsid w:val="00936EB0"/>
    <w:rsid w:val="009374C8"/>
    <w:rsid w:val="009379A5"/>
    <w:rsid w:val="00947924"/>
    <w:rsid w:val="00953CEB"/>
    <w:rsid w:val="009552DB"/>
    <w:rsid w:val="00957A14"/>
    <w:rsid w:val="0096021A"/>
    <w:rsid w:val="0096027D"/>
    <w:rsid w:val="00972EC5"/>
    <w:rsid w:val="00985881"/>
    <w:rsid w:val="00997D3F"/>
    <w:rsid w:val="009A3004"/>
    <w:rsid w:val="009A53AD"/>
    <w:rsid w:val="009A71E7"/>
    <w:rsid w:val="009C0A70"/>
    <w:rsid w:val="009C3F42"/>
    <w:rsid w:val="009C5464"/>
    <w:rsid w:val="009C5FFA"/>
    <w:rsid w:val="009D1233"/>
    <w:rsid w:val="009D4995"/>
    <w:rsid w:val="009D739B"/>
    <w:rsid w:val="009E1F70"/>
    <w:rsid w:val="009F4149"/>
    <w:rsid w:val="009F4B70"/>
    <w:rsid w:val="009F4F98"/>
    <w:rsid w:val="00A00E2B"/>
    <w:rsid w:val="00A05E76"/>
    <w:rsid w:val="00A1151E"/>
    <w:rsid w:val="00A11775"/>
    <w:rsid w:val="00A1445D"/>
    <w:rsid w:val="00A1489F"/>
    <w:rsid w:val="00A22DA3"/>
    <w:rsid w:val="00A27868"/>
    <w:rsid w:val="00A3180E"/>
    <w:rsid w:val="00A3677B"/>
    <w:rsid w:val="00A41E30"/>
    <w:rsid w:val="00A504E3"/>
    <w:rsid w:val="00A54EF1"/>
    <w:rsid w:val="00A5753A"/>
    <w:rsid w:val="00A620EB"/>
    <w:rsid w:val="00A6338F"/>
    <w:rsid w:val="00A64055"/>
    <w:rsid w:val="00A64FC0"/>
    <w:rsid w:val="00A65CC6"/>
    <w:rsid w:val="00A73D2B"/>
    <w:rsid w:val="00A749AA"/>
    <w:rsid w:val="00A761D7"/>
    <w:rsid w:val="00A764CD"/>
    <w:rsid w:val="00A77330"/>
    <w:rsid w:val="00A77B7A"/>
    <w:rsid w:val="00A8431F"/>
    <w:rsid w:val="00A917E6"/>
    <w:rsid w:val="00AA2D72"/>
    <w:rsid w:val="00AA4D6D"/>
    <w:rsid w:val="00AA7648"/>
    <w:rsid w:val="00AB0DFD"/>
    <w:rsid w:val="00AB6E97"/>
    <w:rsid w:val="00AC4C15"/>
    <w:rsid w:val="00AC59C6"/>
    <w:rsid w:val="00AE3AE1"/>
    <w:rsid w:val="00AE3C60"/>
    <w:rsid w:val="00AE3ED7"/>
    <w:rsid w:val="00AE542F"/>
    <w:rsid w:val="00AF0A32"/>
    <w:rsid w:val="00B11B5F"/>
    <w:rsid w:val="00B11FA2"/>
    <w:rsid w:val="00B20885"/>
    <w:rsid w:val="00B21FC6"/>
    <w:rsid w:val="00B3146D"/>
    <w:rsid w:val="00B326B9"/>
    <w:rsid w:val="00B3678B"/>
    <w:rsid w:val="00B3741C"/>
    <w:rsid w:val="00B42535"/>
    <w:rsid w:val="00B441AD"/>
    <w:rsid w:val="00B4517A"/>
    <w:rsid w:val="00B5070F"/>
    <w:rsid w:val="00B51FD6"/>
    <w:rsid w:val="00B52F7C"/>
    <w:rsid w:val="00B54799"/>
    <w:rsid w:val="00B556ED"/>
    <w:rsid w:val="00B56B84"/>
    <w:rsid w:val="00B607B4"/>
    <w:rsid w:val="00B611E8"/>
    <w:rsid w:val="00B61A31"/>
    <w:rsid w:val="00B65811"/>
    <w:rsid w:val="00B70292"/>
    <w:rsid w:val="00B731A8"/>
    <w:rsid w:val="00B768E7"/>
    <w:rsid w:val="00B83843"/>
    <w:rsid w:val="00B847A1"/>
    <w:rsid w:val="00B84BB3"/>
    <w:rsid w:val="00B91EE8"/>
    <w:rsid w:val="00B965A0"/>
    <w:rsid w:val="00BA137C"/>
    <w:rsid w:val="00BA40E2"/>
    <w:rsid w:val="00BB088D"/>
    <w:rsid w:val="00BB0EC1"/>
    <w:rsid w:val="00BB1D0F"/>
    <w:rsid w:val="00BB3E94"/>
    <w:rsid w:val="00BB3FB0"/>
    <w:rsid w:val="00BB746F"/>
    <w:rsid w:val="00BC1799"/>
    <w:rsid w:val="00BC1F66"/>
    <w:rsid w:val="00BC2D9D"/>
    <w:rsid w:val="00BC5625"/>
    <w:rsid w:val="00BD2C7C"/>
    <w:rsid w:val="00BD3130"/>
    <w:rsid w:val="00BD4C6B"/>
    <w:rsid w:val="00BD5415"/>
    <w:rsid w:val="00BE4F0A"/>
    <w:rsid w:val="00BF4FF0"/>
    <w:rsid w:val="00BF683E"/>
    <w:rsid w:val="00C06D5C"/>
    <w:rsid w:val="00C108D5"/>
    <w:rsid w:val="00C12780"/>
    <w:rsid w:val="00C31696"/>
    <w:rsid w:val="00C330C1"/>
    <w:rsid w:val="00C35646"/>
    <w:rsid w:val="00C43532"/>
    <w:rsid w:val="00C562F1"/>
    <w:rsid w:val="00C56876"/>
    <w:rsid w:val="00C56F1C"/>
    <w:rsid w:val="00C5732B"/>
    <w:rsid w:val="00C6296B"/>
    <w:rsid w:val="00C6488E"/>
    <w:rsid w:val="00C73191"/>
    <w:rsid w:val="00C741D8"/>
    <w:rsid w:val="00C77509"/>
    <w:rsid w:val="00C83BF4"/>
    <w:rsid w:val="00C8417D"/>
    <w:rsid w:val="00C90FCF"/>
    <w:rsid w:val="00C91AC5"/>
    <w:rsid w:val="00C932FE"/>
    <w:rsid w:val="00CA36C5"/>
    <w:rsid w:val="00CA7605"/>
    <w:rsid w:val="00CB4A42"/>
    <w:rsid w:val="00CB6F15"/>
    <w:rsid w:val="00CB75B6"/>
    <w:rsid w:val="00CC00D1"/>
    <w:rsid w:val="00CC2F76"/>
    <w:rsid w:val="00CD0BF5"/>
    <w:rsid w:val="00CD547E"/>
    <w:rsid w:val="00CE0785"/>
    <w:rsid w:val="00CE2137"/>
    <w:rsid w:val="00CF72A6"/>
    <w:rsid w:val="00CF792B"/>
    <w:rsid w:val="00D03228"/>
    <w:rsid w:val="00D22AB2"/>
    <w:rsid w:val="00D3041C"/>
    <w:rsid w:val="00D40877"/>
    <w:rsid w:val="00D71AEA"/>
    <w:rsid w:val="00D742C0"/>
    <w:rsid w:val="00D90B46"/>
    <w:rsid w:val="00DA0C46"/>
    <w:rsid w:val="00DA6A72"/>
    <w:rsid w:val="00DA7ECF"/>
    <w:rsid w:val="00DB08B9"/>
    <w:rsid w:val="00DB4A61"/>
    <w:rsid w:val="00DC0C53"/>
    <w:rsid w:val="00DC3431"/>
    <w:rsid w:val="00DC432C"/>
    <w:rsid w:val="00DD0938"/>
    <w:rsid w:val="00DD22C9"/>
    <w:rsid w:val="00DD5A7F"/>
    <w:rsid w:val="00DE7011"/>
    <w:rsid w:val="00DE71B3"/>
    <w:rsid w:val="00E01020"/>
    <w:rsid w:val="00E01FD9"/>
    <w:rsid w:val="00E04814"/>
    <w:rsid w:val="00E16642"/>
    <w:rsid w:val="00E209B4"/>
    <w:rsid w:val="00E21E43"/>
    <w:rsid w:val="00E25039"/>
    <w:rsid w:val="00E26903"/>
    <w:rsid w:val="00E31DCC"/>
    <w:rsid w:val="00E359FF"/>
    <w:rsid w:val="00E3612B"/>
    <w:rsid w:val="00E462A7"/>
    <w:rsid w:val="00E53E8E"/>
    <w:rsid w:val="00E5653F"/>
    <w:rsid w:val="00E73833"/>
    <w:rsid w:val="00E73E57"/>
    <w:rsid w:val="00E86AF0"/>
    <w:rsid w:val="00E909D6"/>
    <w:rsid w:val="00E9514A"/>
    <w:rsid w:val="00E97540"/>
    <w:rsid w:val="00EA16EA"/>
    <w:rsid w:val="00EA42BC"/>
    <w:rsid w:val="00EB2837"/>
    <w:rsid w:val="00EC0220"/>
    <w:rsid w:val="00EC192F"/>
    <w:rsid w:val="00EC42F7"/>
    <w:rsid w:val="00ED7F0A"/>
    <w:rsid w:val="00F00A6B"/>
    <w:rsid w:val="00F0540E"/>
    <w:rsid w:val="00F17078"/>
    <w:rsid w:val="00F20C41"/>
    <w:rsid w:val="00F21970"/>
    <w:rsid w:val="00F21A30"/>
    <w:rsid w:val="00F24384"/>
    <w:rsid w:val="00F24746"/>
    <w:rsid w:val="00F302D2"/>
    <w:rsid w:val="00F5798F"/>
    <w:rsid w:val="00F6161B"/>
    <w:rsid w:val="00F61891"/>
    <w:rsid w:val="00F74F1E"/>
    <w:rsid w:val="00F84671"/>
    <w:rsid w:val="00F873D5"/>
    <w:rsid w:val="00F91EE3"/>
    <w:rsid w:val="00F92EEA"/>
    <w:rsid w:val="00FB22AE"/>
    <w:rsid w:val="00FB3272"/>
    <w:rsid w:val="00FB5783"/>
    <w:rsid w:val="00FC2CE0"/>
    <w:rsid w:val="00FC4C31"/>
    <w:rsid w:val="00FD1620"/>
    <w:rsid w:val="00FD2F0E"/>
    <w:rsid w:val="00FD2F98"/>
    <w:rsid w:val="00FD5B3C"/>
    <w:rsid w:val="00FD70D0"/>
    <w:rsid w:val="00FE2B53"/>
    <w:rsid w:val="00FE6947"/>
    <w:rsid w:val="00FE7448"/>
    <w:rsid w:val="00FF1930"/>
    <w:rsid w:val="00FF3D32"/>
    <w:rsid w:val="00FF61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F677E"/>
  <w15:chartTrackingRefBased/>
  <w15:docId w15:val="{547E4A38-FC11-475C-8940-542D5CF5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4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FR"/>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FR"/>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FR"/>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FR"/>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FR"/>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FR"/>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FR"/>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FR"/>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FR"/>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Liste 1"/>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FR"/>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210749"/>
    <w:rPr>
      <w:rFonts w:ascii="Segoe UI Semibold" w:hAnsi="Segoe UI Semibold"/>
      <w:b w:val="0"/>
      <w:color w:val="54575A" w:themeColor="text1"/>
    </w:rPr>
  </w:style>
  <w:style w:type="paragraph" w:styleId="Title">
    <w:name w:val="Title"/>
    <w:basedOn w:val="Normal"/>
    <w:next w:val="Normal"/>
    <w:link w:val="TitleChar"/>
    <w:autoRedefine/>
    <w:uiPriority w:val="10"/>
    <w:qFormat/>
    <w:rsid w:val="00B83843"/>
    <w:pPr>
      <w:spacing w:before="100" w:beforeAutospacing="1" w:after="100" w:afterAutospacing="1"/>
      <w:contextualSpacing/>
      <w:jc w:val="center"/>
    </w:pPr>
    <w:rPr>
      <w:rFonts w:asciiTheme="majorHAnsi" w:eastAsiaTheme="majorEastAsia" w:hAnsiTheme="majorHAnsi" w:cstheme="majorHAnsi"/>
      <w:spacing w:val="-10"/>
      <w:kern w:val="28"/>
      <w:sz w:val="44"/>
      <w:szCs w:val="44"/>
    </w:rPr>
  </w:style>
  <w:style w:type="character" w:customStyle="1" w:styleId="TitleChar">
    <w:name w:val="Title Char"/>
    <w:basedOn w:val="DefaultParagraphFont"/>
    <w:link w:val="Title"/>
    <w:uiPriority w:val="10"/>
    <w:rsid w:val="00B83843"/>
    <w:rPr>
      <w:rFonts w:asciiTheme="majorHAnsi" w:eastAsiaTheme="majorEastAsia" w:hAnsiTheme="majorHAnsi" w:cstheme="majorHAnsi"/>
      <w:spacing w:val="-10"/>
      <w:kern w:val="28"/>
      <w:sz w:val="44"/>
      <w:szCs w:val="44"/>
    </w:rPr>
  </w:style>
  <w:style w:type="paragraph" w:customStyle="1" w:styleId="Style2">
    <w:name w:val="Style2"/>
    <w:basedOn w:val="Normal"/>
    <w:link w:val="Style2Char"/>
    <w:qFormat/>
    <w:rsid w:val="007378D3"/>
    <w:pPr>
      <w:shd w:val="clear" w:color="auto" w:fill="F2F2F2"/>
    </w:pPr>
    <w:rPr>
      <w:rFonts w:ascii="Arial" w:hAnsi="Arial" w:cs="Arial"/>
      <w:b/>
      <w:color w:val="009999"/>
      <w:spacing w:val="-10"/>
    </w:rPr>
  </w:style>
  <w:style w:type="character" w:customStyle="1" w:styleId="Style2Char">
    <w:name w:val="Style2 Char"/>
    <w:basedOn w:val="DefaultParagraphFont"/>
    <w:link w:val="Style2"/>
    <w:rsid w:val="007378D3"/>
    <w:rPr>
      <w:rFonts w:ascii="Arial" w:eastAsia="Times New Roman" w:hAnsi="Arial" w:cs="Arial"/>
      <w:b/>
      <w:color w:val="009999"/>
      <w:spacing w:val="-10"/>
      <w:shd w:val="clear" w:color="auto" w:fill="F2F2F2"/>
    </w:rPr>
  </w:style>
  <w:style w:type="paragraph" w:customStyle="1" w:styleId="Style4">
    <w:name w:val="Style4"/>
    <w:basedOn w:val="Normal"/>
    <w:link w:val="Style4Char"/>
    <w:qFormat/>
    <w:rsid w:val="007378D3"/>
    <w:rPr>
      <w:rFonts w:ascii="Arial" w:hAnsi="Arial" w:cs="Arial"/>
      <w:u w:val="single"/>
      <w:lang w:eastAsia="en-CA"/>
    </w:rPr>
  </w:style>
  <w:style w:type="character" w:customStyle="1" w:styleId="Style4Char">
    <w:name w:val="Style4 Char"/>
    <w:basedOn w:val="DefaultParagraphFont"/>
    <w:link w:val="Style4"/>
    <w:rsid w:val="007378D3"/>
    <w:rPr>
      <w:rFonts w:ascii="Arial" w:eastAsia="Times New Roman" w:hAnsi="Arial" w:cs="Arial"/>
      <w:u w:val="single"/>
      <w:lang w:eastAsia="en-CA"/>
    </w:rPr>
  </w:style>
  <w:style w:type="paragraph" w:styleId="NormalWeb">
    <w:name w:val="Normal (Web)"/>
    <w:basedOn w:val="Normal"/>
    <w:uiPriority w:val="99"/>
    <w:unhideWhenUsed/>
    <w:rsid w:val="007378D3"/>
    <w:pPr>
      <w:spacing w:before="100" w:beforeAutospacing="1" w:after="100" w:afterAutospacing="1"/>
    </w:pPr>
    <w:rPr>
      <w:rFonts w:ascii="Verdana" w:hAnsi="Verdana"/>
      <w:szCs w:val="24"/>
    </w:rPr>
  </w:style>
  <w:style w:type="paragraph" w:customStyle="1" w:styleId="Level1">
    <w:name w:val="Level 1"/>
    <w:basedOn w:val="Normal"/>
    <w:uiPriority w:val="99"/>
    <w:rsid w:val="007378D3"/>
    <w:pPr>
      <w:widowControl w:val="0"/>
    </w:pPr>
  </w:style>
  <w:style w:type="character" w:styleId="Hyperlink">
    <w:name w:val="Hyperlink"/>
    <w:uiPriority w:val="99"/>
    <w:unhideWhenUsed/>
    <w:rsid w:val="007378D3"/>
    <w:rPr>
      <w:color w:val="0563C1"/>
      <w:u w:val="single"/>
    </w:rPr>
  </w:style>
  <w:style w:type="paragraph" w:styleId="NoSpacing">
    <w:name w:val="No Spacing"/>
    <w:uiPriority w:val="1"/>
    <w:qFormat/>
    <w:rsid w:val="007378D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7378D3"/>
    <w:pPr>
      <w:pBdr>
        <w:bottom w:val="single" w:sz="4" w:space="1" w:color="92D050"/>
      </w:pBdr>
      <w:autoSpaceDE w:val="0"/>
      <w:autoSpaceDN w:val="0"/>
      <w:adjustRightInd w:val="0"/>
      <w:ind w:right="50"/>
    </w:pPr>
    <w:rPr>
      <w:rFonts w:ascii="Arial" w:hAnsi="Arial" w:cs="Arial"/>
      <w:b/>
      <w:caps/>
      <w:color w:val="92D050"/>
    </w:rPr>
  </w:style>
  <w:style w:type="character" w:customStyle="1" w:styleId="Style1Char">
    <w:name w:val="Style1 Char"/>
    <w:basedOn w:val="DefaultParagraphFont"/>
    <w:link w:val="Style1"/>
    <w:rsid w:val="007378D3"/>
    <w:rPr>
      <w:rFonts w:ascii="Arial" w:eastAsia="Times New Roman" w:hAnsi="Arial" w:cs="Arial"/>
      <w:b/>
      <w:caps/>
      <w:color w:val="92D050"/>
    </w:rPr>
  </w:style>
  <w:style w:type="paragraph" w:customStyle="1" w:styleId="Style6">
    <w:name w:val="Style6"/>
    <w:basedOn w:val="Normal"/>
    <w:link w:val="Style6Char"/>
    <w:qFormat/>
    <w:rsid w:val="007378D3"/>
    <w:pPr>
      <w:jc w:val="center"/>
    </w:pPr>
    <w:rPr>
      <w:rFonts w:ascii="Arial" w:hAnsi="Arial" w:cs="Arial"/>
      <w:b/>
      <w:color w:val="009999"/>
      <w:szCs w:val="24"/>
    </w:rPr>
  </w:style>
  <w:style w:type="paragraph" w:customStyle="1" w:styleId="Style7">
    <w:name w:val="Style7"/>
    <w:basedOn w:val="Normal"/>
    <w:link w:val="Style7Char"/>
    <w:qFormat/>
    <w:rsid w:val="007378D3"/>
    <w:pPr>
      <w:jc w:val="center"/>
    </w:pPr>
    <w:rPr>
      <w:rFonts w:ascii="Arial" w:hAnsi="Arial" w:cs="Arial"/>
      <w:color w:val="009999"/>
      <w:szCs w:val="32"/>
    </w:rPr>
  </w:style>
  <w:style w:type="character" w:customStyle="1" w:styleId="Style6Char">
    <w:name w:val="Style6 Char"/>
    <w:basedOn w:val="DefaultParagraphFont"/>
    <w:link w:val="Style6"/>
    <w:rsid w:val="007378D3"/>
    <w:rPr>
      <w:rFonts w:ascii="Arial" w:eastAsia="Times New Roman" w:hAnsi="Arial" w:cs="Arial"/>
      <w:b/>
      <w:color w:val="009999"/>
      <w:sz w:val="24"/>
      <w:szCs w:val="24"/>
      <w:lang w:val="fr-FR"/>
    </w:rPr>
  </w:style>
  <w:style w:type="paragraph" w:customStyle="1" w:styleId="Style8">
    <w:name w:val="Style8"/>
    <w:basedOn w:val="Normal"/>
    <w:link w:val="Style8Char"/>
    <w:qFormat/>
    <w:rsid w:val="007378D3"/>
    <w:rPr>
      <w:rFonts w:ascii="Arial" w:hAnsi="Arial" w:cs="Arial"/>
      <w:color w:val="767171"/>
      <w:sz w:val="16"/>
    </w:rPr>
  </w:style>
  <w:style w:type="character" w:customStyle="1" w:styleId="Style7Char">
    <w:name w:val="Style7 Char"/>
    <w:basedOn w:val="DefaultParagraphFont"/>
    <w:link w:val="Style7"/>
    <w:rsid w:val="007378D3"/>
    <w:rPr>
      <w:rFonts w:ascii="Arial" w:eastAsia="Times New Roman" w:hAnsi="Arial" w:cs="Arial"/>
      <w:color w:val="009999"/>
      <w:szCs w:val="32"/>
      <w:lang w:val="fr-FR"/>
    </w:rPr>
  </w:style>
  <w:style w:type="paragraph" w:customStyle="1" w:styleId="Style9">
    <w:name w:val="Style9"/>
    <w:basedOn w:val="Normal"/>
    <w:link w:val="Style9Char"/>
    <w:qFormat/>
    <w:rsid w:val="007378D3"/>
    <w:rPr>
      <w:rFonts w:ascii="Arial" w:hAnsi="Arial" w:cs="Arial"/>
      <w:b/>
      <w:color w:val="009999"/>
      <w:spacing w:val="-10"/>
    </w:rPr>
  </w:style>
  <w:style w:type="character" w:customStyle="1" w:styleId="Style8Char">
    <w:name w:val="Style8 Char"/>
    <w:basedOn w:val="DefaultParagraphFont"/>
    <w:link w:val="Style8"/>
    <w:rsid w:val="007378D3"/>
    <w:rPr>
      <w:rFonts w:ascii="Arial" w:eastAsia="Times New Roman" w:hAnsi="Arial" w:cs="Arial"/>
      <w:color w:val="767171"/>
      <w:sz w:val="16"/>
    </w:rPr>
  </w:style>
  <w:style w:type="character" w:customStyle="1" w:styleId="Style9Char">
    <w:name w:val="Style9 Char"/>
    <w:basedOn w:val="DefaultParagraphFont"/>
    <w:link w:val="Style9"/>
    <w:rsid w:val="007378D3"/>
    <w:rPr>
      <w:rFonts w:ascii="Arial" w:eastAsia="Times New Roman" w:hAnsi="Arial" w:cs="Arial"/>
      <w:b/>
      <w:color w:val="009999"/>
      <w:spacing w:val="-10"/>
    </w:rPr>
  </w:style>
  <w:style w:type="character" w:styleId="FollowedHyperlink">
    <w:name w:val="FollowedHyperlink"/>
    <w:basedOn w:val="DefaultParagraphFont"/>
    <w:uiPriority w:val="99"/>
    <w:semiHidden/>
    <w:unhideWhenUsed/>
    <w:rsid w:val="002D653E"/>
    <w:rPr>
      <w:color w:val="A5A5A5" w:themeColor="followedHyperlink"/>
      <w:u w:val="single"/>
    </w:rPr>
  </w:style>
  <w:style w:type="character" w:styleId="Strong">
    <w:name w:val="Strong"/>
    <w:basedOn w:val="DefaultParagraphFont"/>
    <w:uiPriority w:val="22"/>
    <w:qFormat/>
    <w:rsid w:val="00953CEB"/>
    <w:rPr>
      <w:b/>
      <w:bCs/>
    </w:rPr>
  </w:style>
  <w:style w:type="table" w:customStyle="1" w:styleId="TableGrid1">
    <w:name w:val="Table Grid1"/>
    <w:basedOn w:val="TableNormal"/>
    <w:next w:val="TableGrid"/>
    <w:uiPriority w:val="39"/>
    <w:rsid w:val="0062414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2414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04E3"/>
    <w:rPr>
      <w:sz w:val="16"/>
      <w:szCs w:val="16"/>
    </w:rPr>
  </w:style>
  <w:style w:type="paragraph" w:styleId="CommentText">
    <w:name w:val="annotation text"/>
    <w:basedOn w:val="Normal"/>
    <w:link w:val="CommentTextChar"/>
    <w:uiPriority w:val="99"/>
    <w:semiHidden/>
    <w:unhideWhenUsed/>
    <w:rsid w:val="00A504E3"/>
    <w:rPr>
      <w:sz w:val="20"/>
    </w:rPr>
  </w:style>
  <w:style w:type="character" w:customStyle="1" w:styleId="CommentTextChar">
    <w:name w:val="Comment Text Char"/>
    <w:basedOn w:val="DefaultParagraphFont"/>
    <w:link w:val="CommentText"/>
    <w:uiPriority w:val="99"/>
    <w:semiHidden/>
    <w:rsid w:val="00A504E3"/>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A504E3"/>
    <w:rPr>
      <w:b/>
      <w:bCs/>
    </w:rPr>
  </w:style>
  <w:style w:type="character" w:customStyle="1" w:styleId="CommentSubjectChar">
    <w:name w:val="Comment Subject Char"/>
    <w:basedOn w:val="CommentTextChar"/>
    <w:link w:val="CommentSubject"/>
    <w:uiPriority w:val="99"/>
    <w:semiHidden/>
    <w:rsid w:val="00A504E3"/>
    <w:rPr>
      <w:rFonts w:ascii="Times New Roman" w:eastAsia="Times New Roman" w:hAnsi="Times New Roman" w:cs="Times New Roman"/>
      <w:b/>
      <w:bCs/>
      <w:sz w:val="20"/>
      <w:szCs w:val="20"/>
      <w:lang w:val="fr-FR"/>
    </w:rPr>
  </w:style>
  <w:style w:type="paragraph" w:styleId="Revision">
    <w:name w:val="Revision"/>
    <w:hidden/>
    <w:uiPriority w:val="99"/>
    <w:semiHidden/>
    <w:rsid w:val="00BC5625"/>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rsid w:val="00A54EF1"/>
    <w:rPr>
      <w:rFonts w:ascii="Times New Roman" w:eastAsia="Times New Roman" w:hAnsi="Times New Roman" w:cs="Times New Roman"/>
      <w:sz w:val="24"/>
      <w:szCs w:val="20"/>
      <w:lang w:val="fr-FR"/>
    </w:rPr>
  </w:style>
  <w:style w:type="character" w:customStyle="1" w:styleId="UnresolvedMention1">
    <w:name w:val="Unresolved Mention1"/>
    <w:basedOn w:val="DefaultParagraphFont"/>
    <w:uiPriority w:val="99"/>
    <w:semiHidden/>
    <w:unhideWhenUsed/>
    <w:rsid w:val="00424974"/>
    <w:rPr>
      <w:color w:val="605E5C"/>
      <w:shd w:val="clear" w:color="auto" w:fill="E1DFDD"/>
    </w:rPr>
  </w:style>
  <w:style w:type="character" w:styleId="Emphasis">
    <w:name w:val="Emphasis"/>
    <w:basedOn w:val="DefaultParagraphFont"/>
    <w:uiPriority w:val="20"/>
    <w:qFormat/>
    <w:rsid w:val="00073FE9"/>
    <w:rPr>
      <w:i/>
      <w:iCs/>
    </w:rPr>
  </w:style>
  <w:style w:type="paragraph" w:styleId="Caption">
    <w:name w:val="caption"/>
    <w:basedOn w:val="Normal"/>
    <w:next w:val="Normal"/>
    <w:uiPriority w:val="35"/>
    <w:unhideWhenUsed/>
    <w:qFormat/>
    <w:rsid w:val="00F00A6B"/>
    <w:pPr>
      <w:spacing w:after="200"/>
    </w:pPr>
    <w:rPr>
      <w:i/>
      <w:iCs/>
      <w:color w:val="54575A" w:themeColor="text2"/>
      <w:sz w:val="18"/>
      <w:szCs w:val="18"/>
    </w:rPr>
  </w:style>
  <w:style w:type="character" w:styleId="UnresolvedMention">
    <w:name w:val="Unresolved Mention"/>
    <w:basedOn w:val="DefaultParagraphFont"/>
    <w:uiPriority w:val="99"/>
    <w:semiHidden/>
    <w:unhideWhenUsed/>
    <w:rsid w:val="002C0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1054">
      <w:bodyDiv w:val="1"/>
      <w:marLeft w:val="0"/>
      <w:marRight w:val="0"/>
      <w:marTop w:val="0"/>
      <w:marBottom w:val="0"/>
      <w:divBdr>
        <w:top w:val="none" w:sz="0" w:space="0" w:color="auto"/>
        <w:left w:val="none" w:sz="0" w:space="0" w:color="auto"/>
        <w:bottom w:val="none" w:sz="0" w:space="0" w:color="auto"/>
        <w:right w:val="none" w:sz="0" w:space="0" w:color="auto"/>
      </w:divBdr>
    </w:div>
    <w:div w:id="265814448">
      <w:bodyDiv w:val="1"/>
      <w:marLeft w:val="0"/>
      <w:marRight w:val="0"/>
      <w:marTop w:val="0"/>
      <w:marBottom w:val="0"/>
      <w:divBdr>
        <w:top w:val="none" w:sz="0" w:space="0" w:color="auto"/>
        <w:left w:val="none" w:sz="0" w:space="0" w:color="auto"/>
        <w:bottom w:val="none" w:sz="0" w:space="0" w:color="auto"/>
        <w:right w:val="none" w:sz="0" w:space="0" w:color="auto"/>
      </w:divBdr>
    </w:div>
    <w:div w:id="520242788">
      <w:bodyDiv w:val="1"/>
      <w:marLeft w:val="0"/>
      <w:marRight w:val="0"/>
      <w:marTop w:val="0"/>
      <w:marBottom w:val="0"/>
      <w:divBdr>
        <w:top w:val="none" w:sz="0" w:space="0" w:color="auto"/>
        <w:left w:val="none" w:sz="0" w:space="0" w:color="auto"/>
        <w:bottom w:val="none" w:sz="0" w:space="0" w:color="auto"/>
        <w:right w:val="none" w:sz="0" w:space="0" w:color="auto"/>
      </w:divBdr>
    </w:div>
    <w:div w:id="715548502">
      <w:bodyDiv w:val="1"/>
      <w:marLeft w:val="0"/>
      <w:marRight w:val="0"/>
      <w:marTop w:val="0"/>
      <w:marBottom w:val="0"/>
      <w:divBdr>
        <w:top w:val="none" w:sz="0" w:space="0" w:color="auto"/>
        <w:left w:val="none" w:sz="0" w:space="0" w:color="auto"/>
        <w:bottom w:val="none" w:sz="0" w:space="0" w:color="auto"/>
        <w:right w:val="none" w:sz="0" w:space="0" w:color="auto"/>
      </w:divBdr>
    </w:div>
    <w:div w:id="1084768644">
      <w:bodyDiv w:val="1"/>
      <w:marLeft w:val="0"/>
      <w:marRight w:val="0"/>
      <w:marTop w:val="0"/>
      <w:marBottom w:val="0"/>
      <w:divBdr>
        <w:top w:val="none" w:sz="0" w:space="0" w:color="auto"/>
        <w:left w:val="none" w:sz="0" w:space="0" w:color="auto"/>
        <w:bottom w:val="none" w:sz="0" w:space="0" w:color="auto"/>
        <w:right w:val="none" w:sz="0" w:space="0" w:color="auto"/>
      </w:divBdr>
    </w:div>
    <w:div w:id="1251349590">
      <w:bodyDiv w:val="1"/>
      <w:marLeft w:val="0"/>
      <w:marRight w:val="0"/>
      <w:marTop w:val="0"/>
      <w:marBottom w:val="0"/>
      <w:divBdr>
        <w:top w:val="none" w:sz="0" w:space="0" w:color="auto"/>
        <w:left w:val="none" w:sz="0" w:space="0" w:color="auto"/>
        <w:bottom w:val="none" w:sz="0" w:space="0" w:color="auto"/>
        <w:right w:val="none" w:sz="0" w:space="0" w:color="auto"/>
      </w:divBdr>
    </w:div>
    <w:div w:id="1255239017">
      <w:bodyDiv w:val="1"/>
      <w:marLeft w:val="0"/>
      <w:marRight w:val="0"/>
      <w:marTop w:val="0"/>
      <w:marBottom w:val="0"/>
      <w:divBdr>
        <w:top w:val="none" w:sz="0" w:space="0" w:color="auto"/>
        <w:left w:val="none" w:sz="0" w:space="0" w:color="auto"/>
        <w:bottom w:val="none" w:sz="0" w:space="0" w:color="auto"/>
        <w:right w:val="none" w:sz="0" w:space="0" w:color="auto"/>
      </w:divBdr>
    </w:div>
    <w:div w:id="1380058083">
      <w:bodyDiv w:val="1"/>
      <w:marLeft w:val="0"/>
      <w:marRight w:val="0"/>
      <w:marTop w:val="0"/>
      <w:marBottom w:val="0"/>
      <w:divBdr>
        <w:top w:val="none" w:sz="0" w:space="0" w:color="auto"/>
        <w:left w:val="none" w:sz="0" w:space="0" w:color="auto"/>
        <w:bottom w:val="none" w:sz="0" w:space="0" w:color="auto"/>
        <w:right w:val="none" w:sz="0" w:space="0" w:color="auto"/>
      </w:divBdr>
    </w:div>
    <w:div w:id="1431505508">
      <w:bodyDiv w:val="1"/>
      <w:marLeft w:val="0"/>
      <w:marRight w:val="0"/>
      <w:marTop w:val="0"/>
      <w:marBottom w:val="0"/>
      <w:divBdr>
        <w:top w:val="none" w:sz="0" w:space="0" w:color="auto"/>
        <w:left w:val="none" w:sz="0" w:space="0" w:color="auto"/>
        <w:bottom w:val="none" w:sz="0" w:space="0" w:color="auto"/>
        <w:right w:val="none" w:sz="0" w:space="0" w:color="auto"/>
      </w:divBdr>
    </w:div>
    <w:div w:id="1460299210">
      <w:bodyDiv w:val="1"/>
      <w:marLeft w:val="0"/>
      <w:marRight w:val="0"/>
      <w:marTop w:val="0"/>
      <w:marBottom w:val="0"/>
      <w:divBdr>
        <w:top w:val="none" w:sz="0" w:space="0" w:color="auto"/>
        <w:left w:val="none" w:sz="0" w:space="0" w:color="auto"/>
        <w:bottom w:val="none" w:sz="0" w:space="0" w:color="auto"/>
        <w:right w:val="none" w:sz="0" w:space="0" w:color="auto"/>
      </w:divBdr>
    </w:div>
    <w:div w:id="1515416880">
      <w:bodyDiv w:val="1"/>
      <w:marLeft w:val="0"/>
      <w:marRight w:val="0"/>
      <w:marTop w:val="0"/>
      <w:marBottom w:val="0"/>
      <w:divBdr>
        <w:top w:val="none" w:sz="0" w:space="0" w:color="auto"/>
        <w:left w:val="none" w:sz="0" w:space="0" w:color="auto"/>
        <w:bottom w:val="none" w:sz="0" w:space="0" w:color="auto"/>
        <w:right w:val="none" w:sz="0" w:space="0" w:color="auto"/>
      </w:divBdr>
    </w:div>
    <w:div w:id="1828203265">
      <w:bodyDiv w:val="1"/>
      <w:marLeft w:val="0"/>
      <w:marRight w:val="0"/>
      <w:marTop w:val="0"/>
      <w:marBottom w:val="0"/>
      <w:divBdr>
        <w:top w:val="none" w:sz="0" w:space="0" w:color="auto"/>
        <w:left w:val="none" w:sz="0" w:space="0" w:color="auto"/>
        <w:bottom w:val="none" w:sz="0" w:space="0" w:color="auto"/>
        <w:right w:val="none" w:sz="0" w:space="0" w:color="auto"/>
      </w:divBdr>
      <w:divsChild>
        <w:div w:id="1353527526">
          <w:marLeft w:val="0"/>
          <w:marRight w:val="0"/>
          <w:marTop w:val="0"/>
          <w:marBottom w:val="0"/>
          <w:divBdr>
            <w:top w:val="none" w:sz="0" w:space="0" w:color="auto"/>
            <w:left w:val="none" w:sz="0" w:space="0" w:color="auto"/>
            <w:bottom w:val="none" w:sz="0" w:space="0" w:color="auto"/>
            <w:right w:val="none" w:sz="0" w:space="0" w:color="auto"/>
          </w:divBdr>
          <w:divsChild>
            <w:div w:id="1922910031">
              <w:marLeft w:val="0"/>
              <w:marRight w:val="0"/>
              <w:marTop w:val="0"/>
              <w:marBottom w:val="0"/>
              <w:divBdr>
                <w:top w:val="none" w:sz="0" w:space="0" w:color="auto"/>
                <w:left w:val="none" w:sz="0" w:space="0" w:color="auto"/>
                <w:bottom w:val="none" w:sz="0" w:space="0" w:color="auto"/>
                <w:right w:val="none" w:sz="0" w:space="0" w:color="auto"/>
              </w:divBdr>
              <w:divsChild>
                <w:div w:id="16021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9110">
      <w:bodyDiv w:val="1"/>
      <w:marLeft w:val="0"/>
      <w:marRight w:val="0"/>
      <w:marTop w:val="0"/>
      <w:marBottom w:val="0"/>
      <w:divBdr>
        <w:top w:val="none" w:sz="0" w:space="0" w:color="auto"/>
        <w:left w:val="none" w:sz="0" w:space="0" w:color="auto"/>
        <w:bottom w:val="none" w:sz="0" w:space="0" w:color="auto"/>
        <w:right w:val="none" w:sz="0" w:space="0" w:color="auto"/>
      </w:divBdr>
    </w:div>
    <w:div w:id="213216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rec.gc.ca/fr/regie/publications-rapports/rapports-equite-matiere-emploi/2018-2019/index.html" TargetMode="External"/><Relationship Id="rId13" Type="http://schemas.openxmlformats.org/officeDocument/2006/relationships/footer" Target="footer2.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hyperlink" Target="https://gcdocs.gc.ca/psc-cfp/llisapi.dll/11916733/CAS-President_s_visit_with_Darlene_Heather_Carreau_-_Deputy_Minister,_Briefing_note_-_Open_Gov.docx?func=doc.Fetch&amp;nodeId=11916733&amp;vernum=2&amp;web=1"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www.canada.ca/fr/gouvernement/fonctionpublique/mieux-etre-inclusion-diversite-fonction-publique/diversite-equite-matiere-emploi/equite-emploi-rapports-annuel/equite-emploi-fonction-publique-canada-2018-2019.html" TargetMode="Externa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chart" Target="charts/chart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Letterhead-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Population selon la durée d'emploi au 31 mars</a:t>
            </a:r>
          </a:p>
        </c:rich>
      </c:tx>
      <c:layout>
        <c:manualLayout>
          <c:xMode val="edge"/>
          <c:yMode val="edge"/>
          <c:x val="0.25076655468656639"/>
          <c:y val="1.5584351685262421E-2"/>
        </c:manualLayout>
      </c:layout>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225561684641545"/>
          <c:y val="9.350649350649351E-2"/>
          <c:w val="0.8438565211696043"/>
          <c:h val="0.6100861028735044"/>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(N=441) </c:v>
                </c:pt>
                <c:pt idx="1">
                  <c:v> 2016
(N=460) </c:v>
                </c:pt>
                <c:pt idx="2">
                  <c:v> 2017
(N=472) </c:v>
                </c:pt>
                <c:pt idx="3">
                  <c:v> 2018
(N=475) </c:v>
                </c:pt>
                <c:pt idx="4">
                  <c:v>2019
(N=472)</c:v>
                </c:pt>
                <c:pt idx="5">
                  <c:v>2020
(N=500)</c:v>
                </c:pt>
              </c:strCache>
            </c:strRef>
          </c:cat>
          <c:val>
            <c:numRef>
              <c:f>Sheet1!$B$2:$B$7</c:f>
              <c:numCache>
                <c:formatCode>#\ ###</c:formatCode>
                <c:ptCount val="6"/>
                <c:pt idx="0">
                  <c:v>401</c:v>
                </c:pt>
                <c:pt idx="1">
                  <c:v>416</c:v>
                </c:pt>
                <c:pt idx="2">
                  <c:v>424</c:v>
                </c:pt>
                <c:pt idx="3">
                  <c:v>418</c:v>
                </c:pt>
                <c:pt idx="4">
                  <c:v>422</c:v>
                </c:pt>
                <c:pt idx="5">
                  <c:v>435</c:v>
                </c:pt>
              </c:numCache>
            </c:numRef>
          </c:val>
          <c:extLst>
            <c:ext xmlns:c16="http://schemas.microsoft.com/office/drawing/2014/chart" uri="{C3380CC4-5D6E-409C-BE32-E72D297353CC}">
              <c16:uniqueId val="{00000000-81D1-4AC3-A775-D94E2E36A878}"/>
            </c:ext>
          </c:extLst>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0"/>
                  <c:y val="5.19480519480519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D1-4AC3-A775-D94E2E36A878}"/>
                </c:ext>
              </c:extLst>
            </c:dLbl>
            <c:dLbl>
              <c:idx val="1"/>
              <c:layout>
                <c:manualLayout>
                  <c:x val="0"/>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D1-4AC3-A775-D94E2E36A878}"/>
                </c:ext>
              </c:extLst>
            </c:dLbl>
            <c:dLbl>
              <c:idx val="2"/>
              <c:layout>
                <c:manualLayout>
                  <c:x val="0"/>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D1-4AC3-A775-D94E2E36A878}"/>
                </c:ext>
              </c:extLst>
            </c:dLbl>
            <c:dLbl>
              <c:idx val="3"/>
              <c:layout>
                <c:manualLayout>
                  <c:x val="3.0807147258162765E-3"/>
                  <c:y val="5.19480519480519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D1-4AC3-A775-D94E2E36A878}"/>
                </c:ext>
              </c:extLst>
            </c:dLbl>
            <c:dLbl>
              <c:idx val="4"/>
              <c:layout>
                <c:manualLayout>
                  <c:x val="0"/>
                  <c:y val="5.71428571428571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1D1-4AC3-A775-D94E2E36A878}"/>
                </c:ext>
              </c:extLst>
            </c:dLbl>
            <c:dLbl>
              <c:idx val="5"/>
              <c:layout>
                <c:manualLayout>
                  <c:x val="0"/>
                  <c:y val="5.19480519480519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1D1-4AC3-A775-D94E2E36A878}"/>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(N=441) </c:v>
                </c:pt>
                <c:pt idx="1">
                  <c:v> 2016
(N=460) </c:v>
                </c:pt>
                <c:pt idx="2">
                  <c:v> 2017
(N=472) </c:v>
                </c:pt>
                <c:pt idx="3">
                  <c:v> 2018
(N=475) </c:v>
                </c:pt>
                <c:pt idx="4">
                  <c:v>2019
(N=472)</c:v>
                </c:pt>
                <c:pt idx="5">
                  <c:v>2020
(N=500)</c:v>
                </c:pt>
              </c:strCache>
            </c:strRef>
          </c:cat>
          <c:val>
            <c:numRef>
              <c:f>Sheet1!$C$2:$C$7</c:f>
              <c:numCache>
                <c:formatCode>#\ ###</c:formatCode>
                <c:ptCount val="6"/>
                <c:pt idx="0">
                  <c:v>34</c:v>
                </c:pt>
                <c:pt idx="1">
                  <c:v>28</c:v>
                </c:pt>
                <c:pt idx="2">
                  <c:v>35</c:v>
                </c:pt>
                <c:pt idx="3">
                  <c:v>45</c:v>
                </c:pt>
                <c:pt idx="4">
                  <c:v>40</c:v>
                </c:pt>
                <c:pt idx="5">
                  <c:v>56</c:v>
                </c:pt>
              </c:numCache>
            </c:numRef>
          </c:val>
          <c:extLst>
            <c:ext xmlns:c16="http://schemas.microsoft.com/office/drawing/2014/chart" uri="{C3380CC4-5D6E-409C-BE32-E72D297353CC}">
              <c16:uniqueId val="{00000007-81D1-4AC3-A775-D94E2E36A878}"/>
            </c:ext>
          </c:extLst>
        </c:ser>
        <c:ser>
          <c:idx val="2"/>
          <c:order val="2"/>
          <c:tx>
            <c:strRef>
              <c:f>Sheet1!$D$1</c:f>
              <c:strCache>
                <c:ptCount val="1"/>
                <c:pt idx="0">
                  <c:v>Occasionnel</c:v>
                </c:pt>
              </c:strCache>
            </c:strRef>
          </c:tx>
          <c:spPr>
            <a:solidFill>
              <a:schemeClr val="accent3"/>
            </a:solidFill>
            <a:ln>
              <a:noFill/>
            </a:ln>
            <a:effectLst/>
          </c:spPr>
          <c:invertIfNegative val="0"/>
          <c:dLbls>
            <c:dLbl>
              <c:idx val="0"/>
              <c:layout>
                <c:manualLayout>
                  <c:x val="0"/>
                  <c:y val="1.03896103896103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1D1-4AC3-A775-D94E2E36A878}"/>
                </c:ext>
              </c:extLst>
            </c:dLbl>
            <c:dLbl>
              <c:idx val="1"/>
              <c:layout>
                <c:manualLayout>
                  <c:x val="0"/>
                  <c:y val="1.0389610389610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1D1-4AC3-A775-D94E2E36A878}"/>
                </c:ext>
              </c:extLst>
            </c:dLbl>
            <c:dLbl>
              <c:idx val="2"/>
              <c:layout>
                <c:manualLayout>
                  <c:x val="0"/>
                  <c:y val="1.55844155844155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1D1-4AC3-A775-D94E2E36A878}"/>
                </c:ext>
              </c:extLst>
            </c:dLbl>
            <c:dLbl>
              <c:idx val="3"/>
              <c:layout>
                <c:manualLayout>
                  <c:x val="-1.1295823504343063E-16"/>
                  <c:y val="2.0779220779220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1D1-4AC3-A775-D94E2E36A878}"/>
                </c:ext>
              </c:extLst>
            </c:dLbl>
            <c:dLbl>
              <c:idx val="4"/>
              <c:layout>
                <c:manualLayout>
                  <c:x val="0"/>
                  <c:y val="2.07792207792207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1D1-4AC3-A775-D94E2E36A878}"/>
                </c:ext>
              </c:extLst>
            </c:dLbl>
            <c:dLbl>
              <c:idx val="5"/>
              <c:layout>
                <c:manualLayout>
                  <c:x val="-1.1295823504343063E-16"/>
                  <c:y val="3.116883116883114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1D1-4AC3-A775-D94E2E36A878}"/>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(N=441) </c:v>
                </c:pt>
                <c:pt idx="1">
                  <c:v> 2016
(N=460) </c:v>
                </c:pt>
                <c:pt idx="2">
                  <c:v> 2017
(N=472) </c:v>
                </c:pt>
                <c:pt idx="3">
                  <c:v> 2018
(N=475) </c:v>
                </c:pt>
                <c:pt idx="4">
                  <c:v>2019
(N=472)</c:v>
                </c:pt>
                <c:pt idx="5">
                  <c:v>2020
(N=500)</c:v>
                </c:pt>
              </c:strCache>
            </c:strRef>
          </c:cat>
          <c:val>
            <c:numRef>
              <c:f>Sheet1!$D$2:$D$7</c:f>
              <c:numCache>
                <c:formatCode>#\ ###</c:formatCode>
                <c:ptCount val="6"/>
                <c:pt idx="0">
                  <c:v>5</c:v>
                </c:pt>
                <c:pt idx="1">
                  <c:v>12</c:v>
                </c:pt>
                <c:pt idx="2">
                  <c:v>12</c:v>
                </c:pt>
                <c:pt idx="3">
                  <c:v>10</c:v>
                </c:pt>
                <c:pt idx="4">
                  <c:v>9</c:v>
                </c:pt>
                <c:pt idx="5">
                  <c:v>9</c:v>
                </c:pt>
              </c:numCache>
            </c:numRef>
          </c:val>
          <c:extLst>
            <c:ext xmlns:c16="http://schemas.microsoft.com/office/drawing/2014/chart" uri="{C3380CC4-5D6E-409C-BE32-E72D297353CC}">
              <c16:uniqueId val="{0000000E-81D1-4AC3-A775-D94E2E36A878}"/>
            </c:ext>
          </c:extLst>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1D1-4AC3-A775-D94E2E36A878}"/>
                </c:ext>
              </c:extLst>
            </c:dLbl>
            <c:dLbl>
              <c:idx val="1"/>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1D1-4AC3-A775-D94E2E36A878}"/>
                </c:ext>
              </c:extLst>
            </c:dLbl>
            <c:dLbl>
              <c:idx val="2"/>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1D1-4AC3-A775-D94E2E36A878}"/>
                </c:ext>
              </c:extLst>
            </c:dLbl>
            <c:dLbl>
              <c:idx val="3"/>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1D1-4AC3-A775-D94E2E36A878}"/>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1D1-4AC3-A775-D94E2E36A878}"/>
                </c:ext>
              </c:extLst>
            </c:dLbl>
            <c:dLbl>
              <c:idx val="5"/>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1D1-4AC3-A775-D94E2E36A87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 2015
(N=441) </c:v>
                </c:pt>
                <c:pt idx="1">
                  <c:v> 2016
(N=460) </c:v>
                </c:pt>
                <c:pt idx="2">
                  <c:v> 2017
(N=472) </c:v>
                </c:pt>
                <c:pt idx="3">
                  <c:v> 2018
(N=475) </c:v>
                </c:pt>
                <c:pt idx="4">
                  <c:v>2019
(N=472)</c:v>
                </c:pt>
                <c:pt idx="5">
                  <c:v>2020
(N=500)</c:v>
                </c:pt>
              </c:strCache>
            </c:strRef>
          </c:cat>
          <c:val>
            <c:numRef>
              <c:f>Sheet1!$E$2:$E$7</c:f>
              <c:numCache>
                <c:formatCode>#\ ###</c:formatCode>
                <c:ptCount val="6"/>
                <c:pt idx="0">
                  <c:v>1</c:v>
                </c:pt>
                <c:pt idx="1">
                  <c:v>4</c:v>
                </c:pt>
                <c:pt idx="2">
                  <c:v>1</c:v>
                </c:pt>
                <c:pt idx="3">
                  <c:v>2</c:v>
                </c:pt>
                <c:pt idx="4">
                  <c:v>1</c:v>
                </c:pt>
                <c:pt idx="5">
                  <c:v>0</c:v>
                </c:pt>
              </c:numCache>
            </c:numRef>
          </c:val>
          <c:extLst>
            <c:ext xmlns:c16="http://schemas.microsoft.com/office/drawing/2014/chart" uri="{C3380CC4-5D6E-409C-BE32-E72D297353CC}">
              <c16:uniqueId val="{00000015-81D1-4AC3-A775-D94E2E36A878}"/>
            </c:ext>
          </c:extLst>
        </c:ser>
        <c:dLbls>
          <c:dLblPos val="ctr"/>
          <c:showLegendKey val="0"/>
          <c:showVal val="1"/>
          <c:showCatName val="0"/>
          <c:showSerName val="0"/>
          <c:showPercent val="0"/>
          <c:showBubbleSize val="0"/>
        </c:dLbls>
        <c:gapWidth val="150"/>
        <c:overlap val="100"/>
        <c:axId val="589459240"/>
        <c:axId val="381385224"/>
      </c:barChart>
      <c:catAx>
        <c:axId val="589459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1385224"/>
        <c:crosses val="autoZero"/>
        <c:auto val="1"/>
        <c:lblAlgn val="ctr"/>
        <c:lblOffset val="100"/>
        <c:noMultiLvlLbl val="0"/>
      </c:catAx>
      <c:valAx>
        <c:axId val="38138522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9459240"/>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Embauche d'étudiants</a:t>
            </a:r>
          </a:p>
        </c:rich>
      </c:tx>
      <c:layout>
        <c:manualLayout>
          <c:xMode val="edge"/>
          <c:yMode val="edge"/>
          <c:x val="0.37588276170369089"/>
          <c:y val="3.935859819230573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46256204627399"/>
          <c:y val="0.10525709900230237"/>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(N=17)</c:v>
                </c:pt>
                <c:pt idx="1">
                  <c:v>2016-2017
 (N=7)</c:v>
                </c:pt>
                <c:pt idx="2">
                  <c:v>2017-2018
 (N=11)</c:v>
                </c:pt>
                <c:pt idx="3">
                  <c:v>2018-2019
(N=3)</c:v>
                </c:pt>
                <c:pt idx="4">
                  <c:v>2019-2020
(N=9)</c:v>
                </c:pt>
              </c:strCache>
            </c:strRef>
          </c:cat>
          <c:val>
            <c:numRef>
              <c:f>Sheet1!$B$2:$B$6</c:f>
              <c:numCache>
                <c:formatCode>General</c:formatCode>
                <c:ptCount val="5"/>
                <c:pt idx="0">
                  <c:v>17</c:v>
                </c:pt>
                <c:pt idx="1">
                  <c:v>7</c:v>
                </c:pt>
                <c:pt idx="2">
                  <c:v>11</c:v>
                </c:pt>
                <c:pt idx="3" formatCode="0">
                  <c:v>3</c:v>
                </c:pt>
                <c:pt idx="4" formatCode="0">
                  <c:v>9</c:v>
                </c:pt>
              </c:numCache>
            </c:numRef>
          </c:val>
          <c:extLst>
            <c:ext xmlns:c16="http://schemas.microsoft.com/office/drawing/2014/chart" uri="{C3380CC4-5D6E-409C-BE32-E72D297353CC}">
              <c16:uniqueId val="{00000000-428C-4750-BB5E-DE9AC23A07BC}"/>
            </c:ext>
          </c:extLst>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delete val="1"/>
          </c:dLbls>
          <c:cat>
            <c:strRef>
              <c:f>Sheet1!$A$2:$A$6</c:f>
              <c:strCache>
                <c:ptCount val="5"/>
                <c:pt idx="0">
                  <c:v>2015-2016
 (N=17)</c:v>
                </c:pt>
                <c:pt idx="1">
                  <c:v>2016-2017
 (N=7)</c:v>
                </c:pt>
                <c:pt idx="2">
                  <c:v>2017-2018
 (N=11)</c:v>
                </c:pt>
                <c:pt idx="3">
                  <c:v>2018-2019
(N=3)</c:v>
                </c:pt>
                <c:pt idx="4">
                  <c:v>2019-2020
(N=9)</c:v>
                </c:pt>
              </c:strCache>
            </c:strRef>
          </c:cat>
          <c:val>
            <c:numRef>
              <c:f>Sheet1!$C$2:$C$6</c:f>
              <c:numCache>
                <c:formatCode>General</c:formatCode>
                <c:ptCount val="5"/>
                <c:pt idx="0">
                  <c:v>0</c:v>
                </c:pt>
                <c:pt idx="1">
                  <c:v>0</c:v>
                </c:pt>
                <c:pt idx="2">
                  <c:v>0</c:v>
                </c:pt>
                <c:pt idx="3" formatCode="0">
                  <c:v>0</c:v>
                </c:pt>
                <c:pt idx="4" formatCode="0">
                  <c:v>0</c:v>
                </c:pt>
              </c:numCache>
            </c:numRef>
          </c:val>
          <c:extLst>
            <c:ext xmlns:c16="http://schemas.microsoft.com/office/drawing/2014/chart" uri="{C3380CC4-5D6E-409C-BE32-E72D297353CC}">
              <c16:uniqueId val="{00000001-428C-4750-BB5E-DE9AC23A07BC}"/>
            </c:ext>
          </c:extLst>
        </c:ser>
        <c:ser>
          <c:idx val="2"/>
          <c:order val="2"/>
          <c:tx>
            <c:strRef>
              <c:f>Sheet1!$D$1</c:f>
              <c:strCache>
                <c:ptCount val="1"/>
                <c:pt idx="0">
                  <c:v>Programme des adjoints de recherche (PAR)</c:v>
                </c:pt>
              </c:strCache>
            </c:strRef>
          </c:tx>
          <c:spPr>
            <a:solidFill>
              <a:schemeClr val="accent3"/>
            </a:solidFill>
            <a:ln>
              <a:noFill/>
            </a:ln>
            <a:effectLst/>
          </c:spPr>
          <c:invertIfNegative val="0"/>
          <c:dLbls>
            <c:delete val="1"/>
          </c:dLbls>
          <c:cat>
            <c:strRef>
              <c:f>Sheet1!$A$2:$A$6</c:f>
              <c:strCache>
                <c:ptCount val="5"/>
                <c:pt idx="0">
                  <c:v>2015-2016
 (N=17)</c:v>
                </c:pt>
                <c:pt idx="1">
                  <c:v>2016-2017
 (N=7)</c:v>
                </c:pt>
                <c:pt idx="2">
                  <c:v>2017-2018
 (N=11)</c:v>
                </c:pt>
                <c:pt idx="3">
                  <c:v>2018-2019
(N=3)</c:v>
                </c:pt>
                <c:pt idx="4">
                  <c:v>2019-2020
(N=9)</c:v>
                </c:pt>
              </c:strCache>
            </c:strRef>
          </c:cat>
          <c:val>
            <c:numRef>
              <c:f>Sheet1!$D$2:$D$6</c:f>
              <c:numCache>
                <c:formatCode>General</c:formatCode>
                <c:ptCount val="5"/>
                <c:pt idx="0">
                  <c:v>0</c:v>
                </c:pt>
                <c:pt idx="1">
                  <c:v>0</c:v>
                </c:pt>
                <c:pt idx="2">
                  <c:v>0</c:v>
                </c:pt>
                <c:pt idx="3" formatCode="0">
                  <c:v>0</c:v>
                </c:pt>
                <c:pt idx="4" formatCode="0">
                  <c:v>0</c:v>
                </c:pt>
              </c:numCache>
            </c:numRef>
          </c:val>
          <c:extLst>
            <c:ext xmlns:c16="http://schemas.microsoft.com/office/drawing/2014/chart" uri="{C3380CC4-5D6E-409C-BE32-E72D297353CC}">
              <c16:uniqueId val="{00000002-428C-4750-BB5E-DE9AC23A07BC}"/>
            </c:ext>
          </c:extLst>
        </c:ser>
        <c:dLbls>
          <c:dLblPos val="ctr"/>
          <c:showLegendKey val="0"/>
          <c:showVal val="1"/>
          <c:showCatName val="0"/>
          <c:showSerName val="0"/>
          <c:showPercent val="0"/>
          <c:showBubbleSize val="0"/>
        </c:dLbls>
        <c:gapWidth val="150"/>
        <c:overlap val="100"/>
        <c:axId val="585050992"/>
        <c:axId val="585051384"/>
      </c:barChart>
      <c:catAx>
        <c:axId val="58505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51384"/>
        <c:crosses val="autoZero"/>
        <c:auto val="1"/>
        <c:lblAlgn val="ctr"/>
        <c:lblOffset val="100"/>
        <c:noMultiLvlLbl val="0"/>
      </c:catAx>
      <c:valAx>
        <c:axId val="5850513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50992"/>
        <c:crosses val="autoZero"/>
        <c:crossBetween val="between"/>
      </c:valAx>
      <c:spPr>
        <a:noFill/>
        <a:ln>
          <a:noFill/>
        </a:ln>
        <a:effectLst/>
      </c:spPr>
    </c:plotArea>
    <c:legend>
      <c:legendPos val="b"/>
      <c:layout>
        <c:manualLayout>
          <c:xMode val="edge"/>
          <c:yMode val="edge"/>
          <c:x val="4.4100955553040477E-3"/>
          <c:y val="0.80836371963571652"/>
          <c:w val="0.97885948034729742"/>
          <c:h val="0.1504210044214271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Activités d'embauche externe pour une période indéterminée et d'une durée déterminée : Programme de recrutement postsecondaire et embauche d'anciens étudiants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25508169181202217"/>
          <c:w val="0.90621744112971792"/>
          <c:h val="0.44171789231306924"/>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6A39-40CD-BDD4-118E771B80A5}"/>
                </c:ext>
              </c:extLst>
            </c:dLbl>
            <c:dLbl>
              <c:idx val="2"/>
              <c:delete val="1"/>
              <c:extLst>
                <c:ext xmlns:c15="http://schemas.microsoft.com/office/drawing/2012/chart" uri="{CE6537A1-D6FC-4f65-9D91-7224C49458BB}"/>
                <c:ext xmlns:c16="http://schemas.microsoft.com/office/drawing/2014/chart" uri="{C3380CC4-5D6E-409C-BE32-E72D297353CC}">
                  <c16:uniqueId val="{00000001-6A39-40CD-BDD4-118E771B80A5}"/>
                </c:ext>
              </c:extLst>
            </c:dLbl>
            <c:dLbl>
              <c:idx val="3"/>
              <c:delete val="1"/>
              <c:extLst>
                <c:ext xmlns:c15="http://schemas.microsoft.com/office/drawing/2012/chart" uri="{CE6537A1-D6FC-4f65-9D91-7224C49458BB}"/>
                <c:ext xmlns:c16="http://schemas.microsoft.com/office/drawing/2014/chart" uri="{C3380CC4-5D6E-409C-BE32-E72D297353CC}">
                  <c16:uniqueId val="{00000002-6A39-40CD-BDD4-118E771B80A5}"/>
                </c:ext>
              </c:extLst>
            </c:dLbl>
            <c:dLbl>
              <c:idx val="4"/>
              <c:delete val="1"/>
              <c:extLst>
                <c:ext xmlns:c15="http://schemas.microsoft.com/office/drawing/2012/chart" uri="{CE6537A1-D6FC-4f65-9D91-7224C49458BB}"/>
                <c:ext xmlns:c16="http://schemas.microsoft.com/office/drawing/2014/chart" uri="{C3380CC4-5D6E-409C-BE32-E72D297353CC}">
                  <c16:uniqueId val="{00000003-6A39-40CD-BDD4-118E771B80A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Sheet1!$B$2:$B$6</c:f>
              <c:numCache>
                <c:formatCode>_-* #,##0_-;\-* #,##0_-;_-* "-"??_-;_-@_-</c:formatCode>
                <c:ptCount val="5"/>
                <c:pt idx="0">
                  <c:v>1</c:v>
                </c:pt>
                <c:pt idx="1">
                  <c:v>0</c:v>
                </c:pt>
                <c:pt idx="2">
                  <c:v>0</c:v>
                </c:pt>
                <c:pt idx="3" formatCode="_(* #,##0_);_(* \(#,##0\);_(* &quot;-&quot;_);_(@_)">
                  <c:v>0</c:v>
                </c:pt>
                <c:pt idx="4" formatCode="_(* #,##0_);_(* \(#,##0\);_(* &quot;-&quot;_);_(@_)">
                  <c:v>0</c:v>
                </c:pt>
              </c:numCache>
            </c:numRef>
          </c:val>
          <c:extLst>
            <c:ext xmlns:c16="http://schemas.microsoft.com/office/drawing/2014/chart" uri="{C3380CC4-5D6E-409C-BE32-E72D297353CC}">
              <c16:uniqueId val="{00000004-6A39-40CD-BDD4-118E771B80A5}"/>
            </c:ext>
          </c:extLst>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Sheet1!$C$2:$C$6</c:f>
              <c:numCache>
                <c:formatCode>_-* #,##0_-;\-* #,##0_-;_-* "-"??_-;_-@_-</c:formatCode>
                <c:ptCount val="5"/>
                <c:pt idx="0">
                  <c:v>2</c:v>
                </c:pt>
                <c:pt idx="1">
                  <c:v>2</c:v>
                </c:pt>
                <c:pt idx="2">
                  <c:v>4</c:v>
                </c:pt>
                <c:pt idx="3" formatCode="_(* #,##0_);_(* \(#,##0\);_(* &quot;-&quot;_);_(@_)">
                  <c:v>4</c:v>
                </c:pt>
                <c:pt idx="4" formatCode="_(* #,##0_);_(* \(#,##0\);_(* &quot;-&quot;_);_(@_)">
                  <c:v>1</c:v>
                </c:pt>
              </c:numCache>
            </c:numRef>
          </c:val>
          <c:extLst>
            <c:ext xmlns:c16="http://schemas.microsoft.com/office/drawing/2014/chart" uri="{C3380CC4-5D6E-409C-BE32-E72D297353CC}">
              <c16:uniqueId val="{00000005-6A39-40CD-BDD4-118E771B80A5}"/>
            </c:ext>
          </c:extLst>
        </c:ser>
        <c:dLbls>
          <c:showLegendKey val="0"/>
          <c:showVal val="1"/>
          <c:showCatName val="0"/>
          <c:showSerName val="0"/>
          <c:showPercent val="0"/>
          <c:showBubbleSize val="0"/>
        </c:dLbls>
        <c:gapWidth val="150"/>
        <c:shape val="box"/>
        <c:axId val="585052952"/>
        <c:axId val="585053344"/>
        <c:axId val="0"/>
      </c:bar3DChart>
      <c:catAx>
        <c:axId val="585052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53344"/>
        <c:crosses val="autoZero"/>
        <c:auto val="1"/>
        <c:lblAlgn val="ctr"/>
        <c:lblOffset val="100"/>
        <c:noMultiLvlLbl val="0"/>
      </c:catAx>
      <c:valAx>
        <c:axId val="58505334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52952"/>
        <c:crosses val="autoZero"/>
        <c:crossBetween val="between"/>
        <c:minorUnit val="1"/>
      </c:valAx>
      <c:spPr>
        <a:noFill/>
        <a:ln>
          <a:noFill/>
        </a:ln>
        <a:effectLst/>
      </c:spPr>
    </c:plotArea>
    <c:legend>
      <c:legendPos val="r"/>
      <c:layout>
        <c:manualLayout>
          <c:xMode val="edge"/>
          <c:yMode val="edge"/>
          <c:x val="4.702680967107524E-2"/>
          <c:y val="0.79415189659235808"/>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interne</a:t>
            </a:r>
          </a:p>
          <a:p>
            <a:pPr>
              <a:defRPr sz="1200"/>
            </a:pPr>
            <a:r>
              <a:rPr lang="en-CA" sz="1200"/>
              <a:t>Médiane pour la fonction publique = 175 jours</a:t>
            </a:r>
          </a:p>
          <a:p>
            <a:pPr>
              <a:defRPr sz="1200"/>
            </a:pPr>
            <a:r>
              <a:rPr lang="en-CA" sz="1200"/>
              <a:t> 2019-2020</a:t>
            </a:r>
          </a:p>
        </c:rich>
      </c:tx>
      <c:layout>
        <c:manualLayout>
          <c:xMode val="edge"/>
          <c:yMode val="edge"/>
          <c:x val="0.19102453102453099"/>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13</c:v>
                </c:pt>
                <c:pt idx="2">
                  <c:v>106</c:v>
                </c:pt>
                <c:pt idx="3">
                  <c:v>256</c:v>
                </c:pt>
                <c:pt idx="4">
                  <c:v>331</c:v>
                </c:pt>
                <c:pt idx="5">
                  <c:v>313</c:v>
                </c:pt>
                <c:pt idx="6">
                  <c:v>314</c:v>
                </c:pt>
                <c:pt idx="7">
                  <c:v>258</c:v>
                </c:pt>
                <c:pt idx="8">
                  <c:v>191</c:v>
                </c:pt>
                <c:pt idx="9">
                  <c:v>143</c:v>
                </c:pt>
                <c:pt idx="10">
                  <c:v>109</c:v>
                </c:pt>
                <c:pt idx="11">
                  <c:v>91</c:v>
                </c:pt>
                <c:pt idx="12">
                  <c:v>70</c:v>
                </c:pt>
                <c:pt idx="13">
                  <c:v>49</c:v>
                </c:pt>
                <c:pt idx="14">
                  <c:v>43</c:v>
                </c:pt>
                <c:pt idx="15">
                  <c:v>41</c:v>
                </c:pt>
                <c:pt idx="16">
                  <c:v>36</c:v>
                </c:pt>
                <c:pt idx="17">
                  <c:v>20</c:v>
                </c:pt>
                <c:pt idx="18">
                  <c:v>15</c:v>
                </c:pt>
                <c:pt idx="19">
                  <c:v>23</c:v>
                </c:pt>
                <c:pt idx="20">
                  <c:v>20</c:v>
                </c:pt>
                <c:pt idx="21">
                  <c:v>18</c:v>
                </c:pt>
                <c:pt idx="22">
                  <c:v>11</c:v>
                </c:pt>
                <c:pt idx="23">
                  <c:v>15</c:v>
                </c:pt>
                <c:pt idx="24">
                  <c:v>6</c:v>
                </c:pt>
                <c:pt idx="25">
                  <c:v>11</c:v>
                </c:pt>
                <c:pt idx="26">
                  <c:v>6</c:v>
                </c:pt>
                <c:pt idx="27">
                  <c:v>5</c:v>
                </c:pt>
                <c:pt idx="28">
                  <c:v>6</c:v>
                </c:pt>
                <c:pt idx="29">
                  <c:v>10</c:v>
                </c:pt>
                <c:pt idx="30">
                  <c:v>1</c:v>
                </c:pt>
                <c:pt idx="31">
                  <c:v>4</c:v>
                </c:pt>
                <c:pt idx="32">
                  <c:v>5</c:v>
                </c:pt>
                <c:pt idx="33">
                  <c:v>4</c:v>
                </c:pt>
                <c:pt idx="34">
                  <c:v>43</c:v>
                </c:pt>
              </c:numCache>
            </c:numRef>
          </c:val>
          <c:extLst>
            <c:ext xmlns:c16="http://schemas.microsoft.com/office/drawing/2014/chart" uri="{C3380CC4-5D6E-409C-BE32-E72D297353CC}">
              <c16:uniqueId val="{00000000-74DE-4E04-B783-39C7C838A809}"/>
            </c:ext>
          </c:extLst>
        </c:ser>
        <c:dLbls>
          <c:showLegendKey val="0"/>
          <c:showVal val="0"/>
          <c:showCatName val="0"/>
          <c:showSerName val="0"/>
          <c:showPercent val="0"/>
          <c:showBubbleSize val="0"/>
        </c:dLbls>
        <c:gapWidth val="150"/>
        <c:overlap val="100"/>
        <c:axId val="662038144"/>
        <c:axId val="662035792"/>
      </c:barChart>
      <c:catAx>
        <c:axId val="66203814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2035792"/>
        <c:crosses val="autoZero"/>
        <c:auto val="1"/>
        <c:lblAlgn val="ctr"/>
        <c:lblOffset val="100"/>
        <c:noMultiLvlLbl val="0"/>
      </c:catAx>
      <c:valAx>
        <c:axId val="662035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2038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Durée de dotation externe</a:t>
            </a:r>
          </a:p>
          <a:p>
            <a:pPr>
              <a:defRPr sz="1200"/>
            </a:pPr>
            <a:r>
              <a:rPr lang="en-CA" sz="1200">
                <a:solidFill>
                  <a:sysClr val="windowText" lastClr="000000"/>
                </a:solidFill>
              </a:rPr>
              <a:t>Médiane pour la fonction publique = 203 jours</a:t>
            </a:r>
          </a:p>
          <a:p>
            <a:pPr>
              <a:defRPr sz="1200"/>
            </a:pPr>
            <a:r>
              <a:rPr lang="en-CA" sz="1200">
                <a:solidFill>
                  <a:sysClr val="windowText" lastClr="000000"/>
                </a:solidFill>
              </a:rPr>
              <a:t> 2019-2020</a:t>
            </a: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55</c:v>
                </c:pt>
                <c:pt idx="2">
                  <c:v>75</c:v>
                </c:pt>
                <c:pt idx="3">
                  <c:v>95</c:v>
                </c:pt>
                <c:pt idx="4">
                  <c:v>108</c:v>
                </c:pt>
                <c:pt idx="5">
                  <c:v>166</c:v>
                </c:pt>
                <c:pt idx="6">
                  <c:v>164</c:v>
                </c:pt>
                <c:pt idx="7">
                  <c:v>160</c:v>
                </c:pt>
                <c:pt idx="8">
                  <c:v>133</c:v>
                </c:pt>
                <c:pt idx="9">
                  <c:v>122</c:v>
                </c:pt>
                <c:pt idx="10">
                  <c:v>101</c:v>
                </c:pt>
                <c:pt idx="11">
                  <c:v>80</c:v>
                </c:pt>
                <c:pt idx="12">
                  <c:v>61</c:v>
                </c:pt>
                <c:pt idx="13">
                  <c:v>50</c:v>
                </c:pt>
                <c:pt idx="14">
                  <c:v>45</c:v>
                </c:pt>
                <c:pt idx="15">
                  <c:v>34</c:v>
                </c:pt>
                <c:pt idx="16">
                  <c:v>34</c:v>
                </c:pt>
                <c:pt idx="17">
                  <c:v>21</c:v>
                </c:pt>
                <c:pt idx="18">
                  <c:v>16</c:v>
                </c:pt>
                <c:pt idx="19">
                  <c:v>19</c:v>
                </c:pt>
                <c:pt idx="20">
                  <c:v>13</c:v>
                </c:pt>
                <c:pt idx="21">
                  <c:v>7</c:v>
                </c:pt>
                <c:pt idx="22">
                  <c:v>7</c:v>
                </c:pt>
                <c:pt idx="23">
                  <c:v>4</c:v>
                </c:pt>
                <c:pt idx="24">
                  <c:v>11</c:v>
                </c:pt>
                <c:pt idx="25">
                  <c:v>6</c:v>
                </c:pt>
                <c:pt idx="26">
                  <c:v>2</c:v>
                </c:pt>
                <c:pt idx="27">
                  <c:v>4</c:v>
                </c:pt>
                <c:pt idx="28">
                  <c:v>4</c:v>
                </c:pt>
                <c:pt idx="29">
                  <c:v>0</c:v>
                </c:pt>
                <c:pt idx="30">
                  <c:v>1</c:v>
                </c:pt>
                <c:pt idx="31">
                  <c:v>0</c:v>
                </c:pt>
                <c:pt idx="32">
                  <c:v>0</c:v>
                </c:pt>
                <c:pt idx="33">
                  <c:v>0</c:v>
                </c:pt>
                <c:pt idx="34">
                  <c:v>0</c:v>
                </c:pt>
              </c:numCache>
            </c:numRef>
          </c:val>
          <c:extLst>
            <c:ext xmlns:c16="http://schemas.microsoft.com/office/drawing/2014/chart" uri="{C3380CC4-5D6E-409C-BE32-E72D297353CC}">
              <c16:uniqueId val="{00000000-2A72-477E-8435-87CB8B8CAA89}"/>
            </c:ext>
          </c:extLst>
        </c:ser>
        <c:dLbls>
          <c:showLegendKey val="0"/>
          <c:showVal val="0"/>
          <c:showCatName val="0"/>
          <c:showSerName val="0"/>
          <c:showPercent val="0"/>
          <c:showBubbleSize val="0"/>
        </c:dLbls>
        <c:gapWidth val="150"/>
        <c:overlap val="100"/>
        <c:axId val="662038928"/>
        <c:axId val="662039320"/>
      </c:barChart>
      <c:catAx>
        <c:axId val="6620389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2039320"/>
        <c:crosses val="autoZero"/>
        <c:auto val="1"/>
        <c:lblAlgn val="ctr"/>
        <c:lblOffset val="100"/>
        <c:noMultiLvlLbl val="0"/>
      </c:catAx>
      <c:valAx>
        <c:axId val="662039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2038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t>Population selon le profil linguistique au 31 mars 2020</a:t>
            </a:r>
          </a:p>
          <a:p>
            <a:pPr>
              <a:defRPr sz="1200"/>
            </a:pPr>
            <a:r>
              <a:rPr lang="en-US" sz="1200"/>
              <a:t> (N=500)</a:t>
            </a:r>
            <a:endParaRPr lang="en-CA" sz="1200"/>
          </a:p>
        </c:rich>
      </c:tx>
      <c:layout>
        <c:manualLayout>
          <c:xMode val="edge"/>
          <c:yMode val="edge"/>
          <c:x val="0.14725646205219109"/>
          <c:y val="3.352977616928321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1595553173654358E-3"/>
          <c:y val="0.28853377023524235"/>
          <c:w val="0.99084044468263455"/>
          <c:h val="0.58773454948566217"/>
        </c:manualLayout>
      </c:layout>
      <c:pieChart>
        <c:varyColors val="1"/>
        <c:ser>
          <c:idx val="0"/>
          <c:order val="0"/>
          <c:tx>
            <c:strRef>
              <c:f>Sheet1!$B$1</c:f>
              <c:strCache>
                <c:ptCount val="1"/>
                <c:pt idx="0">
                  <c:v>Population selon le profil linguistique au 31 mars 2018</c:v>
                </c:pt>
              </c:strCache>
            </c:strRef>
          </c:tx>
          <c:spPr>
            <a:ln w="0">
              <a:noFill/>
            </a:ln>
            <a:effectLst/>
          </c:spPr>
          <c:dPt>
            <c:idx val="0"/>
            <c:bubble3D val="0"/>
            <c:spPr>
              <a:solidFill>
                <a:schemeClr val="accent2"/>
              </a:solidFill>
              <a:ln w="0">
                <a:noFill/>
              </a:ln>
              <a:effectLst/>
            </c:spPr>
            <c:extLst>
              <c:ext xmlns:c16="http://schemas.microsoft.com/office/drawing/2014/chart" uri="{C3380CC4-5D6E-409C-BE32-E72D297353CC}">
                <c16:uniqueId val="{00000001-D5D8-40B6-B96C-84052FF0AE51}"/>
              </c:ext>
            </c:extLst>
          </c:dPt>
          <c:dPt>
            <c:idx val="1"/>
            <c:bubble3D val="0"/>
            <c:spPr>
              <a:solidFill>
                <a:schemeClr val="accent1"/>
              </a:solidFill>
              <a:ln w="0">
                <a:noFill/>
              </a:ln>
              <a:effectLst/>
            </c:spPr>
            <c:extLst>
              <c:ext xmlns:c16="http://schemas.microsoft.com/office/drawing/2014/chart" uri="{C3380CC4-5D6E-409C-BE32-E72D297353CC}">
                <c16:uniqueId val="{00000003-D5D8-40B6-B96C-84052FF0AE51}"/>
              </c:ext>
            </c:extLst>
          </c:dPt>
          <c:dLbls>
            <c:dLbl>
              <c:idx val="0"/>
              <c:layout>
                <c:manualLayout>
                  <c:x val="-2.6178010471204268E-2"/>
                  <c:y val="-4.5705563978415742E-2"/>
                </c:manualLayout>
              </c:layout>
              <c:showLegendKey val="0"/>
              <c:showVal val="0"/>
              <c:showCatName val="1"/>
              <c:showSerName val="0"/>
              <c:showPercent val="1"/>
              <c:showBubbleSize val="0"/>
              <c:extLst>
                <c:ext xmlns:c15="http://schemas.microsoft.com/office/drawing/2012/chart" uri="{CE6537A1-D6FC-4f65-9D91-7224C49458BB}">
                  <c15:layout>
                    <c:manualLayout>
                      <c:w val="0.33813263525305409"/>
                      <c:h val="0.24974120082815734"/>
                    </c:manualLayout>
                  </c15:layout>
                </c:ext>
                <c:ext xmlns:c16="http://schemas.microsoft.com/office/drawing/2014/chart" uri="{C3380CC4-5D6E-409C-BE32-E72D297353CC}">
                  <c16:uniqueId val="{00000001-D5D8-40B6-B96C-84052FF0AE51}"/>
                </c:ext>
              </c:extLst>
            </c:dLbl>
            <c:dLbl>
              <c:idx val="1"/>
              <c:layout>
                <c:manualLayout>
                  <c:x val="0.13961605584642234"/>
                  <c:y val="3.5196687370600416E-2"/>
                </c:manualLayout>
              </c:layout>
              <c:showLegendKey val="0"/>
              <c:showVal val="0"/>
              <c:showCatName val="1"/>
              <c:showSerName val="0"/>
              <c:showPercent val="1"/>
              <c:showBubbleSize val="0"/>
              <c:extLst>
                <c:ext xmlns:c15="http://schemas.microsoft.com/office/drawing/2012/chart" uri="{CE6537A1-D6FC-4f65-9D91-7224C49458BB}">
                  <c15:layout>
                    <c:manualLayout>
                      <c:w val="0.39048865619546247"/>
                      <c:h val="0.18633540372670807"/>
                    </c:manualLayout>
                  </c15:layout>
                </c:ext>
                <c:ext xmlns:c16="http://schemas.microsoft.com/office/drawing/2014/chart" uri="{C3380CC4-5D6E-409C-BE32-E72D297353CC}">
                  <c16:uniqueId val="{00000003-D5D8-40B6-B96C-84052FF0AE51}"/>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2"/>
                <c:pt idx="0">
                  <c:v>Bilingue</c:v>
                </c:pt>
                <c:pt idx="1">
                  <c:v>Unilingue</c:v>
                </c:pt>
              </c:strCache>
            </c:strRef>
          </c:cat>
          <c:val>
            <c:numRef>
              <c:f>Sheet1!$B$2:$B$3</c:f>
              <c:numCache>
                <c:formatCode>0</c:formatCode>
                <c:ptCount val="2"/>
                <c:pt idx="0">
                  <c:v>87</c:v>
                </c:pt>
                <c:pt idx="1">
                  <c:v>363</c:v>
                </c:pt>
              </c:numCache>
            </c:numRef>
          </c:val>
          <c:extLst>
            <c:ext xmlns:c16="http://schemas.microsoft.com/office/drawing/2014/chart" uri="{C3380CC4-5D6E-409C-BE32-E72D297353CC}">
              <c16:uniqueId val="{00000004-D5D8-40B6-B96C-84052FF0AE51}"/>
            </c:ext>
          </c:extLst>
        </c:ser>
        <c:dLbls>
          <c:showLegendKey val="0"/>
          <c:showVal val="0"/>
          <c:showCatName val="0"/>
          <c:showSerName val="0"/>
          <c:showPercent val="0"/>
          <c:showBubbleSize val="0"/>
          <c:showLeaderLines val="1"/>
        </c:dLbls>
        <c:firstSliceAng val="65"/>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Population selon le groupe professionnel au 31 mars 2020</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8E90-4C34-A8FF-CC491F1F4194}"/>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8E90-4C34-A8FF-CC491F1F4194}"/>
              </c:ext>
            </c:extLst>
          </c:dPt>
          <c:dPt>
            <c:idx val="2"/>
            <c:bubble3D val="0"/>
            <c:spPr>
              <a:solidFill>
                <a:schemeClr val="accent3"/>
              </a:solidFill>
              <a:ln w="3175">
                <a:solidFill>
                  <a:schemeClr val="lt1"/>
                </a:solidFill>
              </a:ln>
              <a:effectLst/>
            </c:spPr>
            <c:extLst>
              <c:ext xmlns:c16="http://schemas.microsoft.com/office/drawing/2014/chart" uri="{C3380CC4-5D6E-409C-BE32-E72D297353CC}">
                <c16:uniqueId val="{00000005-8E90-4C34-A8FF-CC491F1F4194}"/>
              </c:ext>
            </c:extLst>
          </c:dPt>
          <c:dPt>
            <c:idx val="3"/>
            <c:bubble3D val="0"/>
            <c:spPr>
              <a:solidFill>
                <a:schemeClr val="accent5"/>
              </a:solidFill>
              <a:ln w="3175">
                <a:solidFill>
                  <a:schemeClr val="lt1"/>
                </a:solidFill>
              </a:ln>
              <a:effectLst/>
            </c:spPr>
            <c:extLst>
              <c:ext xmlns:c16="http://schemas.microsoft.com/office/drawing/2014/chart" uri="{C3380CC4-5D6E-409C-BE32-E72D297353CC}">
                <c16:uniqueId val="{00000007-8E90-4C34-A8FF-CC491F1F4194}"/>
              </c:ext>
            </c:extLst>
          </c:dPt>
          <c:dPt>
            <c:idx val="4"/>
            <c:bubble3D val="0"/>
            <c:spPr>
              <a:solidFill>
                <a:schemeClr val="accent6"/>
              </a:solidFill>
              <a:ln w="3175">
                <a:solidFill>
                  <a:schemeClr val="lt1"/>
                </a:solidFill>
              </a:ln>
              <a:effectLst/>
            </c:spPr>
            <c:extLst>
              <c:ext xmlns:c16="http://schemas.microsoft.com/office/drawing/2014/chart" uri="{C3380CC4-5D6E-409C-BE32-E72D297353CC}">
                <c16:uniqueId val="{00000009-8E90-4C34-A8FF-CC491F1F4194}"/>
              </c:ext>
            </c:extLst>
          </c:dPt>
          <c:dLbls>
            <c:dLbl>
              <c:idx val="0"/>
              <c:layout>
                <c:manualLayout>
                  <c:x val="0.33487587794542439"/>
                  <c:y val="0.26313878080415043"/>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8E90-4C34-A8FF-CC491F1F4194}"/>
                </c:ext>
              </c:extLst>
            </c:dLbl>
            <c:dLbl>
              <c:idx val="1"/>
              <c:layout>
                <c:manualLayout>
                  <c:x val="0.11398172993738911"/>
                  <c:y val="-2.025633955288662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8E90-4C34-A8FF-CC491F1F4194}"/>
                </c:ext>
              </c:extLst>
            </c:dLbl>
            <c:dLbl>
              <c:idx val="2"/>
              <c:layout>
                <c:manualLayout>
                  <c:x val="0.19606856405519138"/>
                  <c:y val="0.164505039982842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8E90-4C34-A8FF-CC491F1F4194}"/>
                </c:ext>
              </c:extLst>
            </c:dLbl>
            <c:dLbl>
              <c:idx val="3"/>
              <c:layout>
                <c:manualLayout>
                  <c:x val="-2.0036950688426584E-2"/>
                  <c:y val="0.1468770489291951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67173252284"/>
                      <c:h val="0.13359273670557717"/>
                    </c:manualLayout>
                  </c15:layout>
                </c:ext>
                <c:ext xmlns:c16="http://schemas.microsoft.com/office/drawing/2014/chart" uri="{C3380CC4-5D6E-409C-BE32-E72D297353CC}">
                  <c16:uniqueId val="{00000007-8E90-4C34-A8FF-CC491F1F4194}"/>
                </c:ext>
              </c:extLst>
            </c:dLbl>
            <c:dLbl>
              <c:idx val="4"/>
              <c:layout>
                <c:manualLayout>
                  <c:x val="-8.9385474860335198E-2"/>
                  <c:y val="-2.8489434929583218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256983240223464"/>
                      <c:h val="0.14267185473411154"/>
                    </c:manualLayout>
                  </c15:layout>
                </c:ext>
                <c:ext xmlns:c16="http://schemas.microsoft.com/office/drawing/2014/chart" uri="{C3380CC4-5D6E-409C-BE32-E72D297353CC}">
                  <c16:uniqueId val="{00000009-8E90-4C34-A8FF-CC491F1F4194}"/>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1"/>
                <c:pt idx="0">
                  <c:v>NB</c:v>
                </c:pt>
              </c:strCache>
            </c:strRef>
          </c:cat>
          <c:val>
            <c:numRef>
              <c:f>Sheet1!$B$2:$B$6</c:f>
              <c:numCache>
                <c:formatCode>General</c:formatCode>
                <c:ptCount val="5"/>
                <c:pt idx="0">
                  <c:v>500</c:v>
                </c:pt>
              </c:numCache>
            </c:numRef>
          </c:val>
          <c:extLst>
            <c:ext xmlns:c16="http://schemas.microsoft.com/office/drawing/2014/chart" uri="{C3380CC4-5D6E-409C-BE32-E72D297353CC}">
              <c16:uniqueId val="{0000000A-8E90-4C34-A8FF-CC491F1F4194}"/>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t>Population selon la région au 31 mars 2020 (N=500)</a:t>
            </a:r>
            <a:endParaRPr lang="en-CA" sz="1200"/>
          </a:p>
        </c:rich>
      </c:tx>
      <c:layout>
        <c:manualLayout>
          <c:xMode val="edge"/>
          <c:yMode val="edge"/>
          <c:x val="0.18640406479016935"/>
          <c:y val="2.0703893300133107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3640109502441232E-2"/>
          <c:y val="0.22221760323437831"/>
          <c:w val="0.84333349635643373"/>
          <c:h val="0.7057986048814310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extLst>
              <c:ext xmlns:c16="http://schemas.microsoft.com/office/drawing/2014/chart" uri="{C3380CC4-5D6E-409C-BE32-E72D297353CC}">
                <c16:uniqueId val="{00000001-EEB3-43D9-A211-C1EFB5A2014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EEB3-43D9-A211-C1EFB5A20149}"/>
              </c:ext>
            </c:extLst>
          </c:dPt>
          <c:dLbls>
            <c:dLbl>
              <c:idx val="0"/>
              <c:layout>
                <c:manualLayout>
                  <c:x val="0.19354838709677419"/>
                  <c:y val="-0.2743271221532092"/>
                </c:manualLayout>
              </c:layout>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 xmlns:c16="http://schemas.microsoft.com/office/drawing/2014/chart" uri="{C3380CC4-5D6E-409C-BE32-E72D297353CC}">
                  <c16:uniqueId val="{00000001-EEB3-43D9-A211-C1EFB5A20149}"/>
                </c:ext>
              </c:extLst>
            </c:dLbl>
            <c:dLbl>
              <c:idx val="1"/>
              <c:delete val="1"/>
              <c:extLst>
                <c:ext xmlns:c15="http://schemas.microsoft.com/office/drawing/2012/chart" uri="{CE6537A1-D6FC-4f65-9D91-7224C49458BB}"/>
                <c:ext xmlns:c16="http://schemas.microsoft.com/office/drawing/2014/chart" uri="{C3380CC4-5D6E-409C-BE32-E72D297353CC}">
                  <c16:uniqueId val="{00000003-EEB3-43D9-A211-C1EFB5A20149}"/>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500</c:v>
                </c:pt>
                <c:pt idx="1">
                  <c:v>0</c:v>
                </c:pt>
              </c:numCache>
            </c:numRef>
          </c:val>
          <c:extLst>
            <c:ext xmlns:c16="http://schemas.microsoft.com/office/drawing/2014/chart" uri="{C3380CC4-5D6E-409C-BE32-E72D297353CC}">
              <c16:uniqueId val="{00000004-EEB3-43D9-A211-C1EFB5A20149}"/>
            </c:ext>
          </c:extLst>
        </c:ser>
        <c:dLbls>
          <c:showLegendKey val="0"/>
          <c:showVal val="0"/>
          <c:showCatName val="0"/>
          <c:showSerName val="0"/>
          <c:showPercent val="0"/>
          <c:showBubbleSize val="0"/>
          <c:showLeaderLines val="1"/>
        </c:dLbls>
        <c:firstSliceAng val="5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Embauche externe pour une période indéterminée selon le groupe professionnel,</a:t>
            </a:r>
          </a:p>
          <a:p>
            <a:pPr>
              <a:defRPr sz="1200" b="1"/>
            </a:pPr>
            <a:r>
              <a:rPr lang="en-US" sz="1200" b="1"/>
              <a:t> 2019-2020 (N=11)</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3917613248953249E-2"/>
          <c:y val="0.41203486023456493"/>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spPr>
            <a:ln>
              <a:noFill/>
            </a:ln>
          </c:spPr>
          <c:dPt>
            <c:idx val="0"/>
            <c:bubble3D val="0"/>
            <c:spPr>
              <a:solidFill>
                <a:schemeClr val="accent2"/>
              </a:solidFill>
              <a:ln w="19050">
                <a:noFill/>
              </a:ln>
              <a:effectLst/>
            </c:spPr>
            <c:extLst>
              <c:ext xmlns:c16="http://schemas.microsoft.com/office/drawing/2014/chart" uri="{C3380CC4-5D6E-409C-BE32-E72D297353CC}">
                <c16:uniqueId val="{00000001-4669-489E-8DBF-D3927835C4E1}"/>
              </c:ext>
            </c:extLst>
          </c:dPt>
          <c:dPt>
            <c:idx val="1"/>
            <c:bubble3D val="0"/>
            <c:spPr>
              <a:solidFill>
                <a:schemeClr val="accent5"/>
              </a:solidFill>
              <a:ln w="19050">
                <a:noFill/>
              </a:ln>
              <a:effectLst/>
            </c:spPr>
            <c:extLst>
              <c:ext xmlns:c16="http://schemas.microsoft.com/office/drawing/2014/chart" uri="{C3380CC4-5D6E-409C-BE32-E72D297353CC}">
                <c16:uniqueId val="{00000003-4669-489E-8DBF-D3927835C4E1}"/>
              </c:ext>
            </c:extLst>
          </c:dPt>
          <c:dPt>
            <c:idx val="2"/>
            <c:bubble3D val="0"/>
            <c:spPr>
              <a:solidFill>
                <a:schemeClr val="accent3"/>
              </a:solidFill>
              <a:ln w="19050">
                <a:noFill/>
              </a:ln>
              <a:effectLst/>
            </c:spPr>
            <c:extLst>
              <c:ext xmlns:c16="http://schemas.microsoft.com/office/drawing/2014/chart" uri="{C3380CC4-5D6E-409C-BE32-E72D297353CC}">
                <c16:uniqueId val="{00000005-4669-489E-8DBF-D3927835C4E1}"/>
              </c:ext>
            </c:extLst>
          </c:dPt>
          <c:dPt>
            <c:idx val="3"/>
            <c:bubble3D val="0"/>
            <c:spPr>
              <a:solidFill>
                <a:schemeClr val="accent4"/>
              </a:solidFill>
              <a:ln w="19050">
                <a:noFill/>
              </a:ln>
              <a:effectLst/>
            </c:spPr>
            <c:extLst>
              <c:ext xmlns:c16="http://schemas.microsoft.com/office/drawing/2014/chart" uri="{C3380CC4-5D6E-409C-BE32-E72D297353CC}">
                <c16:uniqueId val="{00000007-4669-489E-8DBF-D3927835C4E1}"/>
              </c:ext>
            </c:extLst>
          </c:dPt>
          <c:dPt>
            <c:idx val="4"/>
            <c:bubble3D val="0"/>
            <c:spPr>
              <a:solidFill>
                <a:schemeClr val="accent6"/>
              </a:solidFill>
              <a:ln w="19050">
                <a:noFill/>
              </a:ln>
              <a:effectLst/>
            </c:spPr>
            <c:extLst>
              <c:ext xmlns:c16="http://schemas.microsoft.com/office/drawing/2014/chart" uri="{C3380CC4-5D6E-409C-BE32-E72D297353CC}">
                <c16:uniqueId val="{00000009-4669-489E-8DBF-D3927835C4E1}"/>
              </c:ext>
            </c:extLst>
          </c:dPt>
          <c:dLbls>
            <c:dLbl>
              <c:idx val="0"/>
              <c:layout>
                <c:manualLayout>
                  <c:x val="6.7632596650056429E-2"/>
                  <c:y val="-3.0704478135605832E-2"/>
                </c:manualLayout>
              </c:layout>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 xmlns:c16="http://schemas.microsoft.com/office/drawing/2014/chart" uri="{C3380CC4-5D6E-409C-BE32-E72D297353CC}">
                  <c16:uniqueId val="{00000001-4669-489E-8DBF-D3927835C4E1}"/>
                </c:ext>
              </c:extLst>
            </c:dLbl>
            <c:dLbl>
              <c:idx val="1"/>
              <c:layout>
                <c:manualLayout>
                  <c:x val="-8.4932861653162928E-3"/>
                  <c:y val="3.5162507000249649E-3"/>
                </c:manualLayout>
              </c:layout>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123446393897562"/>
                      <c:h val="0.16763557277114552"/>
                    </c:manualLayout>
                  </c15:layout>
                </c:ext>
                <c:ext xmlns:c16="http://schemas.microsoft.com/office/drawing/2014/chart" uri="{C3380CC4-5D6E-409C-BE32-E72D297353CC}">
                  <c16:uniqueId val="{00000003-4669-489E-8DBF-D3927835C4E1}"/>
                </c:ext>
              </c:extLst>
            </c:dLbl>
            <c:dLbl>
              <c:idx val="2"/>
              <c:layout>
                <c:manualLayout>
                  <c:x val="-5.4542457555124598E-3"/>
                  <c:y val="-3.937696764282482E-3"/>
                </c:manualLayout>
              </c:layout>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4669-489E-8DBF-D3927835C4E1}"/>
                </c:ext>
              </c:extLst>
            </c:dLbl>
            <c:dLbl>
              <c:idx val="3"/>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4669-489E-8DBF-D3927835C4E1}"/>
                </c:ext>
              </c:extLst>
            </c:dLbl>
            <c:dLbl>
              <c:idx val="4"/>
              <c:spPr>
                <a:no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4669-489E-8DBF-D3927835C4E1}"/>
                </c:ext>
              </c:extLst>
            </c:dLbl>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1"/>
                <c:pt idx="0">
                  <c:v>NB</c:v>
                </c:pt>
              </c:strCache>
            </c:strRef>
          </c:cat>
          <c:val>
            <c:numRef>
              <c:f>Sheet1!$B$2:$B$6</c:f>
              <c:numCache>
                <c:formatCode>General</c:formatCode>
                <c:ptCount val="5"/>
                <c:pt idx="0">
                  <c:v>11</c:v>
                </c:pt>
              </c:numCache>
            </c:numRef>
          </c:val>
          <c:extLst>
            <c:ext xmlns:c16="http://schemas.microsoft.com/office/drawing/2014/chart" uri="{C3380CC4-5D6E-409C-BE32-E72D297353CC}">
              <c16:uniqueId val="{0000000A-4669-489E-8DBF-D3927835C4E1}"/>
            </c:ext>
          </c:extLst>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la région</a:t>
            </a:r>
          </a:p>
        </c:rich>
      </c:tx>
      <c:layout>
        <c:manualLayout>
          <c:xMode val="edge"/>
          <c:yMode val="edge"/>
          <c:x val="0.36729083400831219"/>
          <c:y val="1.8412502644626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51817700419027"/>
          <c:y val="0.1318658193252655"/>
          <c:w val="0.84333349635643373"/>
          <c:h val="0.60643249215228945"/>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cat>
            <c:strRef>
              <c:f>Sheet1!$A$2:$A$6</c:f>
              <c:strCache>
                <c:ptCount val="5"/>
                <c:pt idx="0">
                  <c:v>2015-2016</c:v>
                </c:pt>
                <c:pt idx="1">
                  <c:v>2016-2017</c:v>
                </c:pt>
                <c:pt idx="2">
                  <c:v>2017-2018</c:v>
                </c:pt>
                <c:pt idx="3">
                  <c:v>2018-2019</c:v>
                </c:pt>
                <c:pt idx="4">
                  <c:v>2019-2020</c:v>
                </c:pt>
              </c:strCache>
            </c:strRef>
          </c:cat>
          <c:val>
            <c:numRef>
              <c:f>Sheet1!$B$2:$B$6</c:f>
              <c:numCache>
                <c:formatCode>0%</c:formatCode>
                <c:ptCount val="5"/>
                <c:pt idx="0">
                  <c:v>0</c:v>
                </c:pt>
                <c:pt idx="1">
                  <c:v>0</c:v>
                </c:pt>
                <c:pt idx="2">
                  <c:v>0</c:v>
                </c:pt>
                <c:pt idx="3">
                  <c:v>0</c:v>
                </c:pt>
                <c:pt idx="4">
                  <c:v>0</c:v>
                </c:pt>
              </c:numCache>
            </c:numRef>
          </c:val>
          <c:extLst>
            <c:ext xmlns:c16="http://schemas.microsoft.com/office/drawing/2014/chart" uri="{C3380CC4-5D6E-409C-BE32-E72D297353CC}">
              <c16:uniqueId val="{00000000-25E4-4FF4-B80A-5F1C988EAF78}"/>
            </c:ext>
          </c:extLst>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0800294700004537E-2"/>
                  <c:y val="7.8400213678960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E4-4FF4-B80A-5F1C988EAF78}"/>
                </c:ext>
              </c:extLst>
            </c:dLbl>
            <c:dLbl>
              <c:idx val="1"/>
              <c:layout>
                <c:manualLayout>
                  <c:x val="8.1871345029239095E-3"/>
                  <c:y val="1.1832202660464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E4-4FF4-B80A-5F1C988EAF78}"/>
                </c:ext>
              </c:extLst>
            </c:dLbl>
            <c:dLbl>
              <c:idx val="2"/>
              <c:layout>
                <c:manualLayout>
                  <c:x val="3.6549707602338511E-3"/>
                  <c:y val="8.4057849801496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E4-4FF4-B80A-5F1C988EAF78}"/>
                </c:ext>
              </c:extLst>
            </c:dLbl>
            <c:dLbl>
              <c:idx val="3"/>
              <c:layout>
                <c:manualLayout>
                  <c:x val="1.4784500621632822E-2"/>
                  <c:y val="7.14043860844274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E4-4FF4-B80A-5F1C988EAF78}"/>
                </c:ext>
              </c:extLst>
            </c:dLbl>
            <c:dLbl>
              <c:idx val="4"/>
              <c:layout>
                <c:manualLayout>
                  <c:x val="1.096491228070162E-2"/>
                  <c:y val="1.027925304094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E4-4FF4-B80A-5F1C988EAF7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c:v>
                </c:pt>
                <c:pt idx="1">
                  <c:v>2016-2017</c:v>
                </c:pt>
                <c:pt idx="2">
                  <c:v>2017-2018</c:v>
                </c:pt>
                <c:pt idx="3">
                  <c:v>2018-2019</c:v>
                </c:pt>
                <c:pt idx="4">
                  <c:v>2019-2020</c:v>
                </c:pt>
              </c:strCache>
            </c:strRef>
          </c:cat>
          <c:val>
            <c:numRef>
              <c:f>Sheet1!$C$2:$C$6</c:f>
              <c:numCache>
                <c:formatCode>0%</c:formatCode>
                <c:ptCount val="5"/>
                <c:pt idx="0">
                  <c:v>1</c:v>
                </c:pt>
                <c:pt idx="1">
                  <c:v>1</c:v>
                </c:pt>
                <c:pt idx="2">
                  <c:v>1</c:v>
                </c:pt>
                <c:pt idx="3">
                  <c:v>1</c:v>
                </c:pt>
                <c:pt idx="4">
                  <c:v>1</c:v>
                </c:pt>
              </c:numCache>
            </c:numRef>
          </c:val>
          <c:extLst>
            <c:ext xmlns:c16="http://schemas.microsoft.com/office/drawing/2014/chart" uri="{C3380CC4-5D6E-409C-BE32-E72D297353CC}">
              <c16:uniqueId val="{00000006-25E4-4FF4-B80A-5F1C988EAF78}"/>
            </c:ext>
          </c:extLst>
        </c:ser>
        <c:dLbls>
          <c:showLegendKey val="0"/>
          <c:showVal val="0"/>
          <c:showCatName val="0"/>
          <c:showSerName val="0"/>
          <c:showPercent val="0"/>
          <c:showBubbleSize val="0"/>
        </c:dLbls>
        <c:gapWidth val="150"/>
        <c:axId val="585050208"/>
        <c:axId val="585049816"/>
      </c:barChart>
      <c:catAx>
        <c:axId val="585050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49816"/>
        <c:crosses val="autoZero"/>
        <c:auto val="1"/>
        <c:lblAlgn val="ctr"/>
        <c:lblOffset val="100"/>
        <c:noMultiLvlLbl val="0"/>
      </c:catAx>
      <c:valAx>
        <c:axId val="585049816"/>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50208"/>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processus</a:t>
            </a:r>
          </a:p>
        </c:rich>
      </c:tx>
      <c:layout>
        <c:manualLayout>
          <c:xMode val="edge"/>
          <c:yMode val="edge"/>
          <c:x val="0.27003297437735968"/>
          <c:y val="5.408978116435701E-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9229225927910855E-2"/>
          <c:y val="7.0190301079591358E-2"/>
          <c:w val="0.84333349635643373"/>
          <c:h val="0.55160980926724579"/>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7.0912863640736649E-3"/>
                  <c:y val="1.027925304094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45-45EE-AF6B-654A326D648F}"/>
                </c:ext>
              </c:extLst>
            </c:dLbl>
            <c:dLbl>
              <c:idx val="1"/>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45-45EE-AF6B-654A326D648F}"/>
                </c:ext>
              </c:extLst>
            </c:dLbl>
            <c:dLbl>
              <c:idx val="2"/>
              <c:layout>
                <c:manualLayout>
                  <c:x val="-5.555509749762955E-3"/>
                  <c:y val="1.73479257357692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45-45EE-AF6B-654A326D648F}"/>
                </c:ext>
              </c:extLst>
            </c:dLbl>
            <c:dLbl>
              <c:idx val="3"/>
              <c:layout>
                <c:manualLayout>
                  <c:x val="-8.3332646246444333E-3"/>
                  <c:y val="1.7913419551355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45-45EE-AF6B-654A326D648F}"/>
                </c:ext>
              </c:extLst>
            </c:dLbl>
            <c:dLbl>
              <c:idx val="4"/>
              <c:layout>
                <c:manualLayout>
                  <c:x val="-1.0471204188481676E-2"/>
                  <c:y val="1.3705670721260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45-45EE-AF6B-654A326D648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c:v>
                </c:pt>
                <c:pt idx="1">
                  <c:v>2016-2017</c:v>
                </c:pt>
                <c:pt idx="2">
                  <c:v>2017-2018</c:v>
                </c:pt>
                <c:pt idx="3">
                  <c:v>2018-2019</c:v>
                </c:pt>
                <c:pt idx="4">
                  <c:v>2019-2020</c:v>
                </c:pt>
              </c:strCache>
            </c:strRef>
          </c:cat>
          <c:val>
            <c:numRef>
              <c:f>Sheet1!$B$2:$B$6</c:f>
              <c:numCache>
                <c:formatCode>#\ ###</c:formatCode>
                <c:ptCount val="5"/>
                <c:pt idx="0">
                  <c:v>7</c:v>
                </c:pt>
                <c:pt idx="1">
                  <c:v>2</c:v>
                </c:pt>
                <c:pt idx="2">
                  <c:v>7</c:v>
                </c:pt>
                <c:pt idx="3">
                  <c:v>22</c:v>
                </c:pt>
                <c:pt idx="4">
                  <c:v>34</c:v>
                </c:pt>
              </c:numCache>
            </c:numRef>
          </c:val>
          <c:extLst>
            <c:ext xmlns:c16="http://schemas.microsoft.com/office/drawing/2014/chart" uri="{C3380CC4-5D6E-409C-BE32-E72D297353CC}">
              <c16:uniqueId val="{00000005-B845-45EE-AF6B-654A326D648F}"/>
            </c:ext>
          </c:extLst>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4904013961605585E-3"/>
                  <c:y val="1.8119274408841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45-45EE-AF6B-654A326D648F}"/>
                </c:ext>
              </c:extLst>
            </c:dLbl>
            <c:dLbl>
              <c:idx val="1"/>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45-45EE-AF6B-654A326D648F}"/>
                </c:ext>
              </c:extLst>
            </c:dLbl>
            <c:dLbl>
              <c:idx val="2"/>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45-45EE-AF6B-654A326D648F}"/>
                </c:ext>
              </c:extLst>
            </c:dLbl>
            <c:dLbl>
              <c:idx val="3"/>
              <c:layout>
                <c:manualLayout>
                  <c:x val="0"/>
                  <c:y val="1.3993273969073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45-45EE-AF6B-654A326D648F}"/>
                </c:ext>
              </c:extLst>
            </c:dLbl>
            <c:dLbl>
              <c:idx val="4"/>
              <c:layout>
                <c:manualLayout>
                  <c:x val="3.4904013961605585E-3"/>
                  <c:y val="6.85283536063044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845-45EE-AF6B-654A326D648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c:v>
                </c:pt>
                <c:pt idx="1">
                  <c:v>2016-2017</c:v>
                </c:pt>
                <c:pt idx="2">
                  <c:v>2017-2018</c:v>
                </c:pt>
                <c:pt idx="3">
                  <c:v>2018-2019</c:v>
                </c:pt>
                <c:pt idx="4">
                  <c:v>2019-2020</c:v>
                </c:pt>
              </c:strCache>
            </c:strRef>
          </c:cat>
          <c:val>
            <c:numRef>
              <c:f>Sheet1!$C$2:$C$6</c:f>
              <c:numCache>
                <c:formatCode>#\ ###</c:formatCode>
                <c:ptCount val="5"/>
                <c:pt idx="0">
                  <c:v>66</c:v>
                </c:pt>
                <c:pt idx="1">
                  <c:v>51</c:v>
                </c:pt>
                <c:pt idx="2">
                  <c:v>84</c:v>
                </c:pt>
                <c:pt idx="3">
                  <c:v>59</c:v>
                </c:pt>
                <c:pt idx="4">
                  <c:v>50</c:v>
                </c:pt>
              </c:numCache>
            </c:numRef>
          </c:val>
          <c:extLst>
            <c:ext xmlns:c16="http://schemas.microsoft.com/office/drawing/2014/chart" uri="{C3380CC4-5D6E-409C-BE32-E72D297353CC}">
              <c16:uniqueId val="{0000000B-B845-45EE-AF6B-654A326D648F}"/>
            </c:ext>
          </c:extLst>
        </c:ser>
        <c:dLbls>
          <c:showLegendKey val="0"/>
          <c:showVal val="0"/>
          <c:showCatName val="0"/>
          <c:showSerName val="0"/>
          <c:showPercent val="0"/>
          <c:showBubbleSize val="0"/>
        </c:dLbls>
        <c:gapWidth val="150"/>
        <c:axId val="585048248"/>
        <c:axId val="585054128"/>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9.7046076046776869E-2"/>
                  <c:y val="4.3167466838554259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845-45EE-AF6B-654A326D648F}"/>
                </c:ext>
              </c:extLst>
            </c:dLbl>
            <c:dLbl>
              <c:idx val="1"/>
              <c:layout>
                <c:manualLayout>
                  <c:x val="-7.4579983784749421E-2"/>
                  <c:y val="-4.582307543919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845-45EE-AF6B-654A326D648F}"/>
                </c:ext>
              </c:extLst>
            </c:dLbl>
            <c:dLbl>
              <c:idx val="2"/>
              <c:layout>
                <c:manualLayout>
                  <c:x val="-8.8248890354674259E-2"/>
                  <c:y val="-3.1332026618139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845-45EE-AF6B-654A326D648F}"/>
                </c:ext>
              </c:extLst>
            </c:dLbl>
            <c:dLbl>
              <c:idx val="3"/>
              <c:layout>
                <c:manualLayout>
                  <c:x val="-8.8113671654917486E-2"/>
                  <c:y val="-1.6192656404500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845-45EE-AF6B-654A326D648F}"/>
                </c:ext>
              </c:extLst>
            </c:dLbl>
            <c:dLbl>
              <c:idx val="4"/>
              <c:layout>
                <c:manualLayout>
                  <c:x val="-4.5375218150087389E-2"/>
                  <c:y val="-2.3984923762206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845-45EE-AF6B-654A326D648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c:v>
                </c:pt>
                <c:pt idx="1">
                  <c:v>2016-2017</c:v>
                </c:pt>
                <c:pt idx="2">
                  <c:v>2017-2018</c:v>
                </c:pt>
                <c:pt idx="3">
                  <c:v>2018-2019</c:v>
                </c:pt>
                <c:pt idx="4">
                  <c:v>2019-2020</c:v>
                </c:pt>
              </c:strCache>
            </c:strRef>
          </c:cat>
          <c:val>
            <c:numRef>
              <c:f>Sheet1!$D$2:$D$6</c:f>
              <c:numCache>
                <c:formatCode>0%</c:formatCode>
                <c:ptCount val="5"/>
                <c:pt idx="0">
                  <c:v>0.1</c:v>
                </c:pt>
                <c:pt idx="1">
                  <c:v>0.04</c:v>
                </c:pt>
                <c:pt idx="2">
                  <c:v>0.08</c:v>
                </c:pt>
                <c:pt idx="3">
                  <c:v>0.27</c:v>
                </c:pt>
                <c:pt idx="4">
                  <c:v>0.4</c:v>
                </c:pt>
              </c:numCache>
            </c:numRef>
          </c:val>
          <c:smooth val="0"/>
          <c:extLst>
            <c:ext xmlns:c16="http://schemas.microsoft.com/office/drawing/2014/chart" uri="{C3380CC4-5D6E-409C-BE32-E72D297353CC}">
              <c16:uniqueId val="{00000011-B845-45EE-AF6B-654A326D648F}"/>
            </c:ext>
          </c:extLst>
        </c:ser>
        <c:dLbls>
          <c:showLegendKey val="0"/>
          <c:showVal val="0"/>
          <c:showCatName val="0"/>
          <c:showSerName val="0"/>
          <c:showPercent val="0"/>
          <c:showBubbleSize val="0"/>
        </c:dLbls>
        <c:marker val="1"/>
        <c:smooth val="0"/>
        <c:axId val="585048640"/>
        <c:axId val="585054912"/>
      </c:lineChart>
      <c:catAx>
        <c:axId val="585048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54128"/>
        <c:crosses val="autoZero"/>
        <c:auto val="1"/>
        <c:lblAlgn val="ctr"/>
        <c:lblOffset val="100"/>
        <c:noMultiLvlLbl val="0"/>
      </c:catAx>
      <c:valAx>
        <c:axId val="58505412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48248"/>
        <c:crosses val="autoZero"/>
        <c:crossBetween val="between"/>
      </c:valAx>
      <c:valAx>
        <c:axId val="585054912"/>
        <c:scaling>
          <c:orientation val="minMax"/>
          <c:max val="0.5"/>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48640"/>
        <c:crosses val="max"/>
        <c:crossBetween val="between"/>
        <c:majorUnit val="0.1"/>
      </c:valAx>
      <c:catAx>
        <c:axId val="585048640"/>
        <c:scaling>
          <c:orientation val="minMax"/>
        </c:scaling>
        <c:delete val="1"/>
        <c:axPos val="b"/>
        <c:numFmt formatCode="General" sourceLinked="1"/>
        <c:majorTickMark val="out"/>
        <c:minorTickMark val="none"/>
        <c:tickLblPos val="nextTo"/>
        <c:crossAx val="585054912"/>
        <c:crosses val="autoZero"/>
        <c:auto val="1"/>
        <c:lblAlgn val="ctr"/>
        <c:lblOffset val="100"/>
        <c:noMultiLvlLbl val="0"/>
      </c:catAx>
      <c:spPr>
        <a:noFill/>
        <a:ln>
          <a:noFill/>
        </a:ln>
        <a:effectLst/>
      </c:spPr>
    </c:plotArea>
    <c:legend>
      <c:legendPos val="b"/>
      <c:layout>
        <c:manualLayout>
          <c:xMode val="edge"/>
          <c:yMode val="edge"/>
          <c:x val="1.3961605584642234E-2"/>
          <c:y val="0.67666732317897038"/>
          <c:w val="0.98603839441535779"/>
          <c:h val="0.1609517046153442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Dotation selon le type de nomination</a:t>
            </a:r>
          </a:p>
        </c:rich>
      </c:tx>
      <c:layout>
        <c:manualLayout>
          <c:xMode val="edge"/>
          <c:yMode val="edge"/>
          <c:x val="0.26583333333333331"/>
          <c:y val="2.4615384615384615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60-46D6-8E9F-4B894C89652C}"/>
                </c:ext>
              </c:extLst>
            </c:dLbl>
            <c:dLbl>
              <c:idx val="1"/>
              <c:layout>
                <c:manualLayout>
                  <c:x val="-8.3333333333333332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60-46D6-8E9F-4B894C89652C}"/>
                </c:ext>
              </c:extLst>
            </c:dLbl>
            <c:dLbl>
              <c:idx val="2"/>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60-46D6-8E9F-4B894C89652C}"/>
                </c:ext>
              </c:extLst>
            </c:dLbl>
            <c:dLbl>
              <c:idx val="3"/>
              <c:layout>
                <c:manualLayout>
                  <c:x val="-1.9444444444444545E-2"/>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60-46D6-8E9F-4B894C89652C}"/>
                </c:ext>
              </c:extLst>
            </c:dLbl>
            <c:dLbl>
              <c:idx val="4"/>
              <c:layout>
                <c:manualLayout>
                  <c:x val="-2.7777777777777779E-3"/>
                  <c:y val="1.2307692307692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60-46D6-8E9F-4B894C8965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(N=195)</c:v>
                </c:pt>
                <c:pt idx="1">
                  <c:v>2016-2017 
(N=164)</c:v>
                </c:pt>
                <c:pt idx="2">
                  <c:v>2017-2018
(N=201)</c:v>
                </c:pt>
                <c:pt idx="3">
                  <c:v>2018-2019
(N=185)</c:v>
                </c:pt>
                <c:pt idx="4">
                  <c:v>2019-2020
(N=207)</c:v>
                </c:pt>
              </c:strCache>
            </c:strRef>
          </c:cat>
          <c:val>
            <c:numRef>
              <c:f>Sheet1!$B$3:$B$7</c:f>
              <c:numCache>
                <c:formatCode>#\ ###</c:formatCode>
                <c:ptCount val="5"/>
                <c:pt idx="0">
                  <c:v>73</c:v>
                </c:pt>
                <c:pt idx="1">
                  <c:v>43</c:v>
                </c:pt>
                <c:pt idx="2">
                  <c:v>51</c:v>
                </c:pt>
                <c:pt idx="3" formatCode="General">
                  <c:v>60</c:v>
                </c:pt>
                <c:pt idx="4" formatCode="General">
                  <c:v>62</c:v>
                </c:pt>
              </c:numCache>
            </c:numRef>
          </c:val>
          <c:extLst>
            <c:ext xmlns:c16="http://schemas.microsoft.com/office/drawing/2014/chart" uri="{C3380CC4-5D6E-409C-BE32-E72D297353CC}">
              <c16:uniqueId val="{00000005-D260-46D6-8E9F-4B894C89652C}"/>
            </c:ext>
          </c:extLst>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1.1212598425196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60-46D6-8E9F-4B894C89652C}"/>
                </c:ext>
              </c:extLst>
            </c:dLbl>
            <c:dLbl>
              <c:idx val="1"/>
              <c:layout>
                <c:manualLayout>
                  <c:x val="-2.7777777777777779E-3"/>
                  <c:y val="1.9965273571572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60-46D6-8E9F-4B894C89652C}"/>
                </c:ext>
              </c:extLst>
            </c:dLbl>
            <c:dLbl>
              <c:idx val="2"/>
              <c:layout>
                <c:manualLayout>
                  <c:x val="-1.0185067526415994E-16"/>
                  <c:y val="1.58627094690086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260-46D6-8E9F-4B894C89652C}"/>
                </c:ext>
              </c:extLst>
            </c:dLbl>
            <c:dLbl>
              <c:idx val="3"/>
              <c:layout>
                <c:manualLayout>
                  <c:x val="-2.7777777777777779E-3"/>
                  <c:y val="1.1395114072279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260-46D6-8E9F-4B894C89652C}"/>
                </c:ext>
              </c:extLst>
            </c:dLbl>
            <c:dLbl>
              <c:idx val="4"/>
              <c:layout>
                <c:manualLayout>
                  <c:x val="1.0185067526415994E-16"/>
                  <c:y val="1.2307692307692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260-46D6-8E9F-4B894C8965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(N=195)</c:v>
                </c:pt>
                <c:pt idx="1">
                  <c:v>2016-2017 
(N=164)</c:v>
                </c:pt>
                <c:pt idx="2">
                  <c:v>2017-2018
(N=201)</c:v>
                </c:pt>
                <c:pt idx="3">
                  <c:v>2018-2019
(N=185)</c:v>
                </c:pt>
                <c:pt idx="4">
                  <c:v>2019-2020
(N=207)</c:v>
                </c:pt>
              </c:strCache>
            </c:strRef>
          </c:cat>
          <c:val>
            <c:numRef>
              <c:f>Sheet1!$C$3:$C$7</c:f>
              <c:numCache>
                <c:formatCode>#\ ###</c:formatCode>
                <c:ptCount val="5"/>
                <c:pt idx="0">
                  <c:v>30</c:v>
                </c:pt>
                <c:pt idx="1">
                  <c:v>39</c:v>
                </c:pt>
                <c:pt idx="2">
                  <c:v>41</c:v>
                </c:pt>
                <c:pt idx="3" formatCode="General">
                  <c:v>46</c:v>
                </c:pt>
                <c:pt idx="4" formatCode="General">
                  <c:v>35</c:v>
                </c:pt>
              </c:numCache>
            </c:numRef>
          </c:val>
          <c:extLst>
            <c:ext xmlns:c16="http://schemas.microsoft.com/office/drawing/2014/chart" uri="{C3380CC4-5D6E-409C-BE32-E72D297353CC}">
              <c16:uniqueId val="{0000000B-D260-46D6-8E9F-4B894C89652C}"/>
            </c:ext>
          </c:extLst>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260-46D6-8E9F-4B894C89652C}"/>
                </c:ext>
              </c:extLst>
            </c:dLbl>
            <c:dLbl>
              <c:idx val="1"/>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260-46D6-8E9F-4B894C89652C}"/>
                </c:ext>
              </c:extLst>
            </c:dLbl>
            <c:dLbl>
              <c:idx val="2"/>
              <c:layout>
                <c:manualLayout>
                  <c:x val="2.7777777777777779E-3"/>
                  <c:y val="1.1395114072279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260-46D6-8E9F-4B894C89652C}"/>
                </c:ext>
              </c:extLst>
            </c:dLbl>
            <c:dLbl>
              <c:idx val="3"/>
              <c:layout>
                <c:manualLayout>
                  <c:x val="8.285214348205456E-4"/>
                  <c:y val="1.5680193821926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260-46D6-8E9F-4B894C89652C}"/>
                </c:ext>
              </c:extLst>
            </c:dLbl>
            <c:dLbl>
              <c:idx val="4"/>
              <c:layout>
                <c:manualLayout>
                  <c:x val="1.0185067526415994E-16"/>
                  <c:y val="1.641025641025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260-46D6-8E9F-4B894C8965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(N=195)</c:v>
                </c:pt>
                <c:pt idx="1">
                  <c:v>2016-2017 
(N=164)</c:v>
                </c:pt>
                <c:pt idx="2">
                  <c:v>2017-2018
(N=201)</c:v>
                </c:pt>
                <c:pt idx="3">
                  <c:v>2018-2019
(N=185)</c:v>
                </c:pt>
                <c:pt idx="4">
                  <c:v>2019-2020
(N=207)</c:v>
                </c:pt>
              </c:strCache>
            </c:strRef>
          </c:cat>
          <c:val>
            <c:numRef>
              <c:f>Sheet1!$D$3:$D$7</c:f>
              <c:numCache>
                <c:formatCode>#\ ###</c:formatCode>
                <c:ptCount val="5"/>
                <c:pt idx="0">
                  <c:v>68</c:v>
                </c:pt>
                <c:pt idx="1">
                  <c:v>64</c:v>
                </c:pt>
                <c:pt idx="2">
                  <c:v>80</c:v>
                </c:pt>
                <c:pt idx="3" formatCode="General">
                  <c:v>47</c:v>
                </c:pt>
                <c:pt idx="4" formatCode="General">
                  <c:v>67</c:v>
                </c:pt>
              </c:numCache>
            </c:numRef>
          </c:val>
          <c:extLst>
            <c:ext xmlns:c16="http://schemas.microsoft.com/office/drawing/2014/chart" uri="{C3380CC4-5D6E-409C-BE32-E72D297353CC}">
              <c16:uniqueId val="{00000011-D260-46D6-8E9F-4B894C89652C}"/>
            </c:ext>
          </c:extLst>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260-46D6-8E9F-4B894C89652C}"/>
                </c:ext>
              </c:extLst>
            </c:dLbl>
            <c:dLbl>
              <c:idx val="1"/>
              <c:layout>
                <c:manualLayout>
                  <c:x val="2.777777777777676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260-46D6-8E9F-4B894C89652C}"/>
                </c:ext>
              </c:extLst>
            </c:dLbl>
            <c:dLbl>
              <c:idx val="2"/>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260-46D6-8E9F-4B894C89652C}"/>
                </c:ext>
              </c:extLst>
            </c:dLbl>
            <c:dLbl>
              <c:idx val="3"/>
              <c:layout>
                <c:manualLayout>
                  <c:x val="3.6062992125984253E-3"/>
                  <c:y val="1.9782757924490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260-46D6-8E9F-4B894C89652C}"/>
                </c:ext>
              </c:extLst>
            </c:dLbl>
            <c:dLbl>
              <c:idx val="4"/>
              <c:layout>
                <c:manualLayout>
                  <c:x val="2.777777777777676E-3"/>
                  <c:y val="1.2307692307692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260-46D6-8E9F-4B894C8965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2015-2016
(N=195)</c:v>
                </c:pt>
                <c:pt idx="1">
                  <c:v>2016-2017 
(N=164)</c:v>
                </c:pt>
                <c:pt idx="2">
                  <c:v>2017-2018
(N=201)</c:v>
                </c:pt>
                <c:pt idx="3">
                  <c:v>2018-2019
(N=185)</c:v>
                </c:pt>
                <c:pt idx="4">
                  <c:v>2019-2020
(N=207)</c:v>
                </c:pt>
              </c:strCache>
            </c:strRef>
          </c:cat>
          <c:val>
            <c:numRef>
              <c:f>Sheet1!$E$3:$E$7</c:f>
              <c:numCache>
                <c:formatCode>#\ ###</c:formatCode>
                <c:ptCount val="5"/>
                <c:pt idx="0">
                  <c:v>24</c:v>
                </c:pt>
                <c:pt idx="1">
                  <c:v>18</c:v>
                </c:pt>
                <c:pt idx="2">
                  <c:v>29</c:v>
                </c:pt>
                <c:pt idx="3" formatCode="General">
                  <c:v>32</c:v>
                </c:pt>
                <c:pt idx="4" formatCode="General">
                  <c:v>43</c:v>
                </c:pt>
              </c:numCache>
            </c:numRef>
          </c:val>
          <c:extLst>
            <c:ext xmlns:c16="http://schemas.microsoft.com/office/drawing/2014/chart" uri="{C3380CC4-5D6E-409C-BE32-E72D297353CC}">
              <c16:uniqueId val="{00000017-D260-46D6-8E9F-4B894C89652C}"/>
            </c:ext>
          </c:extLst>
        </c:ser>
        <c:dLbls>
          <c:showLegendKey val="0"/>
          <c:showVal val="0"/>
          <c:showCatName val="0"/>
          <c:showSerName val="0"/>
          <c:showPercent val="0"/>
          <c:showBubbleSize val="0"/>
        </c:dLbls>
        <c:gapWidth val="150"/>
        <c:shape val="box"/>
        <c:axId val="585049032"/>
        <c:axId val="585054520"/>
        <c:axId val="0"/>
      </c:bar3DChart>
      <c:catAx>
        <c:axId val="585049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54520"/>
        <c:crosses val="autoZero"/>
        <c:auto val="0"/>
        <c:lblAlgn val="ctr"/>
        <c:lblOffset val="100"/>
        <c:noMultiLvlLbl val="0"/>
      </c:catAx>
      <c:valAx>
        <c:axId val="58505452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49032"/>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la durée d'emploi</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0260975316148986"/>
          <c:w val="0.86277799650043729"/>
          <c:h val="0.60816022612558041"/>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FE-4842-A421-9E6E773F2361}"/>
                </c:ext>
              </c:extLst>
            </c:dLbl>
            <c:dLbl>
              <c:idx val="1"/>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FE-4842-A421-9E6E773F2361}"/>
                </c:ext>
              </c:extLst>
            </c:dLbl>
            <c:dLbl>
              <c:idx val="2"/>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FE-4842-A421-9E6E773F2361}"/>
                </c:ext>
              </c:extLst>
            </c:dLbl>
            <c:dLbl>
              <c:idx val="3"/>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FE-4842-A421-9E6E773F23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(N=195)</c:v>
                </c:pt>
                <c:pt idx="1">
                  <c:v>2016-2017
 (N=164)</c:v>
                </c:pt>
                <c:pt idx="2">
                  <c:v>2017-2018
 (N=201)</c:v>
                </c:pt>
                <c:pt idx="3">
                  <c:v>2018-2019
(N=185)</c:v>
                </c:pt>
                <c:pt idx="4">
                  <c:v>2019-2020
(N=207)</c:v>
                </c:pt>
              </c:strCache>
            </c:strRef>
          </c:cat>
          <c:val>
            <c:numRef>
              <c:f>Sheet1!$B$2:$B$6</c:f>
              <c:numCache>
                <c:formatCode>#\ ###</c:formatCode>
                <c:ptCount val="5"/>
                <c:pt idx="0">
                  <c:v>138</c:v>
                </c:pt>
                <c:pt idx="1">
                  <c:v>112</c:v>
                </c:pt>
                <c:pt idx="2">
                  <c:v>127</c:v>
                </c:pt>
                <c:pt idx="3">
                  <c:v>142</c:v>
                </c:pt>
                <c:pt idx="4">
                  <c:v>135</c:v>
                </c:pt>
              </c:numCache>
            </c:numRef>
          </c:val>
          <c:extLst>
            <c:ext xmlns:c16="http://schemas.microsoft.com/office/drawing/2014/chart" uri="{C3380CC4-5D6E-409C-BE32-E72D297353CC}">
              <c16:uniqueId val="{00000004-34FE-4842-A421-9E6E773F2361}"/>
            </c:ext>
          </c:extLst>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8286E-3"/>
                  <c:y val="2.4250353321219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FE-4842-A421-9E6E773F2361}"/>
                </c:ext>
              </c:extLst>
            </c:dLbl>
            <c:dLbl>
              <c:idx val="1"/>
              <c:layout>
                <c:manualLayout>
                  <c:x val="-2.7777777777777779E-3"/>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4FE-4842-A421-9E6E773F2361}"/>
                </c:ext>
              </c:extLst>
            </c:dLbl>
            <c:dLbl>
              <c:idx val="2"/>
              <c:layout>
                <c:manualLayout>
                  <c:x val="0"/>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FE-4842-A421-9E6E773F2361}"/>
                </c:ext>
              </c:extLst>
            </c:dLbl>
            <c:dLbl>
              <c:idx val="3"/>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4FE-4842-A421-9E6E773F2361}"/>
                </c:ext>
              </c:extLst>
            </c:dLbl>
            <c:dLbl>
              <c:idx val="4"/>
              <c:layout>
                <c:manualLayout>
                  <c:x val="0"/>
                  <c:y val="1.6410256410256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4FE-4842-A421-9E6E773F23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(N=195)</c:v>
                </c:pt>
                <c:pt idx="1">
                  <c:v>2016-2017
 (N=164)</c:v>
                </c:pt>
                <c:pt idx="2">
                  <c:v>2017-2018
 (N=201)</c:v>
                </c:pt>
                <c:pt idx="3">
                  <c:v>2018-2019
(N=185)</c:v>
                </c:pt>
                <c:pt idx="4">
                  <c:v>2019-2020
(N=207)</c:v>
                </c:pt>
              </c:strCache>
            </c:strRef>
          </c:cat>
          <c:val>
            <c:numRef>
              <c:f>Sheet1!$C$2:$C$6</c:f>
              <c:numCache>
                <c:formatCode>#\ ###</c:formatCode>
                <c:ptCount val="5"/>
                <c:pt idx="0">
                  <c:v>22</c:v>
                </c:pt>
                <c:pt idx="1">
                  <c:v>25</c:v>
                </c:pt>
                <c:pt idx="2">
                  <c:v>39</c:v>
                </c:pt>
                <c:pt idx="3">
                  <c:v>21</c:v>
                </c:pt>
                <c:pt idx="4">
                  <c:v>46</c:v>
                </c:pt>
              </c:numCache>
            </c:numRef>
          </c:val>
          <c:extLst>
            <c:ext xmlns:c16="http://schemas.microsoft.com/office/drawing/2014/chart" uri="{C3380CC4-5D6E-409C-BE32-E72D297353CC}">
              <c16:uniqueId val="{0000000A-34FE-4842-A421-9E6E773F2361}"/>
            </c:ext>
          </c:extLst>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4FE-4842-A421-9E6E773F2361}"/>
                </c:ext>
              </c:extLst>
            </c:dLbl>
            <c:dLbl>
              <c:idx val="1"/>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4FE-4842-A421-9E6E773F2361}"/>
                </c:ext>
              </c:extLst>
            </c:dLbl>
            <c:dLbl>
              <c:idx val="2"/>
              <c:layout>
                <c:manualLayout>
                  <c:x val="-5.5555555555556572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4FE-4842-A421-9E6E773F2361}"/>
                </c:ext>
              </c:extLst>
            </c:dLbl>
            <c:dLbl>
              <c:idx val="3"/>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4FE-4842-A421-9E6E773F2361}"/>
                </c:ext>
              </c:extLst>
            </c:dLbl>
            <c:dLbl>
              <c:idx val="4"/>
              <c:layout>
                <c:manualLayout>
                  <c:x val="-2.7777777777777779E-3"/>
                  <c:y val="1.2307692307692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4FE-4842-A421-9E6E773F23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(N=195)</c:v>
                </c:pt>
                <c:pt idx="1">
                  <c:v>2016-2017
 (N=164)</c:v>
                </c:pt>
                <c:pt idx="2">
                  <c:v>2017-2018
 (N=201)</c:v>
                </c:pt>
                <c:pt idx="3">
                  <c:v>2018-2019
(N=185)</c:v>
                </c:pt>
                <c:pt idx="4">
                  <c:v>2019-2020
(N=207)</c:v>
                </c:pt>
              </c:strCache>
            </c:strRef>
          </c:cat>
          <c:val>
            <c:numRef>
              <c:f>Sheet1!$D$2:$D$6</c:f>
              <c:numCache>
                <c:formatCode>#\ ###</c:formatCode>
                <c:ptCount val="5"/>
                <c:pt idx="0">
                  <c:v>18</c:v>
                </c:pt>
                <c:pt idx="1">
                  <c:v>20</c:v>
                </c:pt>
                <c:pt idx="2">
                  <c:v>24</c:v>
                </c:pt>
                <c:pt idx="3">
                  <c:v>19</c:v>
                </c:pt>
                <c:pt idx="4">
                  <c:v>17</c:v>
                </c:pt>
              </c:numCache>
            </c:numRef>
          </c:val>
          <c:extLst>
            <c:ext xmlns:c16="http://schemas.microsoft.com/office/drawing/2014/chart" uri="{C3380CC4-5D6E-409C-BE32-E72D297353CC}">
              <c16:uniqueId val="{00000010-34FE-4842-A421-9E6E773F2361}"/>
            </c:ext>
          </c:extLst>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4FE-4842-A421-9E6E773F2361}"/>
                </c:ext>
              </c:extLst>
            </c:dLbl>
            <c:dLbl>
              <c:idx val="1"/>
              <c:layout>
                <c:manualLayout>
                  <c:x val="-1.0185067526415994E-16"/>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4FE-4842-A421-9E6E773F2361}"/>
                </c:ext>
              </c:extLst>
            </c:dLbl>
            <c:dLbl>
              <c:idx val="2"/>
              <c:layout>
                <c:manualLayout>
                  <c:x val="5.5555555555556572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4FE-4842-A421-9E6E773F2361}"/>
                </c:ext>
              </c:extLst>
            </c:dLbl>
            <c:dLbl>
              <c:idx val="3"/>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4FE-4842-A421-9E6E773F2361}"/>
                </c:ext>
              </c:extLst>
            </c:dLbl>
            <c:dLbl>
              <c:idx val="4"/>
              <c:layout>
                <c:manualLayout>
                  <c:x val="5.5555555555554534E-3"/>
                  <c:y val="2.0512820512820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4FE-4842-A421-9E6E773F23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2015-2016
 (N=195)</c:v>
                </c:pt>
                <c:pt idx="1">
                  <c:v>2016-2017
 (N=164)</c:v>
                </c:pt>
                <c:pt idx="2">
                  <c:v>2017-2018
 (N=201)</c:v>
                </c:pt>
                <c:pt idx="3">
                  <c:v>2018-2019
(N=185)</c:v>
                </c:pt>
                <c:pt idx="4">
                  <c:v>2019-2020
(N=207)</c:v>
                </c:pt>
              </c:strCache>
            </c:strRef>
          </c:cat>
          <c:val>
            <c:numRef>
              <c:f>Sheet1!$E$2:$E$6</c:f>
              <c:numCache>
                <c:formatCode>#\ ###</c:formatCode>
                <c:ptCount val="5"/>
                <c:pt idx="0">
                  <c:v>17</c:v>
                </c:pt>
                <c:pt idx="1">
                  <c:v>7</c:v>
                </c:pt>
                <c:pt idx="2">
                  <c:v>11</c:v>
                </c:pt>
                <c:pt idx="3">
                  <c:v>3</c:v>
                </c:pt>
                <c:pt idx="4">
                  <c:v>9</c:v>
                </c:pt>
              </c:numCache>
            </c:numRef>
          </c:val>
          <c:extLst>
            <c:ext xmlns:c16="http://schemas.microsoft.com/office/drawing/2014/chart" uri="{C3380CC4-5D6E-409C-BE32-E72D297353CC}">
              <c16:uniqueId val="{00000016-34FE-4842-A421-9E6E773F2361}"/>
            </c:ext>
          </c:extLst>
        </c:ser>
        <c:dLbls>
          <c:showLegendKey val="0"/>
          <c:showVal val="1"/>
          <c:showCatName val="0"/>
          <c:showSerName val="0"/>
          <c:showPercent val="0"/>
          <c:showBubbleSize val="0"/>
        </c:dLbls>
        <c:gapWidth val="150"/>
        <c:shape val="box"/>
        <c:axId val="585050600"/>
        <c:axId val="585052560"/>
        <c:axId val="0"/>
      </c:bar3DChart>
      <c:catAx>
        <c:axId val="585050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52560"/>
        <c:crosses val="autoZero"/>
        <c:auto val="1"/>
        <c:lblAlgn val="ctr"/>
        <c:lblOffset val="100"/>
        <c:noMultiLvlLbl val="0"/>
      </c:catAx>
      <c:valAx>
        <c:axId val="58505256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050600"/>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50</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0</a:t>
          </a: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0.81546</cdr:y>
    </cdr:from>
    <cdr:to>
      <cdr:x>0.97183</cdr:x>
      <cdr:y>0.99965</cdr:y>
    </cdr:to>
    <cdr:sp macro="" textlink="">
      <cdr:nvSpPr>
        <cdr:cNvPr id="2" name="Text Box 1"/>
        <cdr:cNvSpPr txBox="1"/>
      </cdr:nvSpPr>
      <cdr:spPr>
        <a:xfrm xmlns:a="http://schemas.openxmlformats.org/drawingml/2006/main">
          <a:off x="40950" y="2486025"/>
          <a:ext cx="5448262" cy="56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solidFill>
                <a:sysClr val="windowText" lastClr="000000"/>
              </a:solidFill>
            </a:rPr>
            <a:t>-Inclut seulement les nominations où le type de processus est connu (54% à 73% des nominations)</a:t>
          </a:r>
          <a:endParaRPr lang="en-CA" sz="850">
            <a:solidFill>
              <a:sysClr val="windowText" lastClr="000000"/>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0.012</cdr:x>
      <cdr:y>0.87778</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41041" y="2905125"/>
          <a:ext cx="3368909" cy="40449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 Embauche avec expérience acquise dans les programmes fédéraux de recrutement étudiant dans les 10 dernières années.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9DA7-550A-4199-80F1-745ACE9F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PSC-Letterhead-Corpo2019.dotx</Template>
  <TotalTime>0</TotalTime>
  <Pages>32</Pages>
  <Words>7515</Words>
  <Characters>42839</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50254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Snjezana Kulic</cp:lastModifiedBy>
  <cp:revision>2</cp:revision>
  <dcterms:created xsi:type="dcterms:W3CDTF">2022-03-04T22:32:00Z</dcterms:created>
  <dcterms:modified xsi:type="dcterms:W3CDTF">2022-03-04T22:32:00Z</dcterms:modified>
</cp:coreProperties>
</file>