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E038" w14:textId="77777777" w:rsidR="00DE4115" w:rsidRDefault="00803917" w:rsidP="00095F37">
      <w:pPr>
        <w:pStyle w:val="Title"/>
        <w:spacing w:before="0" w:after="120" w:line="240" w:lineRule="auto"/>
        <w:jc w:val="center"/>
        <w:rPr>
          <w:sz w:val="52"/>
          <w:szCs w:val="52"/>
          <w:lang w:val="en-CA"/>
        </w:rPr>
      </w:pPr>
      <w:r w:rsidRPr="00DE4115">
        <w:rPr>
          <w:sz w:val="52"/>
          <w:szCs w:val="52"/>
          <w:lang w:val="en-CA"/>
        </w:rPr>
        <w:t>P</w:t>
      </w:r>
      <w:r w:rsidR="00DE4115">
        <w:rPr>
          <w:sz w:val="52"/>
          <w:szCs w:val="52"/>
          <w:lang w:val="en-CA"/>
        </w:rPr>
        <w:t>resident meeting with Guylaine Roy</w:t>
      </w:r>
      <w:r w:rsidRPr="00DE4115">
        <w:rPr>
          <w:sz w:val="52"/>
          <w:szCs w:val="52"/>
          <w:lang w:val="en-CA"/>
        </w:rPr>
        <w:t xml:space="preserve">, </w:t>
      </w:r>
    </w:p>
    <w:p w14:paraId="54D297F6" w14:textId="77777777" w:rsidR="00DE4115" w:rsidRDefault="00803917" w:rsidP="0003019D">
      <w:pPr>
        <w:pStyle w:val="Title"/>
        <w:spacing w:before="0" w:line="240" w:lineRule="auto"/>
        <w:jc w:val="center"/>
        <w:rPr>
          <w:sz w:val="52"/>
          <w:szCs w:val="52"/>
          <w:lang w:val="en-CA"/>
        </w:rPr>
      </w:pPr>
      <w:r w:rsidRPr="00DE4115">
        <w:rPr>
          <w:sz w:val="52"/>
          <w:szCs w:val="52"/>
          <w:lang w:val="en-CA"/>
        </w:rPr>
        <w:t>D</w:t>
      </w:r>
      <w:r w:rsidR="00DE4115">
        <w:rPr>
          <w:sz w:val="52"/>
          <w:szCs w:val="52"/>
          <w:lang w:val="en-CA"/>
        </w:rPr>
        <w:t>eputy</w:t>
      </w:r>
      <w:r w:rsidRPr="00DE4115">
        <w:rPr>
          <w:sz w:val="52"/>
          <w:szCs w:val="52"/>
          <w:lang w:val="en-CA"/>
        </w:rPr>
        <w:t xml:space="preserve"> M</w:t>
      </w:r>
      <w:r w:rsidR="00DE4115">
        <w:rPr>
          <w:sz w:val="52"/>
          <w:szCs w:val="52"/>
          <w:lang w:val="en-CA"/>
        </w:rPr>
        <w:t>inister</w:t>
      </w:r>
      <w:r w:rsidRPr="00DE4115">
        <w:rPr>
          <w:sz w:val="52"/>
          <w:szCs w:val="52"/>
          <w:lang w:val="en-CA"/>
        </w:rPr>
        <w:t>, D</w:t>
      </w:r>
      <w:r w:rsidR="00DE4115">
        <w:rPr>
          <w:sz w:val="52"/>
          <w:szCs w:val="52"/>
          <w:lang w:val="en-CA"/>
        </w:rPr>
        <w:t xml:space="preserve">epartment for </w:t>
      </w:r>
    </w:p>
    <w:p w14:paraId="2E1CAD7B" w14:textId="77777777" w:rsidR="0003019D" w:rsidRPr="00DE4115" w:rsidRDefault="00803917" w:rsidP="00DE4115">
      <w:pPr>
        <w:pStyle w:val="Title"/>
        <w:spacing w:before="0" w:line="240" w:lineRule="auto"/>
        <w:jc w:val="center"/>
        <w:rPr>
          <w:sz w:val="52"/>
          <w:szCs w:val="52"/>
          <w:lang w:val="en-CA"/>
        </w:rPr>
      </w:pPr>
      <w:r w:rsidRPr="00DE4115">
        <w:rPr>
          <w:sz w:val="52"/>
          <w:szCs w:val="52"/>
          <w:lang w:val="en-CA"/>
        </w:rPr>
        <w:t>W</w:t>
      </w:r>
      <w:r w:rsidR="00CA77BE">
        <w:rPr>
          <w:sz w:val="52"/>
          <w:szCs w:val="52"/>
          <w:lang w:val="en-CA"/>
        </w:rPr>
        <w:t>om</w:t>
      </w:r>
      <w:r w:rsidR="00DE4115">
        <w:rPr>
          <w:sz w:val="52"/>
          <w:szCs w:val="52"/>
          <w:lang w:val="en-CA"/>
        </w:rPr>
        <w:t>en</w:t>
      </w:r>
      <w:r w:rsidRPr="00DE4115">
        <w:rPr>
          <w:sz w:val="52"/>
          <w:szCs w:val="52"/>
          <w:lang w:val="en-CA"/>
        </w:rPr>
        <w:t xml:space="preserve"> </w:t>
      </w:r>
      <w:r w:rsidR="00DE4115">
        <w:rPr>
          <w:sz w:val="52"/>
          <w:szCs w:val="52"/>
          <w:lang w:val="en-CA"/>
        </w:rPr>
        <w:t>and</w:t>
      </w:r>
      <w:r w:rsidRPr="00DE4115">
        <w:rPr>
          <w:sz w:val="52"/>
          <w:szCs w:val="52"/>
          <w:lang w:val="en-CA"/>
        </w:rPr>
        <w:t xml:space="preserve"> G</w:t>
      </w:r>
      <w:r w:rsidR="00DE4115">
        <w:rPr>
          <w:sz w:val="52"/>
          <w:szCs w:val="52"/>
          <w:lang w:val="en-CA"/>
        </w:rPr>
        <w:t>ender</w:t>
      </w:r>
      <w:r w:rsidRPr="00DE4115">
        <w:rPr>
          <w:sz w:val="52"/>
          <w:szCs w:val="52"/>
          <w:lang w:val="en-CA"/>
        </w:rPr>
        <w:t xml:space="preserve"> E</w:t>
      </w:r>
      <w:r w:rsidR="00DE4115">
        <w:rPr>
          <w:sz w:val="52"/>
          <w:szCs w:val="52"/>
          <w:lang w:val="en-CA"/>
        </w:rPr>
        <w:t>quality</w:t>
      </w:r>
    </w:p>
    <w:p w14:paraId="1D381DDB" w14:textId="77777777" w:rsidR="0003019D" w:rsidRPr="00DE4115" w:rsidRDefault="00803917" w:rsidP="009A024C">
      <w:pPr>
        <w:pStyle w:val="Title"/>
        <w:spacing w:before="0" w:after="240" w:line="240" w:lineRule="auto"/>
        <w:jc w:val="center"/>
        <w:rPr>
          <w:sz w:val="52"/>
          <w:szCs w:val="52"/>
          <w:lang w:val="en-CA"/>
        </w:rPr>
      </w:pPr>
      <w:r w:rsidRPr="00DE4115">
        <w:rPr>
          <w:sz w:val="52"/>
          <w:szCs w:val="52"/>
          <w:lang w:val="en-CA"/>
        </w:rPr>
        <w:t>December 19,</w:t>
      </w:r>
      <w:r w:rsidR="0003019D" w:rsidRPr="00DE4115">
        <w:rPr>
          <w:sz w:val="52"/>
          <w:szCs w:val="52"/>
          <w:lang w:val="en-CA"/>
        </w:rPr>
        <w:t xml:space="preserve"> 2019</w:t>
      </w:r>
    </w:p>
    <w:p w14:paraId="0CDE09B1" w14:textId="77777777" w:rsidR="0003019D" w:rsidRPr="00DE4115" w:rsidRDefault="0003019D" w:rsidP="00DE4115">
      <w:pPr>
        <w:pStyle w:val="Heading1"/>
        <w:spacing w:after="120"/>
        <w:rPr>
          <w:lang w:val="en-CA"/>
        </w:rPr>
      </w:pPr>
      <w:r w:rsidRPr="00DE4115">
        <w:rPr>
          <w:lang w:val="en-CA"/>
        </w:rPr>
        <w:t>Introduction</w:t>
      </w:r>
      <w:r w:rsidR="00EE4311" w:rsidRPr="00DE4115">
        <w:rPr>
          <w:lang w:val="en-CA"/>
        </w:rPr>
        <w:t xml:space="preserve"> </w:t>
      </w:r>
    </w:p>
    <w:p w14:paraId="3D268871" w14:textId="77777777" w:rsidR="0003019D" w:rsidRPr="00DE4115" w:rsidRDefault="00803917" w:rsidP="0003019D">
      <w:pPr>
        <w:pStyle w:val="Heading2"/>
        <w:spacing w:after="120"/>
        <w:rPr>
          <w:lang w:val="en-CA"/>
        </w:rPr>
      </w:pPr>
      <w:r w:rsidRPr="00DE4115">
        <w:rPr>
          <w:lang w:val="en-CA"/>
        </w:rPr>
        <w:t>Deputy Head</w:t>
      </w:r>
    </w:p>
    <w:p w14:paraId="0A4D3949" w14:textId="77777777" w:rsidR="0003019D" w:rsidRPr="00DE4115" w:rsidRDefault="00803917" w:rsidP="00DE4115">
      <w:pPr>
        <w:autoSpaceDE w:val="0"/>
        <w:autoSpaceDN w:val="0"/>
        <w:adjustRightInd w:val="0"/>
        <w:spacing w:after="120"/>
        <w:ind w:right="50"/>
        <w:rPr>
          <w:rFonts w:asciiTheme="minorHAnsi" w:hAnsiTheme="minorHAnsi" w:cstheme="minorHAnsi"/>
          <w:sz w:val="22"/>
          <w:szCs w:val="22"/>
          <w:lang w:val="en-CA"/>
        </w:rPr>
      </w:pPr>
      <w:r w:rsidRPr="00DE4115">
        <w:rPr>
          <w:rFonts w:asciiTheme="minorHAnsi" w:hAnsiTheme="minorHAnsi" w:cstheme="minorHAnsi"/>
          <w:sz w:val="22"/>
          <w:szCs w:val="22"/>
          <w:lang w:val="en-CA"/>
        </w:rPr>
        <w:t>Guylaine Roy was appointed to the position of the Deputy Minister for Women and Gender Equality (W</w:t>
      </w:r>
      <w:r w:rsidR="00DF5164" w:rsidRPr="00DE4115">
        <w:rPr>
          <w:rFonts w:asciiTheme="minorHAnsi" w:hAnsiTheme="minorHAnsi" w:cstheme="minorHAnsi"/>
          <w:sz w:val="22"/>
          <w:szCs w:val="22"/>
          <w:lang w:val="en-CA"/>
        </w:rPr>
        <w:t>A</w:t>
      </w:r>
      <w:r w:rsidRPr="00DE4115">
        <w:rPr>
          <w:rFonts w:asciiTheme="minorHAnsi" w:hAnsiTheme="minorHAnsi" w:cstheme="minorHAnsi"/>
          <w:sz w:val="22"/>
          <w:szCs w:val="22"/>
          <w:lang w:val="en-CA"/>
        </w:rPr>
        <w:t xml:space="preserve">GE) (formerly Status of Women Canada) in addition to her role as Deputy Minister of Tourism, Official Languages and La Francophonie, effective September 23, 2019. </w:t>
      </w:r>
    </w:p>
    <w:p w14:paraId="4F9B5E04" w14:textId="77777777" w:rsidR="00B3357F" w:rsidRPr="007D1113" w:rsidRDefault="00B3357F" w:rsidP="00B3357F">
      <w:pPr>
        <w:pStyle w:val="NoSpacing"/>
        <w:spacing w:after="120"/>
        <w:rPr>
          <w:rFonts w:asciiTheme="minorHAnsi" w:hAnsiTheme="minorHAnsi" w:cstheme="minorHAnsi"/>
          <w:sz w:val="22"/>
          <w:szCs w:val="22"/>
          <w:lang w:val="en-CA"/>
        </w:rPr>
      </w:pPr>
      <w:r>
        <w:rPr>
          <w:rFonts w:asciiTheme="minorHAnsi" w:hAnsiTheme="minorHAnsi" w:cstheme="minorHAnsi"/>
          <w:sz w:val="22"/>
          <w:szCs w:val="22"/>
          <w:lang w:val="en-CA"/>
        </w:rPr>
        <w:t xml:space="preserve">Ms. Roy has previously </w:t>
      </w:r>
      <w:r w:rsidRPr="0076163B">
        <w:rPr>
          <w:rFonts w:asciiTheme="minorHAnsi" w:hAnsiTheme="minorHAnsi" w:cstheme="minorHAnsi"/>
          <w:sz w:val="22"/>
          <w:szCs w:val="22"/>
          <w:lang w:val="en-CA"/>
        </w:rPr>
        <w:t>exercis</w:t>
      </w:r>
      <w:r>
        <w:rPr>
          <w:rFonts w:asciiTheme="minorHAnsi" w:hAnsiTheme="minorHAnsi" w:cstheme="minorHAnsi"/>
          <w:sz w:val="22"/>
          <w:szCs w:val="22"/>
          <w:lang w:val="en-CA"/>
        </w:rPr>
        <w:t>ed</w:t>
      </w:r>
      <w:r w:rsidRPr="0076163B">
        <w:rPr>
          <w:rFonts w:asciiTheme="minorHAnsi" w:hAnsiTheme="minorHAnsi" w:cstheme="minorHAnsi"/>
          <w:sz w:val="22"/>
          <w:szCs w:val="22"/>
          <w:lang w:val="en-CA"/>
        </w:rPr>
        <w:t xml:space="preserve"> the Public Servic</w:t>
      </w:r>
      <w:r>
        <w:rPr>
          <w:rFonts w:asciiTheme="minorHAnsi" w:hAnsiTheme="minorHAnsi" w:cstheme="minorHAnsi"/>
          <w:sz w:val="22"/>
          <w:szCs w:val="22"/>
          <w:lang w:val="en-CA"/>
        </w:rPr>
        <w:t xml:space="preserve">e Commission’s (PSC) authority </w:t>
      </w:r>
      <w:r w:rsidRPr="0076163B">
        <w:rPr>
          <w:rFonts w:asciiTheme="minorHAnsi" w:hAnsiTheme="minorHAnsi" w:cstheme="minorHAnsi"/>
          <w:sz w:val="22"/>
          <w:szCs w:val="22"/>
          <w:lang w:val="en-CA"/>
        </w:rPr>
        <w:t>as Deputy Head</w:t>
      </w:r>
      <w:r>
        <w:rPr>
          <w:rFonts w:asciiTheme="minorHAnsi" w:hAnsiTheme="minorHAnsi" w:cstheme="minorHAnsi"/>
          <w:sz w:val="22"/>
          <w:szCs w:val="22"/>
          <w:lang w:val="en-CA"/>
        </w:rPr>
        <w:t xml:space="preserve"> (DH)</w:t>
      </w:r>
      <w:r w:rsidRPr="0076163B">
        <w:rPr>
          <w:rFonts w:asciiTheme="minorHAnsi" w:hAnsiTheme="minorHAnsi" w:cstheme="minorHAnsi"/>
          <w:sz w:val="22"/>
          <w:szCs w:val="22"/>
          <w:lang w:val="en-CA"/>
        </w:rPr>
        <w:t xml:space="preserve">. A copy of </w:t>
      </w:r>
      <w:r>
        <w:rPr>
          <w:rFonts w:asciiTheme="minorHAnsi" w:hAnsiTheme="minorHAnsi" w:cstheme="minorHAnsi"/>
          <w:sz w:val="22"/>
          <w:szCs w:val="22"/>
          <w:lang w:val="en-CA"/>
        </w:rPr>
        <w:t xml:space="preserve">the </w:t>
      </w:r>
      <w:r w:rsidRPr="0076163B">
        <w:rPr>
          <w:rFonts w:asciiTheme="minorHAnsi" w:hAnsiTheme="minorHAnsi" w:cstheme="minorHAnsi"/>
          <w:sz w:val="22"/>
          <w:szCs w:val="22"/>
          <w:lang w:val="en-CA"/>
        </w:rPr>
        <w:t xml:space="preserve">New Direction in Staffing (NDS) highlights for DHs </w:t>
      </w:r>
      <w:r>
        <w:rPr>
          <w:rFonts w:asciiTheme="minorHAnsi" w:hAnsiTheme="minorHAnsi" w:cstheme="minorHAnsi"/>
          <w:sz w:val="22"/>
          <w:szCs w:val="22"/>
          <w:lang w:val="en-CA"/>
        </w:rPr>
        <w:t xml:space="preserve">is attached as </w:t>
      </w:r>
      <w:hyperlink w:anchor="Annex_A" w:history="1">
        <w:r w:rsidRPr="007D1113">
          <w:rPr>
            <w:rStyle w:val="Hyperlink"/>
            <w:rFonts w:asciiTheme="minorHAnsi" w:hAnsiTheme="minorHAnsi" w:cstheme="minorHAnsi"/>
            <w:sz w:val="22"/>
            <w:szCs w:val="22"/>
            <w:lang w:val="en-CA" w:eastAsia="en-CA"/>
          </w:rPr>
          <w:t>Annex A</w:t>
        </w:r>
      </w:hyperlink>
      <w:r w:rsidRPr="007D1113">
        <w:rPr>
          <w:rFonts w:asciiTheme="minorHAnsi" w:hAnsiTheme="minorHAnsi" w:cstheme="minorHAnsi"/>
          <w:sz w:val="22"/>
          <w:szCs w:val="22"/>
          <w:lang w:val="en-CA" w:eastAsia="en-CA"/>
        </w:rPr>
        <w:t>.</w:t>
      </w:r>
    </w:p>
    <w:p w14:paraId="167297A6" w14:textId="77777777" w:rsidR="0003019D" w:rsidRPr="00DE4115" w:rsidRDefault="006D0134" w:rsidP="004652EA">
      <w:pPr>
        <w:pStyle w:val="Heading1"/>
        <w:spacing w:after="120"/>
        <w:rPr>
          <w:lang w:val="en-CA"/>
        </w:rPr>
      </w:pPr>
      <w:r>
        <w:rPr>
          <w:lang w:val="en-CA"/>
        </w:rPr>
        <w:t>Organizational C</w:t>
      </w:r>
      <w:r w:rsidR="00ED0331" w:rsidRPr="00DE4115">
        <w:rPr>
          <w:lang w:val="en-CA"/>
        </w:rPr>
        <w:t>ontext</w:t>
      </w:r>
      <w:r w:rsidR="0091578E" w:rsidRPr="00DE4115">
        <w:rPr>
          <w:lang w:val="en-CA"/>
        </w:rPr>
        <w:t xml:space="preserve"> </w:t>
      </w:r>
    </w:p>
    <w:p w14:paraId="453066C3" w14:textId="77777777" w:rsidR="0003019D" w:rsidRPr="00DE4115" w:rsidRDefault="0003019D" w:rsidP="0003019D">
      <w:pPr>
        <w:pStyle w:val="Heading2"/>
        <w:spacing w:after="120"/>
        <w:rPr>
          <w:u w:val="single"/>
          <w:lang w:val="en-CA"/>
        </w:rPr>
      </w:pPr>
      <w:r w:rsidRPr="00DE4115">
        <w:rPr>
          <w:lang w:val="en-CA"/>
        </w:rPr>
        <w:t>Mandat</w:t>
      </w:r>
      <w:r w:rsidR="00ED0331" w:rsidRPr="00DE4115">
        <w:rPr>
          <w:lang w:val="en-CA"/>
        </w:rPr>
        <w:t>e</w:t>
      </w:r>
      <w:r w:rsidR="004E765E" w:rsidRPr="00DE4115">
        <w:rPr>
          <w:lang w:val="en-CA"/>
        </w:rPr>
        <w:t xml:space="preserve"> </w:t>
      </w:r>
    </w:p>
    <w:p w14:paraId="6CE32E2A" w14:textId="3DFA1ED4" w:rsidR="0003019D" w:rsidRPr="00DE4115" w:rsidRDefault="00274774" w:rsidP="004652EA">
      <w:pPr>
        <w:spacing w:after="120"/>
        <w:rPr>
          <w:rFonts w:ascii="Segoe UI Semilight" w:hAnsi="Segoe UI Semilight" w:cs="Segoe UI Semilight"/>
          <w:b/>
          <w:sz w:val="22"/>
          <w:szCs w:val="22"/>
          <w:lang w:val="en-CA"/>
        </w:rPr>
      </w:pPr>
      <w:r w:rsidRPr="00DE4115">
        <w:rPr>
          <w:rFonts w:ascii="Segoe UI Semilight" w:hAnsi="Segoe UI Semilight" w:cs="Segoe UI Semilight"/>
          <w:sz w:val="22"/>
          <w:szCs w:val="22"/>
          <w:lang w:val="en-CA"/>
        </w:rPr>
        <w:t xml:space="preserve">On December 13, 2018, new legislation created </w:t>
      </w:r>
      <w:r w:rsidR="00B81C85">
        <w:rPr>
          <w:rFonts w:ascii="Segoe UI Semilight" w:hAnsi="Segoe UI Semilight" w:cs="Segoe UI Semilight"/>
          <w:sz w:val="22"/>
          <w:szCs w:val="22"/>
          <w:lang w:val="en-CA"/>
        </w:rPr>
        <w:t>WAGE</w:t>
      </w:r>
      <w:r w:rsidRPr="00DE4115">
        <w:rPr>
          <w:rFonts w:ascii="Segoe UI Semilight" w:hAnsi="Segoe UI Semilight" w:cs="Segoe UI Semilight"/>
          <w:sz w:val="22"/>
          <w:szCs w:val="22"/>
          <w:lang w:val="en-CA"/>
        </w:rPr>
        <w:t>, transforming the former Status of Women Canada. This change modernizes and formalizes, in law, the roles of the Minister and the Department</w:t>
      </w:r>
      <w:r w:rsidR="0003019D" w:rsidRPr="00DE4115">
        <w:rPr>
          <w:rFonts w:ascii="Segoe UI Semilight" w:hAnsi="Segoe UI Semilight" w:cs="Segoe UI Semilight"/>
          <w:iCs/>
          <w:sz w:val="22"/>
          <w:szCs w:val="22"/>
          <w:lang w:val="en-CA"/>
        </w:rPr>
        <w:t>.</w:t>
      </w:r>
    </w:p>
    <w:p w14:paraId="626EED9A" w14:textId="77777777" w:rsidR="0003019D" w:rsidRPr="00DE4115" w:rsidRDefault="00274774" w:rsidP="004652EA">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The mandate has been expanded for gender equity to include sexual orientation as well as gender identity and exp</w:t>
      </w:r>
      <w:r w:rsidR="00F429FE" w:rsidRPr="00DE4115">
        <w:rPr>
          <w:rFonts w:asciiTheme="minorHAnsi" w:hAnsiTheme="minorHAnsi" w:cstheme="minorHAnsi"/>
          <w:sz w:val="22"/>
          <w:szCs w:val="22"/>
          <w:lang w:val="en-CA"/>
        </w:rPr>
        <w:t xml:space="preserve">ression. More specifically, </w:t>
      </w:r>
      <w:r w:rsidRPr="00DE4115">
        <w:rPr>
          <w:rFonts w:asciiTheme="minorHAnsi" w:hAnsiTheme="minorHAnsi" w:cstheme="minorHAnsi"/>
          <w:sz w:val="22"/>
          <w:szCs w:val="22"/>
          <w:lang w:val="en-CA"/>
        </w:rPr>
        <w:t xml:space="preserve">WAGE works to advance gender equality through an </w:t>
      </w:r>
      <w:r w:rsidRPr="002E0F73">
        <w:rPr>
          <w:rStyle w:val="Strong"/>
        </w:rPr>
        <w:t>intersectional gendered</w:t>
      </w:r>
      <w:r w:rsidRPr="00DE4115">
        <w:rPr>
          <w:rFonts w:asciiTheme="minorHAnsi" w:hAnsiTheme="minorHAnsi" w:cstheme="minorHAnsi"/>
          <w:sz w:val="22"/>
          <w:szCs w:val="22"/>
          <w:lang w:val="en-CA"/>
        </w:rPr>
        <w:t xml:space="preserve"> lens. </w:t>
      </w:r>
      <w:r w:rsidRPr="00DE4115">
        <w:rPr>
          <w:rFonts w:ascii="Segoe UI Symbol" w:hAnsi="Segoe UI Symbol" w:cstheme="minorHAnsi"/>
          <w:sz w:val="22"/>
          <w:szCs w:val="22"/>
          <w:lang w:val="en-CA"/>
        </w:rPr>
        <w:t>Working</w:t>
      </w:r>
      <w:r w:rsidRPr="00DE4115">
        <w:rPr>
          <w:rFonts w:asciiTheme="minorHAnsi" w:hAnsiTheme="minorHAnsi" w:cstheme="minorHAnsi"/>
          <w:sz w:val="22"/>
          <w:szCs w:val="22"/>
          <w:lang w:val="en-CA"/>
        </w:rPr>
        <w:t xml:space="preserve"> in partnership with key stakeholders, including civil society organizations, labour groups, the private sector, other orders of government, and First Nations</w:t>
      </w:r>
      <w:r w:rsidR="0074144B" w:rsidRPr="00DE4115">
        <w:rPr>
          <w:rFonts w:asciiTheme="minorHAnsi" w:hAnsiTheme="minorHAnsi" w:cstheme="minorHAnsi"/>
          <w:sz w:val="22"/>
          <w:szCs w:val="22"/>
          <w:lang w:val="en-CA"/>
        </w:rPr>
        <w:t xml:space="preserve">, Inuit and Métis peoples, the </w:t>
      </w:r>
      <w:r w:rsidR="00D72A77" w:rsidRPr="00DE4115">
        <w:rPr>
          <w:rFonts w:asciiTheme="minorHAnsi" w:hAnsiTheme="minorHAnsi" w:cstheme="minorHAnsi"/>
          <w:sz w:val="22"/>
          <w:szCs w:val="22"/>
          <w:lang w:val="en-CA"/>
        </w:rPr>
        <w:t>D</w:t>
      </w:r>
      <w:r w:rsidRPr="00DE4115">
        <w:rPr>
          <w:rFonts w:asciiTheme="minorHAnsi" w:hAnsiTheme="minorHAnsi" w:cstheme="minorHAnsi"/>
          <w:sz w:val="22"/>
          <w:szCs w:val="22"/>
          <w:lang w:val="en-CA"/>
        </w:rPr>
        <w:t xml:space="preserve">epartment actively promotes the inclusion of all people in Canada’s economic, social, and political life. </w:t>
      </w:r>
    </w:p>
    <w:p w14:paraId="549E1FF6" w14:textId="77777777" w:rsidR="0003019D" w:rsidRPr="00DE4115" w:rsidRDefault="00274774" w:rsidP="004652EA">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WAGE works to uphold its mandate to advance gender equality by performing a central coordination function within the Government of Canada by developing and implementing policies, providing grants and contributions, delivering programs, investing in research, and providing advice to achieve equality for people of all genders, including women</w:t>
      </w:r>
      <w:r w:rsidR="0003019D" w:rsidRPr="00DE4115">
        <w:rPr>
          <w:rFonts w:asciiTheme="minorHAnsi" w:hAnsiTheme="minorHAnsi" w:cstheme="minorHAnsi"/>
          <w:sz w:val="22"/>
          <w:szCs w:val="22"/>
          <w:lang w:val="en-CA"/>
        </w:rPr>
        <w:t>.</w:t>
      </w:r>
    </w:p>
    <w:p w14:paraId="513CF33D" w14:textId="77777777" w:rsidR="0003019D" w:rsidRPr="00DE4115" w:rsidRDefault="00F429FE" w:rsidP="0003019D">
      <w:pPr>
        <w:pStyle w:val="Heading2"/>
        <w:spacing w:after="120"/>
        <w:rPr>
          <w:u w:val="single"/>
          <w:lang w:val="en-CA"/>
        </w:rPr>
      </w:pPr>
      <w:r w:rsidRPr="00DE4115">
        <w:rPr>
          <w:lang w:val="en-CA"/>
        </w:rPr>
        <w:t>Challenges</w:t>
      </w:r>
    </w:p>
    <w:p w14:paraId="2A4C40F4" w14:textId="77777777" w:rsidR="0003019D" w:rsidRPr="00DE4115" w:rsidRDefault="0074144B" w:rsidP="004652EA">
      <w:pPr>
        <w:keepNext/>
        <w:spacing w:after="120"/>
        <w:rPr>
          <w:rFonts w:asciiTheme="minorHAnsi" w:hAnsiTheme="minorHAnsi" w:cstheme="minorHAnsi"/>
          <w:iCs/>
          <w:sz w:val="22"/>
          <w:szCs w:val="22"/>
          <w:lang w:val="en-CA"/>
        </w:rPr>
      </w:pPr>
      <w:r w:rsidRPr="00DE4115">
        <w:rPr>
          <w:rFonts w:asciiTheme="minorHAnsi" w:hAnsiTheme="minorHAnsi" w:cstheme="minorHAnsi"/>
          <w:iCs/>
          <w:sz w:val="22"/>
          <w:szCs w:val="22"/>
          <w:lang w:val="en-CA"/>
        </w:rPr>
        <w:t>With the creation of this d</w:t>
      </w:r>
      <w:r w:rsidR="00F429FE" w:rsidRPr="00DE4115">
        <w:rPr>
          <w:rFonts w:asciiTheme="minorHAnsi" w:hAnsiTheme="minorHAnsi" w:cstheme="minorHAnsi"/>
          <w:iCs/>
          <w:sz w:val="22"/>
          <w:szCs w:val="22"/>
          <w:lang w:val="en-CA"/>
        </w:rPr>
        <w:t>epartment in December 2018, the organization has gone from a micro organization with less than 100 staff to a small organization of approximately 200 employees, including a new Human Resources Directorate</w:t>
      </w:r>
      <w:r w:rsidR="0003019D" w:rsidRPr="00DE4115">
        <w:rPr>
          <w:rFonts w:asciiTheme="minorHAnsi" w:hAnsiTheme="minorHAnsi" w:cstheme="minorHAnsi"/>
          <w:iCs/>
          <w:sz w:val="22"/>
          <w:szCs w:val="22"/>
          <w:lang w:val="en-CA"/>
        </w:rPr>
        <w:t xml:space="preserve">. </w:t>
      </w:r>
    </w:p>
    <w:p w14:paraId="4A64A9A8" w14:textId="77777777" w:rsidR="0003019D" w:rsidRPr="00DE4115" w:rsidRDefault="00F429FE" w:rsidP="004652EA">
      <w:pPr>
        <w:spacing w:after="120"/>
        <w:rPr>
          <w:rFonts w:asciiTheme="minorHAnsi" w:hAnsiTheme="minorHAnsi" w:cstheme="minorHAnsi"/>
          <w:iCs/>
          <w:sz w:val="22"/>
          <w:szCs w:val="22"/>
          <w:lang w:val="en-CA"/>
        </w:rPr>
      </w:pPr>
      <w:r w:rsidRPr="00DE4115">
        <w:rPr>
          <w:rFonts w:asciiTheme="minorHAnsi" w:hAnsiTheme="minorHAnsi" w:cstheme="minorHAnsi"/>
          <w:iCs/>
          <w:sz w:val="22"/>
          <w:szCs w:val="22"/>
          <w:lang w:val="en-CA"/>
        </w:rPr>
        <w:t xml:space="preserve">As a result of this change, </w:t>
      </w:r>
      <w:r w:rsidR="000C3D50" w:rsidRPr="00DE4115">
        <w:rPr>
          <w:rFonts w:asciiTheme="minorHAnsi" w:hAnsiTheme="minorHAnsi" w:cstheme="minorHAnsi"/>
          <w:iCs/>
          <w:sz w:val="22"/>
          <w:szCs w:val="22"/>
          <w:lang w:val="en-CA"/>
        </w:rPr>
        <w:t>work continues on building capacity</w:t>
      </w:r>
      <w:r w:rsidRPr="00DE4115">
        <w:rPr>
          <w:rFonts w:asciiTheme="minorHAnsi" w:hAnsiTheme="minorHAnsi" w:cstheme="minorHAnsi"/>
          <w:iCs/>
          <w:sz w:val="22"/>
          <w:szCs w:val="22"/>
          <w:lang w:val="en-CA"/>
        </w:rPr>
        <w:t xml:space="preserve"> to reach </w:t>
      </w:r>
      <w:r w:rsidR="00D72A77" w:rsidRPr="00DE4115">
        <w:rPr>
          <w:rFonts w:asciiTheme="minorHAnsi" w:hAnsiTheme="minorHAnsi" w:cstheme="minorHAnsi"/>
          <w:iCs/>
          <w:sz w:val="22"/>
          <w:szCs w:val="22"/>
          <w:lang w:val="en-CA"/>
        </w:rPr>
        <w:t xml:space="preserve">a </w:t>
      </w:r>
      <w:r w:rsidRPr="00DE4115">
        <w:rPr>
          <w:rFonts w:asciiTheme="minorHAnsi" w:hAnsiTheme="minorHAnsi" w:cstheme="minorHAnsi"/>
          <w:iCs/>
          <w:sz w:val="22"/>
          <w:szCs w:val="22"/>
          <w:lang w:val="en-CA"/>
        </w:rPr>
        <w:t>full complement</w:t>
      </w:r>
      <w:r w:rsidR="00D72A77" w:rsidRPr="00DE4115">
        <w:rPr>
          <w:rFonts w:asciiTheme="minorHAnsi" w:hAnsiTheme="minorHAnsi" w:cstheme="minorHAnsi"/>
          <w:iCs/>
          <w:sz w:val="22"/>
          <w:szCs w:val="22"/>
          <w:lang w:val="en-CA"/>
        </w:rPr>
        <w:t xml:space="preserve"> of staff</w:t>
      </w:r>
      <w:r w:rsidRPr="00DE4115">
        <w:rPr>
          <w:rFonts w:asciiTheme="minorHAnsi" w:hAnsiTheme="minorHAnsi" w:cstheme="minorHAnsi"/>
          <w:iCs/>
          <w:sz w:val="22"/>
          <w:szCs w:val="22"/>
          <w:lang w:val="en-CA"/>
        </w:rPr>
        <w:t>.</w:t>
      </w:r>
    </w:p>
    <w:p w14:paraId="12CD63C8" w14:textId="77777777" w:rsidR="0003019D" w:rsidRPr="00DE4115" w:rsidRDefault="006D0134" w:rsidP="004652EA">
      <w:pPr>
        <w:pStyle w:val="Heading1"/>
        <w:spacing w:after="120"/>
        <w:rPr>
          <w:lang w:val="en-CA"/>
        </w:rPr>
      </w:pPr>
      <w:r>
        <w:rPr>
          <w:lang w:val="en-CA"/>
        </w:rPr>
        <w:lastRenderedPageBreak/>
        <w:t>Population and S</w:t>
      </w:r>
      <w:r w:rsidR="00F429FE" w:rsidRPr="00DE4115">
        <w:rPr>
          <w:lang w:val="en-CA"/>
        </w:rPr>
        <w:t xml:space="preserve">taffing </w:t>
      </w:r>
      <w:r>
        <w:rPr>
          <w:lang w:val="en-CA"/>
        </w:rPr>
        <w:t>A</w:t>
      </w:r>
      <w:r w:rsidR="00F429FE" w:rsidRPr="00DE4115">
        <w:rPr>
          <w:lang w:val="en-CA"/>
        </w:rPr>
        <w:t>ctivities</w:t>
      </w:r>
    </w:p>
    <w:p w14:paraId="6C79A9A6" w14:textId="77777777" w:rsidR="0003019D" w:rsidRPr="00DE4115" w:rsidRDefault="00F429FE" w:rsidP="0003019D">
      <w:pPr>
        <w:pStyle w:val="Heading2"/>
        <w:spacing w:after="120"/>
        <w:rPr>
          <w:u w:val="single"/>
          <w:lang w:val="en-CA"/>
        </w:rPr>
      </w:pPr>
      <w:r w:rsidRPr="00DE4115">
        <w:rPr>
          <w:lang w:val="en-CA"/>
        </w:rPr>
        <w:t>Population</w:t>
      </w:r>
    </w:p>
    <w:p w14:paraId="126E35C6" w14:textId="77777777" w:rsidR="0003019D" w:rsidRPr="00DE4115" w:rsidRDefault="00F429FE" w:rsidP="0003019D">
      <w:pPr>
        <w:pStyle w:val="NoSpacing"/>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WAGE is an organization with 180 e</w:t>
      </w:r>
      <w:r w:rsidR="003B19E5" w:rsidRPr="00DE4115">
        <w:rPr>
          <w:rFonts w:asciiTheme="minorHAnsi" w:hAnsiTheme="minorHAnsi" w:cstheme="minorHAnsi"/>
          <w:color w:val="000000"/>
          <w:sz w:val="22"/>
          <w:szCs w:val="22"/>
          <w:lang w:val="en-CA"/>
        </w:rPr>
        <w:t>mployees.</w:t>
      </w:r>
      <w:r w:rsidRPr="00DE4115">
        <w:rPr>
          <w:rFonts w:asciiTheme="minorHAnsi" w:hAnsiTheme="minorHAnsi" w:cstheme="minorHAnsi"/>
          <w:color w:val="000000"/>
          <w:sz w:val="22"/>
          <w:szCs w:val="22"/>
          <w:lang w:val="en-CA"/>
        </w:rPr>
        <w:t xml:space="preserve"> </w:t>
      </w:r>
      <w:r w:rsidR="00564719" w:rsidRPr="00DE4115">
        <w:rPr>
          <w:rFonts w:asciiTheme="minorHAnsi" w:hAnsiTheme="minorHAnsi" w:cstheme="minorHAnsi"/>
          <w:color w:val="000000"/>
          <w:sz w:val="22"/>
          <w:szCs w:val="22"/>
          <w:lang w:val="en-CA"/>
        </w:rPr>
        <w:t xml:space="preserve">As at </w:t>
      </w:r>
      <w:r w:rsidR="003B19E5" w:rsidRPr="00DE4115">
        <w:rPr>
          <w:rFonts w:asciiTheme="minorHAnsi" w:hAnsiTheme="minorHAnsi" w:cstheme="minorHAnsi"/>
          <w:color w:val="000000"/>
          <w:sz w:val="22"/>
          <w:szCs w:val="22"/>
          <w:lang w:val="en-CA"/>
        </w:rPr>
        <w:t>March 31, 2019</w:t>
      </w:r>
      <w:r w:rsidR="00564719" w:rsidRPr="00DE4115">
        <w:rPr>
          <w:rFonts w:asciiTheme="minorHAnsi" w:hAnsiTheme="minorHAnsi" w:cstheme="minorHAnsi"/>
          <w:color w:val="000000"/>
          <w:sz w:val="22"/>
          <w:szCs w:val="22"/>
          <w:lang w:val="en-CA"/>
        </w:rPr>
        <w:t>, the workforce consisted of the following</w:t>
      </w:r>
      <w:r w:rsidR="0003019D" w:rsidRPr="00DE4115">
        <w:rPr>
          <w:rFonts w:asciiTheme="minorHAnsi" w:hAnsiTheme="minorHAnsi" w:cstheme="minorHAnsi"/>
          <w:color w:val="000000"/>
          <w:sz w:val="22"/>
          <w:szCs w:val="22"/>
          <w:lang w:val="en-CA"/>
        </w:rPr>
        <w:t>:</w:t>
      </w:r>
    </w:p>
    <w:p w14:paraId="2911B922" w14:textId="77777777" w:rsidR="00F429FE" w:rsidRPr="00DE4115" w:rsidRDefault="00F429FE" w:rsidP="002E0F73">
      <w:pPr>
        <w:pStyle w:val="ListParagraph"/>
        <w:numPr>
          <w:ilvl w:val="0"/>
          <w:numId w:val="6"/>
        </w:numPr>
        <w:spacing w:after="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110 indeterminate employees;</w:t>
      </w:r>
    </w:p>
    <w:p w14:paraId="27F81CC7" w14:textId="77777777" w:rsidR="00F429FE" w:rsidRPr="00DE4115" w:rsidRDefault="00F429FE" w:rsidP="002E0F73">
      <w:pPr>
        <w:pStyle w:val="ListParagraph"/>
        <w:numPr>
          <w:ilvl w:val="0"/>
          <w:numId w:val="6"/>
        </w:numPr>
        <w:spacing w:after="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7 term employees;</w:t>
      </w:r>
    </w:p>
    <w:p w14:paraId="7474C672" w14:textId="77777777" w:rsidR="00F429FE" w:rsidRPr="00DE4115" w:rsidRDefault="00F429FE" w:rsidP="002E0F73">
      <w:pPr>
        <w:pStyle w:val="ListParagraph"/>
        <w:numPr>
          <w:ilvl w:val="0"/>
          <w:numId w:val="6"/>
        </w:numPr>
        <w:spacing w:after="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55 casual employees;</w:t>
      </w:r>
    </w:p>
    <w:p w14:paraId="3EEE008B" w14:textId="77777777" w:rsidR="0003019D" w:rsidRPr="00DE4115" w:rsidRDefault="00F429FE" w:rsidP="004652EA">
      <w:pPr>
        <w:pStyle w:val="ListParagraph"/>
        <w:numPr>
          <w:ilvl w:val="0"/>
          <w:numId w:val="6"/>
        </w:numPr>
        <w:spacing w:after="12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8 students.</w:t>
      </w:r>
    </w:p>
    <w:p w14:paraId="4B97BB86" w14:textId="77777777" w:rsidR="0003019D" w:rsidRPr="00DE4115" w:rsidRDefault="0098088C" w:rsidP="004652EA">
      <w:pPr>
        <w:spacing w:after="120"/>
        <w:rPr>
          <w:rFonts w:asciiTheme="minorHAnsi" w:eastAsia="Calibri" w:hAnsiTheme="minorHAnsi" w:cstheme="minorHAnsi"/>
          <w:color w:val="000000"/>
          <w:sz w:val="22"/>
          <w:szCs w:val="22"/>
          <w:lang w:val="en-CA"/>
        </w:rPr>
      </w:pPr>
      <w:r w:rsidRPr="00DE4115">
        <w:rPr>
          <w:rFonts w:asciiTheme="minorHAnsi" w:eastAsia="Calibri" w:hAnsiTheme="minorHAnsi" w:cstheme="minorHAnsi"/>
          <w:color w:val="000000"/>
          <w:sz w:val="22"/>
          <w:szCs w:val="22"/>
          <w:lang w:val="en-CA"/>
        </w:rPr>
        <w:t>N</w:t>
      </w:r>
      <w:r w:rsidR="003178EA" w:rsidRPr="00DE4115">
        <w:rPr>
          <w:rFonts w:asciiTheme="minorHAnsi" w:eastAsia="Calibri" w:hAnsiTheme="minorHAnsi" w:cstheme="minorHAnsi"/>
          <w:color w:val="000000"/>
          <w:sz w:val="22"/>
          <w:szCs w:val="22"/>
          <w:lang w:val="en-CA"/>
        </w:rPr>
        <w:t xml:space="preserve">ote that the data </w:t>
      </w:r>
      <w:r w:rsidRPr="00DE4115">
        <w:rPr>
          <w:rFonts w:asciiTheme="minorHAnsi" w:eastAsia="Calibri" w:hAnsiTheme="minorHAnsi" w:cstheme="minorHAnsi"/>
          <w:color w:val="000000"/>
          <w:sz w:val="22"/>
          <w:szCs w:val="22"/>
          <w:lang w:val="en-CA"/>
        </w:rPr>
        <w:t xml:space="preserve">provided </w:t>
      </w:r>
      <w:r w:rsidR="003178EA" w:rsidRPr="00DE4115">
        <w:rPr>
          <w:rFonts w:asciiTheme="minorHAnsi" w:eastAsia="Calibri" w:hAnsiTheme="minorHAnsi" w:cstheme="minorHAnsi"/>
          <w:color w:val="000000"/>
          <w:sz w:val="22"/>
          <w:szCs w:val="22"/>
          <w:lang w:val="en-CA"/>
        </w:rPr>
        <w:t xml:space="preserve">by the Public Service Commission (PSC) in the attached Annexes </w:t>
      </w:r>
      <w:r w:rsidR="00566ACF" w:rsidRPr="00DE4115">
        <w:rPr>
          <w:rFonts w:asciiTheme="minorHAnsi" w:eastAsia="Calibri" w:hAnsiTheme="minorHAnsi" w:cstheme="minorHAnsi"/>
          <w:color w:val="000000"/>
          <w:sz w:val="22"/>
          <w:szCs w:val="22"/>
          <w:lang w:val="en-CA"/>
        </w:rPr>
        <w:t>is</w:t>
      </w:r>
      <w:r w:rsidR="003178EA" w:rsidRPr="00DE4115">
        <w:rPr>
          <w:rFonts w:asciiTheme="minorHAnsi" w:eastAsia="Calibri" w:hAnsiTheme="minorHAnsi" w:cstheme="minorHAnsi"/>
          <w:color w:val="000000"/>
          <w:sz w:val="22"/>
          <w:szCs w:val="22"/>
          <w:lang w:val="en-CA"/>
        </w:rPr>
        <w:t xml:space="preserve"> from March 31, 2019, and may not correspond to the data provided by the organization </w:t>
      </w:r>
      <w:r w:rsidRPr="00DE4115">
        <w:rPr>
          <w:rFonts w:asciiTheme="minorHAnsi" w:eastAsia="Calibri" w:hAnsiTheme="minorHAnsi" w:cstheme="minorHAnsi"/>
          <w:color w:val="000000"/>
          <w:sz w:val="22"/>
          <w:szCs w:val="22"/>
          <w:lang w:val="en-CA"/>
        </w:rPr>
        <w:t xml:space="preserve">owing </w:t>
      </w:r>
      <w:r w:rsidR="003178EA" w:rsidRPr="00DE4115">
        <w:rPr>
          <w:rFonts w:asciiTheme="minorHAnsi" w:eastAsia="Calibri" w:hAnsiTheme="minorHAnsi" w:cstheme="minorHAnsi"/>
          <w:color w:val="000000"/>
          <w:sz w:val="22"/>
          <w:szCs w:val="22"/>
          <w:lang w:val="en-CA"/>
        </w:rPr>
        <w:t xml:space="preserve">to differences in methodology and time periods. </w:t>
      </w:r>
      <w:r w:rsidR="008E0518" w:rsidRPr="00DE4115">
        <w:rPr>
          <w:rFonts w:asciiTheme="minorHAnsi" w:eastAsia="Calibri" w:hAnsiTheme="minorHAnsi" w:cstheme="minorHAnsi"/>
          <w:color w:val="000000"/>
          <w:sz w:val="22"/>
          <w:szCs w:val="22"/>
          <w:lang w:val="en-CA"/>
        </w:rPr>
        <w:t xml:space="preserve">According to </w:t>
      </w:r>
      <w:r w:rsidR="003178EA" w:rsidRPr="00DE4115">
        <w:rPr>
          <w:rFonts w:asciiTheme="minorHAnsi" w:eastAsia="Calibri" w:hAnsiTheme="minorHAnsi" w:cstheme="minorHAnsi"/>
          <w:color w:val="000000"/>
          <w:sz w:val="22"/>
          <w:szCs w:val="22"/>
          <w:lang w:val="en-CA"/>
        </w:rPr>
        <w:t>WAGE statistics</w:t>
      </w:r>
      <w:r w:rsidR="008E0518" w:rsidRPr="00DE4115">
        <w:rPr>
          <w:rFonts w:asciiTheme="minorHAnsi" w:eastAsia="Calibri" w:hAnsiTheme="minorHAnsi" w:cstheme="minorHAnsi"/>
          <w:color w:val="000000"/>
          <w:sz w:val="22"/>
          <w:szCs w:val="22"/>
          <w:lang w:val="en-CA"/>
        </w:rPr>
        <w:t xml:space="preserve"> on April 9, 2019,</w:t>
      </w:r>
      <w:r w:rsidR="003B19E5" w:rsidRPr="00DE4115">
        <w:rPr>
          <w:lang w:val="en-CA"/>
        </w:rPr>
        <w:t xml:space="preserve"> </w:t>
      </w:r>
      <w:r w:rsidR="003B19E5" w:rsidRPr="00DE4115">
        <w:rPr>
          <w:rFonts w:asciiTheme="minorHAnsi" w:eastAsia="Calibri" w:hAnsiTheme="minorHAnsi" w:cstheme="minorHAnsi"/>
          <w:color w:val="000000"/>
          <w:sz w:val="22"/>
          <w:szCs w:val="22"/>
          <w:lang w:val="en-CA"/>
        </w:rPr>
        <w:t>the organization had 305</w:t>
      </w:r>
      <w:r w:rsidR="00566ACF" w:rsidRPr="00DE4115">
        <w:rPr>
          <w:rFonts w:asciiTheme="minorHAnsi" w:eastAsia="Calibri" w:hAnsiTheme="minorHAnsi" w:cstheme="minorHAnsi"/>
          <w:color w:val="000000"/>
          <w:sz w:val="22"/>
          <w:szCs w:val="22"/>
          <w:lang w:val="en-CA"/>
        </w:rPr>
        <w:t xml:space="preserve"> employees</w:t>
      </w:r>
      <w:r w:rsidR="003178EA" w:rsidRPr="00DE4115">
        <w:rPr>
          <w:rFonts w:asciiTheme="minorHAnsi" w:eastAsia="Calibri" w:hAnsiTheme="minorHAnsi" w:cstheme="minorHAnsi"/>
          <w:color w:val="000000"/>
          <w:sz w:val="22"/>
          <w:szCs w:val="22"/>
          <w:lang w:val="en-CA"/>
        </w:rPr>
        <w:t xml:space="preserve">, </w:t>
      </w:r>
      <w:r w:rsidR="00566ACF" w:rsidRPr="00DE4115">
        <w:rPr>
          <w:rFonts w:asciiTheme="minorHAnsi" w:eastAsia="Calibri" w:hAnsiTheme="minorHAnsi" w:cstheme="minorHAnsi"/>
          <w:color w:val="000000"/>
          <w:sz w:val="22"/>
          <w:szCs w:val="22"/>
          <w:lang w:val="en-CA"/>
        </w:rPr>
        <w:t>183 of whom were indeterminate</w:t>
      </w:r>
      <w:r w:rsidR="0003019D" w:rsidRPr="00DE4115">
        <w:rPr>
          <w:rFonts w:asciiTheme="minorHAnsi" w:eastAsia="Calibri" w:hAnsiTheme="minorHAnsi" w:cstheme="minorHAnsi"/>
          <w:color w:val="000000"/>
          <w:sz w:val="22"/>
          <w:szCs w:val="22"/>
          <w:lang w:val="en-CA"/>
        </w:rPr>
        <w:t>.</w:t>
      </w:r>
    </w:p>
    <w:p w14:paraId="1701D428" w14:textId="77777777" w:rsidR="0003019D" w:rsidRPr="00DE4115" w:rsidRDefault="006D0134" w:rsidP="0003019D">
      <w:pPr>
        <w:pStyle w:val="Heading2"/>
        <w:spacing w:after="120"/>
        <w:rPr>
          <w:u w:val="single"/>
          <w:lang w:val="en-CA"/>
        </w:rPr>
      </w:pPr>
      <w:r>
        <w:rPr>
          <w:lang w:val="en-CA"/>
        </w:rPr>
        <w:t>Staffing A</w:t>
      </w:r>
      <w:r w:rsidR="003178EA" w:rsidRPr="00DE4115">
        <w:rPr>
          <w:lang w:val="en-CA"/>
        </w:rPr>
        <w:t>ctivities</w:t>
      </w:r>
    </w:p>
    <w:p w14:paraId="3C34B928" w14:textId="77777777" w:rsidR="0003019D" w:rsidRPr="00DE4115" w:rsidRDefault="003178EA" w:rsidP="0003019D">
      <w:pPr>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 xml:space="preserve">In 2018–2019, WAGE completed 18 advertised processes and 28 non-advertised processes. In total, WAGE </w:t>
      </w:r>
      <w:r w:rsidR="008E0518" w:rsidRPr="00DE4115">
        <w:rPr>
          <w:rFonts w:asciiTheme="minorHAnsi" w:hAnsiTheme="minorHAnsi" w:cstheme="minorHAnsi"/>
          <w:color w:val="000000"/>
          <w:sz w:val="22"/>
          <w:szCs w:val="22"/>
          <w:lang w:val="en-CA"/>
        </w:rPr>
        <w:t>carried out</w:t>
      </w:r>
      <w:r w:rsidRPr="00DE4115">
        <w:rPr>
          <w:rFonts w:asciiTheme="minorHAnsi" w:hAnsiTheme="minorHAnsi" w:cstheme="minorHAnsi"/>
          <w:color w:val="000000"/>
          <w:sz w:val="22"/>
          <w:szCs w:val="22"/>
          <w:lang w:val="en-CA"/>
        </w:rPr>
        <w:t xml:space="preserve"> 205 staffing activities</w:t>
      </w:r>
      <w:r w:rsidR="0003019D" w:rsidRPr="00DE4115">
        <w:rPr>
          <w:rFonts w:asciiTheme="minorHAnsi" w:hAnsiTheme="minorHAnsi" w:cstheme="minorHAnsi"/>
          <w:color w:val="000000"/>
          <w:sz w:val="22"/>
          <w:szCs w:val="22"/>
          <w:lang w:val="en-CA"/>
        </w:rPr>
        <w:t xml:space="preserve">: </w:t>
      </w:r>
    </w:p>
    <w:p w14:paraId="4DAFF6F7" w14:textId="77777777" w:rsidR="003178EA" w:rsidRPr="00DE4115" w:rsidRDefault="003178EA" w:rsidP="003178EA">
      <w:pPr>
        <w:numPr>
          <w:ilvl w:val="0"/>
          <w:numId w:val="5"/>
        </w:numPr>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 xml:space="preserve">21 appointments to the public service; </w:t>
      </w:r>
    </w:p>
    <w:p w14:paraId="72A24DD9" w14:textId="77777777" w:rsidR="003178EA" w:rsidRPr="00DE4115" w:rsidRDefault="003178EA" w:rsidP="003178EA">
      <w:pPr>
        <w:numPr>
          <w:ilvl w:val="0"/>
          <w:numId w:val="5"/>
        </w:numPr>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25 promotions;</w:t>
      </w:r>
    </w:p>
    <w:p w14:paraId="57918227" w14:textId="77777777" w:rsidR="003178EA" w:rsidRPr="00DE4115" w:rsidRDefault="003178EA" w:rsidP="003178EA">
      <w:pPr>
        <w:numPr>
          <w:ilvl w:val="0"/>
          <w:numId w:val="5"/>
        </w:numPr>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6 acting appointments (excluding appointments of less than 4 months);</w:t>
      </w:r>
    </w:p>
    <w:p w14:paraId="043B09FB" w14:textId="77777777" w:rsidR="003178EA" w:rsidRPr="00DE4115" w:rsidRDefault="003178EA" w:rsidP="003178EA">
      <w:pPr>
        <w:numPr>
          <w:ilvl w:val="0"/>
          <w:numId w:val="5"/>
        </w:numPr>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 xml:space="preserve">99 </w:t>
      </w:r>
      <w:r w:rsidR="008E0518" w:rsidRPr="00DE4115">
        <w:rPr>
          <w:rFonts w:asciiTheme="minorHAnsi" w:hAnsiTheme="minorHAnsi" w:cstheme="minorHAnsi"/>
          <w:color w:val="000000"/>
          <w:sz w:val="22"/>
          <w:szCs w:val="22"/>
          <w:lang w:val="en-CA"/>
        </w:rPr>
        <w:t xml:space="preserve">appointments to </w:t>
      </w:r>
      <w:r w:rsidRPr="00DE4115">
        <w:rPr>
          <w:rFonts w:asciiTheme="minorHAnsi" w:hAnsiTheme="minorHAnsi" w:cstheme="minorHAnsi"/>
          <w:color w:val="000000"/>
          <w:sz w:val="22"/>
          <w:szCs w:val="22"/>
          <w:lang w:val="en-CA"/>
        </w:rPr>
        <w:t>casual</w:t>
      </w:r>
      <w:r w:rsidR="008E0518" w:rsidRPr="00DE4115">
        <w:rPr>
          <w:rFonts w:asciiTheme="minorHAnsi" w:hAnsiTheme="minorHAnsi" w:cstheme="minorHAnsi"/>
          <w:color w:val="000000"/>
          <w:sz w:val="22"/>
          <w:szCs w:val="22"/>
          <w:lang w:val="en-CA"/>
        </w:rPr>
        <w:t xml:space="preserve"> positions</w:t>
      </w:r>
      <w:r w:rsidRPr="00DE4115">
        <w:rPr>
          <w:rFonts w:asciiTheme="minorHAnsi" w:hAnsiTheme="minorHAnsi" w:cstheme="minorHAnsi"/>
          <w:color w:val="000000"/>
          <w:sz w:val="22"/>
          <w:szCs w:val="22"/>
          <w:lang w:val="en-CA"/>
        </w:rPr>
        <w:t>;</w:t>
      </w:r>
    </w:p>
    <w:p w14:paraId="67FAA6AA" w14:textId="77777777" w:rsidR="003178EA" w:rsidRPr="00DE4115" w:rsidRDefault="003178EA" w:rsidP="003178EA">
      <w:pPr>
        <w:numPr>
          <w:ilvl w:val="0"/>
          <w:numId w:val="5"/>
        </w:numPr>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 xml:space="preserve">14 </w:t>
      </w:r>
      <w:r w:rsidR="008F5B3D" w:rsidRPr="00DE4115">
        <w:rPr>
          <w:rFonts w:asciiTheme="minorHAnsi" w:hAnsiTheme="minorHAnsi" w:cstheme="minorHAnsi"/>
          <w:color w:val="000000"/>
          <w:sz w:val="22"/>
          <w:szCs w:val="22"/>
          <w:lang w:val="en-CA"/>
        </w:rPr>
        <w:t xml:space="preserve">appointments to positions for </w:t>
      </w:r>
      <w:r w:rsidRPr="00DE4115">
        <w:rPr>
          <w:rFonts w:asciiTheme="minorHAnsi" w:hAnsiTheme="minorHAnsi" w:cstheme="minorHAnsi"/>
          <w:color w:val="000000"/>
          <w:sz w:val="22"/>
          <w:szCs w:val="22"/>
          <w:lang w:val="en-CA"/>
        </w:rPr>
        <w:t>students;</w:t>
      </w:r>
    </w:p>
    <w:p w14:paraId="15D8C8B6" w14:textId="77777777" w:rsidR="0003019D" w:rsidRPr="00DE4115" w:rsidRDefault="003178EA" w:rsidP="004652EA">
      <w:pPr>
        <w:numPr>
          <w:ilvl w:val="0"/>
          <w:numId w:val="5"/>
        </w:numPr>
        <w:spacing w:after="12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 xml:space="preserve">40 </w:t>
      </w:r>
      <w:r w:rsidR="00481F43" w:rsidRPr="00DE4115">
        <w:rPr>
          <w:rFonts w:asciiTheme="minorHAnsi" w:hAnsiTheme="minorHAnsi" w:cstheme="minorHAnsi"/>
          <w:color w:val="000000"/>
          <w:sz w:val="22"/>
          <w:szCs w:val="22"/>
          <w:lang w:val="en-CA"/>
        </w:rPr>
        <w:t>deployments</w:t>
      </w:r>
      <w:r w:rsidR="0003019D" w:rsidRPr="00DE4115">
        <w:rPr>
          <w:rFonts w:asciiTheme="minorHAnsi" w:hAnsiTheme="minorHAnsi" w:cstheme="minorHAnsi"/>
          <w:color w:val="000000"/>
          <w:sz w:val="22"/>
          <w:szCs w:val="22"/>
          <w:lang w:val="en-CA"/>
        </w:rPr>
        <w:t>.</w:t>
      </w:r>
    </w:p>
    <w:p w14:paraId="3898B8BF" w14:textId="77777777" w:rsidR="004652EA" w:rsidRPr="00374A6E" w:rsidRDefault="004652EA" w:rsidP="002E0F73">
      <w:pPr>
        <w:pStyle w:val="NoSpacing"/>
        <w:spacing w:after="120"/>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 xml:space="preserve">Please refer to </w:t>
      </w:r>
      <w:hyperlink w:anchor="Annex_B" w:history="1">
        <w:r w:rsidRPr="007B5B5F">
          <w:rPr>
            <w:rStyle w:val="Hyperlink"/>
            <w:rFonts w:asciiTheme="minorHAnsi" w:hAnsiTheme="minorHAnsi" w:cstheme="minorHAnsi"/>
            <w:sz w:val="22"/>
            <w:szCs w:val="22"/>
            <w:lang w:val="en-CA" w:eastAsia="en-CA"/>
          </w:rPr>
          <w:t>Annex B</w:t>
        </w:r>
      </w:hyperlink>
      <w:r w:rsidRPr="00374A6E">
        <w:rPr>
          <w:rFonts w:asciiTheme="minorHAnsi" w:hAnsiTheme="minorHAnsi" w:cstheme="minorHAnsi"/>
          <w:sz w:val="22"/>
          <w:szCs w:val="22"/>
          <w:lang w:val="en-CA" w:eastAsia="en-CA"/>
        </w:rPr>
        <w:t xml:space="preserve"> for additional details</w:t>
      </w:r>
      <w:r>
        <w:rPr>
          <w:rFonts w:asciiTheme="minorHAnsi" w:hAnsiTheme="minorHAnsi" w:cstheme="minorHAnsi"/>
          <w:sz w:val="22"/>
          <w:szCs w:val="22"/>
          <w:lang w:val="en-CA" w:eastAsia="en-CA"/>
        </w:rPr>
        <w:t xml:space="preserve"> on staffing activities.</w:t>
      </w:r>
    </w:p>
    <w:p w14:paraId="55F44DEE" w14:textId="77777777" w:rsidR="0003019D" w:rsidRPr="00DE4115" w:rsidRDefault="00FC7F14" w:rsidP="004652EA">
      <w:pPr>
        <w:spacing w:after="12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 xml:space="preserve">As mentioned above, PSC data may differ from that of the organization. In this case, WAGE </w:t>
      </w:r>
      <w:r w:rsidR="008F5B3D" w:rsidRPr="00DE4115">
        <w:rPr>
          <w:rFonts w:asciiTheme="minorHAnsi" w:hAnsiTheme="minorHAnsi" w:cstheme="minorHAnsi"/>
          <w:color w:val="000000"/>
          <w:sz w:val="22"/>
          <w:szCs w:val="22"/>
          <w:lang w:val="en-CA"/>
        </w:rPr>
        <w:t xml:space="preserve">states </w:t>
      </w:r>
      <w:r w:rsidRPr="00DE4115">
        <w:rPr>
          <w:rFonts w:asciiTheme="minorHAnsi" w:hAnsiTheme="minorHAnsi" w:cstheme="minorHAnsi"/>
          <w:color w:val="000000"/>
          <w:sz w:val="22"/>
          <w:szCs w:val="22"/>
          <w:lang w:val="en-CA"/>
        </w:rPr>
        <w:t xml:space="preserve">that it </w:t>
      </w:r>
      <w:r w:rsidR="008F5B3D" w:rsidRPr="00DE4115">
        <w:rPr>
          <w:rFonts w:asciiTheme="minorHAnsi" w:hAnsiTheme="minorHAnsi" w:cstheme="minorHAnsi"/>
          <w:color w:val="000000"/>
          <w:sz w:val="22"/>
          <w:szCs w:val="22"/>
          <w:lang w:val="en-CA"/>
        </w:rPr>
        <w:t xml:space="preserve">carried out </w:t>
      </w:r>
      <w:r w:rsidRPr="00DE4115">
        <w:rPr>
          <w:rFonts w:asciiTheme="minorHAnsi" w:hAnsiTheme="minorHAnsi" w:cstheme="minorHAnsi"/>
          <w:color w:val="000000"/>
          <w:sz w:val="22"/>
          <w:szCs w:val="22"/>
          <w:lang w:val="en-CA"/>
        </w:rPr>
        <w:t>12 advertised processes</w:t>
      </w:r>
      <w:r w:rsidR="0003019D" w:rsidRPr="00DE4115">
        <w:rPr>
          <w:rFonts w:asciiTheme="minorHAnsi" w:hAnsiTheme="minorHAnsi" w:cstheme="minorHAnsi"/>
          <w:color w:val="000000"/>
          <w:sz w:val="22"/>
          <w:szCs w:val="22"/>
          <w:lang w:val="en-CA"/>
        </w:rPr>
        <w:t>.</w:t>
      </w:r>
    </w:p>
    <w:p w14:paraId="185E756F" w14:textId="77777777" w:rsidR="0003019D" w:rsidRPr="00DE4115" w:rsidRDefault="006D0134" w:rsidP="004652EA">
      <w:pPr>
        <w:pStyle w:val="Heading1"/>
        <w:spacing w:after="120"/>
        <w:rPr>
          <w:lang w:val="en-CA"/>
        </w:rPr>
      </w:pPr>
      <w:r>
        <w:rPr>
          <w:lang w:val="en-CA"/>
        </w:rPr>
        <w:t>Time to S</w:t>
      </w:r>
      <w:r w:rsidR="00FC7F14" w:rsidRPr="00DE4115">
        <w:rPr>
          <w:lang w:val="en-CA"/>
        </w:rPr>
        <w:t>taff</w:t>
      </w:r>
    </w:p>
    <w:p w14:paraId="7ACBF238" w14:textId="566B901B" w:rsidR="0003019D" w:rsidRPr="00DE4115" w:rsidRDefault="00FC7F14" w:rsidP="004652EA">
      <w:pPr>
        <w:pStyle w:val="NoSpacing"/>
        <w:spacing w:after="120"/>
        <w:rPr>
          <w:rFonts w:asciiTheme="minorHAnsi" w:hAnsiTheme="minorHAnsi" w:cstheme="minorHAnsi"/>
          <w:sz w:val="22"/>
          <w:szCs w:val="22"/>
          <w:lang w:val="en-CA" w:eastAsia="en-CA"/>
        </w:rPr>
      </w:pPr>
      <w:r w:rsidRPr="00DE4115">
        <w:rPr>
          <w:rFonts w:asciiTheme="minorHAnsi" w:hAnsiTheme="minorHAnsi" w:cstheme="minorHAnsi"/>
          <w:sz w:val="22"/>
          <w:szCs w:val="22"/>
          <w:lang w:val="en-CA" w:eastAsia="en-CA"/>
        </w:rPr>
        <w:t>The</w:t>
      </w:r>
      <w:r w:rsidR="009933BB" w:rsidRPr="00DE4115">
        <w:rPr>
          <w:rFonts w:asciiTheme="minorHAnsi" w:hAnsiTheme="minorHAnsi" w:cstheme="minorHAnsi"/>
          <w:sz w:val="22"/>
          <w:szCs w:val="22"/>
          <w:lang w:val="en-CA" w:eastAsia="en-CA"/>
        </w:rPr>
        <w:t>re is insufficient</w:t>
      </w:r>
      <w:r w:rsidRPr="00DE4115">
        <w:rPr>
          <w:rFonts w:asciiTheme="minorHAnsi" w:hAnsiTheme="minorHAnsi" w:cstheme="minorHAnsi"/>
          <w:sz w:val="22"/>
          <w:szCs w:val="22"/>
          <w:lang w:val="en-CA" w:eastAsia="en-CA"/>
        </w:rPr>
        <w:t xml:space="preserve"> data </w:t>
      </w:r>
      <w:r w:rsidR="009933BB" w:rsidRPr="00DE4115">
        <w:rPr>
          <w:rFonts w:asciiTheme="minorHAnsi" w:hAnsiTheme="minorHAnsi" w:cstheme="minorHAnsi"/>
          <w:sz w:val="22"/>
          <w:szCs w:val="22"/>
          <w:lang w:val="en-CA" w:eastAsia="en-CA"/>
        </w:rPr>
        <w:t>to</w:t>
      </w:r>
      <w:r w:rsidRPr="00DE4115">
        <w:rPr>
          <w:rFonts w:asciiTheme="minorHAnsi" w:hAnsiTheme="minorHAnsi" w:cstheme="minorHAnsi"/>
          <w:sz w:val="22"/>
          <w:szCs w:val="22"/>
          <w:lang w:val="en-CA" w:eastAsia="en-CA"/>
        </w:rPr>
        <w:t xml:space="preserve"> provid</w:t>
      </w:r>
      <w:r w:rsidR="009933BB" w:rsidRPr="00DE4115">
        <w:rPr>
          <w:rFonts w:asciiTheme="minorHAnsi" w:hAnsiTheme="minorHAnsi" w:cstheme="minorHAnsi"/>
          <w:sz w:val="22"/>
          <w:szCs w:val="22"/>
          <w:lang w:val="en-CA" w:eastAsia="en-CA"/>
        </w:rPr>
        <w:t>e</w:t>
      </w:r>
      <w:r w:rsidRPr="00DE4115">
        <w:rPr>
          <w:rFonts w:asciiTheme="minorHAnsi" w:hAnsiTheme="minorHAnsi" w:cstheme="minorHAnsi"/>
          <w:sz w:val="22"/>
          <w:szCs w:val="22"/>
          <w:lang w:val="en-CA" w:eastAsia="en-CA"/>
        </w:rPr>
        <w:t xml:space="preserve"> results on internal or external </w:t>
      </w:r>
      <w:r w:rsidR="009933BB" w:rsidRPr="00DE4115">
        <w:rPr>
          <w:rFonts w:asciiTheme="minorHAnsi" w:hAnsiTheme="minorHAnsi" w:cstheme="minorHAnsi"/>
          <w:sz w:val="22"/>
          <w:szCs w:val="22"/>
          <w:lang w:val="en-CA" w:eastAsia="en-CA"/>
        </w:rPr>
        <w:t xml:space="preserve">staffing </w:t>
      </w:r>
      <w:r w:rsidR="00566ACF" w:rsidRPr="00DE4115">
        <w:rPr>
          <w:rFonts w:asciiTheme="minorHAnsi" w:hAnsiTheme="minorHAnsi" w:cstheme="minorHAnsi"/>
          <w:sz w:val="22"/>
          <w:szCs w:val="22"/>
          <w:lang w:val="en-CA" w:eastAsia="en-CA"/>
        </w:rPr>
        <w:t>time</w:t>
      </w:r>
      <w:r w:rsidR="009933BB" w:rsidRPr="00DE4115">
        <w:rPr>
          <w:rFonts w:asciiTheme="minorHAnsi" w:hAnsiTheme="minorHAnsi" w:cstheme="minorHAnsi"/>
          <w:sz w:val="22"/>
          <w:szCs w:val="22"/>
          <w:lang w:val="en-CA" w:eastAsia="en-CA"/>
        </w:rPr>
        <w:t>s</w:t>
      </w:r>
      <w:r w:rsidRPr="00DE4115">
        <w:rPr>
          <w:rFonts w:asciiTheme="minorHAnsi" w:hAnsiTheme="minorHAnsi" w:cstheme="minorHAnsi"/>
          <w:sz w:val="22"/>
          <w:szCs w:val="22"/>
          <w:lang w:val="en-CA" w:eastAsia="en-CA"/>
        </w:rPr>
        <w:t xml:space="preserve"> for </w:t>
      </w:r>
      <w:r w:rsidR="00B81C85">
        <w:rPr>
          <w:rFonts w:asciiTheme="minorHAnsi" w:hAnsiTheme="minorHAnsi" w:cstheme="minorHAnsi"/>
          <w:sz w:val="22"/>
          <w:szCs w:val="22"/>
          <w:lang w:val="en-CA" w:eastAsia="en-CA"/>
        </w:rPr>
        <w:t>WAGE</w:t>
      </w:r>
      <w:r w:rsidR="00566ACF" w:rsidRPr="00DE4115">
        <w:rPr>
          <w:rFonts w:asciiTheme="minorHAnsi" w:hAnsiTheme="minorHAnsi" w:cstheme="minorHAnsi"/>
          <w:sz w:val="22"/>
          <w:szCs w:val="22"/>
          <w:lang w:val="en-CA" w:eastAsia="en-CA"/>
        </w:rPr>
        <w:t>.</w:t>
      </w:r>
    </w:p>
    <w:p w14:paraId="7D1858CF" w14:textId="77777777" w:rsidR="0003019D" w:rsidRPr="00DE4115" w:rsidRDefault="006D0134" w:rsidP="004652EA">
      <w:pPr>
        <w:pStyle w:val="Heading1"/>
        <w:spacing w:after="120"/>
        <w:rPr>
          <w:lang w:val="en-CA"/>
        </w:rPr>
      </w:pPr>
      <w:r>
        <w:rPr>
          <w:lang w:val="en-CA"/>
        </w:rPr>
        <w:t>Staffing F</w:t>
      </w:r>
      <w:r w:rsidR="009A2191" w:rsidRPr="00DE4115">
        <w:rPr>
          <w:lang w:val="en-CA"/>
        </w:rPr>
        <w:t>ramework</w:t>
      </w:r>
    </w:p>
    <w:p w14:paraId="2A13F0D1" w14:textId="77777777" w:rsidR="0003019D" w:rsidRPr="00DE4115" w:rsidRDefault="009A2191" w:rsidP="00B365E1">
      <w:pPr>
        <w:pStyle w:val="Heading2"/>
        <w:spacing w:after="120"/>
        <w:rPr>
          <w:lang w:val="en-CA"/>
        </w:rPr>
      </w:pPr>
      <w:r w:rsidRPr="00DE4115">
        <w:rPr>
          <w:lang w:val="en-CA"/>
        </w:rPr>
        <w:t>New Direction in Staffing</w:t>
      </w:r>
      <w:r w:rsidR="00D56412" w:rsidRPr="00DE4115">
        <w:rPr>
          <w:lang w:val="en-CA"/>
        </w:rPr>
        <w:t xml:space="preserve"> (NDS)</w:t>
      </w:r>
      <w:r w:rsidRPr="00DE4115">
        <w:rPr>
          <w:lang w:val="en-CA"/>
        </w:rPr>
        <w:t xml:space="preserve"> </w:t>
      </w:r>
      <w:r w:rsidR="006D0134">
        <w:rPr>
          <w:lang w:val="en-CA"/>
        </w:rPr>
        <w:t>I</w:t>
      </w:r>
      <w:r w:rsidR="002B73D4" w:rsidRPr="00DE4115">
        <w:rPr>
          <w:lang w:val="en-CA"/>
        </w:rPr>
        <w:t xml:space="preserve">mplementation </w:t>
      </w:r>
    </w:p>
    <w:p w14:paraId="5A0A3FE4" w14:textId="77777777" w:rsidR="0003019D" w:rsidRPr="00DE4115" w:rsidRDefault="001B26BD" w:rsidP="004652EA">
      <w:pPr>
        <w:keepNext/>
        <w:spacing w:after="120"/>
        <w:rPr>
          <w:rFonts w:asciiTheme="minorHAnsi" w:hAnsiTheme="minorHAnsi" w:cstheme="minorHAnsi"/>
          <w:iCs/>
          <w:sz w:val="22"/>
          <w:szCs w:val="22"/>
          <w:lang w:val="en-CA"/>
        </w:rPr>
      </w:pPr>
      <w:r w:rsidRPr="00DE4115">
        <w:rPr>
          <w:rFonts w:asciiTheme="minorHAnsi" w:hAnsiTheme="minorHAnsi" w:cstheme="minorHAnsi"/>
          <w:iCs/>
          <w:sz w:val="22"/>
          <w:szCs w:val="22"/>
          <w:lang w:val="en-CA"/>
        </w:rPr>
        <w:t xml:space="preserve">The former organization (Status of Women Canada) implemented the NDS. However, with the creation of WAGE, all staffing policies and the sub-delegation </w:t>
      </w:r>
      <w:r w:rsidR="00D56412" w:rsidRPr="00DE4115">
        <w:rPr>
          <w:rFonts w:asciiTheme="minorHAnsi" w:hAnsiTheme="minorHAnsi" w:cstheme="minorHAnsi"/>
          <w:iCs/>
          <w:sz w:val="22"/>
          <w:szCs w:val="22"/>
          <w:lang w:val="en-CA"/>
        </w:rPr>
        <w:t xml:space="preserve">of staffing authorities </w:t>
      </w:r>
      <w:r w:rsidRPr="00DE4115">
        <w:rPr>
          <w:rFonts w:asciiTheme="minorHAnsi" w:hAnsiTheme="minorHAnsi" w:cstheme="minorHAnsi"/>
          <w:iCs/>
          <w:sz w:val="22"/>
          <w:szCs w:val="22"/>
          <w:lang w:val="en-CA"/>
        </w:rPr>
        <w:t xml:space="preserve">instrument are being reviewed. </w:t>
      </w:r>
      <w:r w:rsidR="003B19E5" w:rsidRPr="00DE4115">
        <w:rPr>
          <w:rFonts w:asciiTheme="minorHAnsi" w:hAnsiTheme="minorHAnsi" w:cstheme="minorHAnsi"/>
          <w:iCs/>
          <w:sz w:val="22"/>
          <w:szCs w:val="22"/>
          <w:lang w:val="en-CA"/>
        </w:rPr>
        <w:t>Since July 2019, the organization’s 11 sub-delegated managers</w:t>
      </w:r>
      <w:r w:rsidRPr="00DE4115">
        <w:rPr>
          <w:rFonts w:asciiTheme="minorHAnsi" w:hAnsiTheme="minorHAnsi" w:cstheme="minorHAnsi"/>
          <w:iCs/>
          <w:sz w:val="22"/>
          <w:szCs w:val="22"/>
          <w:lang w:val="en-CA"/>
        </w:rPr>
        <w:t xml:space="preserve"> have all signed the attestation form.</w:t>
      </w:r>
      <w:r w:rsidR="0003019D" w:rsidRPr="00DE4115">
        <w:rPr>
          <w:rFonts w:asciiTheme="minorHAnsi" w:hAnsiTheme="minorHAnsi" w:cstheme="minorHAnsi"/>
          <w:iCs/>
          <w:sz w:val="22"/>
          <w:szCs w:val="22"/>
          <w:lang w:val="en-CA"/>
        </w:rPr>
        <w:t xml:space="preserve"> </w:t>
      </w:r>
    </w:p>
    <w:p w14:paraId="5641EFFC" w14:textId="77777777" w:rsidR="0003019D" w:rsidRPr="00DE4115" w:rsidRDefault="001B26BD" w:rsidP="004652EA">
      <w:pPr>
        <w:spacing w:after="120"/>
        <w:rPr>
          <w:rFonts w:asciiTheme="minorHAnsi" w:hAnsiTheme="minorHAnsi" w:cstheme="minorHAnsi"/>
          <w:iCs/>
          <w:sz w:val="22"/>
          <w:szCs w:val="22"/>
          <w:lang w:val="en-CA"/>
        </w:rPr>
      </w:pPr>
      <w:r w:rsidRPr="00DE4115">
        <w:rPr>
          <w:rFonts w:asciiTheme="minorHAnsi" w:hAnsiTheme="minorHAnsi" w:cstheme="minorHAnsi"/>
          <w:iCs/>
          <w:sz w:val="22"/>
          <w:szCs w:val="22"/>
          <w:lang w:val="en-CA"/>
        </w:rPr>
        <w:t xml:space="preserve">The staffing monitoring framework is also being reviewed to reflect organizational changes. Consultations are being </w:t>
      </w:r>
      <w:r w:rsidR="003573A4" w:rsidRPr="00DE4115">
        <w:rPr>
          <w:rFonts w:asciiTheme="minorHAnsi" w:hAnsiTheme="minorHAnsi" w:cstheme="minorHAnsi"/>
          <w:iCs/>
          <w:sz w:val="22"/>
          <w:szCs w:val="22"/>
          <w:lang w:val="en-CA"/>
        </w:rPr>
        <w:t xml:space="preserve">held </w:t>
      </w:r>
      <w:r w:rsidRPr="00DE4115">
        <w:rPr>
          <w:rFonts w:asciiTheme="minorHAnsi" w:hAnsiTheme="minorHAnsi" w:cstheme="minorHAnsi"/>
          <w:iCs/>
          <w:sz w:val="22"/>
          <w:szCs w:val="22"/>
          <w:lang w:val="en-CA"/>
        </w:rPr>
        <w:t xml:space="preserve">with other departments and the PSC in order to adopt the best staffing practices that will </w:t>
      </w:r>
      <w:r w:rsidR="005023AB" w:rsidRPr="00DE4115">
        <w:rPr>
          <w:rFonts w:asciiTheme="minorHAnsi" w:hAnsiTheme="minorHAnsi" w:cstheme="minorHAnsi"/>
          <w:iCs/>
          <w:sz w:val="22"/>
          <w:szCs w:val="22"/>
          <w:lang w:val="en-CA"/>
        </w:rPr>
        <w:t xml:space="preserve">meet </w:t>
      </w:r>
      <w:r w:rsidRPr="00DE4115">
        <w:rPr>
          <w:rFonts w:asciiTheme="minorHAnsi" w:hAnsiTheme="minorHAnsi" w:cstheme="minorHAnsi"/>
          <w:iCs/>
          <w:sz w:val="22"/>
          <w:szCs w:val="22"/>
          <w:lang w:val="en-CA"/>
        </w:rPr>
        <w:t>the need</w:t>
      </w:r>
      <w:r w:rsidR="005023AB" w:rsidRPr="00DE4115">
        <w:rPr>
          <w:rFonts w:asciiTheme="minorHAnsi" w:hAnsiTheme="minorHAnsi" w:cstheme="minorHAnsi"/>
          <w:iCs/>
          <w:sz w:val="22"/>
          <w:szCs w:val="22"/>
          <w:lang w:val="en-CA"/>
        </w:rPr>
        <w:t>s</w:t>
      </w:r>
      <w:r w:rsidRPr="00DE4115">
        <w:rPr>
          <w:rFonts w:asciiTheme="minorHAnsi" w:hAnsiTheme="minorHAnsi" w:cstheme="minorHAnsi"/>
          <w:iCs/>
          <w:sz w:val="22"/>
          <w:szCs w:val="22"/>
          <w:lang w:val="en-CA"/>
        </w:rPr>
        <w:t xml:space="preserve"> and </w:t>
      </w:r>
      <w:r w:rsidR="00427CA0" w:rsidRPr="00DE4115">
        <w:rPr>
          <w:rFonts w:asciiTheme="minorHAnsi" w:hAnsiTheme="minorHAnsi" w:cstheme="minorHAnsi"/>
          <w:iCs/>
          <w:sz w:val="22"/>
          <w:szCs w:val="22"/>
          <w:lang w:val="en-CA"/>
        </w:rPr>
        <w:t>suit</w:t>
      </w:r>
      <w:r w:rsidR="00BD34CB" w:rsidRPr="00DE4115">
        <w:rPr>
          <w:rFonts w:asciiTheme="minorHAnsi" w:hAnsiTheme="minorHAnsi" w:cstheme="minorHAnsi"/>
          <w:iCs/>
          <w:sz w:val="22"/>
          <w:szCs w:val="22"/>
          <w:lang w:val="en-CA"/>
        </w:rPr>
        <w:t xml:space="preserve"> the actuality</w:t>
      </w:r>
      <w:r w:rsidR="005023AB" w:rsidRPr="00DE4115">
        <w:rPr>
          <w:rFonts w:asciiTheme="minorHAnsi" w:hAnsiTheme="minorHAnsi" w:cstheme="minorHAnsi"/>
          <w:iCs/>
          <w:sz w:val="22"/>
          <w:szCs w:val="22"/>
          <w:lang w:val="en-CA"/>
        </w:rPr>
        <w:t xml:space="preserve"> </w:t>
      </w:r>
      <w:r w:rsidRPr="00DE4115">
        <w:rPr>
          <w:rFonts w:asciiTheme="minorHAnsi" w:hAnsiTheme="minorHAnsi" w:cstheme="minorHAnsi"/>
          <w:iCs/>
          <w:sz w:val="22"/>
          <w:szCs w:val="22"/>
          <w:lang w:val="en-CA"/>
        </w:rPr>
        <w:t>of this new organization</w:t>
      </w:r>
      <w:r w:rsidR="00B365E1" w:rsidRPr="00DE4115">
        <w:rPr>
          <w:rFonts w:asciiTheme="minorHAnsi" w:hAnsiTheme="minorHAnsi" w:cstheme="minorHAnsi"/>
          <w:iCs/>
          <w:sz w:val="22"/>
          <w:szCs w:val="22"/>
          <w:lang w:val="en-CA"/>
        </w:rPr>
        <w:t>.</w:t>
      </w:r>
    </w:p>
    <w:p w14:paraId="3AA06E70" w14:textId="77777777" w:rsidR="0003019D" w:rsidRPr="00DE4115" w:rsidRDefault="006D0134" w:rsidP="004652EA">
      <w:pPr>
        <w:pStyle w:val="Heading1"/>
        <w:spacing w:after="120"/>
        <w:rPr>
          <w:lang w:val="en-CA"/>
        </w:rPr>
      </w:pPr>
      <w:r w:rsidRPr="00DE4115">
        <w:rPr>
          <w:lang w:val="en-CA"/>
        </w:rPr>
        <w:lastRenderedPageBreak/>
        <w:t xml:space="preserve">Appointment Delegation and Accountability Instrument </w:t>
      </w:r>
      <w:r>
        <w:rPr>
          <w:lang w:val="en-CA"/>
        </w:rPr>
        <w:t>Annex D Reporting</w:t>
      </w:r>
      <w:r w:rsidR="000D4F67" w:rsidRPr="00DE4115">
        <w:rPr>
          <w:lang w:val="en-CA"/>
        </w:rPr>
        <w:t xml:space="preserve"> </w:t>
      </w:r>
    </w:p>
    <w:p w14:paraId="37B99B00" w14:textId="77777777" w:rsidR="0003019D" w:rsidRPr="009A024C" w:rsidRDefault="0071644F" w:rsidP="00B365E1">
      <w:pPr>
        <w:pStyle w:val="Heading2"/>
        <w:spacing w:after="120"/>
        <w:rPr>
          <w:lang w:val="en-CA"/>
        </w:rPr>
      </w:pPr>
      <w:r w:rsidRPr="009A024C">
        <w:rPr>
          <w:lang w:val="en-CA"/>
        </w:rPr>
        <w:t xml:space="preserve">Use of the </w:t>
      </w:r>
      <w:r w:rsidRPr="009A024C">
        <w:rPr>
          <w:rStyle w:val="Emphasis"/>
          <w:rFonts w:ascii="Segoe UI" w:hAnsi="Segoe UI"/>
          <w:sz w:val="32"/>
        </w:rPr>
        <w:t>Public Service Official Languages Exclusion Approval Order</w:t>
      </w:r>
      <w:r w:rsidRPr="009A024C">
        <w:rPr>
          <w:sz w:val="40"/>
          <w:lang w:val="en-CA"/>
        </w:rPr>
        <w:t xml:space="preserve"> </w:t>
      </w:r>
      <w:r w:rsidRPr="009A024C">
        <w:rPr>
          <w:lang w:val="en-CA"/>
        </w:rPr>
        <w:t xml:space="preserve">and the </w:t>
      </w:r>
      <w:r w:rsidRPr="009A024C">
        <w:rPr>
          <w:rStyle w:val="Emphasis"/>
          <w:rFonts w:ascii="Segoe UI" w:hAnsi="Segoe UI"/>
          <w:sz w:val="32"/>
        </w:rPr>
        <w:t>Public Service Official Languages Appointment Regulations</w:t>
      </w:r>
      <w:r w:rsidRPr="009A024C">
        <w:rPr>
          <w:lang w:val="en-CA"/>
        </w:rPr>
        <w:t xml:space="preserve"> </w:t>
      </w:r>
      <w:r w:rsidR="0003019D" w:rsidRPr="009A024C">
        <w:rPr>
          <w:lang w:val="en-CA"/>
        </w:rPr>
        <w:t xml:space="preserve"> </w:t>
      </w:r>
    </w:p>
    <w:p w14:paraId="667C2072" w14:textId="77777777" w:rsidR="0003019D" w:rsidRPr="00DE4115" w:rsidRDefault="0071644F" w:rsidP="004652EA">
      <w:pPr>
        <w:pStyle w:val="NormalWeb"/>
        <w:spacing w:before="0" w:beforeAutospacing="0" w:after="120" w:afterAutospacing="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 xml:space="preserve">WAGE was managing </w:t>
      </w:r>
      <w:r w:rsidR="00C51412" w:rsidRPr="00DE4115">
        <w:rPr>
          <w:rFonts w:asciiTheme="minorHAnsi" w:hAnsiTheme="minorHAnsi" w:cstheme="minorHAnsi"/>
          <w:color w:val="000000"/>
          <w:sz w:val="22"/>
          <w:szCs w:val="22"/>
          <w:lang w:val="en-CA"/>
        </w:rPr>
        <w:t xml:space="preserve">a </w:t>
      </w:r>
      <w:r w:rsidRPr="00DE4115">
        <w:rPr>
          <w:rFonts w:asciiTheme="minorHAnsi" w:hAnsiTheme="minorHAnsi" w:cstheme="minorHAnsi"/>
          <w:color w:val="000000"/>
          <w:sz w:val="22"/>
          <w:szCs w:val="22"/>
          <w:lang w:val="en-CA"/>
        </w:rPr>
        <w:t xml:space="preserve">case </w:t>
      </w:r>
      <w:r w:rsidR="00C51412" w:rsidRPr="00DE4115">
        <w:rPr>
          <w:rFonts w:asciiTheme="minorHAnsi" w:hAnsiTheme="minorHAnsi" w:cstheme="minorHAnsi"/>
          <w:color w:val="000000"/>
          <w:sz w:val="22"/>
          <w:szCs w:val="22"/>
          <w:lang w:val="en-CA"/>
        </w:rPr>
        <w:t>where</w:t>
      </w:r>
      <w:r w:rsidRPr="00DE4115">
        <w:rPr>
          <w:rFonts w:asciiTheme="minorHAnsi" w:hAnsiTheme="minorHAnsi" w:cstheme="minorHAnsi"/>
          <w:color w:val="000000"/>
          <w:sz w:val="22"/>
          <w:szCs w:val="22"/>
          <w:lang w:val="en-CA"/>
        </w:rPr>
        <w:t xml:space="preserve"> an individual was exempted from meeting the linguistic profile </w:t>
      </w:r>
      <w:r w:rsidR="00DB22D3" w:rsidRPr="00DE4115">
        <w:rPr>
          <w:rFonts w:asciiTheme="minorHAnsi" w:hAnsiTheme="minorHAnsi" w:cstheme="minorHAnsi"/>
          <w:color w:val="000000"/>
          <w:sz w:val="22"/>
          <w:szCs w:val="22"/>
          <w:lang w:val="en-CA"/>
        </w:rPr>
        <w:t xml:space="preserve">requirement </w:t>
      </w:r>
      <w:r w:rsidRPr="00DE4115">
        <w:rPr>
          <w:rFonts w:asciiTheme="minorHAnsi" w:hAnsiTheme="minorHAnsi" w:cstheme="minorHAnsi"/>
          <w:color w:val="000000"/>
          <w:sz w:val="22"/>
          <w:szCs w:val="22"/>
          <w:lang w:val="en-CA"/>
        </w:rPr>
        <w:t>of his/her bilingual position. The reason for exemption was the eligibility for an immediate annuity within two years of the non-imperative appointment. The individual submitted an irrevocable resignation and the departure date was September 4, 2019. Consequently, no follow-up is required by the PSC</w:t>
      </w:r>
      <w:r w:rsidR="00B365E1" w:rsidRPr="00DE4115">
        <w:rPr>
          <w:rFonts w:asciiTheme="minorHAnsi" w:hAnsiTheme="minorHAnsi" w:cstheme="minorHAnsi"/>
          <w:color w:val="000000"/>
          <w:sz w:val="22"/>
          <w:szCs w:val="22"/>
          <w:lang w:val="en-CA"/>
        </w:rPr>
        <w:t>.</w:t>
      </w:r>
    </w:p>
    <w:p w14:paraId="42F5A043" w14:textId="77777777" w:rsidR="00C52E11" w:rsidRPr="00C52E11" w:rsidRDefault="00C52E11" w:rsidP="00C52E11">
      <w:pPr>
        <w:pStyle w:val="Heading2"/>
        <w:spacing w:after="120"/>
        <w:rPr>
          <w:lang w:val="en-CA"/>
        </w:rPr>
      </w:pPr>
      <w:r w:rsidRPr="00C52E11">
        <w:rPr>
          <w:lang w:val="en-CA"/>
        </w:rPr>
        <w:t>Approved Deputy Head Exceptions to the National Area of Selection (NAOS) Requirements for an External Advertised Appointment Process</w:t>
      </w:r>
    </w:p>
    <w:p w14:paraId="641204ED" w14:textId="77777777" w:rsidR="0003019D" w:rsidRPr="00DE4115" w:rsidRDefault="00B817FB" w:rsidP="004652EA">
      <w:pPr>
        <w:pStyle w:val="NoSpacing"/>
        <w:spacing w:after="120"/>
        <w:rPr>
          <w:rFonts w:asciiTheme="minorHAnsi" w:hAnsiTheme="minorHAnsi" w:cstheme="minorHAnsi"/>
          <w:color w:val="222222"/>
          <w:sz w:val="22"/>
          <w:szCs w:val="22"/>
          <w:lang w:val="en-CA"/>
        </w:rPr>
      </w:pPr>
      <w:r w:rsidRPr="00DE4115">
        <w:rPr>
          <w:rFonts w:asciiTheme="minorHAnsi" w:hAnsiTheme="minorHAnsi" w:cstheme="minorHAnsi"/>
          <w:color w:val="000000"/>
          <w:sz w:val="22"/>
          <w:szCs w:val="22"/>
          <w:lang w:val="en-CA"/>
        </w:rPr>
        <w:t xml:space="preserve">According to the latest Annex D report (for </w:t>
      </w:r>
      <w:r w:rsidR="00FE3A46" w:rsidRPr="00DE4115">
        <w:rPr>
          <w:rFonts w:asciiTheme="minorHAnsi" w:hAnsiTheme="minorHAnsi" w:cstheme="minorHAnsi"/>
          <w:color w:val="000000"/>
          <w:sz w:val="22"/>
          <w:szCs w:val="22"/>
          <w:lang w:val="en-CA"/>
        </w:rPr>
        <w:t xml:space="preserve">the 2018–2019 </w:t>
      </w:r>
      <w:r w:rsidRPr="00DE4115">
        <w:rPr>
          <w:rFonts w:asciiTheme="minorHAnsi" w:hAnsiTheme="minorHAnsi" w:cstheme="minorHAnsi"/>
          <w:color w:val="000000"/>
          <w:sz w:val="22"/>
          <w:szCs w:val="22"/>
          <w:lang w:val="en-CA"/>
        </w:rPr>
        <w:t xml:space="preserve">cycle), no exception </w:t>
      </w:r>
      <w:r w:rsidR="008820F3" w:rsidRPr="00DE4115">
        <w:rPr>
          <w:rFonts w:asciiTheme="minorHAnsi" w:hAnsiTheme="minorHAnsi" w:cstheme="minorHAnsi"/>
          <w:color w:val="000000"/>
          <w:sz w:val="22"/>
          <w:szCs w:val="22"/>
          <w:lang w:val="en-CA"/>
        </w:rPr>
        <w:t xml:space="preserve">to </w:t>
      </w:r>
      <w:r w:rsidRPr="00DE4115">
        <w:rPr>
          <w:rFonts w:asciiTheme="minorHAnsi" w:hAnsiTheme="minorHAnsi" w:cstheme="minorHAnsi"/>
          <w:color w:val="000000"/>
          <w:sz w:val="22"/>
          <w:szCs w:val="22"/>
          <w:lang w:val="en-CA"/>
        </w:rPr>
        <w:t xml:space="preserve">use the National Area of Selection (NAOS) </w:t>
      </w:r>
      <w:r w:rsidR="008820F3" w:rsidRPr="00DE4115">
        <w:rPr>
          <w:rFonts w:asciiTheme="minorHAnsi" w:hAnsiTheme="minorHAnsi" w:cstheme="minorHAnsi"/>
          <w:color w:val="000000"/>
          <w:sz w:val="22"/>
          <w:szCs w:val="22"/>
          <w:lang w:val="en-CA"/>
        </w:rPr>
        <w:t xml:space="preserve">requirements </w:t>
      </w:r>
      <w:r w:rsidRPr="00DE4115">
        <w:rPr>
          <w:rFonts w:asciiTheme="minorHAnsi" w:hAnsiTheme="minorHAnsi" w:cstheme="minorHAnsi"/>
          <w:color w:val="000000"/>
          <w:sz w:val="22"/>
          <w:szCs w:val="22"/>
          <w:lang w:val="en-CA"/>
        </w:rPr>
        <w:t>for external advertised processes was approved by the DH</w:t>
      </w:r>
      <w:r w:rsidR="0003019D" w:rsidRPr="00DE4115">
        <w:rPr>
          <w:rFonts w:asciiTheme="minorHAnsi" w:hAnsiTheme="minorHAnsi" w:cstheme="minorHAnsi"/>
          <w:color w:val="000000"/>
          <w:sz w:val="22"/>
          <w:szCs w:val="22"/>
          <w:lang w:val="en-CA"/>
        </w:rPr>
        <w:t>.</w:t>
      </w:r>
      <w:r w:rsidR="00FE3A46" w:rsidRPr="00DE4115">
        <w:rPr>
          <w:rFonts w:asciiTheme="minorHAnsi" w:hAnsiTheme="minorHAnsi" w:cstheme="minorHAnsi"/>
          <w:color w:val="000000"/>
          <w:sz w:val="22"/>
          <w:szCs w:val="22"/>
          <w:lang w:val="en-CA"/>
        </w:rPr>
        <w:t xml:space="preserve"> </w:t>
      </w:r>
    </w:p>
    <w:p w14:paraId="2253E917" w14:textId="77777777" w:rsidR="003D6820" w:rsidRPr="003D6820" w:rsidRDefault="003D6820" w:rsidP="003D6820">
      <w:pPr>
        <w:pStyle w:val="Heading2"/>
        <w:spacing w:after="120"/>
        <w:rPr>
          <w:lang w:val="en-CA"/>
        </w:rPr>
      </w:pPr>
      <w:r w:rsidRPr="003D6820">
        <w:rPr>
          <w:lang w:val="en-CA"/>
        </w:rPr>
        <w:t>Results of Organizational Cyclical Assessment</w:t>
      </w:r>
    </w:p>
    <w:p w14:paraId="0821EDE7" w14:textId="77777777" w:rsidR="0003019D" w:rsidRPr="00DE4115" w:rsidRDefault="00986C86" w:rsidP="006D0134">
      <w:pPr>
        <w:pStyle w:val="NoSpacing"/>
        <w:spacing w:after="120"/>
        <w:rPr>
          <w:rFonts w:asciiTheme="minorHAnsi" w:hAnsiTheme="minorHAnsi" w:cstheme="minorHAnsi"/>
          <w:i/>
          <w:color w:val="000000"/>
          <w:sz w:val="22"/>
          <w:szCs w:val="22"/>
          <w:lang w:val="en-CA"/>
        </w:rPr>
      </w:pPr>
      <w:r w:rsidRPr="00DE4115">
        <w:rPr>
          <w:rFonts w:asciiTheme="minorHAnsi" w:hAnsiTheme="minorHAnsi" w:cstheme="minorHAnsi"/>
          <w:color w:val="000000"/>
          <w:sz w:val="22"/>
          <w:szCs w:val="22"/>
          <w:lang w:val="en-CA"/>
        </w:rPr>
        <w:t xml:space="preserve">To date, WAGE has not reported on the cyclical assessment. However, the organization has until March 31, 2021, to complete the assessment. The organization has opted not to participate in the PSC pilot project for small and micro organizations </w:t>
      </w:r>
      <w:r w:rsidR="001B64D6" w:rsidRPr="00DE4115">
        <w:rPr>
          <w:rFonts w:asciiTheme="minorHAnsi" w:hAnsiTheme="minorHAnsi" w:cstheme="minorHAnsi"/>
          <w:color w:val="000000"/>
          <w:sz w:val="22"/>
          <w:szCs w:val="22"/>
          <w:lang w:val="en-CA"/>
        </w:rPr>
        <w:t>for the time being</w:t>
      </w:r>
      <w:r w:rsidRPr="00DE4115">
        <w:rPr>
          <w:rFonts w:asciiTheme="minorHAnsi" w:hAnsiTheme="minorHAnsi" w:cstheme="minorHAnsi"/>
          <w:color w:val="000000"/>
          <w:sz w:val="22"/>
          <w:szCs w:val="22"/>
          <w:lang w:val="en-CA"/>
        </w:rPr>
        <w:t>. The PSC’s Staffing Support Advisor assigned to this organization remains available to provide advice and guidance on this topic.</w:t>
      </w:r>
    </w:p>
    <w:p w14:paraId="18B06287" w14:textId="77777777" w:rsidR="0003019D" w:rsidRPr="00DE4115" w:rsidRDefault="002E1F78" w:rsidP="00B365E1">
      <w:pPr>
        <w:pStyle w:val="Heading2"/>
        <w:spacing w:after="120"/>
        <w:rPr>
          <w:lang w:val="en-CA"/>
        </w:rPr>
      </w:pPr>
      <w:r>
        <w:rPr>
          <w:lang w:val="en-CA"/>
        </w:rPr>
        <w:t>Inquiries and T</w:t>
      </w:r>
      <w:r w:rsidR="00D64F0E" w:rsidRPr="00DE4115">
        <w:rPr>
          <w:lang w:val="en-CA"/>
        </w:rPr>
        <w:t>rends</w:t>
      </w:r>
    </w:p>
    <w:p w14:paraId="41C0A3F1" w14:textId="77777777" w:rsidR="0003019D" w:rsidRPr="00DE4115" w:rsidRDefault="00D64F0E" w:rsidP="004652EA">
      <w:pPr>
        <w:pStyle w:val="NoSpacing"/>
        <w:keepNext/>
        <w:spacing w:after="12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 xml:space="preserve">The majority of inquiries </w:t>
      </w:r>
      <w:r w:rsidR="001B64D6" w:rsidRPr="00DE4115">
        <w:rPr>
          <w:rFonts w:asciiTheme="minorHAnsi" w:hAnsiTheme="minorHAnsi" w:cstheme="minorHAnsi"/>
          <w:color w:val="000000"/>
          <w:sz w:val="22"/>
          <w:szCs w:val="22"/>
          <w:lang w:val="en-CA"/>
        </w:rPr>
        <w:t xml:space="preserve">submitted </w:t>
      </w:r>
      <w:r w:rsidRPr="00DE4115">
        <w:rPr>
          <w:rFonts w:asciiTheme="minorHAnsi" w:hAnsiTheme="minorHAnsi" w:cstheme="minorHAnsi"/>
          <w:color w:val="000000"/>
          <w:sz w:val="22"/>
          <w:szCs w:val="22"/>
          <w:lang w:val="en-CA"/>
        </w:rPr>
        <w:t xml:space="preserve">by WAGE to the PSC’s Staffing Support Advisor over the past year were related to the </w:t>
      </w:r>
      <w:r w:rsidRPr="006D0134">
        <w:rPr>
          <w:rStyle w:val="Emphasis"/>
          <w:sz w:val="22"/>
        </w:rPr>
        <w:t>Public Service Employment Act</w:t>
      </w:r>
      <w:r w:rsidRPr="006D0134">
        <w:rPr>
          <w:rStyle w:val="Emphasis"/>
          <w:rFonts w:cstheme="minorHAnsi"/>
          <w:sz w:val="28"/>
        </w:rPr>
        <w:t xml:space="preserve"> </w:t>
      </w:r>
      <w:r w:rsidRPr="00DE4115">
        <w:rPr>
          <w:rFonts w:asciiTheme="minorHAnsi" w:hAnsiTheme="minorHAnsi" w:cstheme="minorHAnsi"/>
          <w:color w:val="000000"/>
          <w:sz w:val="22"/>
          <w:szCs w:val="22"/>
          <w:lang w:val="en-CA"/>
        </w:rPr>
        <w:t xml:space="preserve">(PSEA). Other questions </w:t>
      </w:r>
      <w:r w:rsidR="001B64D6" w:rsidRPr="00DE4115">
        <w:rPr>
          <w:rFonts w:asciiTheme="minorHAnsi" w:hAnsiTheme="minorHAnsi" w:cstheme="minorHAnsi"/>
          <w:color w:val="000000"/>
          <w:sz w:val="22"/>
          <w:szCs w:val="22"/>
          <w:lang w:val="en-CA"/>
        </w:rPr>
        <w:t>had to do with</w:t>
      </w:r>
      <w:r w:rsidRPr="00DE4115">
        <w:rPr>
          <w:rFonts w:asciiTheme="minorHAnsi" w:hAnsiTheme="minorHAnsi" w:cstheme="minorHAnsi"/>
          <w:color w:val="000000"/>
          <w:sz w:val="22"/>
          <w:szCs w:val="22"/>
          <w:lang w:val="en-CA"/>
        </w:rPr>
        <w:t xml:space="preserve"> acting appointments, official languages, area of selection and </w:t>
      </w:r>
      <w:r w:rsidR="001B64D6" w:rsidRPr="00DE4115">
        <w:rPr>
          <w:rFonts w:asciiTheme="minorHAnsi" w:hAnsiTheme="minorHAnsi" w:cstheme="minorHAnsi"/>
          <w:color w:val="000000"/>
          <w:sz w:val="22"/>
          <w:szCs w:val="22"/>
          <w:lang w:val="en-CA"/>
        </w:rPr>
        <w:t xml:space="preserve">qualified candidate </w:t>
      </w:r>
      <w:r w:rsidRPr="00DE4115">
        <w:rPr>
          <w:rFonts w:asciiTheme="minorHAnsi" w:hAnsiTheme="minorHAnsi" w:cstheme="minorHAnsi"/>
          <w:color w:val="000000"/>
          <w:sz w:val="22"/>
          <w:szCs w:val="22"/>
          <w:lang w:val="en-CA"/>
        </w:rPr>
        <w:t>pool management.</w:t>
      </w:r>
    </w:p>
    <w:p w14:paraId="165E38A8" w14:textId="77777777" w:rsidR="0003019D" w:rsidRPr="00DE4115" w:rsidRDefault="00D64F0E" w:rsidP="004652EA">
      <w:pPr>
        <w:pStyle w:val="Heading1"/>
        <w:spacing w:after="120"/>
        <w:rPr>
          <w:lang w:val="en-CA"/>
        </w:rPr>
      </w:pPr>
      <w:r w:rsidRPr="00DE4115">
        <w:rPr>
          <w:lang w:val="en-CA"/>
        </w:rPr>
        <w:t>Oversight</w:t>
      </w:r>
    </w:p>
    <w:p w14:paraId="37B05248" w14:textId="77777777" w:rsidR="0003019D" w:rsidRPr="00DE4115" w:rsidRDefault="00D64F0E" w:rsidP="00B365E1">
      <w:pPr>
        <w:pStyle w:val="Heading2"/>
        <w:spacing w:after="120"/>
        <w:rPr>
          <w:u w:val="single"/>
          <w:lang w:val="en-CA"/>
        </w:rPr>
      </w:pPr>
      <w:r w:rsidRPr="00DE4115">
        <w:rPr>
          <w:lang w:val="en-CA"/>
        </w:rPr>
        <w:t>Audits</w:t>
      </w:r>
      <w:r w:rsidR="0003019D" w:rsidRPr="00DE4115">
        <w:rPr>
          <w:lang w:val="en-CA"/>
        </w:rPr>
        <w:t xml:space="preserve"> </w:t>
      </w:r>
    </w:p>
    <w:p w14:paraId="0251786A" w14:textId="77777777" w:rsidR="0003019D" w:rsidRPr="00DE4115" w:rsidRDefault="00D64F0E" w:rsidP="004652EA">
      <w:pPr>
        <w:spacing w:after="120"/>
        <w:rPr>
          <w:rFonts w:ascii="Segoe UI Semilight" w:hAnsi="Segoe UI Semilight" w:cs="Segoe UI Semilight"/>
          <w:sz w:val="22"/>
          <w:szCs w:val="22"/>
          <w:lang w:val="en-CA"/>
        </w:rPr>
      </w:pPr>
      <w:r w:rsidRPr="00DE4115">
        <w:rPr>
          <w:rFonts w:ascii="Segoe UI Semilight" w:hAnsi="Segoe UI Semilight" w:cs="Segoe UI Semilight"/>
          <w:sz w:val="22"/>
          <w:szCs w:val="22"/>
          <w:lang w:val="en-CA"/>
        </w:rPr>
        <w:t>In 2014</w:t>
      </w:r>
      <w:r w:rsidR="004354CC" w:rsidRPr="00DE4115">
        <w:rPr>
          <w:rFonts w:ascii="Segoe UI Semilight" w:hAnsi="Segoe UI Semilight" w:cs="Segoe UI Semilight"/>
          <w:sz w:val="22"/>
          <w:szCs w:val="22"/>
          <w:lang w:val="en-CA"/>
        </w:rPr>
        <w:t>–</w:t>
      </w:r>
      <w:r w:rsidRPr="00DE4115">
        <w:rPr>
          <w:rFonts w:ascii="Segoe UI Semilight" w:hAnsi="Segoe UI Semilight" w:cs="Segoe UI Semilight"/>
          <w:sz w:val="22"/>
          <w:szCs w:val="22"/>
          <w:lang w:val="en-CA"/>
        </w:rPr>
        <w:t xml:space="preserve">2015, WAGE was audited by the PSC as part of a series of audits of small and micro organizations. The audit focused on commonly reported risk areas for organizations of this size, such as </w:t>
      </w:r>
      <w:r w:rsidR="00FC623A" w:rsidRPr="00DE4115">
        <w:rPr>
          <w:rFonts w:ascii="Segoe UI Semilight" w:hAnsi="Segoe UI Semilight" w:cs="Segoe UI Semilight"/>
          <w:sz w:val="22"/>
          <w:szCs w:val="22"/>
          <w:lang w:val="en-CA"/>
        </w:rPr>
        <w:t xml:space="preserve">authority </w:t>
      </w:r>
      <w:r w:rsidRPr="00DE4115">
        <w:rPr>
          <w:rFonts w:ascii="Segoe UI Semilight" w:hAnsi="Segoe UI Semilight" w:cs="Segoe UI Semilight"/>
          <w:sz w:val="22"/>
          <w:szCs w:val="22"/>
          <w:lang w:val="en-CA"/>
        </w:rPr>
        <w:t>sub-delegation</w:t>
      </w:r>
      <w:r w:rsidR="00427CA0" w:rsidRPr="00DE4115">
        <w:rPr>
          <w:rFonts w:ascii="Segoe UI Semilight" w:hAnsi="Segoe UI Semilight" w:cs="Segoe UI Semilight"/>
          <w:sz w:val="22"/>
          <w:szCs w:val="22"/>
          <w:lang w:val="en-CA"/>
        </w:rPr>
        <w:t xml:space="preserve"> </w:t>
      </w:r>
      <w:r w:rsidRPr="00DE4115">
        <w:rPr>
          <w:rFonts w:ascii="Segoe UI Semilight" w:hAnsi="Segoe UI Semilight" w:cs="Segoe UI Semilight"/>
          <w:sz w:val="22"/>
          <w:szCs w:val="22"/>
          <w:lang w:val="en-CA"/>
        </w:rPr>
        <w:t xml:space="preserve">and merit. The audit concluded, among other things, that appointment authorities were </w:t>
      </w:r>
      <w:r w:rsidR="00427CA0" w:rsidRPr="00DE4115">
        <w:rPr>
          <w:rFonts w:ascii="Segoe UI Semilight" w:hAnsi="Segoe UI Semilight" w:cs="Segoe UI Semilight"/>
          <w:sz w:val="22"/>
          <w:szCs w:val="22"/>
          <w:lang w:val="en-CA"/>
        </w:rPr>
        <w:t xml:space="preserve">properly </w:t>
      </w:r>
      <w:r w:rsidRPr="00DE4115">
        <w:rPr>
          <w:rFonts w:ascii="Segoe UI Semilight" w:hAnsi="Segoe UI Semilight" w:cs="Segoe UI Semilight"/>
          <w:sz w:val="22"/>
          <w:szCs w:val="22"/>
          <w:lang w:val="en-CA"/>
        </w:rPr>
        <w:t xml:space="preserve">managed and appointments were based on merit and respected priority entitlements. No recommendations were </w:t>
      </w:r>
      <w:r w:rsidR="00484EAA" w:rsidRPr="00DE4115">
        <w:rPr>
          <w:rFonts w:ascii="Segoe UI Semilight" w:hAnsi="Segoe UI Semilight" w:cs="Segoe UI Semilight"/>
          <w:sz w:val="22"/>
          <w:szCs w:val="22"/>
          <w:lang w:val="en-CA"/>
        </w:rPr>
        <w:t>issued</w:t>
      </w:r>
      <w:r w:rsidR="0003019D" w:rsidRPr="00DE4115">
        <w:rPr>
          <w:rFonts w:ascii="Segoe UI Semilight" w:hAnsi="Segoe UI Semilight" w:cs="Segoe UI Semilight"/>
          <w:sz w:val="22"/>
          <w:szCs w:val="22"/>
          <w:lang w:val="en-CA"/>
        </w:rPr>
        <w:t>.</w:t>
      </w:r>
      <w:r w:rsidR="004354CC" w:rsidRPr="00DE4115">
        <w:rPr>
          <w:rFonts w:ascii="Segoe UI Semilight" w:hAnsi="Segoe UI Semilight" w:cs="Segoe UI Semilight"/>
          <w:sz w:val="22"/>
          <w:szCs w:val="22"/>
          <w:lang w:val="en-CA"/>
        </w:rPr>
        <w:t xml:space="preserve"> </w:t>
      </w:r>
    </w:p>
    <w:p w14:paraId="0A852F56" w14:textId="77777777" w:rsidR="00484EAA" w:rsidRPr="00DE4115" w:rsidRDefault="00484EAA" w:rsidP="004652EA">
      <w:pPr>
        <w:spacing w:after="120"/>
        <w:rPr>
          <w:rFonts w:ascii="Segoe UI Semilight" w:hAnsi="Segoe UI Semilight" w:cs="Segoe UI Semilight"/>
          <w:sz w:val="22"/>
          <w:szCs w:val="22"/>
          <w:lang w:val="en-CA"/>
        </w:rPr>
      </w:pPr>
      <w:r w:rsidRPr="00DE4115">
        <w:rPr>
          <w:rFonts w:ascii="Segoe UI Semilight" w:hAnsi="Segoe UI Semilight" w:cs="Segoe UI Semilight"/>
          <w:sz w:val="22"/>
          <w:szCs w:val="22"/>
          <w:lang w:val="en-CA"/>
        </w:rPr>
        <w:t>WAGE was selected to be part of the Horizontal Audit of Student Hiring under the Federal Student Work Experience Program (FSWEP).</w:t>
      </w:r>
    </w:p>
    <w:p w14:paraId="3275ABE5" w14:textId="77777777" w:rsidR="0003019D" w:rsidRPr="00DE4115" w:rsidRDefault="00484EAA" w:rsidP="00B365E1">
      <w:pPr>
        <w:pStyle w:val="Heading2"/>
        <w:spacing w:after="120"/>
        <w:rPr>
          <w:u w:val="single"/>
          <w:lang w:val="en-CA"/>
        </w:rPr>
      </w:pPr>
      <w:r w:rsidRPr="00DE4115">
        <w:rPr>
          <w:lang w:val="en-CA"/>
        </w:rPr>
        <w:lastRenderedPageBreak/>
        <w:t>Investigations</w:t>
      </w:r>
    </w:p>
    <w:p w14:paraId="67503CC2" w14:textId="77777777" w:rsidR="0003019D" w:rsidRPr="00DE4115" w:rsidRDefault="00484EAA" w:rsidP="004652EA">
      <w:pPr>
        <w:pStyle w:val="NoSpacing"/>
        <w:spacing w:after="120"/>
        <w:rPr>
          <w:rFonts w:asciiTheme="minorHAnsi" w:hAnsiTheme="minorHAnsi" w:cstheme="minorHAnsi"/>
          <w:color w:val="000000"/>
          <w:sz w:val="22"/>
          <w:szCs w:val="22"/>
          <w:lang w:val="en-CA"/>
        </w:rPr>
      </w:pPr>
      <w:r w:rsidRPr="00DE4115">
        <w:rPr>
          <w:rFonts w:asciiTheme="minorHAnsi" w:hAnsiTheme="minorHAnsi" w:cstheme="minorHAnsi"/>
          <w:color w:val="000000"/>
          <w:sz w:val="22"/>
          <w:szCs w:val="22"/>
          <w:lang w:val="en-CA"/>
        </w:rPr>
        <w:t>No investigations to report for WAGE.</w:t>
      </w:r>
      <w:r w:rsidR="00046812" w:rsidRPr="00DE4115">
        <w:rPr>
          <w:rFonts w:asciiTheme="minorHAnsi" w:hAnsiTheme="minorHAnsi" w:cstheme="minorHAnsi"/>
          <w:color w:val="000000"/>
          <w:sz w:val="22"/>
          <w:szCs w:val="22"/>
          <w:lang w:val="en-CA"/>
        </w:rPr>
        <w:t xml:space="preserve"> </w:t>
      </w:r>
    </w:p>
    <w:p w14:paraId="0C37C17F" w14:textId="77777777" w:rsidR="0003019D" w:rsidRPr="00DE4115" w:rsidRDefault="002E1F78" w:rsidP="00B365E1">
      <w:pPr>
        <w:pStyle w:val="Heading2"/>
        <w:spacing w:after="120"/>
        <w:rPr>
          <w:u w:val="single"/>
          <w:lang w:val="en-CA"/>
        </w:rPr>
      </w:pPr>
      <w:r>
        <w:rPr>
          <w:lang w:val="en-CA"/>
        </w:rPr>
        <w:t>Staffing and N</w:t>
      </w:r>
      <w:r w:rsidR="00484EAA" w:rsidRPr="00DE4115">
        <w:rPr>
          <w:lang w:val="en-CA"/>
        </w:rPr>
        <w:t>on-</w:t>
      </w:r>
      <w:r>
        <w:rPr>
          <w:lang w:val="en-CA"/>
        </w:rPr>
        <w:t>P</w:t>
      </w:r>
      <w:r w:rsidR="00484EAA" w:rsidRPr="00DE4115">
        <w:rPr>
          <w:lang w:val="en-CA"/>
        </w:rPr>
        <w:t xml:space="preserve">artisanship </w:t>
      </w:r>
      <w:r>
        <w:rPr>
          <w:lang w:val="en-CA"/>
        </w:rPr>
        <w:t>S</w:t>
      </w:r>
      <w:r w:rsidR="00484EAA" w:rsidRPr="00DE4115">
        <w:rPr>
          <w:lang w:val="en-CA"/>
        </w:rPr>
        <w:t xml:space="preserve">urvey </w:t>
      </w:r>
      <w:r>
        <w:rPr>
          <w:lang w:val="en-CA"/>
        </w:rPr>
        <w:t>R</w:t>
      </w:r>
      <w:r w:rsidR="00484EAA" w:rsidRPr="00DE4115">
        <w:rPr>
          <w:lang w:val="en-CA"/>
        </w:rPr>
        <w:t>esults</w:t>
      </w:r>
    </w:p>
    <w:p w14:paraId="5206ED38" w14:textId="77777777" w:rsidR="0003019D" w:rsidRPr="00DE4115" w:rsidRDefault="00E12B5B" w:rsidP="004652EA">
      <w:pPr>
        <w:pStyle w:val="ListParagraph"/>
        <w:spacing w:after="120"/>
        <w:contextualSpacing w:val="0"/>
        <w:rPr>
          <w:rFonts w:asciiTheme="minorHAnsi" w:hAnsiTheme="minorHAnsi" w:cstheme="minorHAnsi"/>
          <w:sz w:val="22"/>
          <w:szCs w:val="22"/>
          <w:lang w:val="en-CA" w:eastAsia="en-CA"/>
        </w:rPr>
      </w:pPr>
      <w:r w:rsidRPr="00DE4115">
        <w:rPr>
          <w:rFonts w:asciiTheme="minorHAnsi" w:hAnsiTheme="minorHAnsi" w:cstheme="minorHAnsi"/>
          <w:color w:val="222222"/>
          <w:sz w:val="22"/>
          <w:szCs w:val="22"/>
          <w:lang w:val="en-CA"/>
        </w:rPr>
        <w:t>WAGE’s participation rate in the 2018 Staffing and Non-Partisanship Survey (SNPS) was 38.7%. The average rate for all 74 participating depar</w:t>
      </w:r>
      <w:r w:rsidR="004652EA">
        <w:rPr>
          <w:rFonts w:asciiTheme="minorHAnsi" w:hAnsiTheme="minorHAnsi" w:cstheme="minorHAnsi"/>
          <w:color w:val="222222"/>
          <w:sz w:val="22"/>
          <w:szCs w:val="22"/>
          <w:lang w:val="en-CA"/>
        </w:rPr>
        <w:t>tments and agencies was 47.6%.</w:t>
      </w:r>
    </w:p>
    <w:p w14:paraId="6EC74D24" w14:textId="77777777" w:rsidR="0003019D" w:rsidRPr="00DE4115" w:rsidRDefault="00E12B5B" w:rsidP="0003019D">
      <w:pPr>
        <w:pStyle w:val="ListParagraph"/>
        <w:spacing w:after="0"/>
        <w:rPr>
          <w:rFonts w:asciiTheme="minorHAnsi" w:hAnsiTheme="minorHAnsi" w:cstheme="minorHAnsi"/>
          <w:sz w:val="22"/>
          <w:szCs w:val="22"/>
          <w:lang w:val="en-CA"/>
        </w:rPr>
      </w:pPr>
      <w:r w:rsidRPr="00DE4115">
        <w:rPr>
          <w:rFonts w:asciiTheme="minorHAnsi" w:hAnsiTheme="minorHAnsi" w:cstheme="minorHAnsi"/>
          <w:sz w:val="22"/>
          <w:szCs w:val="22"/>
          <w:lang w:val="en-CA"/>
        </w:rPr>
        <w:t>The following are key findings from WAGE’s 2018 SNPS results</w:t>
      </w:r>
      <w:r w:rsidR="004652EA">
        <w:rPr>
          <w:rFonts w:asciiTheme="minorHAnsi" w:hAnsiTheme="minorHAnsi" w:cstheme="minorHAnsi"/>
          <w:sz w:val="22"/>
          <w:szCs w:val="22"/>
          <w:lang w:val="en-CA"/>
        </w:rPr>
        <w:t>:</w:t>
      </w:r>
    </w:p>
    <w:p w14:paraId="6EE74913" w14:textId="77777777" w:rsidR="0003019D" w:rsidRPr="004652EA" w:rsidRDefault="00E12B5B" w:rsidP="00E12B5B">
      <w:pPr>
        <w:numPr>
          <w:ilvl w:val="0"/>
          <w:numId w:val="8"/>
        </w:numPr>
        <w:rPr>
          <w:rFonts w:asciiTheme="minorHAnsi" w:hAnsiTheme="minorHAnsi" w:cstheme="minorHAnsi"/>
          <w:sz w:val="22"/>
          <w:szCs w:val="22"/>
          <w:lang w:val="en-CA"/>
        </w:rPr>
      </w:pPr>
      <w:r w:rsidRPr="004652EA">
        <w:rPr>
          <w:rFonts w:asciiTheme="minorHAnsi" w:hAnsiTheme="minorHAnsi" w:cstheme="minorHAnsi"/>
          <w:sz w:val="22"/>
          <w:szCs w:val="22"/>
          <w:lang w:val="en-CA"/>
        </w:rPr>
        <w:t xml:space="preserve">65.4% of </w:t>
      </w:r>
      <w:r w:rsidRPr="004652EA">
        <w:rPr>
          <w:rStyle w:val="Strong"/>
        </w:rPr>
        <w:t>employees</w:t>
      </w:r>
      <w:r w:rsidRPr="004652EA">
        <w:rPr>
          <w:rFonts w:asciiTheme="minorHAnsi" w:hAnsiTheme="minorHAnsi" w:cstheme="minorHAnsi"/>
          <w:sz w:val="22"/>
          <w:szCs w:val="22"/>
          <w:lang w:val="en-CA"/>
        </w:rPr>
        <w:t xml:space="preserve"> agreed that the people hired are capable of doing the job, compared </w:t>
      </w:r>
      <w:r w:rsidR="00FC623A" w:rsidRPr="004652EA">
        <w:rPr>
          <w:rFonts w:asciiTheme="minorHAnsi" w:hAnsiTheme="minorHAnsi" w:cstheme="minorHAnsi"/>
          <w:sz w:val="22"/>
          <w:szCs w:val="22"/>
          <w:lang w:val="en-CA"/>
        </w:rPr>
        <w:t xml:space="preserve">with </w:t>
      </w:r>
      <w:r w:rsidRPr="004652EA">
        <w:rPr>
          <w:rFonts w:asciiTheme="minorHAnsi" w:hAnsiTheme="minorHAnsi" w:cstheme="minorHAnsi"/>
          <w:sz w:val="22"/>
          <w:szCs w:val="22"/>
          <w:lang w:val="en-CA"/>
        </w:rPr>
        <w:t>67.1% in similar</w:t>
      </w:r>
      <w:r w:rsidR="00FC623A" w:rsidRPr="004652EA">
        <w:rPr>
          <w:rFonts w:asciiTheme="minorHAnsi" w:hAnsiTheme="minorHAnsi" w:cstheme="minorHAnsi"/>
          <w:sz w:val="22"/>
          <w:szCs w:val="22"/>
          <w:lang w:val="en-CA"/>
        </w:rPr>
        <w:t>-</w:t>
      </w:r>
      <w:r w:rsidRPr="004652EA">
        <w:rPr>
          <w:rFonts w:asciiTheme="minorHAnsi" w:hAnsiTheme="minorHAnsi" w:cstheme="minorHAnsi"/>
          <w:sz w:val="22"/>
          <w:szCs w:val="22"/>
          <w:lang w:val="en-CA"/>
        </w:rPr>
        <w:t>size organizations and 53.8% across all organizations in the federal public service</w:t>
      </w:r>
      <w:r w:rsidR="0003019D" w:rsidRPr="004652EA">
        <w:rPr>
          <w:rFonts w:asciiTheme="minorHAnsi" w:hAnsiTheme="minorHAnsi" w:cstheme="minorHAnsi"/>
          <w:sz w:val="22"/>
          <w:szCs w:val="22"/>
          <w:lang w:val="en-CA"/>
        </w:rPr>
        <w:t>.</w:t>
      </w:r>
    </w:p>
    <w:p w14:paraId="39EB466E" w14:textId="77777777" w:rsidR="0003019D" w:rsidRPr="004652EA" w:rsidRDefault="00E12B5B" w:rsidP="00E12B5B">
      <w:pPr>
        <w:pStyle w:val="ListParagraph"/>
        <w:numPr>
          <w:ilvl w:val="0"/>
          <w:numId w:val="8"/>
        </w:numPr>
        <w:autoSpaceDE w:val="0"/>
        <w:autoSpaceDN w:val="0"/>
        <w:adjustRightInd w:val="0"/>
        <w:spacing w:after="0"/>
        <w:rPr>
          <w:rFonts w:asciiTheme="minorHAnsi" w:hAnsiTheme="minorHAnsi" w:cstheme="minorHAnsi"/>
          <w:sz w:val="22"/>
          <w:szCs w:val="22"/>
          <w:lang w:val="en-CA"/>
        </w:rPr>
      </w:pPr>
      <w:r w:rsidRPr="004652EA">
        <w:rPr>
          <w:rFonts w:asciiTheme="minorHAnsi" w:hAnsiTheme="minorHAnsi" w:cstheme="minorHAnsi"/>
          <w:sz w:val="22"/>
          <w:szCs w:val="22"/>
          <w:lang w:val="en-CA"/>
        </w:rPr>
        <w:t xml:space="preserve">48.9% of </w:t>
      </w:r>
      <w:r w:rsidRPr="004652EA">
        <w:rPr>
          <w:rStyle w:val="Strong"/>
        </w:rPr>
        <w:t>managers</w:t>
      </w:r>
      <w:r w:rsidRPr="004652EA">
        <w:rPr>
          <w:rFonts w:asciiTheme="minorHAnsi" w:hAnsiTheme="minorHAnsi" w:cstheme="minorHAnsi"/>
          <w:b/>
          <w:sz w:val="22"/>
          <w:szCs w:val="22"/>
          <w:lang w:val="en-CA"/>
        </w:rPr>
        <w:t xml:space="preserve"> </w:t>
      </w:r>
      <w:r w:rsidRPr="004652EA">
        <w:rPr>
          <w:rFonts w:asciiTheme="minorHAnsi" w:hAnsiTheme="minorHAnsi" w:cstheme="minorHAnsi"/>
          <w:sz w:val="22"/>
          <w:szCs w:val="22"/>
          <w:lang w:val="en-CA"/>
        </w:rPr>
        <w:t xml:space="preserve">agreed that the New Direction in Staffing has improved the way they hire and appoint persons to and within their organization, compared </w:t>
      </w:r>
      <w:r w:rsidR="00914B95" w:rsidRPr="004652EA">
        <w:rPr>
          <w:rFonts w:asciiTheme="minorHAnsi" w:hAnsiTheme="minorHAnsi" w:cstheme="minorHAnsi"/>
          <w:sz w:val="22"/>
          <w:szCs w:val="22"/>
          <w:lang w:val="en-CA"/>
        </w:rPr>
        <w:t xml:space="preserve">with </w:t>
      </w:r>
      <w:r w:rsidRPr="004652EA">
        <w:rPr>
          <w:rFonts w:asciiTheme="minorHAnsi" w:hAnsiTheme="minorHAnsi" w:cstheme="minorHAnsi"/>
          <w:sz w:val="22"/>
          <w:szCs w:val="22"/>
          <w:lang w:val="en-CA"/>
        </w:rPr>
        <w:t>69.7% in similar</w:t>
      </w:r>
      <w:r w:rsidR="00914B95" w:rsidRPr="004652EA">
        <w:rPr>
          <w:rFonts w:asciiTheme="minorHAnsi" w:hAnsiTheme="minorHAnsi" w:cstheme="minorHAnsi"/>
          <w:sz w:val="22"/>
          <w:szCs w:val="22"/>
          <w:lang w:val="en-CA"/>
        </w:rPr>
        <w:t>-</w:t>
      </w:r>
      <w:r w:rsidRPr="004652EA">
        <w:rPr>
          <w:rFonts w:asciiTheme="minorHAnsi" w:hAnsiTheme="minorHAnsi" w:cstheme="minorHAnsi"/>
          <w:sz w:val="22"/>
          <w:szCs w:val="22"/>
          <w:lang w:val="en-CA"/>
        </w:rPr>
        <w:t>size organizations and 56.1% across all organizations in the federal public service</w:t>
      </w:r>
      <w:r w:rsidR="0003019D" w:rsidRPr="004652EA">
        <w:rPr>
          <w:rFonts w:asciiTheme="minorHAnsi" w:hAnsiTheme="minorHAnsi" w:cstheme="minorHAnsi"/>
          <w:sz w:val="22"/>
          <w:szCs w:val="22"/>
          <w:lang w:val="en-CA"/>
        </w:rPr>
        <w:t>.</w:t>
      </w:r>
    </w:p>
    <w:p w14:paraId="11F9AC6D" w14:textId="77777777" w:rsidR="0003019D" w:rsidRPr="004652EA" w:rsidRDefault="00E12B5B" w:rsidP="004652EA">
      <w:pPr>
        <w:pStyle w:val="ListParagraph"/>
        <w:numPr>
          <w:ilvl w:val="0"/>
          <w:numId w:val="8"/>
        </w:numPr>
        <w:autoSpaceDE w:val="0"/>
        <w:autoSpaceDN w:val="0"/>
        <w:adjustRightInd w:val="0"/>
        <w:spacing w:after="120"/>
        <w:rPr>
          <w:rFonts w:asciiTheme="minorHAnsi" w:hAnsiTheme="minorHAnsi" w:cstheme="minorHAnsi"/>
          <w:sz w:val="22"/>
          <w:szCs w:val="22"/>
          <w:lang w:val="en-CA"/>
        </w:rPr>
      </w:pPr>
      <w:r w:rsidRPr="004652EA">
        <w:rPr>
          <w:rFonts w:asciiTheme="minorHAnsi" w:hAnsiTheme="minorHAnsi" w:cstheme="minorHAnsi"/>
          <w:sz w:val="22"/>
          <w:szCs w:val="22"/>
          <w:lang w:val="en-CA"/>
        </w:rPr>
        <w:t xml:space="preserve">80.3% of </w:t>
      </w:r>
      <w:r w:rsidRPr="004652EA">
        <w:rPr>
          <w:rStyle w:val="Strong"/>
        </w:rPr>
        <w:t>managers</w:t>
      </w:r>
      <w:r w:rsidRPr="004652EA">
        <w:rPr>
          <w:rFonts w:asciiTheme="minorHAnsi" w:hAnsiTheme="minorHAnsi" w:cstheme="minorHAnsi"/>
          <w:sz w:val="22"/>
          <w:szCs w:val="22"/>
          <w:lang w:val="en-CA"/>
        </w:rPr>
        <w:t xml:space="preserve"> agreed that within their organization, the administrative process to staff a position is burdensome, compared </w:t>
      </w:r>
      <w:r w:rsidR="00914B95" w:rsidRPr="004652EA">
        <w:rPr>
          <w:rFonts w:asciiTheme="minorHAnsi" w:hAnsiTheme="minorHAnsi" w:cstheme="minorHAnsi"/>
          <w:sz w:val="22"/>
          <w:szCs w:val="22"/>
          <w:lang w:val="en-CA"/>
        </w:rPr>
        <w:t xml:space="preserve">with </w:t>
      </w:r>
      <w:r w:rsidRPr="004652EA">
        <w:rPr>
          <w:rFonts w:asciiTheme="minorHAnsi" w:hAnsiTheme="minorHAnsi" w:cstheme="minorHAnsi"/>
          <w:sz w:val="22"/>
          <w:szCs w:val="22"/>
          <w:lang w:val="en-CA"/>
        </w:rPr>
        <w:t>79.3% in similar</w:t>
      </w:r>
      <w:r w:rsidR="00914B95" w:rsidRPr="004652EA">
        <w:rPr>
          <w:rFonts w:asciiTheme="minorHAnsi" w:hAnsiTheme="minorHAnsi" w:cstheme="minorHAnsi"/>
          <w:sz w:val="22"/>
          <w:szCs w:val="22"/>
          <w:lang w:val="en-CA"/>
        </w:rPr>
        <w:t>-</w:t>
      </w:r>
      <w:r w:rsidRPr="004652EA">
        <w:rPr>
          <w:rFonts w:asciiTheme="minorHAnsi" w:hAnsiTheme="minorHAnsi" w:cstheme="minorHAnsi"/>
          <w:sz w:val="22"/>
          <w:szCs w:val="22"/>
          <w:lang w:val="en-CA"/>
        </w:rPr>
        <w:t>size organizations and 89.7% across all organizations in the federal public service</w:t>
      </w:r>
      <w:r w:rsidR="0003019D" w:rsidRPr="004652EA">
        <w:rPr>
          <w:rFonts w:asciiTheme="minorHAnsi" w:hAnsiTheme="minorHAnsi" w:cstheme="minorHAnsi"/>
          <w:sz w:val="22"/>
          <w:szCs w:val="22"/>
          <w:lang w:val="en-CA"/>
        </w:rPr>
        <w:t>.</w:t>
      </w:r>
    </w:p>
    <w:p w14:paraId="099F93F3" w14:textId="77777777" w:rsidR="0003019D" w:rsidRPr="00DE4115" w:rsidRDefault="00E537C4" w:rsidP="004652EA">
      <w:pPr>
        <w:pStyle w:val="Heading1"/>
        <w:spacing w:after="120"/>
        <w:rPr>
          <w:lang w:val="en-CA"/>
        </w:rPr>
      </w:pPr>
      <w:r w:rsidRPr="00DE4115">
        <w:rPr>
          <w:rStyle w:val="Heading1Char"/>
          <w:color w:val="auto"/>
          <w:lang w:val="en-CA"/>
        </w:rPr>
        <w:t xml:space="preserve">Diversity </w:t>
      </w:r>
      <w:r w:rsidR="00E12C9D">
        <w:rPr>
          <w:rStyle w:val="Heading1Char"/>
          <w:color w:val="auto"/>
          <w:lang w:val="en-CA"/>
        </w:rPr>
        <w:t>P</w:t>
      </w:r>
      <w:r w:rsidRPr="00DE4115">
        <w:rPr>
          <w:rStyle w:val="Heading1Char"/>
          <w:color w:val="auto"/>
          <w:lang w:val="en-CA"/>
        </w:rPr>
        <w:t>rofile</w:t>
      </w:r>
    </w:p>
    <w:p w14:paraId="49FB7757" w14:textId="77777777" w:rsidR="0003019D" w:rsidRPr="00DE4115" w:rsidRDefault="00E537C4" w:rsidP="00417183">
      <w:pPr>
        <w:keepNext/>
        <w:autoSpaceDE w:val="0"/>
        <w:autoSpaceDN w:val="0"/>
        <w:adjustRightInd w:val="0"/>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 xml:space="preserve">WAGE exceeds workforce availability for women, persons with disabilities and members of visible minorities. The representation rate for Indigenous peoples was not reported </w:t>
      </w:r>
      <w:r w:rsidR="00764BF1" w:rsidRPr="00DE4115">
        <w:rPr>
          <w:rFonts w:asciiTheme="minorHAnsi" w:hAnsiTheme="minorHAnsi" w:cstheme="minorHAnsi"/>
          <w:sz w:val="22"/>
          <w:szCs w:val="22"/>
          <w:lang w:val="en-CA"/>
        </w:rPr>
        <w:t>because of</w:t>
      </w:r>
      <w:r w:rsidRPr="00DE4115">
        <w:rPr>
          <w:rFonts w:asciiTheme="minorHAnsi" w:hAnsiTheme="minorHAnsi" w:cstheme="minorHAnsi"/>
          <w:sz w:val="22"/>
          <w:szCs w:val="22"/>
          <w:lang w:val="en-CA"/>
        </w:rPr>
        <w:t xml:space="preserve"> privacy reasons related to the small number of people involved</w:t>
      </w:r>
      <w:r w:rsidR="00764BF1" w:rsidRPr="00DE4115">
        <w:rPr>
          <w:rFonts w:asciiTheme="minorHAnsi" w:hAnsiTheme="minorHAnsi" w:cstheme="minorHAnsi"/>
          <w:sz w:val="22"/>
          <w:szCs w:val="22"/>
          <w:lang w:val="en-CA"/>
        </w:rPr>
        <w:t>,</w:t>
      </w:r>
      <w:r w:rsidRPr="00DE4115">
        <w:rPr>
          <w:rFonts w:asciiTheme="minorHAnsi" w:hAnsiTheme="minorHAnsi" w:cstheme="minorHAnsi"/>
          <w:sz w:val="22"/>
          <w:szCs w:val="22"/>
          <w:lang w:val="en-CA"/>
        </w:rPr>
        <w:t xml:space="preserve"> and therefore cannot be analyzed</w:t>
      </w:r>
      <w:r w:rsidR="0003019D" w:rsidRPr="00DE4115">
        <w:rPr>
          <w:rFonts w:asciiTheme="minorHAnsi" w:hAnsiTheme="minorHAnsi" w:cstheme="minorHAnsi"/>
          <w:sz w:val="22"/>
          <w:szCs w:val="22"/>
          <w:lang w:val="en-CA"/>
        </w:rPr>
        <w:t>.</w:t>
      </w:r>
    </w:p>
    <w:p w14:paraId="4F1E28EF" w14:textId="77777777" w:rsidR="00417183" w:rsidRPr="00417183" w:rsidRDefault="00417183" w:rsidP="00417183">
      <w:pPr>
        <w:pStyle w:val="Caption"/>
        <w:keepNext/>
        <w:spacing w:after="0"/>
        <w:rPr>
          <w:rFonts w:asciiTheme="minorHAnsi" w:hAnsiTheme="minorHAnsi" w:cstheme="minorHAnsi"/>
          <w:i w:val="0"/>
          <w:color w:val="auto"/>
        </w:rPr>
      </w:pPr>
      <w:r w:rsidRPr="00417183">
        <w:rPr>
          <w:rFonts w:asciiTheme="minorHAnsi" w:hAnsiTheme="minorHAnsi" w:cstheme="minorHAnsi"/>
          <w:i w:val="0"/>
          <w:color w:val="auto"/>
        </w:rPr>
        <w:t xml:space="preserve">Table </w:t>
      </w:r>
      <w:r w:rsidRPr="00417183">
        <w:rPr>
          <w:rFonts w:asciiTheme="minorHAnsi" w:hAnsiTheme="minorHAnsi" w:cstheme="minorHAnsi"/>
          <w:i w:val="0"/>
          <w:color w:val="auto"/>
        </w:rPr>
        <w:fldChar w:fldCharType="begin"/>
      </w:r>
      <w:r w:rsidRPr="00417183">
        <w:rPr>
          <w:rFonts w:asciiTheme="minorHAnsi" w:hAnsiTheme="minorHAnsi" w:cstheme="minorHAnsi"/>
          <w:i w:val="0"/>
          <w:color w:val="auto"/>
        </w:rPr>
        <w:instrText xml:space="preserve"> SEQ Table \* ARABIC </w:instrText>
      </w:r>
      <w:r w:rsidRPr="00417183">
        <w:rPr>
          <w:rFonts w:asciiTheme="minorHAnsi" w:hAnsiTheme="minorHAnsi" w:cstheme="minorHAnsi"/>
          <w:i w:val="0"/>
          <w:color w:val="auto"/>
        </w:rPr>
        <w:fldChar w:fldCharType="separate"/>
      </w:r>
      <w:r w:rsidR="00D22DAD">
        <w:rPr>
          <w:rFonts w:asciiTheme="minorHAnsi" w:hAnsiTheme="minorHAnsi" w:cstheme="minorHAnsi"/>
          <w:i w:val="0"/>
          <w:noProof/>
          <w:color w:val="auto"/>
        </w:rPr>
        <w:t>1</w:t>
      </w:r>
      <w:r w:rsidRPr="00417183">
        <w:rPr>
          <w:rFonts w:asciiTheme="minorHAnsi" w:hAnsiTheme="minorHAnsi" w:cstheme="minorHAnsi"/>
          <w:i w:val="0"/>
          <w:color w:val="auto"/>
        </w:rPr>
        <w:fldChar w:fldCharType="end"/>
      </w:r>
      <w:r w:rsidRPr="00417183">
        <w:rPr>
          <w:rFonts w:asciiTheme="minorHAnsi" w:hAnsiTheme="minorHAnsi" w:cstheme="minorHAnsi"/>
          <w:i w:val="0"/>
          <w:color w:val="auto"/>
        </w:rPr>
        <w:t xml:space="preserve"> - Diversity profile</w:t>
      </w:r>
    </w:p>
    <w:tbl>
      <w:tblPr>
        <w:tblStyle w:val="TableGrid"/>
        <w:tblW w:w="5000" w:type="pct"/>
        <w:jc w:val="center"/>
        <w:tblLook w:val="04A0" w:firstRow="1" w:lastRow="0" w:firstColumn="1" w:lastColumn="0" w:noHBand="0" w:noVBand="1"/>
        <w:tblDescription w:val="Diversity profile"/>
      </w:tblPr>
      <w:tblGrid>
        <w:gridCol w:w="2096"/>
        <w:gridCol w:w="2109"/>
        <w:gridCol w:w="3162"/>
        <w:gridCol w:w="2255"/>
      </w:tblGrid>
      <w:tr w:rsidR="004652EA" w:rsidRPr="004652EA" w14:paraId="5713B700" w14:textId="77777777" w:rsidTr="00417183">
        <w:trPr>
          <w:cantSplit/>
          <w:trHeight w:val="999"/>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53153AFB" w14:textId="77777777" w:rsidR="004652EA" w:rsidRPr="004652EA" w:rsidRDefault="004652EA" w:rsidP="004652EA">
            <w:pPr>
              <w:pStyle w:val="TableTitle"/>
              <w:rPr>
                <w:rFonts w:cs="Segoe UI Semibold"/>
                <w:color w:val="FFFFFF" w:themeColor="background1"/>
                <w:lang w:val="en-CA"/>
              </w:rPr>
            </w:pPr>
            <w:r w:rsidRPr="004652EA">
              <w:rPr>
                <w:rFonts w:cs="Segoe UI Semibold"/>
                <w:color w:val="FFFFFF" w:themeColor="background1"/>
                <w:lang w:val="en-CA"/>
              </w:rPr>
              <w:t>Designated Group</w:t>
            </w:r>
          </w:p>
        </w:tc>
        <w:tc>
          <w:tcPr>
            <w:tcW w:w="1096"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70848712" w14:textId="77777777" w:rsidR="004652EA" w:rsidRPr="004652EA" w:rsidRDefault="004652EA" w:rsidP="004652EA">
            <w:pPr>
              <w:pStyle w:val="TableTitle"/>
              <w:rPr>
                <w:rFonts w:cs="Segoe UI Semibold"/>
                <w:color w:val="FFFFFF" w:themeColor="background1"/>
                <w:lang w:val="en-CA"/>
              </w:rPr>
            </w:pPr>
            <w:r w:rsidRPr="004652EA">
              <w:rPr>
                <w:rFonts w:cs="Segoe UI Semibold"/>
                <w:color w:val="FFFFFF" w:themeColor="background1"/>
                <w:lang w:val="en-CA"/>
              </w:rPr>
              <w:t>Public Service</w:t>
            </w:r>
          </w:p>
          <w:p w14:paraId="273EC037" w14:textId="77777777" w:rsidR="004652EA" w:rsidRPr="004652EA" w:rsidRDefault="004652EA" w:rsidP="004652EA">
            <w:pPr>
              <w:pStyle w:val="TableTitle"/>
              <w:rPr>
                <w:rFonts w:cs="Segoe UI Semibold"/>
                <w:color w:val="FFFFFF" w:themeColor="background1"/>
                <w:lang w:val="en-CA"/>
              </w:rPr>
            </w:pPr>
            <w:r w:rsidRPr="004652EA">
              <w:rPr>
                <w:rFonts w:cs="Segoe UI Semibold"/>
                <w:color w:val="FFFFFF" w:themeColor="background1"/>
                <w:lang w:val="en-CA"/>
              </w:rPr>
              <w:t>Work Force Availability (WFA)</w:t>
            </w:r>
          </w:p>
        </w:tc>
        <w:tc>
          <w:tcPr>
            <w:tcW w:w="1643" w:type="pct"/>
            <w:tcBorders>
              <w:top w:val="single" w:sz="4" w:space="0" w:color="auto"/>
              <w:left w:val="single" w:sz="4" w:space="0" w:color="auto"/>
              <w:right w:val="single" w:sz="4" w:space="0" w:color="auto"/>
            </w:tcBorders>
            <w:shd w:val="clear" w:color="auto" w:fill="BF3C00" w:themeFill="accent4" w:themeFillShade="BF"/>
            <w:vAlign w:val="center"/>
            <w:hideMark/>
          </w:tcPr>
          <w:p w14:paraId="2D60CF6E" w14:textId="780753C6" w:rsidR="004652EA" w:rsidRPr="004652EA" w:rsidRDefault="004652EA" w:rsidP="004652EA">
            <w:pPr>
              <w:pStyle w:val="TableTitle"/>
              <w:rPr>
                <w:rFonts w:cs="Segoe UI Semibold"/>
                <w:color w:val="FFFFFF" w:themeColor="background1"/>
                <w:lang w:val="en-CA"/>
              </w:rPr>
            </w:pPr>
            <w:r w:rsidRPr="006B453E">
              <w:rPr>
                <w:rFonts w:cs="Segoe UI Semibold"/>
                <w:color w:val="FFFFFF" w:themeColor="background1"/>
                <w:shd w:val="clear" w:color="auto" w:fill="BF3C00"/>
                <w:lang w:val="en-CA"/>
              </w:rPr>
              <w:t>Department for Women and Gender Equality</w:t>
            </w:r>
          </w:p>
        </w:tc>
        <w:tc>
          <w:tcPr>
            <w:tcW w:w="117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76027371" w14:textId="77777777" w:rsidR="004652EA" w:rsidRPr="004652EA" w:rsidRDefault="004652EA" w:rsidP="004652EA">
            <w:pPr>
              <w:pStyle w:val="TableTitle"/>
              <w:rPr>
                <w:rFonts w:cs="Segoe UI Semibold"/>
                <w:color w:val="FFFFFF" w:themeColor="background1"/>
                <w:lang w:val="en-CA"/>
              </w:rPr>
            </w:pPr>
            <w:r w:rsidRPr="004652EA">
              <w:rPr>
                <w:rFonts w:cs="Segoe UI Semibold"/>
                <w:color w:val="FFFFFF" w:themeColor="background1"/>
                <w:lang w:val="en-CA"/>
              </w:rPr>
              <w:t>Representation Across the Public Service of Canada</w:t>
            </w:r>
          </w:p>
        </w:tc>
      </w:tr>
      <w:tr w:rsidR="004652EA" w:rsidRPr="004652EA" w14:paraId="3040DF9D" w14:textId="77777777" w:rsidTr="00417183">
        <w:trPr>
          <w:cantSplit/>
          <w:trHeight w:val="351"/>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2A606C12" w14:textId="77777777" w:rsidR="004652EA" w:rsidRPr="004652EA" w:rsidRDefault="004652EA" w:rsidP="00D22DAD">
            <w:pPr>
              <w:rPr>
                <w:rFonts w:asciiTheme="minorHAnsi" w:hAnsiTheme="minorHAnsi" w:cstheme="minorHAnsi"/>
                <w:color w:val="FFFFFF" w:themeColor="background1"/>
                <w:sz w:val="22"/>
                <w:lang w:val="en-CA"/>
              </w:rPr>
            </w:pPr>
            <w:r w:rsidRPr="004652EA">
              <w:rPr>
                <w:rFonts w:asciiTheme="minorHAnsi" w:hAnsiTheme="minorHAnsi" w:cstheme="minorHAnsi"/>
                <w:color w:val="FFFFFF" w:themeColor="background1"/>
                <w:sz w:val="22"/>
                <w:lang w:val="en-CA"/>
              </w:rPr>
              <w:t>Women</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01EA5B0" w14:textId="77777777" w:rsidR="004652EA" w:rsidRPr="004652EA" w:rsidRDefault="004652EA" w:rsidP="00D22DAD">
            <w:pPr>
              <w:jc w:val="center"/>
              <w:rPr>
                <w:rFonts w:asciiTheme="minorHAnsi" w:hAnsiTheme="minorHAnsi" w:cstheme="minorHAnsi"/>
                <w:sz w:val="22"/>
                <w:lang w:val="en-CA"/>
              </w:rPr>
            </w:pPr>
            <w:r w:rsidRPr="004652EA">
              <w:rPr>
                <w:rFonts w:asciiTheme="minorHAnsi" w:hAnsiTheme="minorHAnsi" w:cstheme="minorHAnsi"/>
                <w:sz w:val="22"/>
                <w:lang w:val="en-CA"/>
              </w:rPr>
              <w:t>52.5%</w:t>
            </w:r>
          </w:p>
        </w:tc>
        <w:tc>
          <w:tcPr>
            <w:tcW w:w="1643" w:type="pct"/>
            <w:tcBorders>
              <w:top w:val="single" w:sz="4" w:space="0" w:color="auto"/>
              <w:left w:val="single" w:sz="4" w:space="0" w:color="auto"/>
              <w:bottom w:val="single" w:sz="4" w:space="0" w:color="auto"/>
              <w:right w:val="single" w:sz="4" w:space="0" w:color="auto"/>
            </w:tcBorders>
            <w:shd w:val="clear" w:color="auto" w:fill="auto"/>
            <w:vAlign w:val="center"/>
          </w:tcPr>
          <w:p w14:paraId="42C71ECA" w14:textId="77777777" w:rsidR="004652EA" w:rsidRPr="004652EA" w:rsidRDefault="004652EA" w:rsidP="00D22DAD">
            <w:pPr>
              <w:autoSpaceDE w:val="0"/>
              <w:autoSpaceDN w:val="0"/>
              <w:adjustRightInd w:val="0"/>
              <w:jc w:val="center"/>
              <w:rPr>
                <w:rFonts w:asciiTheme="minorHAnsi" w:hAnsiTheme="minorHAnsi" w:cstheme="minorHAnsi"/>
                <w:sz w:val="22"/>
                <w:lang w:val="en-CA"/>
              </w:rPr>
            </w:pPr>
            <w:r w:rsidRPr="004652EA">
              <w:rPr>
                <w:rFonts w:asciiTheme="minorHAnsi" w:hAnsiTheme="minorHAnsi" w:cstheme="minorHAnsi"/>
                <w:sz w:val="22"/>
                <w:lang w:val="en-CA"/>
              </w:rPr>
              <w:t>87.9%</w:t>
            </w:r>
          </w:p>
        </w:tc>
        <w:tc>
          <w:tcPr>
            <w:tcW w:w="1172" w:type="pct"/>
            <w:tcBorders>
              <w:top w:val="single" w:sz="4" w:space="0" w:color="auto"/>
              <w:left w:val="single" w:sz="4" w:space="0" w:color="auto"/>
              <w:bottom w:val="single" w:sz="4" w:space="0" w:color="auto"/>
              <w:right w:val="single" w:sz="4" w:space="0" w:color="auto"/>
            </w:tcBorders>
            <w:hideMark/>
          </w:tcPr>
          <w:p w14:paraId="6BF4FAA8" w14:textId="77777777" w:rsidR="004652EA" w:rsidRPr="004652EA" w:rsidRDefault="004652EA" w:rsidP="00D22DAD">
            <w:pPr>
              <w:autoSpaceDE w:val="0"/>
              <w:autoSpaceDN w:val="0"/>
              <w:adjustRightInd w:val="0"/>
              <w:jc w:val="center"/>
              <w:rPr>
                <w:rFonts w:asciiTheme="minorHAnsi" w:hAnsiTheme="minorHAnsi" w:cstheme="minorHAnsi"/>
                <w:sz w:val="22"/>
                <w:lang w:val="en-CA"/>
              </w:rPr>
            </w:pPr>
            <w:r w:rsidRPr="004652EA">
              <w:rPr>
                <w:rFonts w:asciiTheme="minorHAnsi" w:hAnsiTheme="minorHAnsi" w:cstheme="minorHAnsi"/>
                <w:sz w:val="22"/>
                <w:lang w:val="en-CA"/>
              </w:rPr>
              <w:t>54.8%</w:t>
            </w:r>
          </w:p>
        </w:tc>
      </w:tr>
      <w:tr w:rsidR="004652EA" w:rsidRPr="004652EA" w14:paraId="29CEDC67" w14:textId="77777777" w:rsidTr="00417183">
        <w:trPr>
          <w:cantSplit/>
          <w:trHeight w:val="351"/>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43CF691F" w14:textId="77777777" w:rsidR="004652EA" w:rsidRPr="004652EA" w:rsidRDefault="004652EA" w:rsidP="00D22DAD">
            <w:pPr>
              <w:rPr>
                <w:rFonts w:asciiTheme="minorHAnsi" w:hAnsiTheme="minorHAnsi" w:cstheme="minorHAnsi"/>
                <w:color w:val="FFFFFF" w:themeColor="background1"/>
                <w:sz w:val="22"/>
                <w:lang w:val="en-CA"/>
              </w:rPr>
            </w:pPr>
            <w:r w:rsidRPr="004652EA">
              <w:rPr>
                <w:rFonts w:asciiTheme="minorHAnsi" w:hAnsiTheme="minorHAnsi" w:cstheme="minorHAnsi"/>
                <w:color w:val="FFFFFF" w:themeColor="background1"/>
                <w:sz w:val="22"/>
                <w:lang w:val="en-CA"/>
              </w:rPr>
              <w:t>Indigenous people</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70090FF" w14:textId="77777777" w:rsidR="004652EA" w:rsidRPr="004652EA" w:rsidRDefault="004652EA" w:rsidP="00D22DAD">
            <w:pPr>
              <w:jc w:val="center"/>
              <w:rPr>
                <w:rFonts w:asciiTheme="minorHAnsi" w:hAnsiTheme="minorHAnsi" w:cstheme="minorHAnsi"/>
                <w:sz w:val="22"/>
                <w:lang w:val="en-CA"/>
              </w:rPr>
            </w:pPr>
            <w:r w:rsidRPr="004652EA">
              <w:rPr>
                <w:rFonts w:asciiTheme="minorHAnsi" w:hAnsiTheme="minorHAnsi" w:cstheme="minorHAnsi"/>
                <w:sz w:val="22"/>
                <w:lang w:val="en-CA"/>
              </w:rPr>
              <w:t>3.4%</w:t>
            </w:r>
          </w:p>
        </w:tc>
        <w:tc>
          <w:tcPr>
            <w:tcW w:w="1643" w:type="pct"/>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14:paraId="3BC74C19" w14:textId="77777777" w:rsidR="004652EA" w:rsidRPr="004652EA" w:rsidRDefault="004652EA" w:rsidP="00D22DAD">
            <w:pPr>
              <w:autoSpaceDE w:val="0"/>
              <w:autoSpaceDN w:val="0"/>
              <w:adjustRightInd w:val="0"/>
              <w:jc w:val="center"/>
              <w:rPr>
                <w:rFonts w:asciiTheme="minorHAnsi" w:hAnsiTheme="minorHAnsi" w:cstheme="minorHAnsi"/>
                <w:sz w:val="22"/>
                <w:lang w:val="en-CA"/>
              </w:rPr>
            </w:pPr>
            <w:r w:rsidRPr="004652EA">
              <w:rPr>
                <w:rFonts w:asciiTheme="minorHAnsi" w:hAnsiTheme="minorHAnsi" w:cstheme="minorHAnsi"/>
                <w:sz w:val="22"/>
                <w:lang w:val="en-CA"/>
              </w:rPr>
              <w:t>*</w:t>
            </w:r>
          </w:p>
        </w:tc>
        <w:tc>
          <w:tcPr>
            <w:tcW w:w="1172" w:type="pct"/>
            <w:tcBorders>
              <w:top w:val="single" w:sz="4" w:space="0" w:color="auto"/>
              <w:left w:val="single" w:sz="4" w:space="0" w:color="auto"/>
              <w:bottom w:val="single" w:sz="4" w:space="0" w:color="auto"/>
              <w:right w:val="single" w:sz="4" w:space="0" w:color="auto"/>
            </w:tcBorders>
            <w:hideMark/>
          </w:tcPr>
          <w:p w14:paraId="67BF1D2B" w14:textId="77777777" w:rsidR="004652EA" w:rsidRPr="004652EA" w:rsidRDefault="004652EA" w:rsidP="00D22DAD">
            <w:pPr>
              <w:autoSpaceDE w:val="0"/>
              <w:autoSpaceDN w:val="0"/>
              <w:adjustRightInd w:val="0"/>
              <w:jc w:val="center"/>
              <w:rPr>
                <w:rFonts w:asciiTheme="minorHAnsi" w:hAnsiTheme="minorHAnsi" w:cstheme="minorHAnsi"/>
                <w:sz w:val="22"/>
                <w:lang w:val="en-CA"/>
              </w:rPr>
            </w:pPr>
            <w:r w:rsidRPr="004652EA">
              <w:rPr>
                <w:rFonts w:asciiTheme="minorHAnsi" w:hAnsiTheme="minorHAnsi" w:cstheme="minorHAnsi"/>
                <w:sz w:val="22"/>
                <w:lang w:val="en-CA"/>
              </w:rPr>
              <w:t>5.1%</w:t>
            </w:r>
          </w:p>
        </w:tc>
      </w:tr>
      <w:tr w:rsidR="004652EA" w:rsidRPr="004652EA" w14:paraId="3CAF6C39" w14:textId="77777777" w:rsidTr="00417183">
        <w:trPr>
          <w:cantSplit/>
          <w:trHeight w:val="787"/>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7FEA36D4" w14:textId="77777777" w:rsidR="004652EA" w:rsidRPr="004652EA" w:rsidRDefault="004652EA" w:rsidP="00D22DAD">
            <w:pPr>
              <w:rPr>
                <w:rFonts w:asciiTheme="minorHAnsi" w:hAnsiTheme="minorHAnsi" w:cstheme="minorHAnsi"/>
                <w:color w:val="FFFFFF" w:themeColor="background1"/>
                <w:sz w:val="22"/>
                <w:lang w:val="en-CA"/>
              </w:rPr>
            </w:pPr>
            <w:r w:rsidRPr="004652EA">
              <w:rPr>
                <w:rFonts w:asciiTheme="minorHAnsi" w:hAnsiTheme="minorHAnsi" w:cstheme="minorHAnsi"/>
                <w:color w:val="FFFFFF" w:themeColor="background1"/>
                <w:sz w:val="22"/>
                <w:lang w:val="en-CA"/>
              </w:rPr>
              <w:t>Persons with disabilities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74653EE" w14:textId="77777777" w:rsidR="004652EA" w:rsidRPr="004652EA" w:rsidRDefault="004652EA" w:rsidP="00D22DAD">
            <w:pPr>
              <w:jc w:val="center"/>
              <w:rPr>
                <w:rFonts w:asciiTheme="minorHAnsi" w:hAnsiTheme="minorHAnsi" w:cstheme="minorHAnsi"/>
                <w:sz w:val="22"/>
                <w:lang w:val="en-CA"/>
              </w:rPr>
            </w:pPr>
            <w:r w:rsidRPr="004652EA">
              <w:rPr>
                <w:rFonts w:asciiTheme="minorHAnsi" w:hAnsiTheme="minorHAnsi" w:cstheme="minorHAnsi"/>
                <w:sz w:val="22"/>
                <w:lang w:val="en-CA"/>
              </w:rPr>
              <w:t>4.4%</w:t>
            </w:r>
          </w:p>
        </w:tc>
        <w:tc>
          <w:tcPr>
            <w:tcW w:w="1643" w:type="pct"/>
            <w:tcBorders>
              <w:top w:val="single" w:sz="4" w:space="0" w:color="auto"/>
              <w:left w:val="single" w:sz="4" w:space="0" w:color="auto"/>
              <w:bottom w:val="single" w:sz="4" w:space="0" w:color="auto"/>
              <w:right w:val="single" w:sz="4" w:space="0" w:color="auto"/>
            </w:tcBorders>
            <w:shd w:val="clear" w:color="auto" w:fill="auto"/>
            <w:vAlign w:val="center"/>
          </w:tcPr>
          <w:p w14:paraId="400EC779" w14:textId="77777777" w:rsidR="004652EA" w:rsidRPr="004652EA" w:rsidRDefault="004652EA" w:rsidP="00D22DAD">
            <w:pPr>
              <w:autoSpaceDE w:val="0"/>
              <w:autoSpaceDN w:val="0"/>
              <w:adjustRightInd w:val="0"/>
              <w:jc w:val="center"/>
              <w:rPr>
                <w:rFonts w:asciiTheme="minorHAnsi" w:hAnsiTheme="minorHAnsi" w:cstheme="minorHAnsi"/>
                <w:sz w:val="22"/>
                <w:lang w:val="en-CA"/>
              </w:rPr>
            </w:pPr>
            <w:r w:rsidRPr="004652EA">
              <w:rPr>
                <w:rFonts w:asciiTheme="minorHAnsi" w:hAnsiTheme="minorHAnsi" w:cstheme="minorHAnsi"/>
                <w:sz w:val="22"/>
                <w:lang w:val="en-CA"/>
              </w:rPr>
              <w:t>5.5%</w:t>
            </w:r>
          </w:p>
        </w:tc>
        <w:tc>
          <w:tcPr>
            <w:tcW w:w="1172" w:type="pct"/>
            <w:tcBorders>
              <w:top w:val="single" w:sz="4" w:space="0" w:color="auto"/>
              <w:left w:val="single" w:sz="4" w:space="0" w:color="auto"/>
              <w:bottom w:val="single" w:sz="4" w:space="0" w:color="auto"/>
              <w:right w:val="single" w:sz="4" w:space="0" w:color="auto"/>
            </w:tcBorders>
            <w:vAlign w:val="center"/>
            <w:hideMark/>
          </w:tcPr>
          <w:p w14:paraId="12074A05" w14:textId="77777777" w:rsidR="004652EA" w:rsidRPr="004652EA" w:rsidRDefault="004652EA" w:rsidP="00D22DAD">
            <w:pPr>
              <w:autoSpaceDE w:val="0"/>
              <w:autoSpaceDN w:val="0"/>
              <w:adjustRightInd w:val="0"/>
              <w:jc w:val="center"/>
              <w:rPr>
                <w:rFonts w:asciiTheme="minorHAnsi" w:hAnsiTheme="minorHAnsi" w:cstheme="minorHAnsi"/>
                <w:sz w:val="22"/>
                <w:lang w:val="en-CA"/>
              </w:rPr>
            </w:pPr>
            <w:r w:rsidRPr="004652EA">
              <w:rPr>
                <w:rFonts w:asciiTheme="minorHAnsi" w:hAnsiTheme="minorHAnsi" w:cstheme="minorHAnsi"/>
                <w:sz w:val="22"/>
                <w:lang w:val="en-CA"/>
              </w:rPr>
              <w:t>5.3%</w:t>
            </w:r>
          </w:p>
        </w:tc>
      </w:tr>
      <w:tr w:rsidR="004652EA" w:rsidRPr="004652EA" w14:paraId="5C86F8CF" w14:textId="77777777" w:rsidTr="00417183">
        <w:trPr>
          <w:cantSplit/>
          <w:trHeight w:val="720"/>
          <w:tblHeader/>
          <w:jc w:val="center"/>
        </w:trPr>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30D78858" w14:textId="77777777" w:rsidR="004652EA" w:rsidRPr="004652EA" w:rsidRDefault="004652EA" w:rsidP="00D22DAD">
            <w:pPr>
              <w:rPr>
                <w:rFonts w:asciiTheme="minorHAnsi" w:hAnsiTheme="minorHAnsi" w:cstheme="minorHAnsi"/>
                <w:color w:val="FFFFFF" w:themeColor="background1"/>
                <w:sz w:val="22"/>
                <w:lang w:val="en-CA"/>
              </w:rPr>
            </w:pPr>
            <w:r w:rsidRPr="004652EA">
              <w:rPr>
                <w:rFonts w:asciiTheme="minorHAnsi" w:hAnsiTheme="minorHAnsi" w:cstheme="minorHAnsi"/>
                <w:color w:val="FFFFFF" w:themeColor="background1"/>
                <w:sz w:val="22"/>
                <w:lang w:val="en-CA"/>
              </w:rPr>
              <w:t>Members of visible minorities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796764D" w14:textId="77777777" w:rsidR="004652EA" w:rsidRPr="004652EA" w:rsidRDefault="004652EA" w:rsidP="00D22DAD">
            <w:pPr>
              <w:jc w:val="center"/>
              <w:rPr>
                <w:rFonts w:asciiTheme="minorHAnsi" w:hAnsiTheme="minorHAnsi" w:cstheme="minorHAnsi"/>
                <w:sz w:val="22"/>
                <w:lang w:val="en-CA"/>
              </w:rPr>
            </w:pPr>
            <w:r w:rsidRPr="004652EA">
              <w:rPr>
                <w:rFonts w:asciiTheme="minorHAnsi" w:hAnsiTheme="minorHAnsi" w:cstheme="minorHAnsi"/>
                <w:sz w:val="22"/>
                <w:lang w:val="en-CA"/>
              </w:rPr>
              <w:t>13.0%</w:t>
            </w:r>
          </w:p>
        </w:tc>
        <w:tc>
          <w:tcPr>
            <w:tcW w:w="1643" w:type="pct"/>
            <w:tcBorders>
              <w:top w:val="single" w:sz="4" w:space="0" w:color="auto"/>
              <w:left w:val="single" w:sz="4" w:space="0" w:color="auto"/>
              <w:bottom w:val="single" w:sz="4" w:space="0" w:color="auto"/>
              <w:right w:val="single" w:sz="4" w:space="0" w:color="auto"/>
            </w:tcBorders>
            <w:shd w:val="clear" w:color="auto" w:fill="auto"/>
            <w:vAlign w:val="center"/>
          </w:tcPr>
          <w:p w14:paraId="42455C1D" w14:textId="77777777" w:rsidR="004652EA" w:rsidRPr="004652EA" w:rsidRDefault="004652EA" w:rsidP="00D22DAD">
            <w:pPr>
              <w:autoSpaceDE w:val="0"/>
              <w:autoSpaceDN w:val="0"/>
              <w:adjustRightInd w:val="0"/>
              <w:jc w:val="center"/>
              <w:rPr>
                <w:rFonts w:asciiTheme="minorHAnsi" w:hAnsiTheme="minorHAnsi" w:cstheme="minorHAnsi"/>
                <w:sz w:val="22"/>
                <w:lang w:val="en-CA"/>
              </w:rPr>
            </w:pPr>
            <w:r w:rsidRPr="004652EA">
              <w:rPr>
                <w:rFonts w:asciiTheme="minorHAnsi" w:hAnsiTheme="minorHAnsi" w:cstheme="minorHAnsi"/>
                <w:sz w:val="22"/>
                <w:lang w:val="en-CA"/>
              </w:rPr>
              <w:t>20.9%</w:t>
            </w:r>
          </w:p>
        </w:tc>
        <w:tc>
          <w:tcPr>
            <w:tcW w:w="1172" w:type="pct"/>
            <w:tcBorders>
              <w:top w:val="single" w:sz="4" w:space="0" w:color="auto"/>
              <w:left w:val="single" w:sz="4" w:space="0" w:color="auto"/>
              <w:bottom w:val="single" w:sz="4" w:space="0" w:color="auto"/>
              <w:right w:val="single" w:sz="4" w:space="0" w:color="auto"/>
            </w:tcBorders>
            <w:vAlign w:val="center"/>
            <w:hideMark/>
          </w:tcPr>
          <w:p w14:paraId="79EB8CD6" w14:textId="77777777" w:rsidR="004652EA" w:rsidRPr="004652EA" w:rsidRDefault="004652EA" w:rsidP="00D22DAD">
            <w:pPr>
              <w:autoSpaceDE w:val="0"/>
              <w:autoSpaceDN w:val="0"/>
              <w:adjustRightInd w:val="0"/>
              <w:jc w:val="center"/>
              <w:rPr>
                <w:rFonts w:asciiTheme="minorHAnsi" w:hAnsiTheme="minorHAnsi" w:cstheme="minorHAnsi"/>
                <w:sz w:val="22"/>
                <w:lang w:val="en-CA"/>
              </w:rPr>
            </w:pPr>
            <w:r w:rsidRPr="004652EA">
              <w:rPr>
                <w:rFonts w:asciiTheme="minorHAnsi" w:hAnsiTheme="minorHAnsi" w:cstheme="minorHAnsi"/>
                <w:sz w:val="22"/>
                <w:lang w:val="en-CA"/>
              </w:rPr>
              <w:t>15.7%</w:t>
            </w:r>
          </w:p>
        </w:tc>
      </w:tr>
    </w:tbl>
    <w:p w14:paraId="4103FBD5" w14:textId="77777777" w:rsidR="004652EA" w:rsidRPr="006B453E" w:rsidRDefault="004652EA" w:rsidP="004652EA">
      <w:pPr>
        <w:rPr>
          <w:rStyle w:val="Hyperlink"/>
          <w:rFonts w:asciiTheme="minorHAnsi" w:hAnsiTheme="minorHAnsi" w:cstheme="minorHAnsi"/>
          <w:sz w:val="22"/>
          <w:lang w:val="en-CA"/>
        </w:rPr>
      </w:pPr>
      <w:r w:rsidRPr="006B453E">
        <w:rPr>
          <w:rFonts w:asciiTheme="minorHAnsi" w:hAnsiTheme="minorHAnsi" w:cstheme="minorHAnsi"/>
          <w:sz w:val="22"/>
          <w:lang w:val="en-CA"/>
        </w:rPr>
        <w:t xml:space="preserve">Source: </w:t>
      </w:r>
      <w:r w:rsidRPr="006B453E">
        <w:rPr>
          <w:rStyle w:val="Hyperlink"/>
          <w:rFonts w:asciiTheme="minorHAnsi" w:hAnsiTheme="minorHAnsi" w:cstheme="minorHAnsi"/>
          <w:sz w:val="22"/>
          <w:lang w:val="en-CA"/>
        </w:rPr>
        <w:fldChar w:fldCharType="begin"/>
      </w:r>
      <w:r w:rsidRPr="006B453E">
        <w:rPr>
          <w:rStyle w:val="Hyperlink"/>
          <w:rFonts w:asciiTheme="minorHAnsi" w:hAnsiTheme="minorHAnsi" w:cstheme="minorHAnsi"/>
          <w:sz w:val="22"/>
          <w:lang w:val="en-CA"/>
        </w:rPr>
        <w:instrText>HYPERLINK "https://www.canada.ca/en/government/publicservice/wellness-inclusion-diversity-public-service/diversity-inclusion-public-service/employment-equity-annual-reports/employment-equity-public-service-canada-2017-2018.html"</w:instrText>
      </w:r>
      <w:r w:rsidRPr="006B453E">
        <w:rPr>
          <w:rStyle w:val="Hyperlink"/>
          <w:rFonts w:asciiTheme="minorHAnsi" w:hAnsiTheme="minorHAnsi" w:cstheme="minorHAnsi"/>
          <w:sz w:val="22"/>
          <w:lang w:val="en-CA"/>
        </w:rPr>
        <w:fldChar w:fldCharType="separate"/>
      </w:r>
      <w:r w:rsidRPr="006B453E">
        <w:rPr>
          <w:rFonts w:asciiTheme="minorHAnsi" w:hAnsiTheme="minorHAnsi" w:cstheme="minorHAnsi"/>
          <w:sz w:val="22"/>
          <w:lang w:val="en-CA"/>
        </w:rPr>
        <w:t xml:space="preserve"> </w:t>
      </w:r>
      <w:r w:rsidRPr="006B453E">
        <w:rPr>
          <w:rStyle w:val="Hyperlink"/>
          <w:rFonts w:asciiTheme="minorHAnsi" w:hAnsiTheme="minorHAnsi" w:cstheme="minorHAnsi"/>
          <w:sz w:val="22"/>
          <w:lang w:val="en-CA"/>
        </w:rPr>
        <w:t>Employment Equity in the Public Service of Canada for Fiscal Year 2017 to 2018</w:t>
      </w:r>
    </w:p>
    <w:p w14:paraId="50E10407" w14:textId="77777777" w:rsidR="004652EA" w:rsidRPr="006B453E" w:rsidRDefault="004652EA" w:rsidP="004652EA">
      <w:pPr>
        <w:rPr>
          <w:rFonts w:asciiTheme="minorHAnsi" w:hAnsiTheme="minorHAnsi" w:cstheme="minorHAnsi"/>
          <w:sz w:val="22"/>
          <w:lang w:val="en-CA"/>
        </w:rPr>
      </w:pPr>
      <w:r w:rsidRPr="006B453E">
        <w:rPr>
          <w:rStyle w:val="Hyperlink"/>
          <w:rFonts w:asciiTheme="minorHAnsi" w:hAnsiTheme="minorHAnsi" w:cstheme="minorHAnsi"/>
          <w:sz w:val="22"/>
          <w:lang w:val="en-CA"/>
        </w:rPr>
        <w:fldChar w:fldCharType="end"/>
      </w:r>
      <w:r w:rsidRPr="006B453E">
        <w:rPr>
          <w:rFonts w:asciiTheme="minorHAnsi" w:hAnsiTheme="minorHAnsi" w:cstheme="minorHAnsi"/>
          <w:sz w:val="22"/>
          <w:lang w:val="en-CA"/>
        </w:rPr>
        <w:t xml:space="preserve">Treasury Board Secretariat </w:t>
      </w:r>
    </w:p>
    <w:p w14:paraId="63645EBA" w14:textId="77777777" w:rsidR="004652EA" w:rsidRPr="006B453E" w:rsidRDefault="004652EA" w:rsidP="004652EA">
      <w:pPr>
        <w:rPr>
          <w:rFonts w:asciiTheme="minorHAnsi" w:hAnsiTheme="minorHAnsi" w:cstheme="minorHAnsi"/>
          <w:sz w:val="22"/>
          <w:lang w:val="en-CA"/>
        </w:rPr>
      </w:pPr>
      <w:r w:rsidRPr="006B453E">
        <w:rPr>
          <w:rFonts w:asciiTheme="minorHAnsi" w:hAnsiTheme="minorHAnsi" w:cstheme="minorHAnsi"/>
          <w:sz w:val="22"/>
          <w:lang w:val="en-CA"/>
        </w:rPr>
        <w:t>* Information for small numbers has been removed.</w:t>
      </w:r>
    </w:p>
    <w:p w14:paraId="1C92EBC6" w14:textId="77777777" w:rsidR="0003019D" w:rsidRPr="00DE4115" w:rsidRDefault="00E12C9D" w:rsidP="00417183">
      <w:pPr>
        <w:pStyle w:val="Heading1"/>
        <w:spacing w:after="120"/>
        <w:rPr>
          <w:lang w:val="en-CA"/>
        </w:rPr>
      </w:pPr>
      <w:r>
        <w:rPr>
          <w:lang w:val="en-CA"/>
        </w:rPr>
        <w:t>Priority Entitlements and V</w:t>
      </w:r>
      <w:r w:rsidR="00FA0FB3" w:rsidRPr="00DE4115">
        <w:rPr>
          <w:lang w:val="en-CA"/>
        </w:rPr>
        <w:t>eterans</w:t>
      </w:r>
    </w:p>
    <w:p w14:paraId="4B6BDB7A" w14:textId="77777777" w:rsidR="0003019D" w:rsidRPr="00DE4115" w:rsidRDefault="00FA0FB3" w:rsidP="00417183">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From April 1, 2018 to July 18, 2019, the organization appointed one person with a priority entitlement</w:t>
      </w:r>
      <w:r w:rsidR="0003019D" w:rsidRPr="00DE4115">
        <w:rPr>
          <w:rFonts w:asciiTheme="minorHAnsi" w:hAnsiTheme="minorHAnsi" w:cstheme="minorHAnsi"/>
          <w:sz w:val="22"/>
          <w:szCs w:val="22"/>
          <w:lang w:val="en-CA"/>
        </w:rPr>
        <w:t xml:space="preserve">. </w:t>
      </w:r>
    </w:p>
    <w:p w14:paraId="03CFBB47" w14:textId="77777777" w:rsidR="0003019D" w:rsidRPr="00DE4115" w:rsidRDefault="001E4F0E" w:rsidP="00417183">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 xml:space="preserve">As at </w:t>
      </w:r>
      <w:r w:rsidR="00FA0FB3" w:rsidRPr="00DE4115">
        <w:rPr>
          <w:rFonts w:asciiTheme="minorHAnsi" w:hAnsiTheme="minorHAnsi" w:cstheme="minorHAnsi"/>
          <w:sz w:val="22"/>
          <w:szCs w:val="22"/>
          <w:lang w:val="en-CA"/>
        </w:rPr>
        <w:t>July 23, 2019</w:t>
      </w:r>
      <w:r w:rsidR="004354CC" w:rsidRPr="00DE4115">
        <w:rPr>
          <w:rFonts w:asciiTheme="minorHAnsi" w:hAnsiTheme="minorHAnsi" w:cstheme="minorHAnsi"/>
          <w:sz w:val="22"/>
          <w:szCs w:val="22"/>
          <w:lang w:val="en-CA"/>
        </w:rPr>
        <w:t>,</w:t>
      </w:r>
      <w:r w:rsidR="00FA0FB3" w:rsidRPr="00DE4115">
        <w:rPr>
          <w:rFonts w:asciiTheme="minorHAnsi" w:hAnsiTheme="minorHAnsi" w:cstheme="minorHAnsi"/>
          <w:sz w:val="22"/>
          <w:szCs w:val="22"/>
          <w:lang w:val="en-CA"/>
        </w:rPr>
        <w:t xml:space="preserve"> WAGE had </w:t>
      </w:r>
      <w:r w:rsidR="004354CC" w:rsidRPr="00DE4115">
        <w:rPr>
          <w:rFonts w:asciiTheme="minorHAnsi" w:hAnsiTheme="minorHAnsi" w:cstheme="minorHAnsi"/>
          <w:sz w:val="22"/>
          <w:szCs w:val="22"/>
          <w:lang w:val="en-CA"/>
        </w:rPr>
        <w:t>two persons</w:t>
      </w:r>
      <w:r w:rsidR="00FA0FB3" w:rsidRPr="00DE4115">
        <w:rPr>
          <w:rFonts w:asciiTheme="minorHAnsi" w:hAnsiTheme="minorHAnsi" w:cstheme="minorHAnsi"/>
          <w:sz w:val="22"/>
          <w:szCs w:val="22"/>
          <w:lang w:val="en-CA"/>
        </w:rPr>
        <w:t xml:space="preserve"> with priority entitlements activated in the Priority Information Management System. Both are entitled to a leave of absence</w:t>
      </w:r>
      <w:r w:rsidR="0003019D" w:rsidRPr="00DE4115">
        <w:rPr>
          <w:rFonts w:asciiTheme="minorHAnsi" w:hAnsiTheme="minorHAnsi" w:cstheme="minorHAnsi"/>
          <w:sz w:val="22"/>
          <w:szCs w:val="22"/>
          <w:lang w:val="en-CA"/>
        </w:rPr>
        <w:t>.</w:t>
      </w:r>
    </w:p>
    <w:p w14:paraId="5350521B" w14:textId="77777777" w:rsidR="0003019D" w:rsidRPr="00DE4115" w:rsidRDefault="00FA0FB3" w:rsidP="0003019D">
      <w:pPr>
        <w:rPr>
          <w:rFonts w:asciiTheme="minorHAnsi" w:hAnsiTheme="minorHAnsi" w:cstheme="minorHAnsi"/>
          <w:sz w:val="22"/>
          <w:szCs w:val="22"/>
          <w:lang w:val="en-CA"/>
        </w:rPr>
      </w:pPr>
      <w:r w:rsidRPr="00DE4115">
        <w:rPr>
          <w:rFonts w:asciiTheme="minorHAnsi" w:hAnsiTheme="minorHAnsi" w:cstheme="minorHAnsi"/>
          <w:sz w:val="22"/>
          <w:szCs w:val="22"/>
          <w:lang w:val="en-CA"/>
        </w:rPr>
        <w:lastRenderedPageBreak/>
        <w:t xml:space="preserve">Since the </w:t>
      </w:r>
      <w:r w:rsidRPr="00417183">
        <w:rPr>
          <w:rStyle w:val="Emphasis"/>
          <w:rFonts w:cstheme="minorHAnsi"/>
          <w:sz w:val="22"/>
        </w:rPr>
        <w:t>Veterans Hiring Act</w:t>
      </w:r>
      <w:r w:rsidRPr="00417183">
        <w:rPr>
          <w:rFonts w:asciiTheme="minorHAnsi" w:hAnsiTheme="minorHAnsi" w:cstheme="minorHAnsi"/>
          <w:sz w:val="20"/>
          <w:szCs w:val="22"/>
          <w:lang w:val="en-CA"/>
        </w:rPr>
        <w:t xml:space="preserve"> </w:t>
      </w:r>
      <w:r w:rsidRPr="00DE4115">
        <w:rPr>
          <w:rFonts w:asciiTheme="minorHAnsi" w:hAnsiTheme="minorHAnsi" w:cstheme="minorHAnsi"/>
          <w:sz w:val="22"/>
          <w:szCs w:val="22"/>
          <w:lang w:val="en-CA"/>
        </w:rPr>
        <w:t xml:space="preserve">came into effect on July 1, 2015, the organization has not made any appointments of persons with a Canadian Armed Forces (CAF) </w:t>
      </w:r>
      <w:r w:rsidR="001E4F0E" w:rsidRPr="00DE4115">
        <w:rPr>
          <w:rFonts w:asciiTheme="minorHAnsi" w:hAnsiTheme="minorHAnsi" w:cstheme="minorHAnsi"/>
          <w:sz w:val="22"/>
          <w:szCs w:val="22"/>
          <w:lang w:val="en-CA"/>
        </w:rPr>
        <w:t>priority entitlement</w:t>
      </w:r>
      <w:r w:rsidR="0003019D" w:rsidRPr="00DE4115">
        <w:rPr>
          <w:rFonts w:asciiTheme="minorHAnsi" w:hAnsiTheme="minorHAnsi" w:cstheme="minorHAnsi"/>
          <w:sz w:val="22"/>
          <w:szCs w:val="22"/>
          <w:lang w:val="en-CA"/>
        </w:rPr>
        <w:t>.</w:t>
      </w:r>
    </w:p>
    <w:p w14:paraId="4B6AC24E" w14:textId="77777777" w:rsidR="0003019D" w:rsidRPr="00DE4115" w:rsidRDefault="002E1F78" w:rsidP="00417183">
      <w:pPr>
        <w:pStyle w:val="Heading1"/>
        <w:spacing w:after="120"/>
        <w:rPr>
          <w:lang w:val="en-CA"/>
        </w:rPr>
      </w:pPr>
      <w:r>
        <w:rPr>
          <w:lang w:val="en-CA"/>
        </w:rPr>
        <w:t>Non-P</w:t>
      </w:r>
      <w:r w:rsidR="00FA0FB3" w:rsidRPr="00DE4115">
        <w:rPr>
          <w:lang w:val="en-CA"/>
        </w:rPr>
        <w:t xml:space="preserve">artisanship </w:t>
      </w:r>
      <w:r>
        <w:rPr>
          <w:lang w:val="en-CA"/>
        </w:rPr>
        <w:t>in the Public S</w:t>
      </w:r>
      <w:r w:rsidR="00FA0FB3" w:rsidRPr="00DE4115">
        <w:rPr>
          <w:lang w:val="en-CA"/>
        </w:rPr>
        <w:t>ervice</w:t>
      </w:r>
    </w:p>
    <w:p w14:paraId="59AD04C6" w14:textId="77777777" w:rsidR="0003019D" w:rsidRPr="00DE4115" w:rsidRDefault="00FA0FB3" w:rsidP="00417183">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Each organization has a designated political activities representative who works with the PSC to provide support. WAGE’s designated political activities representative is Julie Nixon, Manager, Client Services, Human Resources Services</w:t>
      </w:r>
      <w:r w:rsidR="0003019D" w:rsidRPr="00DE4115">
        <w:rPr>
          <w:rFonts w:asciiTheme="minorHAnsi" w:hAnsiTheme="minorHAnsi" w:cstheme="minorHAnsi"/>
          <w:sz w:val="22"/>
          <w:szCs w:val="22"/>
          <w:lang w:val="en-CA"/>
        </w:rPr>
        <w:t>.</w:t>
      </w:r>
    </w:p>
    <w:p w14:paraId="5D9D02FC" w14:textId="77777777" w:rsidR="0003019D" w:rsidRPr="00DE4115" w:rsidRDefault="003B19E5" w:rsidP="00417183">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 xml:space="preserve">The PSC receives very few requests </w:t>
      </w:r>
      <w:r w:rsidR="00E26390" w:rsidRPr="00DE4115">
        <w:rPr>
          <w:rFonts w:asciiTheme="minorHAnsi" w:hAnsiTheme="minorHAnsi" w:cstheme="minorHAnsi"/>
          <w:sz w:val="22"/>
          <w:szCs w:val="22"/>
          <w:lang w:val="en-CA"/>
        </w:rPr>
        <w:t xml:space="preserve">from WAGE employees </w:t>
      </w:r>
      <w:r w:rsidRPr="00DE4115">
        <w:rPr>
          <w:rFonts w:asciiTheme="minorHAnsi" w:hAnsiTheme="minorHAnsi" w:cstheme="minorHAnsi"/>
          <w:sz w:val="22"/>
          <w:szCs w:val="22"/>
          <w:lang w:val="en-CA"/>
        </w:rPr>
        <w:t>for permission to be a candidate in an election. Since April 1, 2006, the PSC has granted</w:t>
      </w:r>
      <w:r w:rsidR="00E26390" w:rsidRPr="00DE4115">
        <w:rPr>
          <w:rFonts w:asciiTheme="minorHAnsi" w:hAnsiTheme="minorHAnsi" w:cstheme="minorHAnsi"/>
          <w:sz w:val="22"/>
          <w:szCs w:val="22"/>
          <w:lang w:val="en-CA"/>
        </w:rPr>
        <w:t xml:space="preserve"> </w:t>
      </w:r>
      <w:r w:rsidRPr="00DE4115">
        <w:rPr>
          <w:rFonts w:asciiTheme="minorHAnsi" w:hAnsiTheme="minorHAnsi" w:cstheme="minorHAnsi"/>
          <w:sz w:val="22"/>
          <w:szCs w:val="22"/>
          <w:lang w:val="en-CA"/>
        </w:rPr>
        <w:t>permission for three requests, one of which is still active</w:t>
      </w:r>
      <w:r w:rsidR="0003019D" w:rsidRPr="00DE4115">
        <w:rPr>
          <w:rFonts w:asciiTheme="minorHAnsi" w:hAnsiTheme="minorHAnsi" w:cstheme="minorHAnsi"/>
          <w:sz w:val="22"/>
          <w:szCs w:val="22"/>
          <w:lang w:val="en-CA"/>
        </w:rPr>
        <w:t>.</w:t>
      </w:r>
    </w:p>
    <w:p w14:paraId="6B885C54" w14:textId="77777777" w:rsidR="0003019D" w:rsidRPr="00DE4115" w:rsidRDefault="003B19E5" w:rsidP="00417183">
      <w:pPr>
        <w:spacing w:after="120"/>
        <w:rPr>
          <w:rFonts w:asciiTheme="minorHAnsi" w:hAnsiTheme="minorHAnsi" w:cstheme="minorHAnsi"/>
          <w:sz w:val="22"/>
          <w:szCs w:val="22"/>
          <w:lang w:val="en-CA" w:eastAsia="en-CA"/>
        </w:rPr>
      </w:pPr>
      <w:r w:rsidRPr="00DE4115">
        <w:rPr>
          <w:rFonts w:asciiTheme="minorHAnsi" w:hAnsiTheme="minorHAnsi" w:cstheme="minorHAnsi"/>
          <w:sz w:val="22"/>
          <w:szCs w:val="22"/>
          <w:lang w:val="en-CA" w:eastAsia="en-CA"/>
        </w:rPr>
        <w:t>The 2018 Staffing and Non-partisanship Survey results indicate that WAGE employees are more likely to engage in political activities (other than voting or seeking political candidacy): 8.4%</w:t>
      </w:r>
      <w:r w:rsidR="00E26390" w:rsidRPr="00DE4115">
        <w:rPr>
          <w:rFonts w:asciiTheme="minorHAnsi" w:hAnsiTheme="minorHAnsi" w:cstheme="minorHAnsi"/>
          <w:sz w:val="22"/>
          <w:szCs w:val="22"/>
          <w:lang w:val="en-CA" w:eastAsia="en-CA"/>
        </w:rPr>
        <w:t>,</w:t>
      </w:r>
      <w:r w:rsidRPr="00DE4115">
        <w:rPr>
          <w:rFonts w:asciiTheme="minorHAnsi" w:hAnsiTheme="minorHAnsi" w:cstheme="minorHAnsi"/>
          <w:sz w:val="22"/>
          <w:szCs w:val="22"/>
          <w:lang w:val="en-CA" w:eastAsia="en-CA"/>
        </w:rPr>
        <w:t xml:space="preserve"> compared </w:t>
      </w:r>
      <w:r w:rsidR="00E26390" w:rsidRPr="00DE4115">
        <w:rPr>
          <w:rFonts w:asciiTheme="minorHAnsi" w:hAnsiTheme="minorHAnsi" w:cstheme="minorHAnsi"/>
          <w:sz w:val="22"/>
          <w:szCs w:val="22"/>
          <w:lang w:val="en-CA" w:eastAsia="en-CA"/>
        </w:rPr>
        <w:t xml:space="preserve">with </w:t>
      </w:r>
      <w:r w:rsidRPr="00DE4115">
        <w:rPr>
          <w:rFonts w:asciiTheme="minorHAnsi" w:hAnsiTheme="minorHAnsi" w:cstheme="minorHAnsi"/>
          <w:sz w:val="22"/>
          <w:szCs w:val="22"/>
          <w:lang w:val="en-CA" w:eastAsia="en-CA"/>
        </w:rPr>
        <w:t>2.4% for the public service as a whole</w:t>
      </w:r>
      <w:r w:rsidR="0003019D" w:rsidRPr="00DE4115">
        <w:rPr>
          <w:rFonts w:asciiTheme="minorHAnsi" w:hAnsiTheme="minorHAnsi" w:cstheme="minorHAnsi"/>
          <w:sz w:val="22"/>
          <w:szCs w:val="22"/>
          <w:lang w:val="en-CA" w:eastAsia="en-CA"/>
        </w:rPr>
        <w:t xml:space="preserve">. </w:t>
      </w:r>
    </w:p>
    <w:p w14:paraId="694AFA19" w14:textId="77777777" w:rsidR="0003019D" w:rsidRPr="00DE4115" w:rsidRDefault="003B2B52" w:rsidP="00417183">
      <w:pPr>
        <w:spacing w:after="120"/>
        <w:rPr>
          <w:rFonts w:asciiTheme="minorHAnsi" w:hAnsiTheme="minorHAnsi" w:cstheme="minorHAnsi"/>
          <w:sz w:val="22"/>
          <w:szCs w:val="22"/>
          <w:lang w:val="en-CA" w:eastAsia="en-CA"/>
        </w:rPr>
      </w:pPr>
      <w:r w:rsidRPr="00DE4115">
        <w:rPr>
          <w:rFonts w:asciiTheme="minorHAnsi" w:hAnsiTheme="minorHAnsi" w:cstheme="minorHAnsi"/>
          <w:sz w:val="22"/>
          <w:szCs w:val="22"/>
          <w:lang w:val="en-CA" w:eastAsia="en-CA"/>
        </w:rPr>
        <w:t xml:space="preserve">However, WAGE employees demonstrate a high level of awareness regarding their rights and responsibilities </w:t>
      </w:r>
      <w:r w:rsidR="00E26390" w:rsidRPr="00DE4115">
        <w:rPr>
          <w:rFonts w:asciiTheme="minorHAnsi" w:hAnsiTheme="minorHAnsi" w:cstheme="minorHAnsi"/>
          <w:sz w:val="22"/>
          <w:szCs w:val="22"/>
          <w:lang w:val="en-CA" w:eastAsia="en-CA"/>
        </w:rPr>
        <w:t xml:space="preserve">relative to </w:t>
      </w:r>
      <w:r w:rsidRPr="00DE4115">
        <w:rPr>
          <w:rFonts w:asciiTheme="minorHAnsi" w:hAnsiTheme="minorHAnsi" w:cstheme="minorHAnsi"/>
          <w:sz w:val="22"/>
          <w:szCs w:val="22"/>
          <w:lang w:val="en-CA" w:eastAsia="en-CA"/>
        </w:rPr>
        <w:t>engaging in political activities: 95.6%</w:t>
      </w:r>
      <w:r w:rsidR="00E26390" w:rsidRPr="00DE4115">
        <w:rPr>
          <w:rFonts w:asciiTheme="minorHAnsi" w:hAnsiTheme="minorHAnsi" w:cstheme="minorHAnsi"/>
          <w:sz w:val="22"/>
          <w:szCs w:val="22"/>
          <w:lang w:val="en-CA" w:eastAsia="en-CA"/>
        </w:rPr>
        <w:t>,</w:t>
      </w:r>
      <w:r w:rsidRPr="00DE4115">
        <w:rPr>
          <w:rFonts w:asciiTheme="minorHAnsi" w:hAnsiTheme="minorHAnsi" w:cstheme="minorHAnsi"/>
          <w:sz w:val="22"/>
          <w:szCs w:val="22"/>
          <w:lang w:val="en-CA" w:eastAsia="en-CA"/>
        </w:rPr>
        <w:t xml:space="preserve"> compared </w:t>
      </w:r>
      <w:r w:rsidR="00E26390" w:rsidRPr="00DE4115">
        <w:rPr>
          <w:rFonts w:asciiTheme="minorHAnsi" w:hAnsiTheme="minorHAnsi" w:cstheme="minorHAnsi"/>
          <w:sz w:val="22"/>
          <w:szCs w:val="22"/>
          <w:lang w:val="en-CA" w:eastAsia="en-CA"/>
        </w:rPr>
        <w:t xml:space="preserve">with </w:t>
      </w:r>
      <w:r w:rsidRPr="00DE4115">
        <w:rPr>
          <w:rFonts w:asciiTheme="minorHAnsi" w:hAnsiTheme="minorHAnsi" w:cstheme="minorHAnsi"/>
          <w:sz w:val="22"/>
          <w:szCs w:val="22"/>
          <w:lang w:val="en-CA" w:eastAsia="en-CA"/>
        </w:rPr>
        <w:t>80.1% for the public service as a whole.</w:t>
      </w:r>
    </w:p>
    <w:p w14:paraId="7C698D62" w14:textId="77777777" w:rsidR="0003019D" w:rsidRPr="00DE4115" w:rsidRDefault="00227E32" w:rsidP="00417183">
      <w:pPr>
        <w:pStyle w:val="Heading1"/>
        <w:spacing w:after="120"/>
        <w:rPr>
          <w:lang w:val="en-CA"/>
        </w:rPr>
      </w:pPr>
      <w:r w:rsidRPr="00DE4115">
        <w:rPr>
          <w:lang w:val="en-CA"/>
        </w:rPr>
        <w:t xml:space="preserve">Recruitment </w:t>
      </w:r>
      <w:r w:rsidR="002E1F78">
        <w:rPr>
          <w:lang w:val="en-CA"/>
        </w:rPr>
        <w:t>P</w:t>
      </w:r>
      <w:r w:rsidRPr="00DE4115">
        <w:rPr>
          <w:lang w:val="en-CA"/>
        </w:rPr>
        <w:t>rogram</w:t>
      </w:r>
      <w:r w:rsidR="002E1F78">
        <w:rPr>
          <w:lang w:val="en-CA"/>
        </w:rPr>
        <w:t>s</w:t>
      </w:r>
    </w:p>
    <w:p w14:paraId="7861F5EA" w14:textId="77777777" w:rsidR="0003019D" w:rsidRPr="00DE4115" w:rsidRDefault="003B2B52" w:rsidP="00700108">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 xml:space="preserve">Since 2019, WAGE has hired one person </w:t>
      </w:r>
      <w:r w:rsidR="00E26390" w:rsidRPr="00DE4115">
        <w:rPr>
          <w:rFonts w:asciiTheme="minorHAnsi" w:hAnsiTheme="minorHAnsi" w:cstheme="minorHAnsi"/>
          <w:sz w:val="22"/>
          <w:szCs w:val="22"/>
          <w:lang w:val="en-CA"/>
        </w:rPr>
        <w:t xml:space="preserve">through </w:t>
      </w:r>
      <w:r w:rsidRPr="00DE4115">
        <w:rPr>
          <w:rFonts w:asciiTheme="minorHAnsi" w:hAnsiTheme="minorHAnsi" w:cstheme="minorHAnsi"/>
          <w:sz w:val="22"/>
          <w:szCs w:val="22"/>
          <w:lang w:val="en-CA"/>
        </w:rPr>
        <w:t>the Indigenous Student Employment Opportunity under the Federal Student Work Experience Program (FSWEP).  Currently, no hires have been made under the Federal Internship Program for Canadians with Disabilities and the FSWEP Employment Opportunity for Students with Disabilities</w:t>
      </w:r>
      <w:r w:rsidR="00B365E1" w:rsidRPr="00DE4115">
        <w:rPr>
          <w:rFonts w:asciiTheme="minorHAnsi" w:hAnsiTheme="minorHAnsi" w:cstheme="minorHAnsi"/>
          <w:sz w:val="22"/>
          <w:szCs w:val="22"/>
          <w:lang w:val="en-CA"/>
        </w:rPr>
        <w:t>.</w:t>
      </w:r>
    </w:p>
    <w:p w14:paraId="61240206" w14:textId="77777777" w:rsidR="0003019D" w:rsidRPr="00DE4115" w:rsidRDefault="002E1F78" w:rsidP="00417183">
      <w:pPr>
        <w:pStyle w:val="Heading1"/>
        <w:spacing w:after="120"/>
        <w:rPr>
          <w:lang w:val="en-CA"/>
        </w:rPr>
      </w:pPr>
      <w:r>
        <w:rPr>
          <w:lang w:val="en-CA"/>
        </w:rPr>
        <w:t>Staffing S</w:t>
      </w:r>
      <w:r w:rsidR="00227E32" w:rsidRPr="00DE4115">
        <w:rPr>
          <w:lang w:val="en-CA"/>
        </w:rPr>
        <w:t>upport</w:t>
      </w:r>
    </w:p>
    <w:p w14:paraId="3D6E8F4C" w14:textId="77777777" w:rsidR="0003019D" w:rsidRPr="00DE4115" w:rsidRDefault="002E1F78" w:rsidP="00417183">
      <w:pPr>
        <w:pStyle w:val="Heading2"/>
        <w:spacing w:after="120"/>
        <w:rPr>
          <w:u w:val="single"/>
          <w:lang w:val="en-CA"/>
        </w:rPr>
      </w:pPr>
      <w:r>
        <w:rPr>
          <w:lang w:val="en-CA"/>
        </w:rPr>
        <w:t>Public Service Commission R</w:t>
      </w:r>
      <w:r w:rsidR="004354CC" w:rsidRPr="00DE4115">
        <w:rPr>
          <w:lang w:val="en-CA"/>
        </w:rPr>
        <w:t xml:space="preserve">epresentatives and </w:t>
      </w:r>
      <w:r>
        <w:rPr>
          <w:lang w:val="en-CA"/>
        </w:rPr>
        <w:t>Organizational C</w:t>
      </w:r>
      <w:r w:rsidR="00227E32" w:rsidRPr="00DE4115">
        <w:rPr>
          <w:lang w:val="en-CA"/>
        </w:rPr>
        <w:t>ontacts</w:t>
      </w:r>
    </w:p>
    <w:p w14:paraId="557C3EC2" w14:textId="77777777" w:rsidR="0003019D" w:rsidRPr="00DE4115" w:rsidRDefault="00227E32" w:rsidP="00417183">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The Staffing Support Advisor assigned to this organization is Johanne Villeneuve</w:t>
      </w:r>
      <w:r w:rsidR="0003019D" w:rsidRPr="00DE4115">
        <w:rPr>
          <w:rFonts w:asciiTheme="minorHAnsi" w:hAnsiTheme="minorHAnsi" w:cstheme="minorHAnsi"/>
          <w:sz w:val="22"/>
          <w:szCs w:val="22"/>
          <w:lang w:val="en-CA"/>
        </w:rPr>
        <w:t>.</w:t>
      </w:r>
    </w:p>
    <w:p w14:paraId="1A8084C0" w14:textId="77777777" w:rsidR="0003019D" w:rsidRPr="00DE4115" w:rsidRDefault="00227E32" w:rsidP="00417183">
      <w:pPr>
        <w:spacing w:after="120"/>
        <w:rPr>
          <w:rFonts w:asciiTheme="minorHAnsi" w:hAnsiTheme="minorHAnsi" w:cstheme="minorHAnsi"/>
          <w:sz w:val="22"/>
          <w:szCs w:val="22"/>
          <w:lang w:val="en-CA"/>
        </w:rPr>
      </w:pPr>
      <w:r w:rsidRPr="00DE4115">
        <w:rPr>
          <w:rFonts w:asciiTheme="minorHAnsi" w:hAnsiTheme="minorHAnsi" w:cstheme="minorHAnsi"/>
          <w:sz w:val="22"/>
          <w:szCs w:val="22"/>
          <w:lang w:val="en-CA"/>
        </w:rPr>
        <w:t>The primary organizational contact is Julie Nixon, Manager, Client Services, Human Resources Services</w:t>
      </w:r>
      <w:r w:rsidR="0003019D" w:rsidRPr="00DE4115">
        <w:rPr>
          <w:rFonts w:asciiTheme="minorHAnsi" w:hAnsiTheme="minorHAnsi" w:cstheme="minorHAnsi"/>
          <w:sz w:val="22"/>
          <w:szCs w:val="22"/>
          <w:lang w:val="en-CA"/>
        </w:rPr>
        <w:t xml:space="preserve">. </w:t>
      </w:r>
    </w:p>
    <w:p w14:paraId="4F717F48" w14:textId="29225077" w:rsidR="00B365E1" w:rsidRDefault="00227E32" w:rsidP="0003019D">
      <w:pPr>
        <w:rPr>
          <w:rFonts w:asciiTheme="minorHAnsi" w:hAnsiTheme="minorHAnsi" w:cstheme="minorHAnsi"/>
          <w:sz w:val="22"/>
          <w:szCs w:val="22"/>
          <w:lang w:val="en-CA"/>
        </w:rPr>
      </w:pPr>
      <w:r w:rsidRPr="00DE4115">
        <w:rPr>
          <w:rFonts w:asciiTheme="minorHAnsi" w:hAnsiTheme="minorHAnsi" w:cstheme="minorHAnsi"/>
          <w:sz w:val="22"/>
          <w:szCs w:val="22"/>
          <w:lang w:val="en-CA"/>
        </w:rPr>
        <w:t>The Head of Human Resources is Martin Prescott, Director General, Human Resources</w:t>
      </w:r>
      <w:r w:rsidR="0003019D" w:rsidRPr="00DE4115">
        <w:rPr>
          <w:rFonts w:asciiTheme="minorHAnsi" w:hAnsiTheme="minorHAnsi" w:cstheme="minorHAnsi"/>
          <w:sz w:val="22"/>
          <w:szCs w:val="22"/>
          <w:lang w:val="en-CA"/>
        </w:rPr>
        <w:t>.</w:t>
      </w:r>
    </w:p>
    <w:p w14:paraId="2475A6CB" w14:textId="77777777" w:rsidR="005E5D0D" w:rsidRPr="00DE4115" w:rsidRDefault="005E5D0D" w:rsidP="0003019D">
      <w:pPr>
        <w:rPr>
          <w:rFonts w:ascii="Arial" w:hAnsi="Arial" w:cs="Arial"/>
          <w:sz w:val="22"/>
          <w:szCs w:val="22"/>
          <w:lang w:val="en-CA"/>
        </w:rPr>
      </w:pPr>
    </w:p>
    <w:p w14:paraId="502CDC93" w14:textId="77777777" w:rsidR="00417183" w:rsidRPr="00D5667B" w:rsidRDefault="00417183" w:rsidP="00417183">
      <w:pPr>
        <w:spacing w:after="120"/>
        <w:rPr>
          <w:rStyle w:val="Strong"/>
          <w:rFonts w:eastAsiaTheme="minorHAnsi"/>
        </w:rPr>
      </w:pPr>
      <w:r w:rsidRPr="0098592F">
        <w:rPr>
          <w:rStyle w:val="Strong"/>
          <w:rFonts w:eastAsiaTheme="minorHAnsi" w:cstheme="minorHAnsi"/>
        </w:rPr>
        <w:t>PREPARED BY:</w:t>
      </w:r>
    </w:p>
    <w:p w14:paraId="6416D110" w14:textId="77777777" w:rsidR="00417183" w:rsidRPr="00374A6E" w:rsidRDefault="00417183" w:rsidP="00417183">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heme="minorHAnsi" w:eastAsiaTheme="minorHAnsi" w:hAnsiTheme="minorHAnsi" w:cstheme="minorHAnsi"/>
          <w:sz w:val="22"/>
          <w:szCs w:val="22"/>
          <w:lang w:val="en-CA"/>
        </w:rPr>
      </w:pPr>
      <w:r>
        <w:rPr>
          <w:rFonts w:asciiTheme="minorHAnsi" w:eastAsiaTheme="minorHAnsi" w:hAnsiTheme="minorHAnsi" w:cstheme="minorHAnsi"/>
          <w:sz w:val="22"/>
          <w:szCs w:val="22"/>
          <w:lang w:val="en-CA"/>
        </w:rPr>
        <w:t>Johanne V</w:t>
      </w:r>
      <w:r w:rsidR="000D4432">
        <w:rPr>
          <w:rFonts w:asciiTheme="minorHAnsi" w:eastAsiaTheme="minorHAnsi" w:hAnsiTheme="minorHAnsi" w:cstheme="minorHAnsi"/>
          <w:sz w:val="22"/>
          <w:szCs w:val="22"/>
          <w:lang w:val="en-CA"/>
        </w:rPr>
        <w:t>ille</w:t>
      </w:r>
      <w:r>
        <w:rPr>
          <w:rFonts w:asciiTheme="minorHAnsi" w:eastAsiaTheme="minorHAnsi" w:hAnsiTheme="minorHAnsi" w:cstheme="minorHAnsi"/>
          <w:sz w:val="22"/>
          <w:szCs w:val="22"/>
          <w:lang w:val="en-CA"/>
        </w:rPr>
        <w:t>neuve</w:t>
      </w:r>
      <w:r w:rsidRPr="00374A6E">
        <w:rPr>
          <w:rFonts w:asciiTheme="minorHAnsi" w:eastAsiaTheme="minorHAnsi" w:hAnsiTheme="minorHAnsi" w:cstheme="minorHAnsi"/>
          <w:sz w:val="22"/>
          <w:szCs w:val="22"/>
          <w:lang w:val="en-CA"/>
        </w:rPr>
        <w:t xml:space="preserve">, </w:t>
      </w:r>
    </w:p>
    <w:p w14:paraId="5A5F2E99" w14:textId="77777777" w:rsidR="00417183" w:rsidRPr="00374A6E" w:rsidRDefault="00417183" w:rsidP="00417183">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Staffing Support Advisor</w:t>
      </w:r>
    </w:p>
    <w:p w14:paraId="108B90FB" w14:textId="77777777" w:rsidR="00417183" w:rsidRPr="00374A6E" w:rsidRDefault="00417183" w:rsidP="004171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lang w:val="en-CA"/>
        </w:rPr>
      </w:pPr>
      <w:r w:rsidRPr="00374A6E">
        <w:rPr>
          <w:rFonts w:asciiTheme="minorHAnsi" w:hAnsiTheme="minorHAnsi" w:cstheme="minorHAnsi"/>
          <w:sz w:val="22"/>
          <w:szCs w:val="22"/>
          <w:lang w:val="en-CA"/>
        </w:rPr>
        <w:t>Annexes:</w:t>
      </w:r>
    </w:p>
    <w:p w14:paraId="5545A827" w14:textId="77777777" w:rsidR="00417183" w:rsidRPr="00700108" w:rsidRDefault="00700108" w:rsidP="00417183">
      <w:pPr>
        <w:numPr>
          <w:ilvl w:val="0"/>
          <w:numId w:val="3"/>
        </w:numPr>
        <w:spacing w:after="120"/>
        <w:ind w:left="723"/>
        <w:rPr>
          <w:rStyle w:val="Hyperlink"/>
          <w:rFonts w:asciiTheme="minorHAnsi" w:hAnsiTheme="minorHAnsi" w:cstheme="minorHAnsi"/>
          <w:bCs/>
          <w:sz w:val="22"/>
          <w:szCs w:val="22"/>
          <w:lang w:val="en-CA"/>
        </w:rPr>
      </w:pPr>
      <w:r>
        <w:rPr>
          <w:rStyle w:val="Hyperlink"/>
          <w:rFonts w:asciiTheme="minorHAnsi" w:hAnsiTheme="minorHAnsi" w:cstheme="minorHAnsi"/>
          <w:sz w:val="22"/>
          <w:szCs w:val="22"/>
          <w:lang w:val="en-CA"/>
        </w:rPr>
        <w:fldChar w:fldCharType="begin"/>
      </w:r>
      <w:r>
        <w:rPr>
          <w:rStyle w:val="Hyperlink"/>
          <w:rFonts w:asciiTheme="minorHAnsi" w:hAnsiTheme="minorHAnsi" w:cstheme="minorHAnsi"/>
          <w:sz w:val="22"/>
          <w:szCs w:val="22"/>
          <w:lang w:val="en-CA"/>
        </w:rPr>
        <w:instrText xml:space="preserve"> HYPERLINK  \l "Annex_A" </w:instrText>
      </w:r>
      <w:r>
        <w:rPr>
          <w:rStyle w:val="Hyperlink"/>
          <w:rFonts w:asciiTheme="minorHAnsi" w:hAnsiTheme="minorHAnsi" w:cstheme="minorHAnsi"/>
          <w:sz w:val="22"/>
          <w:szCs w:val="22"/>
          <w:lang w:val="en-CA"/>
        </w:rPr>
        <w:fldChar w:fldCharType="separate"/>
      </w:r>
      <w:r w:rsidR="00417183" w:rsidRPr="00700108">
        <w:rPr>
          <w:rStyle w:val="Hyperlink"/>
          <w:rFonts w:asciiTheme="minorHAnsi" w:hAnsiTheme="minorHAnsi" w:cstheme="minorHAnsi"/>
          <w:sz w:val="22"/>
          <w:szCs w:val="22"/>
          <w:lang w:val="en-CA"/>
        </w:rPr>
        <w:t>Annex A – A New Direction in Staffing (NDS) highlights for DHs</w:t>
      </w:r>
    </w:p>
    <w:p w14:paraId="6C50B822" w14:textId="77777777" w:rsidR="00417183" w:rsidRPr="00700108" w:rsidRDefault="00700108" w:rsidP="00417183">
      <w:pPr>
        <w:numPr>
          <w:ilvl w:val="0"/>
          <w:numId w:val="3"/>
        </w:numPr>
        <w:ind w:left="723"/>
        <w:rPr>
          <w:rStyle w:val="Hyperlink"/>
          <w:rFonts w:asciiTheme="minorHAnsi" w:hAnsiTheme="minorHAnsi" w:cstheme="minorHAnsi"/>
          <w:bCs/>
          <w:strike/>
          <w:sz w:val="22"/>
          <w:szCs w:val="22"/>
          <w:lang w:val="en-CA"/>
        </w:rPr>
      </w:pPr>
      <w:r>
        <w:rPr>
          <w:rStyle w:val="Hyperlink"/>
          <w:rFonts w:asciiTheme="minorHAnsi" w:hAnsiTheme="minorHAnsi" w:cstheme="minorHAnsi"/>
          <w:sz w:val="22"/>
          <w:szCs w:val="22"/>
          <w:lang w:val="en-CA"/>
        </w:rPr>
        <w:fldChar w:fldCharType="end"/>
      </w:r>
      <w:r>
        <w:rPr>
          <w:rStyle w:val="Hyperlink"/>
          <w:rFonts w:asciiTheme="minorHAnsi" w:hAnsiTheme="minorHAnsi" w:cstheme="minorHAnsi"/>
          <w:sz w:val="22"/>
          <w:szCs w:val="22"/>
          <w:lang w:val="en-CA"/>
        </w:rPr>
        <w:fldChar w:fldCharType="begin"/>
      </w:r>
      <w:r>
        <w:rPr>
          <w:rStyle w:val="Hyperlink"/>
          <w:rFonts w:asciiTheme="minorHAnsi" w:hAnsiTheme="minorHAnsi" w:cstheme="minorHAnsi"/>
          <w:sz w:val="22"/>
          <w:szCs w:val="22"/>
          <w:lang w:val="en-CA"/>
        </w:rPr>
        <w:instrText xml:space="preserve"> HYPERLINK  \l "Annex_B" </w:instrText>
      </w:r>
      <w:r>
        <w:rPr>
          <w:rStyle w:val="Hyperlink"/>
          <w:rFonts w:asciiTheme="minorHAnsi" w:hAnsiTheme="minorHAnsi" w:cstheme="minorHAnsi"/>
          <w:sz w:val="22"/>
          <w:szCs w:val="22"/>
          <w:lang w:val="en-CA"/>
        </w:rPr>
        <w:fldChar w:fldCharType="separate"/>
      </w:r>
      <w:r w:rsidR="00417183" w:rsidRPr="00700108">
        <w:rPr>
          <w:rStyle w:val="Hyperlink"/>
          <w:rFonts w:asciiTheme="minorHAnsi" w:hAnsiTheme="minorHAnsi" w:cstheme="minorHAnsi"/>
          <w:sz w:val="22"/>
          <w:szCs w:val="22"/>
          <w:lang w:val="en-CA"/>
        </w:rPr>
        <w:t>Annex B - Data on Population and Staffing Activities</w:t>
      </w:r>
    </w:p>
    <w:bookmarkStart w:id="0" w:name="_Annex_A"/>
    <w:bookmarkEnd w:id="0"/>
    <w:p w14:paraId="6FB4D3A1" w14:textId="3BA7D76F" w:rsidR="00417183" w:rsidRPr="007B5B5F" w:rsidRDefault="00700108" w:rsidP="00417183">
      <w:pPr>
        <w:pStyle w:val="Heading3"/>
        <w:rPr>
          <w:rFonts w:asciiTheme="minorHAnsi" w:hAnsiTheme="minorHAnsi" w:cstheme="minorHAnsi"/>
          <w:sz w:val="22"/>
          <w:szCs w:val="22"/>
          <w:lang w:val="en-CA"/>
        </w:rPr>
      </w:pPr>
      <w:r>
        <w:rPr>
          <w:rStyle w:val="Hyperlink"/>
          <w:rFonts w:asciiTheme="minorHAnsi" w:eastAsia="Times New Roman" w:hAnsiTheme="minorHAnsi" w:cstheme="minorHAnsi"/>
          <w:sz w:val="22"/>
          <w:szCs w:val="22"/>
          <w:lang w:val="en-CA"/>
        </w:rPr>
        <w:lastRenderedPageBreak/>
        <w:fldChar w:fldCharType="end"/>
      </w:r>
    </w:p>
    <w:p w14:paraId="0727BB42" w14:textId="77777777" w:rsidR="0003019D" w:rsidRPr="00DE4115" w:rsidRDefault="00417183" w:rsidP="007E486E">
      <w:pPr>
        <w:pStyle w:val="Heading3"/>
        <w:jc w:val="right"/>
        <w:rPr>
          <w:lang w:val="en-CA"/>
        </w:rPr>
      </w:pPr>
      <w:bookmarkStart w:id="1" w:name="Annex_A"/>
      <w:r>
        <w:rPr>
          <w:lang w:val="en-CA"/>
        </w:rPr>
        <w:t>Annex A</w:t>
      </w:r>
    </w:p>
    <w:bookmarkEnd w:id="1"/>
    <w:p w14:paraId="1A477885" w14:textId="77777777" w:rsidR="005B643E" w:rsidRPr="00DE4115" w:rsidRDefault="005B643E" w:rsidP="005B643E">
      <w:pPr>
        <w:pStyle w:val="Heading2"/>
        <w:jc w:val="center"/>
        <w:rPr>
          <w:lang w:val="en-CA"/>
        </w:rPr>
      </w:pPr>
      <w:r w:rsidRPr="00DE4115">
        <w:rPr>
          <w:lang w:val="en-CA"/>
        </w:rPr>
        <w:t>A New direction in Staffing – A merit-based system that is effective, efficient and fair</w:t>
      </w:r>
    </w:p>
    <w:p w14:paraId="42E739DE" w14:textId="77777777" w:rsidR="005B643E" w:rsidRPr="00DE4115" w:rsidRDefault="005B643E" w:rsidP="005B643E">
      <w:pPr>
        <w:pStyle w:val="Heading3"/>
        <w:spacing w:after="120"/>
        <w:rPr>
          <w:lang w:val="en-CA"/>
        </w:rPr>
      </w:pPr>
      <w:r w:rsidRPr="00DE4115">
        <w:rPr>
          <w:lang w:val="en-CA"/>
        </w:rPr>
        <w:t>Appointment Policy</w:t>
      </w:r>
    </w:p>
    <w:p w14:paraId="3BA3D24A" w14:textId="77777777" w:rsidR="005B643E" w:rsidRPr="00DE4115" w:rsidRDefault="005B643E" w:rsidP="005B643E">
      <w:pPr>
        <w:keepLines/>
        <w:tabs>
          <w:tab w:val="center" w:pos="4680"/>
          <w:tab w:val="right" w:pos="9360"/>
        </w:tabs>
        <w:rPr>
          <w:rFonts w:asciiTheme="minorHAnsi" w:eastAsiaTheme="minorHAnsi" w:hAnsiTheme="minorHAnsi" w:cstheme="minorHAnsi"/>
          <w:noProof/>
          <w:sz w:val="22"/>
          <w:szCs w:val="22"/>
          <w:lang w:val="en-CA" w:eastAsia="en-CA"/>
        </w:rPr>
      </w:pPr>
      <w:r w:rsidRPr="00DE4115">
        <w:rPr>
          <w:rStyle w:val="Strong"/>
          <w:rFonts w:eastAsiaTheme="minorHAnsi" w:cstheme="minorHAnsi"/>
          <w:szCs w:val="22"/>
          <w:lang w:val="en-CA"/>
        </w:rPr>
        <w:t>New focus on core requirements</w:t>
      </w:r>
      <w:r w:rsidRPr="00DE4115">
        <w:rPr>
          <w:rFonts w:asciiTheme="minorHAnsi" w:eastAsiaTheme="minorHAnsi" w:hAnsiTheme="minorHAnsi" w:cstheme="minorHAnsi"/>
          <w:noProof/>
          <w:sz w:val="22"/>
          <w:szCs w:val="22"/>
          <w:lang w:val="en-CA" w:eastAsia="en-CA"/>
        </w:rPr>
        <w:t xml:space="preserve"> to provide sub-delegated persons greater discretion in making an appointment</w:t>
      </w:r>
    </w:p>
    <w:p w14:paraId="16C73627" w14:textId="77777777" w:rsidR="005B643E" w:rsidRPr="00DE4115" w:rsidRDefault="005B643E" w:rsidP="005B643E">
      <w:pPr>
        <w:keepLines/>
        <w:numPr>
          <w:ilvl w:val="0"/>
          <w:numId w:val="20"/>
        </w:numPr>
        <w:tabs>
          <w:tab w:val="center" w:pos="4680"/>
          <w:tab w:val="right" w:pos="9360"/>
        </w:tabs>
        <w:rPr>
          <w:rFonts w:asciiTheme="minorHAnsi" w:eastAsiaTheme="minorHAnsi" w:hAnsiTheme="minorHAnsi" w:cstheme="minorHAnsi"/>
          <w:sz w:val="22"/>
          <w:szCs w:val="22"/>
          <w:lang w:val="en-CA"/>
        </w:rPr>
      </w:pPr>
      <w:r w:rsidRPr="00DE4115">
        <w:rPr>
          <w:rStyle w:val="Strong"/>
          <w:rFonts w:eastAsiaTheme="minorHAnsi" w:cstheme="minorHAnsi"/>
          <w:szCs w:val="22"/>
          <w:lang w:val="en-CA"/>
        </w:rPr>
        <w:t>One Appointment Policy</w:t>
      </w:r>
      <w:r w:rsidRPr="00DE4115">
        <w:rPr>
          <w:rFonts w:asciiTheme="minorHAnsi" w:eastAsiaTheme="minorHAnsi" w:hAnsiTheme="minorHAnsi" w:cstheme="minorHAnsi"/>
          <w:sz w:val="22"/>
          <w:szCs w:val="22"/>
          <w:lang w:val="en-CA"/>
        </w:rPr>
        <w:t>, no duplication with legal requirements</w:t>
      </w:r>
    </w:p>
    <w:p w14:paraId="737544C4" w14:textId="77777777" w:rsidR="005B643E" w:rsidRPr="00DE4115" w:rsidRDefault="005B643E" w:rsidP="005B643E">
      <w:pPr>
        <w:keepLines/>
        <w:numPr>
          <w:ilvl w:val="0"/>
          <w:numId w:val="20"/>
        </w:numPr>
        <w:tabs>
          <w:tab w:val="center" w:pos="4680"/>
          <w:tab w:val="right" w:pos="9360"/>
        </w:tabs>
        <w:rPr>
          <w:rFonts w:asciiTheme="minorHAnsi" w:eastAsiaTheme="minorHAnsi" w:hAnsiTheme="minorHAnsi" w:cstheme="minorHAnsi"/>
          <w:sz w:val="22"/>
          <w:szCs w:val="22"/>
          <w:lang w:val="en-CA"/>
        </w:rPr>
      </w:pPr>
      <w:r w:rsidRPr="00DE4115">
        <w:rPr>
          <w:rStyle w:val="Strong"/>
          <w:rFonts w:eastAsiaTheme="minorHAnsi" w:cstheme="minorHAnsi"/>
          <w:szCs w:val="22"/>
          <w:lang w:val="en-CA"/>
        </w:rPr>
        <w:t>Broader focus on values-based system</w:t>
      </w:r>
      <w:r w:rsidRPr="00DE4115">
        <w:rPr>
          <w:rFonts w:asciiTheme="minorHAnsi" w:eastAsiaTheme="minorHAnsi" w:hAnsiTheme="minorHAnsi" w:cstheme="minorBidi"/>
          <w:bCs/>
          <w:sz w:val="22"/>
          <w:szCs w:val="22"/>
          <w:lang w:val="en-CA"/>
        </w:rPr>
        <w:t>,</w:t>
      </w:r>
      <w:r w:rsidRPr="00DE4115">
        <w:rPr>
          <w:rFonts w:asciiTheme="minorHAnsi" w:eastAsiaTheme="minorHAnsi" w:hAnsiTheme="minorHAnsi" w:cstheme="minorHAnsi"/>
          <w:sz w:val="22"/>
          <w:szCs w:val="22"/>
          <w:lang w:val="en-CA"/>
        </w:rPr>
        <w:t xml:space="preserve"> away from rules-based system</w:t>
      </w:r>
    </w:p>
    <w:p w14:paraId="74DC01CB" w14:textId="77777777" w:rsidR="005B643E" w:rsidRPr="00DE4115" w:rsidRDefault="005B643E" w:rsidP="005B643E">
      <w:pPr>
        <w:keepLines/>
        <w:numPr>
          <w:ilvl w:val="0"/>
          <w:numId w:val="20"/>
        </w:numPr>
        <w:tabs>
          <w:tab w:val="center" w:pos="4680"/>
          <w:tab w:val="right" w:pos="9360"/>
        </w:tabs>
        <w:rPr>
          <w:rFonts w:asciiTheme="minorHAnsi" w:eastAsiaTheme="minorHAnsi" w:hAnsiTheme="minorHAnsi" w:cstheme="minorHAnsi"/>
          <w:sz w:val="22"/>
          <w:szCs w:val="22"/>
          <w:lang w:val="en-CA"/>
        </w:rPr>
      </w:pPr>
      <w:r w:rsidRPr="00DE4115">
        <w:rPr>
          <w:rFonts w:asciiTheme="minorHAnsi" w:eastAsiaTheme="minorHAnsi" w:hAnsiTheme="minorHAnsi" w:cstheme="minorHAnsi"/>
          <w:sz w:val="22"/>
          <w:szCs w:val="22"/>
          <w:lang w:val="en-CA"/>
        </w:rPr>
        <w:t xml:space="preserve">Appointments Policy supported by </w:t>
      </w:r>
      <w:r w:rsidRPr="00DE4115">
        <w:rPr>
          <w:rStyle w:val="Strong"/>
          <w:rFonts w:eastAsiaTheme="minorHAnsi" w:cstheme="minorHAnsi"/>
          <w:szCs w:val="22"/>
          <w:lang w:val="en-CA"/>
        </w:rPr>
        <w:t>streamlined guidance:</w:t>
      </w:r>
    </w:p>
    <w:p w14:paraId="373DCCD8" w14:textId="77777777" w:rsidR="005B643E" w:rsidRPr="00DE4115" w:rsidRDefault="005B643E" w:rsidP="005B643E">
      <w:pPr>
        <w:keepLines/>
        <w:numPr>
          <w:ilvl w:val="1"/>
          <w:numId w:val="27"/>
        </w:numPr>
        <w:tabs>
          <w:tab w:val="center" w:pos="4680"/>
          <w:tab w:val="right" w:pos="9360"/>
        </w:tabs>
        <w:rPr>
          <w:rFonts w:asciiTheme="minorHAnsi" w:eastAsiaTheme="minorHAnsi" w:hAnsiTheme="minorHAnsi" w:cstheme="minorHAnsi"/>
          <w:sz w:val="22"/>
          <w:szCs w:val="22"/>
          <w:lang w:val="en-CA"/>
        </w:rPr>
      </w:pPr>
      <w:r w:rsidRPr="00DE4115">
        <w:rPr>
          <w:rFonts w:asciiTheme="minorHAnsi" w:eastAsiaTheme="minorHAnsi" w:hAnsiTheme="minorHAnsi" w:cstheme="minorHAnsi"/>
          <w:sz w:val="22"/>
          <w:szCs w:val="22"/>
          <w:lang w:val="en-CA"/>
        </w:rPr>
        <w:t>A roadmap to the requirements in legislation, regulations and policy</w:t>
      </w:r>
    </w:p>
    <w:p w14:paraId="58E85D4C" w14:textId="77777777" w:rsidR="005B643E" w:rsidRPr="00DE4115" w:rsidRDefault="005B643E" w:rsidP="005B643E">
      <w:pPr>
        <w:keepLines/>
        <w:numPr>
          <w:ilvl w:val="1"/>
          <w:numId w:val="27"/>
        </w:numPr>
        <w:tabs>
          <w:tab w:val="center" w:pos="4680"/>
          <w:tab w:val="right" w:pos="9360"/>
        </w:tabs>
        <w:rPr>
          <w:rFonts w:asciiTheme="minorHAnsi" w:eastAsiaTheme="minorHAnsi" w:hAnsiTheme="minorHAnsi" w:cstheme="minorHAnsi"/>
          <w:sz w:val="22"/>
          <w:szCs w:val="22"/>
          <w:lang w:val="en-CA"/>
        </w:rPr>
      </w:pPr>
      <w:r w:rsidRPr="00DE4115">
        <w:rPr>
          <w:rFonts w:asciiTheme="minorHAnsi" w:eastAsiaTheme="minorHAnsi" w:hAnsiTheme="minorHAnsi" w:cstheme="minorHAnsi"/>
          <w:sz w:val="22"/>
          <w:szCs w:val="22"/>
          <w:lang w:val="en-CA"/>
        </w:rPr>
        <w:t>Options and considerations for decision-making where there is discretion</w:t>
      </w:r>
    </w:p>
    <w:p w14:paraId="65501CDA" w14:textId="77777777" w:rsidR="005B643E" w:rsidRPr="00DE4115" w:rsidRDefault="005B643E" w:rsidP="005B643E">
      <w:pPr>
        <w:keepLines/>
        <w:numPr>
          <w:ilvl w:val="0"/>
          <w:numId w:val="21"/>
        </w:numPr>
        <w:tabs>
          <w:tab w:val="center" w:pos="4680"/>
          <w:tab w:val="right" w:pos="9360"/>
        </w:tabs>
        <w:rPr>
          <w:rFonts w:asciiTheme="minorHAnsi" w:eastAsiaTheme="minorHAnsi" w:hAnsiTheme="minorHAnsi" w:cstheme="minorHAnsi"/>
          <w:sz w:val="22"/>
          <w:szCs w:val="22"/>
          <w:lang w:val="en-CA"/>
        </w:rPr>
      </w:pPr>
      <w:r w:rsidRPr="00DE4115">
        <w:rPr>
          <w:rStyle w:val="Strong"/>
          <w:rFonts w:eastAsiaTheme="minorHAnsi" w:cstheme="minorHAnsi"/>
          <w:szCs w:val="22"/>
          <w:lang w:val="en-CA"/>
        </w:rPr>
        <w:t>Clear expectations</w:t>
      </w:r>
      <w:r w:rsidRPr="00DE4115">
        <w:rPr>
          <w:rFonts w:asciiTheme="minorHAnsi" w:eastAsiaTheme="minorHAnsi" w:hAnsiTheme="minorHAnsi" w:cstheme="minorHAnsi"/>
          <w:sz w:val="22"/>
          <w:szCs w:val="22"/>
          <w:lang w:val="en-CA"/>
        </w:rPr>
        <w:t xml:space="preserve"> for priority entitlements</w:t>
      </w:r>
    </w:p>
    <w:p w14:paraId="4D6FB4C8" w14:textId="77777777" w:rsidR="005B643E" w:rsidRPr="00DE4115" w:rsidRDefault="005B643E" w:rsidP="005B643E">
      <w:pPr>
        <w:keepLines/>
        <w:numPr>
          <w:ilvl w:val="0"/>
          <w:numId w:val="21"/>
        </w:numPr>
        <w:tabs>
          <w:tab w:val="center" w:pos="4680"/>
          <w:tab w:val="right" w:pos="9360"/>
        </w:tabs>
        <w:rPr>
          <w:rFonts w:asciiTheme="minorHAnsi" w:eastAsiaTheme="minorHAnsi" w:hAnsiTheme="minorHAnsi" w:cstheme="minorHAnsi"/>
          <w:sz w:val="22"/>
          <w:szCs w:val="22"/>
          <w:lang w:val="en-CA"/>
        </w:rPr>
      </w:pPr>
      <w:r w:rsidRPr="00DE4115">
        <w:rPr>
          <w:rFonts w:asciiTheme="minorHAnsi" w:eastAsiaTheme="minorHAnsi" w:hAnsiTheme="minorHAnsi" w:cstheme="minorHAnsi"/>
          <w:sz w:val="22"/>
          <w:szCs w:val="22"/>
          <w:lang w:val="en-CA"/>
        </w:rPr>
        <w:t>No restrictions to assessment methods for EX appointments</w:t>
      </w:r>
    </w:p>
    <w:p w14:paraId="51773179" w14:textId="77777777" w:rsidR="005B643E" w:rsidRPr="00DE4115" w:rsidRDefault="005B643E" w:rsidP="005B643E">
      <w:pPr>
        <w:keepLines/>
        <w:numPr>
          <w:ilvl w:val="0"/>
          <w:numId w:val="21"/>
        </w:numPr>
        <w:tabs>
          <w:tab w:val="center" w:pos="4680"/>
          <w:tab w:val="right" w:pos="9360"/>
        </w:tabs>
        <w:spacing w:after="240"/>
        <w:ind w:left="714" w:hanging="357"/>
        <w:rPr>
          <w:rFonts w:asciiTheme="minorHAnsi" w:eastAsiaTheme="minorHAnsi" w:hAnsiTheme="minorHAnsi" w:cstheme="minorHAnsi"/>
          <w:sz w:val="22"/>
          <w:szCs w:val="22"/>
          <w:lang w:val="en-CA"/>
        </w:rPr>
      </w:pPr>
      <w:r w:rsidRPr="00DE4115">
        <w:rPr>
          <w:rFonts w:asciiTheme="minorHAnsi" w:eastAsiaTheme="minorHAnsi" w:hAnsiTheme="minorHAnsi" w:cstheme="minorHAnsi"/>
          <w:sz w:val="22"/>
          <w:szCs w:val="22"/>
          <w:lang w:val="en-CA"/>
        </w:rPr>
        <w:t>Exceptions to National Area of Selection approved by deputy head</w:t>
      </w:r>
    </w:p>
    <w:p w14:paraId="64B1E079" w14:textId="77777777" w:rsidR="005B643E" w:rsidRPr="00DE4115" w:rsidRDefault="005B643E" w:rsidP="005B643E">
      <w:pPr>
        <w:pStyle w:val="Heading3"/>
        <w:spacing w:after="120"/>
        <w:rPr>
          <w:lang w:val="en-CA"/>
        </w:rPr>
      </w:pPr>
      <w:r w:rsidRPr="00DE4115">
        <w:rPr>
          <w:lang w:val="en-CA"/>
        </w:rPr>
        <w:t>Delegation</w:t>
      </w:r>
    </w:p>
    <w:p w14:paraId="16FD62EB" w14:textId="77777777" w:rsidR="005B643E" w:rsidRPr="00DE4115" w:rsidRDefault="005B643E" w:rsidP="005B643E">
      <w:pPr>
        <w:keepLines/>
        <w:numPr>
          <w:ilvl w:val="0"/>
          <w:numId w:val="23"/>
        </w:numPr>
        <w:spacing w:after="320" w:line="259" w:lineRule="auto"/>
        <w:contextualSpacing/>
        <w:rPr>
          <w:rFonts w:asciiTheme="minorHAnsi" w:eastAsiaTheme="minorHAnsi" w:hAnsiTheme="minorHAnsi" w:cstheme="minorBidi"/>
          <w:sz w:val="22"/>
          <w:szCs w:val="22"/>
          <w:lang w:val="en-CA"/>
        </w:rPr>
      </w:pPr>
      <w:r w:rsidRPr="00DE4115">
        <w:rPr>
          <w:rStyle w:val="Strong"/>
          <w:rFonts w:eastAsiaTheme="minorHAnsi" w:cstheme="minorHAnsi"/>
          <w:lang w:val="en-CA"/>
        </w:rPr>
        <w:t>New ability to customize organizational staffing system</w:t>
      </w:r>
      <w:r w:rsidRPr="00DE4115">
        <w:rPr>
          <w:rFonts w:asciiTheme="minorHAnsi" w:eastAsiaTheme="minorHAnsi" w:hAnsiTheme="minorHAnsi" w:cstheme="minorBidi"/>
          <w:sz w:val="22"/>
          <w:szCs w:val="22"/>
          <w:lang w:val="en-CA"/>
        </w:rPr>
        <w:t xml:space="preserve"> based on unique context and evolving business needs</w:t>
      </w:r>
    </w:p>
    <w:p w14:paraId="11C88680" w14:textId="77777777" w:rsidR="005B643E" w:rsidRPr="00DE4115" w:rsidRDefault="005B643E" w:rsidP="005B643E">
      <w:pPr>
        <w:keepLines/>
        <w:numPr>
          <w:ilvl w:val="0"/>
          <w:numId w:val="22"/>
        </w:numPr>
        <w:spacing w:after="320" w:line="259" w:lineRule="auto"/>
        <w:contextualSpacing/>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 xml:space="preserve">Deputy head establish a direction on the </w:t>
      </w:r>
      <w:r w:rsidRPr="00DE4115">
        <w:rPr>
          <w:rStyle w:val="Strong"/>
          <w:rFonts w:eastAsiaTheme="minorHAnsi" w:cstheme="minorHAnsi"/>
          <w:lang w:val="en-CA"/>
        </w:rPr>
        <w:t>use of advertised and non-advertised</w:t>
      </w:r>
      <w:r w:rsidRPr="00DE4115">
        <w:rPr>
          <w:rFonts w:asciiTheme="minorHAnsi" w:eastAsiaTheme="minorHAnsi" w:hAnsiTheme="minorHAnsi" w:cstheme="minorBidi"/>
          <w:sz w:val="20"/>
          <w:szCs w:val="22"/>
          <w:lang w:val="en-CA"/>
        </w:rPr>
        <w:t xml:space="preserve"> </w:t>
      </w:r>
      <w:r w:rsidRPr="00DE4115">
        <w:rPr>
          <w:rFonts w:asciiTheme="minorHAnsi" w:eastAsiaTheme="minorHAnsi" w:hAnsiTheme="minorHAnsi" w:cstheme="minorBidi"/>
          <w:sz w:val="22"/>
          <w:szCs w:val="22"/>
          <w:lang w:val="en-CA"/>
        </w:rPr>
        <w:t>appointment processes</w:t>
      </w:r>
    </w:p>
    <w:p w14:paraId="54DC87A8" w14:textId="77777777" w:rsidR="005B643E" w:rsidRPr="00DE4115" w:rsidRDefault="005B643E" w:rsidP="005B643E">
      <w:pPr>
        <w:keepLines/>
        <w:numPr>
          <w:ilvl w:val="0"/>
          <w:numId w:val="22"/>
        </w:numPr>
        <w:spacing w:after="320" w:line="259" w:lineRule="auto"/>
        <w:contextualSpacing/>
        <w:rPr>
          <w:rStyle w:val="Strong"/>
          <w:rFonts w:eastAsiaTheme="minorHAnsi" w:cstheme="minorHAnsi"/>
          <w:lang w:val="en-CA"/>
        </w:rPr>
      </w:pPr>
      <w:r w:rsidRPr="00DE4115">
        <w:rPr>
          <w:rFonts w:asciiTheme="minorHAnsi" w:eastAsiaTheme="minorHAnsi" w:hAnsiTheme="minorHAnsi" w:cstheme="minorBidi"/>
          <w:sz w:val="22"/>
          <w:szCs w:val="22"/>
          <w:lang w:val="en-CA"/>
        </w:rPr>
        <w:t xml:space="preserve">Deputy heads to establish requirement(s) for sub-delegated persons to </w:t>
      </w:r>
      <w:r w:rsidRPr="00DE4115">
        <w:rPr>
          <w:rStyle w:val="Strong"/>
          <w:rFonts w:eastAsiaTheme="minorHAnsi" w:cstheme="minorHAnsi"/>
          <w:lang w:val="en-CA"/>
        </w:rPr>
        <w:t>articulate, in writing, their selection decision</w:t>
      </w:r>
    </w:p>
    <w:p w14:paraId="2B4D29D9" w14:textId="77777777" w:rsidR="005B643E" w:rsidRPr="00DE4115" w:rsidRDefault="005B643E" w:rsidP="005B643E">
      <w:pPr>
        <w:keepLines/>
        <w:numPr>
          <w:ilvl w:val="0"/>
          <w:numId w:val="22"/>
        </w:numPr>
        <w:spacing w:after="320" w:line="259" w:lineRule="auto"/>
        <w:contextualSpacing/>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Clarity on requirements related to investigations</w:t>
      </w:r>
    </w:p>
    <w:p w14:paraId="4A4B404D" w14:textId="77777777" w:rsidR="005B643E" w:rsidRPr="00DE4115" w:rsidRDefault="005B643E" w:rsidP="005B643E">
      <w:pPr>
        <w:keepLines/>
        <w:numPr>
          <w:ilvl w:val="0"/>
          <w:numId w:val="22"/>
        </w:numPr>
        <w:spacing w:after="320" w:line="259" w:lineRule="auto"/>
        <w:contextualSpacing/>
        <w:rPr>
          <w:rFonts w:asciiTheme="minorHAnsi" w:eastAsiaTheme="minorHAnsi" w:hAnsiTheme="minorHAnsi" w:cstheme="minorBidi"/>
          <w:sz w:val="22"/>
          <w:szCs w:val="22"/>
          <w:lang w:val="en-CA"/>
        </w:rPr>
      </w:pPr>
      <w:r w:rsidRPr="00DE4115">
        <w:rPr>
          <w:rStyle w:val="Strong"/>
          <w:rFonts w:eastAsiaTheme="minorHAnsi" w:cstheme="minorHAnsi"/>
          <w:lang w:val="en-CA"/>
        </w:rPr>
        <w:t>Attestation form</w:t>
      </w:r>
      <w:r w:rsidRPr="00DE4115">
        <w:rPr>
          <w:rFonts w:asciiTheme="minorHAnsi" w:eastAsiaTheme="minorHAnsi" w:hAnsiTheme="minorHAnsi" w:cstheme="minorBidi"/>
          <w:sz w:val="20"/>
          <w:szCs w:val="22"/>
          <w:lang w:val="en-CA"/>
        </w:rPr>
        <w:t xml:space="preserve"> </w:t>
      </w:r>
      <w:r w:rsidRPr="00DE4115">
        <w:rPr>
          <w:rFonts w:asciiTheme="minorHAnsi" w:eastAsiaTheme="minorHAnsi" w:hAnsiTheme="minorHAnsi" w:cstheme="minorBidi"/>
          <w:sz w:val="22"/>
          <w:szCs w:val="22"/>
          <w:lang w:val="en-CA"/>
        </w:rPr>
        <w:t>to reinforce the accountabilities of sub-delegated persons</w:t>
      </w:r>
    </w:p>
    <w:p w14:paraId="43EE94FA" w14:textId="77777777" w:rsidR="005B643E" w:rsidRPr="00DE4115" w:rsidRDefault="005B643E" w:rsidP="005B643E">
      <w:pPr>
        <w:keepLines/>
        <w:spacing w:after="360" w:line="259" w:lineRule="auto"/>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All PSC monitoring and reporting requirements now found in the Appointment Delegation and Accountability Instrument</w:t>
      </w:r>
    </w:p>
    <w:p w14:paraId="32D60DD8" w14:textId="77777777" w:rsidR="005B643E" w:rsidRPr="00DE4115" w:rsidRDefault="005B643E" w:rsidP="005B643E">
      <w:pPr>
        <w:pStyle w:val="Heading3"/>
        <w:spacing w:after="120"/>
        <w:rPr>
          <w:lang w:val="en-CA"/>
        </w:rPr>
      </w:pPr>
      <w:r w:rsidRPr="00DE4115">
        <w:rPr>
          <w:lang w:val="en-CA"/>
        </w:rPr>
        <w:t>Monitoring and Reporting</w:t>
      </w:r>
    </w:p>
    <w:p w14:paraId="58DDD4D5" w14:textId="77777777" w:rsidR="005B643E" w:rsidRPr="00DE4115" w:rsidRDefault="005B643E" w:rsidP="005B643E">
      <w:pPr>
        <w:keepLines/>
        <w:spacing w:after="120" w:line="259" w:lineRule="auto"/>
        <w:rPr>
          <w:rFonts w:asciiTheme="minorHAnsi" w:eastAsiaTheme="minorHAnsi" w:hAnsiTheme="minorHAnsi" w:cstheme="minorBidi"/>
          <w:sz w:val="22"/>
          <w:szCs w:val="22"/>
          <w:lang w:val="en-CA"/>
        </w:rPr>
      </w:pPr>
      <w:r w:rsidRPr="00DE4115">
        <w:rPr>
          <w:rStyle w:val="Strong"/>
          <w:rFonts w:eastAsiaTheme="minorHAnsi" w:cstheme="minorHAnsi"/>
          <w:szCs w:val="22"/>
          <w:lang w:val="en-CA"/>
        </w:rPr>
        <w:t>Monitoring built by organizations</w:t>
      </w:r>
      <w:r w:rsidRPr="00DE4115">
        <w:rPr>
          <w:rFonts w:asciiTheme="minorHAnsi" w:eastAsiaTheme="minorHAnsi" w:hAnsiTheme="minorHAnsi" w:cstheme="minorBidi"/>
          <w:sz w:val="22"/>
          <w:szCs w:val="22"/>
          <w:lang w:val="en-CA"/>
        </w:rPr>
        <w:t>, targeted to their needs</w:t>
      </w:r>
    </w:p>
    <w:p w14:paraId="513AE684" w14:textId="77777777" w:rsidR="005B643E" w:rsidRPr="00DE4115" w:rsidRDefault="005B643E" w:rsidP="005B643E">
      <w:pPr>
        <w:keepLines/>
        <w:numPr>
          <w:ilvl w:val="0"/>
          <w:numId w:val="24"/>
        </w:numPr>
        <w:spacing w:after="320" w:line="259" w:lineRule="auto"/>
        <w:contextualSpacing/>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Annual Departmental Staffing Accountability Report no longer required</w:t>
      </w:r>
    </w:p>
    <w:p w14:paraId="5BAA2873" w14:textId="77777777" w:rsidR="005B643E" w:rsidRPr="00DE4115" w:rsidRDefault="005B643E" w:rsidP="005B643E">
      <w:pPr>
        <w:keepLines/>
        <w:numPr>
          <w:ilvl w:val="0"/>
          <w:numId w:val="24"/>
        </w:numPr>
        <w:spacing w:after="320" w:line="259" w:lineRule="auto"/>
        <w:contextualSpacing/>
        <w:rPr>
          <w:rFonts w:asciiTheme="minorHAnsi" w:eastAsiaTheme="minorHAnsi" w:hAnsiTheme="minorHAnsi" w:cstheme="minorBidi"/>
          <w:sz w:val="22"/>
          <w:szCs w:val="22"/>
          <w:lang w:val="en-CA"/>
        </w:rPr>
      </w:pPr>
      <w:r w:rsidRPr="00DE4115">
        <w:rPr>
          <w:rStyle w:val="Strong"/>
          <w:rFonts w:eastAsiaTheme="minorHAnsi" w:cstheme="minorHAnsi"/>
          <w:szCs w:val="22"/>
          <w:lang w:val="en-CA"/>
        </w:rPr>
        <w:t>Annual reporting to the PSC limited</w:t>
      </w:r>
      <w:r w:rsidRPr="00DE4115">
        <w:rPr>
          <w:rFonts w:asciiTheme="minorHAnsi" w:eastAsiaTheme="minorHAnsi" w:hAnsiTheme="minorHAnsi" w:cstheme="minorBidi"/>
          <w:sz w:val="22"/>
          <w:szCs w:val="22"/>
          <w:lang w:val="en-CA"/>
        </w:rPr>
        <w:t xml:space="preserve"> to:</w:t>
      </w:r>
    </w:p>
    <w:p w14:paraId="29DE9D18" w14:textId="77777777" w:rsidR="005B643E" w:rsidRPr="00DE4115" w:rsidRDefault="005B643E" w:rsidP="005B643E">
      <w:pPr>
        <w:keepLines/>
        <w:numPr>
          <w:ilvl w:val="1"/>
          <w:numId w:val="24"/>
        </w:numPr>
        <w:spacing w:after="320" w:line="259" w:lineRule="auto"/>
        <w:contextualSpacing/>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Use of Public Service Official Language Exclusion Approval Order</w:t>
      </w:r>
    </w:p>
    <w:p w14:paraId="5C3D68F9" w14:textId="77777777" w:rsidR="005B643E" w:rsidRPr="00DE4115" w:rsidRDefault="005B643E" w:rsidP="005B643E">
      <w:pPr>
        <w:keepLines/>
        <w:numPr>
          <w:ilvl w:val="1"/>
          <w:numId w:val="24"/>
        </w:numPr>
        <w:spacing w:after="320" w:line="259" w:lineRule="auto"/>
        <w:contextualSpacing/>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Exceptions to the National Area of Selection approved by the deputy head</w:t>
      </w:r>
    </w:p>
    <w:p w14:paraId="3AF10EB2" w14:textId="77777777" w:rsidR="005B643E" w:rsidRPr="00DE4115" w:rsidRDefault="005B643E" w:rsidP="005B643E">
      <w:pPr>
        <w:keepLines/>
        <w:numPr>
          <w:ilvl w:val="1"/>
          <w:numId w:val="24"/>
        </w:numPr>
        <w:spacing w:after="320" w:line="259" w:lineRule="auto"/>
        <w:contextualSpacing/>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Results of any internal investigations</w:t>
      </w:r>
    </w:p>
    <w:p w14:paraId="4CCD8E44" w14:textId="77777777" w:rsidR="005B643E" w:rsidRPr="00DE4115" w:rsidRDefault="005B643E" w:rsidP="005B643E">
      <w:pPr>
        <w:keepLines/>
        <w:numPr>
          <w:ilvl w:val="1"/>
          <w:numId w:val="24"/>
        </w:numPr>
        <w:spacing w:after="320" w:line="259" w:lineRule="auto"/>
        <w:contextualSpacing/>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Actions taken following any PSC investigations or audits.</w:t>
      </w:r>
    </w:p>
    <w:p w14:paraId="04D7AB1C" w14:textId="77777777" w:rsidR="005B643E" w:rsidRPr="00DE4115" w:rsidRDefault="005B643E" w:rsidP="005B643E">
      <w:pPr>
        <w:keepLines/>
        <w:numPr>
          <w:ilvl w:val="0"/>
          <w:numId w:val="25"/>
        </w:numPr>
        <w:spacing w:after="320" w:line="259" w:lineRule="auto"/>
        <w:contextualSpacing/>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 xml:space="preserve">Deputy head responsible for </w:t>
      </w:r>
      <w:r w:rsidRPr="00DE4115">
        <w:rPr>
          <w:rStyle w:val="Strong"/>
          <w:rFonts w:eastAsiaTheme="minorHAnsi" w:cstheme="minorHAnsi"/>
          <w:szCs w:val="22"/>
          <w:lang w:val="en-CA"/>
        </w:rPr>
        <w:t>ongoing monitoring of organizational staffing system</w:t>
      </w:r>
      <w:r w:rsidRPr="00DE4115">
        <w:rPr>
          <w:rFonts w:asciiTheme="minorHAnsi" w:eastAsiaTheme="minorHAnsi" w:hAnsiTheme="minorHAnsi" w:cstheme="minorBidi"/>
          <w:sz w:val="22"/>
          <w:szCs w:val="22"/>
          <w:lang w:val="en-CA"/>
        </w:rPr>
        <w:t xml:space="preserve"> based on the organization’s unique context</w:t>
      </w:r>
    </w:p>
    <w:p w14:paraId="60CC13EE" w14:textId="77777777" w:rsidR="005B643E" w:rsidRPr="00DE4115" w:rsidRDefault="005B643E" w:rsidP="005B643E">
      <w:pPr>
        <w:keepLines/>
        <w:numPr>
          <w:ilvl w:val="1"/>
          <w:numId w:val="25"/>
        </w:numPr>
        <w:spacing w:after="320" w:line="259" w:lineRule="auto"/>
        <w:contextualSpacing/>
        <w:rPr>
          <w:rFonts w:asciiTheme="minorHAnsi" w:eastAsiaTheme="minorHAnsi" w:hAnsiTheme="minorHAnsi" w:cstheme="minorBidi"/>
          <w:sz w:val="22"/>
          <w:szCs w:val="22"/>
          <w:lang w:val="en-CA"/>
        </w:rPr>
      </w:pPr>
      <w:r w:rsidRPr="00DE4115">
        <w:rPr>
          <w:rStyle w:val="Strong"/>
          <w:rFonts w:eastAsiaTheme="minorHAnsi" w:cstheme="minorHAnsi"/>
          <w:szCs w:val="22"/>
          <w:lang w:val="en-CA"/>
        </w:rPr>
        <w:t>Assessment of adherence to requirements</w:t>
      </w:r>
      <w:r w:rsidRPr="00DE4115">
        <w:rPr>
          <w:rFonts w:asciiTheme="minorHAnsi" w:eastAsiaTheme="minorHAnsi" w:hAnsiTheme="minorHAnsi" w:cstheme="minorBidi"/>
          <w:sz w:val="22"/>
          <w:szCs w:val="22"/>
          <w:lang w:val="en-CA"/>
        </w:rPr>
        <w:t>, based on organization’s own risks, at the minimum every five years</w:t>
      </w:r>
    </w:p>
    <w:p w14:paraId="10258B99" w14:textId="77777777" w:rsidR="005B643E" w:rsidRPr="00DE4115" w:rsidRDefault="005B643E" w:rsidP="005B643E">
      <w:pPr>
        <w:pStyle w:val="Heading3"/>
        <w:spacing w:after="120"/>
        <w:rPr>
          <w:lang w:val="en-CA"/>
        </w:rPr>
      </w:pPr>
      <w:r w:rsidRPr="00DE4115">
        <w:rPr>
          <w:lang w:val="en-CA"/>
        </w:rPr>
        <w:lastRenderedPageBreak/>
        <w:t>PSC Oversight</w:t>
      </w:r>
    </w:p>
    <w:p w14:paraId="0B6922E9" w14:textId="77777777" w:rsidR="005B643E" w:rsidRPr="00DE4115" w:rsidRDefault="005B643E" w:rsidP="005B643E">
      <w:pPr>
        <w:keepLines/>
        <w:spacing w:after="120" w:line="259" w:lineRule="auto"/>
        <w:rPr>
          <w:rFonts w:asciiTheme="minorHAnsi" w:eastAsiaTheme="minorHAnsi" w:hAnsiTheme="minorHAnsi" w:cstheme="minorBidi"/>
          <w:sz w:val="22"/>
          <w:szCs w:val="22"/>
          <w:lang w:val="en-CA"/>
        </w:rPr>
      </w:pPr>
      <w:r w:rsidRPr="00DE4115">
        <w:rPr>
          <w:rFonts w:asciiTheme="minorHAnsi" w:eastAsiaTheme="minorHAnsi" w:hAnsiTheme="minorHAnsi" w:cstheme="minorBidi"/>
          <w:sz w:val="22"/>
          <w:szCs w:val="22"/>
          <w:lang w:val="en-CA"/>
        </w:rPr>
        <w:t>System wide-focus</w:t>
      </w:r>
    </w:p>
    <w:p w14:paraId="5B6CEC35" w14:textId="77777777" w:rsidR="005B643E" w:rsidRPr="00DE4115" w:rsidRDefault="005B643E" w:rsidP="005B643E">
      <w:pPr>
        <w:keepLines/>
        <w:numPr>
          <w:ilvl w:val="0"/>
          <w:numId w:val="26"/>
        </w:numPr>
        <w:spacing w:line="259" w:lineRule="auto"/>
        <w:rPr>
          <w:rStyle w:val="Strong"/>
          <w:rFonts w:eastAsiaTheme="minorHAnsi" w:cstheme="minorHAnsi"/>
          <w:lang w:val="en-CA"/>
        </w:rPr>
      </w:pPr>
      <w:r w:rsidRPr="00DE4115">
        <w:rPr>
          <w:rStyle w:val="Strong"/>
          <w:rFonts w:eastAsiaTheme="minorHAnsi" w:cstheme="minorHAnsi"/>
          <w:lang w:val="en-CA"/>
        </w:rPr>
        <w:t>Government-wide compliance audit every two years</w:t>
      </w:r>
    </w:p>
    <w:p w14:paraId="7CAE837E" w14:textId="77777777" w:rsidR="005B643E" w:rsidRPr="00DE4115" w:rsidRDefault="005B643E" w:rsidP="005B643E">
      <w:pPr>
        <w:keepLines/>
        <w:numPr>
          <w:ilvl w:val="0"/>
          <w:numId w:val="26"/>
        </w:numPr>
        <w:spacing w:line="259" w:lineRule="auto"/>
        <w:rPr>
          <w:rFonts w:asciiTheme="minorHAnsi" w:eastAsiaTheme="minorHAnsi" w:hAnsiTheme="minorHAnsi" w:cstheme="minorBidi"/>
          <w:sz w:val="22"/>
          <w:szCs w:val="22"/>
          <w:lang w:val="en-CA"/>
        </w:rPr>
      </w:pPr>
      <w:r w:rsidRPr="00DE4115">
        <w:rPr>
          <w:rStyle w:val="Strong"/>
          <w:rFonts w:eastAsiaTheme="minorHAnsi" w:cstheme="minorHAnsi"/>
          <w:lang w:val="en-CA"/>
        </w:rPr>
        <w:t>Renewed Survey of Staffing</w:t>
      </w:r>
      <w:r w:rsidRPr="00DE4115">
        <w:rPr>
          <w:rFonts w:asciiTheme="minorHAnsi" w:eastAsiaTheme="minorHAnsi" w:hAnsiTheme="minorHAnsi" w:cstheme="minorBidi"/>
          <w:sz w:val="20"/>
          <w:szCs w:val="22"/>
          <w:lang w:val="en-CA"/>
        </w:rPr>
        <w:t xml:space="preserve"> </w:t>
      </w:r>
      <w:r w:rsidRPr="00DE4115">
        <w:rPr>
          <w:rFonts w:asciiTheme="minorHAnsi" w:eastAsiaTheme="minorHAnsi" w:hAnsiTheme="minorHAnsi" w:cstheme="minorBidi"/>
          <w:sz w:val="22"/>
          <w:szCs w:val="22"/>
          <w:lang w:val="en-CA"/>
        </w:rPr>
        <w:t>administered in alternating years with government-wide audit</w:t>
      </w:r>
    </w:p>
    <w:p w14:paraId="4DF77B99" w14:textId="77777777" w:rsidR="005B643E" w:rsidRPr="00DE4115" w:rsidRDefault="005B643E" w:rsidP="005B643E">
      <w:pPr>
        <w:keepLines/>
        <w:numPr>
          <w:ilvl w:val="0"/>
          <w:numId w:val="26"/>
        </w:numPr>
        <w:spacing w:line="259" w:lineRule="auto"/>
        <w:rPr>
          <w:rFonts w:asciiTheme="minorHAnsi" w:eastAsiaTheme="minorHAnsi" w:hAnsiTheme="minorHAnsi" w:cstheme="minorBidi"/>
          <w:sz w:val="22"/>
          <w:szCs w:val="22"/>
          <w:lang w:val="en-CA"/>
        </w:rPr>
      </w:pPr>
      <w:r w:rsidRPr="00DE4115">
        <w:rPr>
          <w:rStyle w:val="Strong"/>
          <w:rFonts w:eastAsiaTheme="minorHAnsi" w:cstheme="minorHAnsi"/>
          <w:lang w:val="en-CA"/>
        </w:rPr>
        <w:t>System-wide effectiveness and efficiency reviews</w:t>
      </w:r>
      <w:r w:rsidRPr="00DE4115">
        <w:rPr>
          <w:rFonts w:asciiTheme="minorHAnsi" w:eastAsiaTheme="minorHAnsi" w:hAnsiTheme="minorHAnsi" w:cstheme="minorBidi"/>
          <w:sz w:val="20"/>
          <w:szCs w:val="22"/>
          <w:lang w:val="en-CA"/>
        </w:rPr>
        <w:t xml:space="preserve"> </w:t>
      </w:r>
      <w:r w:rsidRPr="00DE4115">
        <w:rPr>
          <w:rFonts w:asciiTheme="minorHAnsi" w:eastAsiaTheme="minorHAnsi" w:hAnsiTheme="minorHAnsi" w:cstheme="minorBidi"/>
          <w:sz w:val="22"/>
          <w:szCs w:val="22"/>
          <w:lang w:val="en-CA"/>
        </w:rPr>
        <w:t>to support continuous improvement</w:t>
      </w:r>
    </w:p>
    <w:p w14:paraId="2A4D7C1E" w14:textId="77777777" w:rsidR="005B643E" w:rsidRPr="00DE4115" w:rsidRDefault="005B643E" w:rsidP="005B643E">
      <w:pPr>
        <w:keepLines/>
        <w:numPr>
          <w:ilvl w:val="0"/>
          <w:numId w:val="26"/>
        </w:numPr>
        <w:spacing w:line="259" w:lineRule="auto"/>
        <w:rPr>
          <w:rFonts w:asciiTheme="minorHAnsi" w:eastAsiaTheme="minorHAnsi" w:hAnsiTheme="minorHAnsi" w:cstheme="minorBidi"/>
          <w:sz w:val="22"/>
          <w:szCs w:val="22"/>
          <w:lang w:val="en-CA"/>
        </w:rPr>
      </w:pPr>
      <w:r w:rsidRPr="00DE4115">
        <w:rPr>
          <w:rStyle w:val="Strong"/>
          <w:rFonts w:eastAsiaTheme="minorHAnsi" w:cstheme="minorHAnsi"/>
          <w:lang w:val="en-CA"/>
        </w:rPr>
        <w:t>Targeted PSC audits</w:t>
      </w:r>
      <w:r w:rsidRPr="00DE4115">
        <w:rPr>
          <w:rFonts w:asciiTheme="minorHAnsi" w:eastAsiaTheme="minorHAnsi" w:hAnsiTheme="minorHAnsi" w:cstheme="minorBidi"/>
          <w:sz w:val="20"/>
          <w:szCs w:val="22"/>
          <w:lang w:val="en-CA"/>
        </w:rPr>
        <w:t xml:space="preserve"> </w:t>
      </w:r>
      <w:r w:rsidRPr="00DE4115">
        <w:rPr>
          <w:rFonts w:asciiTheme="minorHAnsi" w:eastAsiaTheme="minorHAnsi" w:hAnsiTheme="minorHAnsi" w:cstheme="minorBidi"/>
          <w:sz w:val="22"/>
          <w:szCs w:val="22"/>
          <w:lang w:val="en-CA"/>
        </w:rPr>
        <w:t>as a result of identified system-wide or organizational risks or at the deputy head request</w:t>
      </w:r>
    </w:p>
    <w:p w14:paraId="799F5513" w14:textId="77777777" w:rsidR="005B643E" w:rsidRPr="00DE4115" w:rsidRDefault="005B643E" w:rsidP="005B643E">
      <w:pPr>
        <w:keepLines/>
        <w:numPr>
          <w:ilvl w:val="0"/>
          <w:numId w:val="26"/>
        </w:numPr>
        <w:spacing w:after="320" w:line="259" w:lineRule="auto"/>
        <w:rPr>
          <w:rFonts w:asciiTheme="minorHAnsi" w:eastAsiaTheme="minorHAnsi" w:hAnsiTheme="minorHAnsi" w:cstheme="minorBidi"/>
          <w:sz w:val="22"/>
          <w:szCs w:val="22"/>
          <w:lang w:val="en-CA"/>
        </w:rPr>
      </w:pPr>
      <w:r w:rsidRPr="00DE4115">
        <w:rPr>
          <w:rStyle w:val="Strong"/>
          <w:rFonts w:eastAsiaTheme="minorHAnsi" w:cstheme="minorHAnsi"/>
          <w:lang w:val="en-CA"/>
        </w:rPr>
        <w:t>Investigations conducted</w:t>
      </w:r>
      <w:r w:rsidRPr="00DE4115">
        <w:rPr>
          <w:rFonts w:asciiTheme="minorHAnsi" w:eastAsiaTheme="minorHAnsi" w:hAnsiTheme="minorHAnsi" w:cstheme="minorBidi"/>
          <w:sz w:val="20"/>
          <w:szCs w:val="22"/>
          <w:lang w:val="en-CA"/>
        </w:rPr>
        <w:t xml:space="preserve"> </w:t>
      </w:r>
      <w:r w:rsidRPr="00DE4115">
        <w:rPr>
          <w:rFonts w:asciiTheme="minorHAnsi" w:eastAsiaTheme="minorHAnsi" w:hAnsiTheme="minorHAnsi" w:cstheme="minorBidi"/>
          <w:sz w:val="22"/>
          <w:szCs w:val="22"/>
          <w:lang w:val="en-CA"/>
        </w:rPr>
        <w:t>when there is a reason to believe there was political influence, fraud or improper conduct in an appointment process</w:t>
      </w:r>
    </w:p>
    <w:p w14:paraId="708FB35C" w14:textId="77777777" w:rsidR="003552F5" w:rsidRPr="00DE4115" w:rsidRDefault="005B643E" w:rsidP="007172D7">
      <w:pPr>
        <w:pStyle w:val="Level1"/>
        <w:tabs>
          <w:tab w:val="left" w:pos="-1440"/>
        </w:tabs>
        <w:autoSpaceDE w:val="0"/>
        <w:autoSpaceDN w:val="0"/>
        <w:adjustRightInd w:val="0"/>
        <w:rPr>
          <w:rFonts w:asciiTheme="minorHAnsi" w:eastAsiaTheme="minorHAnsi" w:hAnsiTheme="minorHAnsi" w:cstheme="minorHAnsi"/>
          <w:b/>
          <w:bCs/>
          <w:color w:val="0070C0"/>
          <w:sz w:val="22"/>
          <w:szCs w:val="22"/>
          <w:lang w:val="en-CA"/>
        </w:rPr>
        <w:sectPr w:rsidR="003552F5" w:rsidRPr="00DE4115" w:rsidSect="0003019D">
          <w:footerReference w:type="default" r:id="rId8"/>
          <w:footerReference w:type="first" r:id="rId9"/>
          <w:pgSz w:w="12240" w:h="15840"/>
          <w:pgMar w:top="709" w:right="1304" w:bottom="1361" w:left="1304" w:header="708" w:footer="283" w:gutter="0"/>
          <w:cols w:space="708"/>
          <w:titlePg/>
          <w:docGrid w:linePitch="360"/>
        </w:sectPr>
      </w:pPr>
      <w:r w:rsidRPr="00DE4115">
        <w:rPr>
          <w:rStyle w:val="Strong"/>
          <w:rFonts w:eastAsiaTheme="minorHAnsi" w:cstheme="minorHAnsi"/>
          <w:b w:val="0"/>
          <w:lang w:val="en-CA"/>
        </w:rPr>
        <w:t xml:space="preserve">This document should be read in conjunction with the </w:t>
      </w:r>
      <w:r w:rsidRPr="000D4432">
        <w:rPr>
          <w:rStyle w:val="Emphasis"/>
          <w:rFonts w:eastAsiaTheme="minorHAnsi" w:cstheme="minorHAnsi"/>
          <w:sz w:val="22"/>
        </w:rPr>
        <w:t>Public Service Employment Act</w:t>
      </w:r>
      <w:r w:rsidRPr="00DE4115">
        <w:rPr>
          <w:rStyle w:val="Strong"/>
          <w:rFonts w:eastAsiaTheme="minorHAnsi" w:cstheme="minorHAnsi"/>
          <w:b w:val="0"/>
          <w:lang w:val="en-CA"/>
        </w:rPr>
        <w:t xml:space="preserve">, the </w:t>
      </w:r>
      <w:r w:rsidRPr="000D4432">
        <w:rPr>
          <w:rStyle w:val="Emphasis"/>
          <w:rFonts w:eastAsiaTheme="minorHAnsi" w:cstheme="minorHAnsi"/>
          <w:sz w:val="22"/>
        </w:rPr>
        <w:t>Public Service Employment Regulations</w:t>
      </w:r>
      <w:r w:rsidRPr="00DE4115">
        <w:rPr>
          <w:rStyle w:val="Strong"/>
          <w:rFonts w:eastAsiaTheme="minorHAnsi" w:cstheme="minorHAnsi"/>
          <w:b w:val="0"/>
          <w:lang w:val="en-CA"/>
        </w:rPr>
        <w:t>, the PSC Appointment Policy and the PSC Appointment Delegation and Accountability Instrument.</w:t>
      </w:r>
    </w:p>
    <w:p w14:paraId="53E0BB32" w14:textId="77777777" w:rsidR="0003019D" w:rsidRPr="00DE4115" w:rsidRDefault="00417183" w:rsidP="007E486E">
      <w:pPr>
        <w:pStyle w:val="Heading3"/>
        <w:spacing w:before="0"/>
        <w:jc w:val="right"/>
        <w:rPr>
          <w:lang w:val="en-CA"/>
        </w:rPr>
      </w:pPr>
      <w:bookmarkStart w:id="2" w:name="Annex_B"/>
      <w:r>
        <w:rPr>
          <w:lang w:val="en-CA"/>
        </w:rPr>
        <w:lastRenderedPageBreak/>
        <w:t>Annex B</w:t>
      </w:r>
    </w:p>
    <w:bookmarkEnd w:id="2"/>
    <w:p w14:paraId="6F7A40DB" w14:textId="330F56F7" w:rsidR="000D4432" w:rsidRDefault="000D4432" w:rsidP="000D4432">
      <w:pPr>
        <w:pStyle w:val="Heading1"/>
        <w:spacing w:before="120" w:after="120"/>
        <w:rPr>
          <w:rFonts w:eastAsia="Times New Roman"/>
          <w:noProof/>
          <w:sz w:val="40"/>
          <w:lang w:val="en-CA" w:eastAsia="en-CA"/>
        </w:rPr>
      </w:pPr>
      <w:r>
        <w:rPr>
          <w:rFonts w:eastAsia="Times New Roman"/>
          <w:noProof/>
          <w:sz w:val="40"/>
          <w:lang w:val="en-CA" w:eastAsia="en-CA"/>
        </w:rPr>
        <w:t>Population by tenure as of</w:t>
      </w:r>
      <w:r w:rsidRPr="000D4432">
        <w:rPr>
          <w:rFonts w:eastAsia="Times New Roman"/>
          <w:noProof/>
          <w:sz w:val="40"/>
          <w:lang w:val="en-CA" w:eastAsia="en-CA"/>
        </w:rPr>
        <w:t xml:space="preserve"> March 31</w:t>
      </w:r>
    </w:p>
    <w:p w14:paraId="6E881D71" w14:textId="76DE5E7A" w:rsidR="001D1E20" w:rsidRDefault="001D1E20" w:rsidP="001D1E20">
      <w:pPr>
        <w:rPr>
          <w:lang w:val="en-CA" w:eastAsia="en-CA"/>
        </w:rPr>
      </w:pPr>
    </w:p>
    <w:p w14:paraId="4BDB53D9" w14:textId="382C8A78" w:rsidR="001D1E20" w:rsidRPr="001D1E20" w:rsidRDefault="001D1E20" w:rsidP="001D1E20">
      <w:pPr>
        <w:jc w:val="center"/>
        <w:rPr>
          <w:lang w:val="en-CA" w:eastAsia="en-CA"/>
        </w:rPr>
      </w:pPr>
      <w:r>
        <w:rPr>
          <w:noProof/>
          <w:lang w:val="en-CA" w:eastAsia="en-CA"/>
        </w:rPr>
        <w:drawing>
          <wp:inline distT="0" distB="0" distL="0" distR="0" wp14:anchorId="1FC8E0E2" wp14:editId="38063DFD">
            <wp:extent cx="5648400" cy="3049200"/>
            <wp:effectExtent l="0" t="0" r="9525" b="18415"/>
            <wp:docPr id="1" name="Chart 13" descr="Population by tenure as of March 3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731EA0" w14:textId="77777777" w:rsidR="000D4432" w:rsidRPr="000D4432" w:rsidRDefault="000D4432" w:rsidP="000D4432">
      <w:pPr>
        <w:pStyle w:val="Caption"/>
        <w:spacing w:after="0"/>
        <w:jc w:val="center"/>
        <w:rPr>
          <w:rFonts w:asciiTheme="minorHAnsi" w:hAnsiTheme="minorHAnsi" w:cstheme="minorHAnsi"/>
          <w:i w:val="0"/>
          <w:color w:val="auto"/>
        </w:rPr>
      </w:pPr>
      <w:r w:rsidRPr="000D4432">
        <w:rPr>
          <w:rFonts w:asciiTheme="minorHAnsi" w:hAnsiTheme="minorHAnsi" w:cstheme="minorHAnsi"/>
          <w:i w:val="0"/>
          <w:color w:val="auto"/>
        </w:rPr>
        <w:t xml:space="preserve">Figure </w:t>
      </w:r>
      <w:r w:rsidRPr="000D4432">
        <w:rPr>
          <w:rFonts w:asciiTheme="minorHAnsi" w:hAnsiTheme="minorHAnsi" w:cstheme="minorHAnsi"/>
          <w:i w:val="0"/>
          <w:color w:val="auto"/>
        </w:rPr>
        <w:fldChar w:fldCharType="begin"/>
      </w:r>
      <w:r w:rsidRPr="000D4432">
        <w:rPr>
          <w:rFonts w:asciiTheme="minorHAnsi" w:hAnsiTheme="minorHAnsi" w:cstheme="minorHAnsi"/>
          <w:i w:val="0"/>
          <w:color w:val="auto"/>
        </w:rPr>
        <w:instrText xml:space="preserve"> SEQ Figure \* ARABIC </w:instrText>
      </w:r>
      <w:r w:rsidRPr="000D4432">
        <w:rPr>
          <w:rFonts w:asciiTheme="minorHAnsi" w:hAnsiTheme="minorHAnsi" w:cstheme="minorHAnsi"/>
          <w:i w:val="0"/>
          <w:color w:val="auto"/>
        </w:rPr>
        <w:fldChar w:fldCharType="separate"/>
      </w:r>
      <w:r w:rsidR="004F3406">
        <w:rPr>
          <w:rFonts w:asciiTheme="minorHAnsi" w:hAnsiTheme="minorHAnsi" w:cstheme="minorHAnsi"/>
          <w:i w:val="0"/>
          <w:noProof/>
          <w:color w:val="auto"/>
        </w:rPr>
        <w:t>1</w:t>
      </w:r>
      <w:r w:rsidRPr="000D4432">
        <w:rPr>
          <w:rFonts w:asciiTheme="minorHAnsi" w:hAnsiTheme="minorHAnsi" w:cstheme="minorHAnsi"/>
          <w:i w:val="0"/>
          <w:color w:val="auto"/>
        </w:rPr>
        <w:fldChar w:fldCharType="end"/>
      </w:r>
      <w:r w:rsidRPr="000D4432">
        <w:rPr>
          <w:rFonts w:asciiTheme="minorHAnsi" w:hAnsiTheme="minorHAnsi" w:cstheme="minorHAnsi"/>
          <w:i w:val="0"/>
          <w:color w:val="auto"/>
        </w:rPr>
        <w:t xml:space="preserve"> - Population by tenure as of March 31</w:t>
      </w:r>
    </w:p>
    <w:p w14:paraId="0E6AB5FF" w14:textId="77777777" w:rsidR="000D4432" w:rsidRPr="000D4432" w:rsidRDefault="000D4432" w:rsidP="000D4432">
      <w:pPr>
        <w:pStyle w:val="Caption"/>
        <w:keepNext/>
        <w:spacing w:before="240" w:after="0"/>
        <w:jc w:val="center"/>
        <w:rPr>
          <w:rFonts w:asciiTheme="minorHAnsi" w:hAnsiTheme="minorHAnsi" w:cstheme="minorHAnsi"/>
          <w:i w:val="0"/>
          <w:color w:val="auto"/>
        </w:rPr>
      </w:pPr>
      <w:r w:rsidRPr="000D4432">
        <w:rPr>
          <w:rFonts w:asciiTheme="minorHAnsi" w:hAnsiTheme="minorHAnsi" w:cstheme="minorHAnsi"/>
          <w:i w:val="0"/>
          <w:color w:val="auto"/>
        </w:rPr>
        <w:t xml:space="preserve">Table </w:t>
      </w:r>
      <w:r w:rsidRPr="000D4432">
        <w:rPr>
          <w:rFonts w:asciiTheme="minorHAnsi" w:hAnsiTheme="minorHAnsi" w:cstheme="minorHAnsi"/>
          <w:i w:val="0"/>
          <w:color w:val="auto"/>
        </w:rPr>
        <w:fldChar w:fldCharType="begin"/>
      </w:r>
      <w:r w:rsidRPr="000D4432">
        <w:rPr>
          <w:rFonts w:asciiTheme="minorHAnsi" w:hAnsiTheme="minorHAnsi" w:cstheme="minorHAnsi"/>
          <w:i w:val="0"/>
          <w:color w:val="auto"/>
        </w:rPr>
        <w:instrText xml:space="preserve"> SEQ Table \* ARABIC </w:instrText>
      </w:r>
      <w:r w:rsidRPr="000D4432">
        <w:rPr>
          <w:rFonts w:asciiTheme="minorHAnsi" w:hAnsiTheme="minorHAnsi" w:cstheme="minorHAnsi"/>
          <w:i w:val="0"/>
          <w:color w:val="auto"/>
        </w:rPr>
        <w:fldChar w:fldCharType="separate"/>
      </w:r>
      <w:r w:rsidR="00D22DAD">
        <w:rPr>
          <w:rFonts w:asciiTheme="minorHAnsi" w:hAnsiTheme="minorHAnsi" w:cstheme="minorHAnsi"/>
          <w:i w:val="0"/>
          <w:noProof/>
          <w:color w:val="auto"/>
        </w:rPr>
        <w:t>2</w:t>
      </w:r>
      <w:r w:rsidRPr="000D4432">
        <w:rPr>
          <w:rFonts w:asciiTheme="minorHAnsi" w:hAnsiTheme="minorHAnsi" w:cstheme="minorHAnsi"/>
          <w:i w:val="0"/>
          <w:color w:val="auto"/>
        </w:rPr>
        <w:fldChar w:fldCharType="end"/>
      </w:r>
      <w:r w:rsidRPr="000D4432">
        <w:rPr>
          <w:rFonts w:asciiTheme="minorHAnsi" w:hAnsiTheme="minorHAnsi" w:cstheme="minorHAnsi"/>
          <w:i w:val="0"/>
          <w:color w:val="auto"/>
        </w:rPr>
        <w:t xml:space="preserve"> - </w:t>
      </w:r>
      <w:r w:rsidR="002308EA">
        <w:rPr>
          <w:rFonts w:asciiTheme="minorHAnsi" w:hAnsiTheme="minorHAnsi" w:cstheme="minorHAnsi"/>
          <w:i w:val="0"/>
          <w:color w:val="auto"/>
        </w:rPr>
        <w:t>Population by tenure as of</w:t>
      </w:r>
      <w:r w:rsidRPr="000D4432">
        <w:rPr>
          <w:rFonts w:asciiTheme="minorHAnsi" w:hAnsiTheme="minorHAnsi" w:cstheme="minorHAnsi"/>
          <w:i w:val="0"/>
          <w:color w:val="auto"/>
        </w:rPr>
        <w:t xml:space="preserve"> March 31 under the </w:t>
      </w:r>
      <w:r w:rsidRPr="000D4432">
        <w:rPr>
          <w:rStyle w:val="Emphasis"/>
          <w:rFonts w:cstheme="minorHAnsi"/>
          <w:i/>
          <w:color w:val="auto"/>
        </w:rPr>
        <w:t>Public Service Employment Act</w:t>
      </w:r>
    </w:p>
    <w:tbl>
      <w:tblPr>
        <w:tblStyle w:val="TableGrid"/>
        <w:tblW w:w="5000" w:type="pct"/>
        <w:jc w:val="center"/>
        <w:tblLook w:val="0020" w:firstRow="1" w:lastRow="0" w:firstColumn="0" w:lastColumn="0" w:noHBand="0" w:noVBand="0"/>
        <w:tblDescription w:val="Population by tenure as of March 31 from 2014 to 2019"/>
      </w:tblPr>
      <w:tblGrid>
        <w:gridCol w:w="2407"/>
        <w:gridCol w:w="2551"/>
        <w:gridCol w:w="2550"/>
        <w:gridCol w:w="2409"/>
        <w:gridCol w:w="2412"/>
        <w:gridCol w:w="2061"/>
      </w:tblGrid>
      <w:tr w:rsidR="000D4432" w:rsidRPr="000D4432" w14:paraId="7855DABD" w14:textId="77777777" w:rsidTr="006433E3">
        <w:trPr>
          <w:cantSplit/>
          <w:trHeight w:val="290"/>
          <w:tblHeader/>
          <w:jc w:val="center"/>
        </w:trPr>
        <w:tc>
          <w:tcPr>
            <w:tcW w:w="836" w:type="pct"/>
          </w:tcPr>
          <w:p w14:paraId="2ED4B142" w14:textId="77777777" w:rsidR="007217CF" w:rsidRPr="000D4432" w:rsidRDefault="007217CF" w:rsidP="000D4432">
            <w:pPr>
              <w:pStyle w:val="TableTitle"/>
              <w:rPr>
                <w:rFonts w:cs="Segoe UI Semibold"/>
                <w:lang w:val="en-CA"/>
              </w:rPr>
            </w:pPr>
            <w:r w:rsidRPr="000D4432">
              <w:rPr>
                <w:rFonts w:cs="Segoe UI Semibold"/>
                <w:lang w:val="en-CA"/>
              </w:rPr>
              <w:t>Year</w:t>
            </w:r>
          </w:p>
        </w:tc>
        <w:tc>
          <w:tcPr>
            <w:tcW w:w="886" w:type="pct"/>
          </w:tcPr>
          <w:p w14:paraId="30A0FE9B" w14:textId="77777777" w:rsidR="007217CF" w:rsidRPr="000D4432" w:rsidRDefault="007217CF" w:rsidP="000D4432">
            <w:pPr>
              <w:pStyle w:val="TableTitle"/>
              <w:rPr>
                <w:rFonts w:cs="Segoe UI Semibold"/>
                <w:lang w:val="en-CA"/>
              </w:rPr>
            </w:pPr>
            <w:r w:rsidRPr="000D4432">
              <w:rPr>
                <w:rFonts w:cs="Segoe UI Semibold"/>
                <w:lang w:val="en-CA"/>
              </w:rPr>
              <w:t>Indeterminate</w:t>
            </w:r>
          </w:p>
        </w:tc>
        <w:tc>
          <w:tcPr>
            <w:tcW w:w="886" w:type="pct"/>
          </w:tcPr>
          <w:p w14:paraId="2B543AAE" w14:textId="77777777" w:rsidR="007217CF" w:rsidRPr="000D4432" w:rsidRDefault="007217CF" w:rsidP="000D4432">
            <w:pPr>
              <w:pStyle w:val="TableTitle"/>
              <w:rPr>
                <w:rFonts w:cs="Segoe UI Semibold"/>
                <w:lang w:val="en-CA"/>
              </w:rPr>
            </w:pPr>
            <w:r w:rsidRPr="000D4432">
              <w:rPr>
                <w:rFonts w:cs="Segoe UI Semibold"/>
                <w:lang w:val="en-CA"/>
              </w:rPr>
              <w:t>Term</w:t>
            </w:r>
          </w:p>
        </w:tc>
        <w:tc>
          <w:tcPr>
            <w:tcW w:w="837" w:type="pct"/>
          </w:tcPr>
          <w:p w14:paraId="595BEBCB" w14:textId="77777777" w:rsidR="007217CF" w:rsidRPr="000D4432" w:rsidRDefault="007217CF" w:rsidP="000D4432">
            <w:pPr>
              <w:pStyle w:val="TableTitle"/>
              <w:rPr>
                <w:rFonts w:cs="Segoe UI Semibold"/>
                <w:lang w:val="en-CA"/>
              </w:rPr>
            </w:pPr>
            <w:r w:rsidRPr="000D4432">
              <w:rPr>
                <w:rFonts w:cs="Segoe UI Semibold"/>
                <w:lang w:val="en-CA"/>
              </w:rPr>
              <w:t>Casual</w:t>
            </w:r>
          </w:p>
        </w:tc>
        <w:tc>
          <w:tcPr>
            <w:tcW w:w="838" w:type="pct"/>
          </w:tcPr>
          <w:p w14:paraId="3671A8A2" w14:textId="77777777" w:rsidR="007217CF" w:rsidRPr="000D4432" w:rsidRDefault="007217CF" w:rsidP="000D4432">
            <w:pPr>
              <w:pStyle w:val="TableTitle"/>
              <w:rPr>
                <w:rFonts w:cs="Segoe UI Semibold"/>
                <w:lang w:val="en-CA"/>
              </w:rPr>
            </w:pPr>
            <w:r w:rsidRPr="000D4432">
              <w:rPr>
                <w:rFonts w:cs="Segoe UI Semibold"/>
                <w:lang w:val="en-CA"/>
              </w:rPr>
              <w:t>Student</w:t>
            </w:r>
          </w:p>
        </w:tc>
        <w:tc>
          <w:tcPr>
            <w:tcW w:w="716" w:type="pct"/>
          </w:tcPr>
          <w:p w14:paraId="415F192E" w14:textId="77777777" w:rsidR="007217CF" w:rsidRPr="000D4432" w:rsidRDefault="007217CF" w:rsidP="000D4432">
            <w:pPr>
              <w:pStyle w:val="TableTitle"/>
              <w:rPr>
                <w:rFonts w:cs="Segoe UI Semibold"/>
                <w:lang w:val="en-CA"/>
              </w:rPr>
            </w:pPr>
            <w:r w:rsidRPr="000D4432">
              <w:rPr>
                <w:rFonts w:cs="Segoe UI Semibold"/>
                <w:lang w:val="en-CA"/>
              </w:rPr>
              <w:t>Total</w:t>
            </w:r>
          </w:p>
        </w:tc>
      </w:tr>
      <w:tr w:rsidR="000D4432" w:rsidRPr="000D4432" w14:paraId="35B6D34B" w14:textId="77777777" w:rsidTr="006433E3">
        <w:trPr>
          <w:cantSplit/>
          <w:trHeight w:val="290"/>
          <w:tblHeader/>
          <w:jc w:val="center"/>
        </w:trPr>
        <w:tc>
          <w:tcPr>
            <w:tcW w:w="836" w:type="pct"/>
          </w:tcPr>
          <w:p w14:paraId="10B58D7C" w14:textId="77777777" w:rsidR="007217CF" w:rsidRPr="000D4432" w:rsidRDefault="007217CF" w:rsidP="000D4432">
            <w:pPr>
              <w:autoSpaceDE w:val="0"/>
              <w:autoSpaceDN w:val="0"/>
              <w:adjustRightInd w:val="0"/>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As at March 31, 2014</w:t>
            </w:r>
          </w:p>
        </w:tc>
        <w:tc>
          <w:tcPr>
            <w:tcW w:w="886" w:type="pct"/>
          </w:tcPr>
          <w:p w14:paraId="2001753D"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76</w:t>
            </w:r>
          </w:p>
        </w:tc>
        <w:tc>
          <w:tcPr>
            <w:tcW w:w="886" w:type="pct"/>
          </w:tcPr>
          <w:p w14:paraId="72FB588F"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8</w:t>
            </w:r>
          </w:p>
        </w:tc>
        <w:tc>
          <w:tcPr>
            <w:tcW w:w="837" w:type="pct"/>
          </w:tcPr>
          <w:p w14:paraId="2F815704"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12</w:t>
            </w:r>
          </w:p>
        </w:tc>
        <w:tc>
          <w:tcPr>
            <w:tcW w:w="838" w:type="pct"/>
          </w:tcPr>
          <w:p w14:paraId="0FF4120B"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1</w:t>
            </w:r>
          </w:p>
        </w:tc>
        <w:tc>
          <w:tcPr>
            <w:tcW w:w="716" w:type="pct"/>
          </w:tcPr>
          <w:p w14:paraId="2164DE74"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97</w:t>
            </w:r>
          </w:p>
        </w:tc>
      </w:tr>
      <w:tr w:rsidR="000D4432" w:rsidRPr="000D4432" w14:paraId="6A2CC711" w14:textId="77777777" w:rsidTr="006433E3">
        <w:trPr>
          <w:cantSplit/>
          <w:trHeight w:val="290"/>
          <w:tblHeader/>
          <w:jc w:val="center"/>
        </w:trPr>
        <w:tc>
          <w:tcPr>
            <w:tcW w:w="836" w:type="pct"/>
          </w:tcPr>
          <w:p w14:paraId="41D4C534" w14:textId="77777777" w:rsidR="007217CF" w:rsidRPr="000D4432" w:rsidRDefault="007217CF" w:rsidP="000D4432">
            <w:pPr>
              <w:autoSpaceDE w:val="0"/>
              <w:autoSpaceDN w:val="0"/>
              <w:adjustRightInd w:val="0"/>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As at March 31, 2015</w:t>
            </w:r>
          </w:p>
        </w:tc>
        <w:tc>
          <w:tcPr>
            <w:tcW w:w="886" w:type="pct"/>
          </w:tcPr>
          <w:p w14:paraId="1A9E3761"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82</w:t>
            </w:r>
          </w:p>
        </w:tc>
        <w:tc>
          <w:tcPr>
            <w:tcW w:w="886" w:type="pct"/>
          </w:tcPr>
          <w:p w14:paraId="42BF55C3"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4</w:t>
            </w:r>
          </w:p>
        </w:tc>
        <w:tc>
          <w:tcPr>
            <w:tcW w:w="837" w:type="pct"/>
          </w:tcPr>
          <w:p w14:paraId="4149E54B"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5</w:t>
            </w:r>
          </w:p>
        </w:tc>
        <w:tc>
          <w:tcPr>
            <w:tcW w:w="838" w:type="pct"/>
          </w:tcPr>
          <w:p w14:paraId="4AEE44B7"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0</w:t>
            </w:r>
          </w:p>
        </w:tc>
        <w:tc>
          <w:tcPr>
            <w:tcW w:w="716" w:type="pct"/>
          </w:tcPr>
          <w:p w14:paraId="31CEEB7C"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91</w:t>
            </w:r>
          </w:p>
        </w:tc>
      </w:tr>
      <w:tr w:rsidR="000D4432" w:rsidRPr="000D4432" w14:paraId="011685E6" w14:textId="77777777" w:rsidTr="006433E3">
        <w:trPr>
          <w:cantSplit/>
          <w:trHeight w:val="290"/>
          <w:tblHeader/>
          <w:jc w:val="center"/>
        </w:trPr>
        <w:tc>
          <w:tcPr>
            <w:tcW w:w="836" w:type="pct"/>
          </w:tcPr>
          <w:p w14:paraId="52DDBAE8" w14:textId="77777777" w:rsidR="007217CF" w:rsidRPr="000D4432" w:rsidRDefault="007217CF" w:rsidP="000D4432">
            <w:pPr>
              <w:autoSpaceDE w:val="0"/>
              <w:autoSpaceDN w:val="0"/>
              <w:adjustRightInd w:val="0"/>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As at March 31, 2016</w:t>
            </w:r>
          </w:p>
        </w:tc>
        <w:tc>
          <w:tcPr>
            <w:tcW w:w="886" w:type="pct"/>
          </w:tcPr>
          <w:p w14:paraId="1F58270E"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77</w:t>
            </w:r>
          </w:p>
        </w:tc>
        <w:tc>
          <w:tcPr>
            <w:tcW w:w="886" w:type="pct"/>
          </w:tcPr>
          <w:p w14:paraId="13DF1696"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5</w:t>
            </w:r>
          </w:p>
        </w:tc>
        <w:tc>
          <w:tcPr>
            <w:tcW w:w="837" w:type="pct"/>
          </w:tcPr>
          <w:p w14:paraId="70722B71"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7</w:t>
            </w:r>
          </w:p>
        </w:tc>
        <w:tc>
          <w:tcPr>
            <w:tcW w:w="838" w:type="pct"/>
          </w:tcPr>
          <w:p w14:paraId="66F97BAB"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1</w:t>
            </w:r>
          </w:p>
        </w:tc>
        <w:tc>
          <w:tcPr>
            <w:tcW w:w="716" w:type="pct"/>
          </w:tcPr>
          <w:p w14:paraId="0C0A4570"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90</w:t>
            </w:r>
          </w:p>
        </w:tc>
      </w:tr>
      <w:tr w:rsidR="000D4432" w:rsidRPr="000D4432" w14:paraId="3A89E9C4" w14:textId="77777777" w:rsidTr="006433E3">
        <w:trPr>
          <w:cantSplit/>
          <w:trHeight w:val="290"/>
          <w:tblHeader/>
          <w:jc w:val="center"/>
        </w:trPr>
        <w:tc>
          <w:tcPr>
            <w:tcW w:w="836" w:type="pct"/>
          </w:tcPr>
          <w:p w14:paraId="581B8279" w14:textId="77777777" w:rsidR="007217CF" w:rsidRPr="000D4432" w:rsidRDefault="007217CF" w:rsidP="000D4432">
            <w:pPr>
              <w:autoSpaceDE w:val="0"/>
              <w:autoSpaceDN w:val="0"/>
              <w:adjustRightInd w:val="0"/>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As at March 31, 2017</w:t>
            </w:r>
          </w:p>
        </w:tc>
        <w:tc>
          <w:tcPr>
            <w:tcW w:w="886" w:type="pct"/>
          </w:tcPr>
          <w:p w14:paraId="32694575"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82</w:t>
            </w:r>
          </w:p>
        </w:tc>
        <w:tc>
          <w:tcPr>
            <w:tcW w:w="886" w:type="pct"/>
          </w:tcPr>
          <w:p w14:paraId="0B9A7538"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4</w:t>
            </w:r>
          </w:p>
        </w:tc>
        <w:tc>
          <w:tcPr>
            <w:tcW w:w="837" w:type="pct"/>
          </w:tcPr>
          <w:p w14:paraId="3F8FA568"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12</w:t>
            </w:r>
          </w:p>
        </w:tc>
        <w:tc>
          <w:tcPr>
            <w:tcW w:w="838" w:type="pct"/>
          </w:tcPr>
          <w:p w14:paraId="04C96C3D"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3</w:t>
            </w:r>
          </w:p>
        </w:tc>
        <w:tc>
          <w:tcPr>
            <w:tcW w:w="716" w:type="pct"/>
          </w:tcPr>
          <w:p w14:paraId="3E4A1163"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101</w:t>
            </w:r>
          </w:p>
        </w:tc>
      </w:tr>
      <w:tr w:rsidR="000D4432" w:rsidRPr="000D4432" w14:paraId="50FAB800" w14:textId="77777777" w:rsidTr="006433E3">
        <w:trPr>
          <w:cantSplit/>
          <w:trHeight w:val="290"/>
          <w:tblHeader/>
          <w:jc w:val="center"/>
        </w:trPr>
        <w:tc>
          <w:tcPr>
            <w:tcW w:w="836" w:type="pct"/>
          </w:tcPr>
          <w:p w14:paraId="57D9E622" w14:textId="77777777" w:rsidR="007217CF" w:rsidRPr="000D4432" w:rsidRDefault="007217CF" w:rsidP="000D4432">
            <w:pPr>
              <w:autoSpaceDE w:val="0"/>
              <w:autoSpaceDN w:val="0"/>
              <w:adjustRightInd w:val="0"/>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As at March 31, 2018</w:t>
            </w:r>
          </w:p>
        </w:tc>
        <w:tc>
          <w:tcPr>
            <w:tcW w:w="886" w:type="pct"/>
          </w:tcPr>
          <w:p w14:paraId="5D5E8FB3"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88</w:t>
            </w:r>
          </w:p>
        </w:tc>
        <w:tc>
          <w:tcPr>
            <w:tcW w:w="886" w:type="pct"/>
          </w:tcPr>
          <w:p w14:paraId="0FBBAEB5"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5</w:t>
            </w:r>
          </w:p>
        </w:tc>
        <w:tc>
          <w:tcPr>
            <w:tcW w:w="837" w:type="pct"/>
          </w:tcPr>
          <w:p w14:paraId="2E29FFB7"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22</w:t>
            </w:r>
          </w:p>
        </w:tc>
        <w:tc>
          <w:tcPr>
            <w:tcW w:w="838" w:type="pct"/>
          </w:tcPr>
          <w:p w14:paraId="1C43DE88"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6</w:t>
            </w:r>
          </w:p>
        </w:tc>
        <w:tc>
          <w:tcPr>
            <w:tcW w:w="716" w:type="pct"/>
          </w:tcPr>
          <w:p w14:paraId="72BCD315"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121</w:t>
            </w:r>
          </w:p>
        </w:tc>
      </w:tr>
      <w:tr w:rsidR="000D4432" w:rsidRPr="000D4432" w14:paraId="634A8D47" w14:textId="77777777" w:rsidTr="006433E3">
        <w:trPr>
          <w:cantSplit/>
          <w:trHeight w:val="290"/>
          <w:tblHeader/>
          <w:jc w:val="center"/>
        </w:trPr>
        <w:tc>
          <w:tcPr>
            <w:tcW w:w="836" w:type="pct"/>
          </w:tcPr>
          <w:p w14:paraId="3D71BD14" w14:textId="77777777" w:rsidR="007217CF" w:rsidRPr="000D4432" w:rsidRDefault="007217CF" w:rsidP="000D4432">
            <w:pPr>
              <w:autoSpaceDE w:val="0"/>
              <w:autoSpaceDN w:val="0"/>
              <w:adjustRightInd w:val="0"/>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As at March 31, 2019</w:t>
            </w:r>
          </w:p>
        </w:tc>
        <w:tc>
          <w:tcPr>
            <w:tcW w:w="886" w:type="pct"/>
          </w:tcPr>
          <w:p w14:paraId="4F6F8361"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110</w:t>
            </w:r>
          </w:p>
        </w:tc>
        <w:tc>
          <w:tcPr>
            <w:tcW w:w="886" w:type="pct"/>
          </w:tcPr>
          <w:p w14:paraId="040FF549"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7</w:t>
            </w:r>
          </w:p>
        </w:tc>
        <w:tc>
          <w:tcPr>
            <w:tcW w:w="837" w:type="pct"/>
          </w:tcPr>
          <w:p w14:paraId="7341AB36"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55</w:t>
            </w:r>
          </w:p>
        </w:tc>
        <w:tc>
          <w:tcPr>
            <w:tcW w:w="838" w:type="pct"/>
          </w:tcPr>
          <w:p w14:paraId="39523193"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8</w:t>
            </w:r>
          </w:p>
        </w:tc>
        <w:tc>
          <w:tcPr>
            <w:tcW w:w="716" w:type="pct"/>
          </w:tcPr>
          <w:p w14:paraId="2144B117" w14:textId="77777777" w:rsidR="007217CF" w:rsidRPr="000D4432" w:rsidRDefault="007217CF" w:rsidP="00D22DAD">
            <w:pPr>
              <w:autoSpaceDE w:val="0"/>
              <w:autoSpaceDN w:val="0"/>
              <w:adjustRightInd w:val="0"/>
              <w:jc w:val="center"/>
              <w:rPr>
                <w:rFonts w:asciiTheme="minorHAnsi" w:hAnsiTheme="minorHAnsi" w:cstheme="minorHAnsi"/>
                <w:color w:val="000000"/>
                <w:sz w:val="22"/>
                <w:szCs w:val="24"/>
                <w:lang w:val="en-CA"/>
              </w:rPr>
            </w:pPr>
            <w:r w:rsidRPr="000D4432">
              <w:rPr>
                <w:rFonts w:asciiTheme="minorHAnsi" w:hAnsiTheme="minorHAnsi" w:cstheme="minorHAnsi"/>
                <w:color w:val="000000"/>
                <w:sz w:val="22"/>
                <w:szCs w:val="24"/>
                <w:lang w:val="en-CA"/>
              </w:rPr>
              <w:t>180</w:t>
            </w:r>
          </w:p>
        </w:tc>
      </w:tr>
    </w:tbl>
    <w:p w14:paraId="3E1AD966" w14:textId="77777777" w:rsidR="00417183" w:rsidRPr="000D4432" w:rsidRDefault="000D4432" w:rsidP="000D4432">
      <w:pPr>
        <w:pStyle w:val="Heading1"/>
        <w:spacing w:before="120" w:after="120"/>
        <w:rPr>
          <w:noProof/>
          <w:sz w:val="40"/>
          <w:lang w:val="en-CA" w:eastAsia="en-CA"/>
        </w:rPr>
      </w:pPr>
      <w:r w:rsidRPr="000D4432">
        <w:rPr>
          <w:noProof/>
          <w:sz w:val="40"/>
          <w:lang w:eastAsia="en-CA"/>
        </w:rPr>
        <w:lastRenderedPageBreak/>
        <w:t>Populatio</w:t>
      </w:r>
      <w:r>
        <w:rPr>
          <w:noProof/>
          <w:sz w:val="40"/>
          <w:lang w:eastAsia="en-CA"/>
        </w:rPr>
        <w:t>n by language requirements as of</w:t>
      </w:r>
      <w:r w:rsidRPr="000D4432">
        <w:rPr>
          <w:noProof/>
          <w:sz w:val="40"/>
          <w:lang w:eastAsia="en-CA"/>
        </w:rPr>
        <w:t xml:space="preserve"> March 31, 2019</w:t>
      </w:r>
    </w:p>
    <w:p w14:paraId="2712FA85" w14:textId="77777777" w:rsidR="000D4432" w:rsidRDefault="00417183" w:rsidP="000D4432">
      <w:pPr>
        <w:pStyle w:val="Footer"/>
        <w:keepNext/>
        <w:jc w:val="center"/>
      </w:pPr>
      <w:r w:rsidRPr="00DE4115">
        <w:rPr>
          <w:noProof/>
          <w:lang w:val="en-CA" w:eastAsia="en-CA"/>
        </w:rPr>
        <w:drawing>
          <wp:inline distT="0" distB="0" distL="0" distR="0" wp14:anchorId="0E58EB3D" wp14:editId="04452C26">
            <wp:extent cx="1980000" cy="3020400"/>
            <wp:effectExtent l="0" t="0" r="1270" b="8890"/>
            <wp:docPr id="18" name="Chart 18" descr="Population by language requirements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217957" w14:textId="77777777" w:rsidR="00417183" w:rsidRPr="004F1F5D" w:rsidRDefault="000D4432" w:rsidP="004F1F5D">
      <w:pPr>
        <w:pStyle w:val="Caption"/>
        <w:spacing w:after="0"/>
        <w:jc w:val="center"/>
        <w:rPr>
          <w:rFonts w:asciiTheme="minorHAnsi" w:hAnsiTheme="minorHAnsi" w:cstheme="minorHAnsi"/>
          <w:i w:val="0"/>
          <w:noProof/>
          <w:color w:val="auto"/>
          <w:lang w:val="en-CA" w:eastAsia="en-CA"/>
        </w:rPr>
      </w:pPr>
      <w:r w:rsidRPr="004F1F5D">
        <w:rPr>
          <w:rFonts w:asciiTheme="minorHAnsi" w:hAnsiTheme="minorHAnsi" w:cstheme="minorHAnsi"/>
          <w:i w:val="0"/>
          <w:color w:val="auto"/>
        </w:rPr>
        <w:t xml:space="preserve">Figure </w:t>
      </w:r>
      <w:r w:rsidRPr="004F1F5D">
        <w:rPr>
          <w:rFonts w:asciiTheme="minorHAnsi" w:hAnsiTheme="minorHAnsi" w:cstheme="minorHAnsi"/>
          <w:i w:val="0"/>
          <w:color w:val="auto"/>
        </w:rPr>
        <w:fldChar w:fldCharType="begin"/>
      </w:r>
      <w:r w:rsidRPr="004F1F5D">
        <w:rPr>
          <w:rFonts w:asciiTheme="minorHAnsi" w:hAnsiTheme="minorHAnsi" w:cstheme="minorHAnsi"/>
          <w:i w:val="0"/>
          <w:color w:val="auto"/>
        </w:rPr>
        <w:instrText xml:space="preserve"> SEQ Figure \* ARABIC </w:instrText>
      </w:r>
      <w:r w:rsidRPr="004F1F5D">
        <w:rPr>
          <w:rFonts w:asciiTheme="minorHAnsi" w:hAnsiTheme="minorHAnsi" w:cstheme="minorHAnsi"/>
          <w:i w:val="0"/>
          <w:color w:val="auto"/>
        </w:rPr>
        <w:fldChar w:fldCharType="separate"/>
      </w:r>
      <w:r w:rsidR="004F3406">
        <w:rPr>
          <w:rFonts w:asciiTheme="minorHAnsi" w:hAnsiTheme="minorHAnsi" w:cstheme="minorHAnsi"/>
          <w:i w:val="0"/>
          <w:noProof/>
          <w:color w:val="auto"/>
        </w:rPr>
        <w:t>2</w:t>
      </w:r>
      <w:r w:rsidRPr="004F1F5D">
        <w:rPr>
          <w:rFonts w:asciiTheme="minorHAnsi" w:hAnsiTheme="minorHAnsi" w:cstheme="minorHAnsi"/>
          <w:i w:val="0"/>
          <w:color w:val="auto"/>
        </w:rPr>
        <w:fldChar w:fldCharType="end"/>
      </w:r>
      <w:r w:rsidRPr="004F1F5D">
        <w:rPr>
          <w:rFonts w:asciiTheme="minorHAnsi" w:hAnsiTheme="minorHAnsi" w:cstheme="minorHAnsi"/>
          <w:i w:val="0"/>
          <w:color w:val="auto"/>
        </w:rPr>
        <w:t xml:space="preserve"> - Population by language requirements as of March 31, 2019</w:t>
      </w:r>
    </w:p>
    <w:p w14:paraId="0538BADA" w14:textId="77777777" w:rsidR="004F1F5D" w:rsidRPr="004F1F5D" w:rsidRDefault="004F1F5D" w:rsidP="004F1F5D">
      <w:pPr>
        <w:pStyle w:val="Caption"/>
        <w:keepNext/>
        <w:spacing w:before="240" w:after="0"/>
        <w:jc w:val="center"/>
        <w:rPr>
          <w:rFonts w:asciiTheme="minorHAnsi" w:hAnsiTheme="minorHAnsi" w:cstheme="minorHAnsi"/>
          <w:i w:val="0"/>
          <w:color w:val="auto"/>
        </w:rPr>
      </w:pPr>
      <w:r w:rsidRPr="004F1F5D">
        <w:rPr>
          <w:rFonts w:asciiTheme="minorHAnsi" w:hAnsiTheme="minorHAnsi" w:cstheme="minorHAnsi"/>
          <w:i w:val="0"/>
          <w:color w:val="auto"/>
        </w:rPr>
        <w:t xml:space="preserve">Table </w:t>
      </w:r>
      <w:r w:rsidRPr="004F1F5D">
        <w:rPr>
          <w:rFonts w:asciiTheme="minorHAnsi" w:hAnsiTheme="minorHAnsi" w:cstheme="minorHAnsi"/>
          <w:i w:val="0"/>
          <w:color w:val="auto"/>
        </w:rPr>
        <w:fldChar w:fldCharType="begin"/>
      </w:r>
      <w:r w:rsidRPr="004F1F5D">
        <w:rPr>
          <w:rFonts w:asciiTheme="minorHAnsi" w:hAnsiTheme="minorHAnsi" w:cstheme="minorHAnsi"/>
          <w:i w:val="0"/>
          <w:color w:val="auto"/>
        </w:rPr>
        <w:instrText xml:space="preserve"> SEQ Table \* ARABIC </w:instrText>
      </w:r>
      <w:r w:rsidRPr="004F1F5D">
        <w:rPr>
          <w:rFonts w:asciiTheme="minorHAnsi" w:hAnsiTheme="minorHAnsi" w:cstheme="minorHAnsi"/>
          <w:i w:val="0"/>
          <w:color w:val="auto"/>
        </w:rPr>
        <w:fldChar w:fldCharType="separate"/>
      </w:r>
      <w:r w:rsidR="00D22DAD">
        <w:rPr>
          <w:rFonts w:asciiTheme="minorHAnsi" w:hAnsiTheme="minorHAnsi" w:cstheme="minorHAnsi"/>
          <w:i w:val="0"/>
          <w:noProof/>
          <w:color w:val="auto"/>
        </w:rPr>
        <w:t>3</w:t>
      </w:r>
      <w:r w:rsidRPr="004F1F5D">
        <w:rPr>
          <w:rFonts w:asciiTheme="minorHAnsi" w:hAnsiTheme="minorHAnsi" w:cstheme="minorHAnsi"/>
          <w:i w:val="0"/>
          <w:color w:val="auto"/>
        </w:rPr>
        <w:fldChar w:fldCharType="end"/>
      </w:r>
      <w:r w:rsidRPr="004F1F5D">
        <w:rPr>
          <w:rFonts w:asciiTheme="minorHAnsi" w:hAnsiTheme="minorHAnsi" w:cstheme="minorHAnsi"/>
          <w:i w:val="0"/>
          <w:color w:val="auto"/>
        </w:rPr>
        <w:t xml:space="preserve"> - Populatio</w:t>
      </w:r>
      <w:r w:rsidR="002308EA">
        <w:rPr>
          <w:rFonts w:asciiTheme="minorHAnsi" w:hAnsiTheme="minorHAnsi" w:cstheme="minorHAnsi"/>
          <w:i w:val="0"/>
          <w:color w:val="auto"/>
        </w:rPr>
        <w:t>n by language requirements as of</w:t>
      </w:r>
      <w:r w:rsidRPr="004F1F5D">
        <w:rPr>
          <w:rFonts w:asciiTheme="minorHAnsi" w:hAnsiTheme="minorHAnsi" w:cstheme="minorHAnsi"/>
          <w:i w:val="0"/>
          <w:color w:val="auto"/>
        </w:rPr>
        <w:t xml:space="preserve"> March 31, 2019 under the </w:t>
      </w:r>
      <w:r w:rsidRPr="004F1F5D">
        <w:rPr>
          <w:rStyle w:val="Emphasis"/>
          <w:rFonts w:cstheme="minorHAnsi"/>
          <w:i/>
          <w:color w:val="auto"/>
        </w:rPr>
        <w:t>Public Service Employment Act</w:t>
      </w:r>
    </w:p>
    <w:tbl>
      <w:tblPr>
        <w:tblStyle w:val="TableGrid"/>
        <w:tblW w:w="5000" w:type="pct"/>
        <w:jc w:val="center"/>
        <w:tblLook w:val="0020" w:firstRow="1" w:lastRow="0" w:firstColumn="0" w:lastColumn="0" w:noHBand="0" w:noVBand="0"/>
        <w:tblDescription w:val="Population by language requirements as of March 31, 2019"/>
      </w:tblPr>
      <w:tblGrid>
        <w:gridCol w:w="3678"/>
        <w:gridCol w:w="4973"/>
        <w:gridCol w:w="5739"/>
      </w:tblGrid>
      <w:tr w:rsidR="004F1F5D" w:rsidRPr="004F1F5D" w14:paraId="7FEC52D4" w14:textId="77777777" w:rsidTr="006433E3">
        <w:trPr>
          <w:cantSplit/>
          <w:trHeight w:val="290"/>
          <w:tblHeader/>
          <w:jc w:val="center"/>
        </w:trPr>
        <w:tc>
          <w:tcPr>
            <w:tcW w:w="1278" w:type="pct"/>
          </w:tcPr>
          <w:p w14:paraId="6C64F22B" w14:textId="77777777" w:rsidR="007217CF" w:rsidRPr="004F1F5D" w:rsidRDefault="007217CF" w:rsidP="004F1F5D">
            <w:pPr>
              <w:pStyle w:val="TableTitle"/>
              <w:rPr>
                <w:lang w:val="en-CA"/>
              </w:rPr>
            </w:pPr>
            <w:r w:rsidRPr="004F1F5D">
              <w:rPr>
                <w:lang w:val="en-CA"/>
              </w:rPr>
              <w:t xml:space="preserve">Language requirement  </w:t>
            </w:r>
          </w:p>
        </w:tc>
        <w:tc>
          <w:tcPr>
            <w:tcW w:w="1728" w:type="pct"/>
          </w:tcPr>
          <w:p w14:paraId="77AB4591" w14:textId="77777777" w:rsidR="007217CF" w:rsidRPr="004F1F5D" w:rsidRDefault="007217CF" w:rsidP="004F1F5D">
            <w:pPr>
              <w:pStyle w:val="TableTitle"/>
              <w:rPr>
                <w:lang w:val="en-CA"/>
              </w:rPr>
            </w:pPr>
            <w:r w:rsidRPr="004F1F5D">
              <w:rPr>
                <w:lang w:val="en-CA"/>
              </w:rPr>
              <w:t>Population as at March 31, 2019</w:t>
            </w:r>
          </w:p>
        </w:tc>
        <w:tc>
          <w:tcPr>
            <w:tcW w:w="1994" w:type="pct"/>
          </w:tcPr>
          <w:p w14:paraId="0098C5E3" w14:textId="77777777" w:rsidR="007217CF" w:rsidRPr="004F1F5D" w:rsidRDefault="007217CF" w:rsidP="004F1F5D">
            <w:pPr>
              <w:pStyle w:val="TableTitle"/>
              <w:rPr>
                <w:lang w:val="en-CA"/>
              </w:rPr>
            </w:pPr>
            <w:r w:rsidRPr="004F1F5D">
              <w:rPr>
                <w:lang w:val="en-CA"/>
              </w:rPr>
              <w:t>% of population as at March 31, 2019</w:t>
            </w:r>
          </w:p>
        </w:tc>
      </w:tr>
      <w:tr w:rsidR="004F1F5D" w:rsidRPr="004F1F5D" w14:paraId="117F9253" w14:textId="77777777" w:rsidTr="006433E3">
        <w:trPr>
          <w:cantSplit/>
          <w:trHeight w:val="290"/>
          <w:tblHeader/>
          <w:jc w:val="center"/>
        </w:trPr>
        <w:tc>
          <w:tcPr>
            <w:tcW w:w="1278" w:type="pct"/>
          </w:tcPr>
          <w:p w14:paraId="28328628" w14:textId="77777777" w:rsidR="007217CF" w:rsidRPr="004F1F5D" w:rsidRDefault="007217CF" w:rsidP="00D22DAD">
            <w:pPr>
              <w:autoSpaceDE w:val="0"/>
              <w:autoSpaceDN w:val="0"/>
              <w:adjustRightInd w:val="0"/>
              <w:rPr>
                <w:rFonts w:asciiTheme="minorHAnsi" w:hAnsiTheme="minorHAnsi" w:cstheme="minorHAnsi"/>
                <w:sz w:val="22"/>
                <w:szCs w:val="24"/>
                <w:lang w:val="en-CA"/>
              </w:rPr>
            </w:pPr>
            <w:r w:rsidRPr="004F1F5D">
              <w:rPr>
                <w:rFonts w:asciiTheme="minorHAnsi" w:hAnsiTheme="minorHAnsi" w:cstheme="minorHAnsi"/>
                <w:sz w:val="22"/>
                <w:szCs w:val="24"/>
                <w:lang w:val="en-CA"/>
              </w:rPr>
              <w:t xml:space="preserve">Bilingual </w:t>
            </w:r>
          </w:p>
        </w:tc>
        <w:tc>
          <w:tcPr>
            <w:tcW w:w="1728" w:type="pct"/>
          </w:tcPr>
          <w:p w14:paraId="35516434" w14:textId="77777777" w:rsidR="007217CF" w:rsidRPr="004F1F5D" w:rsidRDefault="007217CF" w:rsidP="00D22DAD">
            <w:pPr>
              <w:autoSpaceDE w:val="0"/>
              <w:autoSpaceDN w:val="0"/>
              <w:adjustRightInd w:val="0"/>
              <w:jc w:val="center"/>
              <w:rPr>
                <w:rFonts w:asciiTheme="minorHAnsi" w:hAnsiTheme="minorHAnsi" w:cstheme="minorHAnsi"/>
                <w:sz w:val="22"/>
                <w:szCs w:val="24"/>
                <w:lang w:val="en-CA"/>
              </w:rPr>
            </w:pPr>
            <w:r w:rsidRPr="004F1F5D">
              <w:rPr>
                <w:rFonts w:asciiTheme="minorHAnsi" w:hAnsiTheme="minorHAnsi" w:cstheme="minorHAnsi"/>
                <w:sz w:val="22"/>
                <w:szCs w:val="24"/>
                <w:lang w:val="en-CA"/>
              </w:rPr>
              <w:t>83</w:t>
            </w:r>
          </w:p>
        </w:tc>
        <w:tc>
          <w:tcPr>
            <w:tcW w:w="1994" w:type="pct"/>
          </w:tcPr>
          <w:p w14:paraId="0E7DF729" w14:textId="77777777" w:rsidR="007217CF" w:rsidRPr="004F1F5D" w:rsidRDefault="007217CF" w:rsidP="00D22DAD">
            <w:pPr>
              <w:autoSpaceDE w:val="0"/>
              <w:autoSpaceDN w:val="0"/>
              <w:adjustRightInd w:val="0"/>
              <w:jc w:val="center"/>
              <w:rPr>
                <w:rFonts w:asciiTheme="minorHAnsi" w:hAnsiTheme="minorHAnsi" w:cstheme="minorHAnsi"/>
                <w:sz w:val="22"/>
                <w:szCs w:val="24"/>
                <w:lang w:val="en-CA"/>
              </w:rPr>
            </w:pPr>
            <w:r w:rsidRPr="004F1F5D">
              <w:rPr>
                <w:rFonts w:asciiTheme="minorHAnsi" w:hAnsiTheme="minorHAnsi" w:cstheme="minorHAnsi"/>
                <w:sz w:val="22"/>
                <w:szCs w:val="24"/>
                <w:lang w:val="en-CA"/>
              </w:rPr>
              <w:t>86%</w:t>
            </w:r>
          </w:p>
        </w:tc>
      </w:tr>
      <w:tr w:rsidR="004F1F5D" w:rsidRPr="004F1F5D" w14:paraId="645B1117" w14:textId="77777777" w:rsidTr="006433E3">
        <w:trPr>
          <w:cantSplit/>
          <w:trHeight w:val="290"/>
          <w:tblHeader/>
          <w:jc w:val="center"/>
        </w:trPr>
        <w:tc>
          <w:tcPr>
            <w:tcW w:w="1278" w:type="pct"/>
          </w:tcPr>
          <w:p w14:paraId="661D36FE" w14:textId="77777777" w:rsidR="007217CF" w:rsidRPr="004F1F5D" w:rsidRDefault="007217CF" w:rsidP="00D22DAD">
            <w:pPr>
              <w:autoSpaceDE w:val="0"/>
              <w:autoSpaceDN w:val="0"/>
              <w:adjustRightInd w:val="0"/>
              <w:rPr>
                <w:rFonts w:asciiTheme="minorHAnsi" w:hAnsiTheme="minorHAnsi" w:cstheme="minorHAnsi"/>
                <w:sz w:val="22"/>
                <w:szCs w:val="24"/>
                <w:lang w:val="en-CA"/>
              </w:rPr>
            </w:pPr>
            <w:r w:rsidRPr="004F1F5D">
              <w:rPr>
                <w:rFonts w:asciiTheme="minorHAnsi" w:hAnsiTheme="minorHAnsi" w:cstheme="minorHAnsi"/>
                <w:sz w:val="22"/>
                <w:szCs w:val="24"/>
                <w:lang w:val="en-CA"/>
              </w:rPr>
              <w:t>Unilingual</w:t>
            </w:r>
          </w:p>
        </w:tc>
        <w:tc>
          <w:tcPr>
            <w:tcW w:w="1728" w:type="pct"/>
          </w:tcPr>
          <w:p w14:paraId="09D39AFF" w14:textId="77777777" w:rsidR="007217CF" w:rsidRPr="004F1F5D" w:rsidRDefault="007217CF" w:rsidP="00D22DAD">
            <w:pPr>
              <w:autoSpaceDE w:val="0"/>
              <w:autoSpaceDN w:val="0"/>
              <w:adjustRightInd w:val="0"/>
              <w:jc w:val="center"/>
              <w:rPr>
                <w:rFonts w:asciiTheme="minorHAnsi" w:hAnsiTheme="minorHAnsi" w:cstheme="minorHAnsi"/>
                <w:sz w:val="22"/>
                <w:szCs w:val="24"/>
                <w:lang w:val="en-CA"/>
              </w:rPr>
            </w:pPr>
            <w:r w:rsidRPr="004F1F5D">
              <w:rPr>
                <w:rFonts w:asciiTheme="minorHAnsi" w:hAnsiTheme="minorHAnsi" w:cstheme="minorHAnsi"/>
                <w:sz w:val="22"/>
                <w:szCs w:val="24"/>
                <w:lang w:val="en-CA"/>
              </w:rPr>
              <w:t>13</w:t>
            </w:r>
          </w:p>
        </w:tc>
        <w:tc>
          <w:tcPr>
            <w:tcW w:w="1994" w:type="pct"/>
          </w:tcPr>
          <w:p w14:paraId="15EDF19F" w14:textId="77777777" w:rsidR="007217CF" w:rsidRPr="004F1F5D" w:rsidRDefault="007217CF" w:rsidP="00D22DAD">
            <w:pPr>
              <w:autoSpaceDE w:val="0"/>
              <w:autoSpaceDN w:val="0"/>
              <w:adjustRightInd w:val="0"/>
              <w:jc w:val="center"/>
              <w:rPr>
                <w:rFonts w:asciiTheme="minorHAnsi" w:hAnsiTheme="minorHAnsi" w:cstheme="minorHAnsi"/>
                <w:sz w:val="22"/>
                <w:szCs w:val="24"/>
                <w:lang w:val="en-CA"/>
              </w:rPr>
            </w:pPr>
            <w:r w:rsidRPr="004F1F5D">
              <w:rPr>
                <w:rFonts w:asciiTheme="minorHAnsi" w:hAnsiTheme="minorHAnsi" w:cstheme="minorHAnsi"/>
                <w:sz w:val="22"/>
                <w:szCs w:val="24"/>
                <w:lang w:val="en-CA"/>
              </w:rPr>
              <w:t>14%</w:t>
            </w:r>
          </w:p>
        </w:tc>
      </w:tr>
      <w:tr w:rsidR="004F1F5D" w:rsidRPr="004F1F5D" w14:paraId="7B9109FF" w14:textId="77777777" w:rsidTr="006433E3">
        <w:trPr>
          <w:cantSplit/>
          <w:trHeight w:val="290"/>
          <w:tblHeader/>
          <w:jc w:val="center"/>
        </w:trPr>
        <w:tc>
          <w:tcPr>
            <w:tcW w:w="1278" w:type="pct"/>
          </w:tcPr>
          <w:p w14:paraId="14AB7F44" w14:textId="77777777" w:rsidR="007217CF" w:rsidRPr="004F1F5D" w:rsidRDefault="007217CF" w:rsidP="00D22DAD">
            <w:pPr>
              <w:autoSpaceDE w:val="0"/>
              <w:autoSpaceDN w:val="0"/>
              <w:adjustRightInd w:val="0"/>
              <w:rPr>
                <w:rFonts w:asciiTheme="minorHAnsi" w:hAnsiTheme="minorHAnsi" w:cstheme="minorHAnsi"/>
                <w:sz w:val="22"/>
                <w:szCs w:val="24"/>
                <w:lang w:val="en-CA"/>
              </w:rPr>
            </w:pPr>
            <w:r w:rsidRPr="004F1F5D">
              <w:rPr>
                <w:rFonts w:asciiTheme="minorHAnsi" w:hAnsiTheme="minorHAnsi" w:cstheme="minorHAnsi"/>
                <w:sz w:val="22"/>
                <w:szCs w:val="24"/>
                <w:lang w:val="en-CA"/>
              </w:rPr>
              <w:t>Unknown</w:t>
            </w:r>
          </w:p>
        </w:tc>
        <w:tc>
          <w:tcPr>
            <w:tcW w:w="1728" w:type="pct"/>
          </w:tcPr>
          <w:p w14:paraId="123E1A5D" w14:textId="77777777" w:rsidR="007217CF" w:rsidRPr="004F1F5D" w:rsidRDefault="007217CF" w:rsidP="00D22DAD">
            <w:pPr>
              <w:autoSpaceDE w:val="0"/>
              <w:autoSpaceDN w:val="0"/>
              <w:adjustRightInd w:val="0"/>
              <w:jc w:val="center"/>
              <w:rPr>
                <w:rFonts w:asciiTheme="minorHAnsi" w:hAnsiTheme="minorHAnsi" w:cstheme="minorHAnsi"/>
                <w:sz w:val="22"/>
                <w:szCs w:val="24"/>
                <w:lang w:val="en-CA"/>
              </w:rPr>
            </w:pPr>
            <w:r w:rsidRPr="004F1F5D">
              <w:rPr>
                <w:rFonts w:asciiTheme="minorHAnsi" w:hAnsiTheme="minorHAnsi" w:cstheme="minorHAnsi"/>
                <w:sz w:val="22"/>
                <w:szCs w:val="24"/>
                <w:lang w:val="en-CA"/>
              </w:rPr>
              <w:t>84</w:t>
            </w:r>
          </w:p>
        </w:tc>
        <w:tc>
          <w:tcPr>
            <w:tcW w:w="1994" w:type="pct"/>
          </w:tcPr>
          <w:p w14:paraId="73862046" w14:textId="77777777" w:rsidR="007217CF" w:rsidRPr="004F1F5D" w:rsidRDefault="004F1F5D" w:rsidP="00D22DAD">
            <w:pPr>
              <w:autoSpaceDE w:val="0"/>
              <w:autoSpaceDN w:val="0"/>
              <w:adjustRightInd w:val="0"/>
              <w:jc w:val="center"/>
              <w:rPr>
                <w:rFonts w:asciiTheme="minorHAnsi" w:hAnsiTheme="minorHAnsi" w:cstheme="minorHAnsi"/>
                <w:sz w:val="22"/>
                <w:szCs w:val="24"/>
                <w:lang w:val="en-CA"/>
              </w:rPr>
            </w:pPr>
            <w:r>
              <w:rPr>
                <w:rFonts w:asciiTheme="minorHAnsi" w:hAnsiTheme="minorHAnsi" w:cstheme="minorHAnsi"/>
                <w:sz w:val="22"/>
                <w:szCs w:val="24"/>
                <w:lang w:val="en-CA"/>
              </w:rPr>
              <w:t>0%</w:t>
            </w:r>
          </w:p>
        </w:tc>
      </w:tr>
    </w:tbl>
    <w:p w14:paraId="0639837C" w14:textId="77777777" w:rsidR="00417183" w:rsidRDefault="00417183" w:rsidP="00417183">
      <w:pPr>
        <w:pStyle w:val="Footer"/>
        <w:jc w:val="center"/>
        <w:rPr>
          <w:noProof/>
          <w:lang w:val="en-CA" w:eastAsia="en-CA"/>
        </w:rPr>
      </w:pPr>
    </w:p>
    <w:p w14:paraId="6775EBA9" w14:textId="77777777" w:rsidR="00417183" w:rsidRDefault="00417183" w:rsidP="00417183">
      <w:pPr>
        <w:pStyle w:val="Footer"/>
        <w:jc w:val="center"/>
        <w:rPr>
          <w:noProof/>
          <w:lang w:val="en-CA" w:eastAsia="en-CA"/>
        </w:rPr>
        <w:sectPr w:rsidR="00417183" w:rsidSect="007E486E">
          <w:headerReference w:type="default" r:id="rId12"/>
          <w:footerReference w:type="even" r:id="rId13"/>
          <w:headerReference w:type="first" r:id="rId14"/>
          <w:footerReference w:type="first" r:id="rId15"/>
          <w:pgSz w:w="15840" w:h="12240" w:orient="landscape"/>
          <w:pgMar w:top="720" w:right="720" w:bottom="720" w:left="720" w:header="283" w:footer="170" w:gutter="0"/>
          <w:cols w:space="708"/>
          <w:titlePg/>
          <w:docGrid w:linePitch="360"/>
        </w:sectPr>
      </w:pPr>
    </w:p>
    <w:p w14:paraId="31DE9467" w14:textId="77777777" w:rsidR="004F1F5D" w:rsidRPr="004F1F5D" w:rsidRDefault="004F1F5D" w:rsidP="004F1F5D">
      <w:pPr>
        <w:pStyle w:val="Heading1"/>
        <w:spacing w:before="120" w:after="120"/>
        <w:rPr>
          <w:noProof/>
          <w:sz w:val="40"/>
          <w:lang w:val="en-CA" w:eastAsia="en-CA"/>
        </w:rPr>
      </w:pPr>
      <w:r w:rsidRPr="004F1F5D">
        <w:rPr>
          <w:rFonts w:eastAsia="Times New Roman"/>
          <w:noProof/>
          <w:sz w:val="40"/>
          <w:lang w:eastAsia="en-CA"/>
        </w:rPr>
        <w:lastRenderedPageBreak/>
        <w:t>Popula</w:t>
      </w:r>
      <w:r>
        <w:rPr>
          <w:rFonts w:eastAsia="Times New Roman"/>
          <w:noProof/>
          <w:sz w:val="40"/>
          <w:lang w:eastAsia="en-CA"/>
        </w:rPr>
        <w:t>tion by occupational group as of</w:t>
      </w:r>
      <w:r w:rsidRPr="004F1F5D">
        <w:rPr>
          <w:rFonts w:eastAsia="Times New Roman"/>
          <w:noProof/>
          <w:sz w:val="40"/>
          <w:lang w:eastAsia="en-CA"/>
        </w:rPr>
        <w:t xml:space="preserve"> March 31, 2019</w:t>
      </w:r>
    </w:p>
    <w:p w14:paraId="42EFFD5F" w14:textId="77777777" w:rsidR="004F1F5D" w:rsidRDefault="00417183" w:rsidP="004F1F5D">
      <w:pPr>
        <w:pStyle w:val="Footer"/>
        <w:keepNext/>
        <w:jc w:val="center"/>
      </w:pPr>
      <w:r w:rsidRPr="00DE4115">
        <w:rPr>
          <w:noProof/>
          <w:lang w:val="en-CA" w:eastAsia="en-CA"/>
        </w:rPr>
        <w:drawing>
          <wp:inline distT="0" distB="0" distL="0" distR="0" wp14:anchorId="6CBB6EFD" wp14:editId="6D9DE129">
            <wp:extent cx="1980000" cy="3020400"/>
            <wp:effectExtent l="0" t="0" r="1270" b="8890"/>
            <wp:docPr id="5" name="Chart 5" descr="Population by occupational group as of March 31,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D80A12" w14:textId="77777777" w:rsidR="00417183" w:rsidRPr="004F1F5D" w:rsidRDefault="004F1F5D" w:rsidP="004F1F5D">
      <w:pPr>
        <w:pStyle w:val="Caption"/>
        <w:spacing w:after="0"/>
        <w:jc w:val="center"/>
        <w:rPr>
          <w:rFonts w:asciiTheme="minorHAnsi" w:hAnsiTheme="minorHAnsi" w:cstheme="minorHAnsi"/>
          <w:i w:val="0"/>
          <w:noProof/>
          <w:color w:val="auto"/>
          <w:lang w:val="en-CA" w:eastAsia="en-CA"/>
        </w:rPr>
      </w:pPr>
      <w:r w:rsidRPr="004F1F5D">
        <w:rPr>
          <w:rFonts w:asciiTheme="minorHAnsi" w:hAnsiTheme="minorHAnsi" w:cstheme="minorHAnsi"/>
          <w:i w:val="0"/>
          <w:color w:val="auto"/>
        </w:rPr>
        <w:t xml:space="preserve">Figure </w:t>
      </w:r>
      <w:r w:rsidRPr="004F1F5D">
        <w:rPr>
          <w:rFonts w:asciiTheme="minorHAnsi" w:hAnsiTheme="minorHAnsi" w:cstheme="minorHAnsi"/>
          <w:i w:val="0"/>
          <w:color w:val="auto"/>
        </w:rPr>
        <w:fldChar w:fldCharType="begin"/>
      </w:r>
      <w:r w:rsidRPr="004F1F5D">
        <w:rPr>
          <w:rFonts w:asciiTheme="minorHAnsi" w:hAnsiTheme="minorHAnsi" w:cstheme="minorHAnsi"/>
          <w:i w:val="0"/>
          <w:color w:val="auto"/>
        </w:rPr>
        <w:instrText xml:space="preserve"> SEQ Figure \* ARABIC </w:instrText>
      </w:r>
      <w:r w:rsidRPr="004F1F5D">
        <w:rPr>
          <w:rFonts w:asciiTheme="minorHAnsi" w:hAnsiTheme="minorHAnsi" w:cstheme="minorHAnsi"/>
          <w:i w:val="0"/>
          <w:color w:val="auto"/>
        </w:rPr>
        <w:fldChar w:fldCharType="separate"/>
      </w:r>
      <w:r w:rsidR="004F3406">
        <w:rPr>
          <w:rFonts w:asciiTheme="minorHAnsi" w:hAnsiTheme="minorHAnsi" w:cstheme="minorHAnsi"/>
          <w:i w:val="0"/>
          <w:noProof/>
          <w:color w:val="auto"/>
        </w:rPr>
        <w:t>3</w:t>
      </w:r>
      <w:r w:rsidRPr="004F1F5D">
        <w:rPr>
          <w:rFonts w:asciiTheme="minorHAnsi" w:hAnsiTheme="minorHAnsi" w:cstheme="minorHAnsi"/>
          <w:i w:val="0"/>
          <w:color w:val="auto"/>
        </w:rPr>
        <w:fldChar w:fldCharType="end"/>
      </w:r>
      <w:r w:rsidRPr="004F1F5D">
        <w:rPr>
          <w:rFonts w:asciiTheme="minorHAnsi" w:hAnsiTheme="minorHAnsi" w:cstheme="minorHAnsi"/>
          <w:i w:val="0"/>
          <w:color w:val="auto"/>
        </w:rPr>
        <w:t xml:space="preserve"> - Population by occupational group as of March 31, 2019</w:t>
      </w:r>
    </w:p>
    <w:p w14:paraId="7A06FEDF" w14:textId="77777777" w:rsidR="004F1F5D" w:rsidRPr="004F1F5D" w:rsidRDefault="004F1F5D" w:rsidP="004F1F5D">
      <w:pPr>
        <w:pStyle w:val="Caption"/>
        <w:keepNext/>
        <w:spacing w:before="240" w:after="0"/>
        <w:jc w:val="center"/>
        <w:rPr>
          <w:rStyle w:val="Emphasis"/>
          <w:rFonts w:cstheme="minorHAnsi"/>
          <w:i/>
          <w:color w:val="auto"/>
          <w:szCs w:val="22"/>
        </w:rPr>
      </w:pPr>
      <w:r w:rsidRPr="004F1F5D">
        <w:rPr>
          <w:rFonts w:asciiTheme="minorHAnsi" w:hAnsiTheme="minorHAnsi" w:cstheme="minorHAnsi"/>
          <w:i w:val="0"/>
          <w:color w:val="auto"/>
        </w:rPr>
        <w:t xml:space="preserve">Table </w:t>
      </w:r>
      <w:r w:rsidRPr="004F1F5D">
        <w:rPr>
          <w:rFonts w:asciiTheme="minorHAnsi" w:hAnsiTheme="minorHAnsi" w:cstheme="minorHAnsi"/>
          <w:i w:val="0"/>
          <w:color w:val="auto"/>
        </w:rPr>
        <w:fldChar w:fldCharType="begin"/>
      </w:r>
      <w:r w:rsidRPr="004F1F5D">
        <w:rPr>
          <w:rFonts w:asciiTheme="minorHAnsi" w:hAnsiTheme="minorHAnsi" w:cstheme="minorHAnsi"/>
          <w:i w:val="0"/>
          <w:color w:val="auto"/>
        </w:rPr>
        <w:instrText xml:space="preserve"> SEQ Table \* ARABIC </w:instrText>
      </w:r>
      <w:r w:rsidRPr="004F1F5D">
        <w:rPr>
          <w:rFonts w:asciiTheme="minorHAnsi" w:hAnsiTheme="minorHAnsi" w:cstheme="minorHAnsi"/>
          <w:i w:val="0"/>
          <w:color w:val="auto"/>
        </w:rPr>
        <w:fldChar w:fldCharType="separate"/>
      </w:r>
      <w:r w:rsidR="00D22DAD">
        <w:rPr>
          <w:rFonts w:asciiTheme="minorHAnsi" w:hAnsiTheme="minorHAnsi" w:cstheme="minorHAnsi"/>
          <w:i w:val="0"/>
          <w:noProof/>
          <w:color w:val="auto"/>
        </w:rPr>
        <w:t>4</w:t>
      </w:r>
      <w:r w:rsidRPr="004F1F5D">
        <w:rPr>
          <w:rFonts w:asciiTheme="minorHAnsi" w:hAnsiTheme="minorHAnsi" w:cstheme="minorHAnsi"/>
          <w:i w:val="0"/>
          <w:color w:val="auto"/>
        </w:rPr>
        <w:fldChar w:fldCharType="end"/>
      </w:r>
      <w:r w:rsidRPr="004F1F5D">
        <w:rPr>
          <w:rFonts w:asciiTheme="minorHAnsi" w:hAnsiTheme="minorHAnsi" w:cstheme="minorHAnsi"/>
          <w:i w:val="0"/>
          <w:color w:val="auto"/>
        </w:rPr>
        <w:t xml:space="preserve"> - Popula</w:t>
      </w:r>
      <w:r w:rsidR="002308EA">
        <w:rPr>
          <w:rFonts w:asciiTheme="minorHAnsi" w:hAnsiTheme="minorHAnsi" w:cstheme="minorHAnsi"/>
          <w:i w:val="0"/>
          <w:color w:val="auto"/>
        </w:rPr>
        <w:t>tion by occupational group as of</w:t>
      </w:r>
      <w:r w:rsidRPr="004F1F5D">
        <w:rPr>
          <w:rFonts w:asciiTheme="minorHAnsi" w:hAnsiTheme="minorHAnsi" w:cstheme="minorHAnsi"/>
          <w:i w:val="0"/>
          <w:color w:val="auto"/>
        </w:rPr>
        <w:t xml:space="preserve"> March 31, 2019 under the </w:t>
      </w:r>
      <w:r w:rsidRPr="004F1F5D">
        <w:rPr>
          <w:rStyle w:val="Emphasis"/>
          <w:rFonts w:cstheme="minorHAnsi"/>
          <w:i/>
          <w:color w:val="auto"/>
          <w:szCs w:val="22"/>
        </w:rPr>
        <w:t>Public Service Employment Act</w:t>
      </w:r>
    </w:p>
    <w:tbl>
      <w:tblPr>
        <w:tblStyle w:val="TableGrid"/>
        <w:tblW w:w="5000" w:type="pct"/>
        <w:jc w:val="center"/>
        <w:tblLook w:val="0020" w:firstRow="1" w:lastRow="0" w:firstColumn="0" w:lastColumn="0" w:noHBand="0" w:noVBand="0"/>
        <w:tblDescription w:val="Population by occupational group as of March 31, 2019"/>
      </w:tblPr>
      <w:tblGrid>
        <w:gridCol w:w="4530"/>
        <w:gridCol w:w="4962"/>
        <w:gridCol w:w="4898"/>
      </w:tblGrid>
      <w:tr w:rsidR="004F1F5D" w:rsidRPr="004F1F5D" w14:paraId="4E27B2D1" w14:textId="77777777" w:rsidTr="006433E3">
        <w:trPr>
          <w:cantSplit/>
          <w:trHeight w:val="290"/>
          <w:tblHeader/>
          <w:jc w:val="center"/>
        </w:trPr>
        <w:tc>
          <w:tcPr>
            <w:tcW w:w="1574" w:type="pct"/>
          </w:tcPr>
          <w:p w14:paraId="796CA2E6" w14:textId="77777777" w:rsidR="007217CF" w:rsidRPr="004F1F5D" w:rsidRDefault="007217CF" w:rsidP="004F1F5D">
            <w:pPr>
              <w:pStyle w:val="TableTitle"/>
              <w:rPr>
                <w:lang w:val="en-CA"/>
              </w:rPr>
            </w:pPr>
            <w:r w:rsidRPr="004F1F5D">
              <w:rPr>
                <w:lang w:val="en-CA"/>
              </w:rPr>
              <w:t>Occupational groups</w:t>
            </w:r>
          </w:p>
        </w:tc>
        <w:tc>
          <w:tcPr>
            <w:tcW w:w="1724" w:type="pct"/>
          </w:tcPr>
          <w:p w14:paraId="57B2555A" w14:textId="77777777" w:rsidR="007217CF" w:rsidRPr="004F1F5D" w:rsidRDefault="007217CF" w:rsidP="004F1F5D">
            <w:pPr>
              <w:pStyle w:val="TableTitle"/>
              <w:rPr>
                <w:lang w:val="en-CA"/>
              </w:rPr>
            </w:pPr>
            <w:r w:rsidRPr="004F1F5D">
              <w:rPr>
                <w:lang w:val="en-CA"/>
              </w:rPr>
              <w:t>Population as at March 31, 2019</w:t>
            </w:r>
          </w:p>
        </w:tc>
        <w:tc>
          <w:tcPr>
            <w:tcW w:w="1702" w:type="pct"/>
          </w:tcPr>
          <w:p w14:paraId="6F814B03" w14:textId="77777777" w:rsidR="007217CF" w:rsidRPr="004F1F5D" w:rsidRDefault="007217CF" w:rsidP="004F1F5D">
            <w:pPr>
              <w:pStyle w:val="TableTitle"/>
              <w:rPr>
                <w:lang w:val="en-CA"/>
              </w:rPr>
            </w:pPr>
            <w:r w:rsidRPr="004F1F5D">
              <w:rPr>
                <w:lang w:val="en-CA"/>
              </w:rPr>
              <w:t>% of population as at March 31, 2019</w:t>
            </w:r>
          </w:p>
        </w:tc>
      </w:tr>
      <w:tr w:rsidR="007217CF" w:rsidRPr="004F1F5D" w14:paraId="13578EEC" w14:textId="77777777" w:rsidTr="006433E3">
        <w:trPr>
          <w:cantSplit/>
          <w:trHeight w:val="290"/>
          <w:tblHeader/>
          <w:jc w:val="center"/>
        </w:trPr>
        <w:tc>
          <w:tcPr>
            <w:tcW w:w="1574" w:type="pct"/>
          </w:tcPr>
          <w:p w14:paraId="6403D829" w14:textId="77777777" w:rsidR="007217CF" w:rsidRPr="004F1F5D" w:rsidRDefault="007217CF" w:rsidP="00D22DAD">
            <w:pPr>
              <w:autoSpaceDE w:val="0"/>
              <w:autoSpaceDN w:val="0"/>
              <w:adjustRightInd w:val="0"/>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EC – Economics and Social Science Services</w:t>
            </w:r>
          </w:p>
        </w:tc>
        <w:tc>
          <w:tcPr>
            <w:tcW w:w="1724" w:type="pct"/>
          </w:tcPr>
          <w:p w14:paraId="02888DBE" w14:textId="77777777" w:rsidR="007217CF" w:rsidRPr="004F1F5D" w:rsidRDefault="007217CF" w:rsidP="00D22DAD">
            <w:pPr>
              <w:autoSpaceDE w:val="0"/>
              <w:autoSpaceDN w:val="0"/>
              <w:adjustRightInd w:val="0"/>
              <w:jc w:val="center"/>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44</w:t>
            </w:r>
          </w:p>
        </w:tc>
        <w:tc>
          <w:tcPr>
            <w:tcW w:w="1702" w:type="pct"/>
          </w:tcPr>
          <w:p w14:paraId="4BB25444" w14:textId="77777777" w:rsidR="007217CF" w:rsidRPr="004F1F5D" w:rsidRDefault="007217CF" w:rsidP="00D22DAD">
            <w:pPr>
              <w:autoSpaceDE w:val="0"/>
              <w:autoSpaceDN w:val="0"/>
              <w:adjustRightInd w:val="0"/>
              <w:jc w:val="center"/>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26%</w:t>
            </w:r>
          </w:p>
        </w:tc>
      </w:tr>
      <w:tr w:rsidR="007217CF" w:rsidRPr="004F1F5D" w14:paraId="59B1FE45" w14:textId="77777777" w:rsidTr="006433E3">
        <w:trPr>
          <w:cantSplit/>
          <w:trHeight w:val="290"/>
          <w:tblHeader/>
          <w:jc w:val="center"/>
        </w:trPr>
        <w:tc>
          <w:tcPr>
            <w:tcW w:w="1574" w:type="pct"/>
          </w:tcPr>
          <w:p w14:paraId="2112B287" w14:textId="77777777" w:rsidR="007217CF" w:rsidRPr="004F1F5D" w:rsidRDefault="007217CF" w:rsidP="00D22DAD">
            <w:pPr>
              <w:autoSpaceDE w:val="0"/>
              <w:autoSpaceDN w:val="0"/>
              <w:adjustRightInd w:val="0"/>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PA – Program Administration</w:t>
            </w:r>
          </w:p>
        </w:tc>
        <w:tc>
          <w:tcPr>
            <w:tcW w:w="1724" w:type="pct"/>
          </w:tcPr>
          <w:p w14:paraId="6557A0C2" w14:textId="77777777" w:rsidR="007217CF" w:rsidRPr="004F1F5D" w:rsidRDefault="007217CF" w:rsidP="00D22DAD">
            <w:pPr>
              <w:autoSpaceDE w:val="0"/>
              <w:autoSpaceDN w:val="0"/>
              <w:adjustRightInd w:val="0"/>
              <w:jc w:val="center"/>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44</w:t>
            </w:r>
          </w:p>
        </w:tc>
        <w:tc>
          <w:tcPr>
            <w:tcW w:w="1702" w:type="pct"/>
          </w:tcPr>
          <w:p w14:paraId="6DBF29C3" w14:textId="77777777" w:rsidR="007217CF" w:rsidRPr="004F1F5D" w:rsidRDefault="007217CF" w:rsidP="00D22DAD">
            <w:pPr>
              <w:autoSpaceDE w:val="0"/>
              <w:autoSpaceDN w:val="0"/>
              <w:adjustRightInd w:val="0"/>
              <w:jc w:val="center"/>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26%</w:t>
            </w:r>
          </w:p>
        </w:tc>
      </w:tr>
      <w:tr w:rsidR="007217CF" w:rsidRPr="004F1F5D" w14:paraId="5C9CDE6D" w14:textId="77777777" w:rsidTr="006433E3">
        <w:trPr>
          <w:cantSplit/>
          <w:trHeight w:val="290"/>
          <w:tblHeader/>
          <w:jc w:val="center"/>
        </w:trPr>
        <w:tc>
          <w:tcPr>
            <w:tcW w:w="1574" w:type="pct"/>
          </w:tcPr>
          <w:p w14:paraId="1C749494" w14:textId="77777777" w:rsidR="007217CF" w:rsidRPr="004F1F5D" w:rsidRDefault="007217CF" w:rsidP="00D22DAD">
            <w:pPr>
              <w:autoSpaceDE w:val="0"/>
              <w:autoSpaceDN w:val="0"/>
              <w:adjustRightInd w:val="0"/>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AS – Administrative Services</w:t>
            </w:r>
          </w:p>
        </w:tc>
        <w:tc>
          <w:tcPr>
            <w:tcW w:w="1724" w:type="pct"/>
          </w:tcPr>
          <w:p w14:paraId="3F74C0BE" w14:textId="77777777" w:rsidR="007217CF" w:rsidRPr="004F1F5D" w:rsidRDefault="007217CF" w:rsidP="00D22DAD">
            <w:pPr>
              <w:autoSpaceDE w:val="0"/>
              <w:autoSpaceDN w:val="0"/>
              <w:adjustRightInd w:val="0"/>
              <w:jc w:val="center"/>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39</w:t>
            </w:r>
          </w:p>
        </w:tc>
        <w:tc>
          <w:tcPr>
            <w:tcW w:w="1702" w:type="pct"/>
          </w:tcPr>
          <w:p w14:paraId="7D12FDBB" w14:textId="77777777" w:rsidR="007217CF" w:rsidRPr="004F1F5D" w:rsidRDefault="007217CF" w:rsidP="00D22DAD">
            <w:pPr>
              <w:autoSpaceDE w:val="0"/>
              <w:autoSpaceDN w:val="0"/>
              <w:adjustRightInd w:val="0"/>
              <w:jc w:val="center"/>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23%</w:t>
            </w:r>
          </w:p>
        </w:tc>
      </w:tr>
      <w:tr w:rsidR="007217CF" w:rsidRPr="004F1F5D" w14:paraId="586F040F" w14:textId="77777777" w:rsidTr="006433E3">
        <w:trPr>
          <w:cantSplit/>
          <w:trHeight w:val="290"/>
          <w:tblHeader/>
          <w:jc w:val="center"/>
        </w:trPr>
        <w:tc>
          <w:tcPr>
            <w:tcW w:w="1574" w:type="pct"/>
          </w:tcPr>
          <w:p w14:paraId="090DE03B" w14:textId="77777777" w:rsidR="007217CF" w:rsidRPr="004F1F5D" w:rsidRDefault="007217CF" w:rsidP="00D22DAD">
            <w:pPr>
              <w:autoSpaceDE w:val="0"/>
              <w:autoSpaceDN w:val="0"/>
              <w:adjustRightInd w:val="0"/>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 xml:space="preserve">Other </w:t>
            </w:r>
          </w:p>
        </w:tc>
        <w:tc>
          <w:tcPr>
            <w:tcW w:w="1724" w:type="pct"/>
          </w:tcPr>
          <w:p w14:paraId="745FE8BC" w14:textId="77777777" w:rsidR="007217CF" w:rsidRPr="004F1F5D" w:rsidRDefault="007217CF" w:rsidP="00D22DAD">
            <w:pPr>
              <w:autoSpaceDE w:val="0"/>
              <w:autoSpaceDN w:val="0"/>
              <w:adjustRightInd w:val="0"/>
              <w:jc w:val="center"/>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45</w:t>
            </w:r>
          </w:p>
        </w:tc>
        <w:tc>
          <w:tcPr>
            <w:tcW w:w="1702" w:type="pct"/>
          </w:tcPr>
          <w:p w14:paraId="1E706212" w14:textId="77777777" w:rsidR="007217CF" w:rsidRPr="004F1F5D" w:rsidRDefault="007217CF" w:rsidP="00D22DAD">
            <w:pPr>
              <w:autoSpaceDE w:val="0"/>
              <w:autoSpaceDN w:val="0"/>
              <w:adjustRightInd w:val="0"/>
              <w:jc w:val="center"/>
              <w:rPr>
                <w:rFonts w:asciiTheme="minorHAnsi" w:hAnsiTheme="minorHAnsi" w:cstheme="minorHAnsi"/>
                <w:color w:val="000000"/>
                <w:sz w:val="22"/>
                <w:szCs w:val="24"/>
                <w:lang w:val="en-CA"/>
              </w:rPr>
            </w:pPr>
            <w:r w:rsidRPr="004F1F5D">
              <w:rPr>
                <w:rFonts w:asciiTheme="minorHAnsi" w:hAnsiTheme="minorHAnsi" w:cstheme="minorHAnsi"/>
                <w:color w:val="000000"/>
                <w:sz w:val="22"/>
                <w:szCs w:val="24"/>
                <w:lang w:val="en-CA"/>
              </w:rPr>
              <w:t>26%</w:t>
            </w:r>
          </w:p>
        </w:tc>
      </w:tr>
    </w:tbl>
    <w:p w14:paraId="35FBA424" w14:textId="77777777" w:rsidR="00417183" w:rsidRDefault="00417183" w:rsidP="00417183">
      <w:pPr>
        <w:pStyle w:val="Footer"/>
        <w:jc w:val="center"/>
        <w:rPr>
          <w:noProof/>
          <w:lang w:val="en-CA" w:eastAsia="en-CA"/>
        </w:rPr>
      </w:pPr>
    </w:p>
    <w:p w14:paraId="11D4DA1D" w14:textId="77777777" w:rsidR="00417183" w:rsidRDefault="00417183" w:rsidP="00417183">
      <w:pPr>
        <w:pStyle w:val="Footer"/>
        <w:jc w:val="center"/>
        <w:rPr>
          <w:noProof/>
          <w:lang w:val="en-CA" w:eastAsia="en-CA"/>
        </w:rPr>
        <w:sectPr w:rsidR="00417183" w:rsidSect="007E486E">
          <w:pgSz w:w="15840" w:h="12240" w:orient="landscape"/>
          <w:pgMar w:top="720" w:right="720" w:bottom="720" w:left="720" w:header="283" w:footer="170" w:gutter="0"/>
          <w:cols w:space="708"/>
          <w:titlePg/>
          <w:docGrid w:linePitch="360"/>
        </w:sectPr>
      </w:pPr>
    </w:p>
    <w:p w14:paraId="2DC046A1" w14:textId="77777777" w:rsidR="00417183" w:rsidRPr="004F1F5D" w:rsidRDefault="004F1F5D" w:rsidP="004F1F5D">
      <w:pPr>
        <w:pStyle w:val="Heading1"/>
        <w:spacing w:before="120" w:after="120"/>
        <w:rPr>
          <w:noProof/>
          <w:sz w:val="40"/>
          <w:lang w:val="en-CA" w:eastAsia="en-CA"/>
        </w:rPr>
      </w:pPr>
      <w:r>
        <w:rPr>
          <w:noProof/>
          <w:sz w:val="40"/>
          <w:lang w:eastAsia="en-CA"/>
        </w:rPr>
        <w:lastRenderedPageBreak/>
        <w:t>Population by region as of</w:t>
      </w:r>
      <w:r w:rsidRPr="004F1F5D">
        <w:rPr>
          <w:noProof/>
          <w:sz w:val="40"/>
          <w:lang w:eastAsia="en-CA"/>
        </w:rPr>
        <w:t xml:space="preserve"> March 31, 2019</w:t>
      </w:r>
    </w:p>
    <w:p w14:paraId="44625BE4" w14:textId="77777777" w:rsidR="004F1F5D" w:rsidRDefault="00417183" w:rsidP="004F1F5D">
      <w:pPr>
        <w:pStyle w:val="Footer"/>
        <w:keepNext/>
        <w:jc w:val="center"/>
      </w:pPr>
      <w:r w:rsidRPr="00DE4115">
        <w:rPr>
          <w:noProof/>
          <w:lang w:val="en-CA" w:eastAsia="en-CA"/>
        </w:rPr>
        <w:drawing>
          <wp:inline distT="0" distB="0" distL="0" distR="0" wp14:anchorId="5CD3C878" wp14:editId="43BE970F">
            <wp:extent cx="1980000" cy="3020400"/>
            <wp:effectExtent l="0" t="0" r="1270" b="8890"/>
            <wp:docPr id="15" name="Chart 15" descr="Population by region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6C05A9" w14:textId="77777777" w:rsidR="00417183" w:rsidRPr="002308EA" w:rsidRDefault="004F1F5D" w:rsidP="004F1F5D">
      <w:pPr>
        <w:pStyle w:val="Caption"/>
        <w:spacing w:after="0"/>
        <w:jc w:val="center"/>
        <w:rPr>
          <w:rFonts w:asciiTheme="minorHAnsi" w:hAnsiTheme="minorHAnsi" w:cstheme="minorHAnsi"/>
          <w:i w:val="0"/>
          <w:noProof/>
          <w:color w:val="auto"/>
          <w:lang w:val="en-CA" w:eastAsia="en-CA"/>
        </w:rPr>
      </w:pPr>
      <w:r w:rsidRPr="002308EA">
        <w:rPr>
          <w:rFonts w:asciiTheme="minorHAnsi" w:hAnsiTheme="minorHAnsi" w:cstheme="minorHAnsi"/>
          <w:i w:val="0"/>
          <w:color w:val="auto"/>
        </w:rPr>
        <w:t xml:space="preserve">Figure </w:t>
      </w:r>
      <w:r w:rsidRPr="002308EA">
        <w:rPr>
          <w:rFonts w:asciiTheme="minorHAnsi" w:hAnsiTheme="minorHAnsi" w:cstheme="minorHAnsi"/>
          <w:i w:val="0"/>
          <w:color w:val="auto"/>
        </w:rPr>
        <w:fldChar w:fldCharType="begin"/>
      </w:r>
      <w:r w:rsidRPr="002308EA">
        <w:rPr>
          <w:rFonts w:asciiTheme="minorHAnsi" w:hAnsiTheme="minorHAnsi" w:cstheme="minorHAnsi"/>
          <w:i w:val="0"/>
          <w:color w:val="auto"/>
        </w:rPr>
        <w:instrText xml:space="preserve"> SEQ Figure \* ARABIC </w:instrText>
      </w:r>
      <w:r w:rsidRPr="002308EA">
        <w:rPr>
          <w:rFonts w:asciiTheme="minorHAnsi" w:hAnsiTheme="minorHAnsi" w:cstheme="minorHAnsi"/>
          <w:i w:val="0"/>
          <w:color w:val="auto"/>
        </w:rPr>
        <w:fldChar w:fldCharType="separate"/>
      </w:r>
      <w:r w:rsidR="004F3406">
        <w:rPr>
          <w:rFonts w:asciiTheme="minorHAnsi" w:hAnsiTheme="minorHAnsi" w:cstheme="minorHAnsi"/>
          <w:i w:val="0"/>
          <w:noProof/>
          <w:color w:val="auto"/>
        </w:rPr>
        <w:t>4</w:t>
      </w:r>
      <w:r w:rsidRPr="002308EA">
        <w:rPr>
          <w:rFonts w:asciiTheme="minorHAnsi" w:hAnsiTheme="minorHAnsi" w:cstheme="minorHAnsi"/>
          <w:i w:val="0"/>
          <w:color w:val="auto"/>
        </w:rPr>
        <w:fldChar w:fldCharType="end"/>
      </w:r>
      <w:r w:rsidRPr="002308EA">
        <w:rPr>
          <w:rFonts w:asciiTheme="minorHAnsi" w:hAnsiTheme="minorHAnsi" w:cstheme="minorHAnsi"/>
          <w:i w:val="0"/>
          <w:color w:val="auto"/>
        </w:rPr>
        <w:t xml:space="preserve"> - Population </w:t>
      </w:r>
      <w:r w:rsidR="002308EA" w:rsidRPr="002308EA">
        <w:rPr>
          <w:rFonts w:asciiTheme="minorHAnsi" w:hAnsiTheme="minorHAnsi" w:cstheme="minorHAnsi"/>
          <w:i w:val="0"/>
          <w:color w:val="auto"/>
        </w:rPr>
        <w:t>by region as of</w:t>
      </w:r>
      <w:r w:rsidRPr="002308EA">
        <w:rPr>
          <w:rFonts w:asciiTheme="minorHAnsi" w:hAnsiTheme="minorHAnsi" w:cstheme="minorHAnsi"/>
          <w:i w:val="0"/>
          <w:color w:val="auto"/>
        </w:rPr>
        <w:t xml:space="preserve"> March 31, 2019 </w:t>
      </w:r>
    </w:p>
    <w:p w14:paraId="2721D0FB" w14:textId="77777777" w:rsidR="004F1F5D" w:rsidRPr="002308EA" w:rsidRDefault="004F1F5D" w:rsidP="002308EA">
      <w:pPr>
        <w:pStyle w:val="Caption"/>
        <w:keepNext/>
        <w:spacing w:before="240" w:after="0"/>
        <w:jc w:val="center"/>
        <w:rPr>
          <w:rFonts w:asciiTheme="minorHAnsi" w:hAnsiTheme="minorHAnsi" w:cstheme="minorHAnsi"/>
          <w:i w:val="0"/>
          <w:color w:val="auto"/>
        </w:rPr>
      </w:pPr>
      <w:r w:rsidRPr="002308EA">
        <w:rPr>
          <w:rFonts w:asciiTheme="minorHAnsi" w:hAnsiTheme="minorHAnsi" w:cstheme="minorHAnsi"/>
          <w:i w:val="0"/>
          <w:color w:val="auto"/>
        </w:rPr>
        <w:t xml:space="preserve">Table </w:t>
      </w:r>
      <w:r w:rsidRPr="002308EA">
        <w:rPr>
          <w:rFonts w:asciiTheme="minorHAnsi" w:hAnsiTheme="minorHAnsi" w:cstheme="minorHAnsi"/>
          <w:i w:val="0"/>
          <w:color w:val="auto"/>
        </w:rPr>
        <w:fldChar w:fldCharType="begin"/>
      </w:r>
      <w:r w:rsidRPr="002308EA">
        <w:rPr>
          <w:rFonts w:asciiTheme="minorHAnsi" w:hAnsiTheme="minorHAnsi" w:cstheme="minorHAnsi"/>
          <w:i w:val="0"/>
          <w:color w:val="auto"/>
        </w:rPr>
        <w:instrText xml:space="preserve"> SEQ Table \* ARABIC </w:instrText>
      </w:r>
      <w:r w:rsidRPr="002308EA">
        <w:rPr>
          <w:rFonts w:asciiTheme="minorHAnsi" w:hAnsiTheme="minorHAnsi" w:cstheme="minorHAnsi"/>
          <w:i w:val="0"/>
          <w:color w:val="auto"/>
        </w:rPr>
        <w:fldChar w:fldCharType="separate"/>
      </w:r>
      <w:r w:rsidR="00D22DAD">
        <w:rPr>
          <w:rFonts w:asciiTheme="minorHAnsi" w:hAnsiTheme="minorHAnsi" w:cstheme="minorHAnsi"/>
          <w:i w:val="0"/>
          <w:noProof/>
          <w:color w:val="auto"/>
        </w:rPr>
        <w:t>5</w:t>
      </w:r>
      <w:r w:rsidRPr="002308EA">
        <w:rPr>
          <w:rFonts w:asciiTheme="minorHAnsi" w:hAnsiTheme="minorHAnsi" w:cstheme="minorHAnsi"/>
          <w:i w:val="0"/>
          <w:color w:val="auto"/>
        </w:rPr>
        <w:fldChar w:fldCharType="end"/>
      </w:r>
      <w:r w:rsidRPr="002308EA">
        <w:rPr>
          <w:rFonts w:asciiTheme="minorHAnsi" w:hAnsiTheme="minorHAnsi" w:cstheme="minorHAnsi"/>
          <w:i w:val="0"/>
          <w:color w:val="auto"/>
        </w:rPr>
        <w:t xml:space="preserve"> - Population and percenta</w:t>
      </w:r>
      <w:r w:rsidR="002308EA" w:rsidRPr="002308EA">
        <w:rPr>
          <w:rFonts w:asciiTheme="minorHAnsi" w:hAnsiTheme="minorHAnsi" w:cstheme="minorHAnsi"/>
          <w:i w:val="0"/>
          <w:color w:val="auto"/>
        </w:rPr>
        <w:t>ge of population by region as of</w:t>
      </w:r>
      <w:r w:rsidRPr="002308EA">
        <w:rPr>
          <w:rFonts w:asciiTheme="minorHAnsi" w:hAnsiTheme="minorHAnsi" w:cstheme="minorHAnsi"/>
          <w:i w:val="0"/>
          <w:color w:val="auto"/>
        </w:rPr>
        <w:t xml:space="preserve"> March 31, 2019 under the </w:t>
      </w:r>
      <w:r w:rsidRPr="002308EA">
        <w:rPr>
          <w:rStyle w:val="Emphasis"/>
          <w:i/>
          <w:color w:val="auto"/>
        </w:rPr>
        <w:t>Public Service Employment Act</w:t>
      </w:r>
    </w:p>
    <w:tbl>
      <w:tblPr>
        <w:tblStyle w:val="TableGrid"/>
        <w:tblW w:w="5000" w:type="pct"/>
        <w:jc w:val="center"/>
        <w:tblLook w:val="0020" w:firstRow="1" w:lastRow="0" w:firstColumn="0" w:lastColumn="0" w:noHBand="0" w:noVBand="0"/>
        <w:tblDescription w:val="Population by region as of March 31, 2019"/>
      </w:tblPr>
      <w:tblGrid>
        <w:gridCol w:w="4956"/>
        <w:gridCol w:w="4677"/>
        <w:gridCol w:w="4757"/>
      </w:tblGrid>
      <w:tr w:rsidR="002308EA" w:rsidRPr="002308EA" w14:paraId="2262DED0" w14:textId="77777777" w:rsidTr="006433E3">
        <w:trPr>
          <w:cantSplit/>
          <w:trHeight w:val="290"/>
          <w:tblHeader/>
          <w:jc w:val="center"/>
        </w:trPr>
        <w:tc>
          <w:tcPr>
            <w:tcW w:w="1722" w:type="pct"/>
          </w:tcPr>
          <w:p w14:paraId="575AE395" w14:textId="77777777" w:rsidR="007217CF" w:rsidRPr="002308EA" w:rsidRDefault="007217CF" w:rsidP="002308EA">
            <w:pPr>
              <w:pStyle w:val="TableTitle"/>
              <w:rPr>
                <w:rFonts w:cs="Segoe UI Semibold"/>
                <w:lang w:val="en-CA"/>
              </w:rPr>
            </w:pPr>
            <w:r w:rsidRPr="002308EA">
              <w:rPr>
                <w:rFonts w:cs="Segoe UI Semibold"/>
                <w:lang w:val="en-CA"/>
              </w:rPr>
              <w:t>Region</w:t>
            </w:r>
          </w:p>
        </w:tc>
        <w:tc>
          <w:tcPr>
            <w:tcW w:w="1625" w:type="pct"/>
          </w:tcPr>
          <w:p w14:paraId="54D9A006" w14:textId="77777777" w:rsidR="007217CF" w:rsidRPr="002308EA" w:rsidRDefault="007217CF" w:rsidP="002308EA">
            <w:pPr>
              <w:pStyle w:val="TableTitle"/>
              <w:rPr>
                <w:rFonts w:cs="Segoe UI Semibold"/>
                <w:lang w:val="en-CA"/>
              </w:rPr>
            </w:pPr>
            <w:r w:rsidRPr="002308EA">
              <w:rPr>
                <w:rFonts w:cs="Segoe UI Semibold"/>
                <w:lang w:val="en-CA"/>
              </w:rPr>
              <w:t>Population as at March 31, 2019</w:t>
            </w:r>
          </w:p>
        </w:tc>
        <w:tc>
          <w:tcPr>
            <w:tcW w:w="1653" w:type="pct"/>
          </w:tcPr>
          <w:p w14:paraId="3BDCD84D" w14:textId="77777777" w:rsidR="007217CF" w:rsidRPr="002308EA" w:rsidRDefault="007217CF" w:rsidP="002308EA">
            <w:pPr>
              <w:pStyle w:val="TableTitle"/>
              <w:rPr>
                <w:rFonts w:cs="Segoe UI Semibold"/>
                <w:lang w:val="en-CA"/>
              </w:rPr>
            </w:pPr>
            <w:r w:rsidRPr="002308EA">
              <w:rPr>
                <w:rFonts w:cs="Segoe UI Semibold"/>
                <w:lang w:val="en-CA"/>
              </w:rPr>
              <w:t>% of population as at March 31, 2019</w:t>
            </w:r>
          </w:p>
        </w:tc>
      </w:tr>
      <w:tr w:rsidR="002308EA" w:rsidRPr="002308EA" w14:paraId="649C1A45" w14:textId="77777777" w:rsidTr="006433E3">
        <w:trPr>
          <w:cantSplit/>
          <w:trHeight w:val="290"/>
          <w:tblHeader/>
          <w:jc w:val="center"/>
        </w:trPr>
        <w:tc>
          <w:tcPr>
            <w:tcW w:w="1722" w:type="pct"/>
          </w:tcPr>
          <w:p w14:paraId="460A8710" w14:textId="77777777" w:rsidR="007217CF" w:rsidRPr="002308EA" w:rsidRDefault="007217CF" w:rsidP="00D22DAD">
            <w:pPr>
              <w:autoSpaceDE w:val="0"/>
              <w:autoSpaceDN w:val="0"/>
              <w:adjustRightInd w:val="0"/>
              <w:rPr>
                <w:rFonts w:asciiTheme="minorHAnsi" w:hAnsiTheme="minorHAnsi" w:cstheme="minorHAnsi"/>
                <w:sz w:val="22"/>
                <w:szCs w:val="24"/>
                <w:lang w:val="en-CA"/>
              </w:rPr>
            </w:pPr>
            <w:r w:rsidRPr="002308EA">
              <w:rPr>
                <w:rFonts w:asciiTheme="minorHAnsi" w:hAnsiTheme="minorHAnsi" w:cstheme="minorHAnsi"/>
                <w:sz w:val="22"/>
                <w:szCs w:val="24"/>
                <w:lang w:val="en-CA"/>
              </w:rPr>
              <w:t>National Capital Region (NCR)</w:t>
            </w:r>
          </w:p>
        </w:tc>
        <w:tc>
          <w:tcPr>
            <w:tcW w:w="1625" w:type="pct"/>
          </w:tcPr>
          <w:p w14:paraId="1CEC3ED1" w14:textId="77777777" w:rsidR="007217CF" w:rsidRPr="002308EA" w:rsidRDefault="007217CF" w:rsidP="00D22DAD">
            <w:pPr>
              <w:autoSpaceDE w:val="0"/>
              <w:autoSpaceDN w:val="0"/>
              <w:adjustRightInd w:val="0"/>
              <w:jc w:val="center"/>
              <w:rPr>
                <w:rFonts w:asciiTheme="minorHAnsi" w:hAnsiTheme="minorHAnsi" w:cstheme="minorHAnsi"/>
                <w:sz w:val="22"/>
                <w:szCs w:val="24"/>
                <w:lang w:val="en-CA"/>
              </w:rPr>
            </w:pPr>
            <w:r w:rsidRPr="002308EA">
              <w:rPr>
                <w:rFonts w:asciiTheme="minorHAnsi" w:hAnsiTheme="minorHAnsi" w:cstheme="minorHAnsi"/>
                <w:sz w:val="22"/>
                <w:szCs w:val="24"/>
                <w:lang w:val="en-CA"/>
              </w:rPr>
              <w:t>162</w:t>
            </w:r>
          </w:p>
        </w:tc>
        <w:tc>
          <w:tcPr>
            <w:tcW w:w="1653" w:type="pct"/>
          </w:tcPr>
          <w:p w14:paraId="2E328EC6" w14:textId="77777777" w:rsidR="007217CF" w:rsidRPr="002308EA" w:rsidRDefault="007217CF" w:rsidP="00D22DAD">
            <w:pPr>
              <w:autoSpaceDE w:val="0"/>
              <w:autoSpaceDN w:val="0"/>
              <w:adjustRightInd w:val="0"/>
              <w:jc w:val="center"/>
              <w:rPr>
                <w:rFonts w:asciiTheme="minorHAnsi" w:hAnsiTheme="minorHAnsi" w:cstheme="minorHAnsi"/>
                <w:sz w:val="22"/>
                <w:szCs w:val="24"/>
                <w:lang w:val="en-CA"/>
              </w:rPr>
            </w:pPr>
            <w:r w:rsidRPr="002308EA">
              <w:rPr>
                <w:rFonts w:asciiTheme="minorHAnsi" w:hAnsiTheme="minorHAnsi" w:cstheme="minorHAnsi"/>
                <w:sz w:val="22"/>
                <w:szCs w:val="24"/>
                <w:lang w:val="en-CA"/>
              </w:rPr>
              <w:t>90%</w:t>
            </w:r>
          </w:p>
        </w:tc>
      </w:tr>
      <w:tr w:rsidR="002308EA" w:rsidRPr="002308EA" w14:paraId="61826A26" w14:textId="77777777" w:rsidTr="006433E3">
        <w:trPr>
          <w:cantSplit/>
          <w:trHeight w:val="290"/>
          <w:tblHeader/>
          <w:jc w:val="center"/>
        </w:trPr>
        <w:tc>
          <w:tcPr>
            <w:tcW w:w="1722" w:type="pct"/>
          </w:tcPr>
          <w:p w14:paraId="53A8A8D3" w14:textId="77777777" w:rsidR="007217CF" w:rsidRPr="002308EA" w:rsidRDefault="007217CF" w:rsidP="00D22DAD">
            <w:pPr>
              <w:autoSpaceDE w:val="0"/>
              <w:autoSpaceDN w:val="0"/>
              <w:adjustRightInd w:val="0"/>
              <w:rPr>
                <w:rFonts w:asciiTheme="minorHAnsi" w:hAnsiTheme="minorHAnsi" w:cstheme="minorHAnsi"/>
                <w:sz w:val="22"/>
                <w:szCs w:val="24"/>
                <w:lang w:val="en-CA"/>
              </w:rPr>
            </w:pPr>
            <w:r w:rsidRPr="002308EA">
              <w:rPr>
                <w:rFonts w:asciiTheme="minorHAnsi" w:hAnsiTheme="minorHAnsi" w:cstheme="minorHAnsi"/>
                <w:sz w:val="22"/>
                <w:szCs w:val="24"/>
                <w:lang w:val="en-CA"/>
              </w:rPr>
              <w:t>Outside the National Capital Region (Non-NCR)</w:t>
            </w:r>
          </w:p>
        </w:tc>
        <w:tc>
          <w:tcPr>
            <w:tcW w:w="1625" w:type="pct"/>
          </w:tcPr>
          <w:p w14:paraId="086185BD" w14:textId="77777777" w:rsidR="007217CF" w:rsidRPr="002308EA" w:rsidRDefault="007217CF" w:rsidP="00D22DAD">
            <w:pPr>
              <w:autoSpaceDE w:val="0"/>
              <w:autoSpaceDN w:val="0"/>
              <w:adjustRightInd w:val="0"/>
              <w:jc w:val="center"/>
              <w:rPr>
                <w:rFonts w:asciiTheme="minorHAnsi" w:hAnsiTheme="minorHAnsi" w:cstheme="minorHAnsi"/>
                <w:sz w:val="22"/>
                <w:szCs w:val="24"/>
                <w:lang w:val="en-CA"/>
              </w:rPr>
            </w:pPr>
            <w:r w:rsidRPr="002308EA">
              <w:rPr>
                <w:rFonts w:asciiTheme="minorHAnsi" w:hAnsiTheme="minorHAnsi" w:cstheme="minorHAnsi"/>
                <w:sz w:val="22"/>
                <w:szCs w:val="24"/>
                <w:lang w:val="en-CA"/>
              </w:rPr>
              <w:t>18</w:t>
            </w:r>
          </w:p>
        </w:tc>
        <w:tc>
          <w:tcPr>
            <w:tcW w:w="1653" w:type="pct"/>
          </w:tcPr>
          <w:p w14:paraId="20546A65" w14:textId="77777777" w:rsidR="007217CF" w:rsidRPr="002308EA" w:rsidRDefault="007217CF" w:rsidP="00D22DAD">
            <w:pPr>
              <w:autoSpaceDE w:val="0"/>
              <w:autoSpaceDN w:val="0"/>
              <w:adjustRightInd w:val="0"/>
              <w:jc w:val="center"/>
              <w:rPr>
                <w:rFonts w:asciiTheme="minorHAnsi" w:hAnsiTheme="minorHAnsi" w:cstheme="minorHAnsi"/>
                <w:sz w:val="22"/>
                <w:szCs w:val="24"/>
                <w:lang w:val="en-CA"/>
              </w:rPr>
            </w:pPr>
            <w:r w:rsidRPr="002308EA">
              <w:rPr>
                <w:rFonts w:asciiTheme="minorHAnsi" w:hAnsiTheme="minorHAnsi" w:cstheme="minorHAnsi"/>
                <w:sz w:val="22"/>
                <w:szCs w:val="24"/>
                <w:lang w:val="en-CA"/>
              </w:rPr>
              <w:t>10%</w:t>
            </w:r>
          </w:p>
        </w:tc>
      </w:tr>
      <w:tr w:rsidR="002308EA" w:rsidRPr="002308EA" w14:paraId="06E17F5E" w14:textId="77777777" w:rsidTr="006433E3">
        <w:trPr>
          <w:cantSplit/>
          <w:trHeight w:val="290"/>
          <w:tblHeader/>
          <w:jc w:val="center"/>
        </w:trPr>
        <w:tc>
          <w:tcPr>
            <w:tcW w:w="1722" w:type="pct"/>
          </w:tcPr>
          <w:p w14:paraId="632F1C41" w14:textId="77777777" w:rsidR="007217CF" w:rsidRPr="002308EA" w:rsidRDefault="007217CF" w:rsidP="00D22DAD">
            <w:pPr>
              <w:autoSpaceDE w:val="0"/>
              <w:autoSpaceDN w:val="0"/>
              <w:adjustRightInd w:val="0"/>
              <w:rPr>
                <w:rFonts w:asciiTheme="minorHAnsi" w:hAnsiTheme="minorHAnsi" w:cstheme="minorHAnsi"/>
                <w:sz w:val="22"/>
                <w:szCs w:val="24"/>
                <w:lang w:val="en-CA"/>
              </w:rPr>
            </w:pPr>
            <w:r w:rsidRPr="002308EA">
              <w:rPr>
                <w:rFonts w:asciiTheme="minorHAnsi" w:hAnsiTheme="minorHAnsi" w:cstheme="minorHAnsi"/>
                <w:sz w:val="22"/>
                <w:szCs w:val="24"/>
                <w:lang w:val="en-CA"/>
              </w:rPr>
              <w:t>Unknowns</w:t>
            </w:r>
          </w:p>
        </w:tc>
        <w:tc>
          <w:tcPr>
            <w:tcW w:w="1625" w:type="pct"/>
          </w:tcPr>
          <w:p w14:paraId="215BCB66" w14:textId="77777777" w:rsidR="007217CF" w:rsidRPr="002308EA" w:rsidRDefault="007217CF" w:rsidP="00D22DAD">
            <w:pPr>
              <w:autoSpaceDE w:val="0"/>
              <w:autoSpaceDN w:val="0"/>
              <w:adjustRightInd w:val="0"/>
              <w:jc w:val="center"/>
              <w:rPr>
                <w:rFonts w:asciiTheme="minorHAnsi" w:hAnsiTheme="minorHAnsi" w:cstheme="minorHAnsi"/>
                <w:sz w:val="22"/>
                <w:szCs w:val="24"/>
                <w:lang w:val="en-CA"/>
              </w:rPr>
            </w:pPr>
            <w:r w:rsidRPr="002308EA">
              <w:rPr>
                <w:rFonts w:asciiTheme="minorHAnsi" w:hAnsiTheme="minorHAnsi" w:cstheme="minorHAnsi"/>
                <w:sz w:val="22"/>
                <w:szCs w:val="24"/>
                <w:lang w:val="en-CA"/>
              </w:rPr>
              <w:t>0</w:t>
            </w:r>
          </w:p>
        </w:tc>
        <w:tc>
          <w:tcPr>
            <w:tcW w:w="1653" w:type="pct"/>
          </w:tcPr>
          <w:p w14:paraId="5996BD1A" w14:textId="77777777" w:rsidR="007217CF" w:rsidRPr="002308EA" w:rsidRDefault="002308EA" w:rsidP="00D22DAD">
            <w:pPr>
              <w:autoSpaceDE w:val="0"/>
              <w:autoSpaceDN w:val="0"/>
              <w:adjustRightInd w:val="0"/>
              <w:jc w:val="center"/>
              <w:rPr>
                <w:rFonts w:asciiTheme="minorHAnsi" w:hAnsiTheme="minorHAnsi" w:cstheme="minorHAnsi"/>
                <w:sz w:val="22"/>
                <w:szCs w:val="24"/>
                <w:lang w:val="en-CA"/>
              </w:rPr>
            </w:pPr>
            <w:r w:rsidRPr="002308EA">
              <w:rPr>
                <w:rFonts w:asciiTheme="minorHAnsi" w:hAnsiTheme="minorHAnsi" w:cstheme="minorHAnsi"/>
                <w:sz w:val="22"/>
                <w:szCs w:val="24"/>
                <w:lang w:val="en-CA"/>
              </w:rPr>
              <w:t>0%</w:t>
            </w:r>
          </w:p>
        </w:tc>
      </w:tr>
    </w:tbl>
    <w:p w14:paraId="13DFE25D" w14:textId="77777777" w:rsidR="00417183" w:rsidRDefault="00417183" w:rsidP="00417183">
      <w:pPr>
        <w:pStyle w:val="Footer"/>
        <w:jc w:val="center"/>
        <w:rPr>
          <w:noProof/>
          <w:lang w:val="en-CA" w:eastAsia="en-CA"/>
        </w:rPr>
      </w:pPr>
    </w:p>
    <w:p w14:paraId="0EFBB985" w14:textId="77777777" w:rsidR="00417183" w:rsidRDefault="00417183" w:rsidP="00417183">
      <w:pPr>
        <w:pStyle w:val="Footer"/>
        <w:jc w:val="center"/>
        <w:rPr>
          <w:noProof/>
          <w:lang w:val="en-CA" w:eastAsia="en-CA"/>
        </w:rPr>
        <w:sectPr w:rsidR="00417183" w:rsidSect="007E486E">
          <w:pgSz w:w="15840" w:h="12240" w:orient="landscape"/>
          <w:pgMar w:top="720" w:right="720" w:bottom="720" w:left="720" w:header="283" w:footer="170" w:gutter="0"/>
          <w:cols w:space="708"/>
          <w:titlePg/>
          <w:docGrid w:linePitch="360"/>
        </w:sectPr>
      </w:pPr>
    </w:p>
    <w:p w14:paraId="6A08CB7A" w14:textId="77777777" w:rsidR="00417183" w:rsidRPr="00822F0A" w:rsidRDefault="00822F0A" w:rsidP="00822F0A">
      <w:pPr>
        <w:pStyle w:val="Heading1"/>
        <w:spacing w:before="120" w:after="120"/>
        <w:rPr>
          <w:noProof/>
          <w:sz w:val="40"/>
          <w:lang w:val="en-CA" w:eastAsia="en-CA"/>
        </w:rPr>
      </w:pPr>
      <w:r>
        <w:rPr>
          <w:rFonts w:eastAsia="Times New Roman"/>
          <w:noProof/>
          <w:sz w:val="40"/>
          <w:lang w:eastAsia="en-CA"/>
        </w:rPr>
        <w:lastRenderedPageBreak/>
        <w:t>External indeterminate hires by occupational g</w:t>
      </w:r>
      <w:r w:rsidRPr="00822F0A">
        <w:rPr>
          <w:rFonts w:eastAsia="Times New Roman"/>
          <w:noProof/>
          <w:sz w:val="40"/>
          <w:lang w:eastAsia="en-CA"/>
        </w:rPr>
        <w:t>roup</w:t>
      </w:r>
      <w:r w:rsidRPr="00822F0A">
        <w:rPr>
          <w:noProof/>
          <w:sz w:val="40"/>
          <w:lang w:eastAsia="en-CA"/>
        </w:rPr>
        <w:t xml:space="preserve">, </w:t>
      </w:r>
      <w:r w:rsidRPr="00822F0A">
        <w:rPr>
          <w:rFonts w:eastAsia="Times New Roman"/>
          <w:noProof/>
          <w:sz w:val="40"/>
          <w:lang w:eastAsia="en-CA"/>
        </w:rPr>
        <w:t>2018</w:t>
      </w:r>
      <w:r w:rsidRPr="00822F0A">
        <w:rPr>
          <w:rFonts w:eastAsia="Times New Roman"/>
          <w:noProof/>
          <w:sz w:val="40"/>
          <w:lang w:val="en-CA" w:eastAsia="en-CA"/>
        </w:rPr>
        <w:t>–</w:t>
      </w:r>
      <w:r w:rsidRPr="00822F0A">
        <w:rPr>
          <w:rFonts w:eastAsia="Times New Roman"/>
          <w:noProof/>
          <w:sz w:val="40"/>
          <w:lang w:eastAsia="en-CA"/>
        </w:rPr>
        <w:t>2019</w:t>
      </w:r>
    </w:p>
    <w:p w14:paraId="6E72EEF2" w14:textId="77777777" w:rsidR="00822F0A" w:rsidRDefault="00E01E51" w:rsidP="00822F0A">
      <w:pPr>
        <w:pStyle w:val="Footer"/>
        <w:keepNext/>
        <w:jc w:val="center"/>
      </w:pPr>
      <w:r w:rsidRPr="00DE4115">
        <w:rPr>
          <w:noProof/>
          <w:lang w:val="en-CA" w:eastAsia="en-CA"/>
        </w:rPr>
        <w:drawing>
          <wp:inline distT="0" distB="0" distL="0" distR="0" wp14:anchorId="01B5F0C5" wp14:editId="3BE272A2">
            <wp:extent cx="1980000" cy="3020400"/>
            <wp:effectExtent l="0" t="0" r="1270" b="8890"/>
            <wp:docPr id="7" name="Chart 7" descr="External Indeterminate hires by occupational group, 2018–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459BC5" w14:textId="77777777" w:rsidR="00417183" w:rsidRPr="00822F0A" w:rsidRDefault="00822F0A" w:rsidP="00822F0A">
      <w:pPr>
        <w:pStyle w:val="Caption"/>
        <w:spacing w:after="0"/>
        <w:jc w:val="center"/>
        <w:rPr>
          <w:rFonts w:asciiTheme="minorHAnsi" w:hAnsiTheme="minorHAnsi" w:cstheme="minorHAnsi"/>
          <w:i w:val="0"/>
          <w:noProof/>
          <w:color w:val="auto"/>
          <w:lang w:val="en-CA" w:eastAsia="en-CA"/>
        </w:rPr>
      </w:pPr>
      <w:r w:rsidRPr="00822F0A">
        <w:rPr>
          <w:rFonts w:asciiTheme="minorHAnsi" w:hAnsiTheme="minorHAnsi" w:cstheme="minorHAnsi"/>
          <w:i w:val="0"/>
          <w:color w:val="auto"/>
        </w:rPr>
        <w:t xml:space="preserve">Figure </w:t>
      </w:r>
      <w:r w:rsidRPr="00822F0A">
        <w:rPr>
          <w:rFonts w:asciiTheme="minorHAnsi" w:hAnsiTheme="minorHAnsi" w:cstheme="minorHAnsi"/>
          <w:i w:val="0"/>
          <w:color w:val="auto"/>
        </w:rPr>
        <w:fldChar w:fldCharType="begin"/>
      </w:r>
      <w:r w:rsidRPr="00822F0A">
        <w:rPr>
          <w:rFonts w:asciiTheme="minorHAnsi" w:hAnsiTheme="minorHAnsi" w:cstheme="minorHAnsi"/>
          <w:i w:val="0"/>
          <w:color w:val="auto"/>
        </w:rPr>
        <w:instrText xml:space="preserve"> SEQ Figure \* ARABIC </w:instrText>
      </w:r>
      <w:r w:rsidRPr="00822F0A">
        <w:rPr>
          <w:rFonts w:asciiTheme="minorHAnsi" w:hAnsiTheme="minorHAnsi" w:cstheme="minorHAnsi"/>
          <w:i w:val="0"/>
          <w:color w:val="auto"/>
        </w:rPr>
        <w:fldChar w:fldCharType="separate"/>
      </w:r>
      <w:r w:rsidR="004F3406">
        <w:rPr>
          <w:rFonts w:asciiTheme="minorHAnsi" w:hAnsiTheme="minorHAnsi" w:cstheme="minorHAnsi"/>
          <w:i w:val="0"/>
          <w:noProof/>
          <w:color w:val="auto"/>
        </w:rPr>
        <w:t>5</w:t>
      </w:r>
      <w:r w:rsidRPr="00822F0A">
        <w:rPr>
          <w:rFonts w:asciiTheme="minorHAnsi" w:hAnsiTheme="minorHAnsi" w:cstheme="minorHAnsi"/>
          <w:i w:val="0"/>
          <w:color w:val="auto"/>
        </w:rPr>
        <w:fldChar w:fldCharType="end"/>
      </w:r>
      <w:r w:rsidRPr="00822F0A">
        <w:rPr>
          <w:rFonts w:asciiTheme="minorHAnsi" w:hAnsiTheme="minorHAnsi" w:cstheme="minorHAnsi"/>
          <w:i w:val="0"/>
          <w:color w:val="auto"/>
        </w:rPr>
        <w:t xml:space="preserve"> - External indeterminate hires by occupational group, 2018-2019</w:t>
      </w:r>
    </w:p>
    <w:p w14:paraId="6B75B718" w14:textId="77777777" w:rsidR="00822F0A" w:rsidRPr="00822F0A" w:rsidRDefault="00822F0A" w:rsidP="00822F0A">
      <w:pPr>
        <w:pStyle w:val="Caption"/>
        <w:keepNext/>
        <w:spacing w:before="240" w:after="0"/>
        <w:jc w:val="center"/>
        <w:rPr>
          <w:rFonts w:asciiTheme="minorHAnsi" w:hAnsiTheme="minorHAnsi" w:cstheme="minorHAnsi"/>
          <w:i w:val="0"/>
          <w:color w:val="auto"/>
        </w:rPr>
      </w:pPr>
      <w:r w:rsidRPr="00822F0A">
        <w:rPr>
          <w:rFonts w:asciiTheme="minorHAnsi" w:hAnsiTheme="minorHAnsi" w:cstheme="minorHAnsi"/>
          <w:i w:val="0"/>
          <w:color w:val="auto"/>
        </w:rPr>
        <w:t xml:space="preserve">Table </w:t>
      </w:r>
      <w:r w:rsidRPr="00822F0A">
        <w:rPr>
          <w:rFonts w:asciiTheme="minorHAnsi" w:hAnsiTheme="minorHAnsi" w:cstheme="minorHAnsi"/>
          <w:i w:val="0"/>
          <w:color w:val="auto"/>
        </w:rPr>
        <w:fldChar w:fldCharType="begin"/>
      </w:r>
      <w:r w:rsidRPr="00822F0A">
        <w:rPr>
          <w:rFonts w:asciiTheme="minorHAnsi" w:hAnsiTheme="minorHAnsi" w:cstheme="minorHAnsi"/>
          <w:i w:val="0"/>
          <w:color w:val="auto"/>
        </w:rPr>
        <w:instrText xml:space="preserve"> SEQ Table \* ARABIC </w:instrText>
      </w:r>
      <w:r w:rsidRPr="00822F0A">
        <w:rPr>
          <w:rFonts w:asciiTheme="minorHAnsi" w:hAnsiTheme="minorHAnsi" w:cstheme="minorHAnsi"/>
          <w:i w:val="0"/>
          <w:color w:val="auto"/>
        </w:rPr>
        <w:fldChar w:fldCharType="separate"/>
      </w:r>
      <w:r w:rsidR="00D22DAD">
        <w:rPr>
          <w:rFonts w:asciiTheme="minorHAnsi" w:hAnsiTheme="minorHAnsi" w:cstheme="minorHAnsi"/>
          <w:i w:val="0"/>
          <w:noProof/>
          <w:color w:val="auto"/>
        </w:rPr>
        <w:t>6</w:t>
      </w:r>
      <w:r w:rsidRPr="00822F0A">
        <w:rPr>
          <w:rFonts w:asciiTheme="minorHAnsi" w:hAnsiTheme="minorHAnsi" w:cstheme="minorHAnsi"/>
          <w:i w:val="0"/>
          <w:color w:val="auto"/>
        </w:rPr>
        <w:fldChar w:fldCharType="end"/>
      </w:r>
      <w:r w:rsidRPr="00822F0A">
        <w:rPr>
          <w:rFonts w:asciiTheme="minorHAnsi" w:hAnsiTheme="minorHAnsi" w:cstheme="minorHAnsi"/>
          <w:i w:val="0"/>
          <w:color w:val="auto"/>
        </w:rPr>
        <w:t xml:space="preserve"> - External indeterminate hires by occupational group in 2018–2019</w:t>
      </w:r>
    </w:p>
    <w:tbl>
      <w:tblPr>
        <w:tblStyle w:val="TableGrid"/>
        <w:tblW w:w="5000" w:type="pct"/>
        <w:jc w:val="center"/>
        <w:tblLook w:val="0020" w:firstRow="1" w:lastRow="0" w:firstColumn="0" w:lastColumn="0" w:noHBand="0" w:noVBand="0"/>
        <w:tblDescription w:val="External indeterminate hires by occupational group, 2018-2019"/>
      </w:tblPr>
      <w:tblGrid>
        <w:gridCol w:w="4248"/>
        <w:gridCol w:w="5362"/>
        <w:gridCol w:w="4780"/>
      </w:tblGrid>
      <w:tr w:rsidR="00822F0A" w:rsidRPr="00822F0A" w14:paraId="16B930EE" w14:textId="77777777" w:rsidTr="006433E3">
        <w:trPr>
          <w:cantSplit/>
          <w:trHeight w:val="290"/>
          <w:tblHeader/>
          <w:jc w:val="center"/>
        </w:trPr>
        <w:tc>
          <w:tcPr>
            <w:tcW w:w="1476" w:type="pct"/>
          </w:tcPr>
          <w:p w14:paraId="1DFE0E74" w14:textId="77777777" w:rsidR="007217CF" w:rsidRPr="00822F0A" w:rsidRDefault="007217CF" w:rsidP="00822F0A">
            <w:pPr>
              <w:pStyle w:val="TableTitle"/>
              <w:rPr>
                <w:lang w:val="en-CA"/>
              </w:rPr>
            </w:pPr>
            <w:r w:rsidRPr="00822F0A">
              <w:rPr>
                <w:lang w:val="en-CA"/>
              </w:rPr>
              <w:t>Occupational groups</w:t>
            </w:r>
          </w:p>
        </w:tc>
        <w:tc>
          <w:tcPr>
            <w:tcW w:w="1863" w:type="pct"/>
          </w:tcPr>
          <w:p w14:paraId="367D3FFF" w14:textId="77777777" w:rsidR="007217CF" w:rsidRPr="00822F0A" w:rsidRDefault="007217CF" w:rsidP="00822F0A">
            <w:pPr>
              <w:pStyle w:val="TableTitle"/>
              <w:rPr>
                <w:lang w:val="en-CA"/>
              </w:rPr>
            </w:pPr>
            <w:r w:rsidRPr="00822F0A">
              <w:rPr>
                <w:lang w:val="en-CA"/>
              </w:rPr>
              <w:t>Number of indeterminate hires in</w:t>
            </w:r>
          </w:p>
          <w:p w14:paraId="7E0CFAE4" w14:textId="77777777" w:rsidR="007217CF" w:rsidRPr="00822F0A" w:rsidRDefault="007217CF" w:rsidP="00822F0A">
            <w:pPr>
              <w:pStyle w:val="TableTitle"/>
              <w:rPr>
                <w:lang w:val="en-CA"/>
              </w:rPr>
            </w:pPr>
            <w:r w:rsidRPr="00822F0A">
              <w:rPr>
                <w:lang w:val="en-CA"/>
              </w:rPr>
              <w:t>the organization</w:t>
            </w:r>
          </w:p>
        </w:tc>
        <w:tc>
          <w:tcPr>
            <w:tcW w:w="1661" w:type="pct"/>
          </w:tcPr>
          <w:p w14:paraId="5301F430" w14:textId="77777777" w:rsidR="007217CF" w:rsidRPr="00822F0A" w:rsidRDefault="007217CF" w:rsidP="00822F0A">
            <w:pPr>
              <w:pStyle w:val="TableTitle"/>
              <w:rPr>
                <w:lang w:val="en-CA"/>
              </w:rPr>
            </w:pPr>
            <w:r w:rsidRPr="00822F0A">
              <w:rPr>
                <w:lang w:val="en-CA"/>
              </w:rPr>
              <w:t>% of indeterminate hires in</w:t>
            </w:r>
          </w:p>
          <w:p w14:paraId="0D01BCEB" w14:textId="77777777" w:rsidR="007217CF" w:rsidRPr="00822F0A" w:rsidRDefault="007217CF" w:rsidP="00822F0A">
            <w:pPr>
              <w:pStyle w:val="TableTitle"/>
              <w:rPr>
                <w:lang w:val="en-CA"/>
              </w:rPr>
            </w:pPr>
            <w:r w:rsidRPr="00822F0A">
              <w:rPr>
                <w:lang w:val="en-CA"/>
              </w:rPr>
              <w:t>the organization</w:t>
            </w:r>
          </w:p>
        </w:tc>
      </w:tr>
      <w:tr w:rsidR="007217CF" w:rsidRPr="00822F0A" w14:paraId="4698EEB5" w14:textId="77777777" w:rsidTr="006433E3">
        <w:trPr>
          <w:cantSplit/>
          <w:trHeight w:val="290"/>
          <w:tblHeader/>
          <w:jc w:val="center"/>
        </w:trPr>
        <w:tc>
          <w:tcPr>
            <w:tcW w:w="1476" w:type="pct"/>
          </w:tcPr>
          <w:p w14:paraId="5996DEB8" w14:textId="77777777" w:rsidR="007217CF" w:rsidRPr="00822F0A" w:rsidRDefault="007217CF" w:rsidP="00D22DAD">
            <w:pPr>
              <w:autoSpaceDE w:val="0"/>
              <w:autoSpaceDN w:val="0"/>
              <w:adjustRightInd w:val="0"/>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PA – Program Administration</w:t>
            </w:r>
          </w:p>
        </w:tc>
        <w:tc>
          <w:tcPr>
            <w:tcW w:w="1863" w:type="pct"/>
          </w:tcPr>
          <w:p w14:paraId="0BEB24E5"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4</w:t>
            </w:r>
          </w:p>
        </w:tc>
        <w:tc>
          <w:tcPr>
            <w:tcW w:w="1661" w:type="pct"/>
          </w:tcPr>
          <w:p w14:paraId="56F315D2"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44%</w:t>
            </w:r>
          </w:p>
        </w:tc>
      </w:tr>
      <w:tr w:rsidR="007217CF" w:rsidRPr="00822F0A" w14:paraId="5299309C" w14:textId="77777777" w:rsidTr="006433E3">
        <w:trPr>
          <w:cantSplit/>
          <w:trHeight w:val="290"/>
          <w:tblHeader/>
          <w:jc w:val="center"/>
        </w:trPr>
        <w:tc>
          <w:tcPr>
            <w:tcW w:w="1476" w:type="pct"/>
          </w:tcPr>
          <w:p w14:paraId="740A724A" w14:textId="77777777" w:rsidR="007217CF" w:rsidRPr="00822F0A" w:rsidRDefault="007217CF" w:rsidP="00D22DAD">
            <w:pPr>
              <w:autoSpaceDE w:val="0"/>
              <w:autoSpaceDN w:val="0"/>
              <w:adjustRightInd w:val="0"/>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EC – Economics and Social Science Services</w:t>
            </w:r>
          </w:p>
        </w:tc>
        <w:tc>
          <w:tcPr>
            <w:tcW w:w="1863" w:type="pct"/>
          </w:tcPr>
          <w:p w14:paraId="4FCF673C"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2</w:t>
            </w:r>
          </w:p>
        </w:tc>
        <w:tc>
          <w:tcPr>
            <w:tcW w:w="1661" w:type="pct"/>
          </w:tcPr>
          <w:p w14:paraId="62B8476E"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22%</w:t>
            </w:r>
          </w:p>
        </w:tc>
      </w:tr>
      <w:tr w:rsidR="007217CF" w:rsidRPr="00822F0A" w14:paraId="5A3C13EB" w14:textId="77777777" w:rsidTr="006433E3">
        <w:trPr>
          <w:cantSplit/>
          <w:trHeight w:val="290"/>
          <w:tblHeader/>
          <w:jc w:val="center"/>
        </w:trPr>
        <w:tc>
          <w:tcPr>
            <w:tcW w:w="1476" w:type="pct"/>
          </w:tcPr>
          <w:p w14:paraId="59EAAEDB" w14:textId="77777777" w:rsidR="007217CF" w:rsidRPr="00822F0A" w:rsidRDefault="007217CF" w:rsidP="00D22DAD">
            <w:pPr>
              <w:autoSpaceDE w:val="0"/>
              <w:autoSpaceDN w:val="0"/>
              <w:adjustRightInd w:val="0"/>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AS – Administrative Services</w:t>
            </w:r>
          </w:p>
        </w:tc>
        <w:tc>
          <w:tcPr>
            <w:tcW w:w="1863" w:type="pct"/>
          </w:tcPr>
          <w:p w14:paraId="1B42EDC3"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1</w:t>
            </w:r>
          </w:p>
        </w:tc>
        <w:tc>
          <w:tcPr>
            <w:tcW w:w="1661" w:type="pct"/>
          </w:tcPr>
          <w:p w14:paraId="71A82263"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11%</w:t>
            </w:r>
          </w:p>
        </w:tc>
      </w:tr>
      <w:tr w:rsidR="007217CF" w:rsidRPr="00822F0A" w14:paraId="69746519" w14:textId="77777777" w:rsidTr="006433E3">
        <w:trPr>
          <w:cantSplit/>
          <w:trHeight w:val="290"/>
          <w:tblHeader/>
          <w:jc w:val="center"/>
        </w:trPr>
        <w:tc>
          <w:tcPr>
            <w:tcW w:w="1476" w:type="pct"/>
          </w:tcPr>
          <w:p w14:paraId="4DD50433" w14:textId="77777777" w:rsidR="007217CF" w:rsidRPr="00822F0A" w:rsidRDefault="007217CF" w:rsidP="00D22DAD">
            <w:pPr>
              <w:autoSpaceDE w:val="0"/>
              <w:autoSpaceDN w:val="0"/>
              <w:adjustRightInd w:val="0"/>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EX – Executive</w:t>
            </w:r>
          </w:p>
        </w:tc>
        <w:tc>
          <w:tcPr>
            <w:tcW w:w="1863" w:type="pct"/>
          </w:tcPr>
          <w:p w14:paraId="000EEC9A"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1</w:t>
            </w:r>
          </w:p>
        </w:tc>
        <w:tc>
          <w:tcPr>
            <w:tcW w:w="1661" w:type="pct"/>
          </w:tcPr>
          <w:p w14:paraId="57977BC7"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11%</w:t>
            </w:r>
          </w:p>
        </w:tc>
      </w:tr>
      <w:tr w:rsidR="007217CF" w:rsidRPr="00822F0A" w14:paraId="780E4C82" w14:textId="77777777" w:rsidTr="006433E3">
        <w:trPr>
          <w:cantSplit/>
          <w:trHeight w:val="290"/>
          <w:tblHeader/>
          <w:jc w:val="center"/>
        </w:trPr>
        <w:tc>
          <w:tcPr>
            <w:tcW w:w="1476" w:type="pct"/>
          </w:tcPr>
          <w:p w14:paraId="31575576" w14:textId="77777777" w:rsidR="007217CF" w:rsidRPr="00822F0A" w:rsidRDefault="007217CF" w:rsidP="00D22DAD">
            <w:pPr>
              <w:autoSpaceDE w:val="0"/>
              <w:autoSpaceDN w:val="0"/>
              <w:adjustRightInd w:val="0"/>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IS – Information Services</w:t>
            </w:r>
          </w:p>
        </w:tc>
        <w:tc>
          <w:tcPr>
            <w:tcW w:w="1863" w:type="pct"/>
          </w:tcPr>
          <w:p w14:paraId="7E76607D"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1</w:t>
            </w:r>
          </w:p>
        </w:tc>
        <w:tc>
          <w:tcPr>
            <w:tcW w:w="1661" w:type="pct"/>
          </w:tcPr>
          <w:p w14:paraId="1E608656" w14:textId="77777777" w:rsidR="007217CF" w:rsidRPr="00822F0A" w:rsidRDefault="007217CF" w:rsidP="00D22DAD">
            <w:pPr>
              <w:autoSpaceDE w:val="0"/>
              <w:autoSpaceDN w:val="0"/>
              <w:adjustRightInd w:val="0"/>
              <w:jc w:val="center"/>
              <w:rPr>
                <w:rFonts w:asciiTheme="minorHAnsi" w:hAnsiTheme="minorHAnsi" w:cstheme="minorHAnsi"/>
                <w:color w:val="000000"/>
                <w:sz w:val="22"/>
                <w:szCs w:val="24"/>
                <w:lang w:val="en-CA"/>
              </w:rPr>
            </w:pPr>
            <w:r w:rsidRPr="00822F0A">
              <w:rPr>
                <w:rFonts w:asciiTheme="minorHAnsi" w:hAnsiTheme="minorHAnsi" w:cstheme="minorHAnsi"/>
                <w:color w:val="000000"/>
                <w:sz w:val="22"/>
                <w:szCs w:val="24"/>
                <w:lang w:val="en-CA"/>
              </w:rPr>
              <w:t>11%</w:t>
            </w:r>
          </w:p>
        </w:tc>
      </w:tr>
    </w:tbl>
    <w:p w14:paraId="579A0B11" w14:textId="77777777" w:rsidR="007217CF" w:rsidRDefault="007217CF" w:rsidP="00417183">
      <w:pPr>
        <w:pStyle w:val="Footer"/>
        <w:jc w:val="center"/>
        <w:rPr>
          <w:noProof/>
          <w:lang w:val="en-CA" w:eastAsia="en-CA"/>
        </w:rPr>
      </w:pPr>
    </w:p>
    <w:p w14:paraId="4BA75E1F" w14:textId="77777777" w:rsidR="007217CF" w:rsidRDefault="007217CF" w:rsidP="00417183">
      <w:pPr>
        <w:pStyle w:val="Footer"/>
        <w:jc w:val="center"/>
        <w:rPr>
          <w:noProof/>
          <w:lang w:val="en-CA" w:eastAsia="en-CA"/>
        </w:rPr>
        <w:sectPr w:rsidR="007217CF" w:rsidSect="007E486E">
          <w:pgSz w:w="15840" w:h="12240" w:orient="landscape"/>
          <w:pgMar w:top="720" w:right="720" w:bottom="720" w:left="720" w:header="283" w:footer="170" w:gutter="0"/>
          <w:cols w:space="708"/>
          <w:titlePg/>
          <w:docGrid w:linePitch="360"/>
        </w:sectPr>
      </w:pPr>
    </w:p>
    <w:p w14:paraId="6ED2A805" w14:textId="77777777" w:rsidR="00822F0A" w:rsidRPr="00822F0A" w:rsidRDefault="00A24E1C" w:rsidP="00822F0A">
      <w:pPr>
        <w:pStyle w:val="Heading1"/>
        <w:spacing w:before="120" w:after="120"/>
        <w:rPr>
          <w:noProof/>
          <w:sz w:val="40"/>
          <w:lang w:val="en-CA" w:eastAsia="en-CA"/>
        </w:rPr>
      </w:pPr>
      <w:r>
        <w:rPr>
          <w:rFonts w:eastAsia="Times New Roman"/>
          <w:noProof/>
          <w:sz w:val="40"/>
          <w:lang w:val="en-CA" w:eastAsia="en-CA"/>
        </w:rPr>
        <w:lastRenderedPageBreak/>
        <w:t>Staffing by r</w:t>
      </w:r>
      <w:r w:rsidR="00822F0A" w:rsidRPr="00822F0A">
        <w:rPr>
          <w:rFonts w:eastAsia="Times New Roman"/>
          <w:noProof/>
          <w:sz w:val="40"/>
          <w:lang w:val="en-CA" w:eastAsia="en-CA"/>
        </w:rPr>
        <w:t>egion</w:t>
      </w:r>
    </w:p>
    <w:p w14:paraId="2284C313" w14:textId="77777777" w:rsidR="00A24E1C" w:rsidRDefault="00E01E51" w:rsidP="00A24E1C">
      <w:pPr>
        <w:pStyle w:val="Footer"/>
        <w:keepNext/>
        <w:jc w:val="center"/>
      </w:pPr>
      <w:r w:rsidRPr="00DE4115">
        <w:rPr>
          <w:rFonts w:asciiTheme="minorHAnsi" w:hAnsiTheme="minorHAnsi" w:cstheme="minorHAnsi"/>
          <w:b/>
          <w:sz w:val="20"/>
          <w:lang w:val="en-CA"/>
        </w:rPr>
        <w:t xml:space="preserve"> </w:t>
      </w:r>
      <w:r w:rsidR="00095F37">
        <w:rPr>
          <w:noProof/>
          <w:lang w:val="en-CA" w:eastAsia="en-CA"/>
        </w:rPr>
        <w:drawing>
          <wp:inline distT="0" distB="0" distL="0" distR="0" wp14:anchorId="79548C1D" wp14:editId="3B902E85">
            <wp:extent cx="5648400" cy="3049200"/>
            <wp:effectExtent l="0" t="0" r="9525" b="18415"/>
            <wp:docPr id="4" name="Chart 6" descr="Staffing by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3C8219" w14:textId="77777777" w:rsidR="00E01E51" w:rsidRPr="00A24E1C" w:rsidRDefault="00A24E1C" w:rsidP="00A24E1C">
      <w:pPr>
        <w:pStyle w:val="Caption"/>
        <w:spacing w:after="0"/>
        <w:jc w:val="center"/>
        <w:rPr>
          <w:rFonts w:asciiTheme="minorHAnsi" w:hAnsiTheme="minorHAnsi" w:cstheme="minorHAnsi"/>
          <w:b/>
          <w:i w:val="0"/>
          <w:color w:val="auto"/>
          <w:sz w:val="20"/>
          <w:lang w:val="en-CA"/>
        </w:rPr>
      </w:pPr>
      <w:r w:rsidRPr="00A24E1C">
        <w:rPr>
          <w:rFonts w:asciiTheme="minorHAnsi" w:hAnsiTheme="minorHAnsi" w:cstheme="minorHAnsi"/>
          <w:i w:val="0"/>
          <w:color w:val="auto"/>
        </w:rPr>
        <w:t xml:space="preserve">Figure </w:t>
      </w:r>
      <w:r w:rsidRPr="00A24E1C">
        <w:rPr>
          <w:rFonts w:asciiTheme="minorHAnsi" w:hAnsiTheme="minorHAnsi" w:cstheme="minorHAnsi"/>
          <w:i w:val="0"/>
          <w:color w:val="auto"/>
        </w:rPr>
        <w:fldChar w:fldCharType="begin"/>
      </w:r>
      <w:r w:rsidRPr="00A24E1C">
        <w:rPr>
          <w:rFonts w:asciiTheme="minorHAnsi" w:hAnsiTheme="minorHAnsi" w:cstheme="minorHAnsi"/>
          <w:i w:val="0"/>
          <w:color w:val="auto"/>
        </w:rPr>
        <w:instrText xml:space="preserve"> SEQ Figure \* ARABIC </w:instrText>
      </w:r>
      <w:r w:rsidRPr="00A24E1C">
        <w:rPr>
          <w:rFonts w:asciiTheme="minorHAnsi" w:hAnsiTheme="minorHAnsi" w:cstheme="minorHAnsi"/>
          <w:i w:val="0"/>
          <w:color w:val="auto"/>
        </w:rPr>
        <w:fldChar w:fldCharType="separate"/>
      </w:r>
      <w:r w:rsidR="004F3406">
        <w:rPr>
          <w:rFonts w:asciiTheme="minorHAnsi" w:hAnsiTheme="minorHAnsi" w:cstheme="minorHAnsi"/>
          <w:i w:val="0"/>
          <w:noProof/>
          <w:color w:val="auto"/>
        </w:rPr>
        <w:t>6</w:t>
      </w:r>
      <w:r w:rsidRPr="00A24E1C">
        <w:rPr>
          <w:rFonts w:asciiTheme="minorHAnsi" w:hAnsiTheme="minorHAnsi" w:cstheme="minorHAnsi"/>
          <w:i w:val="0"/>
          <w:color w:val="auto"/>
        </w:rPr>
        <w:fldChar w:fldCharType="end"/>
      </w:r>
      <w:r w:rsidRPr="00A24E1C">
        <w:rPr>
          <w:rFonts w:asciiTheme="minorHAnsi" w:hAnsiTheme="minorHAnsi" w:cstheme="minorHAnsi"/>
          <w:i w:val="0"/>
          <w:color w:val="auto"/>
        </w:rPr>
        <w:t xml:space="preserve"> - Staffing by Region</w:t>
      </w:r>
    </w:p>
    <w:p w14:paraId="5E57DCE3" w14:textId="77777777" w:rsidR="00A24E1C" w:rsidRPr="00A24E1C" w:rsidRDefault="00A24E1C" w:rsidP="00A24E1C">
      <w:pPr>
        <w:pStyle w:val="Caption"/>
        <w:keepNext/>
        <w:spacing w:before="240" w:after="0"/>
        <w:jc w:val="center"/>
        <w:rPr>
          <w:rFonts w:asciiTheme="minorHAnsi" w:hAnsiTheme="minorHAnsi" w:cstheme="minorHAnsi"/>
          <w:i w:val="0"/>
          <w:color w:val="auto"/>
        </w:rPr>
      </w:pPr>
      <w:r w:rsidRPr="00A24E1C">
        <w:rPr>
          <w:rFonts w:asciiTheme="minorHAnsi" w:hAnsiTheme="minorHAnsi" w:cstheme="minorHAnsi"/>
          <w:i w:val="0"/>
          <w:color w:val="auto"/>
        </w:rPr>
        <w:t xml:space="preserve">Table </w:t>
      </w:r>
      <w:r w:rsidRPr="00A24E1C">
        <w:rPr>
          <w:rFonts w:asciiTheme="minorHAnsi" w:hAnsiTheme="minorHAnsi" w:cstheme="minorHAnsi"/>
          <w:i w:val="0"/>
          <w:color w:val="auto"/>
        </w:rPr>
        <w:fldChar w:fldCharType="begin"/>
      </w:r>
      <w:r w:rsidRPr="00A24E1C">
        <w:rPr>
          <w:rFonts w:asciiTheme="minorHAnsi" w:hAnsiTheme="minorHAnsi" w:cstheme="minorHAnsi"/>
          <w:i w:val="0"/>
          <w:color w:val="auto"/>
        </w:rPr>
        <w:instrText xml:space="preserve"> SEQ Table \* ARABIC </w:instrText>
      </w:r>
      <w:r w:rsidRPr="00A24E1C">
        <w:rPr>
          <w:rFonts w:asciiTheme="minorHAnsi" w:hAnsiTheme="minorHAnsi" w:cstheme="minorHAnsi"/>
          <w:i w:val="0"/>
          <w:color w:val="auto"/>
        </w:rPr>
        <w:fldChar w:fldCharType="separate"/>
      </w:r>
      <w:r w:rsidR="00D22DAD">
        <w:rPr>
          <w:rFonts w:asciiTheme="minorHAnsi" w:hAnsiTheme="minorHAnsi" w:cstheme="minorHAnsi"/>
          <w:i w:val="0"/>
          <w:noProof/>
          <w:color w:val="auto"/>
        </w:rPr>
        <w:t>7</w:t>
      </w:r>
      <w:r w:rsidRPr="00A24E1C">
        <w:rPr>
          <w:rFonts w:asciiTheme="minorHAnsi" w:hAnsiTheme="minorHAnsi" w:cstheme="minorHAnsi"/>
          <w:i w:val="0"/>
          <w:color w:val="auto"/>
        </w:rPr>
        <w:fldChar w:fldCharType="end"/>
      </w:r>
      <w:r w:rsidRPr="00A24E1C">
        <w:rPr>
          <w:rFonts w:asciiTheme="minorHAnsi" w:hAnsiTheme="minorHAnsi" w:cstheme="minorHAnsi"/>
          <w:i w:val="0"/>
          <w:color w:val="auto"/>
        </w:rPr>
        <w:t xml:space="preserve"> - Percentage of staffing activities in the National Capital Region, compared with regions outside the National Capital Region by fiscal year</w:t>
      </w:r>
    </w:p>
    <w:tbl>
      <w:tblPr>
        <w:tblStyle w:val="TableGrid"/>
        <w:tblW w:w="5000" w:type="pct"/>
        <w:jc w:val="center"/>
        <w:tblLook w:val="0020" w:firstRow="1" w:lastRow="0" w:firstColumn="0" w:lastColumn="0" w:noHBand="0" w:noVBand="0"/>
        <w:tblDescription w:val="Staffing by region from 2014 to 2019"/>
      </w:tblPr>
      <w:tblGrid>
        <w:gridCol w:w="2193"/>
        <w:gridCol w:w="6306"/>
        <w:gridCol w:w="5891"/>
      </w:tblGrid>
      <w:tr w:rsidR="00A24E1C" w:rsidRPr="00A24E1C" w14:paraId="60FA1930" w14:textId="77777777" w:rsidTr="006433E3">
        <w:trPr>
          <w:cantSplit/>
          <w:trHeight w:val="290"/>
          <w:tblHeader/>
          <w:jc w:val="center"/>
        </w:trPr>
        <w:tc>
          <w:tcPr>
            <w:tcW w:w="762" w:type="pct"/>
          </w:tcPr>
          <w:p w14:paraId="6BC1C834" w14:textId="77777777" w:rsidR="007217CF" w:rsidRPr="00A24E1C" w:rsidRDefault="007217CF" w:rsidP="00A24E1C">
            <w:pPr>
              <w:pStyle w:val="TableTitle"/>
              <w:rPr>
                <w:lang w:val="en-CA"/>
              </w:rPr>
            </w:pPr>
            <w:r w:rsidRPr="00A24E1C">
              <w:rPr>
                <w:lang w:val="en-CA"/>
              </w:rPr>
              <w:t>Fiscal year</w:t>
            </w:r>
          </w:p>
        </w:tc>
        <w:tc>
          <w:tcPr>
            <w:tcW w:w="2191" w:type="pct"/>
          </w:tcPr>
          <w:p w14:paraId="042A67A2" w14:textId="77777777" w:rsidR="007217CF" w:rsidRPr="00A24E1C" w:rsidRDefault="007217CF" w:rsidP="00A24E1C">
            <w:pPr>
              <w:pStyle w:val="TableTitle"/>
              <w:rPr>
                <w:lang w:val="en-CA"/>
              </w:rPr>
            </w:pPr>
            <w:r w:rsidRPr="00A24E1C">
              <w:rPr>
                <w:lang w:val="en-CA"/>
              </w:rPr>
              <w:t xml:space="preserve">% of organizational staffing activities that took place in the National Capital Region (NCR) </w:t>
            </w:r>
          </w:p>
        </w:tc>
        <w:tc>
          <w:tcPr>
            <w:tcW w:w="2047" w:type="pct"/>
          </w:tcPr>
          <w:p w14:paraId="69D66553" w14:textId="77777777" w:rsidR="007217CF" w:rsidRPr="00A24E1C" w:rsidRDefault="007217CF" w:rsidP="00A24E1C">
            <w:pPr>
              <w:pStyle w:val="TableTitle"/>
              <w:rPr>
                <w:lang w:val="en-CA"/>
              </w:rPr>
            </w:pPr>
            <w:r w:rsidRPr="00A24E1C">
              <w:rPr>
                <w:lang w:val="en-CA"/>
              </w:rPr>
              <w:t>% of organizational staffing activities that took place outside the National Capital Region (Non-NCR)</w:t>
            </w:r>
          </w:p>
        </w:tc>
      </w:tr>
      <w:tr w:rsidR="00A24E1C" w:rsidRPr="00A24E1C" w14:paraId="7E5973C4" w14:textId="77777777" w:rsidTr="006433E3">
        <w:trPr>
          <w:cantSplit/>
          <w:trHeight w:val="290"/>
          <w:tblHeader/>
          <w:jc w:val="center"/>
        </w:trPr>
        <w:tc>
          <w:tcPr>
            <w:tcW w:w="762" w:type="pct"/>
          </w:tcPr>
          <w:p w14:paraId="75A51FD3" w14:textId="77777777" w:rsidR="007217CF" w:rsidRPr="00A24E1C" w:rsidRDefault="007217CF" w:rsidP="00D22DAD">
            <w:pPr>
              <w:autoSpaceDE w:val="0"/>
              <w:autoSpaceDN w:val="0"/>
              <w:adjustRightInd w:val="0"/>
              <w:rPr>
                <w:rFonts w:asciiTheme="minorHAnsi" w:hAnsiTheme="minorHAnsi" w:cstheme="minorHAnsi"/>
                <w:sz w:val="22"/>
                <w:szCs w:val="24"/>
                <w:lang w:val="en-CA"/>
              </w:rPr>
            </w:pPr>
            <w:r w:rsidRPr="00A24E1C">
              <w:rPr>
                <w:rFonts w:asciiTheme="minorHAnsi" w:hAnsiTheme="minorHAnsi" w:cstheme="minorHAnsi"/>
                <w:sz w:val="22"/>
                <w:szCs w:val="24"/>
                <w:lang w:val="en-CA"/>
              </w:rPr>
              <w:t>2014 to 2015</w:t>
            </w:r>
          </w:p>
        </w:tc>
        <w:tc>
          <w:tcPr>
            <w:tcW w:w="2191" w:type="pct"/>
          </w:tcPr>
          <w:p w14:paraId="5AC2D63D"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83%</w:t>
            </w:r>
          </w:p>
        </w:tc>
        <w:tc>
          <w:tcPr>
            <w:tcW w:w="2047" w:type="pct"/>
          </w:tcPr>
          <w:p w14:paraId="7FA1D446"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17%</w:t>
            </w:r>
          </w:p>
        </w:tc>
      </w:tr>
      <w:tr w:rsidR="00A24E1C" w:rsidRPr="00A24E1C" w14:paraId="2A72B8FD" w14:textId="77777777" w:rsidTr="006433E3">
        <w:trPr>
          <w:cantSplit/>
          <w:trHeight w:val="290"/>
          <w:tblHeader/>
          <w:jc w:val="center"/>
        </w:trPr>
        <w:tc>
          <w:tcPr>
            <w:tcW w:w="762" w:type="pct"/>
          </w:tcPr>
          <w:p w14:paraId="48BB2D99" w14:textId="77777777" w:rsidR="007217CF" w:rsidRPr="00A24E1C" w:rsidRDefault="007217CF" w:rsidP="00D22DAD">
            <w:pPr>
              <w:autoSpaceDE w:val="0"/>
              <w:autoSpaceDN w:val="0"/>
              <w:adjustRightInd w:val="0"/>
              <w:rPr>
                <w:rFonts w:asciiTheme="minorHAnsi" w:hAnsiTheme="minorHAnsi" w:cstheme="minorHAnsi"/>
                <w:sz w:val="22"/>
                <w:szCs w:val="24"/>
                <w:lang w:val="en-CA"/>
              </w:rPr>
            </w:pPr>
            <w:r w:rsidRPr="00A24E1C">
              <w:rPr>
                <w:rFonts w:asciiTheme="minorHAnsi" w:hAnsiTheme="minorHAnsi" w:cstheme="minorHAnsi"/>
                <w:sz w:val="22"/>
                <w:szCs w:val="24"/>
                <w:lang w:val="en-CA"/>
              </w:rPr>
              <w:t>2015 to 2016</w:t>
            </w:r>
          </w:p>
        </w:tc>
        <w:tc>
          <w:tcPr>
            <w:tcW w:w="2191" w:type="pct"/>
          </w:tcPr>
          <w:p w14:paraId="4FD1291D"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89%</w:t>
            </w:r>
          </w:p>
        </w:tc>
        <w:tc>
          <w:tcPr>
            <w:tcW w:w="2047" w:type="pct"/>
          </w:tcPr>
          <w:p w14:paraId="262311E8"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11%</w:t>
            </w:r>
          </w:p>
        </w:tc>
      </w:tr>
      <w:tr w:rsidR="00A24E1C" w:rsidRPr="00A24E1C" w14:paraId="0F1A04B6" w14:textId="77777777" w:rsidTr="006433E3">
        <w:trPr>
          <w:cantSplit/>
          <w:trHeight w:val="290"/>
          <w:tblHeader/>
          <w:jc w:val="center"/>
        </w:trPr>
        <w:tc>
          <w:tcPr>
            <w:tcW w:w="762" w:type="pct"/>
          </w:tcPr>
          <w:p w14:paraId="0E2F953C" w14:textId="77777777" w:rsidR="007217CF" w:rsidRPr="00A24E1C" w:rsidRDefault="007217CF" w:rsidP="00D22DAD">
            <w:pPr>
              <w:autoSpaceDE w:val="0"/>
              <w:autoSpaceDN w:val="0"/>
              <w:adjustRightInd w:val="0"/>
              <w:rPr>
                <w:rFonts w:asciiTheme="minorHAnsi" w:hAnsiTheme="minorHAnsi" w:cstheme="minorHAnsi"/>
                <w:sz w:val="22"/>
                <w:szCs w:val="24"/>
                <w:lang w:val="en-CA"/>
              </w:rPr>
            </w:pPr>
            <w:r w:rsidRPr="00A24E1C">
              <w:rPr>
                <w:rFonts w:asciiTheme="minorHAnsi" w:hAnsiTheme="minorHAnsi" w:cstheme="minorHAnsi"/>
                <w:sz w:val="22"/>
                <w:szCs w:val="24"/>
                <w:lang w:val="en-CA"/>
              </w:rPr>
              <w:t>2016 to 2017</w:t>
            </w:r>
          </w:p>
        </w:tc>
        <w:tc>
          <w:tcPr>
            <w:tcW w:w="2191" w:type="pct"/>
          </w:tcPr>
          <w:p w14:paraId="527CD1AC"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88%</w:t>
            </w:r>
          </w:p>
        </w:tc>
        <w:tc>
          <w:tcPr>
            <w:tcW w:w="2047" w:type="pct"/>
          </w:tcPr>
          <w:p w14:paraId="19849A24"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12%</w:t>
            </w:r>
          </w:p>
        </w:tc>
      </w:tr>
      <w:tr w:rsidR="00A24E1C" w:rsidRPr="00A24E1C" w14:paraId="52974FCA" w14:textId="77777777" w:rsidTr="006433E3">
        <w:trPr>
          <w:cantSplit/>
          <w:trHeight w:val="290"/>
          <w:tblHeader/>
          <w:jc w:val="center"/>
        </w:trPr>
        <w:tc>
          <w:tcPr>
            <w:tcW w:w="762" w:type="pct"/>
          </w:tcPr>
          <w:p w14:paraId="74338558" w14:textId="77777777" w:rsidR="007217CF" w:rsidRPr="00A24E1C" w:rsidRDefault="007217CF" w:rsidP="00D22DAD">
            <w:pPr>
              <w:autoSpaceDE w:val="0"/>
              <w:autoSpaceDN w:val="0"/>
              <w:adjustRightInd w:val="0"/>
              <w:rPr>
                <w:rFonts w:asciiTheme="minorHAnsi" w:hAnsiTheme="minorHAnsi" w:cstheme="minorHAnsi"/>
                <w:sz w:val="22"/>
                <w:szCs w:val="24"/>
                <w:lang w:val="en-CA"/>
              </w:rPr>
            </w:pPr>
            <w:r w:rsidRPr="00A24E1C">
              <w:rPr>
                <w:rFonts w:asciiTheme="minorHAnsi" w:hAnsiTheme="minorHAnsi" w:cstheme="minorHAnsi"/>
                <w:sz w:val="22"/>
                <w:szCs w:val="24"/>
                <w:lang w:val="en-CA"/>
              </w:rPr>
              <w:t>2017 to 2018</w:t>
            </w:r>
          </w:p>
        </w:tc>
        <w:tc>
          <w:tcPr>
            <w:tcW w:w="2191" w:type="pct"/>
          </w:tcPr>
          <w:p w14:paraId="778F68E4"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95%</w:t>
            </w:r>
          </w:p>
        </w:tc>
        <w:tc>
          <w:tcPr>
            <w:tcW w:w="2047" w:type="pct"/>
          </w:tcPr>
          <w:p w14:paraId="53B7F0A2"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5%</w:t>
            </w:r>
          </w:p>
        </w:tc>
      </w:tr>
      <w:tr w:rsidR="00A24E1C" w:rsidRPr="00A24E1C" w14:paraId="266A4DC7" w14:textId="77777777" w:rsidTr="006433E3">
        <w:trPr>
          <w:cantSplit/>
          <w:trHeight w:val="290"/>
          <w:tblHeader/>
          <w:jc w:val="center"/>
        </w:trPr>
        <w:tc>
          <w:tcPr>
            <w:tcW w:w="762" w:type="pct"/>
          </w:tcPr>
          <w:p w14:paraId="11DCE987" w14:textId="77777777" w:rsidR="007217CF" w:rsidRPr="00A24E1C" w:rsidRDefault="007217CF" w:rsidP="00D22DAD">
            <w:pPr>
              <w:autoSpaceDE w:val="0"/>
              <w:autoSpaceDN w:val="0"/>
              <w:adjustRightInd w:val="0"/>
              <w:rPr>
                <w:rFonts w:asciiTheme="minorHAnsi" w:hAnsiTheme="minorHAnsi" w:cstheme="minorHAnsi"/>
                <w:sz w:val="22"/>
                <w:szCs w:val="24"/>
                <w:lang w:val="en-CA"/>
              </w:rPr>
            </w:pPr>
            <w:r w:rsidRPr="00A24E1C">
              <w:rPr>
                <w:rFonts w:asciiTheme="minorHAnsi" w:hAnsiTheme="minorHAnsi" w:cstheme="minorHAnsi"/>
                <w:sz w:val="22"/>
                <w:szCs w:val="24"/>
                <w:lang w:val="en-CA"/>
              </w:rPr>
              <w:t>2018 to 2019</w:t>
            </w:r>
          </w:p>
        </w:tc>
        <w:tc>
          <w:tcPr>
            <w:tcW w:w="2191" w:type="pct"/>
          </w:tcPr>
          <w:p w14:paraId="62F79E28"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96%</w:t>
            </w:r>
          </w:p>
        </w:tc>
        <w:tc>
          <w:tcPr>
            <w:tcW w:w="2047" w:type="pct"/>
          </w:tcPr>
          <w:p w14:paraId="507B54A0" w14:textId="77777777" w:rsidR="007217CF" w:rsidRPr="00A24E1C" w:rsidRDefault="007217CF" w:rsidP="00D22DAD">
            <w:pPr>
              <w:autoSpaceDE w:val="0"/>
              <w:autoSpaceDN w:val="0"/>
              <w:adjustRightInd w:val="0"/>
              <w:jc w:val="center"/>
              <w:rPr>
                <w:rFonts w:asciiTheme="minorHAnsi" w:hAnsiTheme="minorHAnsi" w:cstheme="minorHAnsi"/>
                <w:sz w:val="22"/>
                <w:szCs w:val="24"/>
                <w:lang w:val="en-CA"/>
              </w:rPr>
            </w:pPr>
            <w:r w:rsidRPr="00A24E1C">
              <w:rPr>
                <w:rFonts w:asciiTheme="minorHAnsi" w:hAnsiTheme="minorHAnsi" w:cstheme="minorHAnsi"/>
                <w:sz w:val="22"/>
                <w:szCs w:val="24"/>
                <w:lang w:val="en-CA"/>
              </w:rPr>
              <w:t>4%</w:t>
            </w:r>
          </w:p>
        </w:tc>
      </w:tr>
    </w:tbl>
    <w:p w14:paraId="573681FD" w14:textId="77777777" w:rsidR="007217CF" w:rsidRPr="00A24E1C" w:rsidRDefault="007217CF" w:rsidP="007217CF">
      <w:pPr>
        <w:pStyle w:val="ListParagraph"/>
        <w:numPr>
          <w:ilvl w:val="0"/>
          <w:numId w:val="17"/>
        </w:numPr>
        <w:spacing w:after="100" w:afterAutospacing="1"/>
        <w:contextualSpacing w:val="0"/>
        <w:rPr>
          <w:rFonts w:asciiTheme="minorHAnsi" w:hAnsiTheme="minorHAnsi" w:cstheme="minorHAnsi"/>
          <w:sz w:val="22"/>
          <w:szCs w:val="22"/>
          <w:lang w:val="en-CA"/>
        </w:rPr>
      </w:pPr>
      <w:r w:rsidRPr="00A24E1C">
        <w:rPr>
          <w:rFonts w:asciiTheme="minorHAnsi" w:hAnsiTheme="minorHAnsi" w:cstheme="minorHAnsi"/>
          <w:sz w:val="22"/>
          <w:szCs w:val="22"/>
          <w:lang w:val="en-CA"/>
        </w:rPr>
        <w:t>Regional distribution excludes unknowns.</w:t>
      </w:r>
    </w:p>
    <w:p w14:paraId="6125B7AD" w14:textId="77777777" w:rsidR="007217CF" w:rsidRDefault="007217CF" w:rsidP="00417183">
      <w:pPr>
        <w:pStyle w:val="Footer"/>
        <w:jc w:val="center"/>
        <w:rPr>
          <w:rFonts w:asciiTheme="minorHAnsi" w:hAnsiTheme="minorHAnsi" w:cstheme="minorHAnsi"/>
          <w:b/>
          <w:sz w:val="18"/>
          <w:lang w:val="en-CA"/>
        </w:rPr>
        <w:sectPr w:rsidR="007217CF" w:rsidSect="007E486E">
          <w:pgSz w:w="15840" w:h="12240" w:orient="landscape"/>
          <w:pgMar w:top="720" w:right="720" w:bottom="720" w:left="720" w:header="283" w:footer="170" w:gutter="0"/>
          <w:cols w:space="708"/>
          <w:titlePg/>
          <w:docGrid w:linePitch="360"/>
        </w:sectPr>
      </w:pPr>
    </w:p>
    <w:p w14:paraId="7F044FD8" w14:textId="77777777" w:rsidR="00A24E1C" w:rsidRPr="00A24E1C" w:rsidRDefault="00A24E1C" w:rsidP="00A24E1C">
      <w:pPr>
        <w:pStyle w:val="Heading1"/>
        <w:spacing w:before="120" w:after="120"/>
        <w:rPr>
          <w:sz w:val="40"/>
          <w:lang w:val="en-CA"/>
        </w:rPr>
      </w:pPr>
      <w:r w:rsidRPr="00A24E1C">
        <w:rPr>
          <w:sz w:val="40"/>
          <w:lang w:val="en-CA"/>
        </w:rPr>
        <w:lastRenderedPageBreak/>
        <w:t>Staffing by process t</w:t>
      </w:r>
      <w:r w:rsidRPr="00A24E1C">
        <w:rPr>
          <w:rFonts w:eastAsia="Times New Roman"/>
          <w:sz w:val="40"/>
          <w:lang w:val="en-CA"/>
        </w:rPr>
        <w:t>ype</w:t>
      </w:r>
    </w:p>
    <w:p w14:paraId="6378162A" w14:textId="77777777" w:rsidR="00C45E04" w:rsidRDefault="00095F37" w:rsidP="00C45E04">
      <w:pPr>
        <w:keepNext/>
        <w:tabs>
          <w:tab w:val="left" w:pos="7839"/>
        </w:tabs>
        <w:jc w:val="center"/>
      </w:pPr>
      <w:r>
        <w:rPr>
          <w:noProof/>
          <w:lang w:val="en-CA" w:eastAsia="en-CA"/>
        </w:rPr>
        <w:drawing>
          <wp:inline distT="0" distB="0" distL="0" distR="0" wp14:anchorId="25557311" wp14:editId="5A2C2958">
            <wp:extent cx="5648400" cy="3049200"/>
            <wp:effectExtent l="0" t="0" r="9525" b="18415"/>
            <wp:docPr id="23" name="Chart 1" descr="Staffing by process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F73D7A" w14:textId="77777777" w:rsidR="00E01E51" w:rsidRPr="00C45E04" w:rsidRDefault="00C45E04" w:rsidP="00C45E04">
      <w:pPr>
        <w:pStyle w:val="Caption"/>
        <w:spacing w:after="0"/>
        <w:jc w:val="center"/>
        <w:rPr>
          <w:rFonts w:asciiTheme="minorHAnsi" w:hAnsiTheme="minorHAnsi" w:cstheme="minorHAnsi"/>
          <w:i w:val="0"/>
          <w:color w:val="auto"/>
          <w:lang w:val="en-CA"/>
        </w:rPr>
      </w:pPr>
      <w:r w:rsidRPr="00C45E04">
        <w:rPr>
          <w:rFonts w:asciiTheme="minorHAnsi" w:hAnsiTheme="minorHAnsi" w:cstheme="minorHAnsi"/>
          <w:i w:val="0"/>
          <w:color w:val="auto"/>
        </w:rPr>
        <w:t xml:space="preserve">Figure </w:t>
      </w:r>
      <w:r w:rsidRPr="00C45E04">
        <w:rPr>
          <w:rFonts w:asciiTheme="minorHAnsi" w:hAnsiTheme="minorHAnsi" w:cstheme="minorHAnsi"/>
          <w:i w:val="0"/>
          <w:color w:val="auto"/>
        </w:rPr>
        <w:fldChar w:fldCharType="begin"/>
      </w:r>
      <w:r w:rsidRPr="00C45E04">
        <w:rPr>
          <w:rFonts w:asciiTheme="minorHAnsi" w:hAnsiTheme="minorHAnsi" w:cstheme="minorHAnsi"/>
          <w:i w:val="0"/>
          <w:color w:val="auto"/>
        </w:rPr>
        <w:instrText xml:space="preserve"> SEQ Figure \* ARABIC </w:instrText>
      </w:r>
      <w:r w:rsidRPr="00C45E04">
        <w:rPr>
          <w:rFonts w:asciiTheme="minorHAnsi" w:hAnsiTheme="minorHAnsi" w:cstheme="minorHAnsi"/>
          <w:i w:val="0"/>
          <w:color w:val="auto"/>
        </w:rPr>
        <w:fldChar w:fldCharType="separate"/>
      </w:r>
      <w:r w:rsidR="004F3406">
        <w:rPr>
          <w:rFonts w:asciiTheme="minorHAnsi" w:hAnsiTheme="minorHAnsi" w:cstheme="minorHAnsi"/>
          <w:i w:val="0"/>
          <w:noProof/>
          <w:color w:val="auto"/>
        </w:rPr>
        <w:t>7</w:t>
      </w:r>
      <w:r w:rsidRPr="00C45E04">
        <w:rPr>
          <w:rFonts w:asciiTheme="minorHAnsi" w:hAnsiTheme="minorHAnsi" w:cstheme="minorHAnsi"/>
          <w:i w:val="0"/>
          <w:color w:val="auto"/>
        </w:rPr>
        <w:fldChar w:fldCharType="end"/>
      </w:r>
      <w:r w:rsidRPr="00C45E04">
        <w:rPr>
          <w:rFonts w:asciiTheme="minorHAnsi" w:hAnsiTheme="minorHAnsi" w:cstheme="minorHAnsi"/>
          <w:i w:val="0"/>
          <w:color w:val="auto"/>
        </w:rPr>
        <w:t xml:space="preserve"> - Staffing by process type</w:t>
      </w:r>
    </w:p>
    <w:p w14:paraId="77FE1A3A" w14:textId="77777777" w:rsidR="00C45E04" w:rsidRPr="00C45E04" w:rsidRDefault="00C45E04" w:rsidP="00C45E04">
      <w:pPr>
        <w:pStyle w:val="Caption"/>
        <w:keepNext/>
        <w:spacing w:before="240" w:after="0"/>
        <w:jc w:val="center"/>
        <w:rPr>
          <w:rFonts w:asciiTheme="minorHAnsi" w:hAnsiTheme="minorHAnsi" w:cstheme="minorHAnsi"/>
          <w:i w:val="0"/>
          <w:color w:val="auto"/>
        </w:rPr>
      </w:pPr>
      <w:r w:rsidRPr="00C45E04">
        <w:rPr>
          <w:rFonts w:asciiTheme="minorHAnsi" w:hAnsiTheme="minorHAnsi" w:cstheme="minorHAnsi"/>
          <w:i w:val="0"/>
          <w:color w:val="auto"/>
        </w:rPr>
        <w:t xml:space="preserve">Table </w:t>
      </w:r>
      <w:r w:rsidRPr="00C45E04">
        <w:rPr>
          <w:rFonts w:asciiTheme="minorHAnsi" w:hAnsiTheme="minorHAnsi" w:cstheme="minorHAnsi"/>
          <w:i w:val="0"/>
          <w:color w:val="auto"/>
        </w:rPr>
        <w:fldChar w:fldCharType="begin"/>
      </w:r>
      <w:r w:rsidRPr="00C45E04">
        <w:rPr>
          <w:rFonts w:asciiTheme="minorHAnsi" w:hAnsiTheme="minorHAnsi" w:cstheme="minorHAnsi"/>
          <w:i w:val="0"/>
          <w:color w:val="auto"/>
        </w:rPr>
        <w:instrText xml:space="preserve"> SEQ Table \* ARABIC </w:instrText>
      </w:r>
      <w:r w:rsidRPr="00C45E04">
        <w:rPr>
          <w:rFonts w:asciiTheme="minorHAnsi" w:hAnsiTheme="minorHAnsi" w:cstheme="minorHAnsi"/>
          <w:i w:val="0"/>
          <w:color w:val="auto"/>
        </w:rPr>
        <w:fldChar w:fldCharType="separate"/>
      </w:r>
      <w:r w:rsidR="00D22DAD">
        <w:rPr>
          <w:rFonts w:asciiTheme="minorHAnsi" w:hAnsiTheme="minorHAnsi" w:cstheme="minorHAnsi"/>
          <w:i w:val="0"/>
          <w:noProof/>
          <w:color w:val="auto"/>
        </w:rPr>
        <w:t>8</w:t>
      </w:r>
      <w:r w:rsidRPr="00C45E04">
        <w:rPr>
          <w:rFonts w:asciiTheme="minorHAnsi" w:hAnsiTheme="minorHAnsi" w:cstheme="minorHAnsi"/>
          <w:i w:val="0"/>
          <w:color w:val="auto"/>
        </w:rPr>
        <w:fldChar w:fldCharType="end"/>
      </w:r>
      <w:r w:rsidRPr="00C45E04">
        <w:rPr>
          <w:rFonts w:asciiTheme="minorHAnsi" w:hAnsiTheme="minorHAnsi" w:cstheme="minorHAnsi"/>
          <w:i w:val="0"/>
          <w:color w:val="auto"/>
        </w:rPr>
        <w:t xml:space="preserve"> - Number and percentage of staffing activities by process type and fiscal year</w:t>
      </w:r>
    </w:p>
    <w:tbl>
      <w:tblPr>
        <w:tblStyle w:val="TableGrid"/>
        <w:tblW w:w="5000" w:type="pct"/>
        <w:jc w:val="center"/>
        <w:tblLook w:val="0020" w:firstRow="1" w:lastRow="0" w:firstColumn="0" w:lastColumn="0" w:noHBand="0" w:noVBand="0"/>
        <w:tblDescription w:val="Staffing by process type from 2014 to 2019"/>
      </w:tblPr>
      <w:tblGrid>
        <w:gridCol w:w="1695"/>
        <w:gridCol w:w="5529"/>
        <w:gridCol w:w="3120"/>
        <w:gridCol w:w="4046"/>
      </w:tblGrid>
      <w:tr w:rsidR="00C45E04" w:rsidRPr="00C45E04" w14:paraId="084B4C43" w14:textId="77777777" w:rsidTr="006433E3">
        <w:trPr>
          <w:cantSplit/>
          <w:trHeight w:val="290"/>
          <w:tblHeader/>
          <w:jc w:val="center"/>
        </w:trPr>
        <w:tc>
          <w:tcPr>
            <w:tcW w:w="589" w:type="pct"/>
          </w:tcPr>
          <w:p w14:paraId="6A412A04" w14:textId="77777777" w:rsidR="007217CF" w:rsidRPr="00C45E04" w:rsidRDefault="007217CF" w:rsidP="00C45E04">
            <w:pPr>
              <w:pStyle w:val="TableTitle"/>
              <w:rPr>
                <w:lang w:val="en-CA"/>
              </w:rPr>
            </w:pPr>
            <w:r w:rsidRPr="00C45E04">
              <w:rPr>
                <w:lang w:val="en-CA"/>
              </w:rPr>
              <w:t>Fiscal year</w:t>
            </w:r>
          </w:p>
        </w:tc>
        <w:tc>
          <w:tcPr>
            <w:tcW w:w="1921" w:type="pct"/>
          </w:tcPr>
          <w:p w14:paraId="60F5BA89" w14:textId="77777777" w:rsidR="007217CF" w:rsidRPr="00C45E04" w:rsidRDefault="007217CF" w:rsidP="00C45E04">
            <w:pPr>
              <w:pStyle w:val="TableTitle"/>
              <w:rPr>
                <w:lang w:val="en-CA"/>
              </w:rPr>
            </w:pPr>
            <w:r w:rsidRPr="00C45E04">
              <w:rPr>
                <w:lang w:val="en-CA"/>
              </w:rPr>
              <w:t>Non-advertised appointments (excludes unknown)</w:t>
            </w:r>
          </w:p>
        </w:tc>
        <w:tc>
          <w:tcPr>
            <w:tcW w:w="1084" w:type="pct"/>
          </w:tcPr>
          <w:p w14:paraId="4E0206DD" w14:textId="77777777" w:rsidR="007217CF" w:rsidRPr="00C45E04" w:rsidRDefault="007217CF" w:rsidP="00C45E04">
            <w:pPr>
              <w:pStyle w:val="TableTitle"/>
              <w:rPr>
                <w:lang w:val="en-CA"/>
              </w:rPr>
            </w:pPr>
            <w:r w:rsidRPr="00C45E04">
              <w:rPr>
                <w:lang w:val="en-CA"/>
              </w:rPr>
              <w:t>Advertised appointments</w:t>
            </w:r>
          </w:p>
        </w:tc>
        <w:tc>
          <w:tcPr>
            <w:tcW w:w="1406" w:type="pct"/>
          </w:tcPr>
          <w:p w14:paraId="3ECE381B" w14:textId="77777777" w:rsidR="007217CF" w:rsidRPr="00C45E04" w:rsidRDefault="007217CF" w:rsidP="00C45E04">
            <w:pPr>
              <w:pStyle w:val="TableTitle"/>
              <w:rPr>
                <w:lang w:val="en-CA"/>
              </w:rPr>
            </w:pPr>
            <w:r w:rsidRPr="00C45E04">
              <w:rPr>
                <w:lang w:val="en-CA"/>
              </w:rPr>
              <w:t>% of non</w:t>
            </w:r>
            <w:r w:rsidRPr="00C45E04">
              <w:rPr>
                <w:lang w:val="en-CA"/>
              </w:rPr>
              <w:noBreakHyphen/>
              <w:t>advertised appointments</w:t>
            </w:r>
          </w:p>
        </w:tc>
      </w:tr>
      <w:tr w:rsidR="00C45E04" w:rsidRPr="00C45E04" w14:paraId="7F02E670" w14:textId="77777777" w:rsidTr="006433E3">
        <w:trPr>
          <w:cantSplit/>
          <w:trHeight w:val="290"/>
          <w:tblHeader/>
          <w:jc w:val="center"/>
        </w:trPr>
        <w:tc>
          <w:tcPr>
            <w:tcW w:w="589" w:type="pct"/>
          </w:tcPr>
          <w:p w14:paraId="4BB961C2"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 xml:space="preserve">2014 to 2015 </w:t>
            </w:r>
          </w:p>
        </w:tc>
        <w:tc>
          <w:tcPr>
            <w:tcW w:w="1921" w:type="pct"/>
          </w:tcPr>
          <w:p w14:paraId="21E82AE4"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w:t>
            </w:r>
          </w:p>
        </w:tc>
        <w:tc>
          <w:tcPr>
            <w:tcW w:w="1084" w:type="pct"/>
          </w:tcPr>
          <w:p w14:paraId="62C23761"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5</w:t>
            </w:r>
          </w:p>
        </w:tc>
        <w:tc>
          <w:tcPr>
            <w:tcW w:w="1406" w:type="pct"/>
          </w:tcPr>
          <w:p w14:paraId="4FD37A2D"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17%</w:t>
            </w:r>
          </w:p>
        </w:tc>
      </w:tr>
      <w:tr w:rsidR="00C45E04" w:rsidRPr="00C45E04" w14:paraId="4FB0F21F" w14:textId="77777777" w:rsidTr="006433E3">
        <w:trPr>
          <w:cantSplit/>
          <w:trHeight w:val="290"/>
          <w:tblHeader/>
          <w:jc w:val="center"/>
        </w:trPr>
        <w:tc>
          <w:tcPr>
            <w:tcW w:w="589" w:type="pct"/>
          </w:tcPr>
          <w:p w14:paraId="2D4F4B94"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 xml:space="preserve">2015 to 2016 </w:t>
            </w:r>
          </w:p>
        </w:tc>
        <w:tc>
          <w:tcPr>
            <w:tcW w:w="1921" w:type="pct"/>
          </w:tcPr>
          <w:p w14:paraId="56132E07"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3</w:t>
            </w:r>
          </w:p>
        </w:tc>
        <w:tc>
          <w:tcPr>
            <w:tcW w:w="1084" w:type="pct"/>
          </w:tcPr>
          <w:p w14:paraId="38D9A466"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7</w:t>
            </w:r>
          </w:p>
        </w:tc>
        <w:tc>
          <w:tcPr>
            <w:tcW w:w="1406" w:type="pct"/>
          </w:tcPr>
          <w:p w14:paraId="1084BF70"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30%</w:t>
            </w:r>
          </w:p>
        </w:tc>
      </w:tr>
      <w:tr w:rsidR="00C45E04" w:rsidRPr="00C45E04" w14:paraId="6D998637" w14:textId="77777777" w:rsidTr="006433E3">
        <w:trPr>
          <w:cantSplit/>
          <w:trHeight w:val="290"/>
          <w:tblHeader/>
          <w:jc w:val="center"/>
        </w:trPr>
        <w:tc>
          <w:tcPr>
            <w:tcW w:w="589" w:type="pct"/>
          </w:tcPr>
          <w:p w14:paraId="52455F36"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2016 to 2017</w:t>
            </w:r>
          </w:p>
        </w:tc>
        <w:tc>
          <w:tcPr>
            <w:tcW w:w="1921" w:type="pct"/>
          </w:tcPr>
          <w:p w14:paraId="4A626D30"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8</w:t>
            </w:r>
          </w:p>
        </w:tc>
        <w:tc>
          <w:tcPr>
            <w:tcW w:w="1084" w:type="pct"/>
          </w:tcPr>
          <w:p w14:paraId="3D03AAB9"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6</w:t>
            </w:r>
          </w:p>
        </w:tc>
        <w:tc>
          <w:tcPr>
            <w:tcW w:w="1406" w:type="pct"/>
          </w:tcPr>
          <w:p w14:paraId="50B93E58"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57%</w:t>
            </w:r>
          </w:p>
        </w:tc>
      </w:tr>
      <w:tr w:rsidR="00C45E04" w:rsidRPr="00C45E04" w14:paraId="3B5107C4" w14:textId="77777777" w:rsidTr="006433E3">
        <w:trPr>
          <w:cantSplit/>
          <w:trHeight w:val="290"/>
          <w:tblHeader/>
          <w:jc w:val="center"/>
        </w:trPr>
        <w:tc>
          <w:tcPr>
            <w:tcW w:w="589" w:type="pct"/>
          </w:tcPr>
          <w:p w14:paraId="35BEDA6D"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2017 to 2018</w:t>
            </w:r>
          </w:p>
        </w:tc>
        <w:tc>
          <w:tcPr>
            <w:tcW w:w="1921" w:type="pct"/>
          </w:tcPr>
          <w:p w14:paraId="75CE578B"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11</w:t>
            </w:r>
          </w:p>
        </w:tc>
        <w:tc>
          <w:tcPr>
            <w:tcW w:w="1084" w:type="pct"/>
          </w:tcPr>
          <w:p w14:paraId="0801686F"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10</w:t>
            </w:r>
          </w:p>
        </w:tc>
        <w:tc>
          <w:tcPr>
            <w:tcW w:w="1406" w:type="pct"/>
          </w:tcPr>
          <w:p w14:paraId="39102465"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52%</w:t>
            </w:r>
          </w:p>
        </w:tc>
      </w:tr>
      <w:tr w:rsidR="00C45E04" w:rsidRPr="00C45E04" w14:paraId="7D3F8EDB" w14:textId="77777777" w:rsidTr="006433E3">
        <w:trPr>
          <w:cantSplit/>
          <w:trHeight w:val="290"/>
          <w:tblHeader/>
          <w:jc w:val="center"/>
        </w:trPr>
        <w:tc>
          <w:tcPr>
            <w:tcW w:w="589" w:type="pct"/>
          </w:tcPr>
          <w:p w14:paraId="2EA3B236"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2018 to 2019</w:t>
            </w:r>
          </w:p>
        </w:tc>
        <w:tc>
          <w:tcPr>
            <w:tcW w:w="1921" w:type="pct"/>
          </w:tcPr>
          <w:p w14:paraId="58F88A72"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28</w:t>
            </w:r>
          </w:p>
        </w:tc>
        <w:tc>
          <w:tcPr>
            <w:tcW w:w="1084" w:type="pct"/>
          </w:tcPr>
          <w:p w14:paraId="51E42688"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18</w:t>
            </w:r>
          </w:p>
        </w:tc>
        <w:tc>
          <w:tcPr>
            <w:tcW w:w="1406" w:type="pct"/>
          </w:tcPr>
          <w:p w14:paraId="38A7178F"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61%</w:t>
            </w:r>
          </w:p>
        </w:tc>
      </w:tr>
    </w:tbl>
    <w:p w14:paraId="0A585375" w14:textId="77777777" w:rsidR="007217CF" w:rsidRPr="00C45E04" w:rsidRDefault="007217CF" w:rsidP="00C45E04">
      <w:pPr>
        <w:pStyle w:val="ListParagraph"/>
        <w:numPr>
          <w:ilvl w:val="0"/>
          <w:numId w:val="15"/>
        </w:numPr>
        <w:spacing w:after="0"/>
        <w:rPr>
          <w:rFonts w:asciiTheme="minorHAnsi" w:hAnsiTheme="minorHAnsi" w:cstheme="minorHAnsi"/>
          <w:sz w:val="22"/>
          <w:lang w:val="en-CA"/>
        </w:rPr>
      </w:pPr>
      <w:r w:rsidRPr="00C45E04">
        <w:rPr>
          <w:rFonts w:asciiTheme="minorHAnsi" w:hAnsiTheme="minorHAnsi" w:cstheme="minorHAnsi"/>
          <w:sz w:val="22"/>
          <w:lang w:val="en-CA"/>
        </w:rPr>
        <w:t>Includes indeterminate and term appointments</w:t>
      </w:r>
    </w:p>
    <w:p w14:paraId="7986788E" w14:textId="77777777" w:rsidR="007217CF" w:rsidRPr="00C45E04" w:rsidRDefault="007217CF" w:rsidP="00C45E04">
      <w:pPr>
        <w:pStyle w:val="ListParagraph"/>
        <w:numPr>
          <w:ilvl w:val="0"/>
          <w:numId w:val="15"/>
        </w:numPr>
        <w:spacing w:after="0"/>
        <w:rPr>
          <w:rFonts w:asciiTheme="minorHAnsi" w:hAnsiTheme="minorHAnsi" w:cstheme="minorHAnsi"/>
          <w:sz w:val="22"/>
          <w:lang w:val="en-CA"/>
        </w:rPr>
      </w:pPr>
      <w:r w:rsidRPr="00C45E04">
        <w:rPr>
          <w:rFonts w:asciiTheme="minorHAnsi" w:hAnsiTheme="minorHAnsi" w:cstheme="minorHAnsi"/>
          <w:sz w:val="22"/>
          <w:lang w:val="en-CA"/>
        </w:rPr>
        <w:t xml:space="preserve">Excludes lateral and downward movements, deployments and acting appointments of less than four months </w:t>
      </w:r>
    </w:p>
    <w:p w14:paraId="36CBE39C" w14:textId="77777777" w:rsidR="007217CF" w:rsidRPr="00C45E04" w:rsidRDefault="007217CF" w:rsidP="007217CF">
      <w:pPr>
        <w:pStyle w:val="ListParagraph"/>
        <w:numPr>
          <w:ilvl w:val="0"/>
          <w:numId w:val="15"/>
        </w:numPr>
        <w:spacing w:after="100" w:afterAutospacing="1"/>
        <w:contextualSpacing w:val="0"/>
        <w:rPr>
          <w:rFonts w:asciiTheme="minorHAnsi" w:hAnsiTheme="minorHAnsi" w:cstheme="minorHAnsi"/>
          <w:sz w:val="22"/>
          <w:lang w:val="en-CA"/>
        </w:rPr>
      </w:pPr>
      <w:r w:rsidRPr="00C45E04">
        <w:rPr>
          <w:rFonts w:asciiTheme="minorHAnsi" w:hAnsiTheme="minorHAnsi" w:cstheme="minorHAnsi"/>
          <w:sz w:val="22"/>
          <w:lang w:val="en-CA"/>
        </w:rPr>
        <w:t>Includes only appointments where the staffing process type is known (35% to 88% of appointments)</w:t>
      </w:r>
    </w:p>
    <w:p w14:paraId="46E7B39C" w14:textId="77777777" w:rsidR="007217CF" w:rsidRDefault="007217CF" w:rsidP="00E01E51">
      <w:pPr>
        <w:tabs>
          <w:tab w:val="left" w:pos="7839"/>
        </w:tabs>
        <w:rPr>
          <w:lang w:val="en-CA"/>
        </w:rPr>
        <w:sectPr w:rsidR="007217CF" w:rsidSect="007E486E">
          <w:pgSz w:w="15840" w:h="12240" w:orient="landscape"/>
          <w:pgMar w:top="720" w:right="720" w:bottom="720" w:left="720" w:header="283" w:footer="170" w:gutter="0"/>
          <w:cols w:space="708"/>
          <w:titlePg/>
          <w:docGrid w:linePitch="360"/>
        </w:sectPr>
      </w:pPr>
    </w:p>
    <w:p w14:paraId="41E23CA4" w14:textId="77777777" w:rsidR="00C45E04" w:rsidRPr="00C45E04" w:rsidRDefault="00C45E04" w:rsidP="00C45E04">
      <w:pPr>
        <w:pStyle w:val="Heading1"/>
        <w:spacing w:before="120" w:after="120"/>
        <w:rPr>
          <w:sz w:val="40"/>
          <w:lang w:val="en-CA"/>
        </w:rPr>
      </w:pPr>
      <w:r w:rsidRPr="00C45E04">
        <w:rPr>
          <w:rFonts w:eastAsia="Times New Roman"/>
          <w:sz w:val="40"/>
          <w:lang w:val="en-CA"/>
        </w:rPr>
        <w:lastRenderedPageBreak/>
        <w:t>Staffing by appointment type</w:t>
      </w:r>
    </w:p>
    <w:p w14:paraId="1F3D38AC" w14:textId="77777777" w:rsidR="00095F37" w:rsidRDefault="00095F37" w:rsidP="00C45E04">
      <w:pPr>
        <w:keepNext/>
        <w:jc w:val="center"/>
      </w:pPr>
      <w:r>
        <w:rPr>
          <w:noProof/>
          <w:lang w:val="en-CA" w:eastAsia="en-CA"/>
        </w:rPr>
        <w:drawing>
          <wp:inline distT="0" distB="0" distL="0" distR="0" wp14:anchorId="6B3AEA76" wp14:editId="4E41945F">
            <wp:extent cx="5648400" cy="3049200"/>
            <wp:effectExtent l="0" t="0" r="9525" b="18415"/>
            <wp:docPr id="9" name="Chart 9" descr="Staffing by appointment typ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B3D0D7" w14:textId="1E95A2A5" w:rsidR="00E01E51" w:rsidRPr="00095F37" w:rsidRDefault="00C45E04" w:rsidP="00095F37">
      <w:pPr>
        <w:keepNext/>
        <w:jc w:val="center"/>
        <w:rPr>
          <w:rFonts w:asciiTheme="minorHAnsi" w:hAnsiTheme="minorHAnsi" w:cstheme="minorHAnsi"/>
          <w:i/>
          <w:sz w:val="18"/>
          <w:lang w:val="en-CA"/>
        </w:rPr>
      </w:pPr>
      <w:r w:rsidRPr="00095F37">
        <w:rPr>
          <w:rFonts w:asciiTheme="minorHAnsi" w:hAnsiTheme="minorHAnsi" w:cstheme="minorHAnsi"/>
          <w:sz w:val="18"/>
        </w:rPr>
        <w:t xml:space="preserve">Figure </w:t>
      </w:r>
      <w:r w:rsidRPr="00095F37">
        <w:rPr>
          <w:rFonts w:asciiTheme="minorHAnsi" w:hAnsiTheme="minorHAnsi" w:cstheme="minorHAnsi"/>
          <w:i/>
          <w:sz w:val="18"/>
        </w:rPr>
        <w:fldChar w:fldCharType="begin"/>
      </w:r>
      <w:r w:rsidRPr="00095F37">
        <w:rPr>
          <w:rFonts w:asciiTheme="minorHAnsi" w:hAnsiTheme="minorHAnsi" w:cstheme="minorHAnsi"/>
          <w:sz w:val="18"/>
        </w:rPr>
        <w:instrText xml:space="preserve"> SEQ Figure \* ARABIC </w:instrText>
      </w:r>
      <w:r w:rsidRPr="00095F37">
        <w:rPr>
          <w:rFonts w:asciiTheme="minorHAnsi" w:hAnsiTheme="minorHAnsi" w:cstheme="minorHAnsi"/>
          <w:i/>
          <w:sz w:val="18"/>
        </w:rPr>
        <w:fldChar w:fldCharType="separate"/>
      </w:r>
      <w:r w:rsidR="004F3406" w:rsidRPr="00095F37">
        <w:rPr>
          <w:rFonts w:asciiTheme="minorHAnsi" w:hAnsiTheme="minorHAnsi" w:cstheme="minorHAnsi"/>
          <w:noProof/>
          <w:sz w:val="18"/>
        </w:rPr>
        <w:t>8</w:t>
      </w:r>
      <w:r w:rsidRPr="00095F37">
        <w:rPr>
          <w:rFonts w:asciiTheme="minorHAnsi" w:hAnsiTheme="minorHAnsi" w:cstheme="minorHAnsi"/>
          <w:i/>
          <w:sz w:val="18"/>
        </w:rPr>
        <w:fldChar w:fldCharType="end"/>
      </w:r>
      <w:r w:rsidRPr="00095F37">
        <w:rPr>
          <w:rFonts w:asciiTheme="minorHAnsi" w:hAnsiTheme="minorHAnsi" w:cstheme="minorHAnsi"/>
          <w:sz w:val="18"/>
        </w:rPr>
        <w:t xml:space="preserve"> - Staffing by appointment type</w:t>
      </w:r>
    </w:p>
    <w:p w14:paraId="2F5F7DFB" w14:textId="77777777" w:rsidR="00C45E04" w:rsidRPr="00C45E04" w:rsidRDefault="00C45E04" w:rsidP="00C45E04">
      <w:pPr>
        <w:pStyle w:val="Caption"/>
        <w:keepNext/>
        <w:spacing w:before="240" w:after="0"/>
        <w:jc w:val="center"/>
        <w:rPr>
          <w:rFonts w:asciiTheme="minorHAnsi" w:hAnsiTheme="minorHAnsi" w:cstheme="minorHAnsi"/>
          <w:i w:val="0"/>
          <w:color w:val="auto"/>
        </w:rPr>
      </w:pPr>
      <w:r w:rsidRPr="00C45E04">
        <w:rPr>
          <w:rFonts w:asciiTheme="minorHAnsi" w:hAnsiTheme="minorHAnsi" w:cstheme="minorHAnsi"/>
          <w:i w:val="0"/>
          <w:color w:val="auto"/>
        </w:rPr>
        <w:t xml:space="preserve">Table </w:t>
      </w:r>
      <w:r w:rsidRPr="00C45E04">
        <w:rPr>
          <w:rFonts w:asciiTheme="minorHAnsi" w:hAnsiTheme="minorHAnsi" w:cstheme="minorHAnsi"/>
          <w:i w:val="0"/>
          <w:color w:val="auto"/>
        </w:rPr>
        <w:fldChar w:fldCharType="begin"/>
      </w:r>
      <w:r w:rsidRPr="00C45E04">
        <w:rPr>
          <w:rFonts w:asciiTheme="minorHAnsi" w:hAnsiTheme="minorHAnsi" w:cstheme="minorHAnsi"/>
          <w:i w:val="0"/>
          <w:color w:val="auto"/>
        </w:rPr>
        <w:instrText xml:space="preserve"> SEQ Table \* ARABIC </w:instrText>
      </w:r>
      <w:r w:rsidRPr="00C45E04">
        <w:rPr>
          <w:rFonts w:asciiTheme="minorHAnsi" w:hAnsiTheme="minorHAnsi" w:cstheme="minorHAnsi"/>
          <w:i w:val="0"/>
          <w:color w:val="auto"/>
        </w:rPr>
        <w:fldChar w:fldCharType="separate"/>
      </w:r>
      <w:r w:rsidR="00D22DAD">
        <w:rPr>
          <w:rFonts w:asciiTheme="minorHAnsi" w:hAnsiTheme="minorHAnsi" w:cstheme="minorHAnsi"/>
          <w:i w:val="0"/>
          <w:noProof/>
          <w:color w:val="auto"/>
        </w:rPr>
        <w:t>9</w:t>
      </w:r>
      <w:r w:rsidRPr="00C45E04">
        <w:rPr>
          <w:rFonts w:asciiTheme="minorHAnsi" w:hAnsiTheme="minorHAnsi" w:cstheme="minorHAnsi"/>
          <w:i w:val="0"/>
          <w:color w:val="auto"/>
        </w:rPr>
        <w:fldChar w:fldCharType="end"/>
      </w:r>
      <w:r w:rsidRPr="00C45E04">
        <w:rPr>
          <w:rFonts w:asciiTheme="minorHAnsi" w:hAnsiTheme="minorHAnsi" w:cstheme="minorHAnsi"/>
          <w:i w:val="0"/>
          <w:color w:val="auto"/>
        </w:rPr>
        <w:t xml:space="preserve"> - Staffing activities by appointment type and fiscal year</w:t>
      </w:r>
    </w:p>
    <w:tbl>
      <w:tblPr>
        <w:tblStyle w:val="TableGrid"/>
        <w:tblW w:w="5000" w:type="pct"/>
        <w:jc w:val="center"/>
        <w:tblLook w:val="0020" w:firstRow="1" w:lastRow="0" w:firstColumn="0" w:lastColumn="0" w:noHBand="0" w:noVBand="0"/>
        <w:tblDescription w:val="Staffing by appointment type from 2014 to 2019"/>
      </w:tblPr>
      <w:tblGrid>
        <w:gridCol w:w="2243"/>
        <w:gridCol w:w="1899"/>
        <w:gridCol w:w="2469"/>
        <w:gridCol w:w="3396"/>
        <w:gridCol w:w="3045"/>
        <w:gridCol w:w="1338"/>
      </w:tblGrid>
      <w:tr w:rsidR="007217CF" w:rsidRPr="00DE4115" w14:paraId="474B10BD" w14:textId="77777777" w:rsidTr="006433E3">
        <w:trPr>
          <w:cantSplit/>
          <w:tblHeader/>
          <w:jc w:val="center"/>
        </w:trPr>
        <w:tc>
          <w:tcPr>
            <w:tcW w:w="779" w:type="pct"/>
          </w:tcPr>
          <w:p w14:paraId="7D70D0A9" w14:textId="77777777" w:rsidR="007217CF" w:rsidRPr="00DE4115" w:rsidRDefault="007217CF" w:rsidP="00C45E04">
            <w:pPr>
              <w:pStyle w:val="TableTitle"/>
              <w:rPr>
                <w:lang w:val="en-CA"/>
              </w:rPr>
            </w:pPr>
            <w:r w:rsidRPr="00DE4115">
              <w:rPr>
                <w:lang w:val="en-CA"/>
              </w:rPr>
              <w:t>Fiscal year</w:t>
            </w:r>
          </w:p>
        </w:tc>
        <w:tc>
          <w:tcPr>
            <w:tcW w:w="660" w:type="pct"/>
          </w:tcPr>
          <w:p w14:paraId="6C01D25C" w14:textId="77777777" w:rsidR="007217CF" w:rsidRPr="00DE4115" w:rsidRDefault="007217CF" w:rsidP="00C45E04">
            <w:pPr>
              <w:pStyle w:val="TableTitle"/>
              <w:rPr>
                <w:lang w:val="en-CA"/>
              </w:rPr>
            </w:pPr>
            <w:r w:rsidRPr="00DE4115">
              <w:rPr>
                <w:lang w:val="en-CA"/>
              </w:rPr>
              <w:t>Promotions</w:t>
            </w:r>
          </w:p>
        </w:tc>
        <w:tc>
          <w:tcPr>
            <w:tcW w:w="858" w:type="pct"/>
          </w:tcPr>
          <w:p w14:paraId="1CF01414" w14:textId="77777777" w:rsidR="007217CF" w:rsidRPr="00DE4115" w:rsidRDefault="007217CF" w:rsidP="00C45E04">
            <w:pPr>
              <w:pStyle w:val="TableTitle"/>
              <w:rPr>
                <w:lang w:val="en-CA"/>
              </w:rPr>
            </w:pPr>
            <w:r w:rsidRPr="00DE4115">
              <w:rPr>
                <w:lang w:val="en-CA"/>
              </w:rPr>
              <w:t>Lateral and downward movements</w:t>
            </w:r>
          </w:p>
        </w:tc>
        <w:tc>
          <w:tcPr>
            <w:tcW w:w="1180" w:type="pct"/>
          </w:tcPr>
          <w:p w14:paraId="413EF219" w14:textId="77777777" w:rsidR="007217CF" w:rsidRPr="00DE4115" w:rsidRDefault="007217CF" w:rsidP="00C45E04">
            <w:pPr>
              <w:pStyle w:val="TableTitle"/>
              <w:rPr>
                <w:lang w:val="en-CA"/>
              </w:rPr>
            </w:pPr>
            <w:r w:rsidRPr="00DE4115">
              <w:rPr>
                <w:lang w:val="en-CA"/>
              </w:rPr>
              <w:t>Appointments to the public service (includes casuals and students)</w:t>
            </w:r>
          </w:p>
        </w:tc>
        <w:tc>
          <w:tcPr>
            <w:tcW w:w="1058" w:type="pct"/>
          </w:tcPr>
          <w:p w14:paraId="26DA70B7" w14:textId="77777777" w:rsidR="007217CF" w:rsidRPr="00DE4115" w:rsidRDefault="007217CF" w:rsidP="00C45E04">
            <w:pPr>
              <w:pStyle w:val="TableTitle"/>
              <w:rPr>
                <w:lang w:val="en-CA"/>
              </w:rPr>
            </w:pPr>
            <w:r w:rsidRPr="00DE4115">
              <w:rPr>
                <w:lang w:val="en-CA"/>
              </w:rPr>
              <w:t>Acting appointments (excludes appointments of less than four months)</w:t>
            </w:r>
          </w:p>
        </w:tc>
        <w:tc>
          <w:tcPr>
            <w:tcW w:w="465" w:type="pct"/>
          </w:tcPr>
          <w:p w14:paraId="2522E8D6" w14:textId="77777777" w:rsidR="007217CF" w:rsidRPr="00DE4115" w:rsidRDefault="007217CF" w:rsidP="00C45E04">
            <w:pPr>
              <w:pStyle w:val="TableTitle"/>
              <w:rPr>
                <w:lang w:val="en-CA"/>
              </w:rPr>
            </w:pPr>
            <w:r w:rsidRPr="00DE4115">
              <w:rPr>
                <w:lang w:val="en-CA"/>
              </w:rPr>
              <w:t>Total</w:t>
            </w:r>
          </w:p>
        </w:tc>
      </w:tr>
      <w:tr w:rsidR="007217CF" w:rsidRPr="00C45E04" w14:paraId="29A004A1" w14:textId="77777777" w:rsidTr="006433E3">
        <w:trPr>
          <w:cantSplit/>
          <w:tblHeader/>
          <w:jc w:val="center"/>
        </w:trPr>
        <w:tc>
          <w:tcPr>
            <w:tcW w:w="779" w:type="pct"/>
          </w:tcPr>
          <w:p w14:paraId="25CE08F0"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 xml:space="preserve">2014 to 2015 </w:t>
            </w:r>
          </w:p>
        </w:tc>
        <w:tc>
          <w:tcPr>
            <w:tcW w:w="660" w:type="pct"/>
          </w:tcPr>
          <w:p w14:paraId="6C39B6B4"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5</w:t>
            </w:r>
          </w:p>
        </w:tc>
        <w:tc>
          <w:tcPr>
            <w:tcW w:w="858" w:type="pct"/>
          </w:tcPr>
          <w:p w14:paraId="7D22F738"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13</w:t>
            </w:r>
          </w:p>
        </w:tc>
        <w:tc>
          <w:tcPr>
            <w:tcW w:w="1180" w:type="pct"/>
          </w:tcPr>
          <w:p w14:paraId="41732BD6"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17</w:t>
            </w:r>
          </w:p>
        </w:tc>
        <w:tc>
          <w:tcPr>
            <w:tcW w:w="1058" w:type="pct"/>
          </w:tcPr>
          <w:p w14:paraId="7A657A65"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6</w:t>
            </w:r>
          </w:p>
        </w:tc>
        <w:tc>
          <w:tcPr>
            <w:tcW w:w="465" w:type="pct"/>
          </w:tcPr>
          <w:p w14:paraId="221563BD"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41</w:t>
            </w:r>
          </w:p>
        </w:tc>
      </w:tr>
      <w:tr w:rsidR="007217CF" w:rsidRPr="00C45E04" w14:paraId="286E21F5" w14:textId="77777777" w:rsidTr="006433E3">
        <w:trPr>
          <w:cantSplit/>
          <w:tblHeader/>
          <w:jc w:val="center"/>
        </w:trPr>
        <w:tc>
          <w:tcPr>
            <w:tcW w:w="779" w:type="pct"/>
          </w:tcPr>
          <w:p w14:paraId="7ADE6C73"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2015 to 2016</w:t>
            </w:r>
          </w:p>
        </w:tc>
        <w:tc>
          <w:tcPr>
            <w:tcW w:w="660" w:type="pct"/>
          </w:tcPr>
          <w:p w14:paraId="41F3816C"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8</w:t>
            </w:r>
          </w:p>
        </w:tc>
        <w:tc>
          <w:tcPr>
            <w:tcW w:w="858" w:type="pct"/>
          </w:tcPr>
          <w:p w14:paraId="35B8D9A3"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14</w:t>
            </w:r>
          </w:p>
        </w:tc>
        <w:tc>
          <w:tcPr>
            <w:tcW w:w="1180" w:type="pct"/>
          </w:tcPr>
          <w:p w14:paraId="0F820E0C"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27</w:t>
            </w:r>
          </w:p>
        </w:tc>
        <w:tc>
          <w:tcPr>
            <w:tcW w:w="1058" w:type="pct"/>
          </w:tcPr>
          <w:p w14:paraId="0B618EF2"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7</w:t>
            </w:r>
          </w:p>
        </w:tc>
        <w:tc>
          <w:tcPr>
            <w:tcW w:w="465" w:type="pct"/>
          </w:tcPr>
          <w:p w14:paraId="38B59050"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56</w:t>
            </w:r>
          </w:p>
        </w:tc>
      </w:tr>
      <w:tr w:rsidR="007217CF" w:rsidRPr="00C45E04" w14:paraId="7FE10EDC" w14:textId="77777777" w:rsidTr="006433E3">
        <w:trPr>
          <w:cantSplit/>
          <w:tblHeader/>
          <w:jc w:val="center"/>
        </w:trPr>
        <w:tc>
          <w:tcPr>
            <w:tcW w:w="779" w:type="pct"/>
          </w:tcPr>
          <w:p w14:paraId="24198621"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 xml:space="preserve">2016 to 2017 </w:t>
            </w:r>
          </w:p>
        </w:tc>
        <w:tc>
          <w:tcPr>
            <w:tcW w:w="660" w:type="pct"/>
          </w:tcPr>
          <w:p w14:paraId="023B5677"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10</w:t>
            </w:r>
          </w:p>
        </w:tc>
        <w:tc>
          <w:tcPr>
            <w:tcW w:w="858" w:type="pct"/>
          </w:tcPr>
          <w:p w14:paraId="3970C8BB"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12</w:t>
            </w:r>
          </w:p>
        </w:tc>
        <w:tc>
          <w:tcPr>
            <w:tcW w:w="1180" w:type="pct"/>
          </w:tcPr>
          <w:p w14:paraId="36D17BF0"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39</w:t>
            </w:r>
          </w:p>
        </w:tc>
        <w:tc>
          <w:tcPr>
            <w:tcW w:w="1058" w:type="pct"/>
          </w:tcPr>
          <w:p w14:paraId="1D8C740A"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4</w:t>
            </w:r>
          </w:p>
        </w:tc>
        <w:tc>
          <w:tcPr>
            <w:tcW w:w="465" w:type="pct"/>
          </w:tcPr>
          <w:p w14:paraId="304C72E9"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65</w:t>
            </w:r>
          </w:p>
        </w:tc>
      </w:tr>
      <w:tr w:rsidR="007217CF" w:rsidRPr="00C45E04" w14:paraId="1617DF2E" w14:textId="77777777" w:rsidTr="006433E3">
        <w:trPr>
          <w:cantSplit/>
          <w:tblHeader/>
          <w:jc w:val="center"/>
        </w:trPr>
        <w:tc>
          <w:tcPr>
            <w:tcW w:w="779" w:type="pct"/>
          </w:tcPr>
          <w:p w14:paraId="7804134B"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2017 to 2018</w:t>
            </w:r>
          </w:p>
        </w:tc>
        <w:tc>
          <w:tcPr>
            <w:tcW w:w="660" w:type="pct"/>
          </w:tcPr>
          <w:p w14:paraId="4F650A5F"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11</w:t>
            </w:r>
          </w:p>
        </w:tc>
        <w:tc>
          <w:tcPr>
            <w:tcW w:w="858" w:type="pct"/>
          </w:tcPr>
          <w:p w14:paraId="724BCE87"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18</w:t>
            </w:r>
          </w:p>
        </w:tc>
        <w:tc>
          <w:tcPr>
            <w:tcW w:w="1180" w:type="pct"/>
          </w:tcPr>
          <w:p w14:paraId="613F0016"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64</w:t>
            </w:r>
          </w:p>
        </w:tc>
        <w:tc>
          <w:tcPr>
            <w:tcW w:w="1058" w:type="pct"/>
          </w:tcPr>
          <w:p w14:paraId="48F32D53"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5</w:t>
            </w:r>
          </w:p>
        </w:tc>
        <w:tc>
          <w:tcPr>
            <w:tcW w:w="465" w:type="pct"/>
          </w:tcPr>
          <w:p w14:paraId="341EA11F"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98</w:t>
            </w:r>
          </w:p>
        </w:tc>
      </w:tr>
      <w:tr w:rsidR="007217CF" w:rsidRPr="00C45E04" w14:paraId="1A112539" w14:textId="77777777" w:rsidTr="006433E3">
        <w:trPr>
          <w:cantSplit/>
          <w:tblHeader/>
          <w:jc w:val="center"/>
        </w:trPr>
        <w:tc>
          <w:tcPr>
            <w:tcW w:w="779" w:type="pct"/>
          </w:tcPr>
          <w:p w14:paraId="2CD9B50A" w14:textId="77777777" w:rsidR="007217CF" w:rsidRPr="00C45E04" w:rsidRDefault="007217CF" w:rsidP="00D22DAD">
            <w:pPr>
              <w:autoSpaceDE w:val="0"/>
              <w:autoSpaceDN w:val="0"/>
              <w:adjustRightInd w:val="0"/>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2018 to 2019</w:t>
            </w:r>
          </w:p>
        </w:tc>
        <w:tc>
          <w:tcPr>
            <w:tcW w:w="660" w:type="pct"/>
          </w:tcPr>
          <w:p w14:paraId="3703057E"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25</w:t>
            </w:r>
          </w:p>
        </w:tc>
        <w:tc>
          <w:tcPr>
            <w:tcW w:w="858" w:type="pct"/>
          </w:tcPr>
          <w:p w14:paraId="09F689D8"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40</w:t>
            </w:r>
          </w:p>
        </w:tc>
        <w:tc>
          <w:tcPr>
            <w:tcW w:w="1180" w:type="pct"/>
          </w:tcPr>
          <w:p w14:paraId="5212D97E"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134</w:t>
            </w:r>
          </w:p>
        </w:tc>
        <w:tc>
          <w:tcPr>
            <w:tcW w:w="1058" w:type="pct"/>
          </w:tcPr>
          <w:p w14:paraId="382E8F31"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6</w:t>
            </w:r>
          </w:p>
        </w:tc>
        <w:tc>
          <w:tcPr>
            <w:tcW w:w="465" w:type="pct"/>
          </w:tcPr>
          <w:p w14:paraId="6D380B29" w14:textId="77777777" w:rsidR="007217CF" w:rsidRPr="00C45E04" w:rsidRDefault="007217CF" w:rsidP="00D22DAD">
            <w:pPr>
              <w:autoSpaceDE w:val="0"/>
              <w:autoSpaceDN w:val="0"/>
              <w:adjustRightInd w:val="0"/>
              <w:jc w:val="center"/>
              <w:rPr>
                <w:rFonts w:asciiTheme="minorHAnsi" w:hAnsiTheme="minorHAnsi" w:cstheme="minorHAnsi"/>
                <w:color w:val="000000"/>
                <w:sz w:val="22"/>
                <w:szCs w:val="24"/>
                <w:lang w:val="en-CA"/>
              </w:rPr>
            </w:pPr>
            <w:r w:rsidRPr="00C45E04">
              <w:rPr>
                <w:rFonts w:asciiTheme="minorHAnsi" w:hAnsiTheme="minorHAnsi" w:cstheme="minorHAnsi"/>
                <w:color w:val="000000"/>
                <w:sz w:val="22"/>
                <w:szCs w:val="24"/>
                <w:lang w:val="en-CA"/>
              </w:rPr>
              <w:t>205</w:t>
            </w:r>
          </w:p>
        </w:tc>
      </w:tr>
    </w:tbl>
    <w:p w14:paraId="1ECDC2F7" w14:textId="77777777" w:rsidR="007217CF" w:rsidRDefault="007217CF" w:rsidP="00E01E51">
      <w:pPr>
        <w:rPr>
          <w:lang w:val="en-CA"/>
        </w:rPr>
      </w:pPr>
    </w:p>
    <w:p w14:paraId="56BD4D9A" w14:textId="77777777" w:rsidR="007217CF" w:rsidRDefault="007217CF" w:rsidP="00E01E51">
      <w:pPr>
        <w:rPr>
          <w:lang w:val="en-CA"/>
        </w:rPr>
        <w:sectPr w:rsidR="007217CF" w:rsidSect="007E486E">
          <w:pgSz w:w="15840" w:h="12240" w:orient="landscape"/>
          <w:pgMar w:top="720" w:right="720" w:bottom="720" w:left="720" w:header="283" w:footer="170" w:gutter="0"/>
          <w:cols w:space="708"/>
          <w:titlePg/>
          <w:docGrid w:linePitch="360"/>
        </w:sectPr>
      </w:pPr>
    </w:p>
    <w:p w14:paraId="3756FEE9" w14:textId="0718BF9C" w:rsidR="00C45E04" w:rsidRDefault="00C45E04" w:rsidP="00BD1696">
      <w:pPr>
        <w:pStyle w:val="Heading1"/>
        <w:spacing w:before="120" w:after="120"/>
        <w:rPr>
          <w:rFonts w:eastAsia="Times New Roman"/>
          <w:sz w:val="40"/>
          <w:lang w:val="en-CA"/>
        </w:rPr>
      </w:pPr>
      <w:r w:rsidRPr="00C45E04">
        <w:rPr>
          <w:rFonts w:eastAsia="Times New Roman"/>
          <w:sz w:val="40"/>
          <w:lang w:val="en-CA"/>
        </w:rPr>
        <w:lastRenderedPageBreak/>
        <w:t>Staffing by tenure</w:t>
      </w:r>
    </w:p>
    <w:p w14:paraId="1F7E150D" w14:textId="1D07DCA0" w:rsidR="00BD1696" w:rsidRPr="00646FDA" w:rsidRDefault="00646FDA" w:rsidP="00646FDA">
      <w:pPr>
        <w:jc w:val="center"/>
        <w:rPr>
          <w:lang w:val="en-CA"/>
        </w:rPr>
      </w:pPr>
      <w:r>
        <w:rPr>
          <w:noProof/>
          <w:lang w:val="en-CA" w:eastAsia="en-CA"/>
        </w:rPr>
        <w:drawing>
          <wp:inline distT="0" distB="0" distL="0" distR="0" wp14:anchorId="7A090E1D" wp14:editId="27B663DC">
            <wp:extent cx="5648400" cy="3049200"/>
            <wp:effectExtent l="0" t="0" r="9525" b="18415"/>
            <wp:docPr id="11" name="Chart 3" descr="Staffing by tenure&#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FA567C" w14:textId="77777777" w:rsidR="007217CF" w:rsidRPr="00BD1696" w:rsidRDefault="00BD1696" w:rsidP="00BD1696">
      <w:pPr>
        <w:pStyle w:val="Caption"/>
        <w:spacing w:after="0"/>
        <w:jc w:val="center"/>
        <w:rPr>
          <w:rFonts w:asciiTheme="minorHAnsi" w:hAnsiTheme="minorHAnsi" w:cstheme="minorHAnsi"/>
          <w:i w:val="0"/>
          <w:color w:val="auto"/>
          <w:lang w:val="en-CA"/>
        </w:rPr>
      </w:pPr>
      <w:r w:rsidRPr="00BD1696">
        <w:rPr>
          <w:rFonts w:asciiTheme="minorHAnsi" w:hAnsiTheme="minorHAnsi" w:cstheme="minorHAnsi"/>
          <w:i w:val="0"/>
          <w:color w:val="auto"/>
        </w:rPr>
        <w:t xml:space="preserve">Figure </w:t>
      </w:r>
      <w:r w:rsidRPr="00BD1696">
        <w:rPr>
          <w:rFonts w:asciiTheme="minorHAnsi" w:hAnsiTheme="minorHAnsi" w:cstheme="minorHAnsi"/>
          <w:i w:val="0"/>
          <w:color w:val="auto"/>
        </w:rPr>
        <w:fldChar w:fldCharType="begin"/>
      </w:r>
      <w:r w:rsidRPr="00BD1696">
        <w:rPr>
          <w:rFonts w:asciiTheme="minorHAnsi" w:hAnsiTheme="minorHAnsi" w:cstheme="minorHAnsi"/>
          <w:i w:val="0"/>
          <w:color w:val="auto"/>
        </w:rPr>
        <w:instrText xml:space="preserve"> SEQ Figure \* ARABIC </w:instrText>
      </w:r>
      <w:r w:rsidRPr="00BD1696">
        <w:rPr>
          <w:rFonts w:asciiTheme="minorHAnsi" w:hAnsiTheme="minorHAnsi" w:cstheme="minorHAnsi"/>
          <w:i w:val="0"/>
          <w:color w:val="auto"/>
        </w:rPr>
        <w:fldChar w:fldCharType="separate"/>
      </w:r>
      <w:r w:rsidR="004F3406">
        <w:rPr>
          <w:rFonts w:asciiTheme="minorHAnsi" w:hAnsiTheme="minorHAnsi" w:cstheme="minorHAnsi"/>
          <w:i w:val="0"/>
          <w:noProof/>
          <w:color w:val="auto"/>
        </w:rPr>
        <w:t>9</w:t>
      </w:r>
      <w:r w:rsidRPr="00BD1696">
        <w:rPr>
          <w:rFonts w:asciiTheme="minorHAnsi" w:hAnsiTheme="minorHAnsi" w:cstheme="minorHAnsi"/>
          <w:i w:val="0"/>
          <w:color w:val="auto"/>
        </w:rPr>
        <w:fldChar w:fldCharType="end"/>
      </w:r>
      <w:r w:rsidRPr="00BD1696">
        <w:rPr>
          <w:rFonts w:asciiTheme="minorHAnsi" w:hAnsiTheme="minorHAnsi" w:cstheme="minorHAnsi"/>
          <w:i w:val="0"/>
          <w:color w:val="auto"/>
        </w:rPr>
        <w:t xml:space="preserve"> - Staffing by tenure</w:t>
      </w:r>
    </w:p>
    <w:p w14:paraId="18D4A6D2" w14:textId="77777777" w:rsidR="00BD1696" w:rsidRPr="00BD1696" w:rsidRDefault="00BD1696" w:rsidP="00BD1696">
      <w:pPr>
        <w:pStyle w:val="Caption"/>
        <w:keepNext/>
        <w:spacing w:before="240" w:after="0"/>
        <w:jc w:val="center"/>
        <w:rPr>
          <w:rFonts w:asciiTheme="minorHAnsi" w:hAnsiTheme="minorHAnsi" w:cstheme="minorHAnsi"/>
          <w:i w:val="0"/>
          <w:color w:val="auto"/>
        </w:rPr>
      </w:pPr>
      <w:r w:rsidRPr="00BD1696">
        <w:rPr>
          <w:rFonts w:asciiTheme="minorHAnsi" w:hAnsiTheme="minorHAnsi" w:cstheme="minorHAnsi"/>
          <w:i w:val="0"/>
          <w:color w:val="auto"/>
        </w:rPr>
        <w:t xml:space="preserve">Table </w:t>
      </w:r>
      <w:r w:rsidRPr="00BD1696">
        <w:rPr>
          <w:rFonts w:asciiTheme="minorHAnsi" w:hAnsiTheme="minorHAnsi" w:cstheme="minorHAnsi"/>
          <w:i w:val="0"/>
          <w:color w:val="auto"/>
        </w:rPr>
        <w:fldChar w:fldCharType="begin"/>
      </w:r>
      <w:r w:rsidRPr="00BD1696">
        <w:rPr>
          <w:rFonts w:asciiTheme="minorHAnsi" w:hAnsiTheme="minorHAnsi" w:cstheme="minorHAnsi"/>
          <w:i w:val="0"/>
          <w:color w:val="auto"/>
        </w:rPr>
        <w:instrText xml:space="preserve"> SEQ Table \* ARABIC </w:instrText>
      </w:r>
      <w:r w:rsidRPr="00BD1696">
        <w:rPr>
          <w:rFonts w:asciiTheme="minorHAnsi" w:hAnsiTheme="minorHAnsi" w:cstheme="minorHAnsi"/>
          <w:i w:val="0"/>
          <w:color w:val="auto"/>
        </w:rPr>
        <w:fldChar w:fldCharType="separate"/>
      </w:r>
      <w:r w:rsidR="00D22DAD">
        <w:rPr>
          <w:rFonts w:asciiTheme="minorHAnsi" w:hAnsiTheme="minorHAnsi" w:cstheme="minorHAnsi"/>
          <w:i w:val="0"/>
          <w:noProof/>
          <w:color w:val="auto"/>
        </w:rPr>
        <w:t>10</w:t>
      </w:r>
      <w:r w:rsidRPr="00BD1696">
        <w:rPr>
          <w:rFonts w:asciiTheme="minorHAnsi" w:hAnsiTheme="minorHAnsi" w:cstheme="minorHAnsi"/>
          <w:i w:val="0"/>
          <w:color w:val="auto"/>
        </w:rPr>
        <w:fldChar w:fldCharType="end"/>
      </w:r>
      <w:r w:rsidRPr="00BD1696">
        <w:rPr>
          <w:rFonts w:asciiTheme="minorHAnsi" w:hAnsiTheme="minorHAnsi" w:cstheme="minorHAnsi"/>
          <w:i w:val="0"/>
          <w:color w:val="auto"/>
        </w:rPr>
        <w:t xml:space="preserve"> - Staffing activities by tenure and fiscal year</w:t>
      </w:r>
    </w:p>
    <w:tbl>
      <w:tblPr>
        <w:tblStyle w:val="TableGrid"/>
        <w:tblW w:w="5000" w:type="pct"/>
        <w:jc w:val="center"/>
        <w:tblLook w:val="0020" w:firstRow="1" w:lastRow="0" w:firstColumn="0" w:lastColumn="0" w:noHBand="0" w:noVBand="0"/>
        <w:tblDescription w:val="Staffing by tenure from 2014 to 2019"/>
      </w:tblPr>
      <w:tblGrid>
        <w:gridCol w:w="1555"/>
        <w:gridCol w:w="2695"/>
        <w:gridCol w:w="2412"/>
        <w:gridCol w:w="2973"/>
        <w:gridCol w:w="2694"/>
        <w:gridCol w:w="2061"/>
      </w:tblGrid>
      <w:tr w:rsidR="00BD1696" w:rsidRPr="00DE4115" w14:paraId="1146B242" w14:textId="77777777" w:rsidTr="006433E3">
        <w:trPr>
          <w:cantSplit/>
          <w:tblHeader/>
          <w:jc w:val="center"/>
        </w:trPr>
        <w:tc>
          <w:tcPr>
            <w:tcW w:w="540" w:type="pct"/>
          </w:tcPr>
          <w:p w14:paraId="31107C9D" w14:textId="77777777" w:rsidR="007217CF" w:rsidRPr="00DE4115" w:rsidRDefault="007217CF" w:rsidP="00BD1696">
            <w:pPr>
              <w:pStyle w:val="TableTitle"/>
              <w:rPr>
                <w:lang w:val="en-CA"/>
              </w:rPr>
            </w:pPr>
            <w:r w:rsidRPr="00DE4115">
              <w:rPr>
                <w:lang w:val="en-CA"/>
              </w:rPr>
              <w:t>Fiscal year</w:t>
            </w:r>
          </w:p>
        </w:tc>
        <w:tc>
          <w:tcPr>
            <w:tcW w:w="936" w:type="pct"/>
          </w:tcPr>
          <w:p w14:paraId="608960F5" w14:textId="77777777" w:rsidR="007217CF" w:rsidRPr="00DE4115" w:rsidRDefault="007217CF" w:rsidP="00BD1696">
            <w:pPr>
              <w:pStyle w:val="TableTitle"/>
              <w:rPr>
                <w:lang w:val="en-CA"/>
              </w:rPr>
            </w:pPr>
            <w:r w:rsidRPr="00DE4115">
              <w:rPr>
                <w:lang w:val="en-CA"/>
              </w:rPr>
              <w:t>Staffing activities for indeterminate positions</w:t>
            </w:r>
          </w:p>
        </w:tc>
        <w:tc>
          <w:tcPr>
            <w:tcW w:w="838" w:type="pct"/>
          </w:tcPr>
          <w:p w14:paraId="1159939D" w14:textId="77777777" w:rsidR="007217CF" w:rsidRPr="00DE4115" w:rsidRDefault="007217CF" w:rsidP="00BD1696">
            <w:pPr>
              <w:pStyle w:val="TableTitle"/>
              <w:rPr>
                <w:lang w:val="en-CA"/>
              </w:rPr>
            </w:pPr>
            <w:r w:rsidRPr="00DE4115">
              <w:rPr>
                <w:lang w:val="en-CA"/>
              </w:rPr>
              <w:t>Staffing activities for term positions</w:t>
            </w:r>
          </w:p>
        </w:tc>
        <w:tc>
          <w:tcPr>
            <w:tcW w:w="1033" w:type="pct"/>
          </w:tcPr>
          <w:p w14:paraId="3480A422" w14:textId="77777777" w:rsidR="007217CF" w:rsidRPr="00DE4115" w:rsidRDefault="007217CF" w:rsidP="00BD1696">
            <w:pPr>
              <w:pStyle w:val="TableTitle"/>
              <w:rPr>
                <w:lang w:val="en-CA"/>
              </w:rPr>
            </w:pPr>
            <w:r w:rsidRPr="00DE4115">
              <w:rPr>
                <w:lang w:val="en-CA"/>
              </w:rPr>
              <w:t>Term staffing activities for casual employment</w:t>
            </w:r>
          </w:p>
        </w:tc>
        <w:tc>
          <w:tcPr>
            <w:tcW w:w="936" w:type="pct"/>
          </w:tcPr>
          <w:p w14:paraId="46258BBC" w14:textId="77777777" w:rsidR="007217CF" w:rsidRPr="00DE4115" w:rsidRDefault="007217CF" w:rsidP="00BD1696">
            <w:pPr>
              <w:pStyle w:val="TableTitle"/>
              <w:rPr>
                <w:lang w:val="en-CA"/>
              </w:rPr>
            </w:pPr>
            <w:r w:rsidRPr="00DE4115">
              <w:rPr>
                <w:lang w:val="en-CA"/>
              </w:rPr>
              <w:t>Staffing activities for student employment</w:t>
            </w:r>
            <w:r w:rsidRPr="00DE4115">
              <w:rPr>
                <w:lang w:val="en-CA"/>
              </w:rPr>
              <w:tab/>
            </w:r>
          </w:p>
        </w:tc>
        <w:tc>
          <w:tcPr>
            <w:tcW w:w="716" w:type="pct"/>
          </w:tcPr>
          <w:p w14:paraId="296E8DE7" w14:textId="77777777" w:rsidR="007217CF" w:rsidRPr="00DE4115" w:rsidRDefault="007217CF" w:rsidP="00BD1696">
            <w:pPr>
              <w:pStyle w:val="TableTitle"/>
              <w:rPr>
                <w:lang w:val="en-CA"/>
              </w:rPr>
            </w:pPr>
            <w:r w:rsidRPr="00DE4115">
              <w:rPr>
                <w:lang w:val="en-CA"/>
              </w:rPr>
              <w:t>Total staffing activities</w:t>
            </w:r>
          </w:p>
        </w:tc>
      </w:tr>
      <w:tr w:rsidR="00BD1696" w:rsidRPr="00BD1696" w14:paraId="53C877AC" w14:textId="77777777" w:rsidTr="006433E3">
        <w:trPr>
          <w:cantSplit/>
          <w:tblHeader/>
          <w:jc w:val="center"/>
        </w:trPr>
        <w:tc>
          <w:tcPr>
            <w:tcW w:w="540" w:type="pct"/>
          </w:tcPr>
          <w:p w14:paraId="6031518F" w14:textId="77777777" w:rsidR="007217CF" w:rsidRPr="00BD1696" w:rsidRDefault="007217CF" w:rsidP="00D22DAD">
            <w:pPr>
              <w:autoSpaceDE w:val="0"/>
              <w:autoSpaceDN w:val="0"/>
              <w:adjustRightInd w:val="0"/>
              <w:rPr>
                <w:rFonts w:asciiTheme="minorHAnsi" w:hAnsiTheme="minorHAnsi" w:cstheme="minorHAnsi"/>
                <w:sz w:val="22"/>
                <w:szCs w:val="24"/>
                <w:lang w:val="en-CA"/>
              </w:rPr>
            </w:pPr>
            <w:r w:rsidRPr="00BD1696">
              <w:rPr>
                <w:rFonts w:asciiTheme="minorHAnsi" w:hAnsiTheme="minorHAnsi" w:cstheme="minorHAnsi"/>
                <w:sz w:val="22"/>
                <w:szCs w:val="24"/>
                <w:lang w:val="en-CA"/>
              </w:rPr>
              <w:t>2014 to 2015</w:t>
            </w:r>
          </w:p>
        </w:tc>
        <w:tc>
          <w:tcPr>
            <w:tcW w:w="936" w:type="pct"/>
          </w:tcPr>
          <w:p w14:paraId="5F12D501"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21</w:t>
            </w:r>
          </w:p>
        </w:tc>
        <w:tc>
          <w:tcPr>
            <w:tcW w:w="838" w:type="pct"/>
          </w:tcPr>
          <w:p w14:paraId="70828371"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9</w:t>
            </w:r>
          </w:p>
        </w:tc>
        <w:tc>
          <w:tcPr>
            <w:tcW w:w="1033" w:type="pct"/>
          </w:tcPr>
          <w:p w14:paraId="59F97E76"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11</w:t>
            </w:r>
          </w:p>
        </w:tc>
        <w:tc>
          <w:tcPr>
            <w:tcW w:w="936" w:type="pct"/>
          </w:tcPr>
          <w:p w14:paraId="53754ACF"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0</w:t>
            </w:r>
          </w:p>
        </w:tc>
        <w:tc>
          <w:tcPr>
            <w:tcW w:w="716" w:type="pct"/>
          </w:tcPr>
          <w:p w14:paraId="55C3CE26"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41</w:t>
            </w:r>
          </w:p>
        </w:tc>
      </w:tr>
      <w:tr w:rsidR="00BD1696" w:rsidRPr="00BD1696" w14:paraId="0302B26A" w14:textId="77777777" w:rsidTr="006433E3">
        <w:trPr>
          <w:cantSplit/>
          <w:tblHeader/>
          <w:jc w:val="center"/>
        </w:trPr>
        <w:tc>
          <w:tcPr>
            <w:tcW w:w="540" w:type="pct"/>
          </w:tcPr>
          <w:p w14:paraId="4CA3E297" w14:textId="77777777" w:rsidR="007217CF" w:rsidRPr="00BD1696" w:rsidRDefault="007217CF" w:rsidP="00D22DAD">
            <w:pPr>
              <w:autoSpaceDE w:val="0"/>
              <w:autoSpaceDN w:val="0"/>
              <w:adjustRightInd w:val="0"/>
              <w:rPr>
                <w:rFonts w:asciiTheme="minorHAnsi" w:hAnsiTheme="minorHAnsi" w:cstheme="minorHAnsi"/>
                <w:sz w:val="22"/>
                <w:szCs w:val="24"/>
                <w:lang w:val="en-CA"/>
              </w:rPr>
            </w:pPr>
            <w:r w:rsidRPr="00BD1696">
              <w:rPr>
                <w:rFonts w:asciiTheme="minorHAnsi" w:hAnsiTheme="minorHAnsi" w:cstheme="minorHAnsi"/>
                <w:sz w:val="22"/>
                <w:szCs w:val="24"/>
                <w:lang w:val="en-CA"/>
              </w:rPr>
              <w:t>2015 to 2016</w:t>
            </w:r>
          </w:p>
        </w:tc>
        <w:tc>
          <w:tcPr>
            <w:tcW w:w="936" w:type="pct"/>
          </w:tcPr>
          <w:p w14:paraId="4638A448"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27</w:t>
            </w:r>
          </w:p>
        </w:tc>
        <w:tc>
          <w:tcPr>
            <w:tcW w:w="838" w:type="pct"/>
          </w:tcPr>
          <w:p w14:paraId="06032771"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10</w:t>
            </w:r>
          </w:p>
        </w:tc>
        <w:tc>
          <w:tcPr>
            <w:tcW w:w="1033" w:type="pct"/>
          </w:tcPr>
          <w:p w14:paraId="420CBFE4"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13</w:t>
            </w:r>
          </w:p>
        </w:tc>
        <w:tc>
          <w:tcPr>
            <w:tcW w:w="936" w:type="pct"/>
          </w:tcPr>
          <w:p w14:paraId="7E2A5D40"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6</w:t>
            </w:r>
          </w:p>
        </w:tc>
        <w:tc>
          <w:tcPr>
            <w:tcW w:w="716" w:type="pct"/>
          </w:tcPr>
          <w:p w14:paraId="3A484EC5"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56</w:t>
            </w:r>
          </w:p>
        </w:tc>
      </w:tr>
      <w:tr w:rsidR="00BD1696" w:rsidRPr="00BD1696" w14:paraId="0393684C" w14:textId="77777777" w:rsidTr="006433E3">
        <w:trPr>
          <w:cantSplit/>
          <w:tblHeader/>
          <w:jc w:val="center"/>
        </w:trPr>
        <w:tc>
          <w:tcPr>
            <w:tcW w:w="540" w:type="pct"/>
          </w:tcPr>
          <w:p w14:paraId="19832DA1" w14:textId="77777777" w:rsidR="007217CF" w:rsidRPr="00BD1696" w:rsidRDefault="007217CF" w:rsidP="00D22DAD">
            <w:pPr>
              <w:autoSpaceDE w:val="0"/>
              <w:autoSpaceDN w:val="0"/>
              <w:adjustRightInd w:val="0"/>
              <w:rPr>
                <w:rFonts w:asciiTheme="minorHAnsi" w:hAnsiTheme="minorHAnsi" w:cstheme="minorHAnsi"/>
                <w:sz w:val="22"/>
                <w:szCs w:val="24"/>
                <w:lang w:val="en-CA"/>
              </w:rPr>
            </w:pPr>
            <w:r w:rsidRPr="00BD1696">
              <w:rPr>
                <w:rFonts w:asciiTheme="minorHAnsi" w:hAnsiTheme="minorHAnsi" w:cstheme="minorHAnsi"/>
                <w:sz w:val="22"/>
                <w:szCs w:val="24"/>
                <w:lang w:val="en-CA"/>
              </w:rPr>
              <w:t>2016 to 2017</w:t>
            </w:r>
          </w:p>
        </w:tc>
        <w:tc>
          <w:tcPr>
            <w:tcW w:w="936" w:type="pct"/>
          </w:tcPr>
          <w:p w14:paraId="587A37E8"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29</w:t>
            </w:r>
          </w:p>
        </w:tc>
        <w:tc>
          <w:tcPr>
            <w:tcW w:w="838" w:type="pct"/>
          </w:tcPr>
          <w:p w14:paraId="63BF9586"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6</w:t>
            </w:r>
          </w:p>
        </w:tc>
        <w:tc>
          <w:tcPr>
            <w:tcW w:w="1033" w:type="pct"/>
          </w:tcPr>
          <w:p w14:paraId="47D81224"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21</w:t>
            </w:r>
          </w:p>
        </w:tc>
        <w:tc>
          <w:tcPr>
            <w:tcW w:w="936" w:type="pct"/>
          </w:tcPr>
          <w:p w14:paraId="473CCE76"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9</w:t>
            </w:r>
          </w:p>
        </w:tc>
        <w:tc>
          <w:tcPr>
            <w:tcW w:w="716" w:type="pct"/>
          </w:tcPr>
          <w:p w14:paraId="02C9677A"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65</w:t>
            </w:r>
          </w:p>
        </w:tc>
      </w:tr>
      <w:tr w:rsidR="00BD1696" w:rsidRPr="00BD1696" w14:paraId="181615A0" w14:textId="77777777" w:rsidTr="006433E3">
        <w:trPr>
          <w:cantSplit/>
          <w:tblHeader/>
          <w:jc w:val="center"/>
        </w:trPr>
        <w:tc>
          <w:tcPr>
            <w:tcW w:w="540" w:type="pct"/>
          </w:tcPr>
          <w:p w14:paraId="4914EF32" w14:textId="77777777" w:rsidR="007217CF" w:rsidRPr="00BD1696" w:rsidRDefault="007217CF" w:rsidP="00D22DAD">
            <w:pPr>
              <w:autoSpaceDE w:val="0"/>
              <w:autoSpaceDN w:val="0"/>
              <w:adjustRightInd w:val="0"/>
              <w:rPr>
                <w:rFonts w:asciiTheme="minorHAnsi" w:hAnsiTheme="minorHAnsi" w:cstheme="minorHAnsi"/>
                <w:sz w:val="22"/>
                <w:szCs w:val="24"/>
                <w:lang w:val="en-CA"/>
              </w:rPr>
            </w:pPr>
            <w:r w:rsidRPr="00BD1696">
              <w:rPr>
                <w:rFonts w:asciiTheme="minorHAnsi" w:hAnsiTheme="minorHAnsi" w:cstheme="minorHAnsi"/>
                <w:sz w:val="22"/>
                <w:szCs w:val="24"/>
                <w:lang w:val="en-CA"/>
              </w:rPr>
              <w:t>2017 to 2018</w:t>
            </w:r>
          </w:p>
        </w:tc>
        <w:tc>
          <w:tcPr>
            <w:tcW w:w="936" w:type="pct"/>
          </w:tcPr>
          <w:p w14:paraId="43293BDA"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37</w:t>
            </w:r>
          </w:p>
        </w:tc>
        <w:tc>
          <w:tcPr>
            <w:tcW w:w="838" w:type="pct"/>
          </w:tcPr>
          <w:p w14:paraId="1FE9FDED"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6</w:t>
            </w:r>
          </w:p>
        </w:tc>
        <w:tc>
          <w:tcPr>
            <w:tcW w:w="1033" w:type="pct"/>
          </w:tcPr>
          <w:p w14:paraId="6EBF3DDE"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41</w:t>
            </w:r>
          </w:p>
        </w:tc>
        <w:tc>
          <w:tcPr>
            <w:tcW w:w="936" w:type="pct"/>
          </w:tcPr>
          <w:p w14:paraId="39B56682"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14</w:t>
            </w:r>
          </w:p>
        </w:tc>
        <w:tc>
          <w:tcPr>
            <w:tcW w:w="716" w:type="pct"/>
          </w:tcPr>
          <w:p w14:paraId="7F2A629D"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98</w:t>
            </w:r>
          </w:p>
        </w:tc>
      </w:tr>
      <w:tr w:rsidR="00BD1696" w:rsidRPr="00BD1696" w14:paraId="19050755" w14:textId="77777777" w:rsidTr="006433E3">
        <w:trPr>
          <w:cantSplit/>
          <w:tblHeader/>
          <w:jc w:val="center"/>
        </w:trPr>
        <w:tc>
          <w:tcPr>
            <w:tcW w:w="540" w:type="pct"/>
          </w:tcPr>
          <w:p w14:paraId="224866E1" w14:textId="77777777" w:rsidR="007217CF" w:rsidRPr="00BD1696" w:rsidRDefault="007217CF" w:rsidP="00D22DAD">
            <w:pPr>
              <w:autoSpaceDE w:val="0"/>
              <w:autoSpaceDN w:val="0"/>
              <w:adjustRightInd w:val="0"/>
              <w:rPr>
                <w:rFonts w:asciiTheme="minorHAnsi" w:hAnsiTheme="minorHAnsi" w:cstheme="minorHAnsi"/>
                <w:sz w:val="22"/>
                <w:szCs w:val="24"/>
                <w:lang w:val="en-CA"/>
              </w:rPr>
            </w:pPr>
            <w:r w:rsidRPr="00BD1696">
              <w:rPr>
                <w:rFonts w:asciiTheme="minorHAnsi" w:hAnsiTheme="minorHAnsi" w:cstheme="minorHAnsi"/>
                <w:sz w:val="22"/>
                <w:szCs w:val="24"/>
                <w:lang w:val="en-CA"/>
              </w:rPr>
              <w:t>2018 to 2019</w:t>
            </w:r>
          </w:p>
        </w:tc>
        <w:tc>
          <w:tcPr>
            <w:tcW w:w="936" w:type="pct"/>
          </w:tcPr>
          <w:p w14:paraId="4E9F91B7"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80</w:t>
            </w:r>
          </w:p>
        </w:tc>
        <w:tc>
          <w:tcPr>
            <w:tcW w:w="838" w:type="pct"/>
          </w:tcPr>
          <w:p w14:paraId="5AA5FA5D"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12</w:t>
            </w:r>
          </w:p>
        </w:tc>
        <w:tc>
          <w:tcPr>
            <w:tcW w:w="1033" w:type="pct"/>
          </w:tcPr>
          <w:p w14:paraId="2C82964E"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99</w:t>
            </w:r>
          </w:p>
        </w:tc>
        <w:tc>
          <w:tcPr>
            <w:tcW w:w="936" w:type="pct"/>
          </w:tcPr>
          <w:p w14:paraId="28CD03FB"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14</w:t>
            </w:r>
          </w:p>
        </w:tc>
        <w:tc>
          <w:tcPr>
            <w:tcW w:w="716" w:type="pct"/>
          </w:tcPr>
          <w:p w14:paraId="5C1E7F43" w14:textId="77777777" w:rsidR="007217CF" w:rsidRPr="00BD1696" w:rsidRDefault="007217CF" w:rsidP="00D22DAD">
            <w:pPr>
              <w:autoSpaceDE w:val="0"/>
              <w:autoSpaceDN w:val="0"/>
              <w:adjustRightInd w:val="0"/>
              <w:jc w:val="center"/>
              <w:rPr>
                <w:rFonts w:asciiTheme="minorHAnsi" w:hAnsiTheme="minorHAnsi" w:cstheme="minorHAnsi"/>
                <w:sz w:val="22"/>
                <w:szCs w:val="24"/>
                <w:lang w:val="en-CA"/>
              </w:rPr>
            </w:pPr>
            <w:r w:rsidRPr="00BD1696">
              <w:rPr>
                <w:rFonts w:asciiTheme="minorHAnsi" w:hAnsiTheme="minorHAnsi" w:cstheme="minorHAnsi"/>
                <w:sz w:val="22"/>
                <w:szCs w:val="24"/>
                <w:lang w:val="en-CA"/>
              </w:rPr>
              <w:t>205</w:t>
            </w:r>
          </w:p>
        </w:tc>
      </w:tr>
    </w:tbl>
    <w:p w14:paraId="70F7011F" w14:textId="77777777" w:rsidR="007217CF" w:rsidRPr="00BD1696" w:rsidRDefault="00BD1696" w:rsidP="00BD1696">
      <w:pPr>
        <w:spacing w:before="120"/>
        <w:rPr>
          <w:rStyle w:val="Strong"/>
        </w:rPr>
      </w:pPr>
      <w:r w:rsidRPr="00BD1696">
        <w:rPr>
          <w:rStyle w:val="Strong"/>
        </w:rPr>
        <w:t xml:space="preserve">Key findings - </w:t>
      </w:r>
      <w:r w:rsidR="007217CF" w:rsidRPr="00BD1696">
        <w:rPr>
          <w:rStyle w:val="Strong"/>
        </w:rPr>
        <w:t xml:space="preserve">Staffing and non-partisanship survey (2018) </w:t>
      </w:r>
    </w:p>
    <w:p w14:paraId="4EF2F9C6" w14:textId="77777777" w:rsidR="007217CF" w:rsidRPr="00BD1696" w:rsidRDefault="00BD1696" w:rsidP="00BD1696">
      <w:pPr>
        <w:pStyle w:val="ListParagraph"/>
        <w:numPr>
          <w:ilvl w:val="0"/>
          <w:numId w:val="28"/>
        </w:numPr>
        <w:rPr>
          <w:rFonts w:asciiTheme="minorHAnsi" w:hAnsiTheme="minorHAnsi" w:cstheme="minorHAnsi"/>
          <w:sz w:val="22"/>
          <w:lang w:val="en-CA"/>
        </w:rPr>
      </w:pPr>
      <w:r w:rsidRPr="00BD1696">
        <w:rPr>
          <w:rFonts w:asciiTheme="minorHAnsi" w:hAnsiTheme="minorHAnsi" w:cstheme="minorHAnsi"/>
          <w:sz w:val="22"/>
          <w:lang w:val="en-CA"/>
        </w:rPr>
        <w:t>65</w:t>
      </w:r>
      <w:r w:rsidR="007217CF" w:rsidRPr="00BD1696">
        <w:rPr>
          <w:rFonts w:asciiTheme="minorHAnsi" w:hAnsiTheme="minorHAnsi" w:cstheme="minorHAnsi"/>
          <w:sz w:val="22"/>
          <w:lang w:val="en-CA"/>
        </w:rPr>
        <w:t xml:space="preserve">.4% of </w:t>
      </w:r>
      <w:r w:rsidR="007217CF" w:rsidRPr="00BD1696">
        <w:rPr>
          <w:rStyle w:val="Strong"/>
          <w:lang w:val="en-CA"/>
        </w:rPr>
        <w:t>employees</w:t>
      </w:r>
      <w:r w:rsidR="007217CF" w:rsidRPr="00BD1696">
        <w:rPr>
          <w:rFonts w:asciiTheme="minorHAnsi" w:hAnsiTheme="minorHAnsi" w:cstheme="minorHAnsi"/>
          <w:sz w:val="22"/>
          <w:lang w:val="en-CA"/>
        </w:rPr>
        <w:t xml:space="preserve"> feel that people hired can do the job, compared with 67.1% in organizations of similar size, and 53.8% in the federal public service.</w:t>
      </w:r>
    </w:p>
    <w:p w14:paraId="5A64EFFA" w14:textId="77777777" w:rsidR="007217CF" w:rsidRPr="00BD1696" w:rsidRDefault="007217CF" w:rsidP="00BD1696">
      <w:pPr>
        <w:pStyle w:val="ListParagraph"/>
        <w:numPr>
          <w:ilvl w:val="0"/>
          <w:numId w:val="28"/>
        </w:numPr>
        <w:spacing w:before="100" w:beforeAutospacing="1" w:after="100" w:afterAutospacing="1"/>
        <w:jc w:val="both"/>
        <w:rPr>
          <w:rFonts w:asciiTheme="minorHAnsi" w:hAnsiTheme="minorHAnsi" w:cstheme="minorHAnsi"/>
          <w:sz w:val="22"/>
          <w:lang w:val="en-CA"/>
        </w:rPr>
      </w:pPr>
      <w:r w:rsidRPr="00BD1696">
        <w:rPr>
          <w:rFonts w:asciiTheme="minorHAnsi" w:hAnsiTheme="minorHAnsi" w:cstheme="minorHAnsi"/>
          <w:sz w:val="22"/>
          <w:lang w:val="en-CA"/>
        </w:rPr>
        <w:t xml:space="preserve">48.9% of </w:t>
      </w:r>
      <w:r w:rsidRPr="00BD1696">
        <w:rPr>
          <w:rStyle w:val="Strong"/>
        </w:rPr>
        <w:t>managers</w:t>
      </w:r>
      <w:r w:rsidRPr="00BD1696">
        <w:rPr>
          <w:rFonts w:asciiTheme="minorHAnsi" w:hAnsiTheme="minorHAnsi" w:cstheme="minorHAnsi"/>
          <w:sz w:val="22"/>
          <w:lang w:val="en-CA"/>
        </w:rPr>
        <w:t xml:space="preserve"> feel that the New Direction in Staffing has improved the way they hire and appoint persons within their organization, compared with 69.7% in organizations of similar size, and 56.1% in the federal public service.</w:t>
      </w:r>
    </w:p>
    <w:p w14:paraId="6D573BDC" w14:textId="77777777" w:rsidR="007217CF" w:rsidRPr="00BD1696" w:rsidRDefault="007217CF" w:rsidP="00BD1696">
      <w:pPr>
        <w:pStyle w:val="ListParagraph"/>
        <w:numPr>
          <w:ilvl w:val="0"/>
          <w:numId w:val="28"/>
        </w:numPr>
        <w:spacing w:before="100" w:beforeAutospacing="1" w:after="100" w:afterAutospacing="1"/>
        <w:jc w:val="both"/>
        <w:rPr>
          <w:rFonts w:asciiTheme="minorHAnsi" w:hAnsiTheme="minorHAnsi" w:cstheme="minorHAnsi"/>
          <w:sz w:val="22"/>
          <w:lang w:val="en-CA"/>
        </w:rPr>
      </w:pPr>
      <w:r w:rsidRPr="00BD1696">
        <w:rPr>
          <w:rFonts w:asciiTheme="minorHAnsi" w:hAnsiTheme="minorHAnsi" w:cstheme="minorHAnsi"/>
          <w:sz w:val="22"/>
          <w:lang w:val="en-CA"/>
        </w:rPr>
        <w:t xml:space="preserve">80.3% of </w:t>
      </w:r>
      <w:r w:rsidRPr="00BD1696">
        <w:rPr>
          <w:rStyle w:val="Strong"/>
        </w:rPr>
        <w:t>managers</w:t>
      </w:r>
      <w:r w:rsidRPr="00BD1696">
        <w:rPr>
          <w:rFonts w:asciiTheme="minorHAnsi" w:hAnsiTheme="minorHAnsi" w:cstheme="minorHAnsi"/>
          <w:sz w:val="22"/>
          <w:lang w:val="en-CA"/>
        </w:rPr>
        <w:t xml:space="preserve"> feel that within their organization, the administrative process to staff a position is </w:t>
      </w:r>
      <w:r w:rsidRPr="00BD1696">
        <w:rPr>
          <w:rStyle w:val="Strong"/>
        </w:rPr>
        <w:t>burdensome</w:t>
      </w:r>
      <w:r w:rsidRPr="00BD1696">
        <w:rPr>
          <w:rFonts w:asciiTheme="minorHAnsi" w:hAnsiTheme="minorHAnsi" w:cstheme="minorHAnsi"/>
          <w:sz w:val="22"/>
          <w:lang w:val="en-CA"/>
        </w:rPr>
        <w:t>, compared with 79.3% in organizations of similar size, and 87.9% in the federal public service.</w:t>
      </w:r>
    </w:p>
    <w:p w14:paraId="46A0524B" w14:textId="77777777" w:rsidR="007217CF" w:rsidRPr="00BD1696" w:rsidRDefault="007217CF" w:rsidP="00E01E51">
      <w:pPr>
        <w:rPr>
          <w:rFonts w:asciiTheme="minorHAnsi" w:hAnsiTheme="minorHAnsi" w:cstheme="minorHAnsi"/>
          <w:sz w:val="22"/>
          <w:lang w:val="en-CA"/>
        </w:rPr>
        <w:sectPr w:rsidR="007217CF" w:rsidRPr="00BD1696" w:rsidSect="007E486E">
          <w:pgSz w:w="15840" w:h="12240" w:orient="landscape"/>
          <w:pgMar w:top="720" w:right="720" w:bottom="720" w:left="720" w:header="283" w:footer="170" w:gutter="0"/>
          <w:cols w:space="708"/>
          <w:titlePg/>
          <w:docGrid w:linePitch="360"/>
        </w:sectPr>
      </w:pPr>
    </w:p>
    <w:p w14:paraId="0F81EC54" w14:textId="2AFFFD02" w:rsidR="00BD1696" w:rsidRDefault="00BD1696" w:rsidP="00BD1696">
      <w:pPr>
        <w:pStyle w:val="Heading1"/>
        <w:spacing w:before="120" w:after="120"/>
        <w:rPr>
          <w:rFonts w:eastAsia="Times New Roman"/>
          <w:sz w:val="40"/>
          <w:lang w:val="en-CA"/>
        </w:rPr>
      </w:pPr>
      <w:r w:rsidRPr="00BD1696">
        <w:rPr>
          <w:rFonts w:eastAsia="Times New Roman"/>
          <w:sz w:val="40"/>
          <w:lang w:val="en-CA"/>
        </w:rPr>
        <w:lastRenderedPageBreak/>
        <w:t>Student program hires</w:t>
      </w:r>
    </w:p>
    <w:p w14:paraId="20BBDAFA" w14:textId="77777777" w:rsidR="0039607A" w:rsidRDefault="0039607A" w:rsidP="0039607A">
      <w:pPr>
        <w:jc w:val="center"/>
        <w:rPr>
          <w:lang w:val="en-CA"/>
        </w:rPr>
      </w:pPr>
      <w:r>
        <w:rPr>
          <w:noProof/>
          <w:lang w:val="en-CA" w:eastAsia="en-CA"/>
        </w:rPr>
        <w:drawing>
          <wp:inline distT="0" distB="0" distL="0" distR="0" wp14:anchorId="0EB46A0F" wp14:editId="7B9577E5">
            <wp:extent cx="5648400" cy="3049200"/>
            <wp:effectExtent l="0" t="0" r="9525" b="18415"/>
            <wp:docPr id="20" name="Chart 17" descr="Student program hire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68CF73" w14:textId="6069DF19" w:rsidR="00E01E51" w:rsidRPr="0039607A" w:rsidRDefault="00BD1696" w:rsidP="0039607A">
      <w:pPr>
        <w:jc w:val="center"/>
        <w:rPr>
          <w:rFonts w:asciiTheme="minorHAnsi" w:hAnsiTheme="minorHAnsi" w:cstheme="minorHAnsi"/>
          <w:iCs/>
          <w:sz w:val="18"/>
          <w:szCs w:val="14"/>
          <w:lang w:val="en-CA"/>
        </w:rPr>
      </w:pPr>
      <w:r w:rsidRPr="0039607A">
        <w:rPr>
          <w:rFonts w:asciiTheme="minorHAnsi" w:hAnsiTheme="minorHAnsi" w:cstheme="minorHAnsi"/>
          <w:iCs/>
          <w:sz w:val="18"/>
          <w:szCs w:val="14"/>
        </w:rPr>
        <w:t xml:space="preserve">Figure </w:t>
      </w:r>
      <w:r w:rsidRPr="0039607A">
        <w:rPr>
          <w:rFonts w:asciiTheme="minorHAnsi" w:hAnsiTheme="minorHAnsi" w:cstheme="minorHAnsi"/>
          <w:iCs/>
          <w:sz w:val="18"/>
          <w:szCs w:val="14"/>
        </w:rPr>
        <w:fldChar w:fldCharType="begin"/>
      </w:r>
      <w:r w:rsidRPr="0039607A">
        <w:rPr>
          <w:rFonts w:asciiTheme="minorHAnsi" w:hAnsiTheme="minorHAnsi" w:cstheme="minorHAnsi"/>
          <w:iCs/>
          <w:sz w:val="18"/>
          <w:szCs w:val="14"/>
        </w:rPr>
        <w:instrText xml:space="preserve"> SEQ Figure \* ARABIC </w:instrText>
      </w:r>
      <w:r w:rsidRPr="0039607A">
        <w:rPr>
          <w:rFonts w:asciiTheme="minorHAnsi" w:hAnsiTheme="minorHAnsi" w:cstheme="minorHAnsi"/>
          <w:iCs/>
          <w:sz w:val="18"/>
          <w:szCs w:val="14"/>
        </w:rPr>
        <w:fldChar w:fldCharType="separate"/>
      </w:r>
      <w:r w:rsidR="004F3406" w:rsidRPr="0039607A">
        <w:rPr>
          <w:rFonts w:asciiTheme="minorHAnsi" w:hAnsiTheme="minorHAnsi" w:cstheme="minorHAnsi"/>
          <w:iCs/>
          <w:noProof/>
          <w:sz w:val="18"/>
          <w:szCs w:val="14"/>
        </w:rPr>
        <w:t>10</w:t>
      </w:r>
      <w:r w:rsidRPr="0039607A">
        <w:rPr>
          <w:rFonts w:asciiTheme="minorHAnsi" w:hAnsiTheme="minorHAnsi" w:cstheme="minorHAnsi"/>
          <w:iCs/>
          <w:sz w:val="18"/>
          <w:szCs w:val="14"/>
        </w:rPr>
        <w:fldChar w:fldCharType="end"/>
      </w:r>
      <w:r w:rsidRPr="0039607A">
        <w:rPr>
          <w:rFonts w:asciiTheme="minorHAnsi" w:hAnsiTheme="minorHAnsi" w:cstheme="minorHAnsi"/>
          <w:iCs/>
          <w:sz w:val="18"/>
          <w:szCs w:val="14"/>
        </w:rPr>
        <w:t xml:space="preserve"> - Student program hires</w:t>
      </w:r>
    </w:p>
    <w:p w14:paraId="2AEB1D02" w14:textId="77777777" w:rsidR="00BD1696" w:rsidRPr="00BD1696" w:rsidRDefault="00BD1696" w:rsidP="00BD1696">
      <w:pPr>
        <w:pStyle w:val="Caption"/>
        <w:keepNext/>
        <w:spacing w:before="240" w:after="0"/>
        <w:jc w:val="center"/>
        <w:rPr>
          <w:rFonts w:asciiTheme="minorHAnsi" w:hAnsiTheme="minorHAnsi" w:cstheme="minorHAnsi"/>
          <w:i w:val="0"/>
          <w:color w:val="auto"/>
        </w:rPr>
      </w:pPr>
      <w:r w:rsidRPr="00BD1696">
        <w:rPr>
          <w:rFonts w:asciiTheme="minorHAnsi" w:hAnsiTheme="minorHAnsi" w:cstheme="minorHAnsi"/>
          <w:i w:val="0"/>
          <w:color w:val="auto"/>
        </w:rPr>
        <w:t xml:space="preserve">Table </w:t>
      </w:r>
      <w:r w:rsidRPr="00BD1696">
        <w:rPr>
          <w:rFonts w:asciiTheme="minorHAnsi" w:hAnsiTheme="minorHAnsi" w:cstheme="minorHAnsi"/>
          <w:i w:val="0"/>
          <w:color w:val="auto"/>
        </w:rPr>
        <w:fldChar w:fldCharType="begin"/>
      </w:r>
      <w:r w:rsidRPr="00BD1696">
        <w:rPr>
          <w:rFonts w:asciiTheme="minorHAnsi" w:hAnsiTheme="minorHAnsi" w:cstheme="minorHAnsi"/>
          <w:i w:val="0"/>
          <w:color w:val="auto"/>
        </w:rPr>
        <w:instrText xml:space="preserve"> SEQ Table \* ARABIC </w:instrText>
      </w:r>
      <w:r w:rsidRPr="00BD1696">
        <w:rPr>
          <w:rFonts w:asciiTheme="minorHAnsi" w:hAnsiTheme="minorHAnsi" w:cstheme="minorHAnsi"/>
          <w:i w:val="0"/>
          <w:color w:val="auto"/>
        </w:rPr>
        <w:fldChar w:fldCharType="separate"/>
      </w:r>
      <w:r w:rsidR="00D22DAD">
        <w:rPr>
          <w:rFonts w:asciiTheme="minorHAnsi" w:hAnsiTheme="minorHAnsi" w:cstheme="minorHAnsi"/>
          <w:i w:val="0"/>
          <w:noProof/>
          <w:color w:val="auto"/>
        </w:rPr>
        <w:t>11</w:t>
      </w:r>
      <w:r w:rsidRPr="00BD1696">
        <w:rPr>
          <w:rFonts w:asciiTheme="minorHAnsi" w:hAnsiTheme="minorHAnsi" w:cstheme="minorHAnsi"/>
          <w:i w:val="0"/>
          <w:color w:val="auto"/>
        </w:rPr>
        <w:fldChar w:fldCharType="end"/>
      </w:r>
      <w:r w:rsidRPr="00BD1696">
        <w:rPr>
          <w:rFonts w:asciiTheme="minorHAnsi" w:hAnsiTheme="minorHAnsi" w:cstheme="minorHAnsi"/>
          <w:i w:val="0"/>
          <w:color w:val="auto"/>
        </w:rPr>
        <w:t xml:space="preserve"> - Student hiring activities by recruitment program and fiscal year</w:t>
      </w:r>
    </w:p>
    <w:tbl>
      <w:tblPr>
        <w:tblStyle w:val="TableGrid"/>
        <w:tblW w:w="5000" w:type="pct"/>
        <w:jc w:val="center"/>
        <w:tblLook w:val="0020" w:firstRow="1" w:lastRow="0" w:firstColumn="0" w:lastColumn="0" w:noHBand="0" w:noVBand="0"/>
        <w:tblDescription w:val="Student program hires from 2014 to 2019"/>
      </w:tblPr>
      <w:tblGrid>
        <w:gridCol w:w="1979"/>
        <w:gridCol w:w="3828"/>
        <w:gridCol w:w="4110"/>
        <w:gridCol w:w="3310"/>
        <w:gridCol w:w="1163"/>
      </w:tblGrid>
      <w:tr w:rsidR="00BD1696" w:rsidRPr="00DE4115" w14:paraId="58B6A5C8" w14:textId="77777777" w:rsidTr="006433E3">
        <w:trPr>
          <w:cantSplit/>
          <w:tblHeader/>
          <w:jc w:val="center"/>
        </w:trPr>
        <w:tc>
          <w:tcPr>
            <w:tcW w:w="688" w:type="pct"/>
          </w:tcPr>
          <w:p w14:paraId="18C4B257" w14:textId="77777777" w:rsidR="007217CF" w:rsidRPr="00DE4115" w:rsidRDefault="007217CF" w:rsidP="00BD1696">
            <w:pPr>
              <w:pStyle w:val="TableTitle"/>
              <w:rPr>
                <w:lang w:val="en-CA"/>
              </w:rPr>
            </w:pPr>
            <w:r w:rsidRPr="00DE4115">
              <w:rPr>
                <w:lang w:val="en-CA"/>
              </w:rPr>
              <w:t>Fiscal year</w:t>
            </w:r>
          </w:p>
        </w:tc>
        <w:tc>
          <w:tcPr>
            <w:tcW w:w="1330" w:type="pct"/>
          </w:tcPr>
          <w:p w14:paraId="4CFA7A90" w14:textId="77777777" w:rsidR="007217CF" w:rsidRPr="00DE4115" w:rsidRDefault="007217CF" w:rsidP="00BD1696">
            <w:pPr>
              <w:pStyle w:val="TableTitle"/>
              <w:rPr>
                <w:lang w:val="en-CA"/>
              </w:rPr>
            </w:pPr>
            <w:r w:rsidRPr="00DE4115">
              <w:rPr>
                <w:lang w:val="en-CA"/>
              </w:rPr>
              <w:t>Federal Student Work Experience Program</w:t>
            </w:r>
          </w:p>
        </w:tc>
        <w:tc>
          <w:tcPr>
            <w:tcW w:w="1428" w:type="pct"/>
          </w:tcPr>
          <w:p w14:paraId="403CC0AD" w14:textId="77777777" w:rsidR="007217CF" w:rsidRPr="00DE4115" w:rsidRDefault="007217CF" w:rsidP="00BD1696">
            <w:pPr>
              <w:pStyle w:val="TableTitle"/>
              <w:rPr>
                <w:lang w:val="en-CA"/>
              </w:rPr>
            </w:pPr>
            <w:r w:rsidRPr="00DE4115">
              <w:rPr>
                <w:lang w:val="en-CA"/>
              </w:rPr>
              <w:t>Post-Secondary CO-OP / Internship Program (CO-OP)</w:t>
            </w:r>
          </w:p>
        </w:tc>
        <w:tc>
          <w:tcPr>
            <w:tcW w:w="1150" w:type="pct"/>
          </w:tcPr>
          <w:p w14:paraId="75B888EE" w14:textId="77777777" w:rsidR="007217CF" w:rsidRPr="00DE4115" w:rsidRDefault="007217CF" w:rsidP="00BD1696">
            <w:pPr>
              <w:pStyle w:val="TableTitle"/>
              <w:rPr>
                <w:lang w:val="en-CA"/>
              </w:rPr>
            </w:pPr>
            <w:r w:rsidRPr="00DE4115">
              <w:rPr>
                <w:lang w:val="en-CA"/>
              </w:rPr>
              <w:t>Research Affiliate Program</w:t>
            </w:r>
          </w:p>
        </w:tc>
        <w:tc>
          <w:tcPr>
            <w:tcW w:w="404" w:type="pct"/>
          </w:tcPr>
          <w:p w14:paraId="436A1BBB" w14:textId="77777777" w:rsidR="007217CF" w:rsidRPr="00DE4115" w:rsidRDefault="007217CF" w:rsidP="00BD1696">
            <w:pPr>
              <w:pStyle w:val="TableTitle"/>
              <w:rPr>
                <w:lang w:val="en-CA"/>
              </w:rPr>
            </w:pPr>
            <w:r w:rsidRPr="00DE4115">
              <w:rPr>
                <w:lang w:val="en-CA"/>
              </w:rPr>
              <w:t>Total</w:t>
            </w:r>
          </w:p>
        </w:tc>
      </w:tr>
      <w:tr w:rsidR="007217CF" w:rsidRPr="00BD1696" w14:paraId="1861A125" w14:textId="77777777" w:rsidTr="006433E3">
        <w:trPr>
          <w:cantSplit/>
          <w:tblHeader/>
          <w:jc w:val="center"/>
        </w:trPr>
        <w:tc>
          <w:tcPr>
            <w:tcW w:w="688" w:type="pct"/>
          </w:tcPr>
          <w:p w14:paraId="7202C31E" w14:textId="77777777" w:rsidR="007217CF" w:rsidRPr="00BD1696" w:rsidRDefault="007217CF" w:rsidP="00D22DAD">
            <w:pPr>
              <w:autoSpaceDE w:val="0"/>
              <w:autoSpaceDN w:val="0"/>
              <w:adjustRightInd w:val="0"/>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2014 to 2015</w:t>
            </w:r>
          </w:p>
        </w:tc>
        <w:tc>
          <w:tcPr>
            <w:tcW w:w="1330" w:type="pct"/>
          </w:tcPr>
          <w:p w14:paraId="6F045174"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0</w:t>
            </w:r>
          </w:p>
        </w:tc>
        <w:tc>
          <w:tcPr>
            <w:tcW w:w="1428" w:type="pct"/>
          </w:tcPr>
          <w:p w14:paraId="13B5BD37"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0</w:t>
            </w:r>
          </w:p>
        </w:tc>
        <w:tc>
          <w:tcPr>
            <w:tcW w:w="1150" w:type="pct"/>
          </w:tcPr>
          <w:p w14:paraId="3E289403"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0</w:t>
            </w:r>
          </w:p>
        </w:tc>
        <w:tc>
          <w:tcPr>
            <w:tcW w:w="404" w:type="pct"/>
          </w:tcPr>
          <w:p w14:paraId="35C3174C"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0</w:t>
            </w:r>
          </w:p>
        </w:tc>
      </w:tr>
      <w:tr w:rsidR="007217CF" w:rsidRPr="00BD1696" w14:paraId="67F1277C" w14:textId="77777777" w:rsidTr="006433E3">
        <w:trPr>
          <w:cantSplit/>
          <w:tblHeader/>
          <w:jc w:val="center"/>
        </w:trPr>
        <w:tc>
          <w:tcPr>
            <w:tcW w:w="688" w:type="pct"/>
          </w:tcPr>
          <w:p w14:paraId="746FB672" w14:textId="77777777" w:rsidR="007217CF" w:rsidRPr="00BD1696" w:rsidRDefault="007217CF" w:rsidP="00D22DAD">
            <w:pPr>
              <w:autoSpaceDE w:val="0"/>
              <w:autoSpaceDN w:val="0"/>
              <w:adjustRightInd w:val="0"/>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2015 to 2016</w:t>
            </w:r>
          </w:p>
        </w:tc>
        <w:tc>
          <w:tcPr>
            <w:tcW w:w="1330" w:type="pct"/>
          </w:tcPr>
          <w:p w14:paraId="7CB7217B"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6</w:t>
            </w:r>
          </w:p>
        </w:tc>
        <w:tc>
          <w:tcPr>
            <w:tcW w:w="1428" w:type="pct"/>
          </w:tcPr>
          <w:p w14:paraId="188C6572"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0</w:t>
            </w:r>
          </w:p>
        </w:tc>
        <w:tc>
          <w:tcPr>
            <w:tcW w:w="1150" w:type="pct"/>
          </w:tcPr>
          <w:p w14:paraId="5D1C8055"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0</w:t>
            </w:r>
          </w:p>
        </w:tc>
        <w:tc>
          <w:tcPr>
            <w:tcW w:w="404" w:type="pct"/>
          </w:tcPr>
          <w:p w14:paraId="29742661"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6</w:t>
            </w:r>
          </w:p>
        </w:tc>
      </w:tr>
      <w:tr w:rsidR="007217CF" w:rsidRPr="00BD1696" w14:paraId="2F44FF6E" w14:textId="77777777" w:rsidTr="006433E3">
        <w:trPr>
          <w:cantSplit/>
          <w:tblHeader/>
          <w:jc w:val="center"/>
        </w:trPr>
        <w:tc>
          <w:tcPr>
            <w:tcW w:w="688" w:type="pct"/>
          </w:tcPr>
          <w:p w14:paraId="2984AE7E" w14:textId="77777777" w:rsidR="007217CF" w:rsidRPr="00BD1696" w:rsidRDefault="007217CF" w:rsidP="00D22DAD">
            <w:pPr>
              <w:autoSpaceDE w:val="0"/>
              <w:autoSpaceDN w:val="0"/>
              <w:adjustRightInd w:val="0"/>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2016 to 2017</w:t>
            </w:r>
          </w:p>
        </w:tc>
        <w:tc>
          <w:tcPr>
            <w:tcW w:w="1330" w:type="pct"/>
          </w:tcPr>
          <w:p w14:paraId="6226E792"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8</w:t>
            </w:r>
          </w:p>
        </w:tc>
        <w:tc>
          <w:tcPr>
            <w:tcW w:w="1428" w:type="pct"/>
          </w:tcPr>
          <w:p w14:paraId="098EB70A"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0</w:t>
            </w:r>
          </w:p>
        </w:tc>
        <w:tc>
          <w:tcPr>
            <w:tcW w:w="1150" w:type="pct"/>
          </w:tcPr>
          <w:p w14:paraId="4310BCCB"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1</w:t>
            </w:r>
          </w:p>
        </w:tc>
        <w:tc>
          <w:tcPr>
            <w:tcW w:w="404" w:type="pct"/>
          </w:tcPr>
          <w:p w14:paraId="7427A07E"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9</w:t>
            </w:r>
          </w:p>
        </w:tc>
      </w:tr>
      <w:tr w:rsidR="007217CF" w:rsidRPr="00BD1696" w14:paraId="09B22E52" w14:textId="77777777" w:rsidTr="006433E3">
        <w:trPr>
          <w:cantSplit/>
          <w:tblHeader/>
          <w:jc w:val="center"/>
        </w:trPr>
        <w:tc>
          <w:tcPr>
            <w:tcW w:w="688" w:type="pct"/>
          </w:tcPr>
          <w:p w14:paraId="0507E9F8" w14:textId="77777777" w:rsidR="007217CF" w:rsidRPr="00BD1696" w:rsidRDefault="007217CF" w:rsidP="00D22DAD">
            <w:pPr>
              <w:autoSpaceDE w:val="0"/>
              <w:autoSpaceDN w:val="0"/>
              <w:adjustRightInd w:val="0"/>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2017 to 2018</w:t>
            </w:r>
          </w:p>
        </w:tc>
        <w:tc>
          <w:tcPr>
            <w:tcW w:w="1330" w:type="pct"/>
          </w:tcPr>
          <w:p w14:paraId="1BA77BC1"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12</w:t>
            </w:r>
          </w:p>
        </w:tc>
        <w:tc>
          <w:tcPr>
            <w:tcW w:w="1428" w:type="pct"/>
          </w:tcPr>
          <w:p w14:paraId="0343587C"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1</w:t>
            </w:r>
          </w:p>
        </w:tc>
        <w:tc>
          <w:tcPr>
            <w:tcW w:w="1150" w:type="pct"/>
          </w:tcPr>
          <w:p w14:paraId="49A63775"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1</w:t>
            </w:r>
          </w:p>
        </w:tc>
        <w:tc>
          <w:tcPr>
            <w:tcW w:w="404" w:type="pct"/>
          </w:tcPr>
          <w:p w14:paraId="08AA5602"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14</w:t>
            </w:r>
          </w:p>
        </w:tc>
      </w:tr>
      <w:tr w:rsidR="007217CF" w:rsidRPr="00BD1696" w14:paraId="449A3A94" w14:textId="77777777" w:rsidTr="006433E3">
        <w:trPr>
          <w:cantSplit/>
          <w:tblHeader/>
          <w:jc w:val="center"/>
        </w:trPr>
        <w:tc>
          <w:tcPr>
            <w:tcW w:w="688" w:type="pct"/>
          </w:tcPr>
          <w:p w14:paraId="13A7BDFC" w14:textId="77777777" w:rsidR="007217CF" w:rsidRPr="00BD1696" w:rsidRDefault="007217CF" w:rsidP="00D22DAD">
            <w:pPr>
              <w:autoSpaceDE w:val="0"/>
              <w:autoSpaceDN w:val="0"/>
              <w:adjustRightInd w:val="0"/>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2018 to 2019</w:t>
            </w:r>
          </w:p>
        </w:tc>
        <w:tc>
          <w:tcPr>
            <w:tcW w:w="1330" w:type="pct"/>
          </w:tcPr>
          <w:p w14:paraId="253016E2"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9</w:t>
            </w:r>
          </w:p>
        </w:tc>
        <w:tc>
          <w:tcPr>
            <w:tcW w:w="1428" w:type="pct"/>
          </w:tcPr>
          <w:p w14:paraId="40EAA7A1"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4</w:t>
            </w:r>
          </w:p>
        </w:tc>
        <w:tc>
          <w:tcPr>
            <w:tcW w:w="1150" w:type="pct"/>
          </w:tcPr>
          <w:p w14:paraId="052DA8EE"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1</w:t>
            </w:r>
          </w:p>
        </w:tc>
        <w:tc>
          <w:tcPr>
            <w:tcW w:w="404" w:type="pct"/>
          </w:tcPr>
          <w:p w14:paraId="43B652FB" w14:textId="77777777" w:rsidR="007217CF" w:rsidRPr="00BD1696" w:rsidRDefault="007217CF" w:rsidP="00D22DAD">
            <w:pPr>
              <w:autoSpaceDE w:val="0"/>
              <w:autoSpaceDN w:val="0"/>
              <w:adjustRightInd w:val="0"/>
              <w:jc w:val="center"/>
              <w:rPr>
                <w:rFonts w:asciiTheme="minorHAnsi" w:hAnsiTheme="minorHAnsi" w:cstheme="minorHAnsi"/>
                <w:color w:val="000000"/>
                <w:sz w:val="22"/>
                <w:szCs w:val="24"/>
                <w:lang w:val="en-CA"/>
              </w:rPr>
            </w:pPr>
            <w:r w:rsidRPr="00BD1696">
              <w:rPr>
                <w:rFonts w:asciiTheme="minorHAnsi" w:hAnsiTheme="minorHAnsi" w:cstheme="minorHAnsi"/>
                <w:color w:val="000000"/>
                <w:sz w:val="22"/>
                <w:szCs w:val="24"/>
                <w:lang w:val="en-CA"/>
              </w:rPr>
              <w:t>14</w:t>
            </w:r>
          </w:p>
        </w:tc>
      </w:tr>
    </w:tbl>
    <w:p w14:paraId="6BC61FF9" w14:textId="77777777" w:rsidR="007217CF" w:rsidRDefault="007217CF" w:rsidP="00E01E51">
      <w:pPr>
        <w:rPr>
          <w:lang w:val="en-CA"/>
        </w:rPr>
      </w:pPr>
    </w:p>
    <w:p w14:paraId="2AC575FD" w14:textId="77777777" w:rsidR="007217CF" w:rsidRDefault="007217CF" w:rsidP="00E01E51">
      <w:pPr>
        <w:rPr>
          <w:lang w:val="en-CA"/>
        </w:rPr>
        <w:sectPr w:rsidR="007217CF" w:rsidSect="007E486E">
          <w:pgSz w:w="15840" w:h="12240" w:orient="landscape"/>
          <w:pgMar w:top="720" w:right="720" w:bottom="720" w:left="720" w:header="283" w:footer="170" w:gutter="0"/>
          <w:cols w:space="708"/>
          <w:titlePg/>
          <w:docGrid w:linePitch="360"/>
        </w:sectPr>
      </w:pPr>
    </w:p>
    <w:p w14:paraId="744C3F5A" w14:textId="77777777" w:rsidR="001E2F80" w:rsidRPr="001E2F80" w:rsidRDefault="001E2F80" w:rsidP="001E2F80">
      <w:pPr>
        <w:pStyle w:val="Heading1"/>
        <w:spacing w:before="120" w:after="120"/>
        <w:rPr>
          <w:sz w:val="40"/>
          <w:lang w:val="en-CA"/>
        </w:rPr>
      </w:pPr>
      <w:r w:rsidRPr="001E2F80">
        <w:rPr>
          <w:rFonts w:eastAsia="Times New Roman"/>
          <w:sz w:val="40"/>
          <w:lang w:val="en-CA"/>
        </w:rPr>
        <w:lastRenderedPageBreak/>
        <w:t>External indeterminate and term hiring activities: Post-Secondary Recruitment Program and former student hires</w:t>
      </w:r>
    </w:p>
    <w:p w14:paraId="2C2754BC" w14:textId="77777777" w:rsidR="001E2F80" w:rsidRDefault="00095F37" w:rsidP="001E2F80">
      <w:pPr>
        <w:keepNext/>
        <w:jc w:val="center"/>
        <w:rPr>
          <w:noProof/>
          <w:lang w:val="en-CA" w:eastAsia="en-CA"/>
        </w:rPr>
      </w:pPr>
      <w:r>
        <w:rPr>
          <w:noProof/>
          <w:lang w:val="en-CA" w:eastAsia="en-CA"/>
        </w:rPr>
        <w:drawing>
          <wp:inline distT="0" distB="0" distL="0" distR="0" wp14:anchorId="48902E8D" wp14:editId="5E56A047">
            <wp:extent cx="5648400" cy="3049200"/>
            <wp:effectExtent l="0" t="0" r="9525" b="18415"/>
            <wp:docPr id="2" name="Chart 2" descr="External indeterminate and term hiring activities: Post-Secondary Recruitment Program and former students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EA7FA5" w14:textId="77777777" w:rsidR="007217CF" w:rsidRPr="001E2F80" w:rsidRDefault="001E2F80" w:rsidP="001E2F80">
      <w:pPr>
        <w:pStyle w:val="Caption"/>
        <w:spacing w:after="0"/>
        <w:jc w:val="center"/>
        <w:rPr>
          <w:rFonts w:asciiTheme="minorHAnsi" w:hAnsiTheme="minorHAnsi" w:cstheme="minorHAnsi"/>
          <w:i w:val="0"/>
          <w:color w:val="auto"/>
          <w:lang w:val="en-CA"/>
        </w:rPr>
      </w:pPr>
      <w:r w:rsidRPr="001E2F80">
        <w:rPr>
          <w:rFonts w:asciiTheme="minorHAnsi" w:hAnsiTheme="minorHAnsi" w:cstheme="minorHAnsi"/>
          <w:i w:val="0"/>
          <w:color w:val="auto"/>
        </w:rPr>
        <w:t xml:space="preserve">Figure </w:t>
      </w:r>
      <w:r w:rsidRPr="001E2F80">
        <w:rPr>
          <w:rFonts w:asciiTheme="minorHAnsi" w:hAnsiTheme="minorHAnsi" w:cstheme="minorHAnsi"/>
          <w:i w:val="0"/>
          <w:color w:val="auto"/>
        </w:rPr>
        <w:fldChar w:fldCharType="begin"/>
      </w:r>
      <w:r w:rsidRPr="001E2F80">
        <w:rPr>
          <w:rFonts w:asciiTheme="minorHAnsi" w:hAnsiTheme="minorHAnsi" w:cstheme="minorHAnsi"/>
          <w:i w:val="0"/>
          <w:color w:val="auto"/>
        </w:rPr>
        <w:instrText xml:space="preserve"> SEQ Figure \* ARABIC </w:instrText>
      </w:r>
      <w:r w:rsidRPr="001E2F80">
        <w:rPr>
          <w:rFonts w:asciiTheme="minorHAnsi" w:hAnsiTheme="minorHAnsi" w:cstheme="minorHAnsi"/>
          <w:i w:val="0"/>
          <w:color w:val="auto"/>
        </w:rPr>
        <w:fldChar w:fldCharType="separate"/>
      </w:r>
      <w:r w:rsidR="004F3406">
        <w:rPr>
          <w:rFonts w:asciiTheme="minorHAnsi" w:hAnsiTheme="minorHAnsi" w:cstheme="minorHAnsi"/>
          <w:i w:val="0"/>
          <w:noProof/>
          <w:color w:val="auto"/>
        </w:rPr>
        <w:t>11</w:t>
      </w:r>
      <w:r w:rsidRPr="001E2F80">
        <w:rPr>
          <w:rFonts w:asciiTheme="minorHAnsi" w:hAnsiTheme="minorHAnsi" w:cstheme="minorHAnsi"/>
          <w:i w:val="0"/>
          <w:color w:val="auto"/>
        </w:rPr>
        <w:fldChar w:fldCharType="end"/>
      </w:r>
      <w:r w:rsidRPr="001E2F80">
        <w:rPr>
          <w:rFonts w:asciiTheme="minorHAnsi" w:hAnsiTheme="minorHAnsi" w:cstheme="minorHAnsi"/>
          <w:i w:val="0"/>
          <w:color w:val="auto"/>
        </w:rPr>
        <w:t xml:space="preserve"> - External indeterminate and term hiring activities: Post-Secondary Recruitment Program and former student hires</w:t>
      </w:r>
    </w:p>
    <w:p w14:paraId="6E2FC47D" w14:textId="77777777" w:rsidR="001E2F80" w:rsidRPr="001E2F80" w:rsidRDefault="001E2F80" w:rsidP="001E2F80">
      <w:pPr>
        <w:pStyle w:val="Caption"/>
        <w:keepNext/>
        <w:spacing w:before="240" w:after="0"/>
        <w:jc w:val="center"/>
        <w:rPr>
          <w:rFonts w:asciiTheme="minorHAnsi" w:hAnsiTheme="minorHAnsi" w:cstheme="minorHAnsi"/>
          <w:i w:val="0"/>
          <w:color w:val="auto"/>
        </w:rPr>
      </w:pPr>
      <w:r w:rsidRPr="001E2F80">
        <w:rPr>
          <w:rFonts w:asciiTheme="minorHAnsi" w:hAnsiTheme="minorHAnsi" w:cstheme="minorHAnsi"/>
          <w:i w:val="0"/>
          <w:color w:val="auto"/>
        </w:rPr>
        <w:t xml:space="preserve">Table </w:t>
      </w:r>
      <w:r w:rsidRPr="001E2F80">
        <w:rPr>
          <w:rFonts w:asciiTheme="minorHAnsi" w:hAnsiTheme="minorHAnsi" w:cstheme="minorHAnsi"/>
          <w:i w:val="0"/>
          <w:color w:val="auto"/>
        </w:rPr>
        <w:fldChar w:fldCharType="begin"/>
      </w:r>
      <w:r w:rsidRPr="001E2F80">
        <w:rPr>
          <w:rFonts w:asciiTheme="minorHAnsi" w:hAnsiTheme="minorHAnsi" w:cstheme="minorHAnsi"/>
          <w:i w:val="0"/>
          <w:color w:val="auto"/>
        </w:rPr>
        <w:instrText xml:space="preserve"> SEQ Table \* ARABIC </w:instrText>
      </w:r>
      <w:r w:rsidRPr="001E2F80">
        <w:rPr>
          <w:rFonts w:asciiTheme="minorHAnsi" w:hAnsiTheme="minorHAnsi" w:cstheme="minorHAnsi"/>
          <w:i w:val="0"/>
          <w:color w:val="auto"/>
        </w:rPr>
        <w:fldChar w:fldCharType="separate"/>
      </w:r>
      <w:r w:rsidR="00D22DAD">
        <w:rPr>
          <w:rFonts w:asciiTheme="minorHAnsi" w:hAnsiTheme="minorHAnsi" w:cstheme="minorHAnsi"/>
          <w:i w:val="0"/>
          <w:noProof/>
          <w:color w:val="auto"/>
        </w:rPr>
        <w:t>12</w:t>
      </w:r>
      <w:r w:rsidRPr="001E2F80">
        <w:rPr>
          <w:rFonts w:asciiTheme="minorHAnsi" w:hAnsiTheme="minorHAnsi" w:cstheme="minorHAnsi"/>
          <w:i w:val="0"/>
          <w:color w:val="auto"/>
        </w:rPr>
        <w:fldChar w:fldCharType="end"/>
      </w:r>
      <w:r w:rsidRPr="001E2F80">
        <w:rPr>
          <w:rFonts w:asciiTheme="minorHAnsi" w:hAnsiTheme="minorHAnsi" w:cstheme="minorHAnsi"/>
          <w:i w:val="0"/>
          <w:color w:val="auto"/>
        </w:rPr>
        <w:t xml:space="preserve"> - External indeterminate and term hiring activities: Post-Secondary Recruitment Program and former student hires by fiscal year</w:t>
      </w:r>
    </w:p>
    <w:tbl>
      <w:tblPr>
        <w:tblStyle w:val="TableGrid"/>
        <w:tblW w:w="5000" w:type="pct"/>
        <w:jc w:val="center"/>
        <w:tblLook w:val="0020" w:firstRow="1" w:lastRow="0" w:firstColumn="0" w:lastColumn="0" w:noHBand="0" w:noVBand="0"/>
        <w:tblDescription w:val="Post-Secondary Recruitment Program and former student hires"/>
      </w:tblPr>
      <w:tblGrid>
        <w:gridCol w:w="2979"/>
        <w:gridCol w:w="5805"/>
        <w:gridCol w:w="5606"/>
      </w:tblGrid>
      <w:tr w:rsidR="007217CF" w:rsidRPr="00DE4115" w14:paraId="76ABFECC" w14:textId="77777777" w:rsidTr="006433E3">
        <w:trPr>
          <w:cantSplit/>
          <w:tblHeader/>
          <w:jc w:val="center"/>
        </w:trPr>
        <w:tc>
          <w:tcPr>
            <w:tcW w:w="1035" w:type="pct"/>
          </w:tcPr>
          <w:p w14:paraId="3991F0D0" w14:textId="77777777" w:rsidR="007217CF" w:rsidRPr="00DE4115" w:rsidRDefault="007217CF" w:rsidP="001E2F80">
            <w:pPr>
              <w:pStyle w:val="TableTitle"/>
              <w:rPr>
                <w:lang w:val="en-CA"/>
              </w:rPr>
            </w:pPr>
            <w:r w:rsidRPr="00DE4115">
              <w:rPr>
                <w:lang w:val="en-CA"/>
              </w:rPr>
              <w:t>Fiscal year</w:t>
            </w:r>
          </w:p>
        </w:tc>
        <w:tc>
          <w:tcPr>
            <w:tcW w:w="2017" w:type="pct"/>
          </w:tcPr>
          <w:p w14:paraId="2ED029B7" w14:textId="77777777" w:rsidR="007217CF" w:rsidRPr="00DE4115" w:rsidRDefault="007217CF" w:rsidP="001E2F80">
            <w:pPr>
              <w:pStyle w:val="TableTitle"/>
              <w:rPr>
                <w:lang w:val="en-CA"/>
              </w:rPr>
            </w:pPr>
            <w:r w:rsidRPr="00DE4115">
              <w:rPr>
                <w:lang w:val="en-CA"/>
              </w:rPr>
              <w:t>Post-Secondary Recruitment</w:t>
            </w:r>
          </w:p>
        </w:tc>
        <w:tc>
          <w:tcPr>
            <w:tcW w:w="1948" w:type="pct"/>
          </w:tcPr>
          <w:p w14:paraId="02DD1645" w14:textId="77777777" w:rsidR="007217CF" w:rsidRPr="00DE4115" w:rsidRDefault="007217CF" w:rsidP="001E2F80">
            <w:pPr>
              <w:pStyle w:val="TableTitle"/>
              <w:rPr>
                <w:lang w:val="en-CA"/>
              </w:rPr>
            </w:pPr>
            <w:r w:rsidRPr="00DE4115">
              <w:rPr>
                <w:lang w:val="en-CA"/>
              </w:rPr>
              <w:t>Former student hires</w:t>
            </w:r>
          </w:p>
        </w:tc>
      </w:tr>
      <w:tr w:rsidR="007217CF" w:rsidRPr="001E2F80" w14:paraId="68213D88" w14:textId="77777777" w:rsidTr="006433E3">
        <w:trPr>
          <w:cantSplit/>
          <w:tblHeader/>
          <w:jc w:val="center"/>
        </w:trPr>
        <w:tc>
          <w:tcPr>
            <w:tcW w:w="1035" w:type="pct"/>
          </w:tcPr>
          <w:p w14:paraId="3F5ADEFC" w14:textId="77777777" w:rsidR="007217CF" w:rsidRPr="001E2F80" w:rsidRDefault="007217CF" w:rsidP="00D22DAD">
            <w:pPr>
              <w:autoSpaceDE w:val="0"/>
              <w:autoSpaceDN w:val="0"/>
              <w:adjustRightInd w:val="0"/>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2014 to 2015</w:t>
            </w:r>
          </w:p>
        </w:tc>
        <w:tc>
          <w:tcPr>
            <w:tcW w:w="2017" w:type="pct"/>
          </w:tcPr>
          <w:p w14:paraId="1C29324E"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1</w:t>
            </w:r>
          </w:p>
        </w:tc>
        <w:tc>
          <w:tcPr>
            <w:tcW w:w="1948" w:type="pct"/>
          </w:tcPr>
          <w:p w14:paraId="737B9C1F"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0</w:t>
            </w:r>
          </w:p>
        </w:tc>
      </w:tr>
      <w:tr w:rsidR="007217CF" w:rsidRPr="001E2F80" w14:paraId="3DDB39E7" w14:textId="77777777" w:rsidTr="006433E3">
        <w:trPr>
          <w:cantSplit/>
          <w:tblHeader/>
          <w:jc w:val="center"/>
        </w:trPr>
        <w:tc>
          <w:tcPr>
            <w:tcW w:w="1035" w:type="pct"/>
          </w:tcPr>
          <w:p w14:paraId="5E427660" w14:textId="77777777" w:rsidR="007217CF" w:rsidRPr="001E2F80" w:rsidRDefault="007217CF" w:rsidP="00D22DAD">
            <w:pPr>
              <w:autoSpaceDE w:val="0"/>
              <w:autoSpaceDN w:val="0"/>
              <w:adjustRightInd w:val="0"/>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2015 to 2016</w:t>
            </w:r>
          </w:p>
        </w:tc>
        <w:tc>
          <w:tcPr>
            <w:tcW w:w="2017" w:type="pct"/>
          </w:tcPr>
          <w:p w14:paraId="36C43743"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1</w:t>
            </w:r>
          </w:p>
        </w:tc>
        <w:tc>
          <w:tcPr>
            <w:tcW w:w="1948" w:type="pct"/>
          </w:tcPr>
          <w:p w14:paraId="2088DEE2"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2</w:t>
            </w:r>
          </w:p>
        </w:tc>
      </w:tr>
      <w:tr w:rsidR="007217CF" w:rsidRPr="001E2F80" w14:paraId="3DA34F0A" w14:textId="77777777" w:rsidTr="006433E3">
        <w:trPr>
          <w:cantSplit/>
          <w:tblHeader/>
          <w:jc w:val="center"/>
        </w:trPr>
        <w:tc>
          <w:tcPr>
            <w:tcW w:w="1035" w:type="pct"/>
          </w:tcPr>
          <w:p w14:paraId="1E49166E" w14:textId="77777777" w:rsidR="007217CF" w:rsidRPr="001E2F80" w:rsidRDefault="007217CF" w:rsidP="00D22DAD">
            <w:pPr>
              <w:autoSpaceDE w:val="0"/>
              <w:autoSpaceDN w:val="0"/>
              <w:adjustRightInd w:val="0"/>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2016 to 2017</w:t>
            </w:r>
          </w:p>
        </w:tc>
        <w:tc>
          <w:tcPr>
            <w:tcW w:w="2017" w:type="pct"/>
          </w:tcPr>
          <w:p w14:paraId="74EE46AF"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1</w:t>
            </w:r>
          </w:p>
        </w:tc>
        <w:tc>
          <w:tcPr>
            <w:tcW w:w="1948" w:type="pct"/>
          </w:tcPr>
          <w:p w14:paraId="741AA7C6"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3</w:t>
            </w:r>
          </w:p>
        </w:tc>
      </w:tr>
      <w:tr w:rsidR="007217CF" w:rsidRPr="001E2F80" w14:paraId="076E93E3" w14:textId="77777777" w:rsidTr="006433E3">
        <w:trPr>
          <w:cantSplit/>
          <w:tblHeader/>
          <w:jc w:val="center"/>
        </w:trPr>
        <w:tc>
          <w:tcPr>
            <w:tcW w:w="1035" w:type="pct"/>
          </w:tcPr>
          <w:p w14:paraId="3D1C1311" w14:textId="77777777" w:rsidR="007217CF" w:rsidRPr="001E2F80" w:rsidRDefault="007217CF" w:rsidP="00D22DAD">
            <w:pPr>
              <w:autoSpaceDE w:val="0"/>
              <w:autoSpaceDN w:val="0"/>
              <w:adjustRightInd w:val="0"/>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2017 to 2018</w:t>
            </w:r>
          </w:p>
        </w:tc>
        <w:tc>
          <w:tcPr>
            <w:tcW w:w="2017" w:type="pct"/>
          </w:tcPr>
          <w:p w14:paraId="7914443F"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0</w:t>
            </w:r>
          </w:p>
        </w:tc>
        <w:tc>
          <w:tcPr>
            <w:tcW w:w="1948" w:type="pct"/>
          </w:tcPr>
          <w:p w14:paraId="198B1342"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3</w:t>
            </w:r>
          </w:p>
        </w:tc>
      </w:tr>
      <w:tr w:rsidR="007217CF" w:rsidRPr="001E2F80" w14:paraId="769AD2EE" w14:textId="77777777" w:rsidTr="006433E3">
        <w:trPr>
          <w:cantSplit/>
          <w:tblHeader/>
          <w:jc w:val="center"/>
        </w:trPr>
        <w:tc>
          <w:tcPr>
            <w:tcW w:w="1035" w:type="pct"/>
          </w:tcPr>
          <w:p w14:paraId="382C14D3" w14:textId="77777777" w:rsidR="007217CF" w:rsidRPr="001E2F80" w:rsidRDefault="007217CF" w:rsidP="00D22DAD">
            <w:pPr>
              <w:autoSpaceDE w:val="0"/>
              <w:autoSpaceDN w:val="0"/>
              <w:adjustRightInd w:val="0"/>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2018 to 2019</w:t>
            </w:r>
          </w:p>
        </w:tc>
        <w:tc>
          <w:tcPr>
            <w:tcW w:w="2017" w:type="pct"/>
          </w:tcPr>
          <w:p w14:paraId="0E27C6AF"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0</w:t>
            </w:r>
          </w:p>
        </w:tc>
        <w:tc>
          <w:tcPr>
            <w:tcW w:w="1948" w:type="pct"/>
          </w:tcPr>
          <w:p w14:paraId="26FDEDDC" w14:textId="77777777" w:rsidR="007217CF" w:rsidRPr="001E2F80" w:rsidRDefault="007217CF" w:rsidP="00D22DAD">
            <w:pPr>
              <w:autoSpaceDE w:val="0"/>
              <w:autoSpaceDN w:val="0"/>
              <w:adjustRightInd w:val="0"/>
              <w:jc w:val="center"/>
              <w:rPr>
                <w:rFonts w:asciiTheme="minorHAnsi" w:hAnsiTheme="minorHAnsi" w:cstheme="minorHAnsi"/>
                <w:color w:val="000000"/>
                <w:sz w:val="22"/>
                <w:szCs w:val="24"/>
                <w:lang w:val="en-CA"/>
              </w:rPr>
            </w:pPr>
            <w:r w:rsidRPr="001E2F80">
              <w:rPr>
                <w:rFonts w:asciiTheme="minorHAnsi" w:hAnsiTheme="minorHAnsi" w:cstheme="minorHAnsi"/>
                <w:color w:val="000000"/>
                <w:sz w:val="22"/>
                <w:szCs w:val="24"/>
                <w:lang w:val="en-CA"/>
              </w:rPr>
              <w:t>3</w:t>
            </w:r>
          </w:p>
        </w:tc>
      </w:tr>
    </w:tbl>
    <w:p w14:paraId="2C9AF5A4" w14:textId="77777777" w:rsidR="007217CF" w:rsidRPr="001E2F80" w:rsidRDefault="007217CF" w:rsidP="00E01E51">
      <w:pPr>
        <w:rPr>
          <w:rFonts w:asciiTheme="minorHAnsi" w:hAnsiTheme="minorHAnsi" w:cstheme="minorHAnsi"/>
          <w:sz w:val="22"/>
          <w:lang w:val="en-CA"/>
        </w:rPr>
      </w:pPr>
      <w:r w:rsidRPr="001E2F80">
        <w:rPr>
          <w:rFonts w:asciiTheme="minorHAnsi" w:hAnsiTheme="minorHAnsi" w:cstheme="minorHAnsi"/>
          <w:sz w:val="22"/>
          <w:szCs w:val="24"/>
          <w:lang w:val="en-CA"/>
        </w:rPr>
        <w:t>Hires with experience in a federal student recruitment program within the last 10 years.</w:t>
      </w:r>
    </w:p>
    <w:p w14:paraId="4FCE4DBF" w14:textId="77777777" w:rsidR="007217CF" w:rsidRDefault="007217CF" w:rsidP="00E01E51">
      <w:pPr>
        <w:rPr>
          <w:lang w:val="en-CA"/>
        </w:rPr>
        <w:sectPr w:rsidR="007217CF" w:rsidSect="007E486E">
          <w:pgSz w:w="15840" w:h="12240" w:orient="landscape"/>
          <w:pgMar w:top="720" w:right="720" w:bottom="720" w:left="720" w:header="283" w:footer="170" w:gutter="0"/>
          <w:cols w:space="708"/>
          <w:titlePg/>
          <w:docGrid w:linePitch="360"/>
        </w:sectPr>
      </w:pPr>
    </w:p>
    <w:p w14:paraId="388988EE" w14:textId="77777777" w:rsidR="007217CF" w:rsidRPr="001E2F80" w:rsidRDefault="001E2F80" w:rsidP="001E2F80">
      <w:pPr>
        <w:pStyle w:val="Heading1"/>
        <w:spacing w:before="120" w:after="120"/>
        <w:rPr>
          <w:sz w:val="40"/>
          <w:lang w:val="en-CA"/>
        </w:rPr>
      </w:pPr>
      <w:r w:rsidRPr="001E2F80">
        <w:rPr>
          <w:sz w:val="40"/>
          <w:lang w:val="en-CA"/>
        </w:rPr>
        <w:lastRenderedPageBreak/>
        <w:t>Internal time to staff</w:t>
      </w:r>
    </w:p>
    <w:p w14:paraId="0F56E58F" w14:textId="77777777" w:rsidR="001E2F80" w:rsidRDefault="00E01E51" w:rsidP="001E2F80">
      <w:pPr>
        <w:keepNext/>
      </w:pPr>
      <w:r w:rsidRPr="00DE4115">
        <w:rPr>
          <w:noProof/>
          <w:lang w:val="en-CA" w:eastAsia="en-CA"/>
        </w:rPr>
        <w:drawing>
          <wp:inline distT="0" distB="0" distL="0" distR="0" wp14:anchorId="3C4FA174" wp14:editId="55F1BAED">
            <wp:extent cx="5648400" cy="3049200"/>
            <wp:effectExtent l="0" t="0" r="9525" b="18415"/>
            <wp:docPr id="22" name="Chart 22" descr="Internal time to staff, Public Service median = 176 day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1E2F80" w:rsidRPr="00DE4115">
        <w:rPr>
          <w:noProof/>
          <w:lang w:val="en-CA" w:eastAsia="en-CA"/>
        </w:rPr>
        <mc:AlternateContent>
          <mc:Choice Requires="wps">
            <w:drawing>
              <wp:inline distT="0" distB="0" distL="0" distR="0" wp14:anchorId="359D037E" wp14:editId="639BDA1A">
                <wp:extent cx="5648400" cy="3049200"/>
                <wp:effectExtent l="0" t="0" r="28575" b="18415"/>
                <wp:docPr id="6" name="Text Box 6" descr="Les données sont insuffisantes pour fournir des résultats sur la durée des processus de dotation interne pour le Ministère des Femmes et de l’Égalité des genres." title="Durée du processus de dotation interne pendant l’exercice financier 2018-2019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67828C5D" w14:textId="77777777" w:rsidR="001D1E20" w:rsidRPr="001E2F80" w:rsidRDefault="001D1E20" w:rsidP="001E2F80">
                            <w:pPr>
                              <w:spacing w:after="240"/>
                              <w:rPr>
                                <w:rFonts w:asciiTheme="minorHAnsi" w:hAnsiTheme="minorHAnsi" w:cstheme="minorHAnsi"/>
                                <w:sz w:val="22"/>
                                <w:szCs w:val="24"/>
                                <w:lang w:val="en-CA"/>
                              </w:rPr>
                            </w:pPr>
                            <w:r w:rsidRPr="001E2F80">
                              <w:rPr>
                                <w:rFonts w:asciiTheme="minorHAnsi" w:hAnsiTheme="minorHAnsi" w:cstheme="minorHAnsi"/>
                                <w:sz w:val="22"/>
                                <w:szCs w:val="24"/>
                                <w:lang w:val="en-CA"/>
                              </w:rPr>
                              <w:t>Internal time to staff</w:t>
                            </w:r>
                          </w:p>
                          <w:p w14:paraId="164FB703" w14:textId="77777777" w:rsidR="001D1E20" w:rsidRPr="001E2F80" w:rsidRDefault="001D1E20" w:rsidP="001E2F80">
                            <w:pPr>
                              <w:pStyle w:val="ListParagraph"/>
                              <w:ind w:left="360"/>
                              <w:rPr>
                                <w:rFonts w:asciiTheme="minorHAnsi" w:hAnsiTheme="minorHAnsi" w:cstheme="minorHAnsi"/>
                                <w:sz w:val="22"/>
                                <w:lang w:val="en-CA"/>
                              </w:rPr>
                            </w:pPr>
                            <w:r w:rsidRPr="001E2F80">
                              <w:rPr>
                                <w:rFonts w:asciiTheme="minorHAnsi" w:hAnsiTheme="minorHAnsi" w:cstheme="minorHAnsi"/>
                                <w:sz w:val="22"/>
                                <w:lang w:val="en-CA"/>
                              </w:rPr>
                              <w:t>The data is insufficient for providing results on the internal time to staff for the Department for Women and Gender Equality.</w:t>
                            </w:r>
                          </w:p>
                        </w:txbxContent>
                      </wps:txbx>
                      <wps:bodyPr rot="0" vert="horz" wrap="square" lIns="91440" tIns="45720" rIns="91440" bIns="45720" anchor="t" anchorCtr="0">
                        <a:noAutofit/>
                      </wps:bodyPr>
                    </wps:wsp>
                  </a:graphicData>
                </a:graphic>
              </wp:inline>
            </w:drawing>
          </mc:Choice>
          <mc:Fallback>
            <w:pict>
              <v:shapetype w14:anchorId="359D037E" id="_x0000_t202" coordsize="21600,21600" o:spt="202" path="m,l,21600r21600,l21600,xe">
                <v:stroke joinstyle="miter"/>
                <v:path gradientshapeok="t" o:connecttype="rect"/>
              </v:shapetype>
              <v:shape id="Text Box 6" o:spid="_x0000_s1026" type="#_x0000_t202" alt="Title: Durée du processus de dotation interne pendant l’exercice financier 2018-2019 pour l'organisme concerné - Description: Les données sont insuffisantes pour fournir des résultats sur la durée des processus de dotation interne pour le Ministère des Femmes et de l’Égalité des genres."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">
                <v:textbox>
                  <w:txbxContent>
                    <w:p w14:paraId="67828C5D" w14:textId="77777777" w:rsidR="001D1E20" w:rsidRPr="001E2F80" w:rsidRDefault="001D1E20" w:rsidP="001E2F80">
                      <w:pPr>
                        <w:spacing w:after="240"/>
                        <w:rPr>
                          <w:rFonts w:asciiTheme="minorHAnsi" w:hAnsiTheme="minorHAnsi" w:cstheme="minorHAnsi"/>
                          <w:sz w:val="22"/>
                          <w:szCs w:val="24"/>
                          <w:lang w:val="en-CA"/>
                        </w:rPr>
                      </w:pPr>
                      <w:r w:rsidRPr="001E2F80">
                        <w:rPr>
                          <w:rFonts w:asciiTheme="minorHAnsi" w:hAnsiTheme="minorHAnsi" w:cstheme="minorHAnsi"/>
                          <w:sz w:val="22"/>
                          <w:szCs w:val="24"/>
                          <w:lang w:val="en-CA"/>
                        </w:rPr>
                        <w:t>Internal time to staff</w:t>
                      </w:r>
                    </w:p>
                    <w:p w14:paraId="164FB703" w14:textId="77777777" w:rsidR="001D1E20" w:rsidRPr="001E2F80" w:rsidRDefault="001D1E20" w:rsidP="001E2F80">
                      <w:pPr>
                        <w:pStyle w:val="ListParagraph"/>
                        <w:ind w:left="360"/>
                        <w:rPr>
                          <w:rFonts w:asciiTheme="minorHAnsi" w:hAnsiTheme="minorHAnsi" w:cstheme="minorHAnsi"/>
                          <w:sz w:val="22"/>
                          <w:lang w:val="en-CA"/>
                        </w:rPr>
                      </w:pPr>
                      <w:r w:rsidRPr="001E2F80">
                        <w:rPr>
                          <w:rFonts w:asciiTheme="minorHAnsi" w:hAnsiTheme="minorHAnsi" w:cstheme="minorHAnsi"/>
                          <w:sz w:val="22"/>
                          <w:lang w:val="en-CA"/>
                        </w:rPr>
                        <w:t>The data is insufficient for providing results on the internal time to staff for the Department for Women and Gender Equality.</w:t>
                      </w:r>
                    </w:p>
                  </w:txbxContent>
                </v:textbox>
                <w10:anchorlock/>
              </v:shape>
            </w:pict>
          </mc:Fallback>
        </mc:AlternateContent>
      </w:r>
    </w:p>
    <w:p w14:paraId="13B16349" w14:textId="77777777" w:rsidR="001E2F80" w:rsidRPr="001E2F80" w:rsidRDefault="001E2F80" w:rsidP="003B7D87">
      <w:pPr>
        <w:pStyle w:val="Caption"/>
        <w:spacing w:after="0"/>
        <w:rPr>
          <w:rFonts w:asciiTheme="minorHAnsi" w:hAnsiTheme="minorHAnsi" w:cstheme="minorHAnsi"/>
          <w:i w:val="0"/>
          <w:color w:val="auto"/>
        </w:rPr>
      </w:pPr>
      <w:r w:rsidRPr="001E2F80">
        <w:rPr>
          <w:rFonts w:asciiTheme="minorHAnsi" w:hAnsiTheme="minorHAnsi" w:cstheme="minorHAnsi"/>
          <w:i w:val="0"/>
          <w:color w:val="auto"/>
        </w:rPr>
        <w:t xml:space="preserve">Figure </w:t>
      </w:r>
      <w:r w:rsidRPr="001E2F80">
        <w:rPr>
          <w:rFonts w:asciiTheme="minorHAnsi" w:hAnsiTheme="minorHAnsi" w:cstheme="minorHAnsi"/>
          <w:i w:val="0"/>
          <w:color w:val="auto"/>
        </w:rPr>
        <w:fldChar w:fldCharType="begin"/>
      </w:r>
      <w:r w:rsidRPr="001E2F80">
        <w:rPr>
          <w:rFonts w:asciiTheme="minorHAnsi" w:hAnsiTheme="minorHAnsi" w:cstheme="minorHAnsi"/>
          <w:i w:val="0"/>
          <w:color w:val="auto"/>
        </w:rPr>
        <w:instrText xml:space="preserve"> SEQ Figure \* ARABIC </w:instrText>
      </w:r>
      <w:r w:rsidRPr="001E2F80">
        <w:rPr>
          <w:rFonts w:asciiTheme="minorHAnsi" w:hAnsiTheme="minorHAnsi" w:cstheme="minorHAnsi"/>
          <w:i w:val="0"/>
          <w:color w:val="auto"/>
        </w:rPr>
        <w:fldChar w:fldCharType="separate"/>
      </w:r>
      <w:r w:rsidR="004F3406">
        <w:rPr>
          <w:rFonts w:asciiTheme="minorHAnsi" w:hAnsiTheme="minorHAnsi" w:cstheme="minorHAnsi"/>
          <w:i w:val="0"/>
          <w:noProof/>
          <w:color w:val="auto"/>
        </w:rPr>
        <w:t>12</w:t>
      </w:r>
      <w:r w:rsidRPr="001E2F80">
        <w:rPr>
          <w:rFonts w:asciiTheme="minorHAnsi" w:hAnsiTheme="minorHAnsi" w:cstheme="minorHAnsi"/>
          <w:i w:val="0"/>
          <w:color w:val="auto"/>
        </w:rPr>
        <w:fldChar w:fldCharType="end"/>
      </w:r>
      <w:r w:rsidRPr="001E2F80">
        <w:rPr>
          <w:rFonts w:asciiTheme="minorHAnsi" w:hAnsiTheme="minorHAnsi" w:cstheme="minorHAnsi"/>
          <w:i w:val="0"/>
          <w:color w:val="auto"/>
        </w:rPr>
        <w:t xml:space="preserve"> - Internal time to staff Public service median = 176 days, 201</w:t>
      </w:r>
      <w:r w:rsidR="003B7D87">
        <w:rPr>
          <w:rFonts w:asciiTheme="minorHAnsi" w:hAnsiTheme="minorHAnsi" w:cstheme="minorHAnsi"/>
          <w:i w:val="0"/>
          <w:color w:val="auto"/>
        </w:rPr>
        <w:t>8</w:t>
      </w:r>
      <w:r w:rsidRPr="001E2F80">
        <w:rPr>
          <w:rFonts w:asciiTheme="minorHAnsi" w:hAnsiTheme="minorHAnsi" w:cstheme="minorHAnsi"/>
          <w:i w:val="0"/>
          <w:color w:val="auto"/>
        </w:rPr>
        <w:t>-2019</w:t>
      </w:r>
    </w:p>
    <w:p w14:paraId="173AB42D" w14:textId="77777777" w:rsidR="007217CF" w:rsidRDefault="005A0B13" w:rsidP="001E2F80">
      <w:pPr>
        <w:numPr>
          <w:ilvl w:val="1"/>
          <w:numId w:val="0"/>
        </w:numPr>
        <w:spacing w:before="120" w:after="120"/>
        <w:rPr>
          <w:lang w:val="en-CA"/>
        </w:rPr>
      </w:pPr>
      <w:hyperlink w:anchor="Internal_time_to_staff" w:history="1">
        <w:r w:rsidR="001E2F80" w:rsidRPr="00432882">
          <w:rPr>
            <w:rStyle w:val="Hyperlink"/>
            <w:rFonts w:asciiTheme="minorHAnsi" w:eastAsiaTheme="minorHAnsi" w:hAnsiTheme="minorHAnsi" w:cstheme="minorHAnsi"/>
            <w:szCs w:val="24"/>
            <w:lang w:val="en-CA"/>
          </w:rPr>
          <w:t>Internal time to staff data table available here</w:t>
        </w:r>
      </w:hyperlink>
    </w:p>
    <w:p w14:paraId="421ECEDB" w14:textId="77777777" w:rsidR="001E2F80" w:rsidRDefault="001E2F80" w:rsidP="00187FBE">
      <w:pPr>
        <w:pStyle w:val="ListParagraph"/>
        <w:numPr>
          <w:ilvl w:val="0"/>
          <w:numId w:val="7"/>
        </w:numPr>
        <w:spacing w:before="240" w:after="120"/>
        <w:contextualSpacing w:val="0"/>
        <w:rPr>
          <w:rFonts w:ascii="Arial" w:hAnsi="Arial" w:cs="Arial"/>
          <w:sz w:val="22"/>
          <w:szCs w:val="22"/>
          <w:lang w:val="en-CA"/>
        </w:rPr>
        <w:sectPr w:rsidR="001E2F80" w:rsidSect="001E2F80">
          <w:pgSz w:w="20160" w:h="12240" w:orient="landscape" w:code="5"/>
          <w:pgMar w:top="720" w:right="720" w:bottom="720" w:left="720" w:header="283" w:footer="170" w:gutter="0"/>
          <w:cols w:space="708"/>
          <w:titlePg/>
          <w:docGrid w:linePitch="360"/>
        </w:sectPr>
      </w:pPr>
    </w:p>
    <w:p w14:paraId="32F27D5A" w14:textId="77777777" w:rsidR="007217CF" w:rsidRPr="001E2F80" w:rsidRDefault="007217CF" w:rsidP="00D22DAD">
      <w:pPr>
        <w:spacing w:before="120"/>
        <w:rPr>
          <w:rFonts w:asciiTheme="minorHAnsi" w:hAnsiTheme="minorHAnsi" w:cstheme="minorHAnsi"/>
          <w:sz w:val="22"/>
          <w:szCs w:val="22"/>
          <w:lang w:val="en-CA"/>
        </w:rPr>
      </w:pPr>
      <w:r w:rsidRPr="001E2F80">
        <w:rPr>
          <w:rFonts w:asciiTheme="minorHAnsi" w:hAnsiTheme="minorHAnsi" w:cstheme="minorHAnsi"/>
          <w:sz w:val="22"/>
          <w:szCs w:val="22"/>
          <w:lang w:val="en-CA"/>
        </w:rPr>
        <w:t>Internal time to staff is calculated as the number of calendar days between the opening date of the advertisement and the date of the first notice.</w:t>
      </w:r>
    </w:p>
    <w:p w14:paraId="1BBFBEB6" w14:textId="77777777" w:rsidR="007217CF" w:rsidRPr="001E2F80" w:rsidRDefault="007217CF" w:rsidP="00D22DAD">
      <w:pPr>
        <w:rPr>
          <w:rFonts w:asciiTheme="minorHAnsi" w:hAnsiTheme="minorHAnsi" w:cstheme="minorHAnsi"/>
          <w:sz w:val="22"/>
          <w:szCs w:val="22"/>
          <w:lang w:val="en-CA"/>
        </w:rPr>
      </w:pPr>
      <w:r w:rsidRPr="001E2F80">
        <w:rPr>
          <w:rFonts w:asciiTheme="minorHAnsi" w:hAnsiTheme="minorHAnsi" w:cstheme="minorHAnsi"/>
          <w:sz w:val="22"/>
          <w:szCs w:val="22"/>
          <w:lang w:val="en-CA"/>
        </w:rPr>
        <w:t xml:space="preserve">The median internal time to staff for the public service (organizations subject to the </w:t>
      </w:r>
      <w:r w:rsidRPr="00187FBE">
        <w:rPr>
          <w:rStyle w:val="Emphasis"/>
          <w:sz w:val="22"/>
        </w:rPr>
        <w:t xml:space="preserve">Public Service Employment Act </w:t>
      </w:r>
      <w:r w:rsidRPr="001E2F80">
        <w:rPr>
          <w:rFonts w:asciiTheme="minorHAnsi" w:hAnsiTheme="minorHAnsi" w:cstheme="minorHAnsi"/>
          <w:sz w:val="22"/>
          <w:szCs w:val="22"/>
          <w:lang w:val="en-CA"/>
        </w:rPr>
        <w:t>[PSEA]) for the 2018–2019 fiscal year is 176 days.</w:t>
      </w:r>
    </w:p>
    <w:p w14:paraId="26041DDE" w14:textId="77777777" w:rsidR="003B7D87" w:rsidRPr="004F3406" w:rsidRDefault="003B7D87" w:rsidP="003B7D87">
      <w:pPr>
        <w:spacing w:before="240"/>
        <w:rPr>
          <w:rStyle w:val="Strong"/>
        </w:rPr>
      </w:pPr>
    </w:p>
    <w:p w14:paraId="06FA87A6" w14:textId="77777777" w:rsidR="003B7D87" w:rsidRDefault="003B7D87" w:rsidP="00D22DAD">
      <w:pPr>
        <w:rPr>
          <w:rStyle w:val="Strong"/>
        </w:rPr>
      </w:pPr>
      <w:r w:rsidRPr="004F3406">
        <w:rPr>
          <w:rStyle w:val="Strong"/>
        </w:rPr>
        <w:t>Internal time to staff by fiscal year from 2018–2019</w:t>
      </w:r>
    </w:p>
    <w:p w14:paraId="54328F0B" w14:textId="77777777" w:rsidR="007217CF" w:rsidRPr="001E2F80" w:rsidRDefault="007217CF" w:rsidP="00D22DAD">
      <w:pPr>
        <w:rPr>
          <w:rFonts w:asciiTheme="minorHAnsi" w:hAnsiTheme="minorHAnsi" w:cstheme="minorHAnsi"/>
          <w:sz w:val="22"/>
          <w:szCs w:val="22"/>
          <w:lang w:val="en-CA"/>
        </w:rPr>
      </w:pPr>
      <w:r w:rsidRPr="001E2F80">
        <w:rPr>
          <w:rFonts w:asciiTheme="minorHAnsi" w:hAnsiTheme="minorHAnsi" w:cstheme="minorHAnsi"/>
          <w:sz w:val="22"/>
          <w:szCs w:val="22"/>
          <w:lang w:val="en-CA"/>
        </w:rPr>
        <w:t>The data is insufficient for providing results on the internal time to staff for the Department for Women and Gender Equality.</w:t>
      </w:r>
    </w:p>
    <w:p w14:paraId="32A68B7D" w14:textId="77777777" w:rsidR="007217CF" w:rsidRPr="001E2F80" w:rsidRDefault="007217CF" w:rsidP="007217CF">
      <w:pPr>
        <w:spacing w:before="100" w:beforeAutospacing="1" w:after="100" w:afterAutospacing="1"/>
        <w:rPr>
          <w:rFonts w:asciiTheme="minorHAnsi" w:hAnsiTheme="minorHAnsi" w:cstheme="minorHAnsi"/>
          <w:sz w:val="22"/>
          <w:szCs w:val="22"/>
          <w:lang w:val="en-CA"/>
        </w:rPr>
      </w:pPr>
    </w:p>
    <w:p w14:paraId="3A4202DE" w14:textId="77777777" w:rsidR="001E2F80" w:rsidRPr="001E2F80" w:rsidRDefault="001E2F80" w:rsidP="00E01E51">
      <w:pPr>
        <w:rPr>
          <w:rFonts w:asciiTheme="minorHAnsi" w:hAnsiTheme="minorHAnsi" w:cstheme="minorHAnsi"/>
          <w:sz w:val="22"/>
          <w:szCs w:val="22"/>
          <w:lang w:val="en-CA"/>
        </w:rPr>
        <w:sectPr w:rsidR="001E2F80" w:rsidRPr="001E2F80" w:rsidSect="001E2F80">
          <w:type w:val="continuous"/>
          <w:pgSz w:w="20160" w:h="12240" w:orient="landscape" w:code="5"/>
          <w:pgMar w:top="720" w:right="720" w:bottom="720" w:left="720" w:header="283" w:footer="170" w:gutter="0"/>
          <w:cols w:num="2" w:space="708"/>
          <w:titlePg/>
          <w:docGrid w:linePitch="360"/>
        </w:sectPr>
      </w:pPr>
    </w:p>
    <w:p w14:paraId="1174CAEE" w14:textId="77777777" w:rsidR="007217CF" w:rsidRPr="001E2F80" w:rsidRDefault="007217CF" w:rsidP="00E01E51">
      <w:pPr>
        <w:rPr>
          <w:rFonts w:asciiTheme="minorHAnsi" w:hAnsiTheme="minorHAnsi" w:cstheme="minorHAnsi"/>
          <w:sz w:val="22"/>
          <w:szCs w:val="22"/>
          <w:lang w:val="en-CA"/>
        </w:rPr>
      </w:pPr>
    </w:p>
    <w:p w14:paraId="4899BC7D" w14:textId="77777777" w:rsidR="007217CF" w:rsidRPr="001E2F80" w:rsidRDefault="007217CF" w:rsidP="00E01E51">
      <w:pPr>
        <w:rPr>
          <w:rFonts w:asciiTheme="minorHAnsi" w:hAnsiTheme="minorHAnsi" w:cstheme="minorHAnsi"/>
          <w:sz w:val="22"/>
          <w:szCs w:val="22"/>
          <w:lang w:val="en-CA"/>
        </w:rPr>
        <w:sectPr w:rsidR="007217CF" w:rsidRPr="001E2F80" w:rsidSect="001E2F80">
          <w:type w:val="continuous"/>
          <w:pgSz w:w="20160" w:h="12240" w:orient="landscape" w:code="5"/>
          <w:pgMar w:top="720" w:right="720" w:bottom="720" w:left="720" w:header="283" w:footer="170" w:gutter="0"/>
          <w:cols w:space="708"/>
          <w:titlePg/>
          <w:docGrid w:linePitch="360"/>
        </w:sectPr>
      </w:pPr>
    </w:p>
    <w:p w14:paraId="4CE0F1CF" w14:textId="77777777" w:rsidR="007217CF" w:rsidRPr="001E2F80" w:rsidRDefault="001E2F80" w:rsidP="001E2F80">
      <w:pPr>
        <w:pStyle w:val="Heading1"/>
        <w:spacing w:before="120" w:after="120"/>
        <w:rPr>
          <w:sz w:val="40"/>
          <w:lang w:val="en-CA"/>
        </w:rPr>
      </w:pPr>
      <w:r w:rsidRPr="001E2F80">
        <w:rPr>
          <w:sz w:val="40"/>
          <w:lang w:val="en-CA"/>
        </w:rPr>
        <w:lastRenderedPageBreak/>
        <w:t>Internal time to staff</w:t>
      </w:r>
    </w:p>
    <w:p w14:paraId="6CA96957" w14:textId="77777777" w:rsidR="004F3406" w:rsidRPr="004F3406" w:rsidRDefault="004F3406" w:rsidP="004F3406">
      <w:pPr>
        <w:pStyle w:val="Caption"/>
        <w:keepNext/>
        <w:spacing w:after="0"/>
        <w:rPr>
          <w:rFonts w:asciiTheme="minorHAnsi" w:hAnsiTheme="minorHAnsi" w:cstheme="minorHAnsi"/>
          <w:i w:val="0"/>
          <w:color w:val="auto"/>
        </w:rPr>
      </w:pPr>
      <w:r w:rsidRPr="004F3406">
        <w:rPr>
          <w:rFonts w:asciiTheme="minorHAnsi" w:hAnsiTheme="minorHAnsi" w:cstheme="minorHAnsi"/>
          <w:i w:val="0"/>
          <w:color w:val="auto"/>
        </w:rPr>
        <w:t xml:space="preserve">Table </w:t>
      </w:r>
      <w:r w:rsidRPr="004F3406">
        <w:rPr>
          <w:rFonts w:asciiTheme="minorHAnsi" w:hAnsiTheme="minorHAnsi" w:cstheme="minorHAnsi"/>
          <w:i w:val="0"/>
          <w:color w:val="auto"/>
        </w:rPr>
        <w:fldChar w:fldCharType="begin"/>
      </w:r>
      <w:r w:rsidRPr="004F3406">
        <w:rPr>
          <w:rFonts w:asciiTheme="minorHAnsi" w:hAnsiTheme="minorHAnsi" w:cstheme="minorHAnsi"/>
          <w:i w:val="0"/>
          <w:color w:val="auto"/>
        </w:rPr>
        <w:instrText xml:space="preserve"> SEQ Table \* ARABIC </w:instrText>
      </w:r>
      <w:r w:rsidRPr="004F3406">
        <w:rPr>
          <w:rFonts w:asciiTheme="minorHAnsi" w:hAnsiTheme="minorHAnsi" w:cstheme="minorHAnsi"/>
          <w:i w:val="0"/>
          <w:color w:val="auto"/>
        </w:rPr>
        <w:fldChar w:fldCharType="separate"/>
      </w:r>
      <w:r w:rsidR="00D22DAD">
        <w:rPr>
          <w:rFonts w:asciiTheme="minorHAnsi" w:hAnsiTheme="minorHAnsi" w:cstheme="minorHAnsi"/>
          <w:i w:val="0"/>
          <w:noProof/>
          <w:color w:val="auto"/>
        </w:rPr>
        <w:t>13</w:t>
      </w:r>
      <w:r w:rsidRPr="004F3406">
        <w:rPr>
          <w:rFonts w:asciiTheme="minorHAnsi" w:hAnsiTheme="minorHAnsi" w:cstheme="minorHAnsi"/>
          <w:i w:val="0"/>
          <w:color w:val="auto"/>
        </w:rPr>
        <w:fldChar w:fldCharType="end"/>
      </w:r>
      <w:r w:rsidRPr="004F3406">
        <w:rPr>
          <w:rFonts w:asciiTheme="minorHAnsi" w:hAnsiTheme="minorHAnsi" w:cstheme="minorHAnsi"/>
          <w:i w:val="0"/>
          <w:color w:val="auto"/>
        </w:rPr>
        <w:t xml:space="preserve"> - Internal time to staff</w:t>
      </w:r>
    </w:p>
    <w:tbl>
      <w:tblPr>
        <w:tblStyle w:val="TableGrid"/>
        <w:tblW w:w="5000" w:type="pct"/>
        <w:jc w:val="center"/>
        <w:tblLook w:val="0020" w:firstRow="1" w:lastRow="0" w:firstColumn="0" w:lastColumn="0" w:noHBand="0" w:noVBand="0"/>
        <w:tblDescription w:val="Internal time to staff"/>
      </w:tblPr>
      <w:tblGrid>
        <w:gridCol w:w="3461"/>
        <w:gridCol w:w="7329"/>
      </w:tblGrid>
      <w:tr w:rsidR="004F3406" w:rsidRPr="00DE4115" w14:paraId="5F6CA03C" w14:textId="77777777" w:rsidTr="006433E3">
        <w:trPr>
          <w:cantSplit/>
          <w:trHeight w:val="290"/>
          <w:tblHeader/>
          <w:jc w:val="center"/>
        </w:trPr>
        <w:tc>
          <w:tcPr>
            <w:tcW w:w="1604" w:type="pct"/>
          </w:tcPr>
          <w:p w14:paraId="3A3B11F6" w14:textId="77777777" w:rsidR="004F3406" w:rsidRPr="00DE4115" w:rsidRDefault="004F3406" w:rsidP="004F3406">
            <w:pPr>
              <w:pStyle w:val="TableTitle"/>
              <w:rPr>
                <w:lang w:val="en-CA"/>
              </w:rPr>
            </w:pPr>
            <w:bookmarkStart w:id="3" w:name="Internal_time_to_staff"/>
            <w:r w:rsidRPr="00DE4115">
              <w:rPr>
                <w:lang w:val="en-CA"/>
              </w:rPr>
              <w:t>Number of calendar days</w:t>
            </w:r>
            <w:bookmarkEnd w:id="3"/>
          </w:p>
        </w:tc>
        <w:tc>
          <w:tcPr>
            <w:tcW w:w="3396" w:type="pct"/>
          </w:tcPr>
          <w:p w14:paraId="072CDED1" w14:textId="77777777" w:rsidR="004F3406" w:rsidRPr="00DE4115" w:rsidRDefault="004F3406" w:rsidP="004F3406">
            <w:pPr>
              <w:pStyle w:val="TableTitle"/>
              <w:rPr>
                <w:lang w:val="en-CA"/>
              </w:rPr>
            </w:pPr>
            <w:r w:rsidRPr="00DE4115">
              <w:rPr>
                <w:lang w:val="en-CA"/>
              </w:rPr>
              <w:t xml:space="preserve">Number of first internal hires in an internal process (internal time to staff) in organizations subject to the </w:t>
            </w:r>
            <w:r w:rsidRPr="004F3406">
              <w:rPr>
                <w:rStyle w:val="Emphasis"/>
                <w:rFonts w:ascii="Segoe UI Semibold" w:hAnsi="Segoe UI Semibold" w:cs="Segoe UI Semibold"/>
                <w:sz w:val="22"/>
              </w:rPr>
              <w:t>Public Service Employment Act</w:t>
            </w:r>
            <w:r w:rsidRPr="00DE4115">
              <w:rPr>
                <w:lang w:val="en-CA"/>
              </w:rPr>
              <w:t>, within specified calendar days</w:t>
            </w:r>
          </w:p>
        </w:tc>
      </w:tr>
      <w:tr w:rsidR="004F3406" w:rsidRPr="004F3406" w14:paraId="47AF5E66" w14:textId="77777777" w:rsidTr="006433E3">
        <w:trPr>
          <w:cantSplit/>
          <w:trHeight w:val="290"/>
          <w:tblHeader/>
          <w:jc w:val="center"/>
        </w:trPr>
        <w:tc>
          <w:tcPr>
            <w:tcW w:w="1604" w:type="pct"/>
          </w:tcPr>
          <w:p w14:paraId="654C135B"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0 calendar days</w:t>
            </w:r>
          </w:p>
        </w:tc>
        <w:tc>
          <w:tcPr>
            <w:tcW w:w="3396" w:type="pct"/>
          </w:tcPr>
          <w:p w14:paraId="328F8A0A"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0</w:t>
            </w:r>
          </w:p>
        </w:tc>
      </w:tr>
      <w:tr w:rsidR="004F3406" w:rsidRPr="004F3406" w14:paraId="46229E4A" w14:textId="77777777" w:rsidTr="006433E3">
        <w:trPr>
          <w:cantSplit/>
          <w:trHeight w:val="290"/>
          <w:tblHeader/>
          <w:jc w:val="center"/>
        </w:trPr>
        <w:tc>
          <w:tcPr>
            <w:tcW w:w="1604" w:type="pct"/>
          </w:tcPr>
          <w:p w14:paraId="2DC554CF"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0 to 29 calendar days</w:t>
            </w:r>
          </w:p>
        </w:tc>
        <w:tc>
          <w:tcPr>
            <w:tcW w:w="3396" w:type="pct"/>
          </w:tcPr>
          <w:p w14:paraId="0653564E"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15</w:t>
            </w:r>
          </w:p>
        </w:tc>
      </w:tr>
      <w:tr w:rsidR="004F3406" w:rsidRPr="004F3406" w14:paraId="46B22B22" w14:textId="77777777" w:rsidTr="006433E3">
        <w:trPr>
          <w:cantSplit/>
          <w:trHeight w:val="290"/>
          <w:tblHeader/>
          <w:jc w:val="center"/>
        </w:trPr>
        <w:tc>
          <w:tcPr>
            <w:tcW w:w="1604" w:type="pct"/>
          </w:tcPr>
          <w:p w14:paraId="391F6050"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30 to 59 calendar days</w:t>
            </w:r>
          </w:p>
        </w:tc>
        <w:tc>
          <w:tcPr>
            <w:tcW w:w="3396" w:type="pct"/>
          </w:tcPr>
          <w:p w14:paraId="03BEB854"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130</w:t>
            </w:r>
          </w:p>
        </w:tc>
      </w:tr>
      <w:tr w:rsidR="004F3406" w:rsidRPr="004F3406" w14:paraId="60EE8E4C" w14:textId="77777777" w:rsidTr="006433E3">
        <w:trPr>
          <w:cantSplit/>
          <w:trHeight w:val="290"/>
          <w:tblHeader/>
          <w:jc w:val="center"/>
        </w:trPr>
        <w:tc>
          <w:tcPr>
            <w:tcW w:w="1604" w:type="pct"/>
          </w:tcPr>
          <w:p w14:paraId="3C2D8F2B"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60 to 89 calendar days</w:t>
            </w:r>
          </w:p>
        </w:tc>
        <w:tc>
          <w:tcPr>
            <w:tcW w:w="3396" w:type="pct"/>
          </w:tcPr>
          <w:p w14:paraId="3ADA39F7"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277</w:t>
            </w:r>
          </w:p>
        </w:tc>
      </w:tr>
      <w:tr w:rsidR="004F3406" w:rsidRPr="004F3406" w14:paraId="07B04CE6" w14:textId="77777777" w:rsidTr="006433E3">
        <w:trPr>
          <w:cantSplit/>
          <w:trHeight w:val="290"/>
          <w:tblHeader/>
          <w:jc w:val="center"/>
        </w:trPr>
        <w:tc>
          <w:tcPr>
            <w:tcW w:w="1604" w:type="pct"/>
          </w:tcPr>
          <w:p w14:paraId="3AD5E415"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90 to 119 calendar days</w:t>
            </w:r>
          </w:p>
        </w:tc>
        <w:tc>
          <w:tcPr>
            <w:tcW w:w="3396" w:type="pct"/>
          </w:tcPr>
          <w:p w14:paraId="3A9BD7BD"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391</w:t>
            </w:r>
          </w:p>
        </w:tc>
      </w:tr>
      <w:tr w:rsidR="004F3406" w:rsidRPr="004F3406" w14:paraId="10712FB4" w14:textId="77777777" w:rsidTr="006433E3">
        <w:trPr>
          <w:cantSplit/>
          <w:trHeight w:val="290"/>
          <w:tblHeader/>
          <w:jc w:val="center"/>
        </w:trPr>
        <w:tc>
          <w:tcPr>
            <w:tcW w:w="1604" w:type="pct"/>
          </w:tcPr>
          <w:p w14:paraId="1182C1DD"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120 to 149 calendar days</w:t>
            </w:r>
          </w:p>
        </w:tc>
        <w:tc>
          <w:tcPr>
            <w:tcW w:w="3396" w:type="pct"/>
          </w:tcPr>
          <w:p w14:paraId="6053F880"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367</w:t>
            </w:r>
          </w:p>
        </w:tc>
      </w:tr>
      <w:tr w:rsidR="004F3406" w:rsidRPr="004F3406" w14:paraId="69780EDD" w14:textId="77777777" w:rsidTr="006433E3">
        <w:trPr>
          <w:cantSplit/>
          <w:trHeight w:val="290"/>
          <w:tblHeader/>
          <w:jc w:val="center"/>
        </w:trPr>
        <w:tc>
          <w:tcPr>
            <w:tcW w:w="1604" w:type="pct"/>
          </w:tcPr>
          <w:p w14:paraId="613FC0C4"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150 to 179 calendar days</w:t>
            </w:r>
          </w:p>
        </w:tc>
        <w:tc>
          <w:tcPr>
            <w:tcW w:w="3396" w:type="pct"/>
          </w:tcPr>
          <w:p w14:paraId="65D2F7C4"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322</w:t>
            </w:r>
          </w:p>
        </w:tc>
      </w:tr>
      <w:tr w:rsidR="004F3406" w:rsidRPr="004F3406" w14:paraId="61F6C067" w14:textId="77777777" w:rsidTr="006433E3">
        <w:trPr>
          <w:cantSplit/>
          <w:trHeight w:val="290"/>
          <w:tblHeader/>
          <w:jc w:val="center"/>
        </w:trPr>
        <w:tc>
          <w:tcPr>
            <w:tcW w:w="1604" w:type="pct"/>
          </w:tcPr>
          <w:p w14:paraId="3DDF2D5F"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180 to 209 calendar days</w:t>
            </w:r>
          </w:p>
        </w:tc>
        <w:tc>
          <w:tcPr>
            <w:tcW w:w="3396" w:type="pct"/>
          </w:tcPr>
          <w:p w14:paraId="35DC5D5E"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278</w:t>
            </w:r>
          </w:p>
        </w:tc>
      </w:tr>
      <w:tr w:rsidR="004F3406" w:rsidRPr="004F3406" w14:paraId="1B8E849E" w14:textId="77777777" w:rsidTr="006433E3">
        <w:trPr>
          <w:cantSplit/>
          <w:trHeight w:val="290"/>
          <w:tblHeader/>
          <w:jc w:val="center"/>
        </w:trPr>
        <w:tc>
          <w:tcPr>
            <w:tcW w:w="1604" w:type="pct"/>
          </w:tcPr>
          <w:p w14:paraId="524026C7"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210 to 239 calendar days</w:t>
            </w:r>
          </w:p>
        </w:tc>
        <w:tc>
          <w:tcPr>
            <w:tcW w:w="3396" w:type="pct"/>
          </w:tcPr>
          <w:p w14:paraId="021C87B3"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241</w:t>
            </w:r>
          </w:p>
        </w:tc>
      </w:tr>
      <w:tr w:rsidR="004F3406" w:rsidRPr="004F3406" w14:paraId="0722708B" w14:textId="77777777" w:rsidTr="006433E3">
        <w:trPr>
          <w:cantSplit/>
          <w:trHeight w:val="290"/>
          <w:tblHeader/>
          <w:jc w:val="center"/>
        </w:trPr>
        <w:tc>
          <w:tcPr>
            <w:tcW w:w="1604" w:type="pct"/>
          </w:tcPr>
          <w:p w14:paraId="458269C8"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240 to 269 calendar days</w:t>
            </w:r>
          </w:p>
        </w:tc>
        <w:tc>
          <w:tcPr>
            <w:tcW w:w="3396" w:type="pct"/>
          </w:tcPr>
          <w:p w14:paraId="3720F9F8"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165</w:t>
            </w:r>
          </w:p>
        </w:tc>
      </w:tr>
      <w:tr w:rsidR="004F3406" w:rsidRPr="004F3406" w14:paraId="57EE398F" w14:textId="77777777" w:rsidTr="006433E3">
        <w:trPr>
          <w:cantSplit/>
          <w:trHeight w:val="290"/>
          <w:tblHeader/>
          <w:jc w:val="center"/>
        </w:trPr>
        <w:tc>
          <w:tcPr>
            <w:tcW w:w="1604" w:type="pct"/>
          </w:tcPr>
          <w:p w14:paraId="4F4448FB"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270 to 299 calendar days</w:t>
            </w:r>
          </w:p>
        </w:tc>
        <w:tc>
          <w:tcPr>
            <w:tcW w:w="3396" w:type="pct"/>
          </w:tcPr>
          <w:p w14:paraId="09B09FC7"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134</w:t>
            </w:r>
          </w:p>
        </w:tc>
      </w:tr>
      <w:tr w:rsidR="004F3406" w:rsidRPr="004F3406" w14:paraId="4F89F649" w14:textId="77777777" w:rsidTr="006433E3">
        <w:trPr>
          <w:cantSplit/>
          <w:trHeight w:val="290"/>
          <w:tblHeader/>
          <w:jc w:val="center"/>
        </w:trPr>
        <w:tc>
          <w:tcPr>
            <w:tcW w:w="1604" w:type="pct"/>
          </w:tcPr>
          <w:p w14:paraId="6922F97D"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300 to 329 calendar days</w:t>
            </w:r>
          </w:p>
        </w:tc>
        <w:tc>
          <w:tcPr>
            <w:tcW w:w="3396" w:type="pct"/>
          </w:tcPr>
          <w:p w14:paraId="7DCA28BE"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107</w:t>
            </w:r>
          </w:p>
        </w:tc>
      </w:tr>
      <w:tr w:rsidR="004F3406" w:rsidRPr="004F3406" w14:paraId="7C633E04" w14:textId="77777777" w:rsidTr="006433E3">
        <w:trPr>
          <w:cantSplit/>
          <w:trHeight w:val="290"/>
          <w:tblHeader/>
          <w:jc w:val="center"/>
        </w:trPr>
        <w:tc>
          <w:tcPr>
            <w:tcW w:w="1604" w:type="pct"/>
          </w:tcPr>
          <w:p w14:paraId="7ABA32B2"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330 to 359 calendar days</w:t>
            </w:r>
          </w:p>
        </w:tc>
        <w:tc>
          <w:tcPr>
            <w:tcW w:w="3396" w:type="pct"/>
          </w:tcPr>
          <w:p w14:paraId="5437D13F"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77</w:t>
            </w:r>
          </w:p>
        </w:tc>
      </w:tr>
      <w:tr w:rsidR="004F3406" w:rsidRPr="004F3406" w14:paraId="0304B303" w14:textId="77777777" w:rsidTr="006433E3">
        <w:trPr>
          <w:cantSplit/>
          <w:trHeight w:val="290"/>
          <w:tblHeader/>
          <w:jc w:val="center"/>
        </w:trPr>
        <w:tc>
          <w:tcPr>
            <w:tcW w:w="1604" w:type="pct"/>
          </w:tcPr>
          <w:p w14:paraId="064F2162"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 xml:space="preserve">360 to 389 calendar days </w:t>
            </w:r>
          </w:p>
        </w:tc>
        <w:tc>
          <w:tcPr>
            <w:tcW w:w="3396" w:type="pct"/>
          </w:tcPr>
          <w:p w14:paraId="24C05EE1"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61</w:t>
            </w:r>
          </w:p>
        </w:tc>
      </w:tr>
      <w:tr w:rsidR="004F3406" w:rsidRPr="004F3406" w14:paraId="0A7D6C21" w14:textId="77777777" w:rsidTr="006433E3">
        <w:trPr>
          <w:cantSplit/>
          <w:trHeight w:val="290"/>
          <w:tblHeader/>
          <w:jc w:val="center"/>
        </w:trPr>
        <w:tc>
          <w:tcPr>
            <w:tcW w:w="1604" w:type="pct"/>
          </w:tcPr>
          <w:p w14:paraId="66542253"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 xml:space="preserve">390 to 419 calendar days </w:t>
            </w:r>
          </w:p>
        </w:tc>
        <w:tc>
          <w:tcPr>
            <w:tcW w:w="3396" w:type="pct"/>
          </w:tcPr>
          <w:p w14:paraId="44B5B8C0"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53</w:t>
            </w:r>
          </w:p>
        </w:tc>
      </w:tr>
      <w:tr w:rsidR="004F3406" w:rsidRPr="004F3406" w14:paraId="3CE79A87" w14:textId="77777777" w:rsidTr="006433E3">
        <w:trPr>
          <w:cantSplit/>
          <w:trHeight w:val="290"/>
          <w:tblHeader/>
          <w:jc w:val="center"/>
        </w:trPr>
        <w:tc>
          <w:tcPr>
            <w:tcW w:w="1604" w:type="pct"/>
          </w:tcPr>
          <w:p w14:paraId="08A9E151"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420 to 449 calendar days</w:t>
            </w:r>
          </w:p>
        </w:tc>
        <w:tc>
          <w:tcPr>
            <w:tcW w:w="3396" w:type="pct"/>
          </w:tcPr>
          <w:p w14:paraId="7835A428"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51</w:t>
            </w:r>
          </w:p>
        </w:tc>
      </w:tr>
      <w:tr w:rsidR="004F3406" w:rsidRPr="004F3406" w14:paraId="7790F83F" w14:textId="77777777" w:rsidTr="006433E3">
        <w:trPr>
          <w:cantSplit/>
          <w:trHeight w:val="290"/>
          <w:tblHeader/>
          <w:jc w:val="center"/>
        </w:trPr>
        <w:tc>
          <w:tcPr>
            <w:tcW w:w="1604" w:type="pct"/>
          </w:tcPr>
          <w:p w14:paraId="1C1FFA99"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 xml:space="preserve">450 to 479 calendar days </w:t>
            </w:r>
          </w:p>
        </w:tc>
        <w:tc>
          <w:tcPr>
            <w:tcW w:w="3396" w:type="pct"/>
          </w:tcPr>
          <w:p w14:paraId="11DD72FC"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42</w:t>
            </w:r>
          </w:p>
        </w:tc>
      </w:tr>
      <w:tr w:rsidR="004F3406" w:rsidRPr="004F3406" w14:paraId="1A296F94" w14:textId="77777777" w:rsidTr="006433E3">
        <w:trPr>
          <w:cantSplit/>
          <w:trHeight w:val="290"/>
          <w:tblHeader/>
          <w:jc w:val="center"/>
        </w:trPr>
        <w:tc>
          <w:tcPr>
            <w:tcW w:w="1604" w:type="pct"/>
          </w:tcPr>
          <w:p w14:paraId="0F908CC4"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 xml:space="preserve">480 to 509 calendar days </w:t>
            </w:r>
          </w:p>
        </w:tc>
        <w:tc>
          <w:tcPr>
            <w:tcW w:w="3396" w:type="pct"/>
          </w:tcPr>
          <w:p w14:paraId="3774E2B1"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40</w:t>
            </w:r>
          </w:p>
        </w:tc>
      </w:tr>
      <w:tr w:rsidR="004F3406" w:rsidRPr="004F3406" w14:paraId="4B0C91B6" w14:textId="77777777" w:rsidTr="006433E3">
        <w:trPr>
          <w:cantSplit/>
          <w:trHeight w:val="290"/>
          <w:tblHeader/>
          <w:jc w:val="center"/>
        </w:trPr>
        <w:tc>
          <w:tcPr>
            <w:tcW w:w="1604" w:type="pct"/>
          </w:tcPr>
          <w:p w14:paraId="42AA3AFC"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 xml:space="preserve">510 to 539 calendar days </w:t>
            </w:r>
          </w:p>
        </w:tc>
        <w:tc>
          <w:tcPr>
            <w:tcW w:w="3396" w:type="pct"/>
          </w:tcPr>
          <w:p w14:paraId="17A5B48F"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32</w:t>
            </w:r>
          </w:p>
        </w:tc>
      </w:tr>
      <w:tr w:rsidR="004F3406" w:rsidRPr="004F3406" w14:paraId="47635FFC" w14:textId="77777777" w:rsidTr="006433E3">
        <w:trPr>
          <w:cantSplit/>
          <w:trHeight w:val="290"/>
          <w:tblHeader/>
          <w:jc w:val="center"/>
        </w:trPr>
        <w:tc>
          <w:tcPr>
            <w:tcW w:w="1604" w:type="pct"/>
          </w:tcPr>
          <w:p w14:paraId="3C3EE310"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540 to 569 calendar days</w:t>
            </w:r>
          </w:p>
        </w:tc>
        <w:tc>
          <w:tcPr>
            <w:tcW w:w="3396" w:type="pct"/>
          </w:tcPr>
          <w:p w14:paraId="53999E86"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24</w:t>
            </w:r>
          </w:p>
        </w:tc>
      </w:tr>
      <w:tr w:rsidR="004F3406" w:rsidRPr="004F3406" w14:paraId="3360B939" w14:textId="77777777" w:rsidTr="006433E3">
        <w:trPr>
          <w:cantSplit/>
          <w:trHeight w:val="290"/>
          <w:tblHeader/>
          <w:jc w:val="center"/>
        </w:trPr>
        <w:tc>
          <w:tcPr>
            <w:tcW w:w="1604" w:type="pct"/>
          </w:tcPr>
          <w:p w14:paraId="4A661033"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570 to 599 calendar days</w:t>
            </w:r>
          </w:p>
        </w:tc>
        <w:tc>
          <w:tcPr>
            <w:tcW w:w="3396" w:type="pct"/>
          </w:tcPr>
          <w:p w14:paraId="48886392"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21</w:t>
            </w:r>
          </w:p>
        </w:tc>
      </w:tr>
      <w:tr w:rsidR="004F3406" w:rsidRPr="004F3406" w14:paraId="4DB230DE" w14:textId="77777777" w:rsidTr="006433E3">
        <w:trPr>
          <w:cantSplit/>
          <w:trHeight w:val="290"/>
          <w:tblHeader/>
          <w:jc w:val="center"/>
        </w:trPr>
        <w:tc>
          <w:tcPr>
            <w:tcW w:w="1604" w:type="pct"/>
          </w:tcPr>
          <w:p w14:paraId="20AE89BD"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600 to 629 calendar days</w:t>
            </w:r>
          </w:p>
        </w:tc>
        <w:tc>
          <w:tcPr>
            <w:tcW w:w="3396" w:type="pct"/>
          </w:tcPr>
          <w:p w14:paraId="62E6DCD1"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11</w:t>
            </w:r>
          </w:p>
        </w:tc>
      </w:tr>
      <w:tr w:rsidR="004F3406" w:rsidRPr="004F3406" w14:paraId="14A1C65C" w14:textId="77777777" w:rsidTr="006433E3">
        <w:trPr>
          <w:cantSplit/>
          <w:trHeight w:val="290"/>
          <w:tblHeader/>
          <w:jc w:val="center"/>
        </w:trPr>
        <w:tc>
          <w:tcPr>
            <w:tcW w:w="1604" w:type="pct"/>
          </w:tcPr>
          <w:p w14:paraId="4809808D"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630 to 659 calendar days</w:t>
            </w:r>
          </w:p>
        </w:tc>
        <w:tc>
          <w:tcPr>
            <w:tcW w:w="3396" w:type="pct"/>
          </w:tcPr>
          <w:p w14:paraId="2F957B23"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19</w:t>
            </w:r>
          </w:p>
        </w:tc>
      </w:tr>
      <w:tr w:rsidR="004F3406" w:rsidRPr="004F3406" w14:paraId="0E820E22" w14:textId="77777777" w:rsidTr="006433E3">
        <w:trPr>
          <w:cantSplit/>
          <w:trHeight w:val="290"/>
          <w:tblHeader/>
          <w:jc w:val="center"/>
        </w:trPr>
        <w:tc>
          <w:tcPr>
            <w:tcW w:w="1604" w:type="pct"/>
          </w:tcPr>
          <w:p w14:paraId="1D436654"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660 to 689 calendar days</w:t>
            </w:r>
          </w:p>
        </w:tc>
        <w:tc>
          <w:tcPr>
            <w:tcW w:w="3396" w:type="pct"/>
          </w:tcPr>
          <w:p w14:paraId="3DB9731E"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3</w:t>
            </w:r>
          </w:p>
        </w:tc>
      </w:tr>
      <w:tr w:rsidR="004F3406" w:rsidRPr="004F3406" w14:paraId="453CE2A4" w14:textId="77777777" w:rsidTr="006433E3">
        <w:trPr>
          <w:cantSplit/>
          <w:trHeight w:val="290"/>
          <w:tblHeader/>
          <w:jc w:val="center"/>
        </w:trPr>
        <w:tc>
          <w:tcPr>
            <w:tcW w:w="1604" w:type="pct"/>
          </w:tcPr>
          <w:p w14:paraId="2E64E5BA"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690 to 719 calendar days</w:t>
            </w:r>
          </w:p>
        </w:tc>
        <w:tc>
          <w:tcPr>
            <w:tcW w:w="3396" w:type="pct"/>
          </w:tcPr>
          <w:p w14:paraId="6FCDCCF6"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13</w:t>
            </w:r>
          </w:p>
        </w:tc>
      </w:tr>
      <w:tr w:rsidR="004F3406" w:rsidRPr="004F3406" w14:paraId="5BBCB74B" w14:textId="77777777" w:rsidTr="006433E3">
        <w:trPr>
          <w:cantSplit/>
          <w:trHeight w:val="302"/>
          <w:tblHeader/>
          <w:jc w:val="center"/>
        </w:trPr>
        <w:tc>
          <w:tcPr>
            <w:tcW w:w="1604" w:type="pct"/>
          </w:tcPr>
          <w:p w14:paraId="4BCF8F5C"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720 to 749 calendar days</w:t>
            </w:r>
          </w:p>
        </w:tc>
        <w:tc>
          <w:tcPr>
            <w:tcW w:w="3396" w:type="pct"/>
          </w:tcPr>
          <w:p w14:paraId="74BB97D5"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6</w:t>
            </w:r>
          </w:p>
        </w:tc>
      </w:tr>
      <w:tr w:rsidR="004F3406" w:rsidRPr="004F3406" w14:paraId="12470531" w14:textId="77777777" w:rsidTr="006433E3">
        <w:trPr>
          <w:cantSplit/>
          <w:trHeight w:val="290"/>
          <w:tblHeader/>
          <w:jc w:val="center"/>
        </w:trPr>
        <w:tc>
          <w:tcPr>
            <w:tcW w:w="1604" w:type="pct"/>
          </w:tcPr>
          <w:p w14:paraId="71D0AE41"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750 to 779 calendar days</w:t>
            </w:r>
          </w:p>
        </w:tc>
        <w:tc>
          <w:tcPr>
            <w:tcW w:w="3396" w:type="pct"/>
          </w:tcPr>
          <w:p w14:paraId="6DB9F709"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5</w:t>
            </w:r>
          </w:p>
        </w:tc>
      </w:tr>
      <w:tr w:rsidR="004F3406" w:rsidRPr="004F3406" w14:paraId="12C0AA7E" w14:textId="77777777" w:rsidTr="006433E3">
        <w:trPr>
          <w:cantSplit/>
          <w:trHeight w:val="290"/>
          <w:tblHeader/>
          <w:jc w:val="center"/>
        </w:trPr>
        <w:tc>
          <w:tcPr>
            <w:tcW w:w="1604" w:type="pct"/>
          </w:tcPr>
          <w:p w14:paraId="499ED216"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780 to 809 calendar days</w:t>
            </w:r>
          </w:p>
        </w:tc>
        <w:tc>
          <w:tcPr>
            <w:tcW w:w="3396" w:type="pct"/>
          </w:tcPr>
          <w:p w14:paraId="6CEE730D"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8</w:t>
            </w:r>
          </w:p>
        </w:tc>
      </w:tr>
      <w:tr w:rsidR="004F3406" w:rsidRPr="004F3406" w14:paraId="6666E559" w14:textId="77777777" w:rsidTr="006433E3">
        <w:trPr>
          <w:cantSplit/>
          <w:trHeight w:val="290"/>
          <w:tblHeader/>
          <w:jc w:val="center"/>
        </w:trPr>
        <w:tc>
          <w:tcPr>
            <w:tcW w:w="1604" w:type="pct"/>
          </w:tcPr>
          <w:p w14:paraId="0459657D"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810 to 839 calendar days</w:t>
            </w:r>
          </w:p>
        </w:tc>
        <w:tc>
          <w:tcPr>
            <w:tcW w:w="3396" w:type="pct"/>
          </w:tcPr>
          <w:p w14:paraId="74972B59"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4</w:t>
            </w:r>
          </w:p>
        </w:tc>
      </w:tr>
      <w:tr w:rsidR="004F3406" w:rsidRPr="004F3406" w14:paraId="37D0CD5F" w14:textId="77777777" w:rsidTr="006433E3">
        <w:trPr>
          <w:cantSplit/>
          <w:trHeight w:val="290"/>
          <w:tblHeader/>
          <w:jc w:val="center"/>
        </w:trPr>
        <w:tc>
          <w:tcPr>
            <w:tcW w:w="1604" w:type="pct"/>
          </w:tcPr>
          <w:p w14:paraId="14797674"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840 to 869 calendar days</w:t>
            </w:r>
          </w:p>
        </w:tc>
        <w:tc>
          <w:tcPr>
            <w:tcW w:w="3396" w:type="pct"/>
          </w:tcPr>
          <w:p w14:paraId="12C201EE"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10</w:t>
            </w:r>
          </w:p>
        </w:tc>
      </w:tr>
      <w:tr w:rsidR="004F3406" w:rsidRPr="004F3406" w14:paraId="7E71742A" w14:textId="77777777" w:rsidTr="006433E3">
        <w:trPr>
          <w:cantSplit/>
          <w:trHeight w:val="290"/>
          <w:tblHeader/>
          <w:jc w:val="center"/>
        </w:trPr>
        <w:tc>
          <w:tcPr>
            <w:tcW w:w="1604" w:type="pct"/>
          </w:tcPr>
          <w:p w14:paraId="60637B0B"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870 to 899 calendar days</w:t>
            </w:r>
          </w:p>
        </w:tc>
        <w:tc>
          <w:tcPr>
            <w:tcW w:w="3396" w:type="pct"/>
          </w:tcPr>
          <w:p w14:paraId="6374446A"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4</w:t>
            </w:r>
          </w:p>
        </w:tc>
      </w:tr>
      <w:tr w:rsidR="004F3406" w:rsidRPr="004F3406" w14:paraId="5BBBCF8C" w14:textId="77777777" w:rsidTr="006433E3">
        <w:trPr>
          <w:cantSplit/>
          <w:trHeight w:val="290"/>
          <w:tblHeader/>
          <w:jc w:val="center"/>
        </w:trPr>
        <w:tc>
          <w:tcPr>
            <w:tcW w:w="1604" w:type="pct"/>
          </w:tcPr>
          <w:p w14:paraId="61827168"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900 to 929 calendar days</w:t>
            </w:r>
          </w:p>
        </w:tc>
        <w:tc>
          <w:tcPr>
            <w:tcW w:w="3396" w:type="pct"/>
          </w:tcPr>
          <w:p w14:paraId="64459040"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5</w:t>
            </w:r>
          </w:p>
        </w:tc>
      </w:tr>
      <w:tr w:rsidR="004F3406" w:rsidRPr="004F3406" w14:paraId="062F7030" w14:textId="77777777" w:rsidTr="006433E3">
        <w:trPr>
          <w:cantSplit/>
          <w:trHeight w:val="290"/>
          <w:tblHeader/>
          <w:jc w:val="center"/>
        </w:trPr>
        <w:tc>
          <w:tcPr>
            <w:tcW w:w="1604" w:type="pct"/>
          </w:tcPr>
          <w:p w14:paraId="4F162811"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930 to 959 calendar days</w:t>
            </w:r>
          </w:p>
        </w:tc>
        <w:tc>
          <w:tcPr>
            <w:tcW w:w="3396" w:type="pct"/>
          </w:tcPr>
          <w:p w14:paraId="200BF7D5"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5</w:t>
            </w:r>
          </w:p>
        </w:tc>
      </w:tr>
      <w:tr w:rsidR="004F3406" w:rsidRPr="004F3406" w14:paraId="1DA3714E" w14:textId="77777777" w:rsidTr="006433E3">
        <w:trPr>
          <w:cantSplit/>
          <w:trHeight w:val="290"/>
          <w:tblHeader/>
          <w:jc w:val="center"/>
        </w:trPr>
        <w:tc>
          <w:tcPr>
            <w:tcW w:w="1604" w:type="pct"/>
          </w:tcPr>
          <w:p w14:paraId="64EF91B0"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960 to 989 calendar days</w:t>
            </w:r>
          </w:p>
        </w:tc>
        <w:tc>
          <w:tcPr>
            <w:tcW w:w="3396" w:type="pct"/>
          </w:tcPr>
          <w:p w14:paraId="55B50C3D"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3</w:t>
            </w:r>
          </w:p>
        </w:tc>
      </w:tr>
      <w:tr w:rsidR="004F3406" w:rsidRPr="004F3406" w14:paraId="38636CA9" w14:textId="77777777" w:rsidTr="006433E3">
        <w:trPr>
          <w:cantSplit/>
          <w:trHeight w:val="290"/>
          <w:tblHeader/>
          <w:jc w:val="center"/>
        </w:trPr>
        <w:tc>
          <w:tcPr>
            <w:tcW w:w="1604" w:type="pct"/>
          </w:tcPr>
          <w:p w14:paraId="223E7B74" w14:textId="77777777" w:rsidR="004F3406" w:rsidRPr="004F3406" w:rsidRDefault="004F3406" w:rsidP="00D22DAD">
            <w:pPr>
              <w:autoSpaceDE w:val="0"/>
              <w:autoSpaceDN w:val="0"/>
              <w:adjustRightInd w:val="0"/>
              <w:rPr>
                <w:rFonts w:asciiTheme="minorHAnsi" w:hAnsiTheme="minorHAnsi" w:cstheme="minorHAnsi"/>
                <w:sz w:val="22"/>
                <w:szCs w:val="22"/>
                <w:lang w:val="en-CA"/>
              </w:rPr>
            </w:pPr>
            <w:r w:rsidRPr="004F3406">
              <w:rPr>
                <w:rFonts w:asciiTheme="minorHAnsi" w:hAnsiTheme="minorHAnsi" w:cstheme="minorHAnsi"/>
                <w:sz w:val="22"/>
                <w:szCs w:val="22"/>
                <w:lang w:val="en-CA"/>
              </w:rPr>
              <w:t xml:space="preserve">more than 990 calendar days </w:t>
            </w:r>
          </w:p>
        </w:tc>
        <w:tc>
          <w:tcPr>
            <w:tcW w:w="3396" w:type="pct"/>
          </w:tcPr>
          <w:p w14:paraId="5212DADF" w14:textId="77777777" w:rsidR="004F3406" w:rsidRPr="004F3406" w:rsidRDefault="004F3406" w:rsidP="00D22DAD">
            <w:pPr>
              <w:autoSpaceDE w:val="0"/>
              <w:autoSpaceDN w:val="0"/>
              <w:adjustRightInd w:val="0"/>
              <w:jc w:val="center"/>
              <w:rPr>
                <w:rFonts w:asciiTheme="minorHAnsi" w:hAnsiTheme="minorHAnsi" w:cstheme="minorHAnsi"/>
                <w:sz w:val="22"/>
                <w:szCs w:val="22"/>
                <w:lang w:val="en-CA"/>
              </w:rPr>
            </w:pPr>
            <w:r w:rsidRPr="004F3406">
              <w:rPr>
                <w:rFonts w:asciiTheme="minorHAnsi" w:hAnsiTheme="minorHAnsi" w:cstheme="minorHAnsi"/>
                <w:sz w:val="22"/>
                <w:szCs w:val="22"/>
                <w:lang w:val="en-CA"/>
              </w:rPr>
              <w:t>23</w:t>
            </w:r>
          </w:p>
        </w:tc>
      </w:tr>
    </w:tbl>
    <w:p w14:paraId="594C6C74" w14:textId="77777777" w:rsidR="007217CF" w:rsidRDefault="007217CF" w:rsidP="00E01E51">
      <w:pPr>
        <w:rPr>
          <w:lang w:val="en-CA"/>
        </w:rPr>
      </w:pPr>
    </w:p>
    <w:p w14:paraId="63E98EE8" w14:textId="77777777" w:rsidR="001E2F80" w:rsidRDefault="001E2F80" w:rsidP="00E01E51">
      <w:pPr>
        <w:rPr>
          <w:lang w:val="en-CA"/>
        </w:rPr>
        <w:sectPr w:rsidR="001E2F80" w:rsidSect="00797FBC">
          <w:pgSz w:w="12240" w:h="15840" w:code="1"/>
          <w:pgMar w:top="720" w:right="720" w:bottom="720" w:left="720" w:header="283" w:footer="170" w:gutter="0"/>
          <w:cols w:space="708"/>
          <w:titlePg/>
          <w:docGrid w:linePitch="360"/>
        </w:sectPr>
      </w:pPr>
    </w:p>
    <w:p w14:paraId="121C4249" w14:textId="77777777" w:rsidR="001E2F80" w:rsidRPr="004F3406" w:rsidRDefault="004F3406" w:rsidP="004F3406">
      <w:pPr>
        <w:pStyle w:val="Heading1"/>
        <w:spacing w:before="120" w:after="120"/>
        <w:rPr>
          <w:sz w:val="40"/>
          <w:lang w:val="en-CA"/>
        </w:rPr>
      </w:pPr>
      <w:r w:rsidRPr="004F3406">
        <w:rPr>
          <w:sz w:val="40"/>
          <w:lang w:val="en-CA"/>
        </w:rPr>
        <w:lastRenderedPageBreak/>
        <w:t>External time to staff</w:t>
      </w:r>
    </w:p>
    <w:p w14:paraId="6127A27D" w14:textId="77777777" w:rsidR="004F3406" w:rsidRDefault="007217CF" w:rsidP="004F3406">
      <w:pPr>
        <w:keepNext/>
      </w:pPr>
      <w:r w:rsidRPr="00DE4115">
        <w:rPr>
          <w:noProof/>
          <w:lang w:val="en-CA" w:eastAsia="en-CA"/>
        </w:rPr>
        <w:drawing>
          <wp:inline distT="0" distB="0" distL="0" distR="0" wp14:anchorId="6D0B15C6" wp14:editId="5D4F3035">
            <wp:extent cx="5648400" cy="3049200"/>
            <wp:effectExtent l="0" t="0" r="9525" b="18415"/>
            <wp:docPr id="21" name="Chart 21" descr="External time to staff Public Service, median = 186 day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F3406" w:rsidRPr="00DE4115">
        <w:rPr>
          <w:noProof/>
          <w:lang w:val="en-CA" w:eastAsia="en-CA"/>
        </w:rPr>
        <mc:AlternateContent>
          <mc:Choice Requires="wps">
            <w:drawing>
              <wp:inline distT="0" distB="0" distL="0" distR="0" wp14:anchorId="41F95505" wp14:editId="153F6CA6">
                <wp:extent cx="5648400" cy="3049200"/>
                <wp:effectExtent l="0" t="0" r="28575" b="18415"/>
                <wp:docPr id="14" name="Text Box 14" descr="Les données sont insuffisantes pour fournir des résultats sur la durée des processus de dotation externe pour le Ministère des Femmes et de l’Égalité des genres." title="Durée du processus de dotation externe pendant l’exercice financier 2018-2019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49D4AE22" w14:textId="77777777" w:rsidR="001D1E20" w:rsidRPr="004F3406" w:rsidRDefault="001D1E20" w:rsidP="004F3406">
                            <w:pPr>
                              <w:spacing w:after="240"/>
                              <w:rPr>
                                <w:rFonts w:asciiTheme="minorHAnsi" w:hAnsiTheme="minorHAnsi" w:cstheme="minorHAnsi"/>
                                <w:szCs w:val="24"/>
                                <w:lang w:val="en-CA"/>
                              </w:rPr>
                            </w:pPr>
                            <w:r w:rsidRPr="004F3406">
                              <w:rPr>
                                <w:rFonts w:asciiTheme="minorHAnsi" w:hAnsiTheme="minorHAnsi" w:cstheme="minorHAnsi"/>
                                <w:szCs w:val="24"/>
                                <w:lang w:val="en-CA"/>
                              </w:rPr>
                              <w:t>External time to staff</w:t>
                            </w:r>
                          </w:p>
                          <w:p w14:paraId="7F2926C3" w14:textId="77777777" w:rsidR="001D1E20" w:rsidRPr="004F3406" w:rsidRDefault="001D1E20" w:rsidP="004F3406">
                            <w:pPr>
                              <w:pStyle w:val="ListParagraph"/>
                              <w:ind w:left="360"/>
                              <w:rPr>
                                <w:rFonts w:asciiTheme="minorHAnsi" w:hAnsiTheme="minorHAnsi" w:cstheme="minorHAnsi"/>
                                <w:lang w:val="en-CA"/>
                              </w:rPr>
                            </w:pPr>
                            <w:r w:rsidRPr="004F3406">
                              <w:rPr>
                                <w:rFonts w:asciiTheme="minorHAnsi" w:hAnsiTheme="minorHAnsi" w:cstheme="minorHAnsi"/>
                                <w:lang w:val="en-CA"/>
                              </w:rPr>
                              <w:t>The data is insufficient for providing results on the internal time to staff for the Department for Women and Gender Equality.</w:t>
                            </w:r>
                          </w:p>
                        </w:txbxContent>
                      </wps:txbx>
                      <wps:bodyPr rot="0" vert="horz" wrap="square" lIns="91440" tIns="45720" rIns="91440" bIns="45720" anchor="t" anchorCtr="0">
                        <a:noAutofit/>
                      </wps:bodyPr>
                    </wps:wsp>
                  </a:graphicData>
                </a:graphic>
              </wp:inline>
            </w:drawing>
          </mc:Choice>
          <mc:Fallback>
            <w:pict>
              <v:shape w14:anchorId="41F95505" id="Text Box 14" o:spid="_x0000_s1027" type="#_x0000_t202" alt="Title: Durée du processus de dotation externe pendant l’exercice financier 2018-2019 pour l'organisme concerné - Description: Les données sont insuffisantes pour fournir des résultats sur la durée des processus de dotation externe pour le Ministère des Femmes et de l’Égalité des genres."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">
                <v:textbox>
                  <w:txbxContent>
                    <w:p w14:paraId="49D4AE22" w14:textId="77777777" w:rsidR="001D1E20" w:rsidRPr="004F3406" w:rsidRDefault="001D1E20" w:rsidP="004F3406">
                      <w:pPr>
                        <w:spacing w:after="240"/>
                        <w:rPr>
                          <w:rFonts w:asciiTheme="minorHAnsi" w:hAnsiTheme="minorHAnsi" w:cstheme="minorHAnsi"/>
                          <w:szCs w:val="24"/>
                          <w:lang w:val="en-CA"/>
                        </w:rPr>
                      </w:pPr>
                      <w:r w:rsidRPr="004F3406">
                        <w:rPr>
                          <w:rFonts w:asciiTheme="minorHAnsi" w:hAnsiTheme="minorHAnsi" w:cstheme="minorHAnsi"/>
                          <w:szCs w:val="24"/>
                          <w:lang w:val="en-CA"/>
                        </w:rPr>
                        <w:t>External time to staff</w:t>
                      </w:r>
                    </w:p>
                    <w:p w14:paraId="7F2926C3" w14:textId="77777777" w:rsidR="001D1E20" w:rsidRPr="004F3406" w:rsidRDefault="001D1E20" w:rsidP="004F3406">
                      <w:pPr>
                        <w:pStyle w:val="ListParagraph"/>
                        <w:ind w:left="360"/>
                        <w:rPr>
                          <w:rFonts w:asciiTheme="minorHAnsi" w:hAnsiTheme="minorHAnsi" w:cstheme="minorHAnsi"/>
                          <w:lang w:val="en-CA"/>
                        </w:rPr>
                      </w:pPr>
                      <w:r w:rsidRPr="004F3406">
                        <w:rPr>
                          <w:rFonts w:asciiTheme="minorHAnsi" w:hAnsiTheme="minorHAnsi" w:cstheme="minorHAnsi"/>
                          <w:lang w:val="en-CA"/>
                        </w:rPr>
                        <w:t>The data is insufficient for providing results on the internal time to staff for the Department for Women and Gender Equality.</w:t>
                      </w:r>
                    </w:p>
                  </w:txbxContent>
                </v:textbox>
                <w10:anchorlock/>
              </v:shape>
            </w:pict>
          </mc:Fallback>
        </mc:AlternateContent>
      </w:r>
    </w:p>
    <w:p w14:paraId="4891898C" w14:textId="77777777" w:rsidR="004F3406" w:rsidRPr="004F3406" w:rsidRDefault="004F3406" w:rsidP="00187FBE">
      <w:pPr>
        <w:pStyle w:val="Caption"/>
        <w:spacing w:after="0"/>
        <w:rPr>
          <w:rFonts w:asciiTheme="minorHAnsi" w:hAnsiTheme="minorHAnsi" w:cstheme="minorHAnsi"/>
          <w:i w:val="0"/>
          <w:color w:val="auto"/>
        </w:rPr>
      </w:pPr>
      <w:r w:rsidRPr="004F3406">
        <w:rPr>
          <w:rFonts w:asciiTheme="minorHAnsi" w:hAnsiTheme="minorHAnsi" w:cstheme="minorHAnsi"/>
          <w:i w:val="0"/>
          <w:color w:val="auto"/>
        </w:rPr>
        <w:t xml:space="preserve">Figure </w:t>
      </w:r>
      <w:r w:rsidRPr="004F3406">
        <w:rPr>
          <w:rFonts w:asciiTheme="minorHAnsi" w:hAnsiTheme="minorHAnsi" w:cstheme="minorHAnsi"/>
          <w:i w:val="0"/>
          <w:color w:val="auto"/>
        </w:rPr>
        <w:fldChar w:fldCharType="begin"/>
      </w:r>
      <w:r w:rsidRPr="004F3406">
        <w:rPr>
          <w:rFonts w:asciiTheme="minorHAnsi" w:hAnsiTheme="minorHAnsi" w:cstheme="minorHAnsi"/>
          <w:i w:val="0"/>
          <w:color w:val="auto"/>
        </w:rPr>
        <w:instrText xml:space="preserve"> SEQ Figure \* ARABIC </w:instrText>
      </w:r>
      <w:r w:rsidRPr="004F3406">
        <w:rPr>
          <w:rFonts w:asciiTheme="minorHAnsi" w:hAnsiTheme="minorHAnsi" w:cstheme="minorHAnsi"/>
          <w:i w:val="0"/>
          <w:color w:val="auto"/>
        </w:rPr>
        <w:fldChar w:fldCharType="separate"/>
      </w:r>
      <w:r w:rsidRPr="004F3406">
        <w:rPr>
          <w:rFonts w:asciiTheme="minorHAnsi" w:hAnsiTheme="minorHAnsi" w:cstheme="minorHAnsi"/>
          <w:i w:val="0"/>
          <w:noProof/>
          <w:color w:val="auto"/>
        </w:rPr>
        <w:t>13</w:t>
      </w:r>
      <w:r w:rsidRPr="004F3406">
        <w:rPr>
          <w:rFonts w:asciiTheme="minorHAnsi" w:hAnsiTheme="minorHAnsi" w:cstheme="minorHAnsi"/>
          <w:i w:val="0"/>
          <w:color w:val="auto"/>
        </w:rPr>
        <w:fldChar w:fldCharType="end"/>
      </w:r>
      <w:r w:rsidRPr="004F3406">
        <w:rPr>
          <w:rFonts w:asciiTheme="minorHAnsi" w:hAnsiTheme="minorHAnsi" w:cstheme="minorHAnsi"/>
          <w:i w:val="0"/>
          <w:color w:val="auto"/>
        </w:rPr>
        <w:t xml:space="preserve"> - External time to staff </w:t>
      </w:r>
      <w:r w:rsidR="00187FBE">
        <w:rPr>
          <w:rFonts w:asciiTheme="minorHAnsi" w:hAnsiTheme="minorHAnsi" w:cstheme="minorHAnsi"/>
          <w:i w:val="0"/>
          <w:color w:val="auto"/>
        </w:rPr>
        <w:t>Public service median = 186 day</w:t>
      </w:r>
      <w:r w:rsidRPr="004F3406">
        <w:rPr>
          <w:rFonts w:asciiTheme="minorHAnsi" w:hAnsiTheme="minorHAnsi" w:cstheme="minorHAnsi"/>
          <w:i w:val="0"/>
          <w:color w:val="auto"/>
        </w:rPr>
        <w:t>s, 2018-2019</w:t>
      </w:r>
    </w:p>
    <w:p w14:paraId="1256AE88" w14:textId="77777777" w:rsidR="007217CF" w:rsidRPr="004F3406" w:rsidRDefault="005A0B13" w:rsidP="004F3406">
      <w:pPr>
        <w:numPr>
          <w:ilvl w:val="1"/>
          <w:numId w:val="0"/>
        </w:numPr>
        <w:spacing w:before="240" w:after="120"/>
        <w:rPr>
          <w:rFonts w:asciiTheme="minorHAnsi" w:hAnsiTheme="minorHAnsi" w:cstheme="minorHAnsi"/>
          <w:sz w:val="22"/>
          <w:szCs w:val="22"/>
          <w:lang w:val="en-CA"/>
        </w:rPr>
      </w:pPr>
      <w:hyperlink w:anchor="External_time_to_staff" w:history="1">
        <w:r w:rsidR="004F3406" w:rsidRPr="004F3406">
          <w:rPr>
            <w:rStyle w:val="Hyperlink"/>
            <w:rFonts w:asciiTheme="minorHAnsi" w:eastAsiaTheme="minorHAnsi" w:hAnsiTheme="minorHAnsi" w:cstheme="minorHAnsi"/>
            <w:sz w:val="22"/>
            <w:szCs w:val="22"/>
            <w:lang w:val="en-CA"/>
          </w:rPr>
          <w:t>External time to staff data table available here</w:t>
        </w:r>
      </w:hyperlink>
    </w:p>
    <w:p w14:paraId="227255C0" w14:textId="77777777" w:rsidR="004F3406" w:rsidRPr="004F3406" w:rsidRDefault="004F3406" w:rsidP="00187FBE">
      <w:pPr>
        <w:spacing w:before="240" w:after="120"/>
        <w:rPr>
          <w:rFonts w:asciiTheme="minorHAnsi" w:hAnsiTheme="minorHAnsi" w:cstheme="minorHAnsi"/>
          <w:sz w:val="22"/>
          <w:szCs w:val="22"/>
          <w:lang w:val="en-CA" w:eastAsia="en-CA"/>
        </w:rPr>
        <w:sectPr w:rsidR="004F3406" w:rsidRPr="004F3406" w:rsidSect="004F3406">
          <w:pgSz w:w="20160" w:h="12240" w:orient="landscape" w:code="5"/>
          <w:pgMar w:top="720" w:right="720" w:bottom="720" w:left="720" w:header="283" w:footer="170" w:gutter="0"/>
          <w:cols w:space="708"/>
          <w:titlePg/>
          <w:docGrid w:linePitch="360"/>
        </w:sectPr>
      </w:pPr>
    </w:p>
    <w:p w14:paraId="17505F06" w14:textId="77777777" w:rsidR="004F3406" w:rsidRPr="004F3406" w:rsidRDefault="004F3406" w:rsidP="00187FBE">
      <w:pPr>
        <w:spacing w:after="120"/>
        <w:rPr>
          <w:rFonts w:asciiTheme="minorHAnsi" w:hAnsiTheme="minorHAnsi" w:cstheme="minorHAnsi"/>
          <w:sz w:val="22"/>
          <w:szCs w:val="22"/>
          <w:lang w:val="en-CA" w:eastAsia="en-CA"/>
        </w:rPr>
      </w:pPr>
      <w:r w:rsidRPr="004F3406">
        <w:rPr>
          <w:rFonts w:asciiTheme="minorHAnsi" w:hAnsiTheme="minorHAnsi" w:cstheme="minorHAnsi"/>
          <w:sz w:val="22"/>
          <w:szCs w:val="22"/>
          <w:lang w:val="en-CA" w:eastAsia="en-CA"/>
        </w:rPr>
        <w:t>External time to staff is calculated as the number of calendar days between the opening date of the advertisement and the date of the first estimated external hire</w:t>
      </w:r>
    </w:p>
    <w:p w14:paraId="015A2C78" w14:textId="77777777" w:rsidR="00187FBE" w:rsidRPr="004F3406" w:rsidRDefault="004F3406" w:rsidP="00187FBE">
      <w:pPr>
        <w:rPr>
          <w:rFonts w:asciiTheme="minorHAnsi" w:hAnsiTheme="minorHAnsi" w:cstheme="minorHAnsi"/>
          <w:b/>
          <w:sz w:val="22"/>
          <w:szCs w:val="22"/>
          <w:lang w:val="en-CA"/>
        </w:rPr>
      </w:pPr>
      <w:r w:rsidRPr="004F3406">
        <w:rPr>
          <w:rFonts w:asciiTheme="minorHAnsi" w:hAnsiTheme="minorHAnsi" w:cstheme="minorHAnsi"/>
          <w:sz w:val="22"/>
          <w:szCs w:val="22"/>
          <w:lang w:val="en-CA" w:eastAsia="en-CA"/>
        </w:rPr>
        <w:t xml:space="preserve">The median external time to staff for the public service (organizations subject to the </w:t>
      </w:r>
      <w:r w:rsidRPr="004F3406">
        <w:rPr>
          <w:rStyle w:val="Emphasis"/>
          <w:rFonts w:cstheme="minorHAnsi"/>
          <w:sz w:val="22"/>
        </w:rPr>
        <w:t>Public Service Employment Act</w:t>
      </w:r>
      <w:r w:rsidRPr="004F3406">
        <w:rPr>
          <w:rFonts w:asciiTheme="minorHAnsi" w:hAnsiTheme="minorHAnsi" w:cstheme="minorHAnsi"/>
          <w:sz w:val="22"/>
          <w:szCs w:val="22"/>
          <w:lang w:val="en-CA" w:eastAsia="en-CA"/>
        </w:rPr>
        <w:t xml:space="preserve"> [PSEA]) for the 2018–2019 fiscal year is 186 days.</w:t>
      </w:r>
      <w:r w:rsidRPr="004F3406">
        <w:rPr>
          <w:rFonts w:asciiTheme="minorHAnsi" w:hAnsiTheme="minorHAnsi" w:cstheme="minorHAnsi"/>
          <w:sz w:val="22"/>
          <w:szCs w:val="22"/>
          <w:lang w:val="en-CA" w:eastAsia="en-CA"/>
        </w:rPr>
        <w:br w:type="column"/>
      </w:r>
      <w:r w:rsidR="00187FBE" w:rsidRPr="004F3406">
        <w:rPr>
          <w:rFonts w:asciiTheme="minorHAnsi" w:hAnsiTheme="minorHAnsi" w:cstheme="minorHAnsi"/>
          <w:b/>
          <w:sz w:val="22"/>
          <w:szCs w:val="22"/>
          <w:lang w:val="en-CA"/>
        </w:rPr>
        <w:t>External time to staff by fiscal year from financier 2018–2019</w:t>
      </w:r>
    </w:p>
    <w:p w14:paraId="7B68AF69" w14:textId="77777777" w:rsidR="004F3406" w:rsidRPr="004F3406" w:rsidRDefault="004F3406" w:rsidP="004F3406">
      <w:pPr>
        <w:rPr>
          <w:rFonts w:asciiTheme="minorHAnsi" w:hAnsiTheme="minorHAnsi" w:cstheme="minorHAnsi"/>
          <w:sz w:val="22"/>
          <w:szCs w:val="22"/>
          <w:lang w:val="en-CA"/>
        </w:rPr>
      </w:pPr>
      <w:r w:rsidRPr="004F3406">
        <w:rPr>
          <w:rFonts w:asciiTheme="minorHAnsi" w:hAnsiTheme="minorHAnsi" w:cstheme="minorHAnsi"/>
          <w:sz w:val="22"/>
          <w:szCs w:val="22"/>
          <w:lang w:val="en-CA"/>
        </w:rPr>
        <w:t>The data is insufficient for providing results on the internal time to staff for the Department for Women and Gender Equality.</w:t>
      </w:r>
    </w:p>
    <w:p w14:paraId="7A1E5BB5" w14:textId="77777777" w:rsidR="004F3406" w:rsidRPr="004F3406" w:rsidRDefault="004F3406" w:rsidP="00E01E51">
      <w:pPr>
        <w:rPr>
          <w:rFonts w:asciiTheme="minorHAnsi" w:hAnsiTheme="minorHAnsi" w:cstheme="minorHAnsi"/>
          <w:sz w:val="22"/>
          <w:szCs w:val="22"/>
          <w:lang w:val="en-CA" w:eastAsia="en-CA"/>
        </w:rPr>
        <w:sectPr w:rsidR="004F3406" w:rsidRPr="004F3406" w:rsidSect="004F3406">
          <w:type w:val="continuous"/>
          <w:pgSz w:w="20160" w:h="12240" w:orient="landscape" w:code="5"/>
          <w:pgMar w:top="720" w:right="720" w:bottom="720" w:left="720" w:header="283" w:footer="170" w:gutter="0"/>
          <w:cols w:num="2" w:space="708"/>
          <w:titlePg/>
          <w:docGrid w:linePitch="360"/>
        </w:sectPr>
      </w:pPr>
    </w:p>
    <w:p w14:paraId="79B13133" w14:textId="77777777" w:rsidR="004F3406" w:rsidRPr="004F3406" w:rsidRDefault="004F3406" w:rsidP="00E01E51">
      <w:pPr>
        <w:rPr>
          <w:rFonts w:asciiTheme="minorHAnsi" w:hAnsiTheme="minorHAnsi" w:cstheme="minorHAnsi"/>
          <w:sz w:val="22"/>
          <w:szCs w:val="22"/>
          <w:lang w:val="en-CA" w:eastAsia="en-CA"/>
        </w:rPr>
      </w:pPr>
    </w:p>
    <w:p w14:paraId="1DB97AE0" w14:textId="77777777" w:rsidR="004F3406" w:rsidRPr="004F3406" w:rsidRDefault="004F3406" w:rsidP="00E01E51">
      <w:pPr>
        <w:rPr>
          <w:rFonts w:asciiTheme="minorHAnsi" w:hAnsiTheme="minorHAnsi" w:cstheme="minorHAnsi"/>
          <w:sz w:val="22"/>
          <w:szCs w:val="22"/>
          <w:lang w:val="en-CA" w:eastAsia="en-CA"/>
        </w:rPr>
        <w:sectPr w:rsidR="004F3406" w:rsidRPr="004F3406" w:rsidSect="004F3406">
          <w:type w:val="continuous"/>
          <w:pgSz w:w="20160" w:h="12240" w:orient="landscape" w:code="5"/>
          <w:pgMar w:top="720" w:right="720" w:bottom="720" w:left="720" w:header="283" w:footer="170" w:gutter="0"/>
          <w:cols w:space="708"/>
          <w:titlePg/>
          <w:docGrid w:linePitch="360"/>
        </w:sectPr>
      </w:pPr>
    </w:p>
    <w:p w14:paraId="6FAB94E6" w14:textId="77777777" w:rsidR="00E01E51" w:rsidRPr="00D22DAD" w:rsidRDefault="00D22DAD" w:rsidP="00D22DAD">
      <w:pPr>
        <w:pStyle w:val="Heading1"/>
        <w:spacing w:before="120" w:after="120"/>
        <w:rPr>
          <w:sz w:val="40"/>
          <w:lang w:val="en-CA" w:eastAsia="en-CA"/>
        </w:rPr>
      </w:pPr>
      <w:r w:rsidRPr="00D22DAD">
        <w:rPr>
          <w:sz w:val="40"/>
          <w:lang w:val="en-CA" w:eastAsia="en-CA"/>
        </w:rPr>
        <w:lastRenderedPageBreak/>
        <w:t>External time to staff</w:t>
      </w:r>
    </w:p>
    <w:p w14:paraId="247C3E3B" w14:textId="77777777" w:rsidR="00D22DAD" w:rsidRPr="00D22DAD" w:rsidRDefault="00D22DAD" w:rsidP="00D22DAD">
      <w:pPr>
        <w:pStyle w:val="Caption"/>
        <w:keepNext/>
        <w:spacing w:after="0"/>
        <w:rPr>
          <w:rFonts w:asciiTheme="minorHAnsi" w:hAnsiTheme="minorHAnsi" w:cstheme="minorHAnsi"/>
          <w:i w:val="0"/>
          <w:color w:val="auto"/>
        </w:rPr>
      </w:pPr>
      <w:r w:rsidRPr="00D22DAD">
        <w:rPr>
          <w:rFonts w:asciiTheme="minorHAnsi" w:hAnsiTheme="minorHAnsi" w:cstheme="minorHAnsi"/>
          <w:i w:val="0"/>
          <w:color w:val="auto"/>
        </w:rPr>
        <w:t xml:space="preserve">Table </w:t>
      </w:r>
      <w:r w:rsidRPr="00D22DAD">
        <w:rPr>
          <w:rFonts w:asciiTheme="minorHAnsi" w:hAnsiTheme="minorHAnsi" w:cstheme="minorHAnsi"/>
          <w:i w:val="0"/>
          <w:color w:val="auto"/>
        </w:rPr>
        <w:fldChar w:fldCharType="begin"/>
      </w:r>
      <w:r w:rsidRPr="00D22DAD">
        <w:rPr>
          <w:rFonts w:asciiTheme="minorHAnsi" w:hAnsiTheme="minorHAnsi" w:cstheme="minorHAnsi"/>
          <w:i w:val="0"/>
          <w:color w:val="auto"/>
        </w:rPr>
        <w:instrText xml:space="preserve"> SEQ Table \* ARABIC </w:instrText>
      </w:r>
      <w:r w:rsidRPr="00D22DAD">
        <w:rPr>
          <w:rFonts w:asciiTheme="minorHAnsi" w:hAnsiTheme="minorHAnsi" w:cstheme="minorHAnsi"/>
          <w:i w:val="0"/>
          <w:color w:val="auto"/>
        </w:rPr>
        <w:fldChar w:fldCharType="separate"/>
      </w:r>
      <w:r w:rsidRPr="00D22DAD">
        <w:rPr>
          <w:rFonts w:asciiTheme="minorHAnsi" w:hAnsiTheme="minorHAnsi" w:cstheme="minorHAnsi"/>
          <w:i w:val="0"/>
          <w:noProof/>
          <w:color w:val="auto"/>
        </w:rPr>
        <w:t>14</w:t>
      </w:r>
      <w:r w:rsidRPr="00D22DAD">
        <w:rPr>
          <w:rFonts w:asciiTheme="minorHAnsi" w:hAnsiTheme="minorHAnsi" w:cstheme="minorHAnsi"/>
          <w:i w:val="0"/>
          <w:color w:val="auto"/>
        </w:rPr>
        <w:fldChar w:fldCharType="end"/>
      </w:r>
      <w:r w:rsidRPr="00D22DAD">
        <w:rPr>
          <w:rFonts w:asciiTheme="minorHAnsi" w:hAnsiTheme="minorHAnsi" w:cstheme="minorHAnsi"/>
          <w:i w:val="0"/>
          <w:color w:val="auto"/>
        </w:rPr>
        <w:t xml:space="preserve"> - External time to staff</w:t>
      </w:r>
    </w:p>
    <w:tbl>
      <w:tblPr>
        <w:tblStyle w:val="TableGrid"/>
        <w:tblW w:w="5000" w:type="pct"/>
        <w:jc w:val="center"/>
        <w:tblLook w:val="0020" w:firstRow="1" w:lastRow="0" w:firstColumn="0" w:lastColumn="0" w:noHBand="0" w:noVBand="0"/>
        <w:tblDescription w:val="External time to staff"/>
      </w:tblPr>
      <w:tblGrid>
        <w:gridCol w:w="4199"/>
        <w:gridCol w:w="5423"/>
      </w:tblGrid>
      <w:tr w:rsidR="00D22DAD" w:rsidRPr="00DE4115" w14:paraId="61064D14" w14:textId="77777777" w:rsidTr="006433E3">
        <w:trPr>
          <w:cantSplit/>
          <w:trHeight w:val="290"/>
          <w:tblHeader/>
          <w:jc w:val="center"/>
        </w:trPr>
        <w:tc>
          <w:tcPr>
            <w:tcW w:w="2182" w:type="pct"/>
          </w:tcPr>
          <w:p w14:paraId="4D6C2EE1" w14:textId="77777777" w:rsidR="00D22DAD" w:rsidRPr="00DE4115" w:rsidRDefault="00D22DAD" w:rsidP="00D22DAD">
            <w:pPr>
              <w:pStyle w:val="TableTitle"/>
              <w:rPr>
                <w:lang w:val="en-CA"/>
              </w:rPr>
            </w:pPr>
            <w:bookmarkStart w:id="4" w:name="External_time_to_staff"/>
            <w:r w:rsidRPr="00DE4115">
              <w:rPr>
                <w:lang w:val="en-CA"/>
              </w:rPr>
              <w:t>Number of calendar days</w:t>
            </w:r>
            <w:bookmarkEnd w:id="4"/>
          </w:p>
        </w:tc>
        <w:tc>
          <w:tcPr>
            <w:tcW w:w="2818" w:type="pct"/>
          </w:tcPr>
          <w:p w14:paraId="4A4F5896" w14:textId="77777777" w:rsidR="00D22DAD" w:rsidRPr="00DE4115" w:rsidRDefault="00D22DAD" w:rsidP="00D22DAD">
            <w:pPr>
              <w:pStyle w:val="TableTitle"/>
              <w:rPr>
                <w:lang w:val="en-CA"/>
              </w:rPr>
            </w:pPr>
            <w:r w:rsidRPr="00DE4115">
              <w:rPr>
                <w:lang w:val="en-CA"/>
              </w:rPr>
              <w:t xml:space="preserve">Number of first external hires in an external process (external time to staff) in organizations subject to the </w:t>
            </w:r>
            <w:r w:rsidRPr="00D22DAD">
              <w:rPr>
                <w:rStyle w:val="Emphasis"/>
                <w:rFonts w:ascii="Segoe UI Semibold" w:hAnsi="Segoe UI Semibold" w:cs="Segoe UI Semibold"/>
                <w:sz w:val="22"/>
              </w:rPr>
              <w:t>Public Service Employment Act</w:t>
            </w:r>
            <w:r w:rsidRPr="00DE4115">
              <w:rPr>
                <w:lang w:val="en-CA"/>
              </w:rPr>
              <w:t>, within specified calendar days</w:t>
            </w:r>
          </w:p>
        </w:tc>
      </w:tr>
      <w:tr w:rsidR="00D22DAD" w:rsidRPr="00D22DAD" w14:paraId="2DF9434A" w14:textId="77777777" w:rsidTr="006433E3">
        <w:trPr>
          <w:cantSplit/>
          <w:trHeight w:val="290"/>
          <w:tblHeader/>
          <w:jc w:val="center"/>
        </w:trPr>
        <w:tc>
          <w:tcPr>
            <w:tcW w:w="2182" w:type="pct"/>
          </w:tcPr>
          <w:p w14:paraId="49C7E942"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0 calendar days</w:t>
            </w:r>
          </w:p>
        </w:tc>
        <w:tc>
          <w:tcPr>
            <w:tcW w:w="2818" w:type="pct"/>
          </w:tcPr>
          <w:p w14:paraId="154C5F86"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0</w:t>
            </w:r>
          </w:p>
        </w:tc>
      </w:tr>
      <w:tr w:rsidR="00D22DAD" w:rsidRPr="00D22DAD" w14:paraId="766E0E17" w14:textId="77777777" w:rsidTr="006433E3">
        <w:trPr>
          <w:cantSplit/>
          <w:trHeight w:val="290"/>
          <w:tblHeader/>
          <w:jc w:val="center"/>
        </w:trPr>
        <w:tc>
          <w:tcPr>
            <w:tcW w:w="2182" w:type="pct"/>
          </w:tcPr>
          <w:p w14:paraId="4E973CC8"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0 to 29 calendar days</w:t>
            </w:r>
          </w:p>
        </w:tc>
        <w:tc>
          <w:tcPr>
            <w:tcW w:w="2818" w:type="pct"/>
          </w:tcPr>
          <w:p w14:paraId="1B03A8C3"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49</w:t>
            </w:r>
          </w:p>
        </w:tc>
      </w:tr>
      <w:tr w:rsidR="00D22DAD" w:rsidRPr="00D22DAD" w14:paraId="2686CEC1" w14:textId="77777777" w:rsidTr="006433E3">
        <w:trPr>
          <w:cantSplit/>
          <w:trHeight w:val="290"/>
          <w:tblHeader/>
          <w:jc w:val="center"/>
        </w:trPr>
        <w:tc>
          <w:tcPr>
            <w:tcW w:w="2182" w:type="pct"/>
          </w:tcPr>
          <w:p w14:paraId="771F6C9B"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30 to 59 calendar days</w:t>
            </w:r>
          </w:p>
        </w:tc>
        <w:tc>
          <w:tcPr>
            <w:tcW w:w="2818" w:type="pct"/>
          </w:tcPr>
          <w:p w14:paraId="0B967803"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82</w:t>
            </w:r>
          </w:p>
        </w:tc>
      </w:tr>
      <w:tr w:rsidR="00D22DAD" w:rsidRPr="00D22DAD" w14:paraId="0196E83C" w14:textId="77777777" w:rsidTr="006433E3">
        <w:trPr>
          <w:cantSplit/>
          <w:trHeight w:val="290"/>
          <w:tblHeader/>
          <w:jc w:val="center"/>
        </w:trPr>
        <w:tc>
          <w:tcPr>
            <w:tcW w:w="2182" w:type="pct"/>
          </w:tcPr>
          <w:p w14:paraId="1CB6766A"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60 to 89 calendar days</w:t>
            </w:r>
          </w:p>
        </w:tc>
        <w:tc>
          <w:tcPr>
            <w:tcW w:w="2818" w:type="pct"/>
          </w:tcPr>
          <w:p w14:paraId="1EE9921B"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124</w:t>
            </w:r>
          </w:p>
        </w:tc>
      </w:tr>
      <w:tr w:rsidR="00D22DAD" w:rsidRPr="00D22DAD" w14:paraId="50A8A145" w14:textId="77777777" w:rsidTr="006433E3">
        <w:trPr>
          <w:cantSplit/>
          <w:trHeight w:val="290"/>
          <w:tblHeader/>
          <w:jc w:val="center"/>
        </w:trPr>
        <w:tc>
          <w:tcPr>
            <w:tcW w:w="2182" w:type="pct"/>
          </w:tcPr>
          <w:p w14:paraId="1557F1C8"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90 to 119 calendar days</w:t>
            </w:r>
          </w:p>
        </w:tc>
        <w:tc>
          <w:tcPr>
            <w:tcW w:w="2818" w:type="pct"/>
          </w:tcPr>
          <w:p w14:paraId="69E35108"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160</w:t>
            </w:r>
          </w:p>
        </w:tc>
      </w:tr>
      <w:tr w:rsidR="00D22DAD" w:rsidRPr="00D22DAD" w14:paraId="17E44C50" w14:textId="77777777" w:rsidTr="006433E3">
        <w:trPr>
          <w:cantSplit/>
          <w:trHeight w:val="290"/>
          <w:tblHeader/>
          <w:jc w:val="center"/>
        </w:trPr>
        <w:tc>
          <w:tcPr>
            <w:tcW w:w="2182" w:type="pct"/>
          </w:tcPr>
          <w:p w14:paraId="703FB1E0"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120 to 149 calendar days</w:t>
            </w:r>
          </w:p>
        </w:tc>
        <w:tc>
          <w:tcPr>
            <w:tcW w:w="2818" w:type="pct"/>
          </w:tcPr>
          <w:p w14:paraId="5697C819"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181</w:t>
            </w:r>
          </w:p>
        </w:tc>
      </w:tr>
      <w:tr w:rsidR="00D22DAD" w:rsidRPr="00D22DAD" w14:paraId="282E7F08" w14:textId="77777777" w:rsidTr="006433E3">
        <w:trPr>
          <w:cantSplit/>
          <w:trHeight w:val="290"/>
          <w:tblHeader/>
          <w:jc w:val="center"/>
        </w:trPr>
        <w:tc>
          <w:tcPr>
            <w:tcW w:w="2182" w:type="pct"/>
          </w:tcPr>
          <w:p w14:paraId="2C505BC0"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150 to 179 calendar days</w:t>
            </w:r>
          </w:p>
        </w:tc>
        <w:tc>
          <w:tcPr>
            <w:tcW w:w="2818" w:type="pct"/>
          </w:tcPr>
          <w:p w14:paraId="21DCA18E"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179</w:t>
            </w:r>
          </w:p>
        </w:tc>
      </w:tr>
      <w:tr w:rsidR="00D22DAD" w:rsidRPr="00D22DAD" w14:paraId="54CB36C5" w14:textId="77777777" w:rsidTr="006433E3">
        <w:trPr>
          <w:cantSplit/>
          <w:trHeight w:val="290"/>
          <w:tblHeader/>
          <w:jc w:val="center"/>
        </w:trPr>
        <w:tc>
          <w:tcPr>
            <w:tcW w:w="2182" w:type="pct"/>
          </w:tcPr>
          <w:p w14:paraId="1ACC2376"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180 to 209 calendar days</w:t>
            </w:r>
          </w:p>
        </w:tc>
        <w:tc>
          <w:tcPr>
            <w:tcW w:w="2818" w:type="pct"/>
          </w:tcPr>
          <w:p w14:paraId="24791945"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160</w:t>
            </w:r>
          </w:p>
        </w:tc>
      </w:tr>
      <w:tr w:rsidR="00D22DAD" w:rsidRPr="00D22DAD" w14:paraId="30C3902C" w14:textId="77777777" w:rsidTr="006433E3">
        <w:trPr>
          <w:cantSplit/>
          <w:trHeight w:val="290"/>
          <w:tblHeader/>
          <w:jc w:val="center"/>
        </w:trPr>
        <w:tc>
          <w:tcPr>
            <w:tcW w:w="2182" w:type="pct"/>
          </w:tcPr>
          <w:p w14:paraId="13010114"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210 to 239 calendar days</w:t>
            </w:r>
          </w:p>
        </w:tc>
        <w:tc>
          <w:tcPr>
            <w:tcW w:w="2818" w:type="pct"/>
          </w:tcPr>
          <w:p w14:paraId="28932A1E"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139</w:t>
            </w:r>
          </w:p>
        </w:tc>
      </w:tr>
      <w:tr w:rsidR="00D22DAD" w:rsidRPr="00D22DAD" w14:paraId="2FA1BCB4" w14:textId="77777777" w:rsidTr="006433E3">
        <w:trPr>
          <w:cantSplit/>
          <w:trHeight w:val="290"/>
          <w:tblHeader/>
          <w:jc w:val="center"/>
        </w:trPr>
        <w:tc>
          <w:tcPr>
            <w:tcW w:w="2182" w:type="pct"/>
          </w:tcPr>
          <w:p w14:paraId="597EC891"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240 to 269 calendar days</w:t>
            </w:r>
          </w:p>
        </w:tc>
        <w:tc>
          <w:tcPr>
            <w:tcW w:w="2818" w:type="pct"/>
          </w:tcPr>
          <w:p w14:paraId="6FE141AF"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84</w:t>
            </w:r>
          </w:p>
        </w:tc>
      </w:tr>
      <w:tr w:rsidR="00D22DAD" w:rsidRPr="00D22DAD" w14:paraId="00B048F8" w14:textId="77777777" w:rsidTr="006433E3">
        <w:trPr>
          <w:cantSplit/>
          <w:trHeight w:val="290"/>
          <w:tblHeader/>
          <w:jc w:val="center"/>
        </w:trPr>
        <w:tc>
          <w:tcPr>
            <w:tcW w:w="2182" w:type="pct"/>
          </w:tcPr>
          <w:p w14:paraId="6AD10F0B"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270 to 299 calendar days</w:t>
            </w:r>
          </w:p>
        </w:tc>
        <w:tc>
          <w:tcPr>
            <w:tcW w:w="2818" w:type="pct"/>
          </w:tcPr>
          <w:p w14:paraId="713B080A"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73</w:t>
            </w:r>
          </w:p>
        </w:tc>
      </w:tr>
      <w:tr w:rsidR="00D22DAD" w:rsidRPr="00D22DAD" w14:paraId="6795D4A0" w14:textId="77777777" w:rsidTr="006433E3">
        <w:trPr>
          <w:cantSplit/>
          <w:trHeight w:val="290"/>
          <w:tblHeader/>
          <w:jc w:val="center"/>
        </w:trPr>
        <w:tc>
          <w:tcPr>
            <w:tcW w:w="2182" w:type="pct"/>
          </w:tcPr>
          <w:p w14:paraId="05EC03C6"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300 to 329 calendar days</w:t>
            </w:r>
          </w:p>
        </w:tc>
        <w:tc>
          <w:tcPr>
            <w:tcW w:w="2818" w:type="pct"/>
          </w:tcPr>
          <w:p w14:paraId="4A5986D1"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61</w:t>
            </w:r>
          </w:p>
        </w:tc>
      </w:tr>
      <w:tr w:rsidR="00D22DAD" w:rsidRPr="00D22DAD" w14:paraId="331D62B1" w14:textId="77777777" w:rsidTr="006433E3">
        <w:trPr>
          <w:cantSplit/>
          <w:trHeight w:val="290"/>
          <w:tblHeader/>
          <w:jc w:val="center"/>
        </w:trPr>
        <w:tc>
          <w:tcPr>
            <w:tcW w:w="2182" w:type="pct"/>
          </w:tcPr>
          <w:p w14:paraId="7A0AF0C3"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330 to 359 calendar days</w:t>
            </w:r>
          </w:p>
        </w:tc>
        <w:tc>
          <w:tcPr>
            <w:tcW w:w="2818" w:type="pct"/>
          </w:tcPr>
          <w:p w14:paraId="10C36599"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41</w:t>
            </w:r>
          </w:p>
        </w:tc>
      </w:tr>
      <w:tr w:rsidR="00D22DAD" w:rsidRPr="00D22DAD" w14:paraId="70661AE8" w14:textId="77777777" w:rsidTr="006433E3">
        <w:trPr>
          <w:cantSplit/>
          <w:trHeight w:val="290"/>
          <w:tblHeader/>
          <w:jc w:val="center"/>
        </w:trPr>
        <w:tc>
          <w:tcPr>
            <w:tcW w:w="2182" w:type="pct"/>
          </w:tcPr>
          <w:p w14:paraId="095FFE6A"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 xml:space="preserve">360 to 389 calendar days </w:t>
            </w:r>
          </w:p>
        </w:tc>
        <w:tc>
          <w:tcPr>
            <w:tcW w:w="2818" w:type="pct"/>
          </w:tcPr>
          <w:p w14:paraId="42AFE161"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43</w:t>
            </w:r>
          </w:p>
        </w:tc>
      </w:tr>
      <w:tr w:rsidR="00D22DAD" w:rsidRPr="00D22DAD" w14:paraId="4E28BDDF" w14:textId="77777777" w:rsidTr="006433E3">
        <w:trPr>
          <w:cantSplit/>
          <w:trHeight w:val="290"/>
          <w:tblHeader/>
          <w:jc w:val="center"/>
        </w:trPr>
        <w:tc>
          <w:tcPr>
            <w:tcW w:w="2182" w:type="pct"/>
          </w:tcPr>
          <w:p w14:paraId="182319DD"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 xml:space="preserve">390 to 419 calendar days </w:t>
            </w:r>
          </w:p>
        </w:tc>
        <w:tc>
          <w:tcPr>
            <w:tcW w:w="2818" w:type="pct"/>
          </w:tcPr>
          <w:p w14:paraId="15A3F633"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49</w:t>
            </w:r>
          </w:p>
        </w:tc>
      </w:tr>
      <w:tr w:rsidR="00D22DAD" w:rsidRPr="00D22DAD" w14:paraId="144976EA" w14:textId="77777777" w:rsidTr="006433E3">
        <w:trPr>
          <w:cantSplit/>
          <w:trHeight w:val="290"/>
          <w:tblHeader/>
          <w:jc w:val="center"/>
        </w:trPr>
        <w:tc>
          <w:tcPr>
            <w:tcW w:w="2182" w:type="pct"/>
          </w:tcPr>
          <w:p w14:paraId="0C08E876"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420 to 449 calendar days</w:t>
            </w:r>
          </w:p>
        </w:tc>
        <w:tc>
          <w:tcPr>
            <w:tcW w:w="2818" w:type="pct"/>
          </w:tcPr>
          <w:p w14:paraId="4CCA9F2E"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35</w:t>
            </w:r>
          </w:p>
        </w:tc>
      </w:tr>
      <w:tr w:rsidR="00D22DAD" w:rsidRPr="00D22DAD" w14:paraId="37B56E90" w14:textId="77777777" w:rsidTr="006433E3">
        <w:trPr>
          <w:cantSplit/>
          <w:trHeight w:val="290"/>
          <w:tblHeader/>
          <w:jc w:val="center"/>
        </w:trPr>
        <w:tc>
          <w:tcPr>
            <w:tcW w:w="2182" w:type="pct"/>
          </w:tcPr>
          <w:p w14:paraId="6163A242"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 xml:space="preserve">450 to 479 calendar days </w:t>
            </w:r>
          </w:p>
        </w:tc>
        <w:tc>
          <w:tcPr>
            <w:tcW w:w="2818" w:type="pct"/>
          </w:tcPr>
          <w:p w14:paraId="4654A11B"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22</w:t>
            </w:r>
          </w:p>
        </w:tc>
      </w:tr>
      <w:tr w:rsidR="00D22DAD" w:rsidRPr="00D22DAD" w14:paraId="4501A915" w14:textId="77777777" w:rsidTr="006433E3">
        <w:trPr>
          <w:cantSplit/>
          <w:trHeight w:val="290"/>
          <w:tblHeader/>
          <w:jc w:val="center"/>
        </w:trPr>
        <w:tc>
          <w:tcPr>
            <w:tcW w:w="2182" w:type="pct"/>
          </w:tcPr>
          <w:p w14:paraId="465F576A"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 xml:space="preserve">480 to 509 calendar days </w:t>
            </w:r>
          </w:p>
        </w:tc>
        <w:tc>
          <w:tcPr>
            <w:tcW w:w="2818" w:type="pct"/>
          </w:tcPr>
          <w:p w14:paraId="52A953D3"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27</w:t>
            </w:r>
          </w:p>
        </w:tc>
      </w:tr>
      <w:tr w:rsidR="00D22DAD" w:rsidRPr="00D22DAD" w14:paraId="76D1E316" w14:textId="77777777" w:rsidTr="006433E3">
        <w:trPr>
          <w:cantSplit/>
          <w:trHeight w:val="290"/>
          <w:tblHeader/>
          <w:jc w:val="center"/>
        </w:trPr>
        <w:tc>
          <w:tcPr>
            <w:tcW w:w="2182" w:type="pct"/>
          </w:tcPr>
          <w:p w14:paraId="6BC065E4"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 xml:space="preserve">510 to 539 calendar days </w:t>
            </w:r>
          </w:p>
        </w:tc>
        <w:tc>
          <w:tcPr>
            <w:tcW w:w="2818" w:type="pct"/>
          </w:tcPr>
          <w:p w14:paraId="4F11BECF"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17</w:t>
            </w:r>
          </w:p>
        </w:tc>
      </w:tr>
      <w:tr w:rsidR="00D22DAD" w:rsidRPr="00D22DAD" w14:paraId="0CB45F9A" w14:textId="77777777" w:rsidTr="006433E3">
        <w:trPr>
          <w:cantSplit/>
          <w:trHeight w:val="290"/>
          <w:tblHeader/>
          <w:jc w:val="center"/>
        </w:trPr>
        <w:tc>
          <w:tcPr>
            <w:tcW w:w="2182" w:type="pct"/>
          </w:tcPr>
          <w:p w14:paraId="6D01C5AA"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540 to 569 calendar days</w:t>
            </w:r>
          </w:p>
        </w:tc>
        <w:tc>
          <w:tcPr>
            <w:tcW w:w="2818" w:type="pct"/>
          </w:tcPr>
          <w:p w14:paraId="78090291"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15</w:t>
            </w:r>
          </w:p>
        </w:tc>
      </w:tr>
      <w:tr w:rsidR="00D22DAD" w:rsidRPr="00D22DAD" w14:paraId="3813BC73" w14:textId="77777777" w:rsidTr="006433E3">
        <w:trPr>
          <w:cantSplit/>
          <w:trHeight w:val="290"/>
          <w:tblHeader/>
          <w:jc w:val="center"/>
        </w:trPr>
        <w:tc>
          <w:tcPr>
            <w:tcW w:w="2182" w:type="pct"/>
          </w:tcPr>
          <w:p w14:paraId="7EC45236"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570 to 599 calendar days</w:t>
            </w:r>
          </w:p>
        </w:tc>
        <w:tc>
          <w:tcPr>
            <w:tcW w:w="2818" w:type="pct"/>
          </w:tcPr>
          <w:p w14:paraId="4C92D575"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14</w:t>
            </w:r>
          </w:p>
        </w:tc>
      </w:tr>
      <w:tr w:rsidR="00D22DAD" w:rsidRPr="00D22DAD" w14:paraId="5147F9AA" w14:textId="77777777" w:rsidTr="006433E3">
        <w:trPr>
          <w:cantSplit/>
          <w:trHeight w:val="290"/>
          <w:tblHeader/>
          <w:jc w:val="center"/>
        </w:trPr>
        <w:tc>
          <w:tcPr>
            <w:tcW w:w="2182" w:type="pct"/>
          </w:tcPr>
          <w:p w14:paraId="68316489"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600 to 629 calendar days</w:t>
            </w:r>
          </w:p>
        </w:tc>
        <w:tc>
          <w:tcPr>
            <w:tcW w:w="2818" w:type="pct"/>
          </w:tcPr>
          <w:p w14:paraId="49EAD707"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12</w:t>
            </w:r>
          </w:p>
        </w:tc>
      </w:tr>
      <w:tr w:rsidR="00D22DAD" w:rsidRPr="00D22DAD" w14:paraId="15BB8DA2" w14:textId="77777777" w:rsidTr="006433E3">
        <w:trPr>
          <w:cantSplit/>
          <w:trHeight w:val="290"/>
          <w:tblHeader/>
          <w:jc w:val="center"/>
        </w:trPr>
        <w:tc>
          <w:tcPr>
            <w:tcW w:w="2182" w:type="pct"/>
          </w:tcPr>
          <w:p w14:paraId="5141CB98"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630 to 659 calendar days</w:t>
            </w:r>
          </w:p>
        </w:tc>
        <w:tc>
          <w:tcPr>
            <w:tcW w:w="2818" w:type="pct"/>
          </w:tcPr>
          <w:p w14:paraId="642C6214"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7</w:t>
            </w:r>
          </w:p>
        </w:tc>
      </w:tr>
      <w:tr w:rsidR="00D22DAD" w:rsidRPr="00D22DAD" w14:paraId="678B7AE8" w14:textId="77777777" w:rsidTr="006433E3">
        <w:trPr>
          <w:cantSplit/>
          <w:trHeight w:val="290"/>
          <w:tblHeader/>
          <w:jc w:val="center"/>
        </w:trPr>
        <w:tc>
          <w:tcPr>
            <w:tcW w:w="2182" w:type="pct"/>
          </w:tcPr>
          <w:p w14:paraId="573536B3" w14:textId="77777777" w:rsidR="00D22DAD" w:rsidRPr="00D22DAD" w:rsidRDefault="00D22DAD" w:rsidP="00D22DAD">
            <w:pPr>
              <w:autoSpaceDE w:val="0"/>
              <w:autoSpaceDN w:val="0"/>
              <w:adjustRightInd w:val="0"/>
              <w:rPr>
                <w:rFonts w:asciiTheme="minorHAnsi" w:hAnsiTheme="minorHAnsi" w:cstheme="minorHAnsi"/>
                <w:sz w:val="22"/>
                <w:szCs w:val="22"/>
                <w:lang w:val="en-CA"/>
              </w:rPr>
            </w:pPr>
            <w:r w:rsidRPr="00D22DAD">
              <w:rPr>
                <w:rFonts w:asciiTheme="minorHAnsi" w:hAnsiTheme="minorHAnsi" w:cstheme="minorHAnsi"/>
                <w:color w:val="000000"/>
                <w:sz w:val="22"/>
                <w:szCs w:val="22"/>
                <w:lang w:val="en-CA"/>
              </w:rPr>
              <w:t>660 to 689 calendar days</w:t>
            </w:r>
          </w:p>
        </w:tc>
        <w:tc>
          <w:tcPr>
            <w:tcW w:w="2818" w:type="pct"/>
          </w:tcPr>
          <w:p w14:paraId="2F80495E"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5</w:t>
            </w:r>
          </w:p>
        </w:tc>
      </w:tr>
      <w:tr w:rsidR="00D22DAD" w:rsidRPr="00D22DAD" w14:paraId="1C5FEC90" w14:textId="77777777" w:rsidTr="006433E3">
        <w:trPr>
          <w:cantSplit/>
          <w:trHeight w:val="290"/>
          <w:tblHeader/>
          <w:jc w:val="center"/>
        </w:trPr>
        <w:tc>
          <w:tcPr>
            <w:tcW w:w="2182" w:type="pct"/>
          </w:tcPr>
          <w:p w14:paraId="6CF6F55D"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690 to 719 calendar days</w:t>
            </w:r>
          </w:p>
        </w:tc>
        <w:tc>
          <w:tcPr>
            <w:tcW w:w="2818" w:type="pct"/>
          </w:tcPr>
          <w:p w14:paraId="592FDDE1"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7</w:t>
            </w:r>
          </w:p>
        </w:tc>
      </w:tr>
      <w:tr w:rsidR="00D22DAD" w:rsidRPr="00D22DAD" w14:paraId="76575127" w14:textId="77777777" w:rsidTr="006433E3">
        <w:trPr>
          <w:cantSplit/>
          <w:trHeight w:val="302"/>
          <w:tblHeader/>
          <w:jc w:val="center"/>
        </w:trPr>
        <w:tc>
          <w:tcPr>
            <w:tcW w:w="2182" w:type="pct"/>
          </w:tcPr>
          <w:p w14:paraId="27031267"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720 to 749 calendar days</w:t>
            </w:r>
          </w:p>
        </w:tc>
        <w:tc>
          <w:tcPr>
            <w:tcW w:w="2818" w:type="pct"/>
          </w:tcPr>
          <w:p w14:paraId="3BE5B4D6"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11</w:t>
            </w:r>
          </w:p>
        </w:tc>
      </w:tr>
      <w:tr w:rsidR="00D22DAD" w:rsidRPr="00D22DAD" w14:paraId="3522A5A4" w14:textId="77777777" w:rsidTr="006433E3">
        <w:trPr>
          <w:cantSplit/>
          <w:trHeight w:val="290"/>
          <w:tblHeader/>
          <w:jc w:val="center"/>
        </w:trPr>
        <w:tc>
          <w:tcPr>
            <w:tcW w:w="2182" w:type="pct"/>
          </w:tcPr>
          <w:p w14:paraId="0ED13617"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750 to 779 calendar days</w:t>
            </w:r>
          </w:p>
        </w:tc>
        <w:tc>
          <w:tcPr>
            <w:tcW w:w="2818" w:type="pct"/>
          </w:tcPr>
          <w:p w14:paraId="0B14B9A5"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3</w:t>
            </w:r>
          </w:p>
        </w:tc>
      </w:tr>
      <w:tr w:rsidR="00D22DAD" w:rsidRPr="00D22DAD" w14:paraId="5EC07868" w14:textId="77777777" w:rsidTr="006433E3">
        <w:trPr>
          <w:cantSplit/>
          <w:trHeight w:val="290"/>
          <w:tblHeader/>
          <w:jc w:val="center"/>
        </w:trPr>
        <w:tc>
          <w:tcPr>
            <w:tcW w:w="2182" w:type="pct"/>
          </w:tcPr>
          <w:p w14:paraId="0D394EFC"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780 to 809 calendar days</w:t>
            </w:r>
          </w:p>
        </w:tc>
        <w:tc>
          <w:tcPr>
            <w:tcW w:w="2818" w:type="pct"/>
          </w:tcPr>
          <w:p w14:paraId="6A97DB2F"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7</w:t>
            </w:r>
          </w:p>
        </w:tc>
      </w:tr>
      <w:tr w:rsidR="00D22DAD" w:rsidRPr="00D22DAD" w14:paraId="523F1B56" w14:textId="77777777" w:rsidTr="006433E3">
        <w:trPr>
          <w:cantSplit/>
          <w:trHeight w:val="290"/>
          <w:tblHeader/>
          <w:jc w:val="center"/>
        </w:trPr>
        <w:tc>
          <w:tcPr>
            <w:tcW w:w="2182" w:type="pct"/>
          </w:tcPr>
          <w:p w14:paraId="18D821EC"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810 to 839 calendar days</w:t>
            </w:r>
          </w:p>
        </w:tc>
        <w:tc>
          <w:tcPr>
            <w:tcW w:w="2818" w:type="pct"/>
          </w:tcPr>
          <w:p w14:paraId="369A230B"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2</w:t>
            </w:r>
          </w:p>
        </w:tc>
      </w:tr>
      <w:tr w:rsidR="00D22DAD" w:rsidRPr="00D22DAD" w14:paraId="543B835D" w14:textId="77777777" w:rsidTr="006433E3">
        <w:trPr>
          <w:cantSplit/>
          <w:trHeight w:val="290"/>
          <w:tblHeader/>
          <w:jc w:val="center"/>
        </w:trPr>
        <w:tc>
          <w:tcPr>
            <w:tcW w:w="2182" w:type="pct"/>
          </w:tcPr>
          <w:p w14:paraId="5A0890E0"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840 to 869 calendar days</w:t>
            </w:r>
          </w:p>
        </w:tc>
        <w:tc>
          <w:tcPr>
            <w:tcW w:w="2818" w:type="pct"/>
          </w:tcPr>
          <w:p w14:paraId="15AACB07"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2</w:t>
            </w:r>
          </w:p>
        </w:tc>
      </w:tr>
      <w:tr w:rsidR="00D22DAD" w:rsidRPr="00D22DAD" w14:paraId="22FBCA76" w14:textId="77777777" w:rsidTr="006433E3">
        <w:trPr>
          <w:cantSplit/>
          <w:trHeight w:val="290"/>
          <w:tblHeader/>
          <w:jc w:val="center"/>
        </w:trPr>
        <w:tc>
          <w:tcPr>
            <w:tcW w:w="2182" w:type="pct"/>
          </w:tcPr>
          <w:p w14:paraId="0A2B6CFE"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870 to 899 calendar days</w:t>
            </w:r>
          </w:p>
        </w:tc>
        <w:tc>
          <w:tcPr>
            <w:tcW w:w="2818" w:type="pct"/>
          </w:tcPr>
          <w:p w14:paraId="3F00F675"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0</w:t>
            </w:r>
          </w:p>
        </w:tc>
      </w:tr>
      <w:tr w:rsidR="00D22DAD" w:rsidRPr="00D22DAD" w14:paraId="192308B2" w14:textId="77777777" w:rsidTr="006433E3">
        <w:trPr>
          <w:cantSplit/>
          <w:trHeight w:val="290"/>
          <w:tblHeader/>
          <w:jc w:val="center"/>
        </w:trPr>
        <w:tc>
          <w:tcPr>
            <w:tcW w:w="2182" w:type="pct"/>
          </w:tcPr>
          <w:p w14:paraId="3092D02F"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900 to 929 calendar days</w:t>
            </w:r>
          </w:p>
        </w:tc>
        <w:tc>
          <w:tcPr>
            <w:tcW w:w="2818" w:type="pct"/>
          </w:tcPr>
          <w:p w14:paraId="0B496136"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3</w:t>
            </w:r>
          </w:p>
        </w:tc>
      </w:tr>
      <w:tr w:rsidR="00D22DAD" w:rsidRPr="00D22DAD" w14:paraId="1859A5C5" w14:textId="77777777" w:rsidTr="006433E3">
        <w:trPr>
          <w:cantSplit/>
          <w:trHeight w:val="290"/>
          <w:tblHeader/>
          <w:jc w:val="center"/>
        </w:trPr>
        <w:tc>
          <w:tcPr>
            <w:tcW w:w="2182" w:type="pct"/>
          </w:tcPr>
          <w:p w14:paraId="7011515A"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930 to 959 calendar days</w:t>
            </w:r>
          </w:p>
        </w:tc>
        <w:tc>
          <w:tcPr>
            <w:tcW w:w="2818" w:type="pct"/>
          </w:tcPr>
          <w:p w14:paraId="636AEED7"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1</w:t>
            </w:r>
          </w:p>
        </w:tc>
      </w:tr>
      <w:tr w:rsidR="00D22DAD" w:rsidRPr="00D22DAD" w14:paraId="473CA407" w14:textId="77777777" w:rsidTr="006433E3">
        <w:trPr>
          <w:cantSplit/>
          <w:trHeight w:val="290"/>
          <w:tblHeader/>
          <w:jc w:val="center"/>
        </w:trPr>
        <w:tc>
          <w:tcPr>
            <w:tcW w:w="2182" w:type="pct"/>
          </w:tcPr>
          <w:p w14:paraId="42392D1D"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960 to 989 calendar days</w:t>
            </w:r>
          </w:p>
        </w:tc>
        <w:tc>
          <w:tcPr>
            <w:tcW w:w="2818" w:type="pct"/>
          </w:tcPr>
          <w:p w14:paraId="2684945E"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0</w:t>
            </w:r>
          </w:p>
        </w:tc>
      </w:tr>
      <w:tr w:rsidR="00D22DAD" w:rsidRPr="00D22DAD" w14:paraId="1E02AC5B" w14:textId="77777777" w:rsidTr="006433E3">
        <w:trPr>
          <w:cantSplit/>
          <w:trHeight w:val="290"/>
          <w:tblHeader/>
          <w:jc w:val="center"/>
        </w:trPr>
        <w:tc>
          <w:tcPr>
            <w:tcW w:w="2182" w:type="pct"/>
          </w:tcPr>
          <w:p w14:paraId="7C6D7E20" w14:textId="77777777" w:rsidR="00D22DAD" w:rsidRPr="00D22DAD" w:rsidRDefault="00D22DAD" w:rsidP="00D22DAD">
            <w:pPr>
              <w:autoSpaceDE w:val="0"/>
              <w:autoSpaceDN w:val="0"/>
              <w:adjustRightInd w:val="0"/>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 xml:space="preserve">more than 990 calendar days </w:t>
            </w:r>
          </w:p>
        </w:tc>
        <w:tc>
          <w:tcPr>
            <w:tcW w:w="2818" w:type="pct"/>
          </w:tcPr>
          <w:p w14:paraId="0F8C8CCF" w14:textId="77777777" w:rsidR="00D22DAD" w:rsidRPr="00D22DAD" w:rsidRDefault="00D22DAD" w:rsidP="00D22DAD">
            <w:pPr>
              <w:autoSpaceDE w:val="0"/>
              <w:autoSpaceDN w:val="0"/>
              <w:adjustRightInd w:val="0"/>
              <w:jc w:val="center"/>
              <w:rPr>
                <w:rFonts w:asciiTheme="minorHAnsi" w:hAnsiTheme="minorHAnsi" w:cstheme="minorHAnsi"/>
                <w:color w:val="000000"/>
                <w:sz w:val="22"/>
                <w:szCs w:val="22"/>
                <w:lang w:val="en-CA"/>
              </w:rPr>
            </w:pPr>
            <w:r w:rsidRPr="00D22DAD">
              <w:rPr>
                <w:rFonts w:asciiTheme="minorHAnsi" w:hAnsiTheme="minorHAnsi" w:cstheme="minorHAnsi"/>
                <w:color w:val="000000"/>
                <w:sz w:val="22"/>
                <w:szCs w:val="22"/>
                <w:lang w:val="en-CA"/>
              </w:rPr>
              <w:t>0</w:t>
            </w:r>
          </w:p>
        </w:tc>
      </w:tr>
    </w:tbl>
    <w:p w14:paraId="679AD9A7" w14:textId="77777777" w:rsidR="00D22DAD" w:rsidRDefault="00D22DAD" w:rsidP="00E01E51">
      <w:pPr>
        <w:rPr>
          <w:b/>
          <w:bCs/>
          <w:szCs w:val="24"/>
          <w:lang w:val="en-CA"/>
        </w:rPr>
        <w:sectPr w:rsidR="00D22DAD" w:rsidSect="00797FBC">
          <w:headerReference w:type="default" r:id="rId27"/>
          <w:footerReference w:type="even" r:id="rId28"/>
          <w:footerReference w:type="default" r:id="rId29"/>
          <w:pgSz w:w="12240" w:h="15840" w:code="1"/>
          <w:pgMar w:top="709" w:right="1304" w:bottom="1361" w:left="1304" w:header="708" w:footer="283" w:gutter="0"/>
          <w:cols w:space="708"/>
          <w:titlePg/>
          <w:docGrid w:linePitch="360"/>
        </w:sectPr>
      </w:pPr>
    </w:p>
    <w:p w14:paraId="3A9CB728" w14:textId="77777777" w:rsidR="00E01E51" w:rsidRPr="00D22DAD" w:rsidRDefault="00187FBE" w:rsidP="00D22DAD">
      <w:pPr>
        <w:pStyle w:val="Heading1"/>
        <w:spacing w:after="120"/>
        <w:rPr>
          <w:sz w:val="40"/>
        </w:rPr>
      </w:pPr>
      <w:r>
        <w:rPr>
          <w:sz w:val="40"/>
        </w:rPr>
        <w:lastRenderedPageBreak/>
        <w:t>Technical N</w:t>
      </w:r>
      <w:r w:rsidR="00961F13" w:rsidRPr="00D22DAD">
        <w:rPr>
          <w:sz w:val="40"/>
        </w:rPr>
        <w:t>otes</w:t>
      </w:r>
      <w:r w:rsidR="00E01E51" w:rsidRPr="00D22DAD">
        <w:rPr>
          <w:sz w:val="40"/>
        </w:rPr>
        <w:t>:</w:t>
      </w:r>
      <w:r w:rsidR="00961F13" w:rsidRPr="00D22DAD">
        <w:rPr>
          <w:sz w:val="40"/>
        </w:rPr>
        <w:t xml:space="preserve"> </w:t>
      </w:r>
    </w:p>
    <w:p w14:paraId="292B4B0E" w14:textId="77777777" w:rsidR="00E01E51" w:rsidRPr="00D22DAD" w:rsidRDefault="00556D93" w:rsidP="005B2461">
      <w:pPr>
        <w:pStyle w:val="ListParagraph"/>
        <w:numPr>
          <w:ilvl w:val="0"/>
          <w:numId w:val="30"/>
        </w:numPr>
        <w:spacing w:after="0"/>
        <w:contextualSpacing w:val="0"/>
        <w:rPr>
          <w:rFonts w:asciiTheme="minorHAnsi" w:hAnsiTheme="minorHAnsi" w:cstheme="minorHAnsi"/>
          <w:sz w:val="22"/>
          <w:szCs w:val="22"/>
          <w:lang w:val="en-CA"/>
        </w:rPr>
      </w:pPr>
      <w:r w:rsidRPr="00D22DAD">
        <w:rPr>
          <w:rFonts w:asciiTheme="minorHAnsi" w:eastAsiaTheme="minorHAnsi" w:hAnsiTheme="minorHAnsi" w:cstheme="minorHAnsi"/>
          <w:bCs/>
          <w:sz w:val="22"/>
          <w:szCs w:val="22"/>
          <w:lang w:val="en-CA"/>
        </w:rPr>
        <w:t>Time to staff</w:t>
      </w:r>
      <w:r w:rsidR="00E01E51" w:rsidRPr="00D22DAD">
        <w:rPr>
          <w:rFonts w:asciiTheme="minorHAnsi" w:eastAsiaTheme="minorHAnsi" w:hAnsiTheme="minorHAnsi" w:cstheme="minorHAnsi"/>
          <w:bCs/>
          <w:sz w:val="22"/>
          <w:szCs w:val="22"/>
          <w:lang w:val="en-CA"/>
        </w:rPr>
        <w:t xml:space="preserve"> </w:t>
      </w:r>
      <w:r w:rsidR="00916D83" w:rsidRPr="00D22DAD">
        <w:rPr>
          <w:rFonts w:asciiTheme="minorHAnsi" w:eastAsiaTheme="minorHAnsi" w:hAnsiTheme="minorHAnsi" w:cstheme="minorHAnsi"/>
          <w:bCs/>
          <w:sz w:val="22"/>
          <w:szCs w:val="22"/>
          <w:lang w:val="en-CA"/>
        </w:rPr>
        <w:t xml:space="preserve">– </w:t>
      </w:r>
      <w:r w:rsidRPr="00D22DAD">
        <w:rPr>
          <w:rFonts w:asciiTheme="minorHAnsi" w:eastAsiaTheme="minorHAnsi" w:hAnsiTheme="minorHAnsi" w:cstheme="minorHAnsi"/>
          <w:bCs/>
          <w:sz w:val="22"/>
          <w:szCs w:val="22"/>
          <w:lang w:val="en-CA"/>
        </w:rPr>
        <w:t>Internal Appointments (TTS-IA</w:t>
      </w:r>
      <w:r w:rsidR="00E01E51" w:rsidRPr="00D22DAD">
        <w:rPr>
          <w:rFonts w:asciiTheme="minorHAnsi" w:eastAsiaTheme="minorHAnsi" w:hAnsiTheme="minorHAnsi" w:cstheme="minorHAnsi"/>
          <w:bCs/>
          <w:sz w:val="22"/>
          <w:szCs w:val="22"/>
          <w:lang w:val="en-CA"/>
        </w:rPr>
        <w:t xml:space="preserve">) </w:t>
      </w:r>
      <w:r w:rsidRPr="00D22DAD">
        <w:rPr>
          <w:rFonts w:asciiTheme="minorHAnsi" w:eastAsiaTheme="minorHAnsi" w:hAnsiTheme="minorHAnsi" w:cstheme="minorHAnsi"/>
          <w:bCs/>
          <w:sz w:val="22"/>
          <w:szCs w:val="22"/>
          <w:lang w:val="en-CA"/>
        </w:rPr>
        <w:t>is the median number of calendar days between the opening date of an internal advertisement and the date of the first Notice of Appointment or Proposal of Appointment (NAPA) from the Public Service Resourcing System (PSRS) for internal term and indeterminate positions</w:t>
      </w:r>
      <w:r w:rsidR="00E01E51" w:rsidRPr="00D22DAD">
        <w:rPr>
          <w:rFonts w:asciiTheme="minorHAnsi" w:hAnsiTheme="minorHAnsi" w:cstheme="minorHAnsi"/>
          <w:sz w:val="22"/>
          <w:szCs w:val="22"/>
          <w:lang w:val="en-CA"/>
        </w:rPr>
        <w:t>.</w:t>
      </w:r>
    </w:p>
    <w:p w14:paraId="7CEB2389" w14:textId="77777777" w:rsidR="00E01E51" w:rsidRPr="00D22DAD" w:rsidRDefault="00556D93" w:rsidP="005B2461">
      <w:pPr>
        <w:pStyle w:val="ListParagraph"/>
        <w:numPr>
          <w:ilvl w:val="0"/>
          <w:numId w:val="30"/>
        </w:numPr>
        <w:spacing w:after="0"/>
        <w:rPr>
          <w:rFonts w:asciiTheme="minorHAnsi" w:eastAsiaTheme="minorHAnsi" w:hAnsiTheme="minorHAnsi" w:cstheme="minorHAnsi"/>
          <w:bCs/>
          <w:sz w:val="22"/>
          <w:szCs w:val="22"/>
          <w:lang w:val="en-CA"/>
        </w:rPr>
      </w:pPr>
      <w:r w:rsidRPr="00D22DAD">
        <w:rPr>
          <w:rFonts w:asciiTheme="minorHAnsi" w:eastAsiaTheme="minorHAnsi" w:hAnsiTheme="minorHAnsi" w:cstheme="minorHAnsi"/>
          <w:bCs/>
          <w:sz w:val="22"/>
          <w:szCs w:val="22"/>
          <w:lang w:val="en-CA"/>
        </w:rPr>
        <w:t>Time to staff</w:t>
      </w:r>
      <w:r w:rsidR="00E01E51" w:rsidRPr="00D22DAD">
        <w:rPr>
          <w:rFonts w:asciiTheme="minorHAnsi" w:eastAsiaTheme="minorHAnsi" w:hAnsiTheme="minorHAnsi" w:cstheme="minorHAnsi"/>
          <w:bCs/>
          <w:sz w:val="22"/>
          <w:szCs w:val="22"/>
          <w:lang w:val="en-CA"/>
        </w:rPr>
        <w:t xml:space="preserve"> </w:t>
      </w:r>
      <w:r w:rsidR="00916D83" w:rsidRPr="00D22DAD">
        <w:rPr>
          <w:rFonts w:asciiTheme="minorHAnsi" w:eastAsiaTheme="minorHAnsi" w:hAnsiTheme="minorHAnsi" w:cstheme="minorHAnsi"/>
          <w:bCs/>
          <w:sz w:val="22"/>
          <w:szCs w:val="22"/>
          <w:lang w:val="en-CA"/>
        </w:rPr>
        <w:t xml:space="preserve">– </w:t>
      </w:r>
      <w:r w:rsidRPr="00D22DAD">
        <w:rPr>
          <w:rFonts w:asciiTheme="minorHAnsi" w:eastAsiaTheme="minorHAnsi" w:hAnsiTheme="minorHAnsi" w:cstheme="minorHAnsi"/>
          <w:bCs/>
          <w:sz w:val="22"/>
          <w:szCs w:val="22"/>
          <w:lang w:val="en-CA"/>
        </w:rPr>
        <w:t>External Appointments</w:t>
      </w:r>
      <w:r w:rsidR="00725D15" w:rsidRPr="00D22DAD">
        <w:rPr>
          <w:rFonts w:asciiTheme="minorHAnsi" w:eastAsiaTheme="minorHAnsi" w:hAnsiTheme="minorHAnsi" w:cstheme="minorHAnsi"/>
          <w:bCs/>
          <w:sz w:val="22"/>
          <w:szCs w:val="22"/>
          <w:lang w:val="en-CA"/>
        </w:rPr>
        <w:t xml:space="preserve"> (TTS-EA) is the median number of calendar days between the opening date of an external advertisement and the date of the first estimated appointment of an individual from outside an organization subject to the </w:t>
      </w:r>
      <w:r w:rsidR="00725D15" w:rsidRPr="00D22DAD">
        <w:rPr>
          <w:rStyle w:val="Emphasis"/>
          <w:rFonts w:eastAsiaTheme="minorHAnsi" w:cstheme="minorHAnsi"/>
          <w:sz w:val="22"/>
        </w:rPr>
        <w:t>Public Service Employment Act</w:t>
      </w:r>
      <w:r w:rsidR="00725D15" w:rsidRPr="00D22DAD">
        <w:rPr>
          <w:rFonts w:asciiTheme="minorHAnsi" w:eastAsiaTheme="minorHAnsi" w:hAnsiTheme="minorHAnsi" w:cstheme="minorHAnsi"/>
          <w:bCs/>
          <w:sz w:val="28"/>
          <w:szCs w:val="22"/>
          <w:lang w:val="en-CA"/>
        </w:rPr>
        <w:t xml:space="preserve"> </w:t>
      </w:r>
      <w:r w:rsidR="00725D15" w:rsidRPr="00D22DAD">
        <w:rPr>
          <w:rFonts w:asciiTheme="minorHAnsi" w:eastAsiaTheme="minorHAnsi" w:hAnsiTheme="minorHAnsi" w:cstheme="minorHAnsi"/>
          <w:bCs/>
          <w:sz w:val="22"/>
          <w:szCs w:val="22"/>
          <w:lang w:val="en-CA"/>
        </w:rPr>
        <w:t>for term and indeterminate positions.</w:t>
      </w:r>
      <w:r w:rsidR="00E01E51" w:rsidRPr="00D22DAD">
        <w:rPr>
          <w:rFonts w:asciiTheme="minorHAnsi" w:eastAsiaTheme="minorHAnsi" w:hAnsiTheme="minorHAnsi" w:cstheme="minorHAnsi"/>
          <w:bCs/>
          <w:sz w:val="22"/>
          <w:szCs w:val="22"/>
          <w:lang w:val="en-CA"/>
        </w:rPr>
        <w:t xml:space="preserve"> </w:t>
      </w:r>
      <w:r w:rsidR="00725D15" w:rsidRPr="00D22DAD">
        <w:rPr>
          <w:rFonts w:asciiTheme="minorHAnsi" w:eastAsiaTheme="minorHAnsi" w:hAnsiTheme="minorHAnsi" w:cstheme="minorHAnsi"/>
          <w:bCs/>
          <w:sz w:val="22"/>
          <w:szCs w:val="22"/>
          <w:lang w:val="en-CA"/>
        </w:rPr>
        <w:t>Since data between systems is linked using probabilistic matching, measurement errors are possible.</w:t>
      </w:r>
    </w:p>
    <w:p w14:paraId="63BF3B99" w14:textId="77777777" w:rsidR="00E01E51" w:rsidRPr="00D22DAD" w:rsidRDefault="000555C2" w:rsidP="005B2461">
      <w:pPr>
        <w:pStyle w:val="ListParagraph"/>
        <w:numPr>
          <w:ilvl w:val="0"/>
          <w:numId w:val="30"/>
        </w:numPr>
        <w:spacing w:after="120"/>
        <w:rPr>
          <w:rFonts w:asciiTheme="minorHAnsi" w:eastAsiaTheme="minorHAnsi" w:hAnsiTheme="minorHAnsi" w:cstheme="minorHAnsi"/>
          <w:bCs/>
          <w:sz w:val="22"/>
          <w:szCs w:val="22"/>
          <w:lang w:val="en-CA"/>
        </w:rPr>
      </w:pPr>
      <w:r w:rsidRPr="00D22DAD">
        <w:rPr>
          <w:rFonts w:asciiTheme="minorHAnsi" w:eastAsiaTheme="minorHAnsi" w:hAnsiTheme="minorHAnsi" w:cstheme="minorHAnsi"/>
          <w:bCs/>
          <w:sz w:val="22"/>
          <w:szCs w:val="22"/>
          <w:lang w:val="en-CA"/>
        </w:rPr>
        <w:t>Only term and indeterminate appointments are included (deployments, casual and acting appointments are excluded</w:t>
      </w:r>
      <w:r w:rsidR="00E01E51" w:rsidRPr="00D22DAD">
        <w:rPr>
          <w:rFonts w:asciiTheme="minorHAnsi" w:eastAsiaTheme="minorHAnsi" w:hAnsiTheme="minorHAnsi" w:cstheme="minorHAnsi"/>
          <w:bCs/>
          <w:sz w:val="22"/>
          <w:szCs w:val="22"/>
          <w:lang w:val="en-CA"/>
        </w:rPr>
        <w:t>).</w:t>
      </w:r>
    </w:p>
    <w:p w14:paraId="3A5E4E19" w14:textId="77777777" w:rsidR="00E01E51" w:rsidRPr="00D22DAD" w:rsidRDefault="00725D15" w:rsidP="00D22DAD">
      <w:pPr>
        <w:pStyle w:val="Heading1"/>
        <w:spacing w:after="120"/>
        <w:rPr>
          <w:sz w:val="40"/>
        </w:rPr>
      </w:pPr>
      <w:r w:rsidRPr="00D22DAD">
        <w:rPr>
          <w:sz w:val="40"/>
        </w:rPr>
        <w:t>Source</w:t>
      </w:r>
      <w:r w:rsidR="00D22DAD">
        <w:rPr>
          <w:sz w:val="40"/>
        </w:rPr>
        <w:t>s</w:t>
      </w:r>
      <w:r w:rsidR="00E01E51" w:rsidRPr="00D22DAD">
        <w:rPr>
          <w:sz w:val="40"/>
        </w:rPr>
        <w:t>:</w:t>
      </w:r>
    </w:p>
    <w:p w14:paraId="4EE6F60A" w14:textId="77777777" w:rsidR="00E01E51" w:rsidRPr="00D22DAD" w:rsidRDefault="00725D15" w:rsidP="005B2461">
      <w:pPr>
        <w:pStyle w:val="ListParagraph"/>
        <w:numPr>
          <w:ilvl w:val="0"/>
          <w:numId w:val="29"/>
        </w:numPr>
        <w:spacing w:after="0"/>
        <w:rPr>
          <w:rFonts w:asciiTheme="minorHAnsi" w:eastAsiaTheme="minorHAnsi" w:hAnsiTheme="minorHAnsi" w:cstheme="minorHAnsi"/>
          <w:bCs/>
          <w:sz w:val="22"/>
          <w:szCs w:val="22"/>
          <w:lang w:val="en-CA"/>
        </w:rPr>
      </w:pPr>
      <w:r w:rsidRPr="00D22DAD">
        <w:rPr>
          <w:rFonts w:asciiTheme="minorHAnsi" w:eastAsiaTheme="minorHAnsi" w:hAnsiTheme="minorHAnsi" w:cstheme="minorHAnsi"/>
          <w:bCs/>
          <w:sz w:val="22"/>
          <w:szCs w:val="22"/>
          <w:lang w:val="en-CA"/>
        </w:rPr>
        <w:t xml:space="preserve">Data on hiring and staffing activities </w:t>
      </w:r>
      <w:r w:rsidR="0050454E" w:rsidRPr="00D22DAD">
        <w:rPr>
          <w:rFonts w:asciiTheme="minorHAnsi" w:eastAsiaTheme="minorHAnsi" w:hAnsiTheme="minorHAnsi" w:cstheme="minorHAnsi"/>
          <w:bCs/>
          <w:sz w:val="22"/>
          <w:szCs w:val="22"/>
          <w:lang w:val="en-CA"/>
        </w:rPr>
        <w:t>is</w:t>
      </w:r>
      <w:r w:rsidRPr="00D22DAD">
        <w:rPr>
          <w:rFonts w:asciiTheme="minorHAnsi" w:eastAsiaTheme="minorHAnsi" w:hAnsiTheme="minorHAnsi" w:cstheme="minorHAnsi"/>
          <w:bCs/>
          <w:sz w:val="22"/>
          <w:szCs w:val="22"/>
          <w:lang w:val="en-CA"/>
        </w:rPr>
        <w:t xml:space="preserve"> derived from </w:t>
      </w:r>
      <w:r w:rsidR="00885AB9" w:rsidRPr="00D22DAD">
        <w:rPr>
          <w:rFonts w:asciiTheme="minorHAnsi" w:eastAsiaTheme="minorHAnsi" w:hAnsiTheme="minorHAnsi" w:cstheme="minorHAnsi"/>
          <w:bCs/>
          <w:sz w:val="22"/>
          <w:szCs w:val="22"/>
          <w:lang w:val="en-CA"/>
        </w:rPr>
        <w:t>information received from the Treasury Board of Canada Secretariat Incumbent File</w:t>
      </w:r>
      <w:r w:rsidRPr="00D22DAD">
        <w:rPr>
          <w:rFonts w:asciiTheme="minorHAnsi" w:eastAsiaTheme="minorHAnsi" w:hAnsiTheme="minorHAnsi" w:cstheme="minorHAnsi"/>
          <w:bCs/>
          <w:sz w:val="22"/>
          <w:szCs w:val="22"/>
          <w:lang w:val="en-CA"/>
        </w:rPr>
        <w:t xml:space="preserve">. The Incumbent </w:t>
      </w:r>
      <w:r w:rsidR="006B5981" w:rsidRPr="00D22DAD">
        <w:rPr>
          <w:rFonts w:asciiTheme="minorHAnsi" w:eastAsiaTheme="minorHAnsi" w:hAnsiTheme="minorHAnsi" w:cstheme="minorHAnsi"/>
          <w:bCs/>
          <w:sz w:val="22"/>
          <w:szCs w:val="22"/>
          <w:lang w:val="en-CA"/>
        </w:rPr>
        <w:t>F</w:t>
      </w:r>
      <w:r w:rsidRPr="00D22DAD">
        <w:rPr>
          <w:rFonts w:asciiTheme="minorHAnsi" w:eastAsiaTheme="minorHAnsi" w:hAnsiTheme="minorHAnsi" w:cstheme="minorHAnsi"/>
          <w:bCs/>
          <w:sz w:val="22"/>
          <w:szCs w:val="22"/>
          <w:lang w:val="en-CA"/>
        </w:rPr>
        <w:t xml:space="preserve">ile is extracted from Public Services and Procurement Canada’s compensation system. Data </w:t>
      </w:r>
      <w:r w:rsidR="00437798" w:rsidRPr="00D22DAD">
        <w:rPr>
          <w:rFonts w:asciiTheme="minorHAnsi" w:eastAsiaTheme="minorHAnsi" w:hAnsiTheme="minorHAnsi" w:cstheme="minorHAnsi"/>
          <w:bCs/>
          <w:sz w:val="22"/>
          <w:szCs w:val="22"/>
          <w:lang w:val="en-CA"/>
        </w:rPr>
        <w:t xml:space="preserve">are </w:t>
      </w:r>
      <w:r w:rsidRPr="00D22DAD">
        <w:rPr>
          <w:rFonts w:asciiTheme="minorHAnsi" w:eastAsiaTheme="minorHAnsi" w:hAnsiTheme="minorHAnsi" w:cstheme="minorHAnsi"/>
          <w:bCs/>
          <w:sz w:val="22"/>
          <w:szCs w:val="22"/>
          <w:lang w:val="en-CA"/>
        </w:rPr>
        <w:t>an estimate of h</w:t>
      </w:r>
      <w:r w:rsidR="00885AB9" w:rsidRPr="00D22DAD">
        <w:rPr>
          <w:rFonts w:asciiTheme="minorHAnsi" w:eastAsiaTheme="minorHAnsi" w:hAnsiTheme="minorHAnsi" w:cstheme="minorHAnsi"/>
          <w:bCs/>
          <w:sz w:val="22"/>
          <w:szCs w:val="22"/>
          <w:lang w:val="en-CA"/>
        </w:rPr>
        <w:t>iring and staffing activities for</w:t>
      </w:r>
      <w:r w:rsidRPr="00D22DAD">
        <w:rPr>
          <w:rFonts w:asciiTheme="minorHAnsi" w:eastAsiaTheme="minorHAnsi" w:hAnsiTheme="minorHAnsi" w:cstheme="minorHAnsi"/>
          <w:bCs/>
          <w:sz w:val="22"/>
          <w:szCs w:val="22"/>
          <w:lang w:val="en-CA"/>
        </w:rPr>
        <w:t xml:space="preserve"> organizations</w:t>
      </w:r>
      <w:r w:rsidR="00885AB9" w:rsidRPr="00D22DAD">
        <w:rPr>
          <w:rFonts w:asciiTheme="minorHAnsi" w:eastAsiaTheme="minorHAnsi" w:hAnsiTheme="minorHAnsi" w:cstheme="minorHAnsi"/>
          <w:bCs/>
          <w:sz w:val="22"/>
          <w:szCs w:val="22"/>
          <w:lang w:val="en-CA"/>
        </w:rPr>
        <w:t>.</w:t>
      </w:r>
    </w:p>
    <w:p w14:paraId="0D79B920" w14:textId="77777777" w:rsidR="00E01E51" w:rsidRPr="00D22DAD" w:rsidRDefault="00885AB9" w:rsidP="005B2461">
      <w:pPr>
        <w:pStyle w:val="ListParagraph"/>
        <w:numPr>
          <w:ilvl w:val="0"/>
          <w:numId w:val="29"/>
        </w:numPr>
        <w:spacing w:after="0"/>
        <w:rPr>
          <w:rFonts w:asciiTheme="minorHAnsi" w:eastAsiaTheme="minorHAnsi" w:hAnsiTheme="minorHAnsi" w:cstheme="minorHAnsi"/>
          <w:bCs/>
          <w:sz w:val="22"/>
          <w:szCs w:val="22"/>
          <w:lang w:val="en-CA"/>
        </w:rPr>
      </w:pPr>
      <w:r w:rsidRPr="00D22DAD">
        <w:rPr>
          <w:rFonts w:asciiTheme="minorHAnsi" w:eastAsiaTheme="minorHAnsi" w:hAnsiTheme="minorHAnsi" w:cstheme="minorHAnsi"/>
          <w:bCs/>
          <w:sz w:val="22"/>
          <w:szCs w:val="22"/>
          <w:lang w:val="en-CA"/>
        </w:rPr>
        <w:t>Information from the Priority Information Management System and the Public Service Resourcing System is also used to determine whether staffing processes are advertised or non-advertised and to calculate the time to staff</w:t>
      </w:r>
      <w:r w:rsidR="00E01E51" w:rsidRPr="00D22DAD">
        <w:rPr>
          <w:rFonts w:asciiTheme="minorHAnsi" w:eastAsiaTheme="minorHAnsi" w:hAnsiTheme="minorHAnsi" w:cstheme="minorHAnsi"/>
          <w:bCs/>
          <w:sz w:val="22"/>
          <w:szCs w:val="22"/>
          <w:lang w:val="en-CA"/>
        </w:rPr>
        <w:t>.</w:t>
      </w:r>
    </w:p>
    <w:p w14:paraId="11BFABC9" w14:textId="77777777" w:rsidR="00E01E51" w:rsidRPr="00D22DAD" w:rsidRDefault="007F6E9B" w:rsidP="005B2461">
      <w:pPr>
        <w:pStyle w:val="ListParagraph"/>
        <w:numPr>
          <w:ilvl w:val="0"/>
          <w:numId w:val="29"/>
        </w:numPr>
        <w:spacing w:after="0"/>
        <w:rPr>
          <w:rFonts w:asciiTheme="minorHAnsi" w:eastAsiaTheme="minorHAnsi" w:hAnsiTheme="minorHAnsi" w:cstheme="minorHAnsi"/>
          <w:bCs/>
          <w:sz w:val="22"/>
          <w:szCs w:val="22"/>
          <w:lang w:val="en-CA"/>
        </w:rPr>
      </w:pPr>
      <w:r w:rsidRPr="00D22DAD">
        <w:rPr>
          <w:rFonts w:asciiTheme="minorHAnsi" w:eastAsiaTheme="minorHAnsi" w:hAnsiTheme="minorHAnsi" w:cstheme="minorHAnsi"/>
          <w:bCs/>
          <w:sz w:val="22"/>
          <w:szCs w:val="22"/>
          <w:lang w:val="en-CA"/>
        </w:rPr>
        <w:t>Th</w:t>
      </w:r>
      <w:r w:rsidR="0050454E" w:rsidRPr="00D22DAD">
        <w:rPr>
          <w:rFonts w:asciiTheme="minorHAnsi" w:eastAsiaTheme="minorHAnsi" w:hAnsiTheme="minorHAnsi" w:cstheme="minorHAnsi"/>
          <w:bCs/>
          <w:sz w:val="22"/>
          <w:szCs w:val="22"/>
          <w:lang w:val="en-CA"/>
        </w:rPr>
        <w:t>is</w:t>
      </w:r>
      <w:r w:rsidRPr="00D22DAD">
        <w:rPr>
          <w:rFonts w:asciiTheme="minorHAnsi" w:eastAsiaTheme="minorHAnsi" w:hAnsiTheme="minorHAnsi" w:cstheme="minorHAnsi"/>
          <w:bCs/>
          <w:sz w:val="22"/>
          <w:szCs w:val="22"/>
          <w:lang w:val="en-CA"/>
        </w:rPr>
        <w:t xml:space="preserve"> data do</w:t>
      </w:r>
      <w:r w:rsidR="0050454E" w:rsidRPr="00D22DAD">
        <w:rPr>
          <w:rFonts w:asciiTheme="minorHAnsi" w:eastAsiaTheme="minorHAnsi" w:hAnsiTheme="minorHAnsi" w:cstheme="minorHAnsi"/>
          <w:bCs/>
          <w:sz w:val="22"/>
          <w:szCs w:val="22"/>
          <w:lang w:val="en-CA"/>
        </w:rPr>
        <w:t>es</w:t>
      </w:r>
      <w:r w:rsidRPr="00D22DAD">
        <w:rPr>
          <w:rFonts w:asciiTheme="minorHAnsi" w:eastAsiaTheme="minorHAnsi" w:hAnsiTheme="minorHAnsi" w:cstheme="minorHAnsi"/>
          <w:bCs/>
          <w:sz w:val="22"/>
          <w:szCs w:val="22"/>
          <w:lang w:val="en-CA"/>
        </w:rPr>
        <w:t xml:space="preserve"> not necessarily correspond to the human resources data for each organization </w:t>
      </w:r>
      <w:r w:rsidR="00437798" w:rsidRPr="00D22DAD">
        <w:rPr>
          <w:rFonts w:asciiTheme="minorHAnsi" w:eastAsiaTheme="minorHAnsi" w:hAnsiTheme="minorHAnsi" w:cstheme="minorHAnsi"/>
          <w:bCs/>
          <w:sz w:val="22"/>
          <w:szCs w:val="22"/>
          <w:lang w:val="en-CA"/>
        </w:rPr>
        <w:t>because of</w:t>
      </w:r>
      <w:r w:rsidRPr="00D22DAD">
        <w:rPr>
          <w:rFonts w:asciiTheme="minorHAnsi" w:eastAsiaTheme="minorHAnsi" w:hAnsiTheme="minorHAnsi" w:cstheme="minorHAnsi"/>
          <w:bCs/>
          <w:sz w:val="22"/>
          <w:szCs w:val="22"/>
          <w:lang w:val="en-CA"/>
        </w:rPr>
        <w:t xml:space="preserve"> differences in methodology and time periods covered by the analysis.</w:t>
      </w:r>
    </w:p>
    <w:p w14:paraId="012E097A" w14:textId="77777777" w:rsidR="00E01E51" w:rsidRPr="00D22DAD" w:rsidRDefault="0050454E" w:rsidP="005B2461">
      <w:pPr>
        <w:pStyle w:val="ListParagraph"/>
        <w:numPr>
          <w:ilvl w:val="0"/>
          <w:numId w:val="29"/>
        </w:numPr>
        <w:spacing w:after="0"/>
        <w:rPr>
          <w:rFonts w:asciiTheme="minorHAnsi" w:hAnsiTheme="minorHAnsi" w:cstheme="minorHAnsi"/>
          <w:sz w:val="22"/>
          <w:szCs w:val="22"/>
          <w:lang w:val="en-CA"/>
        </w:rPr>
      </w:pPr>
      <w:r w:rsidRPr="00D22DAD">
        <w:rPr>
          <w:rFonts w:asciiTheme="minorHAnsi" w:hAnsiTheme="minorHAnsi" w:cstheme="minorHAnsi"/>
          <w:sz w:val="22"/>
          <w:szCs w:val="22"/>
          <w:lang w:val="en-CA"/>
        </w:rPr>
        <w:t xml:space="preserve">Time to staff </w:t>
      </w:r>
      <w:r w:rsidR="0014741F" w:rsidRPr="00D22DAD">
        <w:rPr>
          <w:rFonts w:asciiTheme="minorHAnsi" w:hAnsiTheme="minorHAnsi" w:cstheme="minorHAnsi"/>
          <w:sz w:val="22"/>
          <w:szCs w:val="22"/>
          <w:lang w:val="en-CA"/>
        </w:rPr>
        <w:t xml:space="preserve">– </w:t>
      </w:r>
      <w:r w:rsidRPr="00D22DAD">
        <w:rPr>
          <w:rFonts w:asciiTheme="minorHAnsi" w:hAnsiTheme="minorHAnsi" w:cstheme="minorHAnsi"/>
          <w:sz w:val="22"/>
          <w:szCs w:val="22"/>
          <w:lang w:val="en-CA"/>
        </w:rPr>
        <w:t>Internal Appointments (TTS-IA) is the median number of calendar days between the opening date of an internal advertisement and the date of the first Notice of Appointment or Proposal of Appointment (NAPA) from the Public Service Resourcing System (PSRS) for internal term and indeterminate positions.</w:t>
      </w:r>
    </w:p>
    <w:p w14:paraId="5E2E3D6C" w14:textId="77777777" w:rsidR="00E01E51" w:rsidRPr="00D22DAD" w:rsidRDefault="0050454E" w:rsidP="005B2461">
      <w:pPr>
        <w:pStyle w:val="ListParagraph"/>
        <w:numPr>
          <w:ilvl w:val="0"/>
          <w:numId w:val="29"/>
        </w:numPr>
        <w:spacing w:after="0"/>
        <w:rPr>
          <w:rFonts w:asciiTheme="minorHAnsi" w:hAnsiTheme="minorHAnsi" w:cstheme="minorHAnsi"/>
          <w:sz w:val="22"/>
          <w:szCs w:val="22"/>
          <w:lang w:val="en-CA"/>
        </w:rPr>
      </w:pPr>
      <w:r w:rsidRPr="00D22DAD">
        <w:rPr>
          <w:rFonts w:asciiTheme="minorHAnsi" w:hAnsiTheme="minorHAnsi" w:cstheme="minorHAnsi"/>
          <w:sz w:val="22"/>
          <w:szCs w:val="22"/>
          <w:lang w:val="en-CA"/>
        </w:rPr>
        <w:t xml:space="preserve">Only term and indeterminate appointments are included </w:t>
      </w:r>
      <w:r w:rsidR="00E01E51" w:rsidRPr="00D22DAD">
        <w:rPr>
          <w:rFonts w:asciiTheme="minorHAnsi" w:hAnsiTheme="minorHAnsi" w:cstheme="minorHAnsi"/>
          <w:sz w:val="22"/>
          <w:szCs w:val="22"/>
          <w:lang w:val="en-CA"/>
        </w:rPr>
        <w:t>(</w:t>
      </w:r>
      <w:r w:rsidRPr="00D22DAD">
        <w:rPr>
          <w:rFonts w:asciiTheme="minorHAnsi" w:hAnsiTheme="minorHAnsi" w:cstheme="minorHAnsi"/>
          <w:sz w:val="22"/>
          <w:szCs w:val="22"/>
          <w:lang w:val="en-CA"/>
        </w:rPr>
        <w:t>deployments, casual and acting appointments are excluded</w:t>
      </w:r>
      <w:r w:rsidR="00E01E51" w:rsidRPr="00D22DAD">
        <w:rPr>
          <w:rFonts w:asciiTheme="minorHAnsi" w:hAnsiTheme="minorHAnsi" w:cstheme="minorHAnsi"/>
          <w:sz w:val="22"/>
          <w:szCs w:val="22"/>
          <w:lang w:val="en-CA"/>
        </w:rPr>
        <w:t>)</w:t>
      </w:r>
      <w:r w:rsidR="002F60A5" w:rsidRPr="00D22DAD">
        <w:rPr>
          <w:rFonts w:asciiTheme="minorHAnsi" w:hAnsiTheme="minorHAnsi" w:cstheme="minorHAnsi"/>
          <w:sz w:val="22"/>
          <w:szCs w:val="22"/>
          <w:lang w:val="en-CA"/>
        </w:rPr>
        <w:t>.</w:t>
      </w:r>
    </w:p>
    <w:p w14:paraId="2EF7499A" w14:textId="77777777" w:rsidR="00E01E51" w:rsidRPr="00D22DAD" w:rsidRDefault="006B766F" w:rsidP="005B2461">
      <w:pPr>
        <w:pStyle w:val="ListParagraph"/>
        <w:numPr>
          <w:ilvl w:val="0"/>
          <w:numId w:val="29"/>
        </w:numPr>
        <w:spacing w:after="0"/>
        <w:rPr>
          <w:rFonts w:asciiTheme="minorHAnsi" w:hAnsiTheme="minorHAnsi" w:cstheme="minorHAnsi"/>
          <w:sz w:val="22"/>
          <w:szCs w:val="22"/>
          <w:lang w:val="en-CA"/>
        </w:rPr>
      </w:pPr>
      <w:r w:rsidRPr="00D22DAD">
        <w:rPr>
          <w:rFonts w:asciiTheme="minorHAnsi" w:hAnsiTheme="minorHAnsi" w:cstheme="minorHAnsi"/>
          <w:sz w:val="22"/>
          <w:szCs w:val="22"/>
          <w:lang w:val="en-CA"/>
        </w:rPr>
        <w:t xml:space="preserve">Time to staff </w:t>
      </w:r>
      <w:r w:rsidR="0014741F" w:rsidRPr="00D22DAD">
        <w:rPr>
          <w:rFonts w:asciiTheme="minorHAnsi" w:hAnsiTheme="minorHAnsi" w:cstheme="minorHAnsi"/>
          <w:sz w:val="22"/>
          <w:szCs w:val="22"/>
          <w:lang w:val="en-CA"/>
        </w:rPr>
        <w:t xml:space="preserve">– </w:t>
      </w:r>
      <w:r w:rsidRPr="00D22DAD">
        <w:rPr>
          <w:rFonts w:asciiTheme="minorHAnsi" w:hAnsiTheme="minorHAnsi" w:cstheme="minorHAnsi"/>
          <w:sz w:val="22"/>
          <w:szCs w:val="22"/>
          <w:lang w:val="en-CA"/>
        </w:rPr>
        <w:t xml:space="preserve">External Appointments (TTS-EA) is the median number of calendar days between the opening date of an external advertisement and the date of the first estimated appointment of an individual from outside an organization subject to the </w:t>
      </w:r>
      <w:r w:rsidRPr="00D22DAD">
        <w:rPr>
          <w:rFonts w:asciiTheme="minorHAnsi" w:hAnsiTheme="minorHAnsi" w:cstheme="minorHAnsi"/>
          <w:i/>
          <w:sz w:val="22"/>
          <w:szCs w:val="22"/>
          <w:lang w:val="en-CA"/>
        </w:rPr>
        <w:t>Public Service Employment Act</w:t>
      </w:r>
      <w:r w:rsidRPr="00D22DAD">
        <w:rPr>
          <w:rFonts w:asciiTheme="minorHAnsi" w:hAnsiTheme="minorHAnsi" w:cstheme="minorHAnsi"/>
          <w:sz w:val="22"/>
          <w:szCs w:val="22"/>
          <w:lang w:val="en-CA"/>
        </w:rPr>
        <w:t xml:space="preserve"> for term and indeterminate positions</w:t>
      </w:r>
      <w:r w:rsidR="000555C2" w:rsidRPr="00D22DAD">
        <w:rPr>
          <w:rFonts w:asciiTheme="minorHAnsi" w:hAnsiTheme="minorHAnsi" w:cstheme="minorHAnsi"/>
          <w:sz w:val="22"/>
          <w:szCs w:val="22"/>
          <w:lang w:val="en-CA"/>
        </w:rPr>
        <w:t>. Only term and indeterminate appointments are included (deployments, casual and acting appointments are excluded</w:t>
      </w:r>
      <w:r w:rsidR="00E01E51" w:rsidRPr="00D22DAD">
        <w:rPr>
          <w:rFonts w:asciiTheme="minorHAnsi" w:hAnsiTheme="minorHAnsi" w:cstheme="minorHAnsi"/>
          <w:sz w:val="22"/>
          <w:szCs w:val="22"/>
          <w:lang w:val="en-CA"/>
        </w:rPr>
        <w:t>)</w:t>
      </w:r>
      <w:r w:rsidR="000555C2" w:rsidRPr="00D22DAD">
        <w:rPr>
          <w:rFonts w:asciiTheme="minorHAnsi" w:hAnsiTheme="minorHAnsi" w:cstheme="minorHAnsi"/>
          <w:sz w:val="22"/>
          <w:szCs w:val="22"/>
          <w:lang w:val="en-CA"/>
        </w:rPr>
        <w:t>.</w:t>
      </w:r>
    </w:p>
    <w:p w14:paraId="5FCF776E" w14:textId="77777777" w:rsidR="00E01E51" w:rsidRPr="00D22DAD" w:rsidRDefault="006B766F" w:rsidP="005B2461">
      <w:pPr>
        <w:pStyle w:val="ListParagraph"/>
        <w:numPr>
          <w:ilvl w:val="0"/>
          <w:numId w:val="29"/>
        </w:numPr>
        <w:spacing w:after="0"/>
        <w:rPr>
          <w:rFonts w:asciiTheme="minorHAnsi" w:hAnsiTheme="minorHAnsi" w:cstheme="minorHAnsi"/>
          <w:sz w:val="22"/>
          <w:szCs w:val="22"/>
          <w:lang w:val="en-CA"/>
        </w:rPr>
      </w:pPr>
      <w:r w:rsidRPr="00D22DAD">
        <w:rPr>
          <w:rFonts w:asciiTheme="minorHAnsi" w:hAnsiTheme="minorHAnsi" w:cstheme="minorHAnsi"/>
          <w:sz w:val="22"/>
          <w:szCs w:val="22"/>
          <w:lang w:val="en-CA"/>
        </w:rPr>
        <w:t>Since data between systems is linked using probabilistic matching, measurement errors are possible.</w:t>
      </w:r>
    </w:p>
    <w:p w14:paraId="352592AD" w14:textId="77777777" w:rsidR="00E01E51" w:rsidRPr="00D22DAD" w:rsidRDefault="000555C2" w:rsidP="005B2461">
      <w:pPr>
        <w:pStyle w:val="ListParagraph"/>
        <w:numPr>
          <w:ilvl w:val="0"/>
          <w:numId w:val="29"/>
        </w:numPr>
        <w:spacing w:after="0"/>
        <w:rPr>
          <w:rFonts w:asciiTheme="minorHAnsi" w:hAnsiTheme="minorHAnsi" w:cstheme="minorHAnsi"/>
          <w:sz w:val="22"/>
          <w:szCs w:val="22"/>
          <w:lang w:val="en-CA"/>
        </w:rPr>
      </w:pPr>
      <w:r w:rsidRPr="00D22DAD">
        <w:rPr>
          <w:rFonts w:asciiTheme="minorHAnsi" w:hAnsiTheme="minorHAnsi" w:cstheme="minorHAnsi"/>
          <w:sz w:val="22"/>
          <w:szCs w:val="22"/>
          <w:lang w:val="en-CA"/>
        </w:rPr>
        <w:t>Data on hi</w:t>
      </w:r>
      <w:r w:rsidR="00E3086A" w:rsidRPr="00D22DAD">
        <w:rPr>
          <w:rFonts w:asciiTheme="minorHAnsi" w:hAnsiTheme="minorHAnsi" w:cstheme="minorHAnsi"/>
          <w:sz w:val="22"/>
          <w:szCs w:val="22"/>
          <w:lang w:val="en-CA"/>
        </w:rPr>
        <w:t>ring and staffing activities is</w:t>
      </w:r>
      <w:r w:rsidRPr="00D22DAD">
        <w:rPr>
          <w:rFonts w:asciiTheme="minorHAnsi" w:hAnsiTheme="minorHAnsi" w:cstheme="minorHAnsi"/>
          <w:sz w:val="22"/>
          <w:szCs w:val="22"/>
          <w:lang w:val="en-CA"/>
        </w:rPr>
        <w:t xml:space="preserve"> derived from information received from the Treasury Board of Canada Secretariat</w:t>
      </w:r>
      <w:r w:rsidR="006B5981" w:rsidRPr="00D22DAD">
        <w:rPr>
          <w:rFonts w:asciiTheme="minorHAnsi" w:hAnsiTheme="minorHAnsi" w:cstheme="minorHAnsi"/>
          <w:sz w:val="22"/>
          <w:szCs w:val="22"/>
          <w:lang w:val="en-CA"/>
        </w:rPr>
        <w:t xml:space="preserve"> Incumbent File. The Incumbent F</w:t>
      </w:r>
      <w:r w:rsidRPr="00D22DAD">
        <w:rPr>
          <w:rFonts w:asciiTheme="minorHAnsi" w:hAnsiTheme="minorHAnsi" w:cstheme="minorHAnsi"/>
          <w:sz w:val="22"/>
          <w:szCs w:val="22"/>
          <w:lang w:val="en-CA"/>
        </w:rPr>
        <w:t>ile is extracted from Public Services and Procurement Canada’s compensation system. Data is an estimate of hiring and staffing activities for organizations</w:t>
      </w:r>
      <w:r w:rsidR="00E01E51" w:rsidRPr="00D22DAD">
        <w:rPr>
          <w:rFonts w:asciiTheme="minorHAnsi" w:hAnsiTheme="minorHAnsi" w:cstheme="minorHAnsi"/>
          <w:sz w:val="22"/>
          <w:szCs w:val="22"/>
          <w:lang w:val="en-CA"/>
        </w:rPr>
        <w:t>.</w:t>
      </w:r>
    </w:p>
    <w:p w14:paraId="7D78B6E8" w14:textId="77777777" w:rsidR="00E01E51" w:rsidRPr="00D22DAD" w:rsidRDefault="000555C2" w:rsidP="005B2461">
      <w:pPr>
        <w:pStyle w:val="ListParagraph"/>
        <w:numPr>
          <w:ilvl w:val="0"/>
          <w:numId w:val="29"/>
        </w:numPr>
        <w:spacing w:after="0"/>
        <w:rPr>
          <w:rFonts w:asciiTheme="minorHAnsi" w:hAnsiTheme="minorHAnsi" w:cstheme="minorHAnsi"/>
          <w:sz w:val="22"/>
          <w:szCs w:val="22"/>
          <w:lang w:val="en-CA"/>
        </w:rPr>
      </w:pPr>
      <w:r w:rsidRPr="00D22DAD">
        <w:rPr>
          <w:rFonts w:asciiTheme="minorHAnsi" w:hAnsiTheme="minorHAnsi" w:cstheme="minorHAnsi"/>
          <w:sz w:val="22"/>
          <w:szCs w:val="22"/>
          <w:lang w:val="en-CA"/>
        </w:rPr>
        <w:t>Information from the Priority Information Management System and the Public Service Resourcing System is also used to determine whether staffing processes are advertised or non-advertised and to calculate the time to staff.</w:t>
      </w:r>
    </w:p>
    <w:p w14:paraId="1B0DEE1A" w14:textId="77777777" w:rsidR="00E01E51" w:rsidRPr="00D22DAD" w:rsidRDefault="000555C2" w:rsidP="005B2461">
      <w:pPr>
        <w:pStyle w:val="ListParagraph"/>
        <w:numPr>
          <w:ilvl w:val="0"/>
          <w:numId w:val="29"/>
        </w:numPr>
        <w:spacing w:after="0"/>
        <w:rPr>
          <w:rFonts w:asciiTheme="minorHAnsi" w:hAnsiTheme="minorHAnsi" w:cstheme="minorHAnsi"/>
          <w:sz w:val="22"/>
          <w:szCs w:val="22"/>
          <w:lang w:val="en-CA"/>
        </w:rPr>
      </w:pPr>
      <w:r w:rsidRPr="00D22DAD">
        <w:rPr>
          <w:rFonts w:asciiTheme="minorHAnsi" w:hAnsiTheme="minorHAnsi" w:cstheme="minorHAnsi"/>
          <w:sz w:val="22"/>
          <w:szCs w:val="22"/>
          <w:lang w:val="en-CA"/>
        </w:rPr>
        <w:lastRenderedPageBreak/>
        <w:t>Th</w:t>
      </w:r>
      <w:r w:rsidR="00E3086A" w:rsidRPr="00D22DAD">
        <w:rPr>
          <w:rFonts w:asciiTheme="minorHAnsi" w:hAnsiTheme="minorHAnsi" w:cstheme="minorHAnsi"/>
          <w:sz w:val="22"/>
          <w:szCs w:val="22"/>
          <w:lang w:val="en-CA"/>
        </w:rPr>
        <w:t>is</w:t>
      </w:r>
      <w:r w:rsidRPr="00D22DAD">
        <w:rPr>
          <w:rFonts w:asciiTheme="minorHAnsi" w:hAnsiTheme="minorHAnsi" w:cstheme="minorHAnsi"/>
          <w:sz w:val="22"/>
          <w:szCs w:val="22"/>
          <w:lang w:val="en-CA"/>
        </w:rPr>
        <w:t xml:space="preserve"> data do</w:t>
      </w:r>
      <w:r w:rsidR="00E3086A" w:rsidRPr="00D22DAD">
        <w:rPr>
          <w:rFonts w:asciiTheme="minorHAnsi" w:hAnsiTheme="minorHAnsi" w:cstheme="minorHAnsi"/>
          <w:sz w:val="22"/>
          <w:szCs w:val="22"/>
          <w:lang w:val="en-CA"/>
        </w:rPr>
        <w:t>es</w:t>
      </w:r>
      <w:r w:rsidRPr="00D22DAD">
        <w:rPr>
          <w:rFonts w:asciiTheme="minorHAnsi" w:hAnsiTheme="minorHAnsi" w:cstheme="minorHAnsi"/>
          <w:sz w:val="22"/>
          <w:szCs w:val="22"/>
          <w:lang w:val="en-CA"/>
        </w:rPr>
        <w:t xml:space="preserve"> not necessarily correspond to the human resources data for each organization </w:t>
      </w:r>
      <w:r w:rsidR="0014741F" w:rsidRPr="00D22DAD">
        <w:rPr>
          <w:rFonts w:asciiTheme="minorHAnsi" w:hAnsiTheme="minorHAnsi" w:cstheme="minorHAnsi"/>
          <w:sz w:val="22"/>
          <w:szCs w:val="22"/>
          <w:lang w:val="en-CA"/>
        </w:rPr>
        <w:t>because of</w:t>
      </w:r>
      <w:r w:rsidRPr="00D22DAD">
        <w:rPr>
          <w:rFonts w:asciiTheme="minorHAnsi" w:hAnsiTheme="minorHAnsi" w:cstheme="minorHAnsi"/>
          <w:sz w:val="22"/>
          <w:szCs w:val="22"/>
          <w:lang w:val="en-CA"/>
        </w:rPr>
        <w:t xml:space="preserve"> differences in methodology and time periods covered by the analysis</w:t>
      </w:r>
      <w:r w:rsidR="00E01E51" w:rsidRPr="00D22DAD">
        <w:rPr>
          <w:rFonts w:asciiTheme="minorHAnsi" w:hAnsiTheme="minorHAnsi" w:cstheme="minorHAnsi"/>
          <w:sz w:val="22"/>
          <w:szCs w:val="22"/>
          <w:lang w:val="en-CA"/>
        </w:rPr>
        <w:t>.</w:t>
      </w:r>
    </w:p>
    <w:sectPr w:rsidR="00E01E51" w:rsidRPr="00D22DAD" w:rsidSect="00D22DAD">
      <w:pgSz w:w="12240" w:h="15840" w:code="1"/>
      <w:pgMar w:top="709" w:right="1304" w:bottom="1361" w:left="1304"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B69D" w14:textId="77777777" w:rsidR="005A0B13" w:rsidRDefault="005A0B13" w:rsidP="0051557E">
      <w:r>
        <w:separator/>
      </w:r>
    </w:p>
  </w:endnote>
  <w:endnote w:type="continuationSeparator" w:id="0">
    <w:p w14:paraId="29CBBE34" w14:textId="77777777" w:rsidR="005A0B13" w:rsidRDefault="005A0B13"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9953"/>
      <w:docPartObj>
        <w:docPartGallery w:val="Page Numbers (Bottom of Page)"/>
        <w:docPartUnique/>
      </w:docPartObj>
    </w:sdtPr>
    <w:sdtEndPr>
      <w:rPr>
        <w:noProof/>
      </w:rPr>
    </w:sdtEndPr>
    <w:sdtContent>
      <w:p w14:paraId="389A9BCE" w14:textId="77777777" w:rsidR="001D1E20" w:rsidRDefault="001D1E20">
        <w:pPr>
          <w:pStyle w:val="Footer"/>
        </w:pPr>
        <w:r>
          <w:fldChar w:fldCharType="begin"/>
        </w:r>
        <w:r>
          <w:instrText xml:space="preserve"> PAGE   \* MERGEFORMAT </w:instrText>
        </w:r>
        <w:r>
          <w:fldChar w:fldCharType="separate"/>
        </w:r>
        <w:r w:rsidR="005E5D0D">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803110"/>
      <w:docPartObj>
        <w:docPartGallery w:val="Page Numbers (Bottom of Page)"/>
        <w:docPartUnique/>
      </w:docPartObj>
    </w:sdtPr>
    <w:sdtEndPr>
      <w:rPr>
        <w:noProof/>
      </w:rPr>
    </w:sdtEndPr>
    <w:sdtContent>
      <w:p w14:paraId="330E5F4E" w14:textId="77777777" w:rsidR="001D1E20" w:rsidRDefault="001D1E20">
        <w:pPr>
          <w:pStyle w:val="Footer"/>
        </w:pPr>
        <w:r>
          <w:fldChar w:fldCharType="begin"/>
        </w:r>
        <w:r>
          <w:instrText xml:space="preserve"> PAGE   \* MERGEFORMAT </w:instrText>
        </w:r>
        <w:r>
          <w:fldChar w:fldCharType="separate"/>
        </w:r>
        <w:r w:rsidR="005E5D0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C1C7" w14:textId="77777777" w:rsidR="001D1E20" w:rsidRPr="00ED49DF" w:rsidRDefault="001D1E20" w:rsidP="00DF5164">
    <w:pPr>
      <w:pStyle w:val="Footer"/>
      <w:jc w:val="center"/>
      <w:rPr>
        <w:sz w:val="20"/>
        <w:lang w:val="fr-CA"/>
      </w:rPr>
    </w:pPr>
    <w:r w:rsidRPr="0079292E">
      <w:rPr>
        <w:sz w:val="20"/>
        <w:lang w:val="fr-CA"/>
      </w:rPr>
      <w:t xml:space="preserve">Produit par la Direction des services de données et de l’analyse de la Commission de la fonction publique du Canada – Mise à jour le </w:t>
    </w:r>
    <w:r>
      <w:rPr>
        <w:sz w:val="20"/>
        <w:lang w:val="fr-CA"/>
      </w:rPr>
      <w:t>18 juillet</w:t>
    </w:r>
    <w:r w:rsidRPr="0079292E">
      <w:rPr>
        <w:sz w:val="20"/>
        <w:lang w:val="fr-CA"/>
      </w:rPr>
      <w:t xml:space="preserve">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229342"/>
      <w:docPartObj>
        <w:docPartGallery w:val="Page Numbers (Bottom of Page)"/>
        <w:docPartUnique/>
      </w:docPartObj>
    </w:sdtPr>
    <w:sdtEndPr>
      <w:rPr>
        <w:noProof/>
      </w:rPr>
    </w:sdtEndPr>
    <w:sdtContent>
      <w:p w14:paraId="6FAEC593" w14:textId="77777777" w:rsidR="001D1E20" w:rsidRDefault="001D1E20">
        <w:pPr>
          <w:pStyle w:val="Footer"/>
        </w:pPr>
        <w:r>
          <w:fldChar w:fldCharType="begin"/>
        </w:r>
        <w:r>
          <w:instrText xml:space="preserve"> PAGE   \* MERGEFORMAT </w:instrText>
        </w:r>
        <w:r>
          <w:fldChar w:fldCharType="separate"/>
        </w:r>
        <w:r w:rsidR="005E5D0D">
          <w:rPr>
            <w:noProof/>
          </w:rPr>
          <w:t>23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CF28" w14:textId="77777777" w:rsidR="001D1E20" w:rsidRPr="00A56930" w:rsidRDefault="001D1E20" w:rsidP="00DF51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312532"/>
      <w:docPartObj>
        <w:docPartGallery w:val="Page Numbers (Bottom of Page)"/>
        <w:docPartUnique/>
      </w:docPartObj>
    </w:sdtPr>
    <w:sdtEndPr>
      <w:rPr>
        <w:noProof/>
      </w:rPr>
    </w:sdtEndPr>
    <w:sdtContent>
      <w:p w14:paraId="530176D3" w14:textId="77777777" w:rsidR="001D1E20" w:rsidRDefault="001D1E20">
        <w:pPr>
          <w:pStyle w:val="Footer"/>
        </w:pPr>
        <w:r>
          <w:fldChar w:fldCharType="begin"/>
        </w:r>
        <w:r>
          <w:instrText xml:space="preserve"> PAGE   \* MERGEFORMAT </w:instrText>
        </w:r>
        <w:r>
          <w:fldChar w:fldCharType="separate"/>
        </w:r>
        <w:r w:rsidR="005E5D0D">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9514" w14:textId="77777777" w:rsidR="005A0B13" w:rsidRDefault="005A0B13" w:rsidP="0051557E">
      <w:r>
        <w:separator/>
      </w:r>
    </w:p>
  </w:footnote>
  <w:footnote w:type="continuationSeparator" w:id="0">
    <w:p w14:paraId="69258018" w14:textId="77777777" w:rsidR="005A0B13" w:rsidRDefault="005A0B13"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4A00" w14:textId="77777777" w:rsidR="001D1E20" w:rsidRPr="00BD1696" w:rsidRDefault="001D1E20" w:rsidP="00BD1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8E86" w14:textId="77777777" w:rsidR="001D1E20" w:rsidRPr="00417183" w:rsidRDefault="001D1E20" w:rsidP="00417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DE70" w14:textId="77777777" w:rsidR="001D1E20" w:rsidRPr="00896F90" w:rsidRDefault="001D1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F6E65"/>
    <w:multiLevelType w:val="hybridMultilevel"/>
    <w:tmpl w:val="245092F2"/>
    <w:lvl w:ilvl="0" w:tplc="10090005">
      <w:start w:val="1"/>
      <w:numFmt w:val="bullet"/>
      <w:lvlText w:val=""/>
      <w:lvlJc w:val="left"/>
      <w:pPr>
        <w:ind w:left="360" w:hanging="360"/>
      </w:pPr>
      <w:rPr>
        <w:rFonts w:ascii="Wingdings" w:hAnsi="Wingdings" w:hint="default"/>
        <w:color w:val="54575A" w:themeColor="text1"/>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13927D59"/>
    <w:multiLevelType w:val="hybridMultilevel"/>
    <w:tmpl w:val="2E6AF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3D4442"/>
    <w:multiLevelType w:val="hybridMultilevel"/>
    <w:tmpl w:val="C756C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6E2164"/>
    <w:multiLevelType w:val="hybridMultilevel"/>
    <w:tmpl w:val="0680D156"/>
    <w:lvl w:ilvl="0" w:tplc="3DE84C70">
      <w:start w:val="1"/>
      <w:numFmt w:val="bullet"/>
      <w:lvlText w:val=""/>
      <w:lvlJc w:val="left"/>
      <w:pPr>
        <w:ind w:left="720" w:hanging="360"/>
      </w:pPr>
      <w:rPr>
        <w:rFonts w:ascii="Wingdings" w:hAnsi="Wingdings" w:hint="default"/>
        <w:color w:val="auto"/>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7858AE"/>
    <w:multiLevelType w:val="multilevel"/>
    <w:tmpl w:val="0A76A30C"/>
    <w:lvl w:ilvl="0">
      <w:start w:val="1"/>
      <w:numFmt w:val="bullet"/>
      <w:lvlText w:val=""/>
      <w:lvlJc w:val="left"/>
      <w:pPr>
        <w:tabs>
          <w:tab w:val="num" w:pos="360"/>
        </w:tabs>
        <w:ind w:left="360" w:hanging="360"/>
      </w:pPr>
      <w:rPr>
        <w:rFonts w:ascii="Symbol" w:hAnsi="Symbol" w:hint="default"/>
        <w:sz w:val="20"/>
      </w:rPr>
    </w:lvl>
    <w:lvl w:ilvl="1">
      <w:start w:val="19"/>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E374A2"/>
    <w:multiLevelType w:val="hybridMultilevel"/>
    <w:tmpl w:val="5CA82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AAE2091"/>
    <w:multiLevelType w:val="hybridMultilevel"/>
    <w:tmpl w:val="29225EF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E056F0"/>
    <w:multiLevelType w:val="hybridMultilevel"/>
    <w:tmpl w:val="202477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6"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num>
  <w:num w:numId="7">
    <w:abstractNumId w:val="9"/>
  </w:num>
  <w:num w:numId="8">
    <w:abstractNumId w:val="8"/>
  </w:num>
  <w:num w:numId="9">
    <w:abstractNumId w:val="2"/>
  </w:num>
  <w:num w:numId="10">
    <w:abstractNumId w:val="1"/>
  </w:num>
  <w:num w:numId="11">
    <w:abstractNumId w:val="19"/>
  </w:num>
  <w:num w:numId="12">
    <w:abstractNumId w:val="12"/>
  </w:num>
  <w:num w:numId="13">
    <w:abstractNumId w:val="5"/>
  </w:num>
  <w:num w:numId="14">
    <w:abstractNumId w:val="26"/>
  </w:num>
  <w:num w:numId="15">
    <w:abstractNumId w:val="11"/>
  </w:num>
  <w:num w:numId="16">
    <w:abstractNumId w:val="23"/>
  </w:num>
  <w:num w:numId="17">
    <w:abstractNumId w:val="27"/>
  </w:num>
  <w:num w:numId="18">
    <w:abstractNumId w:val="14"/>
  </w:num>
  <w:num w:numId="19">
    <w:abstractNumId w:val="25"/>
  </w:num>
  <w:num w:numId="20">
    <w:abstractNumId w:val="0"/>
  </w:num>
  <w:num w:numId="21">
    <w:abstractNumId w:val="24"/>
  </w:num>
  <w:num w:numId="22">
    <w:abstractNumId w:val="22"/>
  </w:num>
  <w:num w:numId="23">
    <w:abstractNumId w:val="28"/>
  </w:num>
  <w:num w:numId="24">
    <w:abstractNumId w:val="20"/>
  </w:num>
  <w:num w:numId="25">
    <w:abstractNumId w:val="18"/>
  </w:num>
  <w:num w:numId="26">
    <w:abstractNumId w:val="15"/>
  </w:num>
  <w:num w:numId="27">
    <w:abstractNumId w:val="13"/>
  </w:num>
  <w:num w:numId="28">
    <w:abstractNumId w:val="3"/>
  </w:num>
  <w:num w:numId="29">
    <w:abstractNumId w:val="2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9D"/>
    <w:rsid w:val="00011CE4"/>
    <w:rsid w:val="0002683A"/>
    <w:rsid w:val="0003019D"/>
    <w:rsid w:val="000433F7"/>
    <w:rsid w:val="00046812"/>
    <w:rsid w:val="00050A61"/>
    <w:rsid w:val="000555C2"/>
    <w:rsid w:val="00055903"/>
    <w:rsid w:val="0006193D"/>
    <w:rsid w:val="00064821"/>
    <w:rsid w:val="0008462F"/>
    <w:rsid w:val="00095F37"/>
    <w:rsid w:val="000A0128"/>
    <w:rsid w:val="000C09A7"/>
    <w:rsid w:val="000C3D50"/>
    <w:rsid w:val="000D4432"/>
    <w:rsid w:val="000D4F67"/>
    <w:rsid w:val="000F5737"/>
    <w:rsid w:val="000F76B0"/>
    <w:rsid w:val="00113B15"/>
    <w:rsid w:val="00141F6B"/>
    <w:rsid w:val="0014741F"/>
    <w:rsid w:val="00151398"/>
    <w:rsid w:val="00154B13"/>
    <w:rsid w:val="00187BCF"/>
    <w:rsid w:val="00187FBE"/>
    <w:rsid w:val="001A5800"/>
    <w:rsid w:val="001B26BD"/>
    <w:rsid w:val="001B2832"/>
    <w:rsid w:val="001B64D6"/>
    <w:rsid w:val="001C7119"/>
    <w:rsid w:val="001D1E20"/>
    <w:rsid w:val="001E2F80"/>
    <w:rsid w:val="001E4F0E"/>
    <w:rsid w:val="001E5095"/>
    <w:rsid w:val="001E7910"/>
    <w:rsid w:val="00210749"/>
    <w:rsid w:val="00215877"/>
    <w:rsid w:val="00227E32"/>
    <w:rsid w:val="002308EA"/>
    <w:rsid w:val="00233EAF"/>
    <w:rsid w:val="00240651"/>
    <w:rsid w:val="00244CD0"/>
    <w:rsid w:val="002468A6"/>
    <w:rsid w:val="00274774"/>
    <w:rsid w:val="00277427"/>
    <w:rsid w:val="00284957"/>
    <w:rsid w:val="002B73D4"/>
    <w:rsid w:val="002E0F73"/>
    <w:rsid w:val="002E1F78"/>
    <w:rsid w:val="002F60A5"/>
    <w:rsid w:val="003178EA"/>
    <w:rsid w:val="003552F5"/>
    <w:rsid w:val="003573A4"/>
    <w:rsid w:val="00373498"/>
    <w:rsid w:val="003936AA"/>
    <w:rsid w:val="0039607A"/>
    <w:rsid w:val="003A6858"/>
    <w:rsid w:val="003B19E5"/>
    <w:rsid w:val="003B2B52"/>
    <w:rsid w:val="003B7D87"/>
    <w:rsid w:val="003D4D91"/>
    <w:rsid w:val="003D6820"/>
    <w:rsid w:val="00406F8D"/>
    <w:rsid w:val="00417183"/>
    <w:rsid w:val="00422A17"/>
    <w:rsid w:val="004238F0"/>
    <w:rsid w:val="00427CA0"/>
    <w:rsid w:val="00431D05"/>
    <w:rsid w:val="004349DD"/>
    <w:rsid w:val="004354CC"/>
    <w:rsid w:val="00437798"/>
    <w:rsid w:val="0045304C"/>
    <w:rsid w:val="004652EA"/>
    <w:rsid w:val="0046698A"/>
    <w:rsid w:val="00481F43"/>
    <w:rsid w:val="00484EAA"/>
    <w:rsid w:val="0048753E"/>
    <w:rsid w:val="00491161"/>
    <w:rsid w:val="004A5CF6"/>
    <w:rsid w:val="004B57AA"/>
    <w:rsid w:val="004C1140"/>
    <w:rsid w:val="004D14B4"/>
    <w:rsid w:val="004E765E"/>
    <w:rsid w:val="004F1F5D"/>
    <w:rsid w:val="004F29BB"/>
    <w:rsid w:val="004F3406"/>
    <w:rsid w:val="005023AB"/>
    <w:rsid w:val="00502477"/>
    <w:rsid w:val="0050454E"/>
    <w:rsid w:val="0051366E"/>
    <w:rsid w:val="0051557E"/>
    <w:rsid w:val="00522A42"/>
    <w:rsid w:val="00525992"/>
    <w:rsid w:val="00533DD0"/>
    <w:rsid w:val="00556D93"/>
    <w:rsid w:val="00564719"/>
    <w:rsid w:val="00566ACF"/>
    <w:rsid w:val="005731CE"/>
    <w:rsid w:val="00596B1B"/>
    <w:rsid w:val="00597372"/>
    <w:rsid w:val="005A0B13"/>
    <w:rsid w:val="005A211A"/>
    <w:rsid w:val="005B2461"/>
    <w:rsid w:val="005B643E"/>
    <w:rsid w:val="005E5D0D"/>
    <w:rsid w:val="005F6FAE"/>
    <w:rsid w:val="00600E4F"/>
    <w:rsid w:val="00637BF9"/>
    <w:rsid w:val="006433E3"/>
    <w:rsid w:val="00646FDA"/>
    <w:rsid w:val="0066496E"/>
    <w:rsid w:val="00687E58"/>
    <w:rsid w:val="006B453E"/>
    <w:rsid w:val="006B5981"/>
    <w:rsid w:val="006B766F"/>
    <w:rsid w:val="006D0134"/>
    <w:rsid w:val="006E5C88"/>
    <w:rsid w:val="006F1A5B"/>
    <w:rsid w:val="00700108"/>
    <w:rsid w:val="0071644F"/>
    <w:rsid w:val="007172D7"/>
    <w:rsid w:val="007217CF"/>
    <w:rsid w:val="00725D15"/>
    <w:rsid w:val="00727140"/>
    <w:rsid w:val="00737417"/>
    <w:rsid w:val="0074144B"/>
    <w:rsid w:val="00750390"/>
    <w:rsid w:val="007565D6"/>
    <w:rsid w:val="00764BF1"/>
    <w:rsid w:val="0079796F"/>
    <w:rsid w:val="00797FBC"/>
    <w:rsid w:val="007C762A"/>
    <w:rsid w:val="007D242B"/>
    <w:rsid w:val="007D7733"/>
    <w:rsid w:val="007E17D1"/>
    <w:rsid w:val="007E486E"/>
    <w:rsid w:val="007F6E9B"/>
    <w:rsid w:val="00803917"/>
    <w:rsid w:val="00822D33"/>
    <w:rsid w:val="00822F0A"/>
    <w:rsid w:val="00841FD3"/>
    <w:rsid w:val="00846CBE"/>
    <w:rsid w:val="00872026"/>
    <w:rsid w:val="008820F3"/>
    <w:rsid w:val="00885AB9"/>
    <w:rsid w:val="008A0246"/>
    <w:rsid w:val="008A5BB1"/>
    <w:rsid w:val="008D789B"/>
    <w:rsid w:val="008E0518"/>
    <w:rsid w:val="008E3FAF"/>
    <w:rsid w:val="008F5B3D"/>
    <w:rsid w:val="0091448F"/>
    <w:rsid w:val="00914B95"/>
    <w:rsid w:val="0091578E"/>
    <w:rsid w:val="00916D83"/>
    <w:rsid w:val="00920B53"/>
    <w:rsid w:val="00947A6E"/>
    <w:rsid w:val="009531CC"/>
    <w:rsid w:val="009601A0"/>
    <w:rsid w:val="00961F13"/>
    <w:rsid w:val="0098088C"/>
    <w:rsid w:val="009853EB"/>
    <w:rsid w:val="00986C86"/>
    <w:rsid w:val="00987006"/>
    <w:rsid w:val="00990EA7"/>
    <w:rsid w:val="009933BB"/>
    <w:rsid w:val="00994ED3"/>
    <w:rsid w:val="00997D3F"/>
    <w:rsid w:val="009A024C"/>
    <w:rsid w:val="009A1915"/>
    <w:rsid w:val="009A2191"/>
    <w:rsid w:val="009C51DA"/>
    <w:rsid w:val="009E5767"/>
    <w:rsid w:val="009E6760"/>
    <w:rsid w:val="00A10E4A"/>
    <w:rsid w:val="00A17360"/>
    <w:rsid w:val="00A24E1C"/>
    <w:rsid w:val="00A3677B"/>
    <w:rsid w:val="00A50046"/>
    <w:rsid w:val="00A500A1"/>
    <w:rsid w:val="00A77330"/>
    <w:rsid w:val="00A86C94"/>
    <w:rsid w:val="00AA3CE5"/>
    <w:rsid w:val="00AF30C2"/>
    <w:rsid w:val="00B3357F"/>
    <w:rsid w:val="00B365E1"/>
    <w:rsid w:val="00B42E74"/>
    <w:rsid w:val="00B616E2"/>
    <w:rsid w:val="00B73D3B"/>
    <w:rsid w:val="00B817FB"/>
    <w:rsid w:val="00B81C85"/>
    <w:rsid w:val="00B8429A"/>
    <w:rsid w:val="00B85A19"/>
    <w:rsid w:val="00BB4E17"/>
    <w:rsid w:val="00BD1696"/>
    <w:rsid w:val="00BD34CB"/>
    <w:rsid w:val="00BD6B48"/>
    <w:rsid w:val="00BD7E61"/>
    <w:rsid w:val="00BE2D5F"/>
    <w:rsid w:val="00BF2CAF"/>
    <w:rsid w:val="00C039AC"/>
    <w:rsid w:val="00C047C2"/>
    <w:rsid w:val="00C31871"/>
    <w:rsid w:val="00C45E04"/>
    <w:rsid w:val="00C469DD"/>
    <w:rsid w:val="00C51412"/>
    <w:rsid w:val="00C52996"/>
    <w:rsid w:val="00C52E11"/>
    <w:rsid w:val="00C562F1"/>
    <w:rsid w:val="00C7566D"/>
    <w:rsid w:val="00CA77BE"/>
    <w:rsid w:val="00CD30B8"/>
    <w:rsid w:val="00CF18BB"/>
    <w:rsid w:val="00D01959"/>
    <w:rsid w:val="00D1273E"/>
    <w:rsid w:val="00D22DAD"/>
    <w:rsid w:val="00D3184F"/>
    <w:rsid w:val="00D56412"/>
    <w:rsid w:val="00D64F0E"/>
    <w:rsid w:val="00D70BF0"/>
    <w:rsid w:val="00D72A77"/>
    <w:rsid w:val="00D97CB6"/>
    <w:rsid w:val="00DA318E"/>
    <w:rsid w:val="00DA41A8"/>
    <w:rsid w:val="00DA5ECE"/>
    <w:rsid w:val="00DA7320"/>
    <w:rsid w:val="00DB22D3"/>
    <w:rsid w:val="00DB452A"/>
    <w:rsid w:val="00DB5741"/>
    <w:rsid w:val="00DE4115"/>
    <w:rsid w:val="00DF5164"/>
    <w:rsid w:val="00E01E51"/>
    <w:rsid w:val="00E12B5B"/>
    <w:rsid w:val="00E12C9D"/>
    <w:rsid w:val="00E14887"/>
    <w:rsid w:val="00E2548A"/>
    <w:rsid w:val="00E26390"/>
    <w:rsid w:val="00E3086A"/>
    <w:rsid w:val="00E42C27"/>
    <w:rsid w:val="00E537C4"/>
    <w:rsid w:val="00E6510C"/>
    <w:rsid w:val="00E701F5"/>
    <w:rsid w:val="00E85C86"/>
    <w:rsid w:val="00E90FCC"/>
    <w:rsid w:val="00ED0331"/>
    <w:rsid w:val="00ED7F0A"/>
    <w:rsid w:val="00EE4311"/>
    <w:rsid w:val="00F16501"/>
    <w:rsid w:val="00F429FE"/>
    <w:rsid w:val="00F4511C"/>
    <w:rsid w:val="00F47622"/>
    <w:rsid w:val="00F52F19"/>
    <w:rsid w:val="00F7709C"/>
    <w:rsid w:val="00F879F5"/>
    <w:rsid w:val="00F958B8"/>
    <w:rsid w:val="00FA0FB3"/>
    <w:rsid w:val="00FC623A"/>
    <w:rsid w:val="00FC7F14"/>
    <w:rsid w:val="00FE3A46"/>
    <w:rsid w:val="00FF4F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49907"/>
  <w15:chartTrackingRefBased/>
  <w15:docId w15:val="{F0DD7F9D-6FB3-4718-88D9-33B00ECB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9D"/>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A24E1C"/>
    <w:rPr>
      <w:rFonts w:ascii="Segoe UI Semibold" w:hAnsi="Segoe UI Semibold"/>
      <w:b w:val="0"/>
      <w:color w:val="auto"/>
      <w:sz w:val="22"/>
    </w:rPr>
  </w:style>
  <w:style w:type="paragraph" w:styleId="Title">
    <w:name w:val="Title"/>
    <w:basedOn w:val="Normal"/>
    <w:next w:val="Normal"/>
    <w:link w:val="TitleChar"/>
    <w:autoRedefine/>
    <w:uiPriority w:val="10"/>
    <w:qFormat/>
    <w:rsid w:val="00210749"/>
    <w:pPr>
      <w:spacing w:before="120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210749"/>
    <w:rPr>
      <w:rFonts w:ascii="Segoe UI Light" w:eastAsiaTheme="majorEastAsia" w:hAnsi="Segoe UI Light" w:cs="Segoe UI Light"/>
      <w:color w:val="54575A" w:themeColor="text1"/>
      <w:spacing w:val="-10"/>
      <w:kern w:val="28"/>
      <w:sz w:val="120"/>
      <w:szCs w:val="120"/>
      <w:lang w:val="fr-CA"/>
    </w:rPr>
  </w:style>
  <w:style w:type="paragraph" w:styleId="NormalWeb">
    <w:name w:val="Normal (Web)"/>
    <w:basedOn w:val="Normal"/>
    <w:uiPriority w:val="99"/>
    <w:unhideWhenUsed/>
    <w:rsid w:val="0003019D"/>
    <w:pPr>
      <w:spacing w:before="100" w:beforeAutospacing="1" w:after="100" w:afterAutospacing="1"/>
    </w:pPr>
    <w:rPr>
      <w:rFonts w:ascii="Verdana" w:hAnsi="Verdana"/>
      <w:szCs w:val="24"/>
    </w:rPr>
  </w:style>
  <w:style w:type="paragraph" w:customStyle="1" w:styleId="Level1">
    <w:name w:val="Level 1"/>
    <w:basedOn w:val="Normal"/>
    <w:uiPriority w:val="99"/>
    <w:rsid w:val="0003019D"/>
    <w:pPr>
      <w:widowControl w:val="0"/>
    </w:pPr>
  </w:style>
  <w:style w:type="character" w:styleId="Hyperlink">
    <w:name w:val="Hyperlink"/>
    <w:uiPriority w:val="99"/>
    <w:unhideWhenUsed/>
    <w:rsid w:val="0003019D"/>
    <w:rPr>
      <w:color w:val="0563C1"/>
      <w:u w:val="single"/>
    </w:rPr>
  </w:style>
  <w:style w:type="paragraph" w:styleId="NoSpacing">
    <w:name w:val="No Spacing"/>
    <w:uiPriority w:val="1"/>
    <w:qFormat/>
    <w:rsid w:val="0003019D"/>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link w:val="Style1Char"/>
    <w:qFormat/>
    <w:rsid w:val="0003019D"/>
    <w:pPr>
      <w:pBdr>
        <w:bottom w:val="single" w:sz="4" w:space="1" w:color="92D050"/>
      </w:pBdr>
      <w:autoSpaceDE w:val="0"/>
      <w:autoSpaceDN w:val="0"/>
      <w:adjustRightInd w:val="0"/>
      <w:ind w:right="50"/>
    </w:pPr>
    <w:rPr>
      <w:rFonts w:ascii="Arial" w:hAnsi="Arial" w:cs="Arial"/>
      <w:b/>
      <w:caps/>
      <w:color w:val="92D050"/>
      <w:sz w:val="22"/>
      <w:szCs w:val="22"/>
      <w:lang w:val="en-CA"/>
    </w:rPr>
  </w:style>
  <w:style w:type="character" w:customStyle="1" w:styleId="Style1Char">
    <w:name w:val="Style1 Char"/>
    <w:basedOn w:val="DefaultParagraphFont"/>
    <w:link w:val="Style1"/>
    <w:rsid w:val="0003019D"/>
    <w:rPr>
      <w:rFonts w:ascii="Arial" w:eastAsia="Times New Roman" w:hAnsi="Arial" w:cs="Arial"/>
      <w:b/>
      <w:caps/>
      <w:color w:val="92D050"/>
    </w:rPr>
  </w:style>
  <w:style w:type="paragraph" w:customStyle="1" w:styleId="Style6">
    <w:name w:val="Style6"/>
    <w:basedOn w:val="Normal"/>
    <w:link w:val="Style6Char"/>
    <w:qFormat/>
    <w:rsid w:val="0003019D"/>
    <w:pPr>
      <w:jc w:val="center"/>
    </w:pPr>
    <w:rPr>
      <w:rFonts w:ascii="Arial" w:hAnsi="Arial" w:cs="Arial"/>
      <w:b/>
      <w:color w:val="009999"/>
      <w:szCs w:val="24"/>
    </w:rPr>
  </w:style>
  <w:style w:type="paragraph" w:customStyle="1" w:styleId="Style7">
    <w:name w:val="Style7"/>
    <w:basedOn w:val="Normal"/>
    <w:link w:val="Style7Char"/>
    <w:qFormat/>
    <w:rsid w:val="0003019D"/>
    <w:pPr>
      <w:jc w:val="center"/>
    </w:pPr>
    <w:rPr>
      <w:rFonts w:ascii="Arial" w:hAnsi="Arial" w:cs="Arial"/>
      <w:color w:val="009999"/>
      <w:sz w:val="22"/>
      <w:szCs w:val="32"/>
    </w:rPr>
  </w:style>
  <w:style w:type="character" w:customStyle="1" w:styleId="Style6Char">
    <w:name w:val="Style6 Char"/>
    <w:basedOn w:val="DefaultParagraphFont"/>
    <w:link w:val="Style6"/>
    <w:rsid w:val="0003019D"/>
    <w:rPr>
      <w:rFonts w:ascii="Arial" w:eastAsia="Times New Roman" w:hAnsi="Arial" w:cs="Arial"/>
      <w:b/>
      <w:color w:val="009999"/>
      <w:sz w:val="24"/>
      <w:szCs w:val="24"/>
      <w:lang w:val="en-US"/>
    </w:rPr>
  </w:style>
  <w:style w:type="paragraph" w:customStyle="1" w:styleId="Style8">
    <w:name w:val="Style8"/>
    <w:basedOn w:val="Normal"/>
    <w:link w:val="Style8Char"/>
    <w:qFormat/>
    <w:rsid w:val="0003019D"/>
    <w:rPr>
      <w:rFonts w:ascii="Arial" w:hAnsi="Arial" w:cs="Arial"/>
      <w:color w:val="767171"/>
      <w:sz w:val="16"/>
      <w:szCs w:val="22"/>
      <w:lang w:val="en-CA"/>
    </w:rPr>
  </w:style>
  <w:style w:type="character" w:customStyle="1" w:styleId="Style7Char">
    <w:name w:val="Style7 Char"/>
    <w:basedOn w:val="DefaultParagraphFont"/>
    <w:link w:val="Style7"/>
    <w:rsid w:val="0003019D"/>
    <w:rPr>
      <w:rFonts w:ascii="Arial" w:eastAsia="Times New Roman" w:hAnsi="Arial" w:cs="Arial"/>
      <w:color w:val="009999"/>
      <w:szCs w:val="32"/>
      <w:lang w:val="en-US"/>
    </w:rPr>
  </w:style>
  <w:style w:type="character" w:customStyle="1" w:styleId="Style8Char">
    <w:name w:val="Style8 Char"/>
    <w:basedOn w:val="DefaultParagraphFont"/>
    <w:link w:val="Style8"/>
    <w:rsid w:val="0003019D"/>
    <w:rPr>
      <w:rFonts w:ascii="Arial" w:eastAsia="Times New Roman" w:hAnsi="Arial" w:cs="Arial"/>
      <w:color w:val="767171"/>
      <w:sz w:val="16"/>
    </w:rPr>
  </w:style>
  <w:style w:type="character" w:styleId="FollowedHyperlink">
    <w:name w:val="FollowedHyperlink"/>
    <w:basedOn w:val="DefaultParagraphFont"/>
    <w:uiPriority w:val="99"/>
    <w:semiHidden/>
    <w:unhideWhenUsed/>
    <w:rsid w:val="00803917"/>
    <w:rPr>
      <w:color w:val="A5A5A5" w:themeColor="followedHyperlink"/>
      <w:u w:val="single"/>
    </w:rPr>
  </w:style>
  <w:style w:type="character" w:styleId="Strong">
    <w:name w:val="Strong"/>
    <w:basedOn w:val="DefaultParagraphFont"/>
    <w:uiPriority w:val="22"/>
    <w:qFormat/>
    <w:rsid w:val="004652EA"/>
    <w:rPr>
      <w:rFonts w:asciiTheme="minorHAnsi" w:hAnsiTheme="minorHAnsi"/>
      <w:b/>
      <w:bCs/>
      <w:sz w:val="22"/>
    </w:rPr>
  </w:style>
  <w:style w:type="character" w:styleId="Emphasis">
    <w:name w:val="Emphasis"/>
    <w:basedOn w:val="DefaultParagraphFont"/>
    <w:uiPriority w:val="20"/>
    <w:qFormat/>
    <w:rsid w:val="004F1F5D"/>
    <w:rPr>
      <w:rFonts w:asciiTheme="minorHAnsi" w:hAnsiTheme="minorHAnsi"/>
      <w:i/>
      <w:iCs/>
      <w:sz w:val="18"/>
    </w:rPr>
  </w:style>
  <w:style w:type="paragraph" w:styleId="Caption">
    <w:name w:val="caption"/>
    <w:basedOn w:val="Normal"/>
    <w:next w:val="Normal"/>
    <w:uiPriority w:val="35"/>
    <w:unhideWhenUsed/>
    <w:qFormat/>
    <w:rsid w:val="00417183"/>
    <w:pPr>
      <w:spacing w:after="200"/>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9140">
      <w:bodyDiv w:val="1"/>
      <w:marLeft w:val="0"/>
      <w:marRight w:val="0"/>
      <w:marTop w:val="0"/>
      <w:marBottom w:val="0"/>
      <w:divBdr>
        <w:top w:val="none" w:sz="0" w:space="0" w:color="auto"/>
        <w:left w:val="none" w:sz="0" w:space="0" w:color="auto"/>
        <w:bottom w:val="none" w:sz="0" w:space="0" w:color="auto"/>
        <w:right w:val="none" w:sz="0" w:space="0" w:color="auto"/>
      </w:divBdr>
    </w:div>
    <w:div w:id="365758119">
      <w:bodyDiv w:val="1"/>
      <w:marLeft w:val="0"/>
      <w:marRight w:val="0"/>
      <w:marTop w:val="0"/>
      <w:marBottom w:val="0"/>
      <w:divBdr>
        <w:top w:val="none" w:sz="0" w:space="0" w:color="auto"/>
        <w:left w:val="none" w:sz="0" w:space="0" w:color="auto"/>
        <w:bottom w:val="none" w:sz="0" w:space="0" w:color="auto"/>
        <w:right w:val="none" w:sz="0" w:space="0" w:color="auto"/>
      </w:divBdr>
    </w:div>
    <w:div w:id="813376350">
      <w:bodyDiv w:val="1"/>
      <w:marLeft w:val="0"/>
      <w:marRight w:val="0"/>
      <w:marTop w:val="0"/>
      <w:marBottom w:val="0"/>
      <w:divBdr>
        <w:top w:val="none" w:sz="0" w:space="0" w:color="auto"/>
        <w:left w:val="none" w:sz="0" w:space="0" w:color="auto"/>
        <w:bottom w:val="none" w:sz="0" w:space="0" w:color="auto"/>
        <w:right w:val="none" w:sz="0" w:space="0" w:color="auto"/>
      </w:divBdr>
    </w:div>
    <w:div w:id="1213541510">
      <w:bodyDiv w:val="1"/>
      <w:marLeft w:val="0"/>
      <w:marRight w:val="0"/>
      <w:marTop w:val="0"/>
      <w:marBottom w:val="0"/>
      <w:divBdr>
        <w:top w:val="none" w:sz="0" w:space="0" w:color="auto"/>
        <w:left w:val="none" w:sz="0" w:space="0" w:color="auto"/>
        <w:bottom w:val="none" w:sz="0" w:space="0" w:color="auto"/>
        <w:right w:val="none" w:sz="0" w:space="0" w:color="auto"/>
      </w:divBdr>
    </w:div>
    <w:div w:id="1324506755">
      <w:bodyDiv w:val="1"/>
      <w:marLeft w:val="0"/>
      <w:marRight w:val="0"/>
      <w:marTop w:val="0"/>
      <w:marBottom w:val="0"/>
      <w:divBdr>
        <w:top w:val="none" w:sz="0" w:space="0" w:color="auto"/>
        <w:left w:val="none" w:sz="0" w:space="0" w:color="auto"/>
        <w:bottom w:val="none" w:sz="0" w:space="0" w:color="auto"/>
        <w:right w:val="none" w:sz="0" w:space="0" w:color="auto"/>
      </w:divBdr>
    </w:div>
    <w:div w:id="1362049930">
      <w:bodyDiv w:val="1"/>
      <w:marLeft w:val="0"/>
      <w:marRight w:val="0"/>
      <w:marTop w:val="0"/>
      <w:marBottom w:val="0"/>
      <w:divBdr>
        <w:top w:val="none" w:sz="0" w:space="0" w:color="auto"/>
        <w:left w:val="none" w:sz="0" w:space="0" w:color="auto"/>
        <w:bottom w:val="none" w:sz="0" w:space="0" w:color="auto"/>
        <w:right w:val="none" w:sz="0" w:space="0" w:color="auto"/>
      </w:divBdr>
    </w:div>
    <w:div w:id="1544901285">
      <w:bodyDiv w:val="1"/>
      <w:marLeft w:val="0"/>
      <w:marRight w:val="0"/>
      <w:marTop w:val="0"/>
      <w:marBottom w:val="0"/>
      <w:divBdr>
        <w:top w:val="none" w:sz="0" w:space="0" w:color="auto"/>
        <w:left w:val="none" w:sz="0" w:space="0" w:color="auto"/>
        <w:bottom w:val="none" w:sz="0" w:space="0" w:color="auto"/>
        <w:right w:val="none" w:sz="0" w:space="0" w:color="auto"/>
      </w:divBdr>
    </w:div>
    <w:div w:id="1798373593">
      <w:bodyDiv w:val="1"/>
      <w:marLeft w:val="0"/>
      <w:marRight w:val="0"/>
      <w:marTop w:val="0"/>
      <w:marBottom w:val="0"/>
      <w:divBdr>
        <w:top w:val="none" w:sz="0" w:space="0" w:color="auto"/>
        <w:left w:val="none" w:sz="0" w:space="0" w:color="auto"/>
        <w:bottom w:val="none" w:sz="0" w:space="0" w:color="auto"/>
        <w:right w:val="none" w:sz="0" w:space="0" w:color="auto"/>
      </w:divBdr>
    </w:div>
    <w:div w:id="1908764868">
      <w:bodyDiv w:val="1"/>
      <w:marLeft w:val="0"/>
      <w:marRight w:val="0"/>
      <w:marTop w:val="0"/>
      <w:marBottom w:val="0"/>
      <w:divBdr>
        <w:top w:val="none" w:sz="0" w:space="0" w:color="auto"/>
        <w:left w:val="none" w:sz="0" w:space="0" w:color="auto"/>
        <w:bottom w:val="none" w:sz="0" w:space="0" w:color="auto"/>
        <w:right w:val="none" w:sz="0" w:space="0" w:color="auto"/>
      </w:divBdr>
    </w:div>
    <w:div w:id="19280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10.xml"/><Relationship Id="rId28" Type="http://schemas.openxmlformats.org/officeDocument/2006/relationships/footer" Target="footer5.xml"/><Relationship Id="rId10" Type="http://schemas.openxmlformats.org/officeDocument/2006/relationships/chart" Target="charts/chart1.xml"/><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chart" Target="charts/chart9.xml"/><Relationship Id="rId27" Type="http://schemas.openxmlformats.org/officeDocument/2006/relationships/header" Target="header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by tenure as of March 31</a:t>
            </a:r>
          </a:p>
        </c:rich>
      </c:tx>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038961038961039"/>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(N=97) </c:v>
                </c:pt>
                <c:pt idx="1">
                  <c:v> 2015 
(N=91) </c:v>
                </c:pt>
                <c:pt idx="2">
                  <c:v> 2016 
(N=90) </c:v>
                </c:pt>
                <c:pt idx="3">
                  <c:v> 2017 
(N=101) </c:v>
                </c:pt>
                <c:pt idx="4">
                  <c:v> 2018 
(N=121) </c:v>
                </c:pt>
                <c:pt idx="5">
                  <c:v> 2019
(N=180) </c:v>
                </c:pt>
              </c:strCache>
            </c:strRef>
          </c:cat>
          <c:val>
            <c:numRef>
              <c:f>Sheet1!$B$2:$B$7</c:f>
              <c:numCache>
                <c:formatCode>#\ ###</c:formatCode>
                <c:ptCount val="6"/>
                <c:pt idx="0">
                  <c:v>76</c:v>
                </c:pt>
                <c:pt idx="1">
                  <c:v>82</c:v>
                </c:pt>
                <c:pt idx="2">
                  <c:v>77</c:v>
                </c:pt>
                <c:pt idx="3">
                  <c:v>82</c:v>
                </c:pt>
                <c:pt idx="4">
                  <c:v>88</c:v>
                </c:pt>
                <c:pt idx="5">
                  <c:v>110</c:v>
                </c:pt>
              </c:numCache>
            </c:numRef>
          </c:val>
          <c:extLst>
            <c:ext xmlns:c16="http://schemas.microsoft.com/office/drawing/2014/chart" uri="{C3380CC4-5D6E-409C-BE32-E72D297353CC}">
              <c16:uniqueId val="{00000000-7A12-4368-8C09-EEE286481418}"/>
            </c:ext>
          </c:extLst>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3.0807147258163892E-3"/>
                  <c:y val="2.10131841627904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12-4368-8C09-EEE286481418}"/>
                </c:ext>
              </c:extLst>
            </c:dLbl>
            <c:dLbl>
              <c:idx val="1"/>
              <c:layout>
                <c:manualLayout>
                  <c:x val="3.0807147258163892E-3"/>
                  <c:y val="2.8091083209193446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12-4368-8C09-EEE286481418}"/>
                </c:ext>
              </c:extLst>
            </c:dLbl>
            <c:dLbl>
              <c:idx val="2"/>
              <c:layout>
                <c:manualLayout>
                  <c:x val="-5.6479117521715313E-17"/>
                  <c:y val="2.08729314241125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12-4368-8C09-EEE286481418}"/>
                </c:ext>
              </c:extLst>
            </c:dLbl>
            <c:dLbl>
              <c:idx val="3"/>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12-4368-8C09-EEE286481418}"/>
                </c:ext>
              </c:extLst>
            </c:dLbl>
            <c:dLbl>
              <c:idx val="4"/>
              <c:layout>
                <c:manualLayout>
                  <c:x val="3.0807147258163892E-3"/>
                  <c:y val="2.091954721875981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12-4368-8C09-EEE286481418}"/>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(N=97) </c:v>
                </c:pt>
                <c:pt idx="1">
                  <c:v> 2015 
(N=91) </c:v>
                </c:pt>
                <c:pt idx="2">
                  <c:v> 2016 
(N=90) </c:v>
                </c:pt>
                <c:pt idx="3">
                  <c:v> 2017 
(N=101) </c:v>
                </c:pt>
                <c:pt idx="4">
                  <c:v> 2018 
(N=121) </c:v>
                </c:pt>
                <c:pt idx="5">
                  <c:v> 2019
(N=180) </c:v>
                </c:pt>
              </c:strCache>
            </c:strRef>
          </c:cat>
          <c:val>
            <c:numRef>
              <c:f>Sheet1!$C$2:$C$7</c:f>
              <c:numCache>
                <c:formatCode>#\ ###</c:formatCode>
                <c:ptCount val="6"/>
                <c:pt idx="0">
                  <c:v>8</c:v>
                </c:pt>
                <c:pt idx="1">
                  <c:v>4</c:v>
                </c:pt>
                <c:pt idx="2">
                  <c:v>5</c:v>
                </c:pt>
                <c:pt idx="3">
                  <c:v>4</c:v>
                </c:pt>
                <c:pt idx="4">
                  <c:v>5</c:v>
                </c:pt>
                <c:pt idx="5">
                  <c:v>7</c:v>
                </c:pt>
              </c:numCache>
            </c:numRef>
          </c:val>
          <c:extLst>
            <c:ext xmlns:c16="http://schemas.microsoft.com/office/drawing/2014/chart" uri="{C3380CC4-5D6E-409C-BE32-E72D297353CC}">
              <c16:uniqueId val="{00000006-7A12-4368-8C09-EEE286481418}"/>
            </c:ext>
          </c:extLst>
        </c:ser>
        <c:ser>
          <c:idx val="2"/>
          <c:order val="2"/>
          <c:tx>
            <c:strRef>
              <c:f>Sheet1!$D$1</c:f>
              <c:strCache>
                <c:ptCount val="1"/>
                <c:pt idx="0">
                  <c:v> Casual </c:v>
                </c:pt>
              </c:strCache>
            </c:strRef>
          </c:tx>
          <c:spPr>
            <a:solidFill>
              <a:schemeClr val="accent3"/>
            </a:solidFill>
            <a:ln>
              <a:noFill/>
            </a:ln>
            <a:effectLst/>
          </c:spPr>
          <c:invertIfNegative val="0"/>
          <c:dLbls>
            <c:dLbl>
              <c:idx val="1"/>
              <c:layout>
                <c:manualLayout>
                  <c:x val="-3.0807147258163892E-3"/>
                  <c:y val="-3.088803088803088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12-4368-8C09-EEE286481418}"/>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(N=97) </c:v>
                </c:pt>
                <c:pt idx="1">
                  <c:v> 2015 
(N=91) </c:v>
                </c:pt>
                <c:pt idx="2">
                  <c:v> 2016 
(N=90) </c:v>
                </c:pt>
                <c:pt idx="3">
                  <c:v> 2017 
(N=101) </c:v>
                </c:pt>
                <c:pt idx="4">
                  <c:v> 2018 
(N=121) </c:v>
                </c:pt>
                <c:pt idx="5">
                  <c:v> 2019
(N=180) </c:v>
                </c:pt>
              </c:strCache>
            </c:strRef>
          </c:cat>
          <c:val>
            <c:numRef>
              <c:f>Sheet1!$D$2:$D$7</c:f>
              <c:numCache>
                <c:formatCode>#\ ###</c:formatCode>
                <c:ptCount val="6"/>
                <c:pt idx="0">
                  <c:v>12</c:v>
                </c:pt>
                <c:pt idx="1">
                  <c:v>5</c:v>
                </c:pt>
                <c:pt idx="2">
                  <c:v>7</c:v>
                </c:pt>
                <c:pt idx="3">
                  <c:v>12</c:v>
                </c:pt>
                <c:pt idx="4">
                  <c:v>22</c:v>
                </c:pt>
                <c:pt idx="5">
                  <c:v>55</c:v>
                </c:pt>
              </c:numCache>
            </c:numRef>
          </c:val>
          <c:extLst>
            <c:ext xmlns:c16="http://schemas.microsoft.com/office/drawing/2014/chart" uri="{C3380CC4-5D6E-409C-BE32-E72D297353CC}">
              <c16:uniqueId val="{00000008-7A12-4368-8C09-EEE286481418}"/>
            </c:ext>
          </c:extLst>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3.0807147258163892E-3"/>
                  <c:y val="-3.636356266277530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12-4368-8C09-EEE286481418}"/>
                </c:ext>
              </c:extLst>
            </c:dLbl>
            <c:dLbl>
              <c:idx val="1"/>
              <c:delete val="1"/>
              <c:extLst>
                <c:ext xmlns:c15="http://schemas.microsoft.com/office/drawing/2012/chart" uri="{CE6537A1-D6FC-4f65-9D91-7224C49458BB}"/>
                <c:ext xmlns:c16="http://schemas.microsoft.com/office/drawing/2014/chart" uri="{C3380CC4-5D6E-409C-BE32-E72D297353CC}">
                  <c16:uniqueId val="{0000000A-7A12-4368-8C09-EEE286481418}"/>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12-4368-8C09-EEE286481418}"/>
                </c:ext>
              </c:extLst>
            </c:dLbl>
            <c:dLbl>
              <c:idx val="3"/>
              <c:layout>
                <c:manualLayout>
                  <c:x val="0"/>
                  <c:y val="-3.636356266277530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12-4368-8C09-EEE286481418}"/>
                </c:ext>
              </c:extLst>
            </c:dLbl>
            <c:dLbl>
              <c:idx val="4"/>
              <c:layout>
                <c:manualLayout>
                  <c:x val="0"/>
                  <c:y val="-5.475531774744373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12-4368-8C09-EEE28648141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(N=97) </c:v>
                </c:pt>
                <c:pt idx="1">
                  <c:v> 2015 
(N=91) </c:v>
                </c:pt>
                <c:pt idx="2">
                  <c:v> 2016 
(N=90) </c:v>
                </c:pt>
                <c:pt idx="3">
                  <c:v> 2017 
(N=101) </c:v>
                </c:pt>
                <c:pt idx="4">
                  <c:v> 2018 
(N=121) </c:v>
                </c:pt>
                <c:pt idx="5">
                  <c:v> 2019
(N=180) </c:v>
                </c:pt>
              </c:strCache>
            </c:strRef>
          </c:cat>
          <c:val>
            <c:numRef>
              <c:f>Sheet1!$E$2:$E$7</c:f>
              <c:numCache>
                <c:formatCode>#\ ###</c:formatCode>
                <c:ptCount val="6"/>
                <c:pt idx="0">
                  <c:v>1</c:v>
                </c:pt>
                <c:pt idx="1">
                  <c:v>0</c:v>
                </c:pt>
                <c:pt idx="2">
                  <c:v>1</c:v>
                </c:pt>
                <c:pt idx="3">
                  <c:v>3</c:v>
                </c:pt>
                <c:pt idx="4">
                  <c:v>6</c:v>
                </c:pt>
                <c:pt idx="5">
                  <c:v>8</c:v>
                </c:pt>
              </c:numCache>
            </c:numRef>
          </c:val>
          <c:extLst>
            <c:ext xmlns:c16="http://schemas.microsoft.com/office/drawing/2014/chart" uri="{C3380CC4-5D6E-409C-BE32-E72D297353CC}">
              <c16:uniqueId val="{0000000E-7A12-4368-8C09-EEE286481418}"/>
            </c:ext>
          </c:extLst>
        </c:ser>
        <c:dLbls>
          <c:dLblPos val="ctr"/>
          <c:showLegendKey val="0"/>
          <c:showVal val="1"/>
          <c:showCatName val="0"/>
          <c:showSerName val="0"/>
          <c:showPercent val="0"/>
          <c:showBubbleSize val="0"/>
        </c:dLbls>
        <c:gapWidth val="150"/>
        <c:overlap val="100"/>
        <c:axId val="208727064"/>
        <c:axId val="208724712"/>
      </c:barChart>
      <c:catAx>
        <c:axId val="20872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724712"/>
        <c:crosses val="autoZero"/>
        <c:auto val="1"/>
        <c:lblAlgn val="ctr"/>
        <c:lblOffset val="100"/>
        <c:noMultiLvlLbl val="0"/>
      </c:catAx>
      <c:valAx>
        <c:axId val="20872471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72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Student program hires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4DB-4A46-AB18-65D62D0429E6}"/>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(N=0)</c:v>
                </c:pt>
                <c:pt idx="1">
                  <c:v>2015-16
 (N=6)</c:v>
                </c:pt>
                <c:pt idx="2">
                  <c:v>2016-17
 (N=9)</c:v>
                </c:pt>
                <c:pt idx="3">
                  <c:v>2017-18
 (N=14)</c:v>
                </c:pt>
                <c:pt idx="4">
                  <c:v>2018-19
 (N=14)</c:v>
                </c:pt>
              </c:strCache>
            </c:strRef>
          </c:cat>
          <c:val>
            <c:numRef>
              <c:f>Sheet1!$B$2:$B$6</c:f>
              <c:numCache>
                <c:formatCode>General</c:formatCode>
                <c:ptCount val="5"/>
                <c:pt idx="0">
                  <c:v>0</c:v>
                </c:pt>
                <c:pt idx="1">
                  <c:v>6</c:v>
                </c:pt>
                <c:pt idx="2">
                  <c:v>8</c:v>
                </c:pt>
                <c:pt idx="3">
                  <c:v>12</c:v>
                </c:pt>
                <c:pt idx="4">
                  <c:v>9</c:v>
                </c:pt>
              </c:numCache>
            </c:numRef>
          </c:val>
          <c:extLst>
            <c:ext xmlns:c16="http://schemas.microsoft.com/office/drawing/2014/chart" uri="{C3380CC4-5D6E-409C-BE32-E72D297353CC}">
              <c16:uniqueId val="{00000001-14DB-4A46-AB18-65D62D0429E6}"/>
            </c:ext>
          </c:extLst>
        </c:ser>
        <c:ser>
          <c:idx val="1"/>
          <c:order val="1"/>
          <c:tx>
            <c:strRef>
              <c:f>Sheet1!$C$1</c:f>
              <c:strCache>
                <c:ptCount val="1"/>
                <c:pt idx="0">
                  <c:v>Post-Secondary CO-OP/Internship Program (COOP)</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14DB-4A46-AB18-65D62D0429E6}"/>
                </c:ext>
              </c:extLst>
            </c:dLbl>
            <c:dLbl>
              <c:idx val="1"/>
              <c:delete val="1"/>
              <c:extLst>
                <c:ext xmlns:c15="http://schemas.microsoft.com/office/drawing/2012/chart" uri="{CE6537A1-D6FC-4f65-9D91-7224C49458BB}"/>
                <c:ext xmlns:c16="http://schemas.microsoft.com/office/drawing/2014/chart" uri="{C3380CC4-5D6E-409C-BE32-E72D297353CC}">
                  <c16:uniqueId val="{00000003-14DB-4A46-AB18-65D62D0429E6}"/>
                </c:ext>
              </c:extLst>
            </c:dLbl>
            <c:dLbl>
              <c:idx val="2"/>
              <c:delete val="1"/>
              <c:extLst>
                <c:ext xmlns:c15="http://schemas.microsoft.com/office/drawing/2012/chart" uri="{CE6537A1-D6FC-4f65-9D91-7224C49458BB}"/>
                <c:ext xmlns:c16="http://schemas.microsoft.com/office/drawing/2014/chart" uri="{C3380CC4-5D6E-409C-BE32-E72D297353CC}">
                  <c16:uniqueId val="{00000004-14DB-4A46-AB18-65D62D0429E6}"/>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(N=0)</c:v>
                </c:pt>
                <c:pt idx="1">
                  <c:v>2015-16
 (N=6)</c:v>
                </c:pt>
                <c:pt idx="2">
                  <c:v>2016-17
 (N=9)</c:v>
                </c:pt>
                <c:pt idx="3">
                  <c:v>2017-18
 (N=14)</c:v>
                </c:pt>
                <c:pt idx="4">
                  <c:v>2018-19
 (N=14)</c:v>
                </c:pt>
              </c:strCache>
            </c:strRef>
          </c:cat>
          <c:val>
            <c:numRef>
              <c:f>Sheet1!$C$2:$C$6</c:f>
              <c:numCache>
                <c:formatCode>General</c:formatCode>
                <c:ptCount val="5"/>
                <c:pt idx="0">
                  <c:v>0</c:v>
                </c:pt>
                <c:pt idx="1">
                  <c:v>0</c:v>
                </c:pt>
                <c:pt idx="2">
                  <c:v>0</c:v>
                </c:pt>
                <c:pt idx="3">
                  <c:v>1</c:v>
                </c:pt>
                <c:pt idx="4">
                  <c:v>4</c:v>
                </c:pt>
              </c:numCache>
            </c:numRef>
          </c:val>
          <c:extLst>
            <c:ext xmlns:c16="http://schemas.microsoft.com/office/drawing/2014/chart" uri="{C3380CC4-5D6E-409C-BE32-E72D297353CC}">
              <c16:uniqueId val="{00000005-14DB-4A46-AB18-65D62D0429E6}"/>
            </c:ext>
          </c:extLst>
        </c:ser>
        <c:ser>
          <c:idx val="2"/>
          <c:order val="2"/>
          <c:tx>
            <c:strRef>
              <c:f>Sheet1!$D$1</c:f>
              <c:strCache>
                <c:ptCount val="1"/>
                <c:pt idx="0">
                  <c:v>Research Affiliate Program (RAP)</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14DB-4A46-AB18-65D62D0429E6}"/>
                </c:ext>
              </c:extLst>
            </c:dLbl>
            <c:dLbl>
              <c:idx val="1"/>
              <c:delete val="1"/>
              <c:extLst>
                <c:ext xmlns:c15="http://schemas.microsoft.com/office/drawing/2012/chart" uri="{CE6537A1-D6FC-4f65-9D91-7224C49458BB}"/>
                <c:ext xmlns:c16="http://schemas.microsoft.com/office/drawing/2014/chart" uri="{C3380CC4-5D6E-409C-BE32-E72D297353CC}">
                  <c16:uniqueId val="{00000007-14DB-4A46-AB18-65D62D0429E6}"/>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(N=0)</c:v>
                </c:pt>
                <c:pt idx="1">
                  <c:v>2015-16
 (N=6)</c:v>
                </c:pt>
                <c:pt idx="2">
                  <c:v>2016-17
 (N=9)</c:v>
                </c:pt>
                <c:pt idx="3">
                  <c:v>2017-18
 (N=14)</c:v>
                </c:pt>
                <c:pt idx="4">
                  <c:v>2018-19
 (N=14)</c:v>
                </c:pt>
              </c:strCache>
            </c:strRef>
          </c:cat>
          <c:val>
            <c:numRef>
              <c:f>Sheet1!$D$2:$D$6</c:f>
              <c:numCache>
                <c:formatCode>General</c:formatCode>
                <c:ptCount val="5"/>
                <c:pt idx="0">
                  <c:v>0</c:v>
                </c:pt>
                <c:pt idx="1">
                  <c:v>0</c:v>
                </c:pt>
                <c:pt idx="2">
                  <c:v>1</c:v>
                </c:pt>
                <c:pt idx="3">
                  <c:v>1</c:v>
                </c:pt>
                <c:pt idx="4">
                  <c:v>1</c:v>
                </c:pt>
              </c:numCache>
            </c:numRef>
          </c:val>
          <c:extLst>
            <c:ext xmlns:c16="http://schemas.microsoft.com/office/drawing/2014/chart" uri="{C3380CC4-5D6E-409C-BE32-E72D297353CC}">
              <c16:uniqueId val="{00000008-14DB-4A46-AB18-65D62D0429E6}"/>
            </c:ext>
          </c:extLst>
        </c:ser>
        <c:dLbls>
          <c:dLblPos val="ctr"/>
          <c:showLegendKey val="0"/>
          <c:showVal val="1"/>
          <c:showCatName val="0"/>
          <c:showSerName val="0"/>
          <c:showPercent val="0"/>
          <c:showBubbleSize val="0"/>
        </c:dLbls>
        <c:gapWidth val="150"/>
        <c:overlap val="100"/>
        <c:axId val="378457872"/>
        <c:axId val="378459440"/>
      </c:barChart>
      <c:catAx>
        <c:axId val="37845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9440"/>
        <c:crosses val="autoZero"/>
        <c:auto val="1"/>
        <c:lblAlgn val="ctr"/>
        <c:lblOffset val="100"/>
        <c:noMultiLvlLbl val="0"/>
      </c:catAx>
      <c:valAx>
        <c:axId val="378459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7872"/>
        <c:crosses val="autoZero"/>
        <c:crossBetween val="between"/>
      </c:valAx>
      <c:spPr>
        <a:noFill/>
        <a:ln>
          <a:noFill/>
        </a:ln>
        <a:effectLst/>
      </c:spPr>
    </c:plotArea>
    <c:legend>
      <c:legendPos val="b"/>
      <c:layout>
        <c:manualLayout>
          <c:xMode val="edge"/>
          <c:yMode val="edge"/>
          <c:x val="4.2890265000242525E-2"/>
          <c:y val="0.83451514071101818"/>
          <c:w val="0.8156565182945561"/>
          <c:h val="0.1654848592889818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indeterminate and term hiring activities: Post-Secondary Recruitment Program and former student hires</a:t>
            </a:r>
          </a:p>
        </c:rich>
      </c:tx>
      <c:layout>
        <c:manualLayout>
          <c:xMode val="edge"/>
          <c:yMode val="edge"/>
          <c:x val="0.10758581361173865"/>
          <c:y val="1.534919416730621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42061281337065E-2"/>
                  <c:y val="1.1511895625479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A9-4CEA-98C4-2C4995915DD4}"/>
                </c:ext>
              </c:extLst>
            </c:dLbl>
            <c:dLbl>
              <c:idx val="1"/>
              <c:layout>
                <c:manualLayout>
                  <c:x val="-3.7140204271123491E-3"/>
                  <c:y val="7.67459708365296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A9-4CEA-98C4-2C4995915DD4}"/>
                </c:ext>
              </c:extLst>
            </c:dLbl>
            <c:dLbl>
              <c:idx val="2"/>
              <c:layout>
                <c:manualLayout>
                  <c:x val="-3.714020427112281E-3"/>
                  <c:y val="1.5349194167306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A9-4CEA-98C4-2C4995915DD4}"/>
                </c:ext>
              </c:extLst>
            </c:dLbl>
            <c:dLbl>
              <c:idx val="3"/>
              <c:delete val="1"/>
              <c:extLst>
                <c:ext xmlns:c15="http://schemas.microsoft.com/office/drawing/2012/chart" uri="{CE6537A1-D6FC-4f65-9D91-7224C49458BB}"/>
                <c:ext xmlns:c16="http://schemas.microsoft.com/office/drawing/2014/chart" uri="{C3380CC4-5D6E-409C-BE32-E72D297353CC}">
                  <c16:uniqueId val="{00000003-99A9-4CEA-98C4-2C4995915DD4}"/>
                </c:ext>
              </c:extLst>
            </c:dLbl>
            <c:dLbl>
              <c:idx val="4"/>
              <c:delete val="1"/>
              <c:extLst>
                <c:ext xmlns:c15="http://schemas.microsoft.com/office/drawing/2012/chart" uri="{CE6537A1-D6FC-4f65-9D91-7224C49458BB}"/>
                <c:ext xmlns:c16="http://schemas.microsoft.com/office/drawing/2014/chart" uri="{C3380CC4-5D6E-409C-BE32-E72D297353CC}">
                  <c16:uniqueId val="{00000004-99A9-4CEA-98C4-2C4995915DD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1</c:v>
                </c:pt>
                <c:pt idx="1">
                  <c:v>1</c:v>
                </c:pt>
                <c:pt idx="2">
                  <c:v>1</c:v>
                </c:pt>
                <c:pt idx="3">
                  <c:v>0</c:v>
                </c:pt>
                <c:pt idx="4">
                  <c:v>0</c:v>
                </c:pt>
              </c:numCache>
            </c:numRef>
          </c:val>
          <c:extLst>
            <c:ext xmlns:c16="http://schemas.microsoft.com/office/drawing/2014/chart" uri="{C3380CC4-5D6E-409C-BE32-E72D297353CC}">
              <c16:uniqueId val="{00000005-99A9-4CEA-98C4-2C4995915DD4}"/>
            </c:ext>
          </c:extLst>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99A9-4CEA-98C4-2C4995915DD4}"/>
                </c:ext>
              </c:extLst>
            </c:dLbl>
            <c:dLbl>
              <c:idx val="3"/>
              <c:layout>
                <c:manualLayout>
                  <c:x val="3.7140204271123491E-3"/>
                  <c:y val="3.83729854182655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A9-4CEA-98C4-2C4995915DD4}"/>
                </c:ext>
              </c:extLst>
            </c:dLbl>
            <c:dLbl>
              <c:idx val="4"/>
              <c:layout>
                <c:manualLayout>
                  <c:x val="0"/>
                  <c:y val="1.5349194167306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A9-4CEA-98C4-2C4995915DD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0</c:v>
                </c:pt>
                <c:pt idx="1">
                  <c:v>2</c:v>
                </c:pt>
                <c:pt idx="2">
                  <c:v>3</c:v>
                </c:pt>
                <c:pt idx="3">
                  <c:v>3</c:v>
                </c:pt>
                <c:pt idx="4">
                  <c:v>3</c:v>
                </c:pt>
              </c:numCache>
            </c:numRef>
          </c:val>
          <c:extLst>
            <c:ext xmlns:c16="http://schemas.microsoft.com/office/drawing/2014/chart" uri="{C3380CC4-5D6E-409C-BE32-E72D297353CC}">
              <c16:uniqueId val="{00000009-99A9-4CEA-98C4-2C4995915DD4}"/>
            </c:ext>
          </c:extLst>
        </c:ser>
        <c:dLbls>
          <c:showLegendKey val="0"/>
          <c:showVal val="1"/>
          <c:showCatName val="0"/>
          <c:showSerName val="0"/>
          <c:showPercent val="0"/>
          <c:showBubbleSize val="0"/>
        </c:dLbls>
        <c:gapWidth val="150"/>
        <c:shape val="box"/>
        <c:axId val="378459832"/>
        <c:axId val="378460224"/>
        <c:axId val="0"/>
      </c:bar3DChart>
      <c:catAx>
        <c:axId val="378459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60224"/>
        <c:crosses val="autoZero"/>
        <c:auto val="1"/>
        <c:lblAlgn val="ctr"/>
        <c:lblOffset val="100"/>
        <c:noMultiLvlLbl val="0"/>
      </c:catAx>
      <c:valAx>
        <c:axId val="37846022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9832"/>
        <c:crosses val="autoZero"/>
        <c:crossBetween val="between"/>
        <c:majorUnit val="2"/>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ysClr val="windowText" lastClr="000000"/>
                </a:solidFill>
                <a:latin typeface="+mn-lt"/>
                <a:ea typeface="+mn-ea"/>
                <a:cs typeface="+mn-cs"/>
              </a:defRPr>
            </a:pPr>
            <a:r>
              <a:rPr lang="en-CA" sz="1200"/>
              <a:t>Internal time to staff </a:t>
            </a:r>
          </a:p>
          <a:p>
            <a:pPr algn="ctr">
              <a:defRPr sz="1200"/>
            </a:pPr>
            <a:r>
              <a:rPr lang="en-CA" sz="1200"/>
              <a:t>Public service median = 176 days</a:t>
            </a:r>
          </a:p>
          <a:p>
            <a:pPr algn="ctr">
              <a:defRPr sz="1200"/>
            </a:pPr>
            <a:r>
              <a:rPr lang="en-CA" sz="1200"/>
              <a:t> 2018–2019</a:t>
            </a:r>
          </a:p>
        </c:rich>
      </c:tx>
      <c:layout>
        <c:manualLayout>
          <c:xMode val="edge"/>
          <c:yMode val="edge"/>
          <c:x val="0.25599626317896701"/>
          <c:y val="8.346456692913385E-3"/>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extLst>
            <c:ext xmlns:c16="http://schemas.microsoft.com/office/drawing/2014/chart" uri="{C3380CC4-5D6E-409C-BE32-E72D297353CC}">
              <c16:uniqueId val="{00000000-915E-446C-91F8-95FB662F6DC1}"/>
            </c:ext>
          </c:extLst>
        </c:ser>
        <c:dLbls>
          <c:showLegendKey val="0"/>
          <c:showVal val="0"/>
          <c:showCatName val="0"/>
          <c:showSerName val="0"/>
          <c:showPercent val="0"/>
          <c:showBubbleSize val="0"/>
        </c:dLbls>
        <c:gapWidth val="150"/>
        <c:overlap val="100"/>
        <c:axId val="208721968"/>
        <c:axId val="380102264"/>
      </c:barChart>
      <c:catAx>
        <c:axId val="20872196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0102264"/>
        <c:crosses val="autoZero"/>
        <c:auto val="1"/>
        <c:lblAlgn val="ctr"/>
        <c:lblOffset val="100"/>
        <c:noMultiLvlLbl val="0"/>
      </c:catAx>
      <c:valAx>
        <c:axId val="380102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72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time to staff</a:t>
            </a:r>
          </a:p>
          <a:p>
            <a:pPr>
              <a:defRPr sz="1200"/>
            </a:pPr>
            <a:r>
              <a:rPr lang="en-CA" sz="1200"/>
              <a:t>Public service median = 186 days</a:t>
            </a:r>
          </a:p>
          <a:p>
            <a:pPr>
              <a:defRPr sz="1200"/>
            </a:pPr>
            <a:r>
              <a:rPr lang="en-CA" sz="1200"/>
              <a:t> 2018–2019</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extLst>
            <c:ext xmlns:c16="http://schemas.microsoft.com/office/drawing/2014/chart" uri="{C3380CC4-5D6E-409C-BE32-E72D297353CC}">
              <c16:uniqueId val="{00000000-0AC2-4EEC-A51E-FE531327EA6C}"/>
            </c:ext>
          </c:extLst>
        </c:ser>
        <c:dLbls>
          <c:showLegendKey val="0"/>
          <c:showVal val="0"/>
          <c:showCatName val="0"/>
          <c:showSerName val="0"/>
          <c:showPercent val="0"/>
          <c:showBubbleSize val="0"/>
        </c:dLbls>
        <c:gapWidth val="150"/>
        <c:overlap val="100"/>
        <c:axId val="380099912"/>
        <c:axId val="380097560"/>
      </c:barChart>
      <c:catAx>
        <c:axId val="38009991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0097560"/>
        <c:crosses val="autoZero"/>
        <c:auto val="1"/>
        <c:lblAlgn val="ctr"/>
        <c:lblOffset val="100"/>
        <c:noMultiLvlLbl val="0"/>
      </c:catAx>
      <c:valAx>
        <c:axId val="380097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0099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by language requirements as of March 31, 2019 (N=180)</a:t>
            </a:r>
            <a:endParaRPr lang="en-CA" sz="1200">
              <a:solidFill>
                <a:sysClr val="windowText" lastClr="000000"/>
              </a:solidFill>
              <a:effectLst/>
            </a:endParaRPr>
          </a:p>
        </c:rich>
      </c:tx>
      <c:layout>
        <c:manualLayout>
          <c:xMode val="edge"/>
          <c:yMode val="edge"/>
          <c:x val="0.17701686423257387"/>
          <c:y val="5.6210803758865715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6332799644431872E-2"/>
          <c:y val="0.34320145957365084"/>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3175">
              <a:noFill/>
            </a:ln>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extLst>
              <c:ext xmlns:c16="http://schemas.microsoft.com/office/drawing/2014/chart" uri="{C3380CC4-5D6E-409C-BE32-E72D297353CC}">
                <c16:uniqueId val="{00000001-CFD4-4C60-A1AE-CD26653A249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extLst>
              <c:ext xmlns:c16="http://schemas.microsoft.com/office/drawing/2014/chart" uri="{C3380CC4-5D6E-409C-BE32-E72D297353CC}">
                <c16:uniqueId val="{00000003-CFD4-4C60-A1AE-CD26653A2491}"/>
              </c:ext>
            </c:extLst>
          </c:dPt>
          <c:dLbls>
            <c:dLbl>
              <c:idx val="0"/>
              <c:layout>
                <c:manualLayout>
                  <c:x val="-6.5441590743565434E-3"/>
                  <c:y val="1.7119463327953572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r>
                      <a:rPr lang="en-US"/>
                      <a:t>Unilingual</a:t>
                    </a:r>
                    <a:r>
                      <a:rPr lang="en-US" baseline="0"/>
                      <a:t>
</a:t>
                    </a:r>
                    <a:fld id="{78D79AF5-96C6-4E86-8CA5-F3A68FB7DE79}" type="PERCENTAGE">
                      <a:rPr lang="en-US" baseline="0"/>
                      <a:pPr>
                        <a:defRPr b="1">
                          <a:solidFill>
                            <a:schemeClr val="bg1"/>
                          </a:solidFill>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9354275741710287"/>
                      <c:h val="0.14492753623188406"/>
                    </c:manualLayout>
                  </c15:layout>
                  <c15:dlblFieldTable/>
                  <c15:showDataLabelsRange val="0"/>
                </c:ext>
                <c:ext xmlns:c16="http://schemas.microsoft.com/office/drawing/2014/chart" uri="{C3380CC4-5D6E-409C-BE32-E72D297353CC}">
                  <c16:uniqueId val="{00000001-CFD4-4C60-A1AE-CD26653A2491}"/>
                </c:ext>
              </c:extLst>
            </c:dLbl>
            <c:dLbl>
              <c:idx val="1"/>
              <c:layout>
                <c:manualLayout>
                  <c:x val="0.12216439240906406"/>
                  <c:y val="-5.0325231085244782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r>
                      <a:rPr lang="en-US" baseline="0"/>
                      <a:t>Bilingual
</a:t>
                    </a:r>
                    <a:fld id="{78ADA1AB-EE63-4A78-A183-91192FD3D404}" type="PERCENTAGE">
                      <a:rPr lang="en-US" baseline="0"/>
                      <a:pPr>
                        <a:defRPr b="1">
                          <a:solidFill>
                            <a:schemeClr val="bg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15:dlblFieldTable/>
                  <c15:showDataLabelsRange val="0"/>
                </c:ext>
                <c:ext xmlns:c16="http://schemas.microsoft.com/office/drawing/2014/chart" uri="{C3380CC4-5D6E-409C-BE32-E72D297353CC}">
                  <c16:uniqueId val="{00000003-CFD4-4C60-A1AE-CD26653A24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13</c:v>
                </c:pt>
                <c:pt idx="1">
                  <c:v>83</c:v>
                </c:pt>
              </c:numCache>
            </c:numRef>
          </c:val>
          <c:extLst>
            <c:ext xmlns:c16="http://schemas.microsoft.com/office/drawing/2014/chart" uri="{C3380CC4-5D6E-409C-BE32-E72D297353CC}">
              <c16:uniqueId val="{00000004-CFD4-4C60-A1AE-CD26653A2491}"/>
            </c:ext>
          </c:extLst>
        </c:ser>
        <c:dLbls>
          <c:showLegendKey val="0"/>
          <c:showVal val="0"/>
          <c:showCatName val="0"/>
          <c:showSerName val="0"/>
          <c:showPercent val="0"/>
          <c:showBubbleSize val="0"/>
          <c:showLeaderLines val="1"/>
        </c:dLbls>
        <c:firstSliceAng val="6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Population by occupational group</a:t>
            </a:r>
            <a:r>
              <a:rPr lang="en-US" sz="1200" b="1" baseline="0">
                <a:solidFill>
                  <a:sysClr val="windowText" lastClr="000000"/>
                </a:solidFill>
              </a:rPr>
              <a:t> as of </a:t>
            </a:r>
            <a:r>
              <a:rPr lang="en-US" sz="1200" b="1">
                <a:solidFill>
                  <a:sysClr val="windowText" lastClr="000000"/>
                </a:solidFill>
              </a:rPr>
              <a:t>March 31, 2019</a:t>
            </a:r>
            <a:endParaRPr lang="en-US" sz="800" b="1">
              <a:solidFill>
                <a:sysClr val="windowText" lastClr="000000"/>
              </a:solidFill>
            </a:endParaRPr>
          </a:p>
        </c:rich>
      </c:tx>
      <c:layout>
        <c:manualLayout>
          <c:xMode val="edge"/>
          <c:yMode val="edge"/>
          <c:x val="0.1255226194865475"/>
          <c:y val="2.0672105852201611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7487059927564921E-2"/>
          <c:y val="0.37962029065432962"/>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703F-4375-972D-5E220E071D18}"/>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703F-4375-972D-5E220E071D18}"/>
              </c:ext>
            </c:extLst>
          </c:dPt>
          <c:dPt>
            <c:idx val="2"/>
            <c:bubble3D val="0"/>
            <c:spPr>
              <a:solidFill>
                <a:schemeClr val="bg2">
                  <a:lumMod val="75000"/>
                </a:schemeClr>
              </a:solidFill>
              <a:ln w="3175">
                <a:solidFill>
                  <a:schemeClr val="lt1"/>
                </a:solidFill>
              </a:ln>
              <a:effectLst/>
            </c:spPr>
            <c:extLst>
              <c:ext xmlns:c16="http://schemas.microsoft.com/office/drawing/2014/chart" uri="{C3380CC4-5D6E-409C-BE32-E72D297353CC}">
                <c16:uniqueId val="{00000005-703F-4375-972D-5E220E071D18}"/>
              </c:ext>
            </c:extLst>
          </c:dPt>
          <c:dPt>
            <c:idx val="3"/>
            <c:bubble3D val="0"/>
            <c:spPr>
              <a:solidFill>
                <a:schemeClr val="accent6"/>
              </a:solidFill>
              <a:ln w="3175">
                <a:solidFill>
                  <a:schemeClr val="lt1"/>
                </a:solidFill>
              </a:ln>
              <a:effectLst/>
            </c:spPr>
            <c:extLst>
              <c:ext xmlns:c16="http://schemas.microsoft.com/office/drawing/2014/chart" uri="{C3380CC4-5D6E-409C-BE32-E72D297353CC}">
                <c16:uniqueId val="{00000007-703F-4375-972D-5E220E071D18}"/>
              </c:ext>
            </c:extLst>
          </c:dPt>
          <c:dLbls>
            <c:dLbl>
              <c:idx val="0"/>
              <c:layout>
                <c:manualLayout>
                  <c:x val="5.2141527001862198E-2"/>
                  <c:y val="-0.12077821011673143"/>
                </c:manualLayout>
              </c:layout>
              <c:tx>
                <c:rich>
                  <a:bodyPr/>
                  <a:lstStyle/>
                  <a:p>
                    <a:fld id="{7E91B075-5E21-40C6-9385-8821B7861682}" type="CATEGORYNAME">
                      <a:rPr lang="en-US"/>
                      <a:pPr/>
                      <a:t>[CATEGORY NAME]</a:t>
                    </a:fld>
                    <a:r>
                      <a:rPr lang="en-US" baseline="0"/>
                      <a:t>
26%</a:t>
                    </a:r>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703F-4375-972D-5E220E071D18}"/>
                </c:ext>
              </c:extLst>
            </c:dLbl>
            <c:dLbl>
              <c:idx val="1"/>
              <c:layout>
                <c:manualLayout>
                  <c:x val="0.11173184357541899"/>
                  <c:y val="3.6812402340757992E-2"/>
                </c:manualLayout>
              </c:layout>
              <c:tx>
                <c:rich>
                  <a:bodyPr/>
                  <a:lstStyle/>
                  <a:p>
                    <a:r>
                      <a:rPr lang="en-US"/>
                      <a:t>PA</a:t>
                    </a:r>
                    <a:r>
                      <a:rPr lang="en-US" baseline="0"/>
                      <a:t>
</a:t>
                    </a:r>
                    <a:fld id="{C673695F-48FD-441D-A125-4B764B5EE890}" type="PERCENTAGE">
                      <a:rPr lang="en-US" baseline="0"/>
                      <a:pPr/>
                      <a:t>[PERCENTAGE]</a:t>
                    </a:fld>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703F-4375-972D-5E220E071D18}"/>
                </c:ext>
              </c:extLst>
            </c:dLbl>
            <c:dLbl>
              <c:idx val="2"/>
              <c:layout>
                <c:manualLayout>
                  <c:x val="-3.2760011143858417E-2"/>
                  <c:y val="0.1852573097623496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703F-4375-972D-5E220E071D18}"/>
                </c:ext>
              </c:extLst>
            </c:dLbl>
            <c:dLbl>
              <c:idx val="3"/>
              <c:layout>
                <c:manualLayout>
                  <c:x val="-5.9590477576550588E-2"/>
                  <c:y val="1.1987295362398667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r>
                      <a:rPr lang="en-US" baseline="0">
                        <a:solidFill>
                          <a:sysClr val="windowText" lastClr="000000"/>
                        </a:solidFill>
                      </a:rPr>
                      <a:t>Other
</a:t>
                    </a:r>
                    <a:fld id="{434D9781-CD68-4834-91BE-2DA20FC0B53D}" type="PERCENTAGE">
                      <a:rPr lang="en-US" baseline="0">
                        <a:solidFill>
                          <a:sysClr val="windowText" lastClr="000000"/>
                        </a:solidFill>
                      </a:rPr>
                      <a:pPr>
                        <a:defRPr b="1">
                          <a:solidFill>
                            <a:sysClr val="windowText" lastClr="000000"/>
                          </a:solidFill>
                        </a:defRPr>
                      </a:pPr>
                      <a:t>[PERCENTAGE]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93624539944"/>
                      <c:h val="0.17509727626459143"/>
                    </c:manualLayout>
                  </c15:layout>
                  <c15:dlblFieldTable/>
                  <c15:showDataLabelsRange val="0"/>
                </c:ext>
                <c:ext xmlns:c16="http://schemas.microsoft.com/office/drawing/2014/chart" uri="{C3380CC4-5D6E-409C-BE32-E72D297353CC}">
                  <c16:uniqueId val="{00000007-703F-4375-972D-5E220E071D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EC</c:v>
                </c:pt>
                <c:pt idx="1">
                  <c:v>PM</c:v>
                </c:pt>
                <c:pt idx="2">
                  <c:v>AS</c:v>
                </c:pt>
                <c:pt idx="3">
                  <c:v>Autre</c:v>
                </c:pt>
              </c:strCache>
            </c:strRef>
          </c:cat>
          <c:val>
            <c:numRef>
              <c:f>Sheet1!$B$2:$B$5</c:f>
              <c:numCache>
                <c:formatCode>General</c:formatCode>
                <c:ptCount val="4"/>
                <c:pt idx="0">
                  <c:v>44</c:v>
                </c:pt>
                <c:pt idx="1">
                  <c:v>44</c:v>
                </c:pt>
                <c:pt idx="2">
                  <c:v>39</c:v>
                </c:pt>
                <c:pt idx="3">
                  <c:v>45</c:v>
                </c:pt>
              </c:numCache>
            </c:numRef>
          </c:val>
          <c:extLst>
            <c:ext xmlns:c16="http://schemas.microsoft.com/office/drawing/2014/chart" uri="{C3380CC4-5D6E-409C-BE32-E72D297353CC}">
              <c16:uniqueId val="{00000008-703F-4375-972D-5E220E071D18}"/>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200" b="1" i="0" baseline="0">
                <a:solidFill>
                  <a:sysClr val="windowText" lastClr="000000"/>
                </a:solidFill>
                <a:effectLst/>
              </a:rPr>
              <a:t>Population by region as of March 31, 2019 (N=180)</a:t>
            </a:r>
            <a:endParaRPr lang="en-CA" sz="1200">
              <a:solidFill>
                <a:sysClr val="windowText" lastClr="000000"/>
              </a:solidFill>
              <a:effectLst/>
            </a:endParaRPr>
          </a:p>
        </c:rich>
      </c:tx>
      <c:layout>
        <c:manualLayout>
          <c:xMode val="edge"/>
          <c:yMode val="edge"/>
          <c:x val="0.12075240594925635"/>
          <c:y val="1.0351966873706004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extLst>
              <c:ext xmlns:c16="http://schemas.microsoft.com/office/drawing/2014/chart" uri="{C3380CC4-5D6E-409C-BE32-E72D297353CC}">
                <c16:uniqueId val="{00000001-4DF7-4942-8BC1-954E507AB3C2}"/>
              </c:ext>
            </c:extLst>
          </c:dPt>
          <c:dPt>
            <c:idx val="1"/>
            <c:bubble3D val="0"/>
            <c:explosion val="3"/>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4DF7-4942-8BC1-954E507AB3C2}"/>
              </c:ext>
            </c:extLst>
          </c:dPt>
          <c:dLbls>
            <c:dLbl>
              <c:idx val="0"/>
              <c:layout>
                <c:manualLayout>
                  <c:x val="-4.3010752688172046E-2"/>
                  <c:y val="7.314601979100438E-2"/>
                </c:manualLayout>
              </c:layout>
              <c:tx>
                <c:rich>
                  <a:bodyPr/>
                  <a:lstStyle/>
                  <a:p>
                    <a:r>
                      <a:rPr lang="en-US" b="1" baseline="0"/>
                      <a:t>Non-NCR
</a:t>
                    </a:r>
                    <a:fld id="{9B877D53-CDCB-4282-B3FF-CCCD0543C7CE}" type="PERCENTAGE">
                      <a:rPr lang="en-US" b="1" baseline="0"/>
                      <a:pPr/>
                      <a:t>[PERCENTAGE]</a:t>
                    </a:fld>
                    <a:endParaRPr lang="en-US" b="1" baseline="0"/>
                  </a:p>
                </c:rich>
              </c:tx>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15:dlblFieldTable/>
                  <c15:showDataLabelsRange val="0"/>
                </c:ext>
                <c:ext xmlns:c16="http://schemas.microsoft.com/office/drawing/2014/chart" uri="{C3380CC4-5D6E-409C-BE32-E72D297353CC}">
                  <c16:uniqueId val="{00000001-4DF7-4942-8BC1-954E507AB3C2}"/>
                </c:ext>
              </c:extLst>
            </c:dLbl>
            <c:dLbl>
              <c:idx val="1"/>
              <c:layout>
                <c:manualLayout>
                  <c:x val="0.25448056896113791"/>
                  <c:y val="-0.10596420012715801"/>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r>
                      <a:rPr lang="en-US" b="1"/>
                      <a:t>NCR</a:t>
                    </a:r>
                    <a:r>
                      <a:rPr lang="en-US" b="1" baseline="0"/>
                      <a:t>
</a:t>
                    </a:r>
                    <a:fld id="{E19CF251-966D-48B0-AEAD-EF7404CFA671}" type="PERCENTAGE">
                      <a:rPr lang="en-US" b="1" baseline="0"/>
                      <a:pPr>
                        <a:defRPr b="1">
                          <a:solidFill>
                            <a:schemeClr val="bg1"/>
                          </a:solidFill>
                        </a:defRPr>
                      </a:pPr>
                      <a:t>[PERCENTAGE]</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0849434143312728"/>
                      <c:h val="0.19127867168777815"/>
                    </c:manualLayout>
                  </c15:layout>
                  <c15:dlblFieldTable/>
                  <c15:showDataLabelsRange val="0"/>
                </c:ext>
                <c:ext xmlns:c16="http://schemas.microsoft.com/office/drawing/2014/chart" uri="{C3380CC4-5D6E-409C-BE32-E72D297353CC}">
                  <c16:uniqueId val="{00000003-4DF7-4942-8BC1-954E507AB3C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18</c:v>
                </c:pt>
                <c:pt idx="1">
                  <c:v>162</c:v>
                </c:pt>
              </c:numCache>
            </c:numRef>
          </c:val>
          <c:extLst>
            <c:ext xmlns:c16="http://schemas.microsoft.com/office/drawing/2014/chart" uri="{C3380CC4-5D6E-409C-BE32-E72D297353CC}">
              <c16:uniqueId val="{00000004-4DF7-4942-8BC1-954E507AB3C2}"/>
            </c:ext>
          </c:extLst>
        </c:ser>
        <c:dLbls>
          <c:showLegendKey val="0"/>
          <c:showVal val="0"/>
          <c:showCatName val="0"/>
          <c:showSerName val="0"/>
          <c:showPercent val="0"/>
          <c:showBubbleSize val="0"/>
          <c:showLeaderLines val="1"/>
        </c:dLbls>
        <c:firstSliceAng val="54"/>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External indeterminate hires by occupational group</a:t>
            </a:r>
          </a:p>
          <a:p>
            <a:pPr>
              <a:defRPr sz="1200" b="1"/>
            </a:pPr>
            <a:r>
              <a:rPr lang="en-US" sz="1200" b="1">
                <a:solidFill>
                  <a:sysClr val="windowText" lastClr="000000"/>
                </a:solidFill>
              </a:rPr>
              <a:t> 2018</a:t>
            </a:r>
            <a:r>
              <a:rPr lang="en-CA" sz="1200" b="1" i="0" u="none" strike="noStrike" baseline="0">
                <a:solidFill>
                  <a:sysClr val="windowText" lastClr="000000"/>
                </a:solidFill>
                <a:effectLst/>
              </a:rPr>
              <a:t>–</a:t>
            </a:r>
            <a:r>
              <a:rPr lang="en-US" sz="1200" b="1">
                <a:solidFill>
                  <a:sysClr val="windowText" lastClr="000000"/>
                </a:solidFill>
              </a:rPr>
              <a:t>2019 (N=9)</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16071780315464"/>
          <c:y val="0.39077501771487982"/>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7F-4D1A-854F-C784B093C60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7F-4D1A-854F-C784B093C609}"/>
              </c:ext>
            </c:extLst>
          </c:dPt>
          <c:dPt>
            <c:idx val="2"/>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5-007F-4D1A-854F-C784B093C609}"/>
              </c:ext>
            </c:extLst>
          </c:dPt>
          <c:dPt>
            <c:idx val="3"/>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7-007F-4D1A-854F-C784B093C609}"/>
              </c:ext>
            </c:extLst>
          </c:dPt>
          <c:dPt>
            <c:idx val="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9-007F-4D1A-854F-C784B093C609}"/>
              </c:ext>
            </c:extLst>
          </c:dPt>
          <c:dLbls>
            <c:dLbl>
              <c:idx val="0"/>
              <c:layout>
                <c:manualLayout>
                  <c:x val="-9.6620893402817407E-3"/>
                  <c:y val="-3.283741203300744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r>
                      <a:rPr lang="en-US">
                        <a:solidFill>
                          <a:schemeClr val="bg1"/>
                        </a:solidFill>
                      </a:rPr>
                      <a:t>PA</a:t>
                    </a:r>
                  </a:p>
                  <a:p>
                    <a:pPr>
                      <a:defRPr b="1">
                        <a:solidFill>
                          <a:schemeClr val="bg1"/>
                        </a:solidFill>
                      </a:defRPr>
                    </a:pPr>
                    <a:fld id="{821713FA-20D7-45A8-8004-F775E912F526}" type="VALUE">
                      <a:rPr lang="en-US" baseline="0">
                        <a:solidFill>
                          <a:schemeClr val="bg1"/>
                        </a:solidFill>
                      </a:rPr>
                      <a:pPr>
                        <a:defRPr b="1">
                          <a:solidFill>
                            <a:schemeClr val="bg1"/>
                          </a:solidFill>
                        </a:defRPr>
                      </a:pPr>
                      <a:t>[VALUE]</a:t>
                    </a:fld>
                    <a:endParaRPr lang="en-CA"/>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4085815360036511"/>
                      <c:h val="0.13880863317282188"/>
                    </c:manualLayout>
                  </c15:layout>
                  <c15:dlblFieldTable/>
                  <c15:showDataLabelsRange val="0"/>
                </c:ext>
                <c:ext xmlns:c16="http://schemas.microsoft.com/office/drawing/2014/chart" uri="{C3380CC4-5D6E-409C-BE32-E72D297353CC}">
                  <c16:uniqueId val="{00000001-007F-4D1A-854F-C784B093C609}"/>
                </c:ext>
              </c:extLst>
            </c:dLbl>
            <c:dLbl>
              <c:idx val="1"/>
              <c:layout>
                <c:manualLayout>
                  <c:x val="-8.4932861653162928E-3"/>
                  <c:y val="3.5162507000249649E-3"/>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fld id="{6C117BD9-8F99-42CA-8E8A-41EF5C1A9260}" type="CATEGORYNAME">
                      <a:rPr lang="en-US">
                        <a:solidFill>
                          <a:schemeClr val="bg1"/>
                        </a:solidFill>
                      </a:rPr>
                      <a:pPr>
                        <a:defRPr b="1">
                          <a:solidFill>
                            <a:schemeClr val="bg1"/>
                          </a:solidFill>
                        </a:defRPr>
                      </a:pPr>
                      <a:t>[CATEGORY NAME]</a:t>
                    </a:fld>
                    <a:endParaRPr lang="en-US" baseline="0">
                      <a:solidFill>
                        <a:schemeClr val="bg1"/>
                      </a:solidFill>
                    </a:endParaRPr>
                  </a:p>
                  <a:p>
                    <a:pPr>
                      <a:defRPr b="1">
                        <a:solidFill>
                          <a:schemeClr val="bg1"/>
                        </a:solidFill>
                      </a:defRPr>
                    </a:pPr>
                    <a:fld id="{E10B615C-5383-4711-A018-D462A1C05188}" type="VALUE">
                      <a:rPr lang="en-US" baseline="0">
                        <a:solidFill>
                          <a:schemeClr val="bg1"/>
                        </a:solidFill>
                      </a:rPr>
                      <a:pPr>
                        <a:defRPr b="1">
                          <a:solidFill>
                            <a:schemeClr val="bg1"/>
                          </a:solidFill>
                        </a:defRPr>
                      </a:pPr>
                      <a:t>[VALUE]</a:t>
                    </a:fld>
                    <a:endParaRPr lang="en-CA"/>
                  </a:p>
                </c:rich>
              </c:tx>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123446393897562"/>
                      <c:h val="0.16763557277114552"/>
                    </c:manualLayout>
                  </c15:layout>
                  <c15:dlblFieldTable/>
                  <c15:showDataLabelsRange val="0"/>
                </c:ext>
                <c:ext xmlns:c16="http://schemas.microsoft.com/office/drawing/2014/chart" uri="{C3380CC4-5D6E-409C-BE32-E72D297353CC}">
                  <c16:uniqueId val="{00000003-007F-4D1A-854F-C784B093C609}"/>
                </c:ext>
              </c:extLst>
            </c:dLbl>
            <c:dLbl>
              <c:idx val="2"/>
              <c:layout>
                <c:manualLayout>
                  <c:x val="-5.4542457555124598E-3"/>
                  <c:y val="-3.937696764282482E-3"/>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fld id="{190D0757-48BE-4F46-B977-F2F65B9F2D00}" type="CATEGORYNAME">
                      <a:rPr lang="en-US">
                        <a:solidFill>
                          <a:sysClr val="windowText" lastClr="000000"/>
                        </a:solidFill>
                      </a:rPr>
                      <a:pPr>
                        <a:defRPr b="1">
                          <a:solidFill>
                            <a:sysClr val="windowText" lastClr="000000"/>
                          </a:solidFill>
                        </a:defRPr>
                      </a:pPr>
                      <a:t>[CATEGORY NAME]</a:t>
                    </a:fld>
                    <a:endParaRPr lang="en-US">
                      <a:solidFill>
                        <a:sysClr val="windowText" lastClr="000000"/>
                      </a:solidFill>
                    </a:endParaRPr>
                  </a:p>
                  <a:p>
                    <a:pPr>
                      <a:defRPr b="1">
                        <a:solidFill>
                          <a:sysClr val="windowText" lastClr="000000"/>
                        </a:solidFill>
                      </a:defRPr>
                    </a:pPr>
                    <a:fld id="{E925E733-A707-4A42-A9BF-1413A7288427}" type="VALUE">
                      <a:rPr lang="en-US" baseline="0">
                        <a:solidFill>
                          <a:sysClr val="windowText" lastClr="000000"/>
                        </a:solidFill>
                      </a:rPr>
                      <a:pPr>
                        <a:defRPr b="1">
                          <a:solidFill>
                            <a:sysClr val="windowText" lastClr="000000"/>
                          </a:solidFill>
                        </a:defRPr>
                      </a:pPr>
                      <a:t>[VALUE]</a:t>
                    </a:fld>
                    <a:endParaRPr lang="en-CA"/>
                  </a:p>
                </c:rich>
              </c:tx>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5-007F-4D1A-854F-C784B093C609}"/>
                </c:ext>
              </c:extLst>
            </c:dLbl>
            <c:dLbl>
              <c:idx val="3"/>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fld id="{A8AE31C2-64B8-4FDD-B7F8-061BB3A27999}" type="CATEGORYNAME">
                      <a:rPr lang="en-US">
                        <a:solidFill>
                          <a:sysClr val="windowText" lastClr="000000"/>
                        </a:solidFill>
                      </a:rPr>
                      <a:pPr>
                        <a:defRPr b="1">
                          <a:solidFill>
                            <a:sysClr val="windowText" lastClr="000000"/>
                          </a:solidFill>
                        </a:defRPr>
                      </a:pPr>
                      <a:t>[CATEGORY NAME]</a:t>
                    </a:fld>
                    <a:endParaRPr lang="en-US">
                      <a:solidFill>
                        <a:sysClr val="windowText" lastClr="000000"/>
                      </a:solidFill>
                    </a:endParaRPr>
                  </a:p>
                  <a:p>
                    <a:pPr>
                      <a:defRPr b="1">
                        <a:solidFill>
                          <a:sysClr val="windowText" lastClr="000000"/>
                        </a:solidFill>
                      </a:defRPr>
                    </a:pPr>
                    <a:fld id="{B6E3A3A4-F8D6-4D03-804F-DF0E8FB50EED}" type="VALUE">
                      <a:rPr lang="en-US" baseline="0">
                        <a:solidFill>
                          <a:sysClr val="windowText" lastClr="000000"/>
                        </a:solidFill>
                      </a:rPr>
                      <a:pPr>
                        <a:defRPr b="1">
                          <a:solidFill>
                            <a:sysClr val="windowText" lastClr="000000"/>
                          </a:solidFill>
                        </a:defRPr>
                      </a:pPr>
                      <a:t>[VALUE]</a:t>
                    </a:fld>
                    <a:endParaRPr lang="en-CA"/>
                  </a:p>
                </c:rich>
              </c:tx>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7-007F-4D1A-854F-C784B093C609}"/>
                </c:ext>
              </c:extLst>
            </c:dLbl>
            <c:dLbl>
              <c:idx val="4"/>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fld id="{4633833B-ED73-4117-983D-FE4A74581AFC}" type="CATEGORYNAME">
                      <a:rPr lang="en-US">
                        <a:solidFill>
                          <a:sysClr val="windowText" lastClr="000000"/>
                        </a:solidFill>
                      </a:rPr>
                      <a:pPr>
                        <a:defRPr b="1">
                          <a:solidFill>
                            <a:sysClr val="windowText" lastClr="000000"/>
                          </a:solidFill>
                        </a:defRPr>
                      </a:pPr>
                      <a:t>[CATEGORY NAME]</a:t>
                    </a:fld>
                    <a:endParaRPr lang="en-US">
                      <a:solidFill>
                        <a:sysClr val="windowText" lastClr="000000"/>
                      </a:solidFill>
                    </a:endParaRPr>
                  </a:p>
                  <a:p>
                    <a:pPr>
                      <a:defRPr b="1">
                        <a:solidFill>
                          <a:sysClr val="windowText" lastClr="000000"/>
                        </a:solidFill>
                      </a:defRPr>
                    </a:pPr>
                    <a:fld id="{34083F2D-8E94-4BB8-8FFF-77EC76B4DB7E}" type="VALUE">
                      <a:rPr lang="en-US" baseline="0">
                        <a:solidFill>
                          <a:sysClr val="windowText" lastClr="000000"/>
                        </a:solidFill>
                      </a:rPr>
                      <a:pPr>
                        <a:defRPr b="1">
                          <a:solidFill>
                            <a:sysClr val="windowText" lastClr="000000"/>
                          </a:solidFill>
                        </a:defRPr>
                      </a:pPr>
                      <a:t>[VALUE]</a:t>
                    </a:fld>
                    <a:endParaRPr lang="en-CA"/>
                  </a:p>
                </c:rich>
              </c:tx>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9-007F-4D1A-854F-C784B093C609}"/>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PM</c:v>
                </c:pt>
                <c:pt idx="1">
                  <c:v>EC</c:v>
                </c:pt>
                <c:pt idx="2">
                  <c:v>AS</c:v>
                </c:pt>
                <c:pt idx="3">
                  <c:v>EX</c:v>
                </c:pt>
                <c:pt idx="4">
                  <c:v>IS</c:v>
                </c:pt>
              </c:strCache>
            </c:strRef>
          </c:cat>
          <c:val>
            <c:numRef>
              <c:f>Sheet1!$B$2:$B$6</c:f>
              <c:numCache>
                <c:formatCode>General</c:formatCode>
                <c:ptCount val="5"/>
                <c:pt idx="0">
                  <c:v>4</c:v>
                </c:pt>
                <c:pt idx="1">
                  <c:v>2</c:v>
                </c:pt>
                <c:pt idx="2">
                  <c:v>1</c:v>
                </c:pt>
                <c:pt idx="3">
                  <c:v>1</c:v>
                </c:pt>
                <c:pt idx="4">
                  <c:v>1</c:v>
                </c:pt>
              </c:numCache>
            </c:numRef>
          </c:val>
          <c:extLst>
            <c:ext xmlns:c16="http://schemas.microsoft.com/office/drawing/2014/chart" uri="{C3380CC4-5D6E-409C-BE32-E72D297353CC}">
              <c16:uniqueId val="{0000000A-007F-4D1A-854F-C784B093C609}"/>
            </c:ext>
          </c:extLst>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7E-4C50-83B4-D367035BAE78}"/>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7E-4C50-83B4-D367035BAE78}"/>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7E-4C50-83B4-D367035BAE78}"/>
                </c:ext>
              </c:extLst>
            </c:dLbl>
            <c:dLbl>
              <c:idx val="3"/>
              <c:layout>
                <c:manualLayout>
                  <c:x val="-1.6548236348506572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7E-4C50-83B4-D367035BAE78}"/>
                </c:ext>
              </c:extLst>
            </c:dLbl>
            <c:dLbl>
              <c:idx val="4"/>
              <c:layout>
                <c:manualLayout>
                  <c:x val="-3.2706554696184043E-4"/>
                  <c:y val="1.4415081969922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7E-4C50-83B4-D367035BAE7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0.83</c:v>
                </c:pt>
                <c:pt idx="1">
                  <c:v>0.89</c:v>
                </c:pt>
                <c:pt idx="2">
                  <c:v>0.88</c:v>
                </c:pt>
                <c:pt idx="3">
                  <c:v>0.95</c:v>
                </c:pt>
                <c:pt idx="4">
                  <c:v>0.96</c:v>
                </c:pt>
              </c:numCache>
            </c:numRef>
          </c:val>
          <c:extLst>
            <c:ext xmlns:c16="http://schemas.microsoft.com/office/drawing/2014/chart" uri="{C3380CC4-5D6E-409C-BE32-E72D297353CC}">
              <c16:uniqueId val="{00000005-7D7E-4C50-83B4-D367035BAE78}"/>
            </c:ext>
          </c:extLst>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7E-4C50-83B4-D367035BAE78}"/>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7E-4C50-83B4-D367035BAE78}"/>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7E-4C50-83B4-D367035BAE78}"/>
                </c:ext>
              </c:extLst>
            </c:dLbl>
            <c:dLbl>
              <c:idx val="3"/>
              <c:layout>
                <c:manualLayout>
                  <c:x val="1.8477457501847747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7E-4C50-83B4-D367035BAE78}"/>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D7E-4C50-83B4-D367035BAE7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0.17</c:v>
                </c:pt>
                <c:pt idx="1">
                  <c:v>0.11</c:v>
                </c:pt>
                <c:pt idx="2">
                  <c:v>0.12</c:v>
                </c:pt>
                <c:pt idx="3">
                  <c:v>0.05</c:v>
                </c:pt>
                <c:pt idx="4">
                  <c:v>0.04</c:v>
                </c:pt>
              </c:numCache>
            </c:numRef>
          </c:val>
          <c:extLst>
            <c:ext xmlns:c16="http://schemas.microsoft.com/office/drawing/2014/chart" uri="{C3380CC4-5D6E-409C-BE32-E72D297353CC}">
              <c16:uniqueId val="{0000000B-7D7E-4C50-83B4-D367035BAE78}"/>
            </c:ext>
          </c:extLst>
        </c:ser>
        <c:dLbls>
          <c:showLegendKey val="0"/>
          <c:showVal val="0"/>
          <c:showCatName val="0"/>
          <c:showSerName val="0"/>
          <c:showPercent val="0"/>
          <c:showBubbleSize val="0"/>
        </c:dLbls>
        <c:gapWidth val="150"/>
        <c:axId val="208723144"/>
        <c:axId val="378456696"/>
      </c:barChart>
      <c:catAx>
        <c:axId val="2087231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6696"/>
        <c:crosses val="autoZero"/>
        <c:auto val="1"/>
        <c:lblAlgn val="ctr"/>
        <c:lblOffset val="100"/>
        <c:noMultiLvlLbl val="0"/>
      </c:catAx>
      <c:valAx>
        <c:axId val="378456696"/>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723144"/>
        <c:crosses val="autoZero"/>
        <c:crossBetween val="between"/>
      </c:valAx>
      <c:spPr>
        <a:noFill/>
        <a:ln>
          <a:noFill/>
        </a:ln>
        <a:effectLst/>
      </c:spPr>
    </c:plotArea>
    <c:legend>
      <c:legendPos val="b"/>
      <c:layout>
        <c:manualLayout>
          <c:xMode val="edge"/>
          <c:yMode val="edge"/>
          <c:x val="0.15808585179624168"/>
          <c:y val="0.7746207952797225"/>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process type</a:t>
            </a: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3888888888888889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50-4488-9CBA-B99D19CAFD17}"/>
                </c:ext>
              </c:extLst>
            </c:dLbl>
            <c:dLbl>
              <c:idx val="1"/>
              <c:layout>
                <c:manualLayout>
                  <c:x val="-1.7507928696412947E-2"/>
                  <c:y val="1.0495014867937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50-4488-9CBA-B99D19CAFD17}"/>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50-4488-9CBA-B99D19CAFD17}"/>
                </c:ext>
              </c:extLst>
            </c:dLbl>
            <c:dLbl>
              <c:idx val="3"/>
              <c:layout>
                <c:manualLayout>
                  <c:x val="-1.5990266841644795E-2"/>
                  <c:y val="1.0495014867937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50-4488-9CBA-B99D19CAFD17}"/>
                </c:ext>
              </c:extLst>
            </c:dLbl>
            <c:dLbl>
              <c:idx val="4"/>
              <c:layout>
                <c:manualLayout>
                  <c:x val="-8.3877405949257609E-3"/>
                  <c:y val="1.09167436806099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50-4488-9CBA-B99D19CAFD1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1</c:v>
                </c:pt>
                <c:pt idx="1">
                  <c:v>3</c:v>
                </c:pt>
                <c:pt idx="2">
                  <c:v>8</c:v>
                </c:pt>
                <c:pt idx="3">
                  <c:v>11</c:v>
                </c:pt>
                <c:pt idx="4">
                  <c:v>28</c:v>
                </c:pt>
              </c:numCache>
            </c:numRef>
          </c:val>
          <c:extLst>
            <c:ext xmlns:c16="http://schemas.microsoft.com/office/drawing/2014/chart" uri="{C3380CC4-5D6E-409C-BE32-E72D297353CC}">
              <c16:uniqueId val="{00000005-4B50-4488-9CBA-B99D19CAFD17}"/>
            </c:ext>
          </c:extLst>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362642169728785E-5"/>
                  <c:y val="1.3494220166680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50-4488-9CBA-B99D19CAFD17}"/>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50-4488-9CBA-B99D19CAFD17}"/>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B50-4488-9CBA-B99D19CAFD17}"/>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B50-4488-9CBA-B99D19CAFD17}"/>
                </c:ext>
              </c:extLst>
            </c:dLbl>
            <c:dLbl>
              <c:idx val="4"/>
              <c:layout>
                <c:manualLayout>
                  <c:x val="3.4541776027996502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B50-4488-9CBA-B99D19CAFD1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5</c:v>
                </c:pt>
                <c:pt idx="1">
                  <c:v>7</c:v>
                </c:pt>
                <c:pt idx="2">
                  <c:v>6</c:v>
                </c:pt>
                <c:pt idx="3">
                  <c:v>10</c:v>
                </c:pt>
                <c:pt idx="4">
                  <c:v>18</c:v>
                </c:pt>
              </c:numCache>
            </c:numRef>
          </c:val>
          <c:extLst>
            <c:ext xmlns:c16="http://schemas.microsoft.com/office/drawing/2014/chart" uri="{C3380CC4-5D6E-409C-BE32-E72D297353CC}">
              <c16:uniqueId val="{0000000B-4B50-4488-9CBA-B99D19CAFD17}"/>
            </c:ext>
          </c:extLst>
        </c:ser>
        <c:dLbls>
          <c:showLegendKey val="0"/>
          <c:showVal val="0"/>
          <c:showCatName val="0"/>
          <c:showSerName val="0"/>
          <c:showPercent val="0"/>
          <c:showBubbleSize val="0"/>
        </c:dLbls>
        <c:gapWidth val="150"/>
        <c:axId val="378458264"/>
        <c:axId val="378458656"/>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5434711286089232E-2"/>
                  <c:y val="-3.31716843947944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B50-4488-9CBA-B99D19CAFD17}"/>
                </c:ext>
              </c:extLst>
            </c:dLbl>
            <c:dLbl>
              <c:idx val="1"/>
              <c:layout>
                <c:manualLayout>
                  <c:x val="-8.9974300087489134E-2"/>
                  <c:y val="-2.3941855964873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B50-4488-9CBA-B99D19CAFD17}"/>
                </c:ext>
              </c:extLst>
            </c:dLbl>
            <c:dLbl>
              <c:idx val="2"/>
              <c:layout>
                <c:manualLayout>
                  <c:x val="-6.0691163604549493E-2"/>
                  <c:y val="-2.8834846754878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B50-4488-9CBA-B99D19CAFD17}"/>
                </c:ext>
              </c:extLst>
            </c:dLbl>
            <c:dLbl>
              <c:idx val="3"/>
              <c:layout>
                <c:manualLayout>
                  <c:x val="-7.0815015310586302E-2"/>
                  <c:y val="-3.1188099038783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B50-4488-9CBA-B99D19CAFD17}"/>
                </c:ext>
              </c:extLst>
            </c:dLbl>
            <c:dLbl>
              <c:idx val="4"/>
              <c:layout>
                <c:manualLayout>
                  <c:x val="-1.5106080489938757E-2"/>
                  <c:y val="-1.59769385132613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B50-4488-9CBA-B99D19CAFD1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0.17</c:v>
                </c:pt>
                <c:pt idx="1">
                  <c:v>0.3</c:v>
                </c:pt>
                <c:pt idx="2">
                  <c:v>0.56999999999999995</c:v>
                </c:pt>
                <c:pt idx="3">
                  <c:v>0.52</c:v>
                </c:pt>
                <c:pt idx="4">
                  <c:v>0.61</c:v>
                </c:pt>
              </c:numCache>
            </c:numRef>
          </c:val>
          <c:smooth val="0"/>
          <c:extLst>
            <c:ext xmlns:c16="http://schemas.microsoft.com/office/drawing/2014/chart" uri="{C3380CC4-5D6E-409C-BE32-E72D297353CC}">
              <c16:uniqueId val="{00000011-4B50-4488-9CBA-B99D19CAFD17}"/>
            </c:ext>
          </c:extLst>
        </c:ser>
        <c:dLbls>
          <c:showLegendKey val="0"/>
          <c:showVal val="0"/>
          <c:showCatName val="0"/>
          <c:showSerName val="0"/>
          <c:showPercent val="0"/>
          <c:showBubbleSize val="0"/>
        </c:dLbls>
        <c:marker val="1"/>
        <c:smooth val="0"/>
        <c:axId val="378461400"/>
        <c:axId val="378460616"/>
      </c:lineChart>
      <c:catAx>
        <c:axId val="3784582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8656"/>
        <c:crosses val="autoZero"/>
        <c:auto val="1"/>
        <c:lblAlgn val="ctr"/>
        <c:lblOffset val="100"/>
        <c:noMultiLvlLbl val="0"/>
      </c:catAx>
      <c:valAx>
        <c:axId val="37845865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8264"/>
        <c:crosses val="autoZero"/>
        <c:crossBetween val="between"/>
      </c:valAx>
      <c:valAx>
        <c:axId val="37846061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61400"/>
        <c:crosses val="max"/>
        <c:crossBetween val="between"/>
      </c:valAx>
      <c:catAx>
        <c:axId val="378461400"/>
        <c:scaling>
          <c:orientation val="minMax"/>
        </c:scaling>
        <c:delete val="1"/>
        <c:axPos val="b"/>
        <c:numFmt formatCode="General" sourceLinked="1"/>
        <c:majorTickMark val="out"/>
        <c:minorTickMark val="none"/>
        <c:tickLblPos val="nextTo"/>
        <c:crossAx val="378460616"/>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appointment type</a:t>
            </a:r>
          </a:p>
        </c:rich>
      </c:tx>
      <c:layout>
        <c:manualLayout>
          <c:xMode val="edge"/>
          <c:yMode val="edge"/>
          <c:x val="0.3242663975603387"/>
          <c:y val="6.248698187877525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62729658792651E-3"/>
                  <c:y val="2.5887825560266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E3-49B0-8147-F2BA3F773976}"/>
                </c:ext>
              </c:extLst>
            </c:dLbl>
            <c:dLbl>
              <c:idx val="1"/>
              <c:layout>
                <c:manualLayout>
                  <c:x val="-1.1111111111111112E-2"/>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E3-49B0-8147-F2BA3F773976}"/>
                </c:ext>
              </c:extLst>
            </c:dLbl>
            <c:dLbl>
              <c:idx val="2"/>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E3-49B0-8147-F2BA3F773976}"/>
                </c:ext>
              </c:extLst>
            </c:dLbl>
            <c:dLbl>
              <c:idx val="3"/>
              <c:layout>
                <c:manualLayout>
                  <c:x val="-5.5555555555555558E-3"/>
                  <c:y val="2.3520290732889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E3-49B0-8147-F2BA3F773976}"/>
                </c:ext>
              </c:extLst>
            </c:dLbl>
            <c:dLbl>
              <c:idx val="4"/>
              <c:layout>
                <c:manualLayout>
                  <c:x val="-5.5555555555555558E-3"/>
                  <c:y val="1.9782757924490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E3-49B0-8147-F2BA3F77397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(N=41)</c:v>
                </c:pt>
                <c:pt idx="1">
                  <c:v>2015-16
(N=56)</c:v>
                </c:pt>
                <c:pt idx="2">
                  <c:v>2016-17 
(N=65)</c:v>
                </c:pt>
                <c:pt idx="3">
                  <c:v>2017-18
(N=98)</c:v>
                </c:pt>
                <c:pt idx="4">
                  <c:v>2018-19
(N=205)</c:v>
                </c:pt>
              </c:strCache>
            </c:strRef>
          </c:cat>
          <c:val>
            <c:numRef>
              <c:f>Sheet1!$B$3:$B$7</c:f>
              <c:numCache>
                <c:formatCode>#\ ###</c:formatCode>
                <c:ptCount val="5"/>
                <c:pt idx="0">
                  <c:v>5</c:v>
                </c:pt>
                <c:pt idx="1">
                  <c:v>8</c:v>
                </c:pt>
                <c:pt idx="2">
                  <c:v>10</c:v>
                </c:pt>
                <c:pt idx="3">
                  <c:v>11</c:v>
                </c:pt>
                <c:pt idx="4">
                  <c:v>25</c:v>
                </c:pt>
              </c:numCache>
            </c:numRef>
          </c:val>
          <c:extLst>
            <c:ext xmlns:c16="http://schemas.microsoft.com/office/drawing/2014/chart" uri="{C3380CC4-5D6E-409C-BE32-E72D297353CC}">
              <c16:uniqueId val="{00000005-13E3-49B0-8147-F2BA3F773976}"/>
            </c:ext>
          </c:extLst>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E3-49B0-8147-F2BA3F773976}"/>
                </c:ext>
              </c:extLst>
            </c:dLbl>
            <c:dLbl>
              <c:idx val="1"/>
              <c:layout>
                <c:manualLayout>
                  <c:x val="-8.3333333333333332E-3"/>
                  <c:y val="1.1212598425196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E3-49B0-8147-F2BA3F773976}"/>
                </c:ext>
              </c:extLst>
            </c:dLbl>
            <c:dLbl>
              <c:idx val="2"/>
              <c:layout>
                <c:manualLayout>
                  <c:x val="0"/>
                  <c:y val="1.586270946900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E3-49B0-8147-F2BA3F773976}"/>
                </c:ext>
              </c:extLst>
            </c:dLbl>
            <c:dLbl>
              <c:idx val="3"/>
              <c:layout>
                <c:manualLayout>
                  <c:x val="-5.5555555555555558E-3"/>
                  <c:y val="1.58627094690086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E3-49B0-8147-F2BA3F773976}"/>
                </c:ext>
              </c:extLst>
            </c:dLbl>
            <c:dLbl>
              <c:idx val="4"/>
              <c:layout>
                <c:manualLayout>
                  <c:x val="-5.5555555555554534E-3"/>
                  <c:y val="1.1395114072279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E3-49B0-8147-F2BA3F77397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(N=41)</c:v>
                </c:pt>
                <c:pt idx="1">
                  <c:v>2015-16
(N=56)</c:v>
                </c:pt>
                <c:pt idx="2">
                  <c:v>2016-17 
(N=65)</c:v>
                </c:pt>
                <c:pt idx="3">
                  <c:v>2017-18
(N=98)</c:v>
                </c:pt>
                <c:pt idx="4">
                  <c:v>2018-19
(N=205)</c:v>
                </c:pt>
              </c:strCache>
            </c:strRef>
          </c:cat>
          <c:val>
            <c:numRef>
              <c:f>Sheet1!$C$3:$C$7</c:f>
              <c:numCache>
                <c:formatCode>#\ ###</c:formatCode>
                <c:ptCount val="5"/>
                <c:pt idx="0">
                  <c:v>13</c:v>
                </c:pt>
                <c:pt idx="1">
                  <c:v>14</c:v>
                </c:pt>
                <c:pt idx="2">
                  <c:v>12</c:v>
                </c:pt>
                <c:pt idx="3">
                  <c:v>18</c:v>
                </c:pt>
                <c:pt idx="4">
                  <c:v>40</c:v>
                </c:pt>
              </c:numCache>
            </c:numRef>
          </c:val>
          <c:extLst>
            <c:ext xmlns:c16="http://schemas.microsoft.com/office/drawing/2014/chart" uri="{C3380CC4-5D6E-409C-BE32-E72D297353CC}">
              <c16:uniqueId val="{0000000B-13E3-49B0-8147-F2BA3F773976}"/>
            </c:ext>
          </c:extLst>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E3-49B0-8147-F2BA3F773976}"/>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3E3-49B0-8147-F2BA3F773976}"/>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E3-49B0-8147-F2BA3F773976}"/>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3E3-49B0-8147-F2BA3F773976}"/>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E3-49B0-8147-F2BA3F77397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(N=41)</c:v>
                </c:pt>
                <c:pt idx="1">
                  <c:v>2015-16
(N=56)</c:v>
                </c:pt>
                <c:pt idx="2">
                  <c:v>2016-17 
(N=65)</c:v>
                </c:pt>
                <c:pt idx="3">
                  <c:v>2017-18
(N=98)</c:v>
                </c:pt>
                <c:pt idx="4">
                  <c:v>2018-19
(N=205)</c:v>
                </c:pt>
              </c:strCache>
            </c:strRef>
          </c:cat>
          <c:val>
            <c:numRef>
              <c:f>Sheet1!$D$3:$D$7</c:f>
              <c:numCache>
                <c:formatCode>#\ ###</c:formatCode>
                <c:ptCount val="5"/>
                <c:pt idx="0">
                  <c:v>17</c:v>
                </c:pt>
                <c:pt idx="1">
                  <c:v>27</c:v>
                </c:pt>
                <c:pt idx="2">
                  <c:v>39</c:v>
                </c:pt>
                <c:pt idx="3">
                  <c:v>64</c:v>
                </c:pt>
                <c:pt idx="4">
                  <c:v>134</c:v>
                </c:pt>
              </c:numCache>
            </c:numRef>
          </c:val>
          <c:extLst>
            <c:ext xmlns:c16="http://schemas.microsoft.com/office/drawing/2014/chart" uri="{C3380CC4-5D6E-409C-BE32-E72D297353CC}">
              <c16:uniqueId val="{00000011-13E3-49B0-8147-F2BA3F773976}"/>
            </c:ext>
          </c:extLst>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5462668816039986E-17"/>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E3-49B0-8147-F2BA3F773976}"/>
                </c:ext>
              </c:extLst>
            </c:dLbl>
            <c:dLbl>
              <c:idx val="1"/>
              <c:layout>
                <c:manualLayout>
                  <c:x val="5.5555555555556061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3E3-49B0-8147-F2BA3F773976}"/>
                </c:ext>
              </c:extLst>
            </c:dLbl>
            <c:dLbl>
              <c:idx val="2"/>
              <c:layout>
                <c:manualLayout>
                  <c:x val="8.3333333333333332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3E3-49B0-8147-F2BA3F773976}"/>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3E3-49B0-8147-F2BA3F773976}"/>
                </c:ext>
              </c:extLst>
            </c:dLbl>
            <c:dLbl>
              <c:idx val="4"/>
              <c:layout>
                <c:manualLayout>
                  <c:x val="9.1618547681539802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3E3-49B0-8147-F2BA3F77397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(N=41)</c:v>
                </c:pt>
                <c:pt idx="1">
                  <c:v>2015-16
(N=56)</c:v>
                </c:pt>
                <c:pt idx="2">
                  <c:v>2016-17 
(N=65)</c:v>
                </c:pt>
                <c:pt idx="3">
                  <c:v>2017-18
(N=98)</c:v>
                </c:pt>
                <c:pt idx="4">
                  <c:v>2018-19
(N=205)</c:v>
                </c:pt>
              </c:strCache>
            </c:strRef>
          </c:cat>
          <c:val>
            <c:numRef>
              <c:f>Sheet1!$E$3:$E$7</c:f>
              <c:numCache>
                <c:formatCode>#\ ###</c:formatCode>
                <c:ptCount val="5"/>
                <c:pt idx="0">
                  <c:v>6</c:v>
                </c:pt>
                <c:pt idx="1">
                  <c:v>7</c:v>
                </c:pt>
                <c:pt idx="2">
                  <c:v>4</c:v>
                </c:pt>
                <c:pt idx="3">
                  <c:v>5</c:v>
                </c:pt>
                <c:pt idx="4">
                  <c:v>6</c:v>
                </c:pt>
              </c:numCache>
            </c:numRef>
          </c:val>
          <c:extLst>
            <c:ext xmlns:c16="http://schemas.microsoft.com/office/drawing/2014/chart" uri="{C3380CC4-5D6E-409C-BE32-E72D297353CC}">
              <c16:uniqueId val="{00000017-13E3-49B0-8147-F2BA3F773976}"/>
            </c:ext>
          </c:extLst>
        </c:ser>
        <c:dLbls>
          <c:showLegendKey val="0"/>
          <c:showVal val="0"/>
          <c:showCatName val="0"/>
          <c:showSerName val="0"/>
          <c:showPercent val="0"/>
          <c:showBubbleSize val="0"/>
        </c:dLbls>
        <c:gapWidth val="150"/>
        <c:shape val="box"/>
        <c:axId val="378455912"/>
        <c:axId val="378461792"/>
        <c:axId val="0"/>
      </c:bar3DChart>
      <c:catAx>
        <c:axId val="3784559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61792"/>
        <c:crosses val="autoZero"/>
        <c:auto val="0"/>
        <c:lblAlgn val="ctr"/>
        <c:lblOffset val="100"/>
        <c:noMultiLvlLbl val="0"/>
      </c:catAx>
      <c:valAx>
        <c:axId val="37846179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5912"/>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tenure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86-4CE3-BF02-BBD88A582202}"/>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86-4CE3-BF02-BBD88A582202}"/>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86-4CE3-BF02-BBD88A582202}"/>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86-4CE3-BF02-BBD88A582202}"/>
                </c:ext>
              </c:extLst>
            </c:dLbl>
            <c:dLbl>
              <c:idx val="4"/>
              <c:layout>
                <c:manualLayout>
                  <c:x val="-5.5555555555555558E-3"/>
                  <c:y val="1.9600242277407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86-4CE3-BF02-BBD88A58220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(N=41)</c:v>
                </c:pt>
                <c:pt idx="1">
                  <c:v>2015-16
 (N=56)</c:v>
                </c:pt>
                <c:pt idx="2">
                  <c:v>2016-17
 (N=65)</c:v>
                </c:pt>
                <c:pt idx="3">
                  <c:v>2017-18
 (N=98)</c:v>
                </c:pt>
                <c:pt idx="4">
                  <c:v>2018-19
 (N=205)</c:v>
                </c:pt>
              </c:strCache>
            </c:strRef>
          </c:cat>
          <c:val>
            <c:numRef>
              <c:f>Sheet1!$B$2:$B$6</c:f>
              <c:numCache>
                <c:formatCode>#\ ###</c:formatCode>
                <c:ptCount val="5"/>
                <c:pt idx="0">
                  <c:v>21</c:v>
                </c:pt>
                <c:pt idx="1">
                  <c:v>27</c:v>
                </c:pt>
                <c:pt idx="2">
                  <c:v>29</c:v>
                </c:pt>
                <c:pt idx="3">
                  <c:v>37</c:v>
                </c:pt>
                <c:pt idx="4">
                  <c:v>80</c:v>
                </c:pt>
              </c:numCache>
            </c:numRef>
          </c:val>
          <c:extLst>
            <c:ext xmlns:c16="http://schemas.microsoft.com/office/drawing/2014/chart" uri="{C3380CC4-5D6E-409C-BE32-E72D297353CC}">
              <c16:uniqueId val="{00000005-3D86-4CE3-BF02-BBD88A582202}"/>
            </c:ext>
          </c:extLst>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86-4CE3-BF02-BBD88A582202}"/>
                </c:ext>
              </c:extLst>
            </c:dLbl>
            <c:dLbl>
              <c:idx val="1"/>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86-4CE3-BF02-BBD88A582202}"/>
                </c:ext>
              </c:extLst>
            </c:dLbl>
            <c:dLbl>
              <c:idx val="2"/>
              <c:layout>
                <c:manualLayout>
                  <c:x val="-2.7777777777777779E-3"/>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86-4CE3-BF02-BBD88A582202}"/>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86-4CE3-BF02-BBD88A582202}"/>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D86-4CE3-BF02-BBD88A58220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(N=41)</c:v>
                </c:pt>
                <c:pt idx="1">
                  <c:v>2015-16
 (N=56)</c:v>
                </c:pt>
                <c:pt idx="2">
                  <c:v>2016-17
 (N=65)</c:v>
                </c:pt>
                <c:pt idx="3">
                  <c:v>2017-18
 (N=98)</c:v>
                </c:pt>
                <c:pt idx="4">
                  <c:v>2018-19
 (N=205)</c:v>
                </c:pt>
              </c:strCache>
            </c:strRef>
          </c:cat>
          <c:val>
            <c:numRef>
              <c:f>Sheet1!$C$2:$C$6</c:f>
              <c:numCache>
                <c:formatCode>#\ ###</c:formatCode>
                <c:ptCount val="5"/>
                <c:pt idx="0">
                  <c:v>9</c:v>
                </c:pt>
                <c:pt idx="1">
                  <c:v>10</c:v>
                </c:pt>
                <c:pt idx="2">
                  <c:v>6</c:v>
                </c:pt>
                <c:pt idx="3">
                  <c:v>6</c:v>
                </c:pt>
                <c:pt idx="4">
                  <c:v>12</c:v>
                </c:pt>
              </c:numCache>
            </c:numRef>
          </c:val>
          <c:extLst>
            <c:ext xmlns:c16="http://schemas.microsoft.com/office/drawing/2014/chart" uri="{C3380CC4-5D6E-409C-BE32-E72D297353CC}">
              <c16:uniqueId val="{0000000B-3D86-4CE3-BF02-BBD88A582202}"/>
            </c:ext>
          </c:extLst>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2125176660609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D86-4CE3-BF02-BBD88A582202}"/>
                </c:ext>
              </c:extLst>
            </c:dLbl>
            <c:dLbl>
              <c:idx val="1"/>
              <c:layout>
                <c:manualLayout>
                  <c:x val="-2.7777777777778286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D86-4CE3-BF02-BBD88A582202}"/>
                </c:ext>
              </c:extLst>
            </c:dLbl>
            <c:dLbl>
              <c:idx val="2"/>
              <c:layout>
                <c:manualLayout>
                  <c:x val="-2.7777777777777779E-3"/>
                  <c:y val="1.5497678174843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86-4CE3-BF02-BBD88A582202}"/>
                </c:ext>
              </c:extLst>
            </c:dLbl>
            <c:dLbl>
              <c:idx val="3"/>
              <c:layout>
                <c:manualLayout>
                  <c:x val="0"/>
                  <c:y val="1.5497678174843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D86-4CE3-BF02-BBD88A582202}"/>
                </c:ext>
              </c:extLst>
            </c:dLbl>
            <c:dLbl>
              <c:idx val="4"/>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D86-4CE3-BF02-BBD88A58220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(N=41)</c:v>
                </c:pt>
                <c:pt idx="1">
                  <c:v>2015-16
 (N=56)</c:v>
                </c:pt>
                <c:pt idx="2">
                  <c:v>2016-17
 (N=65)</c:v>
                </c:pt>
                <c:pt idx="3">
                  <c:v>2017-18
 (N=98)</c:v>
                </c:pt>
                <c:pt idx="4">
                  <c:v>2018-19
 (N=205)</c:v>
                </c:pt>
              </c:strCache>
            </c:strRef>
          </c:cat>
          <c:val>
            <c:numRef>
              <c:f>Sheet1!$D$2:$D$6</c:f>
              <c:numCache>
                <c:formatCode>#\ ###</c:formatCode>
                <c:ptCount val="5"/>
                <c:pt idx="0">
                  <c:v>11</c:v>
                </c:pt>
                <c:pt idx="1">
                  <c:v>13</c:v>
                </c:pt>
                <c:pt idx="2">
                  <c:v>21</c:v>
                </c:pt>
                <c:pt idx="3">
                  <c:v>41</c:v>
                </c:pt>
                <c:pt idx="4">
                  <c:v>99</c:v>
                </c:pt>
              </c:numCache>
            </c:numRef>
          </c:val>
          <c:extLst>
            <c:ext xmlns:c16="http://schemas.microsoft.com/office/drawing/2014/chart" uri="{C3380CC4-5D6E-409C-BE32-E72D297353CC}">
              <c16:uniqueId val="{00000011-3D86-4CE3-BF02-BBD88A582202}"/>
            </c:ext>
          </c:extLst>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D86-4CE3-BF02-BBD88A582202}"/>
                </c:ext>
              </c:extLst>
            </c:dLbl>
            <c:dLbl>
              <c:idx val="1"/>
              <c:layout>
                <c:manualLayout>
                  <c:x val="5.5555555555555558E-3"/>
                  <c:y val="2.7622854835453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D86-4CE3-BF02-BBD88A582202}"/>
                </c:ext>
              </c:extLst>
            </c:dLbl>
            <c:dLbl>
              <c:idx val="2"/>
              <c:layout>
                <c:manualLayout>
                  <c:x val="2.777777777777676E-3"/>
                  <c:y val="2.7622854835453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D86-4CE3-BF02-BBD88A582202}"/>
                </c:ext>
              </c:extLst>
            </c:dLbl>
            <c:dLbl>
              <c:idx val="3"/>
              <c:layout>
                <c:manualLayout>
                  <c:x val="-2.7777777777777779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D86-4CE3-BF02-BBD88A582202}"/>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D86-4CE3-BF02-BBD88A58220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(N=41)</c:v>
                </c:pt>
                <c:pt idx="1">
                  <c:v>2015-16
 (N=56)</c:v>
                </c:pt>
                <c:pt idx="2">
                  <c:v>2016-17
 (N=65)</c:v>
                </c:pt>
                <c:pt idx="3">
                  <c:v>2017-18
 (N=98)</c:v>
                </c:pt>
                <c:pt idx="4">
                  <c:v>2018-19
 (N=205)</c:v>
                </c:pt>
              </c:strCache>
            </c:strRef>
          </c:cat>
          <c:val>
            <c:numRef>
              <c:f>Sheet1!$E$2:$E$6</c:f>
              <c:numCache>
                <c:formatCode>#\ ###</c:formatCode>
                <c:ptCount val="5"/>
                <c:pt idx="0">
                  <c:v>0</c:v>
                </c:pt>
                <c:pt idx="1">
                  <c:v>6</c:v>
                </c:pt>
                <c:pt idx="2">
                  <c:v>9</c:v>
                </c:pt>
                <c:pt idx="3">
                  <c:v>14</c:v>
                </c:pt>
                <c:pt idx="4">
                  <c:v>14</c:v>
                </c:pt>
              </c:numCache>
            </c:numRef>
          </c:val>
          <c:extLst>
            <c:ext xmlns:c16="http://schemas.microsoft.com/office/drawing/2014/chart" uri="{C3380CC4-5D6E-409C-BE32-E72D297353CC}">
              <c16:uniqueId val="{00000017-3D86-4CE3-BF02-BBD88A582202}"/>
            </c:ext>
          </c:extLst>
        </c:ser>
        <c:dLbls>
          <c:showLegendKey val="0"/>
          <c:showVal val="1"/>
          <c:showCatName val="0"/>
          <c:showSerName val="0"/>
          <c:showPercent val="0"/>
          <c:showBubbleSize val="0"/>
        </c:dLbls>
        <c:gapWidth val="150"/>
        <c:shape val="box"/>
        <c:axId val="378456304"/>
        <c:axId val="378454344"/>
        <c:axId val="0"/>
      </c:bar3DChart>
      <c:catAx>
        <c:axId val="378456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4344"/>
        <c:crosses val="autoZero"/>
        <c:auto val="1"/>
        <c:lblAlgn val="ctr"/>
        <c:lblOffset val="100"/>
        <c:noMultiLvlLbl val="0"/>
      </c:catAx>
      <c:valAx>
        <c:axId val="37845434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8456304"/>
        <c:crosses val="autoZero"/>
        <c:crossBetween val="between"/>
      </c:valAx>
      <c:spPr>
        <a:noFill/>
        <a:ln>
          <a:noFill/>
        </a:ln>
        <a:effectLst/>
      </c:spPr>
    </c:plotArea>
    <c:legend>
      <c:legendPos val="r"/>
      <c:layout>
        <c:manualLayout>
          <c:xMode val="edge"/>
          <c:yMode val="edge"/>
          <c:x val="5.8333333333333334E-2"/>
          <c:y val="0.83577920452251164"/>
          <c:w val="0.87922681539807512"/>
          <c:h val="0.1314002826569755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solidFill>
                <a:sysClr val="windowText" lastClr="000000"/>
              </a:solidFill>
            </a:rPr>
            <a:t>Unknowns</a:t>
          </a:r>
          <a:r>
            <a:rPr lang="en-CA" sz="850" baseline="0"/>
            <a:t> = 84</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Unknowns = 0</a:t>
          </a:r>
        </a:p>
        <a:p xmlns:a="http://schemas.openxmlformats.org/drawingml/2006/main">
          <a:pPr algn="ctr">
            <a:lnSpc>
              <a:spcPts val="900"/>
            </a:lnSpc>
          </a:pP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 Includes only appointments where the staffing process type is known </a:t>
          </a:r>
          <a:r>
            <a:rPr lang="en-CA" sz="850" baseline="0">
              <a:solidFill>
                <a:sysClr val="windowText" lastClr="000000"/>
              </a:solidFill>
            </a:rPr>
            <a:t>(35% to 88</a:t>
          </a:r>
          <a:r>
            <a:rPr lang="en-CA" sz="850" baseline="0"/>
            <a:t>% of appointments)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a:t>
          </a:r>
          <a:r>
            <a:rPr lang="en-CA" sz="800"/>
            <a:t>Hires with experience in a federal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652D-C9D9-4AAF-9067-11A1A2FD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4063</Words>
  <Characters>23162</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Centomo-Bozzo</dc:creator>
  <cp:keywords/>
  <dc:description/>
  <cp:lastModifiedBy>Snjezana Kulic</cp:lastModifiedBy>
  <cp:revision>2</cp:revision>
  <dcterms:created xsi:type="dcterms:W3CDTF">2022-03-07T19:14:00Z</dcterms:created>
  <dcterms:modified xsi:type="dcterms:W3CDTF">2022-03-07T19:14:00Z</dcterms:modified>
</cp:coreProperties>
</file>