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3.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4.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5.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6.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7.xml" ContentType="application/vnd.openxmlformats-officedocument.drawingml.chartshapes+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21B7A" w14:textId="77777777" w:rsidR="00DF2783" w:rsidRDefault="0003019D" w:rsidP="00DF2783">
      <w:pPr>
        <w:pStyle w:val="Title"/>
        <w:spacing w:before="0" w:after="120" w:line="240" w:lineRule="auto"/>
        <w:jc w:val="center"/>
        <w:rPr>
          <w:sz w:val="52"/>
          <w:szCs w:val="52"/>
          <w:lang w:val="fr-CA"/>
        </w:rPr>
      </w:pPr>
      <w:r w:rsidRPr="00157A11">
        <w:rPr>
          <w:sz w:val="52"/>
          <w:szCs w:val="52"/>
          <w:lang w:val="fr-CA"/>
        </w:rPr>
        <w:t>R</w:t>
      </w:r>
      <w:r w:rsidR="002B5334" w:rsidRPr="00157A11">
        <w:rPr>
          <w:sz w:val="52"/>
          <w:szCs w:val="52"/>
          <w:lang w:val="fr-CA"/>
        </w:rPr>
        <w:t>éunion</w:t>
      </w:r>
      <w:r w:rsidRPr="00157A11">
        <w:rPr>
          <w:sz w:val="52"/>
          <w:szCs w:val="52"/>
          <w:lang w:val="fr-CA"/>
        </w:rPr>
        <w:t xml:space="preserve"> </w:t>
      </w:r>
      <w:r w:rsidR="0086628F" w:rsidRPr="00157A11">
        <w:rPr>
          <w:sz w:val="52"/>
          <w:szCs w:val="52"/>
          <w:lang w:val="fr-CA"/>
        </w:rPr>
        <w:t>du président avec Guylaine Roy</w:t>
      </w:r>
      <w:r w:rsidRPr="00157A11">
        <w:rPr>
          <w:sz w:val="52"/>
          <w:szCs w:val="52"/>
          <w:lang w:val="fr-CA"/>
        </w:rPr>
        <w:t>, S</w:t>
      </w:r>
      <w:r w:rsidR="0086628F" w:rsidRPr="00157A11">
        <w:rPr>
          <w:sz w:val="52"/>
          <w:szCs w:val="52"/>
          <w:lang w:val="fr-CA"/>
        </w:rPr>
        <w:t>ous-Ministre</w:t>
      </w:r>
      <w:r w:rsidRPr="00157A11">
        <w:rPr>
          <w:sz w:val="52"/>
          <w:szCs w:val="52"/>
          <w:lang w:val="fr-CA"/>
        </w:rPr>
        <w:t>, M</w:t>
      </w:r>
      <w:r w:rsidR="0086628F" w:rsidRPr="00157A11">
        <w:rPr>
          <w:sz w:val="52"/>
          <w:szCs w:val="52"/>
          <w:lang w:val="fr-CA"/>
        </w:rPr>
        <w:t xml:space="preserve">inistère des Femmes et de l’Égalité des genres </w:t>
      </w:r>
    </w:p>
    <w:p w14:paraId="1F34CF4B" w14:textId="77777777" w:rsidR="0003019D" w:rsidRPr="003E00F5" w:rsidRDefault="0003019D" w:rsidP="00DF2783">
      <w:pPr>
        <w:pStyle w:val="Title"/>
        <w:spacing w:before="0" w:after="240" w:line="240" w:lineRule="auto"/>
        <w:jc w:val="center"/>
        <w:rPr>
          <w:sz w:val="52"/>
          <w:szCs w:val="52"/>
          <w:lang w:val="fr-CA"/>
        </w:rPr>
      </w:pPr>
      <w:r w:rsidRPr="00157A11">
        <w:rPr>
          <w:sz w:val="52"/>
          <w:szCs w:val="52"/>
          <w:lang w:val="fr-CA"/>
        </w:rPr>
        <w:t>19 décembre 2019</w:t>
      </w:r>
    </w:p>
    <w:p w14:paraId="48013E06" w14:textId="77777777" w:rsidR="0003019D" w:rsidRPr="00157A11" w:rsidRDefault="0003019D" w:rsidP="0086628F">
      <w:pPr>
        <w:pStyle w:val="Heading1"/>
        <w:spacing w:after="120"/>
        <w:rPr>
          <w:lang w:val="fr-CA"/>
        </w:rPr>
      </w:pPr>
      <w:r w:rsidRPr="00157A11">
        <w:rPr>
          <w:lang w:val="fr-CA"/>
        </w:rPr>
        <w:t>Introduction</w:t>
      </w:r>
    </w:p>
    <w:p w14:paraId="72B5347C" w14:textId="77777777" w:rsidR="0003019D" w:rsidRPr="00157A11" w:rsidRDefault="0003019D" w:rsidP="0003019D">
      <w:pPr>
        <w:pStyle w:val="Heading2"/>
        <w:spacing w:after="120"/>
        <w:rPr>
          <w:lang w:val="fr-CA"/>
        </w:rPr>
      </w:pPr>
      <w:r w:rsidRPr="00157A11">
        <w:rPr>
          <w:lang w:val="fr-CA"/>
        </w:rPr>
        <w:t>Administratrice générale</w:t>
      </w:r>
    </w:p>
    <w:p w14:paraId="2CAB5DC1" w14:textId="77777777" w:rsidR="0003019D" w:rsidRPr="00157A11" w:rsidRDefault="0003019D" w:rsidP="0086628F">
      <w:pPr>
        <w:autoSpaceDE w:val="0"/>
        <w:autoSpaceDN w:val="0"/>
        <w:adjustRightInd w:val="0"/>
        <w:spacing w:after="120"/>
        <w:ind w:right="50"/>
        <w:rPr>
          <w:rFonts w:asciiTheme="minorHAnsi" w:hAnsiTheme="minorHAnsi" w:cstheme="minorHAnsi"/>
          <w:sz w:val="22"/>
          <w:szCs w:val="22"/>
          <w:lang w:val="fr-CA"/>
        </w:rPr>
      </w:pPr>
      <w:r w:rsidRPr="00157A11">
        <w:rPr>
          <w:rFonts w:asciiTheme="minorHAnsi" w:hAnsiTheme="minorHAnsi" w:cstheme="minorHAnsi"/>
          <w:sz w:val="22"/>
          <w:szCs w:val="22"/>
          <w:lang w:val="fr-CA"/>
        </w:rPr>
        <w:t>M</w:t>
      </w:r>
      <w:r w:rsidRPr="00157A11">
        <w:rPr>
          <w:rFonts w:asciiTheme="minorHAnsi" w:hAnsiTheme="minorHAnsi" w:cstheme="minorHAnsi"/>
          <w:sz w:val="22"/>
          <w:szCs w:val="22"/>
          <w:vertAlign w:val="superscript"/>
          <w:lang w:val="fr-CA"/>
        </w:rPr>
        <w:t>me</w:t>
      </w:r>
      <w:r w:rsidRPr="00157A11">
        <w:rPr>
          <w:rFonts w:asciiTheme="minorHAnsi" w:hAnsiTheme="minorHAnsi" w:cstheme="minorHAnsi"/>
          <w:sz w:val="22"/>
          <w:szCs w:val="22"/>
          <w:lang w:val="fr-CA"/>
        </w:rPr>
        <w:t> Guylaine Roy a été nommée au poste de sous-ministre des</w:t>
      </w:r>
      <w:r w:rsidRPr="00157A11">
        <w:rPr>
          <w:rFonts w:asciiTheme="minorHAnsi" w:hAnsiTheme="minorHAnsi" w:cstheme="minorHAnsi"/>
          <w:color w:val="333333"/>
          <w:sz w:val="22"/>
          <w:szCs w:val="22"/>
          <w:lang w:val="fr-CA"/>
        </w:rPr>
        <w:t xml:space="preserve"> Femmes et de l’Égalité des genres Canada (FEG) </w:t>
      </w:r>
      <w:r w:rsidRPr="00157A11">
        <w:rPr>
          <w:rFonts w:asciiTheme="minorHAnsi" w:hAnsiTheme="minorHAnsi" w:cstheme="minorHAnsi"/>
          <w:sz w:val="22"/>
          <w:szCs w:val="22"/>
          <w:lang w:val="fr-CA"/>
        </w:rPr>
        <w:t>(anciennement connu sous le nom de Condition féminine Canada)</w:t>
      </w:r>
      <w:r w:rsidRPr="00157A11">
        <w:rPr>
          <w:rFonts w:asciiTheme="minorHAnsi" w:hAnsiTheme="minorHAnsi" w:cstheme="minorHAnsi"/>
          <w:lang w:val="fr-CA"/>
        </w:rPr>
        <w:t xml:space="preserve"> </w:t>
      </w:r>
      <w:r w:rsidRPr="00157A11">
        <w:rPr>
          <w:rFonts w:asciiTheme="minorHAnsi" w:hAnsiTheme="minorHAnsi" w:cstheme="minorHAnsi"/>
          <w:color w:val="333333"/>
          <w:sz w:val="22"/>
          <w:szCs w:val="22"/>
          <w:lang w:val="fr-CA"/>
        </w:rPr>
        <w:t>le 23 septembre 2019, en plus de ses fonctions de sous-ministre du Tourisme, des Langues officielles et de la Francophonie</w:t>
      </w:r>
      <w:r w:rsidRPr="00157A11">
        <w:rPr>
          <w:rFonts w:asciiTheme="minorHAnsi" w:hAnsiTheme="minorHAnsi" w:cstheme="minorHAnsi"/>
          <w:sz w:val="22"/>
          <w:szCs w:val="22"/>
          <w:lang w:val="fr-CA"/>
        </w:rPr>
        <w:t>.</w:t>
      </w:r>
      <w:r w:rsidRPr="00157A11">
        <w:rPr>
          <w:rFonts w:asciiTheme="minorHAnsi" w:hAnsiTheme="minorHAnsi" w:cstheme="minorHAnsi"/>
          <w:color w:val="333333"/>
          <w:sz w:val="22"/>
          <w:szCs w:val="22"/>
          <w:lang w:val="fr-CA"/>
        </w:rPr>
        <w:t xml:space="preserve"> </w:t>
      </w:r>
    </w:p>
    <w:p w14:paraId="45386D62" w14:textId="77777777" w:rsidR="0003019D" w:rsidRPr="00157A11" w:rsidRDefault="0086628F" w:rsidP="0086628F">
      <w:pPr>
        <w:pStyle w:val="NoSpacing"/>
        <w:spacing w:after="120"/>
        <w:rPr>
          <w:rStyle w:val="Hyperlink"/>
          <w:rFonts w:asciiTheme="minorHAnsi" w:hAnsiTheme="minorHAnsi" w:cstheme="minorHAnsi"/>
          <w:sz w:val="22"/>
          <w:szCs w:val="22"/>
          <w:lang w:val="fr-CA" w:eastAsia="en-CA"/>
        </w:rPr>
      </w:pPr>
      <w:r w:rsidRPr="00157A11">
        <w:rPr>
          <w:rFonts w:asciiTheme="minorHAnsi" w:eastAsiaTheme="minorHAnsi" w:hAnsiTheme="minorHAnsi" w:cstheme="minorHAnsi"/>
          <w:sz w:val="22"/>
          <w:szCs w:val="22"/>
          <w:lang w:val="fr-CA" w:eastAsia="en-CA"/>
        </w:rPr>
        <w:t>Mme Roy a déjà exercé l’autorité de la Commission de la fonction publique (CFP) en tant qu’Administratrice générale (AG).  Une copie du document Faits Saillants de la Nouvelle orientation en dotation (NOD) pour les AG est jointe à l’</w:t>
      </w:r>
      <w:hyperlink w:anchor="Annexe_A" w:history="1">
        <w:r w:rsidRPr="00157A11">
          <w:rPr>
            <w:rStyle w:val="Hyperlink"/>
            <w:rFonts w:asciiTheme="minorHAnsi" w:hAnsiTheme="minorHAnsi" w:cstheme="minorHAnsi"/>
            <w:sz w:val="22"/>
            <w:szCs w:val="22"/>
            <w:lang w:val="fr-CA" w:eastAsia="en-CA"/>
          </w:rPr>
          <w:t>Annexe A</w:t>
        </w:r>
        <w:r w:rsidR="0003019D" w:rsidRPr="00157A11">
          <w:rPr>
            <w:rStyle w:val="Hyperlink"/>
            <w:rFonts w:asciiTheme="minorHAnsi" w:hAnsiTheme="minorHAnsi" w:cstheme="minorHAnsi"/>
            <w:sz w:val="22"/>
            <w:szCs w:val="22"/>
            <w:lang w:val="fr-CA" w:eastAsia="en-CA"/>
          </w:rPr>
          <w:t>.</w:t>
        </w:r>
      </w:hyperlink>
    </w:p>
    <w:p w14:paraId="20C93241" w14:textId="77777777" w:rsidR="0003019D" w:rsidRPr="00157A11" w:rsidRDefault="0003019D" w:rsidP="0086628F">
      <w:pPr>
        <w:pStyle w:val="Heading1"/>
        <w:spacing w:after="120"/>
        <w:rPr>
          <w:lang w:val="fr-CA"/>
        </w:rPr>
      </w:pPr>
      <w:r w:rsidRPr="00157A11">
        <w:rPr>
          <w:lang w:val="fr-CA"/>
        </w:rPr>
        <w:t>Contexte organisationnel</w:t>
      </w:r>
    </w:p>
    <w:p w14:paraId="61999F6F" w14:textId="77777777" w:rsidR="0003019D" w:rsidRPr="00157A11" w:rsidRDefault="0003019D" w:rsidP="0003019D">
      <w:pPr>
        <w:pStyle w:val="Heading2"/>
        <w:spacing w:after="120"/>
        <w:rPr>
          <w:u w:val="single"/>
          <w:lang w:val="fr-CA"/>
        </w:rPr>
      </w:pPr>
      <w:r w:rsidRPr="00157A11">
        <w:rPr>
          <w:lang w:val="fr-CA"/>
        </w:rPr>
        <w:t>Mandat</w:t>
      </w:r>
    </w:p>
    <w:p w14:paraId="5D864B86" w14:textId="77777777" w:rsidR="0003019D" w:rsidRPr="003E00F5" w:rsidRDefault="0003019D" w:rsidP="0086628F">
      <w:pPr>
        <w:spacing w:after="120"/>
        <w:rPr>
          <w:rFonts w:asciiTheme="minorHAnsi" w:hAnsiTheme="minorHAnsi" w:cstheme="minorHAnsi"/>
          <w:b/>
          <w:sz w:val="22"/>
          <w:szCs w:val="22"/>
          <w:lang w:val="fr-CA"/>
        </w:rPr>
      </w:pPr>
      <w:r w:rsidRPr="003E00F5">
        <w:rPr>
          <w:rFonts w:asciiTheme="minorHAnsi" w:hAnsiTheme="minorHAnsi" w:cstheme="minorHAnsi"/>
          <w:sz w:val="22"/>
          <w:szCs w:val="22"/>
          <w:lang w:val="fr-CA"/>
        </w:rPr>
        <w:t xml:space="preserve">Le 13 décembre 2018, une </w:t>
      </w:r>
      <w:r w:rsidRPr="003E00F5">
        <w:rPr>
          <w:rFonts w:asciiTheme="minorHAnsi" w:hAnsiTheme="minorHAnsi" w:cstheme="minorHAnsi"/>
          <w:iCs/>
          <w:sz w:val="22"/>
          <w:szCs w:val="22"/>
          <w:lang w:val="fr-CA"/>
        </w:rPr>
        <w:t>nouvelle loi a créé le ministère des FEG, transformant ainsi l’ancien organisme Condition féminine Canada. Il s’agit d’un changement qui modernise et officialise, en droit, les rôles de la ministre et du Ministère.</w:t>
      </w:r>
    </w:p>
    <w:p w14:paraId="040C4A98" w14:textId="77777777" w:rsidR="0003019D" w:rsidRPr="003E00F5" w:rsidRDefault="0003019D" w:rsidP="0086628F">
      <w:pPr>
        <w:spacing w:after="120"/>
        <w:rPr>
          <w:rFonts w:asciiTheme="minorHAnsi" w:hAnsiTheme="minorHAnsi" w:cstheme="minorHAnsi"/>
          <w:sz w:val="22"/>
          <w:szCs w:val="22"/>
          <w:lang w:val="fr-CA"/>
        </w:rPr>
      </w:pPr>
      <w:r w:rsidRPr="003E00F5">
        <w:rPr>
          <w:rFonts w:asciiTheme="minorHAnsi" w:hAnsiTheme="minorHAnsi" w:cstheme="minorHAnsi"/>
          <w:sz w:val="22"/>
          <w:szCs w:val="22"/>
          <w:lang w:val="fr-CA"/>
        </w:rPr>
        <w:t xml:space="preserve">Le mandat concernant l’équité entre les sexes a été élargi pour inclure l’orientation sexuelle ainsi que l’identité et l’expression sexuelles. Plus précisément, le ministère des FEG travaille à faire progresser l’égalité des sexes au moyen d’une perspective </w:t>
      </w:r>
      <w:r w:rsidRPr="003E00F5">
        <w:rPr>
          <w:rStyle w:val="Strong"/>
          <w:rFonts w:cstheme="minorHAnsi"/>
          <w:lang w:val="fr-CA"/>
        </w:rPr>
        <w:t>sexospécifique intersectorielle</w:t>
      </w:r>
      <w:r w:rsidRPr="003E00F5">
        <w:rPr>
          <w:rFonts w:asciiTheme="minorHAnsi" w:hAnsiTheme="minorHAnsi" w:cstheme="minorHAnsi"/>
          <w:sz w:val="22"/>
          <w:szCs w:val="22"/>
          <w:lang w:val="fr-CA"/>
        </w:rPr>
        <w:t xml:space="preserve">. Travaillant en partenariat avec des intervenants clés, y compris des organisations de la société civile, des groupes syndicaux, le secteur privé, d’autres ordres de gouvernement et les Premières Nations, les Inuits et les Métis, le Ministère favorise activement l’inclusion de toutes les personnes dans la vie économique, sociale et politique du Canada. </w:t>
      </w:r>
    </w:p>
    <w:p w14:paraId="669666CF" w14:textId="77777777" w:rsidR="0003019D" w:rsidRPr="003E00F5" w:rsidRDefault="0003019D" w:rsidP="0086628F">
      <w:pPr>
        <w:spacing w:after="120"/>
        <w:rPr>
          <w:rFonts w:asciiTheme="minorHAnsi" w:hAnsiTheme="minorHAnsi" w:cstheme="minorHAnsi"/>
          <w:sz w:val="22"/>
          <w:szCs w:val="22"/>
          <w:lang w:val="fr-CA"/>
        </w:rPr>
      </w:pPr>
      <w:r w:rsidRPr="003E00F5">
        <w:rPr>
          <w:rFonts w:asciiTheme="minorHAnsi" w:hAnsiTheme="minorHAnsi" w:cstheme="minorHAnsi"/>
          <w:sz w:val="22"/>
          <w:szCs w:val="22"/>
          <w:lang w:val="fr-CA"/>
        </w:rPr>
        <w:t>Le ministère des FEG s’emploie à remplir son mandat de promotion de l’égalité entre les sexes. Pour ce faire, il exerce une fonction de coordination centrale au sein du gouvernement du Canada, élabore et met en œuvre des politiques, accorde des subventions et des contributions, exécute des programmes, investit dans la recherche et formule des conseils afin de réaliser l’égalité pour toutes les personnes, sans distinction, notamment les femmes.</w:t>
      </w:r>
    </w:p>
    <w:p w14:paraId="32F2F8E1" w14:textId="77777777" w:rsidR="0003019D" w:rsidRPr="00157A11" w:rsidRDefault="0003019D" w:rsidP="0003019D">
      <w:pPr>
        <w:pStyle w:val="Heading2"/>
        <w:spacing w:after="120"/>
        <w:rPr>
          <w:u w:val="single"/>
          <w:lang w:val="fr-CA"/>
        </w:rPr>
      </w:pPr>
      <w:r w:rsidRPr="00157A11">
        <w:rPr>
          <w:lang w:val="fr-CA"/>
        </w:rPr>
        <w:lastRenderedPageBreak/>
        <w:t>Défis</w:t>
      </w:r>
    </w:p>
    <w:p w14:paraId="2E4295DF" w14:textId="77777777" w:rsidR="0003019D" w:rsidRPr="00157A11" w:rsidRDefault="0003019D" w:rsidP="0086628F">
      <w:pPr>
        <w:keepNext/>
        <w:spacing w:after="120"/>
        <w:rPr>
          <w:rFonts w:asciiTheme="minorHAnsi" w:hAnsiTheme="minorHAnsi" w:cstheme="minorHAnsi"/>
          <w:iCs/>
          <w:sz w:val="22"/>
          <w:szCs w:val="22"/>
          <w:lang w:val="fr-CA"/>
        </w:rPr>
      </w:pPr>
      <w:r w:rsidRPr="00157A11">
        <w:rPr>
          <w:rFonts w:asciiTheme="minorHAnsi" w:hAnsiTheme="minorHAnsi" w:cstheme="minorHAnsi"/>
          <w:iCs/>
          <w:sz w:val="22"/>
          <w:szCs w:val="22"/>
          <w:lang w:val="fr-CA"/>
        </w:rPr>
        <w:t>Avec la création de ce ministère en décembre 2018, l’organisation est passée d’une micro</w:t>
      </w:r>
      <w:r w:rsidRPr="00157A11">
        <w:rPr>
          <w:rFonts w:asciiTheme="minorHAnsi" w:hAnsiTheme="minorHAnsi" w:cstheme="minorHAnsi"/>
          <w:iCs/>
          <w:sz w:val="22"/>
          <w:szCs w:val="22"/>
          <w:lang w:val="fr-CA"/>
        </w:rPr>
        <w:noBreakHyphen/>
        <w:t xml:space="preserve">organisation comptant moins de 100 employés à une petite organisation d’environ 200 employés, et une nouvelle direction des ressources humaines a été créée. </w:t>
      </w:r>
    </w:p>
    <w:p w14:paraId="4B7C6673" w14:textId="77777777" w:rsidR="0003019D" w:rsidRPr="00157A11" w:rsidRDefault="0003019D" w:rsidP="0086628F">
      <w:pPr>
        <w:spacing w:after="120"/>
        <w:rPr>
          <w:rFonts w:asciiTheme="minorHAnsi" w:hAnsiTheme="minorHAnsi" w:cstheme="minorHAnsi"/>
          <w:iCs/>
          <w:sz w:val="22"/>
          <w:szCs w:val="22"/>
          <w:lang w:val="fr-CA"/>
        </w:rPr>
      </w:pPr>
      <w:r w:rsidRPr="00157A11">
        <w:rPr>
          <w:rFonts w:asciiTheme="minorHAnsi" w:hAnsiTheme="minorHAnsi" w:cstheme="minorHAnsi"/>
          <w:iCs/>
          <w:sz w:val="22"/>
          <w:szCs w:val="22"/>
          <w:lang w:val="fr-CA"/>
        </w:rPr>
        <w:t>À la suite de ce changement, le travail se poursuit sur le renforcement des capacités afin d’atteindre l’effectif complet.</w:t>
      </w:r>
    </w:p>
    <w:p w14:paraId="7E732CD4" w14:textId="77777777" w:rsidR="0003019D" w:rsidRPr="00157A11" w:rsidRDefault="0003019D" w:rsidP="0086628F">
      <w:pPr>
        <w:pStyle w:val="Heading1"/>
        <w:spacing w:after="120"/>
        <w:rPr>
          <w:lang w:val="fr-CA"/>
        </w:rPr>
      </w:pPr>
      <w:r w:rsidRPr="00157A11">
        <w:rPr>
          <w:lang w:val="fr-CA"/>
        </w:rPr>
        <w:t>Effectif et activités de dotation</w:t>
      </w:r>
    </w:p>
    <w:p w14:paraId="238BC62A" w14:textId="77777777" w:rsidR="0003019D" w:rsidRPr="00157A11" w:rsidRDefault="0003019D" w:rsidP="0003019D">
      <w:pPr>
        <w:pStyle w:val="Heading2"/>
        <w:spacing w:after="120"/>
        <w:rPr>
          <w:u w:val="single"/>
          <w:lang w:val="fr-CA"/>
        </w:rPr>
      </w:pPr>
      <w:r w:rsidRPr="00157A11">
        <w:rPr>
          <w:lang w:val="fr-CA"/>
        </w:rPr>
        <w:t>Effectif</w:t>
      </w:r>
    </w:p>
    <w:p w14:paraId="443E0A8E" w14:textId="77777777" w:rsidR="0003019D" w:rsidRPr="00157A11" w:rsidRDefault="0003019D" w:rsidP="0086628F">
      <w:pPr>
        <w:pStyle w:val="NoSpacing"/>
        <w:rPr>
          <w:rFonts w:asciiTheme="minorHAnsi" w:hAnsiTheme="minorHAnsi" w:cstheme="minorHAnsi"/>
          <w:color w:val="000000"/>
          <w:sz w:val="22"/>
          <w:szCs w:val="22"/>
          <w:lang w:val="fr-CA"/>
        </w:rPr>
      </w:pPr>
      <w:r w:rsidRPr="00157A11">
        <w:rPr>
          <w:rFonts w:asciiTheme="minorHAnsi" w:hAnsiTheme="minorHAnsi" w:cstheme="minorHAnsi"/>
          <w:color w:val="000000"/>
          <w:sz w:val="22"/>
          <w:szCs w:val="22"/>
          <w:lang w:val="fr-CA"/>
        </w:rPr>
        <w:t>Le ministère des FEG est une organisation de 180 employés. Au 31 mars 2019, les données concernant l’effectif étaient les suivantes :</w:t>
      </w:r>
    </w:p>
    <w:p w14:paraId="1B27C680" w14:textId="77777777" w:rsidR="0003019D" w:rsidRPr="00157A11" w:rsidRDefault="0003019D" w:rsidP="0003019D">
      <w:pPr>
        <w:pStyle w:val="ListParagraph"/>
        <w:numPr>
          <w:ilvl w:val="0"/>
          <w:numId w:val="6"/>
        </w:numPr>
        <w:spacing w:after="0"/>
        <w:rPr>
          <w:rFonts w:asciiTheme="minorHAnsi" w:hAnsiTheme="minorHAnsi" w:cstheme="minorHAnsi"/>
          <w:color w:val="000000"/>
          <w:sz w:val="22"/>
          <w:szCs w:val="22"/>
          <w:lang w:val="fr-CA"/>
        </w:rPr>
      </w:pPr>
      <w:r w:rsidRPr="00157A11">
        <w:rPr>
          <w:rFonts w:asciiTheme="minorHAnsi" w:hAnsiTheme="minorHAnsi" w:cstheme="minorHAnsi"/>
          <w:color w:val="000000"/>
          <w:sz w:val="22"/>
          <w:szCs w:val="22"/>
          <w:lang w:val="fr-CA"/>
        </w:rPr>
        <w:t>110 employés nommés pour une période indéterminée;</w:t>
      </w:r>
    </w:p>
    <w:p w14:paraId="5FF6D8F7" w14:textId="77777777" w:rsidR="0003019D" w:rsidRPr="00157A11" w:rsidRDefault="0003019D" w:rsidP="0003019D">
      <w:pPr>
        <w:pStyle w:val="ListParagraph"/>
        <w:numPr>
          <w:ilvl w:val="0"/>
          <w:numId w:val="6"/>
        </w:numPr>
        <w:spacing w:after="0"/>
        <w:rPr>
          <w:rFonts w:asciiTheme="minorHAnsi" w:hAnsiTheme="minorHAnsi" w:cstheme="minorHAnsi"/>
          <w:color w:val="000000"/>
          <w:sz w:val="22"/>
          <w:szCs w:val="22"/>
          <w:lang w:val="fr-CA"/>
        </w:rPr>
      </w:pPr>
      <w:r w:rsidRPr="00157A11">
        <w:rPr>
          <w:rFonts w:asciiTheme="minorHAnsi" w:hAnsiTheme="minorHAnsi" w:cstheme="minorHAnsi"/>
          <w:color w:val="000000"/>
          <w:sz w:val="22"/>
          <w:szCs w:val="22"/>
          <w:lang w:val="fr-CA"/>
        </w:rPr>
        <w:t>7 employés nommés pour une période déterminée;</w:t>
      </w:r>
    </w:p>
    <w:p w14:paraId="1BEE6BFA" w14:textId="77777777" w:rsidR="0003019D" w:rsidRPr="00157A11" w:rsidRDefault="0003019D" w:rsidP="0003019D">
      <w:pPr>
        <w:pStyle w:val="ListParagraph"/>
        <w:numPr>
          <w:ilvl w:val="0"/>
          <w:numId w:val="6"/>
        </w:numPr>
        <w:spacing w:after="0"/>
        <w:rPr>
          <w:rFonts w:asciiTheme="minorHAnsi" w:hAnsiTheme="minorHAnsi" w:cstheme="minorHAnsi"/>
          <w:color w:val="000000"/>
          <w:sz w:val="22"/>
          <w:szCs w:val="22"/>
          <w:lang w:val="fr-CA"/>
        </w:rPr>
      </w:pPr>
      <w:r w:rsidRPr="00157A11">
        <w:rPr>
          <w:rFonts w:asciiTheme="minorHAnsi" w:hAnsiTheme="minorHAnsi" w:cstheme="minorHAnsi"/>
          <w:color w:val="000000"/>
          <w:sz w:val="22"/>
          <w:szCs w:val="22"/>
          <w:lang w:val="fr-CA"/>
        </w:rPr>
        <w:t>55 employés occasionnels;</w:t>
      </w:r>
    </w:p>
    <w:p w14:paraId="24B10D0B" w14:textId="77777777" w:rsidR="0003019D" w:rsidRPr="00157A11" w:rsidRDefault="0003019D" w:rsidP="0086628F">
      <w:pPr>
        <w:pStyle w:val="ListParagraph"/>
        <w:numPr>
          <w:ilvl w:val="0"/>
          <w:numId w:val="6"/>
        </w:numPr>
        <w:spacing w:after="120"/>
        <w:rPr>
          <w:rFonts w:asciiTheme="minorHAnsi" w:hAnsiTheme="minorHAnsi" w:cstheme="minorHAnsi"/>
          <w:color w:val="000000"/>
          <w:sz w:val="22"/>
          <w:szCs w:val="22"/>
          <w:lang w:val="fr-CA"/>
        </w:rPr>
      </w:pPr>
      <w:r w:rsidRPr="00157A11">
        <w:rPr>
          <w:rFonts w:asciiTheme="minorHAnsi" w:hAnsiTheme="minorHAnsi" w:cstheme="minorHAnsi"/>
          <w:color w:val="000000"/>
          <w:sz w:val="22"/>
          <w:szCs w:val="22"/>
          <w:lang w:val="fr-CA"/>
        </w:rPr>
        <w:t>8 étudiants.</w:t>
      </w:r>
    </w:p>
    <w:p w14:paraId="374E33D1" w14:textId="77777777" w:rsidR="0003019D" w:rsidRPr="00157A11" w:rsidRDefault="003E00F5" w:rsidP="0086628F">
      <w:pPr>
        <w:spacing w:after="120"/>
        <w:rPr>
          <w:rFonts w:asciiTheme="minorHAnsi" w:eastAsia="Calibri" w:hAnsiTheme="minorHAnsi" w:cstheme="minorHAnsi"/>
          <w:color w:val="000000"/>
          <w:sz w:val="22"/>
          <w:szCs w:val="22"/>
          <w:lang w:val="fr-CA"/>
        </w:rPr>
      </w:pPr>
      <w:r>
        <w:rPr>
          <w:rFonts w:asciiTheme="minorHAnsi" w:eastAsia="Calibri" w:hAnsiTheme="minorHAnsi" w:cstheme="minorHAnsi"/>
          <w:color w:val="000000"/>
          <w:sz w:val="22"/>
          <w:szCs w:val="22"/>
          <w:lang w:val="fr-CA"/>
        </w:rPr>
        <w:t>À</w:t>
      </w:r>
      <w:r w:rsidR="0003019D" w:rsidRPr="00157A11">
        <w:rPr>
          <w:rFonts w:asciiTheme="minorHAnsi" w:eastAsia="Calibri" w:hAnsiTheme="minorHAnsi" w:cstheme="minorHAnsi"/>
          <w:color w:val="000000"/>
          <w:sz w:val="22"/>
          <w:szCs w:val="22"/>
          <w:lang w:val="fr-CA"/>
        </w:rPr>
        <w:t xml:space="preserve"> noter que les données présentées par la Commission de la fonction publique (CFP) dans les annexes ci-jointes sont en date du 31 mars 2019 et peuvent ne pas correspondent aux données fournies par l’organisation en raison des différences de méthodologie et des périodes visées. </w:t>
      </w:r>
      <w:r w:rsidR="0003019D" w:rsidRPr="00157A11">
        <w:rPr>
          <w:rFonts w:asciiTheme="minorHAnsi" w:hAnsiTheme="minorHAnsi" w:cstheme="minorHAnsi"/>
          <w:color w:val="000000"/>
          <w:sz w:val="22"/>
          <w:szCs w:val="22"/>
          <w:lang w:val="fr-CA"/>
        </w:rPr>
        <w:t xml:space="preserve">Le ministère des FEG </w:t>
      </w:r>
      <w:r w:rsidR="0003019D" w:rsidRPr="00157A11">
        <w:rPr>
          <w:rFonts w:asciiTheme="minorHAnsi" w:eastAsia="Calibri" w:hAnsiTheme="minorHAnsi" w:cstheme="minorHAnsi"/>
          <w:color w:val="000000"/>
          <w:sz w:val="22"/>
          <w:szCs w:val="22"/>
          <w:lang w:val="fr-CA"/>
        </w:rPr>
        <w:t>indique que selon leurs statistiques en date du 9 avril 2019, l’organisation comptait 305 employés dont 183 étaient indéterminés.</w:t>
      </w:r>
    </w:p>
    <w:p w14:paraId="4E26A414" w14:textId="77777777" w:rsidR="0003019D" w:rsidRPr="00157A11" w:rsidRDefault="0003019D" w:rsidP="0003019D">
      <w:pPr>
        <w:pStyle w:val="Heading2"/>
        <w:spacing w:after="120"/>
        <w:rPr>
          <w:u w:val="single"/>
          <w:lang w:val="fr-CA"/>
        </w:rPr>
      </w:pPr>
      <w:r w:rsidRPr="00157A11">
        <w:rPr>
          <w:lang w:val="fr-CA"/>
        </w:rPr>
        <w:t>Activités de dotation</w:t>
      </w:r>
    </w:p>
    <w:p w14:paraId="3B717439" w14:textId="77777777" w:rsidR="0003019D" w:rsidRPr="00157A11" w:rsidRDefault="0003019D" w:rsidP="0003019D">
      <w:pPr>
        <w:rPr>
          <w:rFonts w:asciiTheme="minorHAnsi" w:hAnsiTheme="minorHAnsi" w:cstheme="minorHAnsi"/>
          <w:color w:val="000000"/>
          <w:sz w:val="22"/>
          <w:szCs w:val="22"/>
          <w:lang w:val="fr-CA"/>
        </w:rPr>
      </w:pPr>
      <w:r w:rsidRPr="00157A11">
        <w:rPr>
          <w:rFonts w:asciiTheme="minorHAnsi" w:hAnsiTheme="minorHAnsi" w:cstheme="minorHAnsi"/>
          <w:color w:val="000000"/>
          <w:sz w:val="22"/>
          <w:szCs w:val="22"/>
          <w:lang w:val="fr-CA"/>
        </w:rPr>
        <w:t xml:space="preserve">En 2018-2019, le ministère des FEG a mené 18 processus annoncés et 28 processus non annoncés. Au total, 205 activités de dotation en personnel ont été réalisées : </w:t>
      </w:r>
    </w:p>
    <w:p w14:paraId="0A848A33" w14:textId="77777777" w:rsidR="0003019D" w:rsidRPr="00157A11" w:rsidRDefault="0003019D" w:rsidP="0003019D">
      <w:pPr>
        <w:numPr>
          <w:ilvl w:val="0"/>
          <w:numId w:val="5"/>
        </w:numPr>
        <w:rPr>
          <w:rFonts w:asciiTheme="minorHAnsi" w:hAnsiTheme="minorHAnsi" w:cstheme="minorHAnsi"/>
          <w:color w:val="000000"/>
          <w:sz w:val="22"/>
          <w:szCs w:val="22"/>
          <w:lang w:val="fr-CA"/>
        </w:rPr>
      </w:pPr>
      <w:r w:rsidRPr="00157A11">
        <w:rPr>
          <w:rFonts w:asciiTheme="minorHAnsi" w:hAnsiTheme="minorHAnsi" w:cstheme="minorHAnsi"/>
          <w:color w:val="000000"/>
          <w:sz w:val="22"/>
          <w:szCs w:val="22"/>
          <w:lang w:val="fr-CA"/>
        </w:rPr>
        <w:t xml:space="preserve">21 nominations à la fonction publique; </w:t>
      </w:r>
    </w:p>
    <w:p w14:paraId="19B671B0" w14:textId="77777777" w:rsidR="0003019D" w:rsidRPr="00157A11" w:rsidRDefault="0003019D" w:rsidP="0003019D">
      <w:pPr>
        <w:numPr>
          <w:ilvl w:val="0"/>
          <w:numId w:val="5"/>
        </w:numPr>
        <w:rPr>
          <w:rFonts w:asciiTheme="minorHAnsi" w:hAnsiTheme="minorHAnsi" w:cstheme="minorHAnsi"/>
          <w:color w:val="000000"/>
          <w:sz w:val="22"/>
          <w:szCs w:val="22"/>
          <w:lang w:val="fr-CA"/>
        </w:rPr>
      </w:pPr>
      <w:r w:rsidRPr="00157A11">
        <w:rPr>
          <w:rFonts w:asciiTheme="minorHAnsi" w:hAnsiTheme="minorHAnsi" w:cstheme="minorHAnsi"/>
          <w:color w:val="000000"/>
          <w:sz w:val="22"/>
          <w:szCs w:val="22"/>
          <w:lang w:val="fr-CA"/>
        </w:rPr>
        <w:t>25 promotions;</w:t>
      </w:r>
    </w:p>
    <w:p w14:paraId="07343865" w14:textId="77777777" w:rsidR="0003019D" w:rsidRPr="00157A11" w:rsidRDefault="0003019D" w:rsidP="0003019D">
      <w:pPr>
        <w:numPr>
          <w:ilvl w:val="0"/>
          <w:numId w:val="5"/>
        </w:numPr>
        <w:rPr>
          <w:rFonts w:asciiTheme="minorHAnsi" w:hAnsiTheme="minorHAnsi" w:cstheme="minorHAnsi"/>
          <w:color w:val="000000"/>
          <w:sz w:val="22"/>
          <w:szCs w:val="22"/>
          <w:lang w:val="fr-CA"/>
        </w:rPr>
      </w:pPr>
      <w:r w:rsidRPr="00157A11">
        <w:rPr>
          <w:rFonts w:asciiTheme="minorHAnsi" w:hAnsiTheme="minorHAnsi" w:cstheme="minorHAnsi"/>
          <w:color w:val="000000"/>
          <w:sz w:val="22"/>
          <w:szCs w:val="22"/>
          <w:lang w:val="fr-CA"/>
        </w:rPr>
        <w:t>6 nominations intérimaires (à l’exclusion des nominations de moins de 4 mois);</w:t>
      </w:r>
    </w:p>
    <w:p w14:paraId="79642ACB" w14:textId="77777777" w:rsidR="0003019D" w:rsidRPr="00157A11" w:rsidRDefault="0003019D" w:rsidP="0003019D">
      <w:pPr>
        <w:numPr>
          <w:ilvl w:val="0"/>
          <w:numId w:val="5"/>
        </w:numPr>
        <w:rPr>
          <w:rFonts w:asciiTheme="minorHAnsi" w:hAnsiTheme="minorHAnsi" w:cstheme="minorHAnsi"/>
          <w:color w:val="000000"/>
          <w:sz w:val="22"/>
          <w:szCs w:val="22"/>
          <w:lang w:val="fr-CA"/>
        </w:rPr>
      </w:pPr>
      <w:r w:rsidRPr="00157A11">
        <w:rPr>
          <w:rFonts w:asciiTheme="minorHAnsi" w:hAnsiTheme="minorHAnsi" w:cstheme="minorHAnsi"/>
          <w:color w:val="000000"/>
          <w:sz w:val="22"/>
          <w:szCs w:val="22"/>
          <w:lang w:val="fr-CA"/>
        </w:rPr>
        <w:t>99 nominations à des postes occasionnels;</w:t>
      </w:r>
    </w:p>
    <w:p w14:paraId="12CA9F1E" w14:textId="77777777" w:rsidR="0003019D" w:rsidRPr="00157A11" w:rsidRDefault="0003019D" w:rsidP="0003019D">
      <w:pPr>
        <w:numPr>
          <w:ilvl w:val="0"/>
          <w:numId w:val="5"/>
        </w:numPr>
        <w:rPr>
          <w:rFonts w:asciiTheme="minorHAnsi" w:hAnsiTheme="minorHAnsi" w:cstheme="minorHAnsi"/>
          <w:color w:val="000000"/>
          <w:sz w:val="22"/>
          <w:szCs w:val="22"/>
          <w:lang w:val="fr-CA"/>
        </w:rPr>
      </w:pPr>
      <w:r w:rsidRPr="00157A11">
        <w:rPr>
          <w:rFonts w:asciiTheme="minorHAnsi" w:hAnsiTheme="minorHAnsi" w:cstheme="minorHAnsi"/>
          <w:color w:val="000000"/>
          <w:sz w:val="22"/>
          <w:szCs w:val="22"/>
          <w:lang w:val="fr-CA"/>
        </w:rPr>
        <w:t>14 nominations à des postes pour étudiants;</w:t>
      </w:r>
    </w:p>
    <w:p w14:paraId="0246EEA2" w14:textId="77777777" w:rsidR="0003019D" w:rsidRPr="00157A11" w:rsidRDefault="0003019D" w:rsidP="0086628F">
      <w:pPr>
        <w:numPr>
          <w:ilvl w:val="0"/>
          <w:numId w:val="5"/>
        </w:numPr>
        <w:spacing w:after="120"/>
        <w:rPr>
          <w:rFonts w:asciiTheme="minorHAnsi" w:hAnsiTheme="minorHAnsi" w:cstheme="minorHAnsi"/>
          <w:color w:val="000000"/>
          <w:sz w:val="22"/>
          <w:szCs w:val="22"/>
          <w:lang w:val="fr-CA"/>
        </w:rPr>
      </w:pPr>
      <w:r w:rsidRPr="00157A11">
        <w:rPr>
          <w:rFonts w:asciiTheme="minorHAnsi" w:hAnsiTheme="minorHAnsi" w:cstheme="minorHAnsi"/>
          <w:color w:val="000000"/>
          <w:sz w:val="22"/>
          <w:szCs w:val="22"/>
          <w:lang w:val="fr-CA"/>
        </w:rPr>
        <w:t>40 mutations.</w:t>
      </w:r>
    </w:p>
    <w:p w14:paraId="763D812F" w14:textId="77777777" w:rsidR="00270784" w:rsidRPr="00157A11" w:rsidRDefault="00270784" w:rsidP="00270784">
      <w:pPr>
        <w:pStyle w:val="NoSpacing"/>
        <w:spacing w:after="120"/>
        <w:rPr>
          <w:rFonts w:asciiTheme="minorHAnsi" w:hAnsiTheme="minorHAnsi" w:cstheme="minorHAnsi"/>
          <w:sz w:val="22"/>
          <w:szCs w:val="22"/>
          <w:lang w:val="fr-CA" w:eastAsia="en-CA"/>
        </w:rPr>
      </w:pPr>
      <w:r w:rsidRPr="00157A11">
        <w:rPr>
          <w:rFonts w:asciiTheme="minorHAnsi" w:hAnsiTheme="minorHAnsi" w:cstheme="minorHAnsi"/>
          <w:sz w:val="22"/>
          <w:szCs w:val="22"/>
          <w:lang w:val="fr-CA" w:eastAsia="en-CA"/>
        </w:rPr>
        <w:t xml:space="preserve">Veuillez consulter </w:t>
      </w:r>
      <w:hyperlink w:anchor="Annexe_B" w:history="1">
        <w:r w:rsidRPr="00157A11">
          <w:rPr>
            <w:rStyle w:val="Hyperlink"/>
            <w:rFonts w:asciiTheme="minorHAnsi" w:hAnsiTheme="minorHAnsi" w:cstheme="minorHAnsi"/>
            <w:sz w:val="22"/>
            <w:szCs w:val="22"/>
            <w:lang w:val="fr-CA"/>
          </w:rPr>
          <w:t>l’</w:t>
        </w:r>
        <w:r w:rsidRPr="00157A11">
          <w:rPr>
            <w:rStyle w:val="Hyperlink"/>
            <w:rFonts w:asciiTheme="minorHAnsi" w:hAnsiTheme="minorHAnsi" w:cstheme="minorHAnsi"/>
            <w:sz w:val="22"/>
            <w:szCs w:val="22"/>
            <w:lang w:val="fr-CA" w:eastAsia="en-CA"/>
          </w:rPr>
          <w:t>annexe B</w:t>
        </w:r>
      </w:hyperlink>
      <w:r w:rsidRPr="00157A11">
        <w:rPr>
          <w:rFonts w:asciiTheme="minorHAnsi" w:hAnsiTheme="minorHAnsi" w:cstheme="minorHAnsi"/>
          <w:sz w:val="22"/>
          <w:szCs w:val="22"/>
          <w:lang w:val="fr-CA" w:eastAsia="en-CA"/>
        </w:rPr>
        <w:t xml:space="preserve"> pour obtenir plus de détails sur les activités de dotation.</w:t>
      </w:r>
    </w:p>
    <w:p w14:paraId="3091DB18" w14:textId="77777777" w:rsidR="0003019D" w:rsidRPr="00157A11" w:rsidRDefault="0003019D" w:rsidP="00270784">
      <w:pPr>
        <w:spacing w:after="120"/>
        <w:rPr>
          <w:rFonts w:asciiTheme="minorHAnsi" w:hAnsiTheme="minorHAnsi" w:cstheme="minorHAnsi"/>
          <w:color w:val="000000"/>
          <w:sz w:val="22"/>
          <w:szCs w:val="22"/>
          <w:lang w:val="fr-CA"/>
        </w:rPr>
      </w:pPr>
      <w:r w:rsidRPr="00157A11">
        <w:rPr>
          <w:rFonts w:asciiTheme="minorHAnsi" w:hAnsiTheme="minorHAnsi" w:cstheme="minorHAnsi"/>
          <w:color w:val="000000"/>
          <w:sz w:val="22"/>
          <w:szCs w:val="22"/>
          <w:lang w:val="fr-CA"/>
        </w:rPr>
        <w:t>Tel que mentionné ci-haut, les données de la CFP peuvent différer avec celle de l’organisation. Dans ce cas-ci, le ministère des FEG indique qu’elle a mené 12 processus annoncés.</w:t>
      </w:r>
    </w:p>
    <w:p w14:paraId="668EEB3A" w14:textId="77777777" w:rsidR="0003019D" w:rsidRPr="00157A11" w:rsidRDefault="00B365E1" w:rsidP="00270784">
      <w:pPr>
        <w:pStyle w:val="Heading1"/>
        <w:spacing w:after="120"/>
        <w:rPr>
          <w:lang w:val="fr-CA"/>
        </w:rPr>
      </w:pPr>
      <w:r w:rsidRPr="00157A11">
        <w:rPr>
          <w:lang w:val="fr-CA"/>
        </w:rPr>
        <w:t>D</w:t>
      </w:r>
      <w:r w:rsidR="0003019D" w:rsidRPr="00157A11">
        <w:rPr>
          <w:lang w:val="fr-CA"/>
        </w:rPr>
        <w:t>urée des processus de dotation</w:t>
      </w:r>
    </w:p>
    <w:p w14:paraId="13E3032A" w14:textId="77777777" w:rsidR="0003019D" w:rsidRPr="00157A11" w:rsidRDefault="0003019D" w:rsidP="00270784">
      <w:pPr>
        <w:pStyle w:val="NoSpacing"/>
        <w:spacing w:after="120"/>
        <w:rPr>
          <w:rFonts w:asciiTheme="minorHAnsi" w:hAnsiTheme="minorHAnsi" w:cstheme="minorHAnsi"/>
          <w:sz w:val="22"/>
          <w:szCs w:val="22"/>
          <w:lang w:val="fr-CA" w:eastAsia="en-CA"/>
        </w:rPr>
      </w:pPr>
      <w:r w:rsidRPr="00157A11">
        <w:rPr>
          <w:rFonts w:asciiTheme="minorHAnsi" w:hAnsiTheme="minorHAnsi" w:cstheme="minorHAnsi"/>
          <w:sz w:val="22"/>
          <w:szCs w:val="22"/>
          <w:lang w:val="fr-CA" w:eastAsia="en-CA"/>
        </w:rPr>
        <w:t>Les données sont insuffisantes pour fournir des résultats sur la durée des processus de dotation internes ou externes pour le ministère des FEG.</w:t>
      </w:r>
    </w:p>
    <w:p w14:paraId="06FD15BD" w14:textId="77777777" w:rsidR="0003019D" w:rsidRPr="00157A11" w:rsidRDefault="00B365E1" w:rsidP="00270784">
      <w:pPr>
        <w:pStyle w:val="Heading1"/>
        <w:spacing w:after="120"/>
        <w:rPr>
          <w:lang w:val="fr-CA"/>
        </w:rPr>
      </w:pPr>
      <w:r w:rsidRPr="00157A11">
        <w:rPr>
          <w:lang w:val="fr-CA"/>
        </w:rPr>
        <w:lastRenderedPageBreak/>
        <w:t>Cadre de dotation</w:t>
      </w:r>
    </w:p>
    <w:p w14:paraId="36379EF8" w14:textId="6C571BA7" w:rsidR="0003019D" w:rsidRPr="00157A11" w:rsidRDefault="0003019D" w:rsidP="00B365E1">
      <w:pPr>
        <w:pStyle w:val="Heading2"/>
        <w:spacing w:after="120"/>
        <w:rPr>
          <w:lang w:val="fr-CA"/>
        </w:rPr>
      </w:pPr>
      <w:r w:rsidRPr="00157A11">
        <w:rPr>
          <w:lang w:val="fr-CA"/>
        </w:rPr>
        <w:t>Mise en œuvre de la Nouvelle orientation en dotation</w:t>
      </w:r>
      <w:r w:rsidR="00AA6DB1">
        <w:rPr>
          <w:lang w:val="fr-CA"/>
        </w:rPr>
        <w:t xml:space="preserve"> (NOD)</w:t>
      </w:r>
      <w:r w:rsidRPr="00157A11">
        <w:rPr>
          <w:lang w:val="fr-CA"/>
        </w:rPr>
        <w:t xml:space="preserve"> </w:t>
      </w:r>
    </w:p>
    <w:p w14:paraId="0EDA697D" w14:textId="77777777" w:rsidR="0003019D" w:rsidRPr="00157A11" w:rsidRDefault="0003019D" w:rsidP="00270784">
      <w:pPr>
        <w:keepNext/>
        <w:spacing w:after="120"/>
        <w:rPr>
          <w:rFonts w:asciiTheme="minorHAnsi" w:hAnsiTheme="minorHAnsi" w:cstheme="minorHAnsi"/>
          <w:iCs/>
          <w:sz w:val="22"/>
          <w:szCs w:val="22"/>
          <w:lang w:val="fr-CA"/>
        </w:rPr>
      </w:pPr>
      <w:r w:rsidRPr="00157A11">
        <w:rPr>
          <w:rFonts w:asciiTheme="minorHAnsi" w:hAnsiTheme="minorHAnsi" w:cstheme="minorHAnsi"/>
          <w:iCs/>
          <w:sz w:val="22"/>
          <w:szCs w:val="22"/>
          <w:lang w:val="fr-CA"/>
        </w:rPr>
        <w:t xml:space="preserve">L’ancien organisme (Condition féminine Canada) a mis en œuvre la </w:t>
      </w:r>
      <w:r w:rsidRPr="00157A11">
        <w:rPr>
          <w:rFonts w:asciiTheme="minorHAnsi" w:hAnsiTheme="minorHAnsi" w:cstheme="minorHAnsi"/>
          <w:sz w:val="22"/>
          <w:szCs w:val="22"/>
          <w:lang w:val="fr-CA"/>
        </w:rPr>
        <w:t>NOD</w:t>
      </w:r>
      <w:r w:rsidRPr="00157A11">
        <w:rPr>
          <w:rFonts w:asciiTheme="minorHAnsi" w:hAnsiTheme="minorHAnsi" w:cstheme="minorHAnsi"/>
          <w:iCs/>
          <w:sz w:val="22"/>
          <w:szCs w:val="22"/>
          <w:lang w:val="fr-CA"/>
        </w:rPr>
        <w:t>. Toutefois, avec la création du ministère des FEG, toutes les poli</w:t>
      </w:r>
      <w:r w:rsidR="002524A4">
        <w:rPr>
          <w:rFonts w:asciiTheme="minorHAnsi" w:hAnsiTheme="minorHAnsi" w:cstheme="minorHAnsi"/>
          <w:iCs/>
          <w:sz w:val="22"/>
          <w:szCs w:val="22"/>
          <w:lang w:val="fr-CA"/>
        </w:rPr>
        <w:t>tiques de dotation ainsi que l’I</w:t>
      </w:r>
      <w:r w:rsidRPr="00157A11">
        <w:rPr>
          <w:rFonts w:asciiTheme="minorHAnsi" w:hAnsiTheme="minorHAnsi" w:cstheme="minorHAnsi"/>
          <w:iCs/>
          <w:sz w:val="22"/>
          <w:szCs w:val="22"/>
          <w:lang w:val="fr-CA"/>
        </w:rPr>
        <w:t xml:space="preserve">nstrument de subdélégation font actuellement l’objet d’une révision. En juillet 2019, l’organisation comptait 11 gestionnaires subdélégués qui avaient tous signé le formulaire d’attestation. </w:t>
      </w:r>
    </w:p>
    <w:p w14:paraId="6C0D8845" w14:textId="77777777" w:rsidR="0003019D" w:rsidRPr="00157A11" w:rsidRDefault="0003019D" w:rsidP="00270784">
      <w:pPr>
        <w:spacing w:after="120"/>
        <w:rPr>
          <w:rFonts w:asciiTheme="minorHAnsi" w:hAnsiTheme="minorHAnsi" w:cstheme="minorHAnsi"/>
          <w:iCs/>
          <w:sz w:val="22"/>
          <w:szCs w:val="22"/>
          <w:lang w:val="fr-CA"/>
        </w:rPr>
      </w:pPr>
      <w:r w:rsidRPr="00157A11">
        <w:rPr>
          <w:rFonts w:asciiTheme="minorHAnsi" w:hAnsiTheme="minorHAnsi" w:cstheme="minorHAnsi"/>
          <w:iCs/>
          <w:sz w:val="22"/>
          <w:szCs w:val="22"/>
          <w:lang w:val="fr-CA"/>
        </w:rPr>
        <w:t>Le cadre de surveillance de la dotation fait également l’objet d’un examen pour tenir compte des changements organisationnels. Des consultations sont en cours avec d’autres ministères et la Commission de la fonction publique (CFP) afin d’adopter les meilleures pratiques de dotation qui répondront aux besoins et à la réalité de cette nouvelle organis</w:t>
      </w:r>
      <w:r w:rsidR="00B365E1" w:rsidRPr="00157A11">
        <w:rPr>
          <w:rFonts w:asciiTheme="minorHAnsi" w:hAnsiTheme="minorHAnsi" w:cstheme="minorHAnsi"/>
          <w:iCs/>
          <w:sz w:val="22"/>
          <w:szCs w:val="22"/>
          <w:lang w:val="fr-CA"/>
        </w:rPr>
        <w:t>ation.</w:t>
      </w:r>
    </w:p>
    <w:p w14:paraId="5E31B12E" w14:textId="77777777" w:rsidR="0003019D" w:rsidRPr="00157A11" w:rsidRDefault="00B365E1" w:rsidP="00270784">
      <w:pPr>
        <w:pStyle w:val="Heading1"/>
        <w:spacing w:after="120"/>
        <w:rPr>
          <w:lang w:val="fr-CA"/>
        </w:rPr>
      </w:pPr>
      <w:r w:rsidRPr="00157A11">
        <w:rPr>
          <w:lang w:val="fr-CA"/>
        </w:rPr>
        <w:t>Rappo</w:t>
      </w:r>
      <w:r w:rsidR="002524A4">
        <w:rPr>
          <w:lang w:val="fr-CA"/>
        </w:rPr>
        <w:t>rts prévus par l’annexe D de l’I</w:t>
      </w:r>
      <w:r w:rsidRPr="00157A11">
        <w:rPr>
          <w:lang w:val="fr-CA"/>
        </w:rPr>
        <w:t>nstrument de délégation et de responsabilisation en matière de nomination</w:t>
      </w:r>
    </w:p>
    <w:p w14:paraId="33672421" w14:textId="77777777" w:rsidR="0003019D" w:rsidRPr="00157A11" w:rsidRDefault="0003019D" w:rsidP="00B365E1">
      <w:pPr>
        <w:pStyle w:val="Heading2"/>
        <w:spacing w:after="120"/>
        <w:rPr>
          <w:lang w:val="fr-CA"/>
        </w:rPr>
      </w:pPr>
      <w:r w:rsidRPr="00157A11">
        <w:rPr>
          <w:lang w:val="fr-CA"/>
        </w:rPr>
        <w:t xml:space="preserve">Recours au </w:t>
      </w:r>
      <w:r w:rsidRPr="00DF2783">
        <w:rPr>
          <w:rStyle w:val="Emphasis"/>
          <w:lang w:val="fr-CA"/>
        </w:rPr>
        <w:t>Décret d’exemption concernant les langues officielles dans la fonction publique</w:t>
      </w:r>
      <w:r w:rsidRPr="00157A11">
        <w:rPr>
          <w:lang w:val="fr-CA"/>
        </w:rPr>
        <w:t xml:space="preserve"> et au </w:t>
      </w:r>
      <w:r w:rsidRPr="00DF2783">
        <w:rPr>
          <w:rStyle w:val="Emphasis"/>
          <w:lang w:val="fr-CA"/>
        </w:rPr>
        <w:t>Règlement sur les langues officielles – nominations dans la fonction publique</w:t>
      </w:r>
      <w:r w:rsidRPr="00157A11">
        <w:rPr>
          <w:lang w:val="fr-CA"/>
        </w:rPr>
        <w:t xml:space="preserve"> </w:t>
      </w:r>
    </w:p>
    <w:p w14:paraId="16E1C77A" w14:textId="77777777" w:rsidR="0003019D" w:rsidRPr="00157A11" w:rsidRDefault="0003019D" w:rsidP="00270784">
      <w:pPr>
        <w:pStyle w:val="NormalWeb"/>
        <w:spacing w:before="0" w:beforeAutospacing="0" w:after="120" w:afterAutospacing="0"/>
        <w:rPr>
          <w:rFonts w:asciiTheme="minorHAnsi" w:hAnsiTheme="minorHAnsi" w:cstheme="minorHAnsi"/>
          <w:color w:val="000000"/>
          <w:sz w:val="22"/>
          <w:szCs w:val="22"/>
          <w:lang w:val="fr-CA"/>
        </w:rPr>
      </w:pPr>
      <w:r w:rsidRPr="00157A11">
        <w:rPr>
          <w:rFonts w:asciiTheme="minorHAnsi" w:hAnsiTheme="minorHAnsi" w:cstheme="minorHAnsi"/>
          <w:color w:val="000000"/>
          <w:sz w:val="22"/>
          <w:szCs w:val="22"/>
          <w:lang w:val="fr-CA"/>
        </w:rPr>
        <w:t>Le ministère des FEG gérait un cas où une personne est exemptée de satisfaire le profil linguistique de son poste bilingue. La raison de l’exemption était l’admissibilité à une pension immédiate dans les deux ans suivant la nomination non impérative. La personne a présenté une démission irrévocable et la date de départ était le 4 septembre 2019. Par conséquent, aucun suivi n’est requis par la CFP</w:t>
      </w:r>
      <w:r w:rsidR="00B365E1" w:rsidRPr="00157A11">
        <w:rPr>
          <w:rFonts w:asciiTheme="minorHAnsi" w:hAnsiTheme="minorHAnsi" w:cstheme="minorHAnsi"/>
          <w:color w:val="000000"/>
          <w:sz w:val="22"/>
          <w:szCs w:val="22"/>
          <w:lang w:val="fr-CA"/>
        </w:rPr>
        <w:t>.</w:t>
      </w:r>
    </w:p>
    <w:p w14:paraId="6EAE63B7" w14:textId="77777777" w:rsidR="0003019D" w:rsidRPr="00157A11" w:rsidRDefault="0003019D" w:rsidP="00B365E1">
      <w:pPr>
        <w:pStyle w:val="Heading2"/>
        <w:spacing w:after="120"/>
        <w:rPr>
          <w:lang w:val="fr-CA"/>
        </w:rPr>
      </w:pPr>
      <w:r w:rsidRPr="00157A11">
        <w:rPr>
          <w:lang w:val="fr-CA"/>
        </w:rPr>
        <w:t>Exceptions approuvées par l’Administrateur général aux exigences de la zone nationale de sélection pour un processus de nomination externe annoncé</w:t>
      </w:r>
    </w:p>
    <w:p w14:paraId="33345FDD" w14:textId="22AF92D8" w:rsidR="0003019D" w:rsidRPr="00157A11" w:rsidRDefault="0003019D" w:rsidP="00270784">
      <w:pPr>
        <w:pStyle w:val="NoSpacing"/>
        <w:spacing w:after="120"/>
        <w:rPr>
          <w:rFonts w:asciiTheme="minorHAnsi" w:hAnsiTheme="minorHAnsi" w:cstheme="minorHAnsi"/>
          <w:color w:val="222222"/>
          <w:sz w:val="22"/>
          <w:szCs w:val="22"/>
          <w:lang w:val="fr-CA"/>
        </w:rPr>
      </w:pPr>
      <w:r w:rsidRPr="00157A11">
        <w:rPr>
          <w:rFonts w:asciiTheme="minorHAnsi" w:hAnsiTheme="minorHAnsi" w:cstheme="minorHAnsi"/>
          <w:color w:val="000000"/>
          <w:sz w:val="22"/>
          <w:szCs w:val="22"/>
          <w:lang w:val="fr-CA"/>
        </w:rPr>
        <w:t>Selon le dernier rapport de l’annexe D (pour le cycle 2018-2019), aucune exception pour l’utilisation de la zone nationale de sélection dans le cadre d</w:t>
      </w:r>
      <w:r w:rsidR="00AA6DB1">
        <w:rPr>
          <w:rFonts w:asciiTheme="minorHAnsi" w:hAnsiTheme="minorHAnsi" w:cstheme="minorHAnsi"/>
          <w:color w:val="000000"/>
          <w:sz w:val="22"/>
          <w:szCs w:val="22"/>
          <w:lang w:val="fr-CA"/>
        </w:rPr>
        <w:t>e</w:t>
      </w:r>
      <w:r w:rsidRPr="00157A11">
        <w:rPr>
          <w:rFonts w:asciiTheme="minorHAnsi" w:hAnsiTheme="minorHAnsi" w:cstheme="minorHAnsi"/>
          <w:color w:val="000000"/>
          <w:sz w:val="22"/>
          <w:szCs w:val="22"/>
          <w:lang w:val="fr-CA"/>
        </w:rPr>
        <w:t xml:space="preserve"> processus externe</w:t>
      </w:r>
      <w:r w:rsidR="00AA6DB1">
        <w:rPr>
          <w:rFonts w:asciiTheme="minorHAnsi" w:hAnsiTheme="minorHAnsi" w:cstheme="minorHAnsi"/>
          <w:color w:val="000000"/>
          <w:sz w:val="22"/>
          <w:szCs w:val="22"/>
          <w:lang w:val="fr-CA"/>
        </w:rPr>
        <w:t>s</w:t>
      </w:r>
      <w:r w:rsidRPr="00157A11">
        <w:rPr>
          <w:rFonts w:asciiTheme="minorHAnsi" w:hAnsiTheme="minorHAnsi" w:cstheme="minorHAnsi"/>
          <w:color w:val="000000"/>
          <w:sz w:val="22"/>
          <w:szCs w:val="22"/>
          <w:lang w:val="fr-CA"/>
        </w:rPr>
        <w:t xml:space="preserve"> annoncé</w:t>
      </w:r>
      <w:r w:rsidR="00AA6DB1">
        <w:rPr>
          <w:rFonts w:asciiTheme="minorHAnsi" w:hAnsiTheme="minorHAnsi" w:cstheme="minorHAnsi"/>
          <w:color w:val="000000"/>
          <w:sz w:val="22"/>
          <w:szCs w:val="22"/>
          <w:lang w:val="fr-CA"/>
        </w:rPr>
        <w:t>s</w:t>
      </w:r>
      <w:r w:rsidRPr="00157A11">
        <w:rPr>
          <w:rFonts w:asciiTheme="minorHAnsi" w:hAnsiTheme="minorHAnsi" w:cstheme="minorHAnsi"/>
          <w:color w:val="000000"/>
          <w:sz w:val="22"/>
          <w:szCs w:val="22"/>
          <w:lang w:val="fr-CA"/>
        </w:rPr>
        <w:t xml:space="preserve"> n’a été approuvée par l’AG.</w:t>
      </w:r>
    </w:p>
    <w:p w14:paraId="7B4E68D7" w14:textId="77777777" w:rsidR="0003019D" w:rsidRPr="00157A11" w:rsidRDefault="0003019D" w:rsidP="00B365E1">
      <w:pPr>
        <w:pStyle w:val="Heading2"/>
        <w:spacing w:after="120"/>
        <w:rPr>
          <w:lang w:val="fr-CA"/>
        </w:rPr>
      </w:pPr>
      <w:r w:rsidRPr="00157A11">
        <w:rPr>
          <w:lang w:val="fr-CA"/>
        </w:rPr>
        <w:t>Résultats de l’évaluation cyclique de l’organisation</w:t>
      </w:r>
    </w:p>
    <w:p w14:paraId="0A18EBDB" w14:textId="77777777" w:rsidR="0003019D" w:rsidRPr="00157A11" w:rsidRDefault="0003019D" w:rsidP="00270784">
      <w:pPr>
        <w:pStyle w:val="NoSpacing"/>
        <w:spacing w:after="120"/>
        <w:rPr>
          <w:rFonts w:asciiTheme="minorHAnsi" w:hAnsiTheme="minorHAnsi" w:cstheme="minorHAnsi"/>
          <w:i/>
          <w:color w:val="000000"/>
          <w:sz w:val="22"/>
          <w:szCs w:val="22"/>
          <w:lang w:val="fr-CA"/>
        </w:rPr>
      </w:pPr>
      <w:r w:rsidRPr="00157A11">
        <w:rPr>
          <w:rFonts w:asciiTheme="minorHAnsi" w:hAnsiTheme="minorHAnsi" w:cstheme="minorHAnsi"/>
          <w:color w:val="000000"/>
          <w:sz w:val="22"/>
          <w:szCs w:val="22"/>
          <w:lang w:val="fr-CA"/>
        </w:rPr>
        <w:t>Jusqu’à présent, le ministère des FEG n’a pas fait rapport sur l’évaluation cyclique. Toutefois, l’organisation a jusqu’au</w:t>
      </w:r>
      <w:r w:rsidRPr="00157A11">
        <w:rPr>
          <w:rFonts w:asciiTheme="minorHAnsi" w:hAnsiTheme="minorHAnsi" w:cstheme="minorHAnsi"/>
          <w:sz w:val="22"/>
          <w:szCs w:val="22"/>
          <w:lang w:val="fr-CA"/>
        </w:rPr>
        <w:t xml:space="preserve"> 31 mars 2021 pour terminer cette évaluation. L’organisation a choisi de ne pas participer au projet pilote de la CFP pour les petites et micro-organisations pour le moment. Le conseiller au soutien en dotation de la CFP affecté à cette organisation demeure disponible pour fournir des conseils </w:t>
      </w:r>
      <w:r w:rsidR="00B365E1" w:rsidRPr="00157A11">
        <w:rPr>
          <w:rFonts w:asciiTheme="minorHAnsi" w:hAnsiTheme="minorHAnsi" w:cstheme="minorHAnsi"/>
          <w:sz w:val="22"/>
          <w:szCs w:val="22"/>
          <w:lang w:val="fr-CA"/>
        </w:rPr>
        <w:t>et une orientation à ce sujet.</w:t>
      </w:r>
    </w:p>
    <w:p w14:paraId="791CEBD3" w14:textId="77777777" w:rsidR="0003019D" w:rsidRPr="00157A11" w:rsidRDefault="0003019D" w:rsidP="00B365E1">
      <w:pPr>
        <w:pStyle w:val="Heading2"/>
        <w:spacing w:after="120"/>
        <w:rPr>
          <w:lang w:val="fr-CA"/>
        </w:rPr>
      </w:pPr>
      <w:r w:rsidRPr="00157A11">
        <w:rPr>
          <w:lang w:val="fr-CA"/>
        </w:rPr>
        <w:lastRenderedPageBreak/>
        <w:t>Demandes de renseignements et tendances</w:t>
      </w:r>
    </w:p>
    <w:p w14:paraId="658FF17D" w14:textId="77777777" w:rsidR="0003019D" w:rsidRPr="00157A11" w:rsidRDefault="0003019D" w:rsidP="00270784">
      <w:pPr>
        <w:pStyle w:val="NoSpacing"/>
        <w:keepNext/>
        <w:spacing w:after="120"/>
        <w:rPr>
          <w:rFonts w:asciiTheme="minorHAnsi" w:hAnsiTheme="minorHAnsi" w:cstheme="minorHAnsi"/>
          <w:color w:val="000000"/>
          <w:sz w:val="22"/>
          <w:szCs w:val="22"/>
          <w:lang w:val="fr-CA"/>
        </w:rPr>
      </w:pPr>
      <w:r w:rsidRPr="00157A11">
        <w:rPr>
          <w:rFonts w:asciiTheme="minorHAnsi" w:hAnsiTheme="minorHAnsi" w:cstheme="minorHAnsi"/>
          <w:color w:val="000000"/>
          <w:sz w:val="22"/>
          <w:szCs w:val="22"/>
          <w:lang w:val="fr-CA"/>
        </w:rPr>
        <w:t xml:space="preserve">La majorité des demandes de renseignements adressées par le ministère des FEG au </w:t>
      </w:r>
      <w:r w:rsidRPr="00157A11">
        <w:rPr>
          <w:rFonts w:asciiTheme="minorHAnsi" w:hAnsiTheme="minorHAnsi" w:cstheme="minorHAnsi"/>
          <w:sz w:val="22"/>
          <w:szCs w:val="22"/>
          <w:lang w:val="fr-CA"/>
        </w:rPr>
        <w:t xml:space="preserve">conseiller au soutien en dotation </w:t>
      </w:r>
      <w:r w:rsidRPr="00157A11">
        <w:rPr>
          <w:rFonts w:asciiTheme="minorHAnsi" w:hAnsiTheme="minorHAnsi" w:cstheme="minorHAnsi"/>
          <w:color w:val="000000"/>
          <w:sz w:val="22"/>
          <w:szCs w:val="22"/>
          <w:lang w:val="fr-CA"/>
        </w:rPr>
        <w:t xml:space="preserve">de la CFP au cours de la dernière année concernaient la </w:t>
      </w:r>
      <w:r w:rsidRPr="00DF2783">
        <w:rPr>
          <w:rStyle w:val="Emphasis"/>
          <w:rFonts w:asciiTheme="minorHAnsi" w:hAnsiTheme="minorHAnsi" w:cstheme="minorHAnsi"/>
          <w:sz w:val="22"/>
          <w:lang w:val="fr-CA"/>
        </w:rPr>
        <w:t xml:space="preserve">Loi sur l’emploi dans la fonction publique </w:t>
      </w:r>
      <w:r w:rsidRPr="00157A11">
        <w:rPr>
          <w:rFonts w:asciiTheme="minorHAnsi" w:hAnsiTheme="minorHAnsi" w:cstheme="minorHAnsi"/>
          <w:color w:val="000000"/>
          <w:sz w:val="22"/>
          <w:szCs w:val="22"/>
          <w:lang w:val="fr-CA"/>
        </w:rPr>
        <w:t>(LEFP). D’autres questions portaient sur les nominations intérimaires, les langues officielles, la zone de sélect</w:t>
      </w:r>
      <w:r w:rsidR="00B365E1" w:rsidRPr="00157A11">
        <w:rPr>
          <w:rFonts w:asciiTheme="minorHAnsi" w:hAnsiTheme="minorHAnsi" w:cstheme="minorHAnsi"/>
          <w:color w:val="000000"/>
          <w:sz w:val="22"/>
          <w:szCs w:val="22"/>
          <w:lang w:val="fr-CA"/>
        </w:rPr>
        <w:t>ion et la gestion des bassins</w:t>
      </w:r>
      <w:r w:rsidR="005F4892" w:rsidRPr="00157A11">
        <w:rPr>
          <w:rFonts w:asciiTheme="minorHAnsi" w:hAnsiTheme="minorHAnsi" w:cstheme="minorHAnsi"/>
          <w:color w:val="000000"/>
          <w:sz w:val="22"/>
          <w:szCs w:val="22"/>
          <w:lang w:val="fr-CA"/>
        </w:rPr>
        <w:t xml:space="preserve"> de candidats qualifiés</w:t>
      </w:r>
      <w:r w:rsidR="00B365E1" w:rsidRPr="00157A11">
        <w:rPr>
          <w:rFonts w:asciiTheme="minorHAnsi" w:hAnsiTheme="minorHAnsi" w:cstheme="minorHAnsi"/>
          <w:color w:val="000000"/>
          <w:sz w:val="22"/>
          <w:szCs w:val="22"/>
          <w:lang w:val="fr-CA"/>
        </w:rPr>
        <w:t>.</w:t>
      </w:r>
    </w:p>
    <w:p w14:paraId="5E3041B8" w14:textId="77777777" w:rsidR="0003019D" w:rsidRPr="00157A11" w:rsidRDefault="00B365E1" w:rsidP="00270784">
      <w:pPr>
        <w:pStyle w:val="Heading1"/>
        <w:spacing w:after="120"/>
        <w:rPr>
          <w:lang w:val="fr-CA"/>
        </w:rPr>
      </w:pPr>
      <w:r w:rsidRPr="00157A11">
        <w:rPr>
          <w:lang w:val="fr-CA"/>
        </w:rPr>
        <w:t>Surveillance</w:t>
      </w:r>
    </w:p>
    <w:p w14:paraId="7C560C9A" w14:textId="77777777" w:rsidR="0003019D" w:rsidRPr="00157A11" w:rsidRDefault="0003019D" w:rsidP="00B365E1">
      <w:pPr>
        <w:pStyle w:val="Heading2"/>
        <w:spacing w:after="120"/>
        <w:rPr>
          <w:u w:val="single"/>
          <w:lang w:val="fr-CA"/>
        </w:rPr>
      </w:pPr>
      <w:r w:rsidRPr="00157A11">
        <w:rPr>
          <w:lang w:val="fr-CA"/>
        </w:rPr>
        <w:t xml:space="preserve">Vérifications </w:t>
      </w:r>
    </w:p>
    <w:p w14:paraId="0C2E6B35" w14:textId="77777777" w:rsidR="0003019D" w:rsidRPr="00157A11" w:rsidRDefault="0003019D" w:rsidP="00270784">
      <w:pPr>
        <w:spacing w:after="120"/>
        <w:rPr>
          <w:rFonts w:ascii="Segoe UI Semilight" w:hAnsi="Segoe UI Semilight" w:cs="Segoe UI Semilight"/>
          <w:sz w:val="22"/>
          <w:szCs w:val="22"/>
          <w:lang w:val="fr-CA"/>
        </w:rPr>
      </w:pPr>
      <w:r w:rsidRPr="00157A11">
        <w:rPr>
          <w:rFonts w:ascii="Segoe UI Semilight" w:hAnsi="Segoe UI Semilight" w:cs="Segoe UI Semilight"/>
          <w:sz w:val="22"/>
          <w:szCs w:val="22"/>
          <w:lang w:val="fr-CA"/>
        </w:rPr>
        <w:t>En 2014-2015, dans le cadre d’une série de vérifications de petites et de micro-organisations, la CFP a effectué une vérification du ministère des FEG. La vérification a mis l’accent sur les secteurs de risque couramment signalés pour les organisations de cette taille, comme la subdélégation et le mérite. La vérification a permis de conclure, entre autres choses, que les pouvoirs de nomination étaient gérés correctement, et les nominations étaient fondées sur le mérite et se faisaient dans le respect des droits de priorité. Aucune recommandation n’a été formulée.</w:t>
      </w:r>
    </w:p>
    <w:p w14:paraId="6BD37C16" w14:textId="77777777" w:rsidR="0003019D" w:rsidRPr="00157A11" w:rsidRDefault="0003019D" w:rsidP="00270784">
      <w:pPr>
        <w:spacing w:after="120"/>
        <w:rPr>
          <w:rFonts w:ascii="Segoe UI Semilight" w:hAnsi="Segoe UI Semilight" w:cs="Segoe UI Semilight"/>
          <w:sz w:val="22"/>
          <w:szCs w:val="22"/>
          <w:lang w:val="fr-CA"/>
        </w:rPr>
      </w:pPr>
      <w:r w:rsidRPr="00157A11">
        <w:rPr>
          <w:rFonts w:ascii="Segoe UI Semilight" w:hAnsi="Segoe UI Semilight" w:cs="Segoe UI Semilight"/>
          <w:sz w:val="22"/>
          <w:szCs w:val="22"/>
          <w:lang w:val="fr-CA"/>
        </w:rPr>
        <w:t>Le ministère des FEG a été sélectionné pour faire partie de la vérification horizontale de l’embauche d’étudiants dans le cadre du Programme fédéral d’expérience de travail étudiant (PFETE).</w:t>
      </w:r>
    </w:p>
    <w:p w14:paraId="2B4C3BCC" w14:textId="77777777" w:rsidR="0003019D" w:rsidRPr="00157A11" w:rsidRDefault="0003019D" w:rsidP="00B365E1">
      <w:pPr>
        <w:pStyle w:val="Heading2"/>
        <w:spacing w:after="120"/>
        <w:rPr>
          <w:u w:val="single"/>
          <w:lang w:val="fr-CA"/>
        </w:rPr>
      </w:pPr>
      <w:r w:rsidRPr="00157A11">
        <w:rPr>
          <w:lang w:val="fr-CA"/>
        </w:rPr>
        <w:t>Enquêtes</w:t>
      </w:r>
    </w:p>
    <w:p w14:paraId="269ED8DA" w14:textId="77777777" w:rsidR="0003019D" w:rsidRPr="00157A11" w:rsidRDefault="0003019D" w:rsidP="00270784">
      <w:pPr>
        <w:pStyle w:val="NoSpacing"/>
        <w:spacing w:after="120"/>
        <w:rPr>
          <w:rFonts w:asciiTheme="minorHAnsi" w:hAnsiTheme="minorHAnsi" w:cstheme="minorHAnsi"/>
          <w:color w:val="000000"/>
          <w:sz w:val="22"/>
          <w:szCs w:val="22"/>
          <w:lang w:val="fr-CA"/>
        </w:rPr>
      </w:pPr>
      <w:r w:rsidRPr="00157A11">
        <w:rPr>
          <w:rFonts w:asciiTheme="minorHAnsi" w:hAnsiTheme="minorHAnsi" w:cstheme="minorHAnsi"/>
          <w:color w:val="000000"/>
          <w:sz w:val="22"/>
          <w:szCs w:val="22"/>
          <w:lang w:val="fr-CA"/>
        </w:rPr>
        <w:t>Aucune enquête à déclarer concernant le ministère des FEG.</w:t>
      </w:r>
    </w:p>
    <w:p w14:paraId="36F1F192" w14:textId="77777777" w:rsidR="0003019D" w:rsidRPr="00157A11" w:rsidRDefault="0003019D" w:rsidP="00B365E1">
      <w:pPr>
        <w:pStyle w:val="Heading2"/>
        <w:spacing w:after="120"/>
        <w:rPr>
          <w:u w:val="single"/>
          <w:lang w:val="fr-CA"/>
        </w:rPr>
      </w:pPr>
      <w:r w:rsidRPr="00157A11">
        <w:rPr>
          <w:lang w:val="fr-CA"/>
        </w:rPr>
        <w:t>Résultats du sondage sur la dotation et l’impartialité politique</w:t>
      </w:r>
    </w:p>
    <w:p w14:paraId="7ACD47BA" w14:textId="77777777" w:rsidR="0003019D" w:rsidRPr="00157A11" w:rsidRDefault="0003019D" w:rsidP="00270784">
      <w:pPr>
        <w:pStyle w:val="ListParagraph"/>
        <w:spacing w:after="120"/>
        <w:contextualSpacing w:val="0"/>
        <w:rPr>
          <w:rFonts w:asciiTheme="minorHAnsi" w:hAnsiTheme="minorHAnsi" w:cstheme="minorHAnsi"/>
          <w:sz w:val="22"/>
          <w:szCs w:val="22"/>
          <w:lang w:val="fr-CA" w:eastAsia="en-CA"/>
        </w:rPr>
      </w:pPr>
      <w:r w:rsidRPr="00157A11">
        <w:rPr>
          <w:rFonts w:asciiTheme="minorHAnsi" w:hAnsiTheme="minorHAnsi" w:cstheme="minorHAnsi"/>
          <w:color w:val="222222"/>
          <w:sz w:val="22"/>
          <w:szCs w:val="22"/>
          <w:lang w:val="fr-CA"/>
        </w:rPr>
        <w:t xml:space="preserve">Le taux de participation au Sondage sur la dotation et l’impartialité politique (SDIP) de 2018 était de 38,7 %. Le taux moyen pour l’ensemble des 74 ministères et organismes participants était de 47,6 %. </w:t>
      </w:r>
    </w:p>
    <w:p w14:paraId="304594AC" w14:textId="77777777" w:rsidR="0003019D" w:rsidRPr="00157A11" w:rsidRDefault="0003019D" w:rsidP="0003019D">
      <w:pPr>
        <w:pStyle w:val="ListParagraph"/>
        <w:spacing w:after="0"/>
        <w:rPr>
          <w:rFonts w:asciiTheme="minorHAnsi" w:hAnsiTheme="minorHAnsi" w:cstheme="minorHAnsi"/>
          <w:sz w:val="22"/>
          <w:szCs w:val="22"/>
          <w:lang w:val="fr-CA"/>
        </w:rPr>
      </w:pPr>
      <w:r w:rsidRPr="00157A11">
        <w:rPr>
          <w:rFonts w:asciiTheme="minorHAnsi" w:hAnsiTheme="minorHAnsi" w:cstheme="minorHAnsi"/>
          <w:sz w:val="22"/>
          <w:szCs w:val="22"/>
          <w:lang w:val="fr-CA"/>
        </w:rPr>
        <w:t xml:space="preserve">Voici les principales conclusions issues des résultats du </w:t>
      </w:r>
      <w:r w:rsidRPr="00157A11">
        <w:rPr>
          <w:rFonts w:asciiTheme="minorHAnsi" w:hAnsiTheme="minorHAnsi" w:cstheme="minorHAnsi"/>
          <w:color w:val="222222"/>
          <w:sz w:val="22"/>
          <w:szCs w:val="22"/>
          <w:lang w:val="fr-CA"/>
        </w:rPr>
        <w:t xml:space="preserve">SDIP de </w:t>
      </w:r>
      <w:r w:rsidRPr="00157A11">
        <w:rPr>
          <w:rFonts w:asciiTheme="minorHAnsi" w:hAnsiTheme="minorHAnsi" w:cstheme="minorHAnsi"/>
          <w:sz w:val="22"/>
          <w:szCs w:val="22"/>
          <w:lang w:val="fr-CA"/>
        </w:rPr>
        <w:t>2018 concernant le ministère des FEG :</w:t>
      </w:r>
    </w:p>
    <w:p w14:paraId="786545C0" w14:textId="77777777" w:rsidR="0003019D" w:rsidRPr="00157A11" w:rsidRDefault="0003019D" w:rsidP="0003019D">
      <w:pPr>
        <w:numPr>
          <w:ilvl w:val="0"/>
          <w:numId w:val="8"/>
        </w:numPr>
        <w:rPr>
          <w:rFonts w:asciiTheme="minorHAnsi" w:hAnsiTheme="minorHAnsi" w:cstheme="minorHAnsi"/>
          <w:sz w:val="22"/>
          <w:szCs w:val="22"/>
          <w:lang w:val="fr-CA"/>
        </w:rPr>
      </w:pPr>
      <w:r w:rsidRPr="00157A11">
        <w:rPr>
          <w:rFonts w:asciiTheme="minorHAnsi" w:hAnsiTheme="minorHAnsi" w:cstheme="minorHAnsi"/>
          <w:sz w:val="22"/>
          <w:szCs w:val="22"/>
          <w:lang w:val="fr-CA"/>
        </w:rPr>
        <w:t xml:space="preserve">65,4 % des </w:t>
      </w:r>
      <w:r w:rsidRPr="00157A11">
        <w:rPr>
          <w:rStyle w:val="Strong"/>
          <w:rFonts w:cstheme="minorHAnsi"/>
          <w:lang w:val="fr-CA"/>
        </w:rPr>
        <w:t>employés</w:t>
      </w:r>
      <w:r w:rsidRPr="00157A11">
        <w:rPr>
          <w:rFonts w:asciiTheme="minorHAnsi" w:hAnsiTheme="minorHAnsi" w:cstheme="minorHAnsi"/>
          <w:sz w:val="22"/>
          <w:szCs w:val="22"/>
          <w:lang w:val="fr-CA"/>
        </w:rPr>
        <w:t xml:space="preserve"> étaient d’accord pour dire que les personnes embauchées sont capables de faire le travail, comparativement à 67,1 % dans les organisations de taille semblable et à 53,8 % dans l’ensemble des organisations de la fonction publique fédérale.</w:t>
      </w:r>
    </w:p>
    <w:p w14:paraId="6031CA96" w14:textId="77777777" w:rsidR="0003019D" w:rsidRPr="00157A11" w:rsidRDefault="0003019D" w:rsidP="0003019D">
      <w:pPr>
        <w:pStyle w:val="ListParagraph"/>
        <w:numPr>
          <w:ilvl w:val="0"/>
          <w:numId w:val="8"/>
        </w:numPr>
        <w:autoSpaceDE w:val="0"/>
        <w:autoSpaceDN w:val="0"/>
        <w:adjustRightInd w:val="0"/>
        <w:spacing w:after="0"/>
        <w:rPr>
          <w:rFonts w:asciiTheme="minorHAnsi" w:hAnsiTheme="minorHAnsi" w:cstheme="minorHAnsi"/>
          <w:sz w:val="22"/>
          <w:szCs w:val="22"/>
          <w:lang w:val="fr-CA"/>
        </w:rPr>
      </w:pPr>
      <w:r w:rsidRPr="00157A11">
        <w:rPr>
          <w:rFonts w:asciiTheme="minorHAnsi" w:hAnsiTheme="minorHAnsi" w:cstheme="minorHAnsi"/>
          <w:sz w:val="22"/>
          <w:szCs w:val="22"/>
          <w:lang w:val="fr-CA"/>
        </w:rPr>
        <w:t>48,</w:t>
      </w:r>
      <w:r w:rsidRPr="00157A11">
        <w:rPr>
          <w:rFonts w:asciiTheme="minorHAnsi" w:hAnsiTheme="minorHAnsi" w:cstheme="minorHAnsi"/>
          <w:bCs/>
          <w:sz w:val="22"/>
          <w:szCs w:val="22"/>
          <w:lang w:val="fr-CA"/>
        </w:rPr>
        <w:t xml:space="preserve">9 % des </w:t>
      </w:r>
      <w:r w:rsidRPr="00157A11">
        <w:rPr>
          <w:rStyle w:val="Strong"/>
          <w:rFonts w:cstheme="minorHAnsi"/>
          <w:lang w:val="fr-CA"/>
        </w:rPr>
        <w:t>gestionnaires</w:t>
      </w:r>
      <w:r w:rsidRPr="00157A11">
        <w:rPr>
          <w:rFonts w:asciiTheme="minorHAnsi" w:hAnsiTheme="minorHAnsi" w:cstheme="minorHAnsi"/>
          <w:b/>
          <w:bCs/>
          <w:sz w:val="22"/>
          <w:szCs w:val="22"/>
          <w:lang w:val="fr-CA"/>
        </w:rPr>
        <w:t xml:space="preserve"> </w:t>
      </w:r>
      <w:r w:rsidRPr="00157A11">
        <w:rPr>
          <w:rFonts w:asciiTheme="minorHAnsi" w:hAnsiTheme="minorHAnsi" w:cstheme="minorHAnsi"/>
          <w:sz w:val="22"/>
          <w:szCs w:val="22"/>
          <w:lang w:val="fr-CA"/>
        </w:rPr>
        <w:t>étaient d’accord pour dire que la nouvelle orientation en dotation a amélioré la façon dont ils embauchent et nomment les personnes au sein de leur organisation, comparativement à 69,7 % dans les organisations de taille semblable et à 56,1 % dans l’ensemble des organisations de la fonction publique fédérale.</w:t>
      </w:r>
    </w:p>
    <w:p w14:paraId="7135D5CC" w14:textId="77777777" w:rsidR="00270784" w:rsidRPr="00157A11" w:rsidRDefault="0003019D" w:rsidP="00270784">
      <w:pPr>
        <w:pStyle w:val="ListParagraph"/>
        <w:numPr>
          <w:ilvl w:val="0"/>
          <w:numId w:val="8"/>
        </w:numPr>
        <w:autoSpaceDE w:val="0"/>
        <w:autoSpaceDN w:val="0"/>
        <w:adjustRightInd w:val="0"/>
        <w:spacing w:after="120"/>
        <w:rPr>
          <w:rFonts w:asciiTheme="minorHAnsi" w:hAnsiTheme="minorHAnsi" w:cstheme="minorHAnsi"/>
          <w:sz w:val="22"/>
          <w:szCs w:val="22"/>
          <w:lang w:val="fr-CA"/>
        </w:rPr>
        <w:sectPr w:rsidR="00270784" w:rsidRPr="00157A11" w:rsidSect="0003019D">
          <w:headerReference w:type="default" r:id="rId8"/>
          <w:footerReference w:type="default" r:id="rId9"/>
          <w:footerReference w:type="first" r:id="rId10"/>
          <w:pgSz w:w="12240" w:h="15840"/>
          <w:pgMar w:top="709" w:right="1304" w:bottom="1361" w:left="1304" w:header="708" w:footer="283" w:gutter="0"/>
          <w:cols w:space="708"/>
          <w:titlePg/>
          <w:docGrid w:linePitch="360"/>
        </w:sectPr>
      </w:pPr>
      <w:r w:rsidRPr="00157A11">
        <w:rPr>
          <w:rFonts w:asciiTheme="minorHAnsi" w:hAnsiTheme="minorHAnsi" w:cstheme="minorHAnsi"/>
          <w:sz w:val="22"/>
          <w:szCs w:val="22"/>
          <w:lang w:val="fr-CA"/>
        </w:rPr>
        <w:t>80,</w:t>
      </w:r>
      <w:r w:rsidRPr="00157A11">
        <w:rPr>
          <w:rFonts w:asciiTheme="minorHAnsi" w:hAnsiTheme="minorHAnsi" w:cstheme="minorHAnsi"/>
          <w:bCs/>
          <w:sz w:val="22"/>
          <w:szCs w:val="22"/>
          <w:lang w:val="fr-CA"/>
        </w:rPr>
        <w:t xml:space="preserve">3 % des </w:t>
      </w:r>
      <w:r w:rsidRPr="00157A11">
        <w:rPr>
          <w:rStyle w:val="Strong"/>
          <w:rFonts w:cstheme="minorHAnsi"/>
          <w:lang w:val="fr-CA"/>
        </w:rPr>
        <w:t xml:space="preserve">gestionnaires </w:t>
      </w:r>
      <w:r w:rsidRPr="00157A11">
        <w:rPr>
          <w:rFonts w:asciiTheme="minorHAnsi" w:hAnsiTheme="minorHAnsi" w:cstheme="minorHAnsi"/>
          <w:sz w:val="22"/>
          <w:szCs w:val="22"/>
          <w:lang w:val="fr-CA"/>
        </w:rPr>
        <w:t>conviennent que, au sein de leur organisation, le processus administratif de dotation d’un poste est fastidieux, comparativement à 79,3 % dans les organisations de taille semblable et à 89,7 % dans l’ensemble des organisations de la fonction publique fédérale.</w:t>
      </w:r>
    </w:p>
    <w:p w14:paraId="3957F63C" w14:textId="77777777" w:rsidR="0003019D" w:rsidRPr="00157A11" w:rsidRDefault="00270784" w:rsidP="00270784">
      <w:pPr>
        <w:pStyle w:val="Heading1"/>
        <w:spacing w:after="120"/>
        <w:rPr>
          <w:lang w:val="fr-CA"/>
        </w:rPr>
      </w:pPr>
      <w:r w:rsidRPr="00157A11">
        <w:rPr>
          <w:rStyle w:val="Heading1Char"/>
          <w:color w:val="auto"/>
        </w:rPr>
        <w:lastRenderedPageBreak/>
        <w:t>P</w:t>
      </w:r>
      <w:r w:rsidR="00B365E1" w:rsidRPr="00157A11">
        <w:rPr>
          <w:rStyle w:val="Heading1Char"/>
          <w:color w:val="auto"/>
        </w:rPr>
        <w:t>rofil de la diversité</w:t>
      </w:r>
    </w:p>
    <w:p w14:paraId="7E8E30D6" w14:textId="77777777" w:rsidR="0003019D" w:rsidRPr="00157A11" w:rsidRDefault="0003019D" w:rsidP="00270784">
      <w:pPr>
        <w:keepNext/>
        <w:autoSpaceDE w:val="0"/>
        <w:autoSpaceDN w:val="0"/>
        <w:adjustRightInd w:val="0"/>
        <w:spacing w:after="120"/>
        <w:rPr>
          <w:rFonts w:asciiTheme="minorHAnsi" w:hAnsiTheme="minorHAnsi" w:cstheme="minorHAnsi"/>
          <w:sz w:val="22"/>
          <w:szCs w:val="22"/>
          <w:lang w:val="fr-CA"/>
        </w:rPr>
      </w:pPr>
      <w:r w:rsidRPr="00157A11">
        <w:rPr>
          <w:rFonts w:asciiTheme="minorHAnsi" w:hAnsiTheme="minorHAnsi" w:cstheme="minorHAnsi"/>
          <w:sz w:val="22"/>
          <w:szCs w:val="22"/>
          <w:lang w:val="fr-CA"/>
        </w:rPr>
        <w:t>Le ministère des FEG</w:t>
      </w:r>
      <w:r w:rsidRPr="00157A11" w:rsidDel="008079F1">
        <w:rPr>
          <w:rFonts w:asciiTheme="minorHAnsi" w:hAnsiTheme="minorHAnsi" w:cstheme="minorHAnsi"/>
          <w:sz w:val="22"/>
          <w:szCs w:val="22"/>
          <w:lang w:val="fr-CA"/>
        </w:rPr>
        <w:t xml:space="preserve"> </w:t>
      </w:r>
      <w:r w:rsidRPr="00157A11">
        <w:rPr>
          <w:rFonts w:asciiTheme="minorHAnsi" w:hAnsiTheme="minorHAnsi" w:cstheme="minorHAnsi"/>
          <w:sz w:val="22"/>
          <w:szCs w:val="22"/>
          <w:lang w:val="fr-CA"/>
        </w:rPr>
        <w:t>dépasse la disponibilité dans la population active en ce qui concerne les femmes, les personnes handicapées et les membres des minorités visibles. Le taux de représentation des Autochtones n’a pas été déclaré pour des raisons de protection de la vie privée en raison du petit nombre de personnes concernées ; il ne peut donc pas être analysé.</w:t>
      </w:r>
    </w:p>
    <w:p w14:paraId="2FF4882A" w14:textId="77777777" w:rsidR="00ED685A" w:rsidRPr="00157A11" w:rsidRDefault="00ED685A" w:rsidP="00ED685A">
      <w:pPr>
        <w:pStyle w:val="Caption"/>
        <w:keepNext/>
        <w:spacing w:after="0"/>
        <w:rPr>
          <w:rFonts w:asciiTheme="minorHAnsi" w:hAnsiTheme="minorHAnsi" w:cstheme="minorHAnsi"/>
          <w:i w:val="0"/>
          <w:color w:val="auto"/>
          <w:lang w:val="fr-CA"/>
        </w:rPr>
      </w:pPr>
      <w:r w:rsidRPr="00157A11">
        <w:rPr>
          <w:rFonts w:asciiTheme="minorHAnsi" w:hAnsiTheme="minorHAnsi" w:cstheme="minorHAnsi"/>
          <w:i w:val="0"/>
          <w:color w:val="auto"/>
          <w:lang w:val="fr-CA"/>
        </w:rPr>
        <w:t xml:space="preserve">Table </w:t>
      </w:r>
      <w:r w:rsidRPr="00157A11">
        <w:rPr>
          <w:rFonts w:asciiTheme="minorHAnsi" w:hAnsiTheme="minorHAnsi" w:cstheme="minorHAnsi"/>
          <w:i w:val="0"/>
          <w:color w:val="auto"/>
          <w:lang w:val="fr-CA"/>
        </w:rPr>
        <w:fldChar w:fldCharType="begin"/>
      </w:r>
      <w:r w:rsidRPr="00157A11">
        <w:rPr>
          <w:rFonts w:asciiTheme="minorHAnsi" w:hAnsiTheme="minorHAnsi" w:cstheme="minorHAnsi"/>
          <w:i w:val="0"/>
          <w:color w:val="auto"/>
          <w:lang w:val="fr-CA"/>
        </w:rPr>
        <w:instrText xml:space="preserve"> SEQ Table \* ARABIC </w:instrText>
      </w:r>
      <w:r w:rsidRPr="00157A11">
        <w:rPr>
          <w:rFonts w:asciiTheme="minorHAnsi" w:hAnsiTheme="minorHAnsi" w:cstheme="minorHAnsi"/>
          <w:i w:val="0"/>
          <w:color w:val="auto"/>
          <w:lang w:val="fr-CA"/>
        </w:rPr>
        <w:fldChar w:fldCharType="separate"/>
      </w:r>
      <w:r w:rsidR="00025079">
        <w:rPr>
          <w:rFonts w:asciiTheme="minorHAnsi" w:hAnsiTheme="minorHAnsi" w:cstheme="minorHAnsi"/>
          <w:i w:val="0"/>
          <w:noProof/>
          <w:color w:val="auto"/>
          <w:lang w:val="fr-CA"/>
        </w:rPr>
        <w:t>1</w:t>
      </w:r>
      <w:r w:rsidRPr="00157A11">
        <w:rPr>
          <w:rFonts w:asciiTheme="minorHAnsi" w:hAnsiTheme="minorHAnsi" w:cstheme="minorHAnsi"/>
          <w:i w:val="0"/>
          <w:color w:val="auto"/>
          <w:lang w:val="fr-CA"/>
        </w:rPr>
        <w:fldChar w:fldCharType="end"/>
      </w:r>
      <w:r w:rsidRPr="00157A11">
        <w:rPr>
          <w:rFonts w:asciiTheme="minorHAnsi" w:hAnsiTheme="minorHAnsi" w:cstheme="minorHAnsi"/>
          <w:i w:val="0"/>
          <w:color w:val="auto"/>
          <w:lang w:val="fr-CA"/>
        </w:rPr>
        <w:t xml:space="preserve"> - Profil de diversité</w:t>
      </w:r>
    </w:p>
    <w:tbl>
      <w:tblPr>
        <w:tblStyle w:val="TableGrid"/>
        <w:tblW w:w="5000" w:type="pct"/>
        <w:jc w:val="center"/>
        <w:tblLook w:val="04A0" w:firstRow="1" w:lastRow="0" w:firstColumn="1" w:lastColumn="0" w:noHBand="0" w:noVBand="1"/>
        <w:tblDescription w:val="Profil de diversité"/>
      </w:tblPr>
      <w:tblGrid>
        <w:gridCol w:w="2193"/>
        <w:gridCol w:w="2207"/>
        <w:gridCol w:w="3384"/>
        <w:gridCol w:w="2286"/>
      </w:tblGrid>
      <w:tr w:rsidR="00270784" w:rsidRPr="00A74788" w14:paraId="1D0E39E4" w14:textId="77777777" w:rsidTr="00BB4447">
        <w:trPr>
          <w:cantSplit/>
          <w:trHeight w:val="999"/>
          <w:tblHeader/>
          <w:jc w:val="center"/>
        </w:trPr>
        <w:tc>
          <w:tcPr>
            <w:tcW w:w="1089" w:type="pct"/>
            <w:tcBorders>
              <w:top w:val="single" w:sz="4" w:space="0" w:color="auto"/>
              <w:left w:val="single" w:sz="4" w:space="0" w:color="auto"/>
              <w:bottom w:val="single" w:sz="4" w:space="0" w:color="auto"/>
              <w:right w:val="single" w:sz="4" w:space="0" w:color="auto"/>
            </w:tcBorders>
            <w:shd w:val="clear" w:color="auto" w:fill="54575A" w:themeFill="text1"/>
            <w:vAlign w:val="center"/>
            <w:hideMark/>
          </w:tcPr>
          <w:p w14:paraId="53188800" w14:textId="77777777" w:rsidR="00270784" w:rsidRPr="00157A11" w:rsidRDefault="00270784" w:rsidP="00270784">
            <w:pPr>
              <w:pStyle w:val="TableTitle"/>
              <w:rPr>
                <w:rFonts w:cs="Segoe UI Semibold"/>
                <w:color w:val="FFFFFF" w:themeColor="background1"/>
                <w:lang w:val="fr-CA"/>
              </w:rPr>
            </w:pPr>
            <w:r w:rsidRPr="00157A11">
              <w:rPr>
                <w:rFonts w:cs="Segoe UI Semibold"/>
                <w:color w:val="FFFFFF" w:themeColor="background1"/>
                <w:lang w:val="fr-CA"/>
              </w:rPr>
              <w:t>Groupe désigné</w:t>
            </w:r>
          </w:p>
        </w:tc>
        <w:tc>
          <w:tcPr>
            <w:tcW w:w="1096" w:type="pct"/>
            <w:tcBorders>
              <w:top w:val="single" w:sz="4" w:space="0" w:color="auto"/>
              <w:left w:val="single" w:sz="4" w:space="0" w:color="auto"/>
              <w:bottom w:val="single" w:sz="4" w:space="0" w:color="auto"/>
              <w:right w:val="single" w:sz="4" w:space="0" w:color="auto"/>
            </w:tcBorders>
            <w:shd w:val="clear" w:color="auto" w:fill="54575A" w:themeFill="text1"/>
            <w:vAlign w:val="center"/>
            <w:hideMark/>
          </w:tcPr>
          <w:p w14:paraId="6F26528C" w14:textId="77777777" w:rsidR="00270784" w:rsidRPr="00157A11" w:rsidRDefault="00270784" w:rsidP="00270784">
            <w:pPr>
              <w:pStyle w:val="TableTitle"/>
              <w:rPr>
                <w:rFonts w:cs="Segoe UI Semibold"/>
                <w:color w:val="FFFFFF" w:themeColor="background1"/>
                <w:lang w:val="fr-CA"/>
              </w:rPr>
            </w:pPr>
            <w:r w:rsidRPr="00157A11">
              <w:rPr>
                <w:rFonts w:cs="Segoe UI Semibold"/>
                <w:color w:val="FFFFFF" w:themeColor="background1"/>
                <w:lang w:val="fr-CA"/>
              </w:rPr>
              <w:t xml:space="preserve">Disponibilité sur le marché du travail (DMT) </w:t>
            </w:r>
          </w:p>
        </w:tc>
        <w:tc>
          <w:tcPr>
            <w:tcW w:w="1680" w:type="pct"/>
            <w:tcBorders>
              <w:top w:val="single" w:sz="4" w:space="0" w:color="auto"/>
              <w:left w:val="single" w:sz="4" w:space="0" w:color="auto"/>
              <w:right w:val="single" w:sz="4" w:space="0" w:color="auto"/>
            </w:tcBorders>
            <w:shd w:val="clear" w:color="auto" w:fill="BF3C00"/>
            <w:vAlign w:val="center"/>
            <w:hideMark/>
          </w:tcPr>
          <w:p w14:paraId="2C39A9F0" w14:textId="1C515A71" w:rsidR="00270784" w:rsidRPr="00157A11" w:rsidRDefault="00270784" w:rsidP="00270784">
            <w:pPr>
              <w:pStyle w:val="TableTitle"/>
              <w:rPr>
                <w:rFonts w:cs="Segoe UI Semibold"/>
                <w:color w:val="FFFFFF" w:themeColor="background1"/>
                <w:lang w:val="fr-CA"/>
              </w:rPr>
            </w:pPr>
            <w:r w:rsidRPr="00BB4447">
              <w:rPr>
                <w:rFonts w:cs="Segoe UI Semibold"/>
                <w:color w:val="FFFFFF" w:themeColor="background1"/>
                <w:shd w:val="clear" w:color="auto" w:fill="BF3C00"/>
                <w:lang w:val="fr-CA"/>
              </w:rPr>
              <w:t>Ministère des femmes et de l’égalité des genres</w:t>
            </w:r>
          </w:p>
        </w:tc>
        <w:tc>
          <w:tcPr>
            <w:tcW w:w="1135" w:type="pct"/>
            <w:tcBorders>
              <w:top w:val="single" w:sz="4" w:space="0" w:color="auto"/>
              <w:left w:val="single" w:sz="4" w:space="0" w:color="auto"/>
              <w:bottom w:val="single" w:sz="4" w:space="0" w:color="auto"/>
              <w:right w:val="single" w:sz="4" w:space="0" w:color="auto"/>
            </w:tcBorders>
            <w:shd w:val="clear" w:color="auto" w:fill="54575A" w:themeFill="text1"/>
            <w:hideMark/>
          </w:tcPr>
          <w:p w14:paraId="3B393760" w14:textId="77777777" w:rsidR="00270784" w:rsidRPr="00157A11" w:rsidRDefault="00270784" w:rsidP="00270784">
            <w:pPr>
              <w:pStyle w:val="TableTitle"/>
              <w:rPr>
                <w:rFonts w:cs="Segoe UI Semibold"/>
                <w:color w:val="FFFFFF" w:themeColor="background1"/>
                <w:lang w:val="fr-CA"/>
              </w:rPr>
            </w:pPr>
            <w:r w:rsidRPr="00157A11">
              <w:rPr>
                <w:rFonts w:cs="Segoe UI Semibold"/>
                <w:color w:val="FFFFFF" w:themeColor="background1"/>
                <w:lang w:val="fr-CA"/>
              </w:rPr>
              <w:t>Représentation au sein de la fonction publique du Canada</w:t>
            </w:r>
          </w:p>
        </w:tc>
      </w:tr>
      <w:tr w:rsidR="00270784" w:rsidRPr="00BB4447" w14:paraId="3D6781B6" w14:textId="77777777" w:rsidTr="00ED685A">
        <w:trPr>
          <w:cantSplit/>
          <w:trHeight w:val="351"/>
          <w:tblHeader/>
          <w:jc w:val="center"/>
        </w:trPr>
        <w:tc>
          <w:tcPr>
            <w:tcW w:w="1089" w:type="pct"/>
            <w:tcBorders>
              <w:top w:val="single" w:sz="4" w:space="0" w:color="auto"/>
              <w:left w:val="single" w:sz="4" w:space="0" w:color="auto"/>
              <w:bottom w:val="single" w:sz="4" w:space="0" w:color="auto"/>
              <w:right w:val="single" w:sz="4" w:space="0" w:color="auto"/>
            </w:tcBorders>
            <w:shd w:val="clear" w:color="auto" w:fill="54575A" w:themeFill="text1"/>
            <w:hideMark/>
          </w:tcPr>
          <w:p w14:paraId="45CF9567" w14:textId="77777777" w:rsidR="00270784" w:rsidRPr="00BB4447" w:rsidRDefault="00270784" w:rsidP="00645BC9">
            <w:pPr>
              <w:rPr>
                <w:rFonts w:asciiTheme="minorHAnsi" w:hAnsiTheme="minorHAnsi" w:cstheme="minorHAnsi"/>
                <w:color w:val="FFFFFF" w:themeColor="background1"/>
                <w:sz w:val="22"/>
                <w:lang w:val="fr-CA"/>
              </w:rPr>
            </w:pPr>
            <w:r w:rsidRPr="00BB4447">
              <w:rPr>
                <w:rFonts w:asciiTheme="minorHAnsi" w:hAnsiTheme="minorHAnsi" w:cstheme="minorHAnsi"/>
                <w:color w:val="FFFFFF" w:themeColor="background1"/>
                <w:sz w:val="22"/>
                <w:lang w:val="fr-CA"/>
              </w:rPr>
              <w:t>Femmes</w:t>
            </w:r>
          </w:p>
        </w:tc>
        <w:tc>
          <w:tcPr>
            <w:tcW w:w="1096" w:type="pct"/>
            <w:tcBorders>
              <w:top w:val="single" w:sz="4" w:space="0" w:color="auto"/>
              <w:left w:val="single" w:sz="4" w:space="0" w:color="auto"/>
              <w:bottom w:val="single" w:sz="4" w:space="0" w:color="auto"/>
              <w:right w:val="single" w:sz="4" w:space="0" w:color="auto"/>
            </w:tcBorders>
            <w:vAlign w:val="center"/>
            <w:hideMark/>
          </w:tcPr>
          <w:p w14:paraId="47A36563" w14:textId="77777777" w:rsidR="00270784" w:rsidRPr="00BB4447" w:rsidRDefault="00270784" w:rsidP="00645BC9">
            <w:pPr>
              <w:jc w:val="center"/>
              <w:rPr>
                <w:rFonts w:asciiTheme="minorHAnsi" w:hAnsiTheme="minorHAnsi" w:cstheme="minorHAnsi"/>
                <w:sz w:val="22"/>
                <w:lang w:val="fr-CA"/>
              </w:rPr>
            </w:pPr>
            <w:r w:rsidRPr="00BB4447">
              <w:rPr>
                <w:rFonts w:asciiTheme="minorHAnsi" w:hAnsiTheme="minorHAnsi" w:cstheme="minorHAnsi"/>
                <w:sz w:val="22"/>
                <w:lang w:val="fr-CA"/>
              </w:rPr>
              <w:t>52.5%</w:t>
            </w:r>
          </w:p>
        </w:tc>
        <w:tc>
          <w:tcPr>
            <w:tcW w:w="1680" w:type="pct"/>
            <w:tcBorders>
              <w:top w:val="single" w:sz="4" w:space="0" w:color="auto"/>
              <w:left w:val="single" w:sz="4" w:space="0" w:color="auto"/>
              <w:bottom w:val="single" w:sz="4" w:space="0" w:color="auto"/>
              <w:right w:val="single" w:sz="4" w:space="0" w:color="auto"/>
            </w:tcBorders>
            <w:shd w:val="clear" w:color="auto" w:fill="auto"/>
            <w:vAlign w:val="center"/>
          </w:tcPr>
          <w:p w14:paraId="6275600E" w14:textId="77777777" w:rsidR="00270784" w:rsidRPr="00BB4447" w:rsidRDefault="00270784" w:rsidP="00645BC9">
            <w:pPr>
              <w:autoSpaceDE w:val="0"/>
              <w:autoSpaceDN w:val="0"/>
              <w:adjustRightInd w:val="0"/>
              <w:jc w:val="center"/>
              <w:rPr>
                <w:rFonts w:asciiTheme="minorHAnsi" w:hAnsiTheme="minorHAnsi" w:cstheme="minorHAnsi"/>
                <w:sz w:val="22"/>
                <w:lang w:val="fr-CA"/>
              </w:rPr>
            </w:pPr>
            <w:r w:rsidRPr="00BB4447">
              <w:rPr>
                <w:rFonts w:asciiTheme="minorHAnsi" w:hAnsiTheme="minorHAnsi" w:cstheme="minorHAnsi"/>
                <w:sz w:val="22"/>
                <w:lang w:val="fr-CA"/>
              </w:rPr>
              <w:t>87.9%</w:t>
            </w:r>
          </w:p>
        </w:tc>
        <w:tc>
          <w:tcPr>
            <w:tcW w:w="1135" w:type="pct"/>
            <w:tcBorders>
              <w:top w:val="single" w:sz="4" w:space="0" w:color="auto"/>
              <w:left w:val="single" w:sz="4" w:space="0" w:color="auto"/>
              <w:bottom w:val="single" w:sz="4" w:space="0" w:color="auto"/>
              <w:right w:val="single" w:sz="4" w:space="0" w:color="auto"/>
            </w:tcBorders>
            <w:hideMark/>
          </w:tcPr>
          <w:p w14:paraId="4BF2D1CD" w14:textId="77777777" w:rsidR="00270784" w:rsidRPr="00BB4447" w:rsidRDefault="00270784" w:rsidP="00645BC9">
            <w:pPr>
              <w:autoSpaceDE w:val="0"/>
              <w:autoSpaceDN w:val="0"/>
              <w:adjustRightInd w:val="0"/>
              <w:jc w:val="center"/>
              <w:rPr>
                <w:rFonts w:asciiTheme="minorHAnsi" w:hAnsiTheme="minorHAnsi" w:cstheme="minorHAnsi"/>
                <w:sz w:val="22"/>
                <w:lang w:val="fr-CA"/>
              </w:rPr>
            </w:pPr>
            <w:r w:rsidRPr="00BB4447">
              <w:rPr>
                <w:rFonts w:asciiTheme="minorHAnsi" w:hAnsiTheme="minorHAnsi" w:cstheme="minorHAnsi"/>
                <w:sz w:val="22"/>
                <w:lang w:val="fr-CA"/>
              </w:rPr>
              <w:t>54.8%</w:t>
            </w:r>
          </w:p>
        </w:tc>
      </w:tr>
      <w:tr w:rsidR="00270784" w:rsidRPr="00BB4447" w14:paraId="1CD3EF27" w14:textId="77777777" w:rsidTr="00ED685A">
        <w:trPr>
          <w:cantSplit/>
          <w:trHeight w:val="351"/>
          <w:tblHeader/>
          <w:jc w:val="center"/>
        </w:trPr>
        <w:tc>
          <w:tcPr>
            <w:tcW w:w="1089" w:type="pct"/>
            <w:tcBorders>
              <w:top w:val="single" w:sz="4" w:space="0" w:color="auto"/>
              <w:left w:val="single" w:sz="4" w:space="0" w:color="auto"/>
              <w:bottom w:val="single" w:sz="4" w:space="0" w:color="auto"/>
              <w:right w:val="single" w:sz="4" w:space="0" w:color="auto"/>
            </w:tcBorders>
            <w:shd w:val="clear" w:color="auto" w:fill="54575A" w:themeFill="text1"/>
            <w:hideMark/>
          </w:tcPr>
          <w:p w14:paraId="46E7ED99" w14:textId="77777777" w:rsidR="00270784" w:rsidRPr="00BB4447" w:rsidRDefault="00270784" w:rsidP="00645BC9">
            <w:pPr>
              <w:rPr>
                <w:rFonts w:asciiTheme="minorHAnsi" w:hAnsiTheme="minorHAnsi" w:cstheme="minorHAnsi"/>
                <w:color w:val="FFFFFF" w:themeColor="background1"/>
                <w:sz w:val="22"/>
                <w:lang w:val="fr-CA"/>
              </w:rPr>
            </w:pPr>
            <w:r w:rsidRPr="00BB4447">
              <w:rPr>
                <w:rFonts w:asciiTheme="minorHAnsi" w:hAnsiTheme="minorHAnsi" w:cstheme="minorHAnsi"/>
                <w:color w:val="FFFFFF" w:themeColor="background1"/>
                <w:sz w:val="22"/>
                <w:lang w:val="fr-CA"/>
              </w:rPr>
              <w:t>Personnes autochtones</w:t>
            </w:r>
          </w:p>
        </w:tc>
        <w:tc>
          <w:tcPr>
            <w:tcW w:w="1096" w:type="pct"/>
            <w:tcBorders>
              <w:top w:val="single" w:sz="4" w:space="0" w:color="auto"/>
              <w:left w:val="single" w:sz="4" w:space="0" w:color="auto"/>
              <w:bottom w:val="single" w:sz="4" w:space="0" w:color="auto"/>
              <w:right w:val="single" w:sz="4" w:space="0" w:color="auto"/>
            </w:tcBorders>
            <w:vAlign w:val="center"/>
            <w:hideMark/>
          </w:tcPr>
          <w:p w14:paraId="4A92CF30" w14:textId="77777777" w:rsidR="00270784" w:rsidRPr="00BB4447" w:rsidRDefault="00270784" w:rsidP="00645BC9">
            <w:pPr>
              <w:jc w:val="center"/>
              <w:rPr>
                <w:rFonts w:asciiTheme="minorHAnsi" w:hAnsiTheme="minorHAnsi" w:cstheme="minorHAnsi"/>
                <w:sz w:val="22"/>
                <w:lang w:val="fr-CA"/>
              </w:rPr>
            </w:pPr>
            <w:r w:rsidRPr="00BB4447">
              <w:rPr>
                <w:rFonts w:asciiTheme="minorHAnsi" w:hAnsiTheme="minorHAnsi" w:cstheme="minorHAnsi"/>
                <w:sz w:val="22"/>
                <w:lang w:val="fr-CA"/>
              </w:rPr>
              <w:t>3.4%</w:t>
            </w:r>
          </w:p>
        </w:tc>
        <w:tc>
          <w:tcPr>
            <w:tcW w:w="1680" w:type="pct"/>
            <w:tcBorders>
              <w:top w:val="single" w:sz="4" w:space="0" w:color="auto"/>
              <w:left w:val="single" w:sz="4" w:space="0" w:color="auto"/>
              <w:bottom w:val="single" w:sz="4" w:space="0" w:color="auto"/>
              <w:right w:val="single" w:sz="4" w:space="0" w:color="auto"/>
            </w:tcBorders>
            <w:shd w:val="clear" w:color="auto" w:fill="FFB999" w:themeFill="accent4" w:themeFillTint="66"/>
            <w:vAlign w:val="center"/>
          </w:tcPr>
          <w:p w14:paraId="7D233EA6" w14:textId="77777777" w:rsidR="00270784" w:rsidRPr="00BB4447" w:rsidRDefault="00270784" w:rsidP="00645BC9">
            <w:pPr>
              <w:autoSpaceDE w:val="0"/>
              <w:autoSpaceDN w:val="0"/>
              <w:adjustRightInd w:val="0"/>
              <w:jc w:val="center"/>
              <w:rPr>
                <w:rFonts w:asciiTheme="minorHAnsi" w:hAnsiTheme="minorHAnsi" w:cstheme="minorHAnsi"/>
                <w:sz w:val="22"/>
                <w:lang w:val="fr-CA"/>
              </w:rPr>
            </w:pPr>
            <w:r w:rsidRPr="00BB4447">
              <w:rPr>
                <w:rFonts w:asciiTheme="minorHAnsi" w:hAnsiTheme="minorHAnsi" w:cstheme="minorHAnsi"/>
                <w:sz w:val="22"/>
                <w:lang w:val="fr-CA"/>
              </w:rPr>
              <w:t>*</w:t>
            </w:r>
          </w:p>
        </w:tc>
        <w:tc>
          <w:tcPr>
            <w:tcW w:w="1135" w:type="pct"/>
            <w:tcBorders>
              <w:top w:val="single" w:sz="4" w:space="0" w:color="auto"/>
              <w:left w:val="single" w:sz="4" w:space="0" w:color="auto"/>
              <w:bottom w:val="single" w:sz="4" w:space="0" w:color="auto"/>
              <w:right w:val="single" w:sz="4" w:space="0" w:color="auto"/>
            </w:tcBorders>
            <w:hideMark/>
          </w:tcPr>
          <w:p w14:paraId="4C275AD1" w14:textId="77777777" w:rsidR="00270784" w:rsidRPr="00BB4447" w:rsidRDefault="00270784" w:rsidP="00645BC9">
            <w:pPr>
              <w:autoSpaceDE w:val="0"/>
              <w:autoSpaceDN w:val="0"/>
              <w:adjustRightInd w:val="0"/>
              <w:jc w:val="center"/>
              <w:rPr>
                <w:rFonts w:asciiTheme="minorHAnsi" w:hAnsiTheme="minorHAnsi" w:cstheme="minorHAnsi"/>
                <w:sz w:val="22"/>
                <w:lang w:val="fr-CA"/>
              </w:rPr>
            </w:pPr>
            <w:r w:rsidRPr="00BB4447">
              <w:rPr>
                <w:rFonts w:asciiTheme="minorHAnsi" w:hAnsiTheme="minorHAnsi" w:cstheme="minorHAnsi"/>
                <w:sz w:val="22"/>
                <w:lang w:val="fr-CA"/>
              </w:rPr>
              <w:t>5.1%</w:t>
            </w:r>
          </w:p>
        </w:tc>
      </w:tr>
      <w:tr w:rsidR="00270784" w:rsidRPr="00BB4447" w14:paraId="4040D5C1" w14:textId="77777777" w:rsidTr="00ED685A">
        <w:trPr>
          <w:cantSplit/>
          <w:trHeight w:val="787"/>
          <w:tblHeader/>
          <w:jc w:val="center"/>
        </w:trPr>
        <w:tc>
          <w:tcPr>
            <w:tcW w:w="1089" w:type="pct"/>
            <w:tcBorders>
              <w:top w:val="single" w:sz="4" w:space="0" w:color="auto"/>
              <w:left w:val="single" w:sz="4" w:space="0" w:color="auto"/>
              <w:bottom w:val="single" w:sz="4" w:space="0" w:color="auto"/>
              <w:right w:val="single" w:sz="4" w:space="0" w:color="auto"/>
            </w:tcBorders>
            <w:shd w:val="clear" w:color="auto" w:fill="54575A" w:themeFill="text1"/>
            <w:hideMark/>
          </w:tcPr>
          <w:p w14:paraId="098A5BE0" w14:textId="77777777" w:rsidR="00270784" w:rsidRPr="00BB4447" w:rsidRDefault="00270784" w:rsidP="00645BC9">
            <w:pPr>
              <w:rPr>
                <w:rFonts w:asciiTheme="minorHAnsi" w:hAnsiTheme="minorHAnsi" w:cstheme="minorHAnsi"/>
                <w:color w:val="FFFFFF" w:themeColor="background1"/>
                <w:sz w:val="22"/>
                <w:lang w:val="fr-CA"/>
              </w:rPr>
            </w:pPr>
            <w:r w:rsidRPr="00BB4447">
              <w:rPr>
                <w:rFonts w:asciiTheme="minorHAnsi" w:hAnsiTheme="minorHAnsi" w:cstheme="minorHAnsi"/>
                <w:color w:val="FFFFFF" w:themeColor="background1"/>
                <w:sz w:val="22"/>
                <w:lang w:val="fr-CA"/>
              </w:rPr>
              <w:t>Personnes handicapées</w:t>
            </w:r>
          </w:p>
        </w:tc>
        <w:tc>
          <w:tcPr>
            <w:tcW w:w="1096" w:type="pct"/>
            <w:tcBorders>
              <w:top w:val="single" w:sz="4" w:space="0" w:color="auto"/>
              <w:left w:val="single" w:sz="4" w:space="0" w:color="auto"/>
              <w:bottom w:val="single" w:sz="4" w:space="0" w:color="auto"/>
              <w:right w:val="single" w:sz="4" w:space="0" w:color="auto"/>
            </w:tcBorders>
            <w:vAlign w:val="center"/>
            <w:hideMark/>
          </w:tcPr>
          <w:p w14:paraId="1BF35667" w14:textId="77777777" w:rsidR="00270784" w:rsidRPr="00BB4447" w:rsidRDefault="00270784" w:rsidP="00645BC9">
            <w:pPr>
              <w:jc w:val="center"/>
              <w:rPr>
                <w:rFonts w:asciiTheme="minorHAnsi" w:hAnsiTheme="minorHAnsi" w:cstheme="minorHAnsi"/>
                <w:sz w:val="22"/>
                <w:lang w:val="fr-CA"/>
              </w:rPr>
            </w:pPr>
            <w:r w:rsidRPr="00BB4447">
              <w:rPr>
                <w:rFonts w:asciiTheme="minorHAnsi" w:hAnsiTheme="minorHAnsi" w:cstheme="minorHAnsi"/>
                <w:sz w:val="22"/>
                <w:lang w:val="fr-CA"/>
              </w:rPr>
              <w:t>4.4%</w:t>
            </w:r>
          </w:p>
        </w:tc>
        <w:tc>
          <w:tcPr>
            <w:tcW w:w="1680" w:type="pct"/>
            <w:tcBorders>
              <w:top w:val="single" w:sz="4" w:space="0" w:color="auto"/>
              <w:left w:val="single" w:sz="4" w:space="0" w:color="auto"/>
              <w:bottom w:val="single" w:sz="4" w:space="0" w:color="auto"/>
              <w:right w:val="single" w:sz="4" w:space="0" w:color="auto"/>
            </w:tcBorders>
            <w:shd w:val="clear" w:color="auto" w:fill="auto"/>
            <w:vAlign w:val="center"/>
          </w:tcPr>
          <w:p w14:paraId="61465F78" w14:textId="77777777" w:rsidR="00270784" w:rsidRPr="00BB4447" w:rsidRDefault="00270784" w:rsidP="00645BC9">
            <w:pPr>
              <w:autoSpaceDE w:val="0"/>
              <w:autoSpaceDN w:val="0"/>
              <w:adjustRightInd w:val="0"/>
              <w:jc w:val="center"/>
              <w:rPr>
                <w:rFonts w:asciiTheme="minorHAnsi" w:hAnsiTheme="minorHAnsi" w:cstheme="minorHAnsi"/>
                <w:sz w:val="22"/>
                <w:lang w:val="fr-CA"/>
              </w:rPr>
            </w:pPr>
            <w:r w:rsidRPr="00BB4447">
              <w:rPr>
                <w:rFonts w:asciiTheme="minorHAnsi" w:hAnsiTheme="minorHAnsi" w:cstheme="minorHAnsi"/>
                <w:sz w:val="22"/>
                <w:lang w:val="fr-CA"/>
              </w:rPr>
              <w:t>5.5%</w:t>
            </w:r>
          </w:p>
        </w:tc>
        <w:tc>
          <w:tcPr>
            <w:tcW w:w="1135" w:type="pct"/>
            <w:tcBorders>
              <w:top w:val="single" w:sz="4" w:space="0" w:color="auto"/>
              <w:left w:val="single" w:sz="4" w:space="0" w:color="auto"/>
              <w:bottom w:val="single" w:sz="4" w:space="0" w:color="auto"/>
              <w:right w:val="single" w:sz="4" w:space="0" w:color="auto"/>
            </w:tcBorders>
            <w:vAlign w:val="center"/>
            <w:hideMark/>
          </w:tcPr>
          <w:p w14:paraId="63C96552" w14:textId="77777777" w:rsidR="00270784" w:rsidRPr="00BB4447" w:rsidRDefault="00270784" w:rsidP="00645BC9">
            <w:pPr>
              <w:autoSpaceDE w:val="0"/>
              <w:autoSpaceDN w:val="0"/>
              <w:adjustRightInd w:val="0"/>
              <w:jc w:val="center"/>
              <w:rPr>
                <w:rFonts w:asciiTheme="minorHAnsi" w:hAnsiTheme="minorHAnsi" w:cstheme="minorHAnsi"/>
                <w:sz w:val="22"/>
                <w:lang w:val="fr-CA"/>
              </w:rPr>
            </w:pPr>
            <w:r w:rsidRPr="00BB4447">
              <w:rPr>
                <w:rFonts w:asciiTheme="minorHAnsi" w:hAnsiTheme="minorHAnsi" w:cstheme="minorHAnsi"/>
                <w:sz w:val="22"/>
                <w:lang w:val="fr-CA"/>
              </w:rPr>
              <w:t>5.3%</w:t>
            </w:r>
          </w:p>
        </w:tc>
      </w:tr>
      <w:tr w:rsidR="00270784" w:rsidRPr="00BB4447" w14:paraId="19F2F5A8" w14:textId="77777777" w:rsidTr="00ED685A">
        <w:trPr>
          <w:cantSplit/>
          <w:trHeight w:val="720"/>
          <w:tblHeader/>
          <w:jc w:val="center"/>
        </w:trPr>
        <w:tc>
          <w:tcPr>
            <w:tcW w:w="1089" w:type="pct"/>
            <w:tcBorders>
              <w:top w:val="single" w:sz="4" w:space="0" w:color="auto"/>
              <w:left w:val="single" w:sz="4" w:space="0" w:color="auto"/>
              <w:bottom w:val="single" w:sz="4" w:space="0" w:color="auto"/>
              <w:right w:val="single" w:sz="4" w:space="0" w:color="auto"/>
            </w:tcBorders>
            <w:shd w:val="clear" w:color="auto" w:fill="54575A" w:themeFill="text1"/>
            <w:hideMark/>
          </w:tcPr>
          <w:p w14:paraId="12551439" w14:textId="77777777" w:rsidR="00270784" w:rsidRPr="00BB4447" w:rsidRDefault="00270784" w:rsidP="00645BC9">
            <w:pPr>
              <w:rPr>
                <w:rFonts w:asciiTheme="minorHAnsi" w:hAnsiTheme="minorHAnsi" w:cstheme="minorHAnsi"/>
                <w:color w:val="FFFFFF" w:themeColor="background1"/>
                <w:sz w:val="22"/>
                <w:lang w:val="fr-CA"/>
              </w:rPr>
            </w:pPr>
            <w:r w:rsidRPr="00BB4447">
              <w:rPr>
                <w:rFonts w:asciiTheme="minorHAnsi" w:hAnsiTheme="minorHAnsi" w:cstheme="minorHAnsi"/>
                <w:color w:val="FFFFFF" w:themeColor="background1"/>
                <w:sz w:val="22"/>
                <w:lang w:val="fr-CA"/>
              </w:rPr>
              <w:t>Membres des minorités visibles</w:t>
            </w:r>
          </w:p>
        </w:tc>
        <w:tc>
          <w:tcPr>
            <w:tcW w:w="1096" w:type="pct"/>
            <w:tcBorders>
              <w:top w:val="single" w:sz="4" w:space="0" w:color="auto"/>
              <w:left w:val="single" w:sz="4" w:space="0" w:color="auto"/>
              <w:bottom w:val="single" w:sz="4" w:space="0" w:color="auto"/>
              <w:right w:val="single" w:sz="4" w:space="0" w:color="auto"/>
            </w:tcBorders>
            <w:vAlign w:val="center"/>
            <w:hideMark/>
          </w:tcPr>
          <w:p w14:paraId="64F590A4" w14:textId="77777777" w:rsidR="00270784" w:rsidRPr="00BB4447" w:rsidRDefault="00270784" w:rsidP="00645BC9">
            <w:pPr>
              <w:jc w:val="center"/>
              <w:rPr>
                <w:rFonts w:asciiTheme="minorHAnsi" w:hAnsiTheme="minorHAnsi" w:cstheme="minorHAnsi"/>
                <w:sz w:val="22"/>
                <w:lang w:val="fr-CA"/>
              </w:rPr>
            </w:pPr>
            <w:r w:rsidRPr="00BB4447">
              <w:rPr>
                <w:rFonts w:asciiTheme="minorHAnsi" w:hAnsiTheme="minorHAnsi" w:cstheme="minorHAnsi"/>
                <w:sz w:val="22"/>
                <w:lang w:val="fr-CA"/>
              </w:rPr>
              <w:t>13.0%</w:t>
            </w:r>
          </w:p>
        </w:tc>
        <w:tc>
          <w:tcPr>
            <w:tcW w:w="1680" w:type="pct"/>
            <w:tcBorders>
              <w:top w:val="single" w:sz="4" w:space="0" w:color="auto"/>
              <w:left w:val="single" w:sz="4" w:space="0" w:color="auto"/>
              <w:bottom w:val="single" w:sz="4" w:space="0" w:color="auto"/>
              <w:right w:val="single" w:sz="4" w:space="0" w:color="auto"/>
            </w:tcBorders>
            <w:shd w:val="clear" w:color="auto" w:fill="auto"/>
            <w:vAlign w:val="center"/>
          </w:tcPr>
          <w:p w14:paraId="3BBADDC9" w14:textId="77777777" w:rsidR="00270784" w:rsidRPr="00BB4447" w:rsidRDefault="00270784" w:rsidP="00645BC9">
            <w:pPr>
              <w:autoSpaceDE w:val="0"/>
              <w:autoSpaceDN w:val="0"/>
              <w:adjustRightInd w:val="0"/>
              <w:jc w:val="center"/>
              <w:rPr>
                <w:rFonts w:asciiTheme="minorHAnsi" w:hAnsiTheme="minorHAnsi" w:cstheme="minorHAnsi"/>
                <w:sz w:val="22"/>
                <w:lang w:val="fr-CA"/>
              </w:rPr>
            </w:pPr>
            <w:r w:rsidRPr="00BB4447">
              <w:rPr>
                <w:rFonts w:asciiTheme="minorHAnsi" w:hAnsiTheme="minorHAnsi" w:cstheme="minorHAnsi"/>
                <w:sz w:val="22"/>
                <w:lang w:val="fr-CA"/>
              </w:rPr>
              <w:t>20.9%</w:t>
            </w:r>
          </w:p>
        </w:tc>
        <w:tc>
          <w:tcPr>
            <w:tcW w:w="1135" w:type="pct"/>
            <w:tcBorders>
              <w:top w:val="single" w:sz="4" w:space="0" w:color="auto"/>
              <w:left w:val="single" w:sz="4" w:space="0" w:color="auto"/>
              <w:bottom w:val="single" w:sz="4" w:space="0" w:color="auto"/>
              <w:right w:val="single" w:sz="4" w:space="0" w:color="auto"/>
            </w:tcBorders>
            <w:vAlign w:val="center"/>
            <w:hideMark/>
          </w:tcPr>
          <w:p w14:paraId="0ADB4BAD" w14:textId="77777777" w:rsidR="00270784" w:rsidRPr="00BB4447" w:rsidRDefault="00270784" w:rsidP="00645BC9">
            <w:pPr>
              <w:autoSpaceDE w:val="0"/>
              <w:autoSpaceDN w:val="0"/>
              <w:adjustRightInd w:val="0"/>
              <w:jc w:val="center"/>
              <w:rPr>
                <w:rFonts w:asciiTheme="minorHAnsi" w:hAnsiTheme="minorHAnsi" w:cstheme="minorHAnsi"/>
                <w:sz w:val="22"/>
                <w:lang w:val="fr-CA"/>
              </w:rPr>
            </w:pPr>
            <w:r w:rsidRPr="00BB4447">
              <w:rPr>
                <w:rFonts w:asciiTheme="minorHAnsi" w:hAnsiTheme="minorHAnsi" w:cstheme="minorHAnsi"/>
                <w:sz w:val="22"/>
                <w:lang w:val="fr-CA"/>
              </w:rPr>
              <w:t>15.7%</w:t>
            </w:r>
          </w:p>
        </w:tc>
      </w:tr>
    </w:tbl>
    <w:p w14:paraId="18C6DE4A" w14:textId="77777777" w:rsidR="00270784" w:rsidRPr="00BB4447" w:rsidRDefault="00270784" w:rsidP="00270784">
      <w:pPr>
        <w:rPr>
          <w:rStyle w:val="Hyperlink"/>
          <w:rFonts w:asciiTheme="minorHAnsi" w:hAnsiTheme="minorHAnsi" w:cstheme="minorHAnsi"/>
          <w:sz w:val="22"/>
          <w:lang w:val="fr-CA"/>
        </w:rPr>
      </w:pPr>
      <w:r w:rsidRPr="00BB4447">
        <w:rPr>
          <w:rFonts w:asciiTheme="minorHAnsi" w:hAnsiTheme="minorHAnsi" w:cstheme="minorHAnsi"/>
          <w:sz w:val="22"/>
          <w:lang w:val="fr-CA"/>
        </w:rPr>
        <w:t xml:space="preserve">Source : </w:t>
      </w:r>
      <w:r w:rsidRPr="00BB4447">
        <w:rPr>
          <w:rStyle w:val="Hyperlink"/>
          <w:rFonts w:asciiTheme="minorHAnsi" w:hAnsiTheme="minorHAnsi" w:cstheme="minorHAnsi"/>
          <w:sz w:val="22"/>
          <w:lang w:val="fr-CA"/>
        </w:rPr>
        <w:fldChar w:fldCharType="begin"/>
      </w:r>
      <w:r w:rsidRPr="00BB4447">
        <w:rPr>
          <w:rStyle w:val="Hyperlink"/>
          <w:rFonts w:asciiTheme="minorHAnsi" w:hAnsiTheme="minorHAnsi" w:cstheme="minorHAnsi"/>
          <w:sz w:val="22"/>
          <w:lang w:val="fr-CA"/>
        </w:rPr>
        <w:instrText xml:space="preserve"> HYPERLINK "https://www.canada.ca/fr/gouvernement/fonctionpublique/mieux-etre-inclusion-diversite-fonction-publique/diversite-equite-matiere-emploi/equite-emploi-rapports-annuel/equite-emploi-fonction-publique-canada-2017-2018.html" </w:instrText>
      </w:r>
      <w:r w:rsidRPr="00BB4447">
        <w:rPr>
          <w:rStyle w:val="Hyperlink"/>
          <w:rFonts w:asciiTheme="minorHAnsi" w:hAnsiTheme="minorHAnsi" w:cstheme="minorHAnsi"/>
          <w:sz w:val="22"/>
          <w:lang w:val="fr-CA"/>
        </w:rPr>
        <w:fldChar w:fldCharType="separate"/>
      </w:r>
      <w:r w:rsidRPr="00BB4447">
        <w:rPr>
          <w:rStyle w:val="Hyperlink"/>
          <w:rFonts w:asciiTheme="minorHAnsi" w:hAnsiTheme="minorHAnsi" w:cstheme="minorHAnsi"/>
          <w:sz w:val="22"/>
          <w:lang w:val="fr-CA"/>
        </w:rPr>
        <w:t>L’équité en matière d’emploi dans la fonction publique du Canada, exercice 2017 à 2018</w:t>
      </w:r>
    </w:p>
    <w:p w14:paraId="204A6F76" w14:textId="77777777" w:rsidR="00270784" w:rsidRPr="00BB4447" w:rsidRDefault="00270784" w:rsidP="00270784">
      <w:pPr>
        <w:rPr>
          <w:rFonts w:asciiTheme="minorHAnsi" w:hAnsiTheme="minorHAnsi" w:cstheme="minorHAnsi"/>
          <w:sz w:val="22"/>
          <w:lang w:val="fr-CA"/>
        </w:rPr>
      </w:pPr>
      <w:r w:rsidRPr="00BB4447">
        <w:rPr>
          <w:rStyle w:val="Hyperlink"/>
          <w:rFonts w:asciiTheme="minorHAnsi" w:hAnsiTheme="minorHAnsi" w:cstheme="minorHAnsi"/>
          <w:sz w:val="22"/>
          <w:lang w:val="fr-CA"/>
        </w:rPr>
        <w:fldChar w:fldCharType="end"/>
      </w:r>
      <w:r w:rsidRPr="00BB4447">
        <w:rPr>
          <w:rFonts w:asciiTheme="minorHAnsi" w:hAnsiTheme="minorHAnsi" w:cstheme="minorHAnsi"/>
          <w:sz w:val="22"/>
          <w:lang w:val="fr-CA"/>
        </w:rPr>
        <w:t>Secrétariat du Conseil du Trésor</w:t>
      </w:r>
    </w:p>
    <w:p w14:paraId="62A2CCA5" w14:textId="77777777" w:rsidR="00270784" w:rsidRPr="00BB4447" w:rsidRDefault="00270784" w:rsidP="00270784">
      <w:pPr>
        <w:rPr>
          <w:rFonts w:asciiTheme="minorHAnsi" w:hAnsiTheme="minorHAnsi" w:cstheme="minorHAnsi"/>
          <w:sz w:val="22"/>
          <w:lang w:val="fr-CA"/>
        </w:rPr>
      </w:pPr>
      <w:r w:rsidRPr="00BB4447">
        <w:rPr>
          <w:rFonts w:asciiTheme="minorHAnsi" w:hAnsiTheme="minorHAnsi" w:cstheme="minorHAnsi"/>
          <w:sz w:val="22"/>
          <w:lang w:val="fr-CA"/>
        </w:rPr>
        <w:t>*Les informations pour les petits nombres ont été supprimées</w:t>
      </w:r>
    </w:p>
    <w:p w14:paraId="1A91BA6C" w14:textId="77777777" w:rsidR="0003019D" w:rsidRPr="00157A11" w:rsidRDefault="00B365E1" w:rsidP="00ED685A">
      <w:pPr>
        <w:pStyle w:val="Heading1"/>
        <w:spacing w:after="120"/>
        <w:rPr>
          <w:lang w:val="fr-CA"/>
        </w:rPr>
      </w:pPr>
      <w:r w:rsidRPr="00157A11">
        <w:rPr>
          <w:lang w:val="fr-CA"/>
        </w:rPr>
        <w:t>Droits de priorité et vétérans</w:t>
      </w:r>
    </w:p>
    <w:p w14:paraId="63A98AF6" w14:textId="77777777" w:rsidR="0003019D" w:rsidRPr="00157A11" w:rsidRDefault="0003019D" w:rsidP="00ED685A">
      <w:pPr>
        <w:spacing w:after="120"/>
        <w:rPr>
          <w:rFonts w:asciiTheme="minorHAnsi" w:hAnsiTheme="minorHAnsi" w:cstheme="minorHAnsi"/>
          <w:sz w:val="22"/>
          <w:szCs w:val="22"/>
          <w:lang w:val="fr-CA"/>
        </w:rPr>
      </w:pPr>
      <w:r w:rsidRPr="00157A11">
        <w:rPr>
          <w:rFonts w:asciiTheme="minorHAnsi" w:hAnsiTheme="minorHAnsi" w:cstheme="minorHAnsi"/>
          <w:sz w:val="22"/>
          <w:szCs w:val="22"/>
          <w:lang w:val="fr-CA"/>
        </w:rPr>
        <w:t>Du 1</w:t>
      </w:r>
      <w:r w:rsidRPr="00157A11">
        <w:rPr>
          <w:rFonts w:asciiTheme="minorHAnsi" w:hAnsiTheme="minorHAnsi" w:cstheme="minorHAnsi"/>
          <w:sz w:val="22"/>
          <w:szCs w:val="22"/>
          <w:vertAlign w:val="superscript"/>
          <w:lang w:val="fr-CA"/>
        </w:rPr>
        <w:t>er</w:t>
      </w:r>
      <w:r w:rsidRPr="00157A11">
        <w:rPr>
          <w:rFonts w:asciiTheme="minorHAnsi" w:hAnsiTheme="minorHAnsi" w:cstheme="minorHAnsi"/>
          <w:sz w:val="22"/>
          <w:szCs w:val="22"/>
          <w:lang w:val="fr-CA"/>
        </w:rPr>
        <w:t xml:space="preserve"> avril 2018 au 18 juillet 2019, l’organisation a nommé une personne ayant un droit de priorité de nomination. </w:t>
      </w:r>
    </w:p>
    <w:p w14:paraId="7A44F560" w14:textId="77777777" w:rsidR="0003019D" w:rsidRPr="00157A11" w:rsidRDefault="0003019D" w:rsidP="00ED685A">
      <w:pPr>
        <w:spacing w:after="120"/>
        <w:rPr>
          <w:rFonts w:asciiTheme="minorHAnsi" w:hAnsiTheme="minorHAnsi" w:cstheme="minorHAnsi"/>
          <w:sz w:val="22"/>
          <w:szCs w:val="22"/>
          <w:lang w:val="fr-CA"/>
        </w:rPr>
      </w:pPr>
      <w:r w:rsidRPr="00157A11">
        <w:rPr>
          <w:rFonts w:asciiTheme="minorHAnsi" w:hAnsiTheme="minorHAnsi" w:cstheme="minorHAnsi"/>
          <w:sz w:val="22"/>
          <w:szCs w:val="22"/>
          <w:lang w:val="fr-CA"/>
        </w:rPr>
        <w:t>Le 23 juillet 2019, le Système de gestion de l’information sur les priorités du ministère des FEG</w:t>
      </w:r>
      <w:r w:rsidRPr="00157A11" w:rsidDel="00EB0351">
        <w:rPr>
          <w:rFonts w:asciiTheme="minorHAnsi" w:hAnsiTheme="minorHAnsi" w:cstheme="minorHAnsi"/>
          <w:sz w:val="22"/>
          <w:szCs w:val="22"/>
          <w:lang w:val="fr-CA"/>
        </w:rPr>
        <w:t xml:space="preserve"> </w:t>
      </w:r>
      <w:r w:rsidRPr="00157A11">
        <w:rPr>
          <w:rFonts w:asciiTheme="minorHAnsi" w:hAnsiTheme="minorHAnsi" w:cstheme="minorHAnsi"/>
          <w:sz w:val="22"/>
          <w:szCs w:val="22"/>
          <w:lang w:val="fr-CA"/>
        </w:rPr>
        <w:t>comptait deux personnes bénéficiant d’un droit de priorité activé. Les deux bénéficiaires ont droit à un congé autorisé.</w:t>
      </w:r>
    </w:p>
    <w:p w14:paraId="4286674D" w14:textId="77777777" w:rsidR="0003019D" w:rsidRPr="00157A11" w:rsidRDefault="0003019D" w:rsidP="00ED685A">
      <w:pPr>
        <w:spacing w:after="120"/>
        <w:rPr>
          <w:rFonts w:asciiTheme="minorHAnsi" w:hAnsiTheme="minorHAnsi" w:cstheme="minorHAnsi"/>
          <w:sz w:val="22"/>
          <w:szCs w:val="22"/>
          <w:lang w:val="fr-CA"/>
        </w:rPr>
      </w:pPr>
      <w:r w:rsidRPr="00157A11">
        <w:rPr>
          <w:rFonts w:asciiTheme="minorHAnsi" w:hAnsiTheme="minorHAnsi" w:cstheme="minorHAnsi"/>
          <w:sz w:val="22"/>
          <w:szCs w:val="22"/>
          <w:lang w:val="fr-CA"/>
        </w:rPr>
        <w:t xml:space="preserve">Depuis l’entrée en vigueur de la </w:t>
      </w:r>
      <w:r w:rsidRPr="00157A11">
        <w:rPr>
          <w:rStyle w:val="Emphasis"/>
          <w:rFonts w:asciiTheme="minorHAnsi" w:hAnsiTheme="minorHAnsi" w:cstheme="minorHAnsi"/>
          <w:sz w:val="22"/>
          <w:lang w:val="fr-CA"/>
        </w:rPr>
        <w:t>Loi sur l’embauche des anciens combattants</w:t>
      </w:r>
      <w:r w:rsidRPr="00157A11">
        <w:rPr>
          <w:rFonts w:asciiTheme="minorHAnsi" w:hAnsiTheme="minorHAnsi" w:cstheme="minorHAnsi"/>
          <w:sz w:val="22"/>
          <w:szCs w:val="22"/>
          <w:lang w:val="fr-CA"/>
        </w:rPr>
        <w:t>, le 1</w:t>
      </w:r>
      <w:r w:rsidRPr="00157A11">
        <w:rPr>
          <w:rFonts w:asciiTheme="minorHAnsi" w:hAnsiTheme="minorHAnsi" w:cstheme="minorHAnsi"/>
          <w:sz w:val="22"/>
          <w:szCs w:val="22"/>
          <w:vertAlign w:val="superscript"/>
          <w:lang w:val="fr-CA"/>
        </w:rPr>
        <w:t>er</w:t>
      </w:r>
      <w:r w:rsidRPr="00157A11">
        <w:rPr>
          <w:rFonts w:asciiTheme="minorHAnsi" w:hAnsiTheme="minorHAnsi" w:cstheme="minorHAnsi"/>
          <w:sz w:val="22"/>
          <w:szCs w:val="22"/>
          <w:lang w:val="fr-CA"/>
        </w:rPr>
        <w:t> juillet 2015, l’organisation n’a procédé à aucune nomination de</w:t>
      </w:r>
      <w:r w:rsidRPr="00157A11">
        <w:rPr>
          <w:rFonts w:asciiTheme="minorHAnsi" w:hAnsiTheme="minorHAnsi" w:cstheme="minorHAnsi"/>
          <w:color w:val="54575A" w:themeColor="text1"/>
          <w:sz w:val="22"/>
          <w:szCs w:val="22"/>
          <w:lang w:val="fr-CA"/>
        </w:rPr>
        <w:t xml:space="preserve"> </w:t>
      </w:r>
      <w:r w:rsidRPr="00157A11">
        <w:rPr>
          <w:rFonts w:asciiTheme="minorHAnsi" w:hAnsiTheme="minorHAnsi" w:cstheme="minorHAnsi"/>
          <w:sz w:val="22"/>
          <w:szCs w:val="22"/>
          <w:lang w:val="fr-CA"/>
        </w:rPr>
        <w:t>personnes bénéficiant d’un droit de priorité pour les membres des Forces armées canadiennes.</w:t>
      </w:r>
    </w:p>
    <w:p w14:paraId="3935BF87" w14:textId="77777777" w:rsidR="0003019D" w:rsidRPr="00157A11" w:rsidRDefault="00B365E1" w:rsidP="00ED685A">
      <w:pPr>
        <w:pStyle w:val="Heading1"/>
        <w:spacing w:after="120"/>
        <w:rPr>
          <w:lang w:val="fr-CA"/>
        </w:rPr>
      </w:pPr>
      <w:r w:rsidRPr="00157A11">
        <w:rPr>
          <w:lang w:val="fr-CA"/>
        </w:rPr>
        <w:t>Impartialité de la fonction publique</w:t>
      </w:r>
    </w:p>
    <w:p w14:paraId="5E016D9E" w14:textId="77777777" w:rsidR="0003019D" w:rsidRPr="00157A11" w:rsidRDefault="0003019D" w:rsidP="00ED685A">
      <w:pPr>
        <w:spacing w:after="120"/>
        <w:rPr>
          <w:rFonts w:asciiTheme="minorHAnsi" w:hAnsiTheme="minorHAnsi" w:cstheme="minorHAnsi"/>
          <w:sz w:val="22"/>
          <w:szCs w:val="22"/>
          <w:lang w:val="fr-CA"/>
        </w:rPr>
      </w:pPr>
      <w:r w:rsidRPr="00157A11">
        <w:rPr>
          <w:rFonts w:asciiTheme="minorHAnsi" w:hAnsiTheme="minorHAnsi" w:cstheme="minorHAnsi"/>
          <w:sz w:val="22"/>
          <w:szCs w:val="22"/>
          <w:lang w:val="fr-CA"/>
        </w:rPr>
        <w:t>Chaque organisation a un représentant désigné en matière d’activités politiques qui travaille avec la CFP pour fournir un soutien. La représentante désignée en matière d’activités politiques du ministère des FEG est Julie Nixon, gestionnaire, Services à la clientèle, Services de ressources humaines.</w:t>
      </w:r>
    </w:p>
    <w:p w14:paraId="77D71C7D" w14:textId="77777777" w:rsidR="0003019D" w:rsidRPr="00157A11" w:rsidRDefault="0003019D" w:rsidP="00ED685A">
      <w:pPr>
        <w:spacing w:after="120"/>
        <w:rPr>
          <w:rFonts w:asciiTheme="minorHAnsi" w:hAnsiTheme="minorHAnsi" w:cstheme="minorHAnsi"/>
          <w:sz w:val="22"/>
          <w:szCs w:val="22"/>
          <w:lang w:val="fr-CA"/>
        </w:rPr>
      </w:pPr>
      <w:r w:rsidRPr="00157A11">
        <w:rPr>
          <w:rFonts w:asciiTheme="minorHAnsi" w:hAnsiTheme="minorHAnsi" w:cstheme="minorHAnsi"/>
          <w:sz w:val="22"/>
          <w:szCs w:val="22"/>
          <w:lang w:val="fr-CA"/>
        </w:rPr>
        <w:lastRenderedPageBreak/>
        <w:t>La CFP reçoit très peu de demandes de permission d’être un candidat à des élections de la part des employés du ministère des FEG. Depuis le 1</w:t>
      </w:r>
      <w:r w:rsidRPr="00157A11">
        <w:rPr>
          <w:rFonts w:asciiTheme="minorHAnsi" w:hAnsiTheme="minorHAnsi" w:cstheme="minorHAnsi"/>
          <w:sz w:val="22"/>
          <w:szCs w:val="22"/>
          <w:vertAlign w:val="superscript"/>
          <w:lang w:val="fr-CA"/>
        </w:rPr>
        <w:t>er</w:t>
      </w:r>
      <w:r w:rsidRPr="00157A11">
        <w:rPr>
          <w:rFonts w:asciiTheme="minorHAnsi" w:hAnsiTheme="minorHAnsi" w:cstheme="minorHAnsi"/>
          <w:sz w:val="22"/>
          <w:szCs w:val="22"/>
          <w:lang w:val="fr-CA"/>
        </w:rPr>
        <w:t> avril 2006, la CFP a accordé la permission concernant trois demandes, dont une est toujours en vigueur.</w:t>
      </w:r>
    </w:p>
    <w:p w14:paraId="126CDC4D" w14:textId="77777777" w:rsidR="0003019D" w:rsidRPr="00157A11" w:rsidRDefault="0003019D" w:rsidP="00ED685A">
      <w:pPr>
        <w:spacing w:after="120"/>
        <w:rPr>
          <w:rFonts w:asciiTheme="minorHAnsi" w:hAnsiTheme="minorHAnsi" w:cstheme="minorHAnsi"/>
          <w:sz w:val="22"/>
          <w:szCs w:val="22"/>
          <w:lang w:val="fr-CA" w:eastAsia="en-CA"/>
        </w:rPr>
      </w:pPr>
      <w:r w:rsidRPr="00157A11">
        <w:rPr>
          <w:rFonts w:asciiTheme="minorHAnsi" w:hAnsiTheme="minorHAnsi" w:cstheme="minorHAnsi"/>
          <w:sz w:val="22"/>
          <w:szCs w:val="22"/>
          <w:lang w:val="fr-CA" w:eastAsia="en-CA"/>
        </w:rPr>
        <w:t xml:space="preserve">Les résultats du Sondage sur la dotation et l’impartialité politique de 2018 indiquent que les employés du ministère des FEG sont plus susceptibles de participer à des activités politiques (autres que le vote ou la recherche d’une candidature politique) : 8,4 % comparativement à 2,4 % pour l’ensemble de la fonction publique. </w:t>
      </w:r>
    </w:p>
    <w:p w14:paraId="754C373B" w14:textId="77777777" w:rsidR="0003019D" w:rsidRPr="00157A11" w:rsidRDefault="0003019D" w:rsidP="00ED685A">
      <w:pPr>
        <w:spacing w:after="120"/>
        <w:rPr>
          <w:rFonts w:asciiTheme="minorHAnsi" w:hAnsiTheme="minorHAnsi" w:cstheme="minorHAnsi"/>
          <w:sz w:val="22"/>
          <w:szCs w:val="22"/>
          <w:lang w:val="fr-CA" w:eastAsia="en-CA"/>
        </w:rPr>
      </w:pPr>
      <w:r w:rsidRPr="00157A11">
        <w:rPr>
          <w:rFonts w:asciiTheme="minorHAnsi" w:hAnsiTheme="minorHAnsi" w:cstheme="minorHAnsi"/>
          <w:sz w:val="22"/>
          <w:szCs w:val="22"/>
          <w:lang w:val="fr-CA" w:eastAsia="en-CA"/>
        </w:rPr>
        <w:t>Cependant, les employés du ministère des FEG démontrent qu’ils sont très conscients de leurs droits et de leurs responsabilités concernant la participation à des activités politiques : 95,6 %, comparativement à 80,1 % pour l’ensemble de la fonction publique.</w:t>
      </w:r>
    </w:p>
    <w:p w14:paraId="07EFDAA8" w14:textId="77777777" w:rsidR="0003019D" w:rsidRPr="00157A11" w:rsidRDefault="00B365E1" w:rsidP="00ED685A">
      <w:pPr>
        <w:pStyle w:val="Heading1"/>
        <w:spacing w:after="120"/>
        <w:rPr>
          <w:lang w:val="fr-CA"/>
        </w:rPr>
      </w:pPr>
      <w:r w:rsidRPr="00157A11">
        <w:rPr>
          <w:lang w:val="fr-CA"/>
        </w:rPr>
        <w:t>P</w:t>
      </w:r>
      <w:r w:rsidR="0003019D" w:rsidRPr="00157A11">
        <w:rPr>
          <w:lang w:val="fr-CA"/>
        </w:rPr>
        <w:t>rogramme de recrutement</w:t>
      </w:r>
    </w:p>
    <w:p w14:paraId="17A41B34" w14:textId="77777777" w:rsidR="0003019D" w:rsidRPr="00157A11" w:rsidRDefault="0003019D" w:rsidP="00ED685A">
      <w:pPr>
        <w:spacing w:after="120"/>
        <w:rPr>
          <w:rFonts w:asciiTheme="minorHAnsi" w:hAnsiTheme="minorHAnsi" w:cstheme="minorHAnsi"/>
          <w:sz w:val="22"/>
          <w:szCs w:val="22"/>
          <w:lang w:val="fr-CA"/>
        </w:rPr>
      </w:pPr>
      <w:r w:rsidRPr="00157A11">
        <w:rPr>
          <w:rFonts w:asciiTheme="minorHAnsi" w:hAnsiTheme="minorHAnsi" w:cstheme="minorHAnsi"/>
          <w:sz w:val="22"/>
          <w:szCs w:val="22"/>
          <w:lang w:val="fr-CA"/>
        </w:rPr>
        <w:t xml:space="preserve">Le ministère des FEG a embauché, depuis 2019, une personne à partir de l’occasion d'emploi pour étudiants autochtones du Programme fédéral d’expérience de travail étudiant (PFETE).  Pour le moment, aucune embauche n’a été effectuée dans le cadre du Programme fédéral de stages pour les Canadiens en situation de handicap et de l’occasion d'emploi pour les étudiants en </w:t>
      </w:r>
      <w:r w:rsidR="00B365E1" w:rsidRPr="00157A11">
        <w:rPr>
          <w:rFonts w:asciiTheme="minorHAnsi" w:hAnsiTheme="minorHAnsi" w:cstheme="minorHAnsi"/>
          <w:sz w:val="22"/>
          <w:szCs w:val="22"/>
          <w:lang w:val="fr-CA"/>
        </w:rPr>
        <w:t>situation de handicap du PFETE.</w:t>
      </w:r>
    </w:p>
    <w:p w14:paraId="0DB447E6" w14:textId="77777777" w:rsidR="0003019D" w:rsidRPr="00157A11" w:rsidRDefault="00B365E1" w:rsidP="00ED685A">
      <w:pPr>
        <w:pStyle w:val="Heading1"/>
        <w:spacing w:after="120"/>
        <w:rPr>
          <w:lang w:val="fr-CA"/>
        </w:rPr>
      </w:pPr>
      <w:r w:rsidRPr="00157A11">
        <w:rPr>
          <w:lang w:val="fr-CA"/>
        </w:rPr>
        <w:t>Soutien en dotation</w:t>
      </w:r>
    </w:p>
    <w:p w14:paraId="58370A43" w14:textId="77777777" w:rsidR="0003019D" w:rsidRPr="00157A11" w:rsidRDefault="0003019D" w:rsidP="00ED685A">
      <w:pPr>
        <w:pStyle w:val="Heading2"/>
        <w:spacing w:after="120"/>
        <w:rPr>
          <w:u w:val="single"/>
          <w:lang w:val="fr-CA"/>
        </w:rPr>
      </w:pPr>
      <w:r w:rsidRPr="00157A11">
        <w:rPr>
          <w:lang w:val="fr-CA"/>
        </w:rPr>
        <w:t>Représentants de la Commission de la fonction publique et personnes-ressources de l’organisation</w:t>
      </w:r>
    </w:p>
    <w:p w14:paraId="52917FA9" w14:textId="77777777" w:rsidR="0003019D" w:rsidRPr="00157A11" w:rsidRDefault="0003019D" w:rsidP="00ED685A">
      <w:pPr>
        <w:spacing w:after="120"/>
        <w:rPr>
          <w:rFonts w:asciiTheme="minorHAnsi" w:hAnsiTheme="minorHAnsi" w:cstheme="minorHAnsi"/>
          <w:sz w:val="22"/>
          <w:szCs w:val="22"/>
          <w:lang w:val="fr-CA"/>
        </w:rPr>
      </w:pPr>
      <w:r w:rsidRPr="00157A11">
        <w:rPr>
          <w:rFonts w:asciiTheme="minorHAnsi" w:hAnsiTheme="minorHAnsi" w:cstheme="minorHAnsi"/>
          <w:sz w:val="22"/>
          <w:szCs w:val="22"/>
          <w:lang w:val="fr-CA"/>
        </w:rPr>
        <w:t>La conseillère au soutien en dotation désignée à cette organisation est Johanne Villeneuve.</w:t>
      </w:r>
    </w:p>
    <w:p w14:paraId="32DB4FA3" w14:textId="77777777" w:rsidR="0003019D" w:rsidRPr="00157A11" w:rsidRDefault="0003019D" w:rsidP="00ED685A">
      <w:pPr>
        <w:spacing w:after="120"/>
        <w:rPr>
          <w:rFonts w:asciiTheme="minorHAnsi" w:hAnsiTheme="minorHAnsi" w:cstheme="minorHAnsi"/>
          <w:sz w:val="22"/>
          <w:szCs w:val="22"/>
          <w:lang w:val="fr-CA"/>
        </w:rPr>
      </w:pPr>
      <w:r w:rsidRPr="00157A11">
        <w:rPr>
          <w:rFonts w:asciiTheme="minorHAnsi" w:hAnsiTheme="minorHAnsi" w:cstheme="minorHAnsi"/>
          <w:sz w:val="22"/>
          <w:szCs w:val="22"/>
          <w:lang w:val="fr-CA"/>
        </w:rPr>
        <w:t xml:space="preserve">La principale personne-ressource est Julie Nixon, gestionnaire, Services à la clientèle, Services de ressources humaines. </w:t>
      </w:r>
    </w:p>
    <w:p w14:paraId="228AE081" w14:textId="6C1ADF14" w:rsidR="00B365E1" w:rsidRPr="00157A11" w:rsidRDefault="0003019D" w:rsidP="00ED685A">
      <w:pPr>
        <w:spacing w:after="120"/>
        <w:rPr>
          <w:rFonts w:ascii="Arial" w:hAnsi="Arial" w:cs="Arial"/>
          <w:sz w:val="22"/>
          <w:szCs w:val="22"/>
          <w:lang w:val="fr-CA"/>
        </w:rPr>
      </w:pPr>
      <w:r w:rsidRPr="00157A11">
        <w:rPr>
          <w:rFonts w:asciiTheme="minorHAnsi" w:hAnsiTheme="minorHAnsi" w:cstheme="minorHAnsi"/>
          <w:sz w:val="22"/>
          <w:szCs w:val="22"/>
          <w:lang w:val="fr-CA"/>
        </w:rPr>
        <w:t>Le chef des ressources humaines est Martin Prescott, directeur général, Ressources humaines.</w:t>
      </w:r>
    </w:p>
    <w:p w14:paraId="5DECFD26" w14:textId="77777777" w:rsidR="00C3356B" w:rsidRDefault="00C3356B" w:rsidP="00ED685A">
      <w:pPr>
        <w:keepLines/>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59" w:lineRule="auto"/>
        <w:rPr>
          <w:rStyle w:val="Strong"/>
          <w:rFonts w:eastAsiaTheme="minorHAnsi"/>
          <w:lang w:val="fr-CA"/>
        </w:rPr>
      </w:pPr>
    </w:p>
    <w:p w14:paraId="44D388DC" w14:textId="77777777" w:rsidR="00E6510C" w:rsidRPr="00DF2783" w:rsidRDefault="00BB4447" w:rsidP="00ED685A">
      <w:pPr>
        <w:keepLines/>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59" w:lineRule="auto"/>
        <w:rPr>
          <w:rStyle w:val="Strong"/>
          <w:rFonts w:eastAsiaTheme="minorHAnsi"/>
          <w:lang w:val="fr-CA"/>
        </w:rPr>
      </w:pPr>
      <w:r w:rsidRPr="00DF2783">
        <w:rPr>
          <w:rStyle w:val="Strong"/>
          <w:rFonts w:eastAsiaTheme="minorHAnsi"/>
          <w:lang w:val="fr-CA"/>
        </w:rPr>
        <w:t>PRÉPARÉ PAR </w:t>
      </w:r>
    </w:p>
    <w:p w14:paraId="02362B27" w14:textId="77777777" w:rsidR="00E6510C" w:rsidRPr="00157A11" w:rsidRDefault="00E6510C" w:rsidP="00E6510C">
      <w:pPr>
        <w:keepLines/>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eastAsiaTheme="minorHAnsi" w:hAnsiTheme="minorHAnsi" w:cstheme="minorHAnsi"/>
          <w:sz w:val="22"/>
          <w:szCs w:val="22"/>
          <w:lang w:val="fr-CA"/>
        </w:rPr>
      </w:pPr>
      <w:r w:rsidRPr="00157A11">
        <w:rPr>
          <w:rFonts w:asciiTheme="minorHAnsi" w:eastAsiaTheme="minorHAnsi" w:hAnsiTheme="minorHAnsi" w:cstheme="minorHAnsi"/>
          <w:sz w:val="22"/>
          <w:szCs w:val="22"/>
          <w:lang w:val="fr-CA"/>
        </w:rPr>
        <w:t xml:space="preserve">Johanne Villeneuve, </w:t>
      </w:r>
    </w:p>
    <w:p w14:paraId="732238BA" w14:textId="77777777" w:rsidR="006D6A50" w:rsidRDefault="00E6510C" w:rsidP="006D6A50">
      <w:pPr>
        <w:keepLines/>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60"/>
        <w:rPr>
          <w:rFonts w:asciiTheme="minorHAnsi" w:eastAsiaTheme="minorHAnsi" w:hAnsiTheme="minorHAnsi" w:cstheme="minorHAnsi"/>
          <w:sz w:val="22"/>
          <w:szCs w:val="22"/>
          <w:lang w:val="fr-CA"/>
        </w:rPr>
      </w:pPr>
      <w:r w:rsidRPr="00157A11">
        <w:rPr>
          <w:rFonts w:asciiTheme="minorHAnsi" w:eastAsiaTheme="minorHAnsi" w:hAnsiTheme="minorHAnsi" w:cstheme="minorHAnsi"/>
          <w:sz w:val="22"/>
          <w:szCs w:val="22"/>
          <w:lang w:val="fr-CA"/>
        </w:rPr>
        <w:t>Conseillère au soutien en dotation</w:t>
      </w:r>
    </w:p>
    <w:p w14:paraId="02E7354E" w14:textId="77777777" w:rsidR="0003019D" w:rsidRPr="00157A11" w:rsidRDefault="0003019D" w:rsidP="006D6A50">
      <w:pPr>
        <w:keepLines/>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asciiTheme="minorHAnsi" w:hAnsiTheme="minorHAnsi" w:cstheme="minorHAnsi"/>
          <w:sz w:val="22"/>
          <w:szCs w:val="22"/>
          <w:lang w:val="fr-CA"/>
        </w:rPr>
      </w:pPr>
      <w:r w:rsidRPr="00157A11">
        <w:rPr>
          <w:rFonts w:asciiTheme="minorHAnsi" w:hAnsiTheme="minorHAnsi" w:cstheme="minorHAnsi"/>
          <w:sz w:val="22"/>
          <w:szCs w:val="22"/>
          <w:lang w:val="fr-CA"/>
        </w:rPr>
        <w:t>Annexes:</w:t>
      </w:r>
    </w:p>
    <w:p w14:paraId="7AF4B3F2" w14:textId="77777777" w:rsidR="00ED685A" w:rsidRPr="003E2A92" w:rsidRDefault="003E2A92" w:rsidP="00ED685A">
      <w:pPr>
        <w:pStyle w:val="ListParagraph"/>
        <w:numPr>
          <w:ilvl w:val="0"/>
          <w:numId w:val="27"/>
        </w:numPr>
        <w:spacing w:after="120"/>
        <w:ind w:left="714" w:hanging="357"/>
        <w:contextualSpacing w:val="0"/>
        <w:rPr>
          <w:rStyle w:val="Hyperlink"/>
          <w:rFonts w:asciiTheme="minorHAnsi" w:hAnsiTheme="minorHAnsi" w:cstheme="minorHAnsi"/>
          <w:bCs/>
          <w:sz w:val="22"/>
          <w:szCs w:val="22"/>
          <w:lang w:val="fr-CA"/>
        </w:rPr>
      </w:pPr>
      <w:r w:rsidRPr="003E2A92">
        <w:rPr>
          <w:rStyle w:val="Hyperlink"/>
          <w:rFonts w:asciiTheme="minorHAnsi" w:hAnsiTheme="minorHAnsi" w:cstheme="minorHAnsi"/>
          <w:sz w:val="22"/>
          <w:szCs w:val="22"/>
          <w:lang w:val="fr-CA"/>
        </w:rPr>
        <w:fldChar w:fldCharType="begin"/>
      </w:r>
      <w:r>
        <w:rPr>
          <w:rStyle w:val="Hyperlink"/>
          <w:rFonts w:asciiTheme="minorHAnsi" w:hAnsiTheme="minorHAnsi" w:cstheme="minorHAnsi"/>
          <w:sz w:val="22"/>
          <w:szCs w:val="22"/>
          <w:lang w:val="fr-CA"/>
        </w:rPr>
        <w:instrText xml:space="preserve"> HYPERLINK  \l "Annexe_A" </w:instrText>
      </w:r>
      <w:r w:rsidRPr="003E2A92">
        <w:rPr>
          <w:rStyle w:val="Hyperlink"/>
          <w:rFonts w:asciiTheme="minorHAnsi" w:hAnsiTheme="minorHAnsi" w:cstheme="minorHAnsi"/>
          <w:sz w:val="22"/>
          <w:szCs w:val="22"/>
          <w:lang w:val="fr-CA"/>
        </w:rPr>
        <w:fldChar w:fldCharType="separate"/>
      </w:r>
      <w:r w:rsidR="00ED685A" w:rsidRPr="003E2A92">
        <w:rPr>
          <w:rStyle w:val="Hyperlink"/>
          <w:rFonts w:asciiTheme="minorHAnsi" w:hAnsiTheme="minorHAnsi" w:cstheme="minorHAnsi"/>
          <w:sz w:val="22"/>
          <w:szCs w:val="22"/>
          <w:lang w:val="fr-CA"/>
        </w:rPr>
        <w:t xml:space="preserve">Annexe A </w:t>
      </w:r>
      <w:proofErr w:type="gramStart"/>
      <w:r w:rsidR="00ED685A" w:rsidRPr="003E2A92">
        <w:rPr>
          <w:rStyle w:val="Hyperlink"/>
          <w:rFonts w:asciiTheme="minorHAnsi" w:hAnsiTheme="minorHAnsi" w:cstheme="minorHAnsi"/>
          <w:sz w:val="22"/>
          <w:szCs w:val="22"/>
          <w:lang w:val="fr-CA"/>
        </w:rPr>
        <w:t>–  Document</w:t>
      </w:r>
      <w:proofErr w:type="gramEnd"/>
      <w:r w:rsidR="00ED685A" w:rsidRPr="003E2A92">
        <w:rPr>
          <w:rStyle w:val="Hyperlink"/>
          <w:rFonts w:asciiTheme="minorHAnsi" w:hAnsiTheme="minorHAnsi" w:cstheme="minorHAnsi"/>
          <w:sz w:val="22"/>
          <w:szCs w:val="22"/>
          <w:lang w:val="fr-CA"/>
        </w:rPr>
        <w:t xml:space="preserve"> Faits Saillants de la Nouvelle orientation en dotation (NOD) pour les AG </w:t>
      </w:r>
    </w:p>
    <w:p w14:paraId="18A8371E" w14:textId="77777777" w:rsidR="003E2A92" w:rsidRPr="003E2A92" w:rsidRDefault="003E2A92" w:rsidP="00E5209B">
      <w:pPr>
        <w:pStyle w:val="ListParagraph"/>
        <w:numPr>
          <w:ilvl w:val="0"/>
          <w:numId w:val="27"/>
        </w:numPr>
        <w:spacing w:after="0"/>
        <w:rPr>
          <w:rFonts w:asciiTheme="minorHAnsi" w:hAnsiTheme="minorHAnsi" w:cstheme="minorHAnsi"/>
          <w:bCs/>
          <w:sz w:val="22"/>
          <w:szCs w:val="22"/>
          <w:lang w:val="fr-CA"/>
        </w:rPr>
      </w:pPr>
      <w:r w:rsidRPr="003E2A92">
        <w:rPr>
          <w:rStyle w:val="Hyperlink"/>
          <w:rFonts w:asciiTheme="minorHAnsi" w:hAnsiTheme="minorHAnsi" w:cstheme="minorHAnsi"/>
          <w:sz w:val="22"/>
          <w:szCs w:val="22"/>
          <w:lang w:val="fr-CA"/>
        </w:rPr>
        <w:fldChar w:fldCharType="end"/>
      </w:r>
      <w:hyperlink w:anchor="Annexe_B" w:history="1">
        <w:r w:rsidR="00ED685A" w:rsidRPr="003E2A92">
          <w:rPr>
            <w:rStyle w:val="Hyperlink"/>
            <w:rFonts w:asciiTheme="minorHAnsi" w:hAnsiTheme="minorHAnsi" w:cstheme="minorHAnsi"/>
            <w:sz w:val="22"/>
            <w:szCs w:val="22"/>
            <w:lang w:val="fr-CA"/>
          </w:rPr>
          <w:t>Annexe B - Données sur l’effectif et les activités de dotation</w:t>
        </w:r>
      </w:hyperlink>
    </w:p>
    <w:p w14:paraId="0857292F" w14:textId="77777777" w:rsidR="003E2A92" w:rsidRPr="003E2A92" w:rsidRDefault="003E2A92" w:rsidP="003E2A92">
      <w:pPr>
        <w:rPr>
          <w:rFonts w:asciiTheme="minorHAnsi" w:hAnsiTheme="minorHAnsi" w:cstheme="minorHAnsi"/>
          <w:bCs/>
          <w:sz w:val="22"/>
          <w:szCs w:val="22"/>
          <w:lang w:val="fr-CA"/>
        </w:rPr>
        <w:sectPr w:rsidR="003E2A92" w:rsidRPr="003E2A92" w:rsidSect="00645BC9">
          <w:footnotePr>
            <w:numFmt w:val="lowerLetter"/>
          </w:footnotePr>
          <w:endnotePr>
            <w:numFmt w:val="lowerLetter"/>
          </w:endnotePr>
          <w:pgSz w:w="12240" w:h="15840" w:code="1"/>
          <w:pgMar w:top="1440" w:right="1080" w:bottom="1440" w:left="1080" w:header="284" w:footer="284" w:gutter="0"/>
          <w:cols w:space="720"/>
          <w:docGrid w:linePitch="326"/>
        </w:sectPr>
      </w:pPr>
    </w:p>
    <w:p w14:paraId="12D394CB" w14:textId="77777777" w:rsidR="0003019D" w:rsidRPr="00157A11" w:rsidRDefault="0086628F" w:rsidP="007E486E">
      <w:pPr>
        <w:pStyle w:val="Heading3"/>
        <w:jc w:val="right"/>
        <w:rPr>
          <w:lang w:val="fr-CA"/>
        </w:rPr>
      </w:pPr>
      <w:bookmarkStart w:id="0" w:name="Annexe_A"/>
      <w:r w:rsidRPr="00157A11">
        <w:rPr>
          <w:lang w:val="fr-CA"/>
        </w:rPr>
        <w:lastRenderedPageBreak/>
        <w:t>Annexe A</w:t>
      </w:r>
    </w:p>
    <w:bookmarkEnd w:id="0"/>
    <w:p w14:paraId="59FFE35F" w14:textId="77777777" w:rsidR="00AD0091" w:rsidRPr="00157A11" w:rsidRDefault="00AD0091" w:rsidP="000A58CD">
      <w:pPr>
        <w:pStyle w:val="Heading2"/>
        <w:spacing w:after="120"/>
        <w:jc w:val="center"/>
        <w:rPr>
          <w:lang w:val="fr-CA"/>
        </w:rPr>
      </w:pPr>
      <w:r w:rsidRPr="00157A11">
        <w:rPr>
          <w:lang w:val="fr-CA"/>
        </w:rPr>
        <w:t>Une nouvelle orientation en dotation - un système fondé sur le mérite</w:t>
      </w:r>
      <w:r w:rsidRPr="00157A11">
        <w:rPr>
          <w:rFonts w:asciiTheme="majorHAnsi" w:hAnsiTheme="majorHAnsi" w:cstheme="majorBidi"/>
          <w:color w:val="54575A" w:themeColor="text1"/>
          <w:lang w:val="fr-CA"/>
        </w:rPr>
        <w:t xml:space="preserve"> </w:t>
      </w:r>
      <w:r w:rsidRPr="00157A11">
        <w:rPr>
          <w:lang w:val="fr-CA"/>
        </w:rPr>
        <w:t>et axé sur l’efficacité, l’efficience et la justice</w:t>
      </w:r>
    </w:p>
    <w:p w14:paraId="48C2931F" w14:textId="77777777" w:rsidR="00AD0091" w:rsidRPr="00157A11" w:rsidRDefault="00AD0091" w:rsidP="00AD0091">
      <w:pPr>
        <w:pStyle w:val="Heading3"/>
        <w:spacing w:after="120"/>
        <w:rPr>
          <w:sz w:val="22"/>
          <w:szCs w:val="22"/>
          <w:lang w:val="fr-CA"/>
        </w:rPr>
      </w:pPr>
      <w:r w:rsidRPr="00157A11">
        <w:rPr>
          <w:sz w:val="22"/>
          <w:szCs w:val="22"/>
          <w:lang w:val="fr-CA"/>
        </w:rPr>
        <w:t>Politique de nomination</w:t>
      </w:r>
    </w:p>
    <w:p w14:paraId="6B92DD68" w14:textId="77777777" w:rsidR="00AD0091" w:rsidRPr="00157A11" w:rsidRDefault="00AD0091" w:rsidP="00AD0091">
      <w:pPr>
        <w:keepLines/>
        <w:spacing w:line="259" w:lineRule="auto"/>
        <w:rPr>
          <w:rFonts w:asciiTheme="minorHAnsi" w:eastAsiaTheme="minorHAnsi" w:hAnsiTheme="minorHAnsi" w:cstheme="minorHAnsi"/>
          <w:spacing w:val="-6"/>
          <w:sz w:val="22"/>
          <w:szCs w:val="22"/>
          <w:lang w:val="fr-CA"/>
        </w:rPr>
      </w:pPr>
      <w:r w:rsidRPr="00157A11">
        <w:rPr>
          <w:rStyle w:val="Strong"/>
          <w:rFonts w:eastAsiaTheme="minorHAnsi" w:cstheme="minorHAnsi"/>
          <w:szCs w:val="22"/>
          <w:lang w:val="fr-CA"/>
        </w:rPr>
        <w:t>L’accent est davantage mis sur  les exigences de base</w:t>
      </w:r>
      <w:r w:rsidRPr="00157A11">
        <w:rPr>
          <w:rFonts w:asciiTheme="minorHAnsi" w:eastAsiaTheme="minorHAnsi" w:hAnsiTheme="minorHAnsi" w:cstheme="minorHAnsi"/>
          <w:spacing w:val="-6"/>
          <w:sz w:val="22"/>
          <w:szCs w:val="22"/>
          <w:lang w:val="fr-CA"/>
        </w:rPr>
        <w:t xml:space="preserve"> afin de fournir aux personnes subdéléguées une plus grande  latitude à l’égard des nominations</w:t>
      </w:r>
    </w:p>
    <w:p w14:paraId="7C44D41E" w14:textId="77777777" w:rsidR="00AD0091" w:rsidRPr="00157A11" w:rsidRDefault="00AD0091" w:rsidP="00AD0091">
      <w:pPr>
        <w:keepLines/>
        <w:numPr>
          <w:ilvl w:val="0"/>
          <w:numId w:val="22"/>
        </w:numPr>
        <w:spacing w:line="259" w:lineRule="auto"/>
        <w:rPr>
          <w:rFonts w:asciiTheme="minorHAnsi" w:eastAsiaTheme="minorHAnsi" w:hAnsiTheme="minorHAnsi" w:cstheme="minorHAnsi"/>
          <w:spacing w:val="-6"/>
          <w:sz w:val="22"/>
          <w:szCs w:val="22"/>
          <w:lang w:val="fr-CA"/>
        </w:rPr>
      </w:pPr>
      <w:r w:rsidRPr="00157A11">
        <w:rPr>
          <w:rStyle w:val="Strong"/>
          <w:rFonts w:eastAsiaTheme="minorHAnsi" w:cstheme="minorHAnsi"/>
          <w:szCs w:val="22"/>
          <w:lang w:val="fr-CA"/>
        </w:rPr>
        <w:t>Une seule politique de nomination</w:t>
      </w:r>
      <w:r w:rsidRPr="00157A11">
        <w:rPr>
          <w:rFonts w:asciiTheme="minorHAnsi" w:eastAsiaTheme="minorHAnsi" w:hAnsiTheme="minorHAnsi" w:cstheme="minorHAnsi"/>
          <w:spacing w:val="-6"/>
          <w:sz w:val="22"/>
          <w:szCs w:val="22"/>
          <w:lang w:val="fr-CA"/>
        </w:rPr>
        <w:t xml:space="preserve">, sans chevauchement des obligations juridiques </w:t>
      </w:r>
    </w:p>
    <w:p w14:paraId="778A6E1E" w14:textId="77777777" w:rsidR="00AD0091" w:rsidRPr="00157A11" w:rsidRDefault="00AD0091" w:rsidP="00AD0091">
      <w:pPr>
        <w:keepLines/>
        <w:numPr>
          <w:ilvl w:val="0"/>
          <w:numId w:val="22"/>
        </w:numPr>
        <w:spacing w:line="259" w:lineRule="auto"/>
        <w:rPr>
          <w:rFonts w:asciiTheme="minorHAnsi" w:eastAsiaTheme="minorHAnsi" w:hAnsiTheme="minorHAnsi" w:cstheme="minorHAnsi"/>
          <w:spacing w:val="-6"/>
          <w:sz w:val="22"/>
          <w:szCs w:val="22"/>
          <w:lang w:val="fr-CA"/>
        </w:rPr>
      </w:pPr>
      <w:r w:rsidRPr="00157A11">
        <w:rPr>
          <w:rStyle w:val="Strong"/>
          <w:rFonts w:eastAsiaTheme="minorHAnsi" w:cstheme="minorHAnsi"/>
          <w:szCs w:val="22"/>
          <w:lang w:val="fr-CA"/>
        </w:rPr>
        <w:t>Accent accru sur un système axé sur les valeurs</w:t>
      </w:r>
      <w:r w:rsidRPr="00157A11">
        <w:rPr>
          <w:rFonts w:asciiTheme="minorHAnsi" w:eastAsiaTheme="minorHAnsi" w:hAnsiTheme="minorHAnsi" w:cstheme="minorHAnsi"/>
          <w:sz w:val="22"/>
          <w:szCs w:val="22"/>
          <w:lang w:val="fr-CA"/>
        </w:rPr>
        <w:t xml:space="preserve"> plutôt que sur un </w:t>
      </w:r>
      <w:r w:rsidRPr="00157A11">
        <w:rPr>
          <w:rFonts w:asciiTheme="minorHAnsi" w:eastAsiaTheme="minorHAnsi" w:hAnsiTheme="minorHAnsi" w:cstheme="minorHAnsi"/>
          <w:spacing w:val="-6"/>
          <w:sz w:val="22"/>
          <w:szCs w:val="22"/>
          <w:lang w:val="fr-CA"/>
        </w:rPr>
        <w:t>système axé sur les règles</w:t>
      </w:r>
      <w:r w:rsidRPr="00157A11">
        <w:rPr>
          <w:rFonts w:asciiTheme="minorHAnsi" w:eastAsiaTheme="minorHAnsi" w:hAnsiTheme="minorHAnsi" w:cstheme="minorHAnsi"/>
          <w:b/>
          <w:spacing w:val="-6"/>
          <w:sz w:val="22"/>
          <w:szCs w:val="22"/>
          <w:lang w:val="fr-CA"/>
        </w:rPr>
        <w:t xml:space="preserve"> </w:t>
      </w:r>
    </w:p>
    <w:p w14:paraId="14AF7268" w14:textId="77777777" w:rsidR="00AD0091" w:rsidRPr="00157A11" w:rsidRDefault="00AD0091" w:rsidP="00AD0091">
      <w:pPr>
        <w:keepLines/>
        <w:numPr>
          <w:ilvl w:val="0"/>
          <w:numId w:val="22"/>
        </w:numPr>
        <w:spacing w:line="259" w:lineRule="auto"/>
        <w:rPr>
          <w:rFonts w:asciiTheme="minorHAnsi" w:eastAsiaTheme="minorHAnsi" w:hAnsiTheme="minorHAnsi" w:cstheme="minorHAnsi"/>
          <w:spacing w:val="-6"/>
          <w:sz w:val="22"/>
          <w:szCs w:val="22"/>
          <w:lang w:val="fr-CA"/>
        </w:rPr>
      </w:pPr>
      <w:r w:rsidRPr="00157A11">
        <w:rPr>
          <w:rFonts w:asciiTheme="minorHAnsi" w:eastAsiaTheme="minorHAnsi" w:hAnsiTheme="minorHAnsi" w:cstheme="minorHAnsi"/>
          <w:spacing w:val="-6"/>
          <w:sz w:val="22"/>
          <w:szCs w:val="22"/>
          <w:lang w:val="fr-CA"/>
        </w:rPr>
        <w:t xml:space="preserve">Politique de nomination appuyée par une </w:t>
      </w:r>
      <w:r w:rsidRPr="00157A11">
        <w:rPr>
          <w:rStyle w:val="Strong"/>
          <w:rFonts w:eastAsiaTheme="minorHAnsi" w:cstheme="minorHAnsi"/>
          <w:szCs w:val="22"/>
          <w:lang w:val="fr-CA"/>
        </w:rPr>
        <w:t>orientation rationalisée</w:t>
      </w:r>
      <w:r w:rsidRPr="00157A11">
        <w:rPr>
          <w:rFonts w:asciiTheme="minorHAnsi" w:eastAsiaTheme="minorHAnsi" w:hAnsiTheme="minorHAnsi" w:cstheme="minorHAnsi"/>
          <w:b/>
          <w:spacing w:val="-6"/>
          <w:sz w:val="22"/>
          <w:szCs w:val="22"/>
          <w:lang w:val="fr-CA"/>
        </w:rPr>
        <w:t xml:space="preserve"> </w:t>
      </w:r>
      <w:r w:rsidRPr="00157A11">
        <w:rPr>
          <w:rFonts w:asciiTheme="minorHAnsi" w:eastAsiaTheme="minorHAnsi" w:hAnsiTheme="minorHAnsi" w:cstheme="minorHAnsi"/>
          <w:spacing w:val="-6"/>
          <w:sz w:val="22"/>
          <w:szCs w:val="22"/>
          <w:lang w:val="fr-CA"/>
        </w:rPr>
        <w:t>:</w:t>
      </w:r>
    </w:p>
    <w:p w14:paraId="29C4BCD9" w14:textId="77777777" w:rsidR="00AD0091" w:rsidRPr="00157A11" w:rsidRDefault="00AD0091" w:rsidP="00AD0091">
      <w:pPr>
        <w:keepLines/>
        <w:numPr>
          <w:ilvl w:val="1"/>
          <w:numId w:val="11"/>
        </w:numPr>
        <w:spacing w:line="259" w:lineRule="auto"/>
        <w:ind w:left="1508" w:hanging="425"/>
        <w:rPr>
          <w:rFonts w:asciiTheme="minorHAnsi" w:eastAsiaTheme="minorHAnsi" w:hAnsiTheme="minorHAnsi" w:cstheme="minorHAnsi"/>
          <w:spacing w:val="-6"/>
          <w:sz w:val="22"/>
          <w:szCs w:val="22"/>
          <w:lang w:val="fr-CA"/>
        </w:rPr>
      </w:pPr>
      <w:r w:rsidRPr="00157A11">
        <w:rPr>
          <w:rFonts w:asciiTheme="minorHAnsi" w:eastAsiaTheme="minorHAnsi" w:hAnsiTheme="minorHAnsi" w:cstheme="minorHAnsi"/>
          <w:spacing w:val="-6"/>
          <w:sz w:val="22"/>
          <w:szCs w:val="22"/>
          <w:lang w:val="fr-CA"/>
        </w:rPr>
        <w:t>Feuille de route précisant les exigences relatives aux lois, règlements et politiques</w:t>
      </w:r>
    </w:p>
    <w:p w14:paraId="7B8DAC17" w14:textId="77777777" w:rsidR="00AD0091" w:rsidRPr="00157A11" w:rsidRDefault="00AD0091" w:rsidP="00AD0091">
      <w:pPr>
        <w:keepLines/>
        <w:numPr>
          <w:ilvl w:val="1"/>
          <w:numId w:val="11"/>
        </w:numPr>
        <w:spacing w:line="259" w:lineRule="auto"/>
        <w:ind w:left="1508" w:hanging="425"/>
        <w:rPr>
          <w:rFonts w:asciiTheme="minorHAnsi" w:eastAsiaTheme="minorHAnsi" w:hAnsiTheme="minorHAnsi" w:cstheme="minorHAnsi"/>
          <w:spacing w:val="-6"/>
          <w:sz w:val="22"/>
          <w:szCs w:val="22"/>
          <w:lang w:val="fr-CA"/>
        </w:rPr>
      </w:pPr>
      <w:r w:rsidRPr="00157A11">
        <w:rPr>
          <w:rFonts w:asciiTheme="minorHAnsi" w:eastAsiaTheme="minorHAnsi" w:hAnsiTheme="minorHAnsi" w:cstheme="minorHAnsi"/>
          <w:spacing w:val="-6"/>
          <w:sz w:val="22"/>
          <w:szCs w:val="22"/>
          <w:lang w:val="fr-CA"/>
        </w:rPr>
        <w:t>Options et considérations relatives à  la prise de décisions dans les cas où il existe une certaine latitude</w:t>
      </w:r>
    </w:p>
    <w:p w14:paraId="050FF7B4" w14:textId="77777777" w:rsidR="00AD0091" w:rsidRPr="00157A11" w:rsidRDefault="00AD0091" w:rsidP="00AD0091">
      <w:pPr>
        <w:keepLines/>
        <w:numPr>
          <w:ilvl w:val="0"/>
          <w:numId w:val="23"/>
        </w:numPr>
        <w:spacing w:line="259" w:lineRule="auto"/>
        <w:rPr>
          <w:rFonts w:asciiTheme="minorHAnsi" w:eastAsiaTheme="minorHAnsi" w:hAnsiTheme="minorHAnsi" w:cstheme="minorHAnsi"/>
          <w:spacing w:val="-6"/>
          <w:sz w:val="22"/>
          <w:szCs w:val="22"/>
          <w:lang w:val="fr-CA"/>
        </w:rPr>
      </w:pPr>
      <w:r w:rsidRPr="00157A11">
        <w:rPr>
          <w:rStyle w:val="Strong"/>
          <w:rFonts w:eastAsiaTheme="minorHAnsi" w:cstheme="minorHAnsi"/>
          <w:szCs w:val="22"/>
          <w:lang w:val="fr-CA"/>
        </w:rPr>
        <w:t>Attentes clairement définies</w:t>
      </w:r>
      <w:r w:rsidRPr="00157A11">
        <w:rPr>
          <w:rFonts w:asciiTheme="minorHAnsi" w:eastAsiaTheme="minorHAnsi" w:hAnsiTheme="minorHAnsi" w:cstheme="minorHAnsi"/>
          <w:spacing w:val="-6"/>
          <w:sz w:val="22"/>
          <w:szCs w:val="22"/>
          <w:lang w:val="fr-CA"/>
        </w:rPr>
        <w:t xml:space="preserve"> quant aux droits de priorité</w:t>
      </w:r>
    </w:p>
    <w:p w14:paraId="509E65EB" w14:textId="77777777" w:rsidR="00AD0091" w:rsidRPr="00157A11" w:rsidRDefault="00AD0091" w:rsidP="00AD0091">
      <w:pPr>
        <w:keepLines/>
        <w:numPr>
          <w:ilvl w:val="0"/>
          <w:numId w:val="23"/>
        </w:numPr>
        <w:spacing w:line="259" w:lineRule="auto"/>
        <w:rPr>
          <w:rFonts w:asciiTheme="minorHAnsi" w:eastAsiaTheme="minorHAnsi" w:hAnsiTheme="minorHAnsi" w:cstheme="minorHAnsi"/>
          <w:spacing w:val="-6"/>
          <w:sz w:val="22"/>
          <w:szCs w:val="22"/>
          <w:lang w:val="fr-CA"/>
        </w:rPr>
      </w:pPr>
      <w:r w:rsidRPr="00157A11">
        <w:rPr>
          <w:rFonts w:asciiTheme="minorHAnsi" w:eastAsiaTheme="minorHAnsi" w:hAnsiTheme="minorHAnsi" w:cstheme="minorHAnsi"/>
          <w:spacing w:val="-6"/>
          <w:sz w:val="22"/>
          <w:szCs w:val="22"/>
          <w:lang w:val="fr-CA"/>
        </w:rPr>
        <w:t>Aucune restriction quant aux méthodes d’évaluation pour la  nomination des cadres de direction (EX)</w:t>
      </w:r>
    </w:p>
    <w:p w14:paraId="67B8C4AE" w14:textId="77777777" w:rsidR="00AD0091" w:rsidRPr="00157A11" w:rsidRDefault="00AD0091" w:rsidP="00AD0091">
      <w:pPr>
        <w:keepLines/>
        <w:numPr>
          <w:ilvl w:val="0"/>
          <w:numId w:val="23"/>
        </w:numPr>
        <w:spacing w:after="240" w:line="259" w:lineRule="auto"/>
        <w:rPr>
          <w:rFonts w:asciiTheme="minorHAnsi" w:eastAsiaTheme="minorHAnsi" w:hAnsiTheme="minorHAnsi" w:cstheme="minorHAnsi"/>
          <w:spacing w:val="-6"/>
          <w:sz w:val="22"/>
          <w:szCs w:val="22"/>
          <w:lang w:val="fr-CA"/>
        </w:rPr>
      </w:pPr>
      <w:r w:rsidRPr="00157A11">
        <w:rPr>
          <w:rFonts w:asciiTheme="minorHAnsi" w:eastAsiaTheme="minorHAnsi" w:hAnsiTheme="minorHAnsi" w:cstheme="minorHAnsi"/>
          <w:spacing w:val="-6"/>
          <w:sz w:val="22"/>
          <w:szCs w:val="22"/>
          <w:lang w:val="fr-CA"/>
        </w:rPr>
        <w:t>Exceptions à la zone nationale de sélection approuvées</w:t>
      </w:r>
    </w:p>
    <w:p w14:paraId="365E3F06" w14:textId="77777777" w:rsidR="00AD0091" w:rsidRPr="00157A11" w:rsidRDefault="00AD0091" w:rsidP="00AD0091">
      <w:pPr>
        <w:pStyle w:val="Heading3"/>
        <w:spacing w:after="120"/>
        <w:rPr>
          <w:sz w:val="22"/>
          <w:szCs w:val="22"/>
          <w:lang w:val="fr-CA"/>
        </w:rPr>
      </w:pPr>
      <w:r w:rsidRPr="00157A11">
        <w:rPr>
          <w:sz w:val="22"/>
          <w:szCs w:val="22"/>
          <w:lang w:val="fr-CA"/>
        </w:rPr>
        <w:t>Délégation</w:t>
      </w:r>
    </w:p>
    <w:p w14:paraId="58A48DAA" w14:textId="77777777" w:rsidR="00AD0091" w:rsidRPr="00157A11" w:rsidRDefault="00AD0091" w:rsidP="00AD0091">
      <w:pPr>
        <w:pStyle w:val="ListParagraph"/>
        <w:keepLines/>
        <w:numPr>
          <w:ilvl w:val="0"/>
          <w:numId w:val="24"/>
        </w:numPr>
        <w:spacing w:after="0" w:line="259" w:lineRule="auto"/>
        <w:rPr>
          <w:rFonts w:asciiTheme="minorHAnsi" w:eastAsiaTheme="minorHAnsi" w:hAnsiTheme="minorHAnsi" w:cstheme="minorHAnsi"/>
          <w:spacing w:val="-8"/>
          <w:sz w:val="22"/>
          <w:szCs w:val="22"/>
          <w:lang w:val="fr-CA"/>
        </w:rPr>
      </w:pPr>
      <w:r w:rsidRPr="00157A11">
        <w:rPr>
          <w:rStyle w:val="Strong"/>
          <w:rFonts w:eastAsiaTheme="minorHAnsi" w:cstheme="minorHAnsi"/>
          <w:szCs w:val="22"/>
          <w:lang w:val="fr-CA"/>
        </w:rPr>
        <w:t>L’accent est davantage mis sur la capacité d’adapter le système de dotation  de l’organisation</w:t>
      </w:r>
      <w:r w:rsidRPr="00157A11">
        <w:rPr>
          <w:rFonts w:asciiTheme="minorHAnsi" w:eastAsiaTheme="minorHAnsi" w:hAnsiTheme="minorHAnsi" w:cstheme="minorHAnsi"/>
          <w:b/>
          <w:bCs/>
          <w:spacing w:val="-8"/>
          <w:sz w:val="22"/>
          <w:szCs w:val="22"/>
          <w:lang w:val="fr-CA"/>
        </w:rPr>
        <w:t xml:space="preserve"> </w:t>
      </w:r>
      <w:r w:rsidRPr="00157A11">
        <w:rPr>
          <w:rFonts w:asciiTheme="minorHAnsi" w:eastAsiaTheme="minorHAnsi" w:hAnsiTheme="minorHAnsi" w:cstheme="minorHAnsi"/>
          <w:spacing w:val="-8"/>
          <w:sz w:val="22"/>
          <w:szCs w:val="22"/>
          <w:lang w:val="fr-CA"/>
        </w:rPr>
        <w:t xml:space="preserve">en fonction du contexte particulier et des besoins opérationnels en évolution </w:t>
      </w:r>
    </w:p>
    <w:p w14:paraId="3BDB8D59" w14:textId="77777777" w:rsidR="00AD0091" w:rsidRPr="00157A11" w:rsidRDefault="00AD0091" w:rsidP="00AD0091">
      <w:pPr>
        <w:keepLines/>
        <w:numPr>
          <w:ilvl w:val="0"/>
          <w:numId w:val="24"/>
        </w:numPr>
        <w:spacing w:line="259" w:lineRule="auto"/>
        <w:rPr>
          <w:rStyle w:val="Strong"/>
          <w:rFonts w:eastAsiaTheme="minorHAnsi" w:cstheme="minorHAnsi"/>
          <w:szCs w:val="22"/>
          <w:lang w:val="fr-CA"/>
        </w:rPr>
      </w:pPr>
      <w:r w:rsidRPr="00157A11">
        <w:rPr>
          <w:rFonts w:asciiTheme="minorHAnsi" w:eastAsiaTheme="minorHAnsi" w:hAnsiTheme="minorHAnsi" w:cstheme="minorHAnsi"/>
          <w:spacing w:val="-8"/>
          <w:sz w:val="22"/>
          <w:szCs w:val="22"/>
          <w:lang w:val="fr-CA"/>
        </w:rPr>
        <w:t xml:space="preserve">L’administrateur général établit une orientation quant à </w:t>
      </w:r>
      <w:r w:rsidRPr="00157A11">
        <w:rPr>
          <w:rStyle w:val="Strong"/>
          <w:rFonts w:eastAsiaTheme="minorHAnsi" w:cstheme="minorHAnsi"/>
          <w:szCs w:val="22"/>
          <w:lang w:val="fr-CA"/>
        </w:rPr>
        <w:t xml:space="preserve">l’utilisation des processus de nomination annoncés et non annoncés </w:t>
      </w:r>
    </w:p>
    <w:p w14:paraId="70CA59F5" w14:textId="77777777" w:rsidR="00AD0091" w:rsidRPr="00157A11" w:rsidRDefault="00AD0091" w:rsidP="00AD0091">
      <w:pPr>
        <w:keepLines/>
        <w:numPr>
          <w:ilvl w:val="0"/>
          <w:numId w:val="24"/>
        </w:numPr>
        <w:spacing w:line="259" w:lineRule="auto"/>
        <w:rPr>
          <w:rStyle w:val="Strong"/>
          <w:rFonts w:eastAsiaTheme="minorHAnsi" w:cstheme="minorHAnsi"/>
          <w:szCs w:val="22"/>
          <w:lang w:val="fr-CA"/>
        </w:rPr>
      </w:pPr>
      <w:r w:rsidRPr="00157A11">
        <w:rPr>
          <w:rFonts w:asciiTheme="minorHAnsi" w:eastAsiaTheme="minorHAnsi" w:hAnsiTheme="minorHAnsi" w:cstheme="minorHAnsi"/>
          <w:spacing w:val="-8"/>
          <w:sz w:val="22"/>
          <w:szCs w:val="22"/>
          <w:lang w:val="fr-CA"/>
        </w:rPr>
        <w:t xml:space="preserve">L’administrateur général établit les exigences pour les personnes subdéléguées </w:t>
      </w:r>
      <w:r w:rsidRPr="00157A11">
        <w:rPr>
          <w:rStyle w:val="Strong"/>
          <w:rFonts w:eastAsiaTheme="minorHAnsi" w:cstheme="minorHAnsi"/>
          <w:szCs w:val="22"/>
          <w:lang w:val="fr-CA"/>
        </w:rPr>
        <w:t>de formuler, par écrit, la décision de sélection</w:t>
      </w:r>
    </w:p>
    <w:p w14:paraId="1DEA08E9" w14:textId="77777777" w:rsidR="00AD0091" w:rsidRPr="00157A11" w:rsidRDefault="00AD0091" w:rsidP="00AD0091">
      <w:pPr>
        <w:keepLines/>
        <w:numPr>
          <w:ilvl w:val="0"/>
          <w:numId w:val="24"/>
        </w:numPr>
        <w:spacing w:line="259" w:lineRule="auto"/>
        <w:rPr>
          <w:rFonts w:asciiTheme="minorHAnsi" w:eastAsiaTheme="minorHAnsi" w:hAnsiTheme="minorHAnsi" w:cstheme="minorHAnsi"/>
          <w:spacing w:val="-8"/>
          <w:sz w:val="22"/>
          <w:szCs w:val="22"/>
          <w:lang w:val="fr-CA"/>
        </w:rPr>
      </w:pPr>
      <w:r w:rsidRPr="00157A11">
        <w:rPr>
          <w:rFonts w:asciiTheme="minorHAnsi" w:eastAsiaTheme="minorHAnsi" w:hAnsiTheme="minorHAnsi" w:cstheme="minorHAnsi"/>
          <w:spacing w:val="-8"/>
          <w:sz w:val="22"/>
          <w:szCs w:val="22"/>
          <w:lang w:val="fr-CA"/>
        </w:rPr>
        <w:t>Exigences plus claires concernant les enquêtes</w:t>
      </w:r>
    </w:p>
    <w:p w14:paraId="3664A4B1" w14:textId="77777777" w:rsidR="00AD0091" w:rsidRPr="00157A11" w:rsidRDefault="00AD0091" w:rsidP="00AD0091">
      <w:pPr>
        <w:keepLines/>
        <w:numPr>
          <w:ilvl w:val="0"/>
          <w:numId w:val="24"/>
        </w:numPr>
        <w:spacing w:line="259" w:lineRule="auto"/>
        <w:rPr>
          <w:rFonts w:asciiTheme="minorHAnsi" w:eastAsiaTheme="minorHAnsi" w:hAnsiTheme="minorHAnsi" w:cstheme="minorHAnsi"/>
          <w:spacing w:val="-8"/>
          <w:sz w:val="22"/>
          <w:szCs w:val="22"/>
          <w:lang w:val="fr-CA"/>
        </w:rPr>
      </w:pPr>
      <w:r w:rsidRPr="00157A11">
        <w:rPr>
          <w:rStyle w:val="Strong"/>
          <w:rFonts w:eastAsiaTheme="minorHAnsi" w:cstheme="minorHAnsi"/>
          <w:szCs w:val="22"/>
          <w:lang w:val="fr-CA"/>
        </w:rPr>
        <w:t>Formulaire d’attestation</w:t>
      </w:r>
      <w:r w:rsidRPr="00157A11">
        <w:rPr>
          <w:rFonts w:asciiTheme="minorHAnsi" w:eastAsiaTheme="minorHAnsi" w:hAnsiTheme="minorHAnsi" w:cstheme="minorHAnsi"/>
          <w:spacing w:val="-8"/>
          <w:sz w:val="22"/>
          <w:szCs w:val="22"/>
          <w:lang w:val="fr-CA"/>
        </w:rPr>
        <w:t xml:space="preserve"> réitérant les responsabilités des personnes subdéléguées</w:t>
      </w:r>
    </w:p>
    <w:p w14:paraId="4E0EF02B" w14:textId="77777777" w:rsidR="00AD0091" w:rsidRPr="00157A11" w:rsidRDefault="00AD0091" w:rsidP="00AD0091">
      <w:pPr>
        <w:keepLines/>
        <w:spacing w:after="160" w:line="259" w:lineRule="auto"/>
        <w:ind w:right="-202"/>
        <w:rPr>
          <w:rFonts w:asciiTheme="minorHAnsi" w:eastAsiaTheme="minorHAnsi" w:hAnsiTheme="minorHAnsi" w:cstheme="minorHAnsi"/>
          <w:spacing w:val="-8"/>
          <w:sz w:val="22"/>
          <w:szCs w:val="22"/>
          <w:lang w:val="fr-CA"/>
        </w:rPr>
      </w:pPr>
      <w:r w:rsidRPr="00157A11">
        <w:rPr>
          <w:rFonts w:asciiTheme="minorHAnsi" w:eastAsiaTheme="minorHAnsi" w:hAnsiTheme="minorHAnsi" w:cstheme="minorHAnsi"/>
          <w:spacing w:val="-8"/>
          <w:sz w:val="22"/>
          <w:szCs w:val="22"/>
          <w:lang w:val="fr-CA"/>
        </w:rPr>
        <w:t>Toutes les exigences de la CFP en matière de surveillance et de présentation de rapports figurent maintenant dans l’Instrument de délégation et de responsabilisation en matière de nomination</w:t>
      </w:r>
    </w:p>
    <w:p w14:paraId="2E20819B" w14:textId="77777777" w:rsidR="00AD0091" w:rsidRPr="00157A11" w:rsidRDefault="00AD0091" w:rsidP="00AD0091">
      <w:pPr>
        <w:pStyle w:val="Heading3"/>
        <w:spacing w:after="120"/>
        <w:rPr>
          <w:sz w:val="22"/>
          <w:szCs w:val="22"/>
          <w:lang w:val="fr-CA"/>
        </w:rPr>
      </w:pPr>
      <w:r w:rsidRPr="00157A11">
        <w:rPr>
          <w:sz w:val="22"/>
          <w:szCs w:val="22"/>
          <w:lang w:val="fr-CA"/>
        </w:rPr>
        <w:t>Surveillance et rapports</w:t>
      </w:r>
    </w:p>
    <w:p w14:paraId="3018E4F0" w14:textId="77777777" w:rsidR="00AD0091" w:rsidRPr="00157A11" w:rsidRDefault="00AD0091" w:rsidP="00AD0091">
      <w:pPr>
        <w:spacing w:after="120"/>
        <w:rPr>
          <w:rFonts w:asciiTheme="minorHAnsi" w:eastAsiaTheme="minorHAnsi" w:hAnsiTheme="minorHAnsi" w:cstheme="minorHAnsi"/>
          <w:sz w:val="22"/>
          <w:szCs w:val="22"/>
          <w:highlight w:val="yellow"/>
          <w:lang w:val="fr-CA"/>
        </w:rPr>
      </w:pPr>
      <w:r w:rsidRPr="00157A11">
        <w:rPr>
          <w:rStyle w:val="Strong"/>
          <w:rFonts w:eastAsiaTheme="minorHAnsi" w:cstheme="minorHAnsi"/>
          <w:szCs w:val="22"/>
          <w:lang w:val="fr-CA"/>
        </w:rPr>
        <w:t>La surveillance est établie par les organisations</w:t>
      </w:r>
      <w:r w:rsidRPr="00157A11">
        <w:rPr>
          <w:rFonts w:asciiTheme="minorHAnsi" w:eastAsiaTheme="minorHAnsi" w:hAnsiTheme="minorHAnsi" w:cstheme="minorHAnsi"/>
          <w:sz w:val="22"/>
          <w:szCs w:val="22"/>
          <w:lang w:val="fr-CA"/>
        </w:rPr>
        <w:t>, ciblée à leurs besoins</w:t>
      </w:r>
    </w:p>
    <w:p w14:paraId="4613858E" w14:textId="77777777" w:rsidR="00AD0091" w:rsidRPr="00157A11" w:rsidRDefault="00AD0091" w:rsidP="00AD0091">
      <w:pPr>
        <w:pStyle w:val="ListParagraph"/>
        <w:numPr>
          <w:ilvl w:val="0"/>
          <w:numId w:val="25"/>
        </w:numPr>
        <w:spacing w:after="0"/>
        <w:contextualSpacing w:val="0"/>
        <w:rPr>
          <w:rFonts w:asciiTheme="minorHAnsi" w:eastAsiaTheme="minorHAnsi" w:hAnsiTheme="minorHAnsi" w:cstheme="minorHAnsi"/>
          <w:sz w:val="22"/>
          <w:szCs w:val="22"/>
          <w:lang w:val="fr-CA"/>
        </w:rPr>
      </w:pPr>
      <w:r w:rsidRPr="00157A11">
        <w:rPr>
          <w:rFonts w:asciiTheme="minorHAnsi" w:eastAsiaTheme="minorHAnsi" w:hAnsiTheme="minorHAnsi" w:cstheme="minorHAnsi"/>
          <w:sz w:val="22"/>
          <w:szCs w:val="22"/>
          <w:lang w:val="fr-CA"/>
        </w:rPr>
        <w:t>Le Rapport ministériel sur l’obligation de rendre compte en dotation n’est plus requis</w:t>
      </w:r>
    </w:p>
    <w:p w14:paraId="75F78587" w14:textId="77777777" w:rsidR="00AD0091" w:rsidRPr="00157A11" w:rsidRDefault="00AD0091" w:rsidP="00AD0091">
      <w:pPr>
        <w:pStyle w:val="ListParagraph"/>
        <w:numPr>
          <w:ilvl w:val="0"/>
          <w:numId w:val="25"/>
        </w:numPr>
        <w:spacing w:after="0"/>
        <w:contextualSpacing w:val="0"/>
        <w:rPr>
          <w:rFonts w:asciiTheme="minorHAnsi" w:eastAsiaTheme="minorHAnsi" w:hAnsiTheme="minorHAnsi" w:cstheme="minorHAnsi"/>
          <w:sz w:val="22"/>
          <w:szCs w:val="22"/>
          <w:lang w:val="fr-CA"/>
        </w:rPr>
      </w:pPr>
      <w:r w:rsidRPr="00157A11">
        <w:rPr>
          <w:rStyle w:val="Strong"/>
          <w:rFonts w:eastAsiaTheme="minorHAnsi" w:cstheme="minorHAnsi"/>
          <w:szCs w:val="22"/>
          <w:lang w:val="fr-CA"/>
        </w:rPr>
        <w:t>Le rapport annuel à la CFP portera seulement</w:t>
      </w:r>
      <w:r w:rsidRPr="00157A11">
        <w:rPr>
          <w:rFonts w:asciiTheme="minorHAnsi" w:eastAsiaTheme="minorHAnsi" w:hAnsiTheme="minorHAnsi" w:cstheme="minorHAnsi"/>
          <w:sz w:val="22"/>
          <w:szCs w:val="22"/>
          <w:lang w:val="fr-CA"/>
        </w:rPr>
        <w:t xml:space="preserve"> sur :</w:t>
      </w:r>
    </w:p>
    <w:p w14:paraId="33CA904B" w14:textId="77777777" w:rsidR="00AD0091" w:rsidRPr="00157A11" w:rsidRDefault="00AD0091" w:rsidP="00AD0091">
      <w:pPr>
        <w:pStyle w:val="ListParagraph"/>
        <w:numPr>
          <w:ilvl w:val="0"/>
          <w:numId w:val="19"/>
        </w:numPr>
        <w:spacing w:after="0"/>
        <w:contextualSpacing w:val="0"/>
        <w:rPr>
          <w:rFonts w:asciiTheme="minorHAnsi" w:eastAsiaTheme="minorHAnsi" w:hAnsiTheme="minorHAnsi" w:cstheme="minorHAnsi"/>
          <w:sz w:val="22"/>
          <w:szCs w:val="22"/>
          <w:lang w:val="fr-CA"/>
        </w:rPr>
      </w:pPr>
      <w:r w:rsidRPr="00157A11">
        <w:rPr>
          <w:rFonts w:asciiTheme="minorHAnsi" w:eastAsiaTheme="minorHAnsi" w:hAnsiTheme="minorHAnsi" w:cstheme="minorHAnsi"/>
          <w:sz w:val="22"/>
          <w:szCs w:val="22"/>
          <w:lang w:val="fr-CA"/>
        </w:rPr>
        <w:t>l’utilisation du Décret d’exemption concernant les langues officielles dans la fonction publique</w:t>
      </w:r>
    </w:p>
    <w:p w14:paraId="7D0E57A6" w14:textId="77777777" w:rsidR="00AD0091" w:rsidRPr="00157A11" w:rsidRDefault="00AD0091" w:rsidP="00AD0091">
      <w:pPr>
        <w:pStyle w:val="ListParagraph"/>
        <w:numPr>
          <w:ilvl w:val="0"/>
          <w:numId w:val="19"/>
        </w:numPr>
        <w:spacing w:after="0"/>
        <w:contextualSpacing w:val="0"/>
        <w:rPr>
          <w:rFonts w:asciiTheme="minorHAnsi" w:eastAsiaTheme="minorHAnsi" w:hAnsiTheme="minorHAnsi" w:cstheme="minorHAnsi"/>
          <w:sz w:val="22"/>
          <w:szCs w:val="22"/>
          <w:lang w:val="fr-CA"/>
        </w:rPr>
      </w:pPr>
      <w:r w:rsidRPr="00157A11">
        <w:rPr>
          <w:rFonts w:asciiTheme="minorHAnsi" w:eastAsiaTheme="minorHAnsi" w:hAnsiTheme="minorHAnsi" w:cstheme="minorHAnsi"/>
          <w:sz w:val="22"/>
          <w:szCs w:val="22"/>
          <w:lang w:val="fr-CA"/>
        </w:rPr>
        <w:t>les exceptions à la zone nationale de sélection approuvée par l’administrateur général</w:t>
      </w:r>
    </w:p>
    <w:p w14:paraId="2A45634F" w14:textId="77777777" w:rsidR="00AD0091" w:rsidRPr="00157A11" w:rsidRDefault="00AD0091" w:rsidP="00AD0091">
      <w:pPr>
        <w:pStyle w:val="ListParagraph"/>
        <w:numPr>
          <w:ilvl w:val="0"/>
          <w:numId w:val="19"/>
        </w:numPr>
        <w:spacing w:after="0"/>
        <w:contextualSpacing w:val="0"/>
        <w:rPr>
          <w:rFonts w:asciiTheme="minorHAnsi" w:eastAsiaTheme="minorHAnsi" w:hAnsiTheme="minorHAnsi" w:cstheme="minorHAnsi"/>
          <w:sz w:val="22"/>
          <w:szCs w:val="22"/>
          <w:lang w:val="fr-CA"/>
        </w:rPr>
      </w:pPr>
      <w:r w:rsidRPr="00157A11">
        <w:rPr>
          <w:rFonts w:asciiTheme="minorHAnsi" w:eastAsiaTheme="minorHAnsi" w:hAnsiTheme="minorHAnsi" w:cstheme="minorHAnsi"/>
          <w:sz w:val="22"/>
          <w:szCs w:val="22"/>
          <w:lang w:val="fr-CA"/>
        </w:rPr>
        <w:t xml:space="preserve">les résultats de toutes enquêtes internes </w:t>
      </w:r>
    </w:p>
    <w:p w14:paraId="42FF85AC" w14:textId="77777777" w:rsidR="00AD0091" w:rsidRPr="00157A11" w:rsidRDefault="00AD0091" w:rsidP="00AD0091">
      <w:pPr>
        <w:pStyle w:val="ListParagraph"/>
        <w:numPr>
          <w:ilvl w:val="0"/>
          <w:numId w:val="19"/>
        </w:numPr>
        <w:spacing w:after="0"/>
        <w:contextualSpacing w:val="0"/>
        <w:rPr>
          <w:rFonts w:asciiTheme="minorHAnsi" w:eastAsiaTheme="minorHAnsi" w:hAnsiTheme="minorHAnsi" w:cstheme="minorHAnsi"/>
          <w:sz w:val="22"/>
          <w:szCs w:val="22"/>
          <w:lang w:val="fr-CA"/>
        </w:rPr>
      </w:pPr>
      <w:r w:rsidRPr="00157A11">
        <w:rPr>
          <w:rFonts w:asciiTheme="minorHAnsi" w:eastAsiaTheme="minorHAnsi" w:hAnsiTheme="minorHAnsi" w:cstheme="minorHAnsi"/>
          <w:sz w:val="22"/>
          <w:szCs w:val="22"/>
          <w:lang w:val="fr-CA"/>
        </w:rPr>
        <w:t>les mesures prises à la suite de toutes enquêtes ou vérifications menées par la CFP</w:t>
      </w:r>
    </w:p>
    <w:p w14:paraId="5FB7E542" w14:textId="77777777" w:rsidR="00AD0091" w:rsidRPr="00157A11" w:rsidRDefault="00AD0091" w:rsidP="00AD0091">
      <w:pPr>
        <w:pStyle w:val="ListParagraph"/>
        <w:numPr>
          <w:ilvl w:val="0"/>
          <w:numId w:val="20"/>
        </w:numPr>
        <w:spacing w:after="0"/>
        <w:contextualSpacing w:val="0"/>
        <w:rPr>
          <w:rFonts w:asciiTheme="minorHAnsi" w:eastAsiaTheme="minorHAnsi" w:hAnsiTheme="minorHAnsi" w:cstheme="minorHAnsi"/>
          <w:sz w:val="22"/>
          <w:szCs w:val="22"/>
          <w:lang w:val="fr-CA"/>
        </w:rPr>
      </w:pPr>
      <w:r w:rsidRPr="00157A11">
        <w:rPr>
          <w:rFonts w:asciiTheme="minorHAnsi" w:eastAsiaTheme="minorHAnsi" w:hAnsiTheme="minorHAnsi" w:cstheme="minorHAnsi"/>
          <w:sz w:val="22"/>
          <w:szCs w:val="22"/>
          <w:lang w:val="fr-CA"/>
        </w:rPr>
        <w:t xml:space="preserve">L’administrateur général est responsable </w:t>
      </w:r>
      <w:r w:rsidRPr="00157A11">
        <w:rPr>
          <w:rStyle w:val="Strong"/>
          <w:rFonts w:eastAsiaTheme="minorHAnsi" w:cstheme="minorHAnsi"/>
          <w:szCs w:val="22"/>
          <w:lang w:val="fr-CA"/>
        </w:rPr>
        <w:t>de la surveillance continue du système de dotation</w:t>
      </w:r>
      <w:r w:rsidRPr="00157A11">
        <w:rPr>
          <w:rFonts w:asciiTheme="minorHAnsi" w:eastAsiaTheme="minorHAnsi" w:hAnsiTheme="minorHAnsi" w:cstheme="minorHAnsi"/>
          <w:sz w:val="22"/>
          <w:szCs w:val="22"/>
          <w:lang w:val="fr-CA"/>
        </w:rPr>
        <w:t xml:space="preserve"> de l’organisation en fonction de son contexte particulier</w:t>
      </w:r>
    </w:p>
    <w:p w14:paraId="2CE303A6" w14:textId="77777777" w:rsidR="00AD0091" w:rsidRPr="00157A11" w:rsidRDefault="00AD0091" w:rsidP="00AD0091">
      <w:pPr>
        <w:pStyle w:val="ListParagraph"/>
        <w:numPr>
          <w:ilvl w:val="0"/>
          <w:numId w:val="21"/>
        </w:numPr>
        <w:contextualSpacing w:val="0"/>
        <w:rPr>
          <w:rFonts w:asciiTheme="minorHAnsi" w:eastAsiaTheme="minorHAnsi" w:hAnsiTheme="minorHAnsi" w:cstheme="minorHAnsi"/>
          <w:sz w:val="22"/>
          <w:szCs w:val="22"/>
          <w:lang w:val="fr-CA"/>
        </w:rPr>
      </w:pPr>
      <w:r w:rsidRPr="00157A11">
        <w:rPr>
          <w:rStyle w:val="Strong"/>
          <w:rFonts w:eastAsiaTheme="minorHAnsi" w:cstheme="minorHAnsi"/>
          <w:szCs w:val="22"/>
          <w:lang w:val="fr-CA"/>
        </w:rPr>
        <w:t>examen de la conformité aux exigences</w:t>
      </w:r>
      <w:r w:rsidRPr="00157A11">
        <w:rPr>
          <w:rFonts w:asciiTheme="minorHAnsi" w:eastAsiaTheme="minorHAnsi" w:hAnsiTheme="minorHAnsi" w:cstheme="minorHAnsi"/>
          <w:sz w:val="22"/>
          <w:szCs w:val="22"/>
          <w:lang w:val="fr-CA"/>
        </w:rPr>
        <w:t>, fondé sur les risques spécifiques de l’organisation, au moins une fois tous les cinq ans</w:t>
      </w:r>
    </w:p>
    <w:p w14:paraId="1C0FB5A6" w14:textId="77777777" w:rsidR="00AD0091" w:rsidRPr="00157A11" w:rsidRDefault="00AD0091" w:rsidP="00AD0091">
      <w:pPr>
        <w:pStyle w:val="Heading3"/>
        <w:spacing w:after="120"/>
        <w:rPr>
          <w:sz w:val="22"/>
          <w:szCs w:val="22"/>
          <w:lang w:val="fr-CA"/>
        </w:rPr>
      </w:pPr>
      <w:r w:rsidRPr="00157A11">
        <w:rPr>
          <w:sz w:val="22"/>
          <w:szCs w:val="22"/>
          <w:lang w:val="fr-CA"/>
        </w:rPr>
        <w:lastRenderedPageBreak/>
        <w:t>Surveillance de la CFP</w:t>
      </w:r>
    </w:p>
    <w:p w14:paraId="21B85994" w14:textId="77777777" w:rsidR="00AD0091" w:rsidRPr="00157A11" w:rsidRDefault="00AD0091" w:rsidP="00AD0091">
      <w:pPr>
        <w:spacing w:after="120"/>
        <w:rPr>
          <w:rFonts w:asciiTheme="minorHAnsi" w:hAnsiTheme="minorHAnsi" w:cstheme="minorHAnsi"/>
          <w:sz w:val="22"/>
          <w:szCs w:val="22"/>
          <w:lang w:val="fr-CA"/>
        </w:rPr>
      </w:pPr>
      <w:r w:rsidRPr="00157A11">
        <w:rPr>
          <w:rFonts w:asciiTheme="minorHAnsi" w:hAnsiTheme="minorHAnsi" w:cstheme="minorHAnsi"/>
          <w:sz w:val="22"/>
          <w:szCs w:val="22"/>
          <w:lang w:val="fr-CA"/>
        </w:rPr>
        <w:t>Axée sur l’ensemble du système</w:t>
      </w:r>
    </w:p>
    <w:p w14:paraId="3851460D" w14:textId="77777777" w:rsidR="00AD0091" w:rsidRPr="00157A11" w:rsidRDefault="00AD0091" w:rsidP="00AD0091">
      <w:pPr>
        <w:pStyle w:val="ListParagraph"/>
        <w:numPr>
          <w:ilvl w:val="0"/>
          <w:numId w:val="26"/>
        </w:numPr>
        <w:spacing w:after="0"/>
        <w:ind w:left="723"/>
        <w:contextualSpacing w:val="0"/>
        <w:rPr>
          <w:rStyle w:val="Strong"/>
          <w:rFonts w:eastAsiaTheme="minorHAnsi" w:cstheme="minorHAnsi"/>
          <w:szCs w:val="22"/>
          <w:lang w:val="fr-CA"/>
        </w:rPr>
      </w:pPr>
      <w:r w:rsidRPr="00157A11">
        <w:rPr>
          <w:rStyle w:val="Strong"/>
          <w:rFonts w:eastAsiaTheme="minorHAnsi" w:cstheme="minorHAnsi"/>
          <w:szCs w:val="22"/>
          <w:lang w:val="fr-CA"/>
        </w:rPr>
        <w:t xml:space="preserve">Vérification de la conformité pangouvernementale tous les deux ans </w:t>
      </w:r>
    </w:p>
    <w:p w14:paraId="20F93EE9" w14:textId="77777777" w:rsidR="00AD0091" w:rsidRPr="00157A11" w:rsidRDefault="00AD0091" w:rsidP="00AD0091">
      <w:pPr>
        <w:pStyle w:val="ListParagraph"/>
        <w:numPr>
          <w:ilvl w:val="0"/>
          <w:numId w:val="26"/>
        </w:numPr>
        <w:spacing w:after="0"/>
        <w:ind w:left="723"/>
        <w:contextualSpacing w:val="0"/>
        <w:rPr>
          <w:rFonts w:asciiTheme="minorHAnsi" w:eastAsiaTheme="minorHAnsi" w:hAnsiTheme="minorHAnsi" w:cstheme="minorHAnsi"/>
          <w:sz w:val="22"/>
          <w:szCs w:val="22"/>
          <w:lang w:val="fr-CA"/>
        </w:rPr>
      </w:pPr>
      <w:r w:rsidRPr="00157A11">
        <w:rPr>
          <w:rStyle w:val="Strong"/>
          <w:rFonts w:eastAsiaTheme="minorHAnsi" w:cstheme="minorHAnsi"/>
          <w:szCs w:val="22"/>
          <w:lang w:val="fr-CA"/>
        </w:rPr>
        <w:t>Nouveau Sondage sur la dotation</w:t>
      </w:r>
      <w:r w:rsidRPr="00157A11">
        <w:rPr>
          <w:rFonts w:asciiTheme="minorHAnsi" w:eastAsiaTheme="minorHAnsi" w:hAnsiTheme="minorHAnsi" w:cstheme="minorHAnsi"/>
          <w:sz w:val="22"/>
          <w:szCs w:val="22"/>
          <w:lang w:val="fr-CA"/>
        </w:rPr>
        <w:t xml:space="preserve"> administré en alternance avec la vérification pangouvernementale</w:t>
      </w:r>
    </w:p>
    <w:p w14:paraId="14EF307D" w14:textId="77777777" w:rsidR="00AD0091" w:rsidRPr="00157A11" w:rsidRDefault="00AD0091" w:rsidP="00AD0091">
      <w:pPr>
        <w:pStyle w:val="ListParagraph"/>
        <w:numPr>
          <w:ilvl w:val="0"/>
          <w:numId w:val="26"/>
        </w:numPr>
        <w:spacing w:after="0"/>
        <w:ind w:left="723"/>
        <w:contextualSpacing w:val="0"/>
        <w:rPr>
          <w:rFonts w:asciiTheme="minorHAnsi" w:eastAsiaTheme="minorHAnsi" w:hAnsiTheme="minorHAnsi" w:cstheme="minorHAnsi"/>
          <w:sz w:val="22"/>
          <w:szCs w:val="22"/>
          <w:lang w:val="fr-CA"/>
        </w:rPr>
      </w:pPr>
      <w:r w:rsidRPr="00157A11">
        <w:rPr>
          <w:rStyle w:val="Strong"/>
          <w:rFonts w:eastAsiaTheme="minorHAnsi" w:cstheme="minorHAnsi"/>
          <w:szCs w:val="22"/>
          <w:lang w:val="fr-CA"/>
        </w:rPr>
        <w:t>Examens de l’efficacité et de l’efficience de l’ensemble du système</w:t>
      </w:r>
      <w:r w:rsidRPr="00157A11">
        <w:rPr>
          <w:rFonts w:asciiTheme="minorHAnsi" w:eastAsiaTheme="minorHAnsi" w:hAnsiTheme="minorHAnsi" w:cstheme="minorHAnsi"/>
          <w:sz w:val="22"/>
          <w:szCs w:val="22"/>
          <w:lang w:val="fr-CA"/>
        </w:rPr>
        <w:t xml:space="preserve"> pour appuyer l’amélioration continue</w:t>
      </w:r>
    </w:p>
    <w:p w14:paraId="3723D598" w14:textId="77777777" w:rsidR="00AD0091" w:rsidRPr="00157A11" w:rsidRDefault="00AD0091" w:rsidP="00AD0091">
      <w:pPr>
        <w:pStyle w:val="ListParagraph"/>
        <w:numPr>
          <w:ilvl w:val="0"/>
          <w:numId w:val="26"/>
        </w:numPr>
        <w:spacing w:after="0"/>
        <w:ind w:left="723"/>
        <w:contextualSpacing w:val="0"/>
        <w:rPr>
          <w:rFonts w:asciiTheme="minorHAnsi" w:eastAsiaTheme="minorHAnsi" w:hAnsiTheme="minorHAnsi" w:cstheme="minorHAnsi"/>
          <w:sz w:val="22"/>
          <w:szCs w:val="22"/>
          <w:lang w:val="fr-CA"/>
        </w:rPr>
      </w:pPr>
      <w:r w:rsidRPr="00157A11">
        <w:rPr>
          <w:rStyle w:val="Strong"/>
          <w:rFonts w:eastAsiaTheme="minorHAnsi" w:cstheme="minorHAnsi"/>
          <w:szCs w:val="22"/>
          <w:lang w:val="fr-CA"/>
        </w:rPr>
        <w:t>Vérifications ciblées de la CFP</w:t>
      </w:r>
      <w:r w:rsidRPr="00157A11">
        <w:rPr>
          <w:rFonts w:asciiTheme="minorHAnsi" w:eastAsiaTheme="minorHAnsi" w:hAnsiTheme="minorHAnsi" w:cstheme="minorHAnsi"/>
          <w:sz w:val="22"/>
          <w:szCs w:val="22"/>
          <w:lang w:val="fr-CA"/>
        </w:rPr>
        <w:t xml:space="preserve"> suite aux risques pangouvernementaux ou organisationnels identifiés, ou à la demande de l’administrateur général </w:t>
      </w:r>
    </w:p>
    <w:p w14:paraId="74C60C2C" w14:textId="77777777" w:rsidR="00AD0091" w:rsidRPr="00157A11" w:rsidRDefault="00AD0091" w:rsidP="00AD0091">
      <w:pPr>
        <w:pStyle w:val="ListParagraph"/>
        <w:numPr>
          <w:ilvl w:val="0"/>
          <w:numId w:val="26"/>
        </w:numPr>
        <w:ind w:left="723"/>
        <w:contextualSpacing w:val="0"/>
        <w:rPr>
          <w:rFonts w:asciiTheme="minorHAnsi" w:eastAsiaTheme="minorHAnsi" w:hAnsiTheme="minorHAnsi" w:cstheme="minorHAnsi"/>
          <w:sz w:val="22"/>
          <w:szCs w:val="22"/>
          <w:lang w:val="fr-CA"/>
        </w:rPr>
      </w:pPr>
      <w:r w:rsidRPr="00157A11">
        <w:rPr>
          <w:rStyle w:val="Strong"/>
          <w:rFonts w:eastAsiaTheme="minorHAnsi" w:cstheme="minorHAnsi"/>
          <w:szCs w:val="22"/>
          <w:lang w:val="fr-CA"/>
        </w:rPr>
        <w:t>Enquêtes menées</w:t>
      </w:r>
      <w:r w:rsidRPr="00157A11">
        <w:rPr>
          <w:rFonts w:asciiTheme="minorHAnsi" w:eastAsiaTheme="minorHAnsi" w:hAnsiTheme="minorHAnsi" w:cstheme="minorHAnsi"/>
          <w:sz w:val="22"/>
          <w:szCs w:val="22"/>
          <w:lang w:val="fr-CA"/>
        </w:rPr>
        <w:t xml:space="preserve"> lorsqu’il y a lieu de croire  qu’il pourrait y avoir ingérence politique, fraude ou conduite irrégulière dans le cadre d’un  processus de nomination</w:t>
      </w:r>
    </w:p>
    <w:p w14:paraId="6CCDD9A9" w14:textId="77777777" w:rsidR="003552F5" w:rsidRPr="00157A11" w:rsidRDefault="00AD0091" w:rsidP="00814546">
      <w:pPr>
        <w:pStyle w:val="Level1"/>
        <w:tabs>
          <w:tab w:val="left" w:pos="-1440"/>
        </w:tabs>
        <w:autoSpaceDE w:val="0"/>
        <w:autoSpaceDN w:val="0"/>
        <w:adjustRightInd w:val="0"/>
        <w:rPr>
          <w:rFonts w:asciiTheme="minorHAnsi" w:eastAsiaTheme="minorHAnsi" w:hAnsiTheme="minorHAnsi" w:cstheme="minorHAnsi"/>
          <w:b/>
          <w:bCs/>
          <w:color w:val="0070C0"/>
          <w:sz w:val="22"/>
          <w:szCs w:val="22"/>
          <w:lang w:val="fr-CA"/>
        </w:rPr>
        <w:sectPr w:rsidR="003552F5" w:rsidRPr="00157A11" w:rsidSect="0003019D">
          <w:pgSz w:w="12240" w:h="15840"/>
          <w:pgMar w:top="709" w:right="1304" w:bottom="1361" w:left="1304" w:header="708" w:footer="283" w:gutter="0"/>
          <w:cols w:space="708"/>
          <w:titlePg/>
          <w:docGrid w:linePitch="360"/>
        </w:sectPr>
      </w:pPr>
      <w:r w:rsidRPr="00157A11">
        <w:rPr>
          <w:rStyle w:val="Strong"/>
          <w:rFonts w:eastAsiaTheme="minorHAnsi" w:cstheme="minorHAnsi"/>
          <w:b w:val="0"/>
          <w:szCs w:val="22"/>
          <w:lang w:val="fr-CA"/>
        </w:rPr>
        <w:t xml:space="preserve">Ce document doit être lu conjointement avec la </w:t>
      </w:r>
      <w:r w:rsidRPr="00157A11">
        <w:rPr>
          <w:rStyle w:val="Emphasis"/>
          <w:rFonts w:asciiTheme="minorHAnsi" w:eastAsiaTheme="minorHAnsi" w:hAnsiTheme="minorHAnsi" w:cstheme="minorHAnsi"/>
          <w:sz w:val="22"/>
          <w:lang w:val="fr-CA"/>
        </w:rPr>
        <w:t>Loi sur l’emploi dans la fonction publique</w:t>
      </w:r>
      <w:r w:rsidRPr="00157A11">
        <w:rPr>
          <w:rStyle w:val="Strong"/>
          <w:rFonts w:eastAsiaTheme="minorHAnsi" w:cstheme="minorHAnsi"/>
          <w:b w:val="0"/>
          <w:szCs w:val="22"/>
          <w:lang w:val="fr-CA"/>
        </w:rPr>
        <w:t xml:space="preserve">, le </w:t>
      </w:r>
      <w:r w:rsidRPr="00157A11">
        <w:rPr>
          <w:rStyle w:val="Emphasis"/>
          <w:rFonts w:asciiTheme="minorHAnsi" w:eastAsiaTheme="minorHAnsi" w:hAnsiTheme="minorHAnsi" w:cstheme="minorHAnsi"/>
          <w:sz w:val="22"/>
          <w:lang w:val="fr-CA"/>
        </w:rPr>
        <w:t>Règlement sur l'emploi dans la fonction publique</w:t>
      </w:r>
      <w:r w:rsidRPr="00157A11">
        <w:rPr>
          <w:rStyle w:val="Strong"/>
          <w:rFonts w:eastAsiaTheme="minorHAnsi" w:cstheme="minorHAnsi"/>
          <w:b w:val="0"/>
          <w:szCs w:val="22"/>
          <w:lang w:val="fr-CA"/>
        </w:rPr>
        <w:t>, la ligne directrice en matière de nomination de la CFP ainsi que l’Instrument de délégation et de responsabilisation en matière de nomination de la CFP</w:t>
      </w:r>
      <w:r w:rsidR="00814546" w:rsidRPr="00157A11">
        <w:rPr>
          <w:rStyle w:val="Strong"/>
          <w:rFonts w:eastAsiaTheme="minorHAnsi" w:cstheme="minorHAnsi"/>
          <w:b w:val="0"/>
          <w:szCs w:val="22"/>
          <w:lang w:val="fr-CA"/>
        </w:rPr>
        <w:t>.</w:t>
      </w:r>
    </w:p>
    <w:p w14:paraId="302414F8" w14:textId="77777777" w:rsidR="0003019D" w:rsidRPr="00157A11" w:rsidRDefault="00270784" w:rsidP="007E486E">
      <w:pPr>
        <w:pStyle w:val="Heading3"/>
        <w:spacing w:before="0"/>
        <w:jc w:val="right"/>
        <w:rPr>
          <w:lang w:val="fr-CA"/>
        </w:rPr>
      </w:pPr>
      <w:bookmarkStart w:id="1" w:name="Annexe_B"/>
      <w:r w:rsidRPr="00157A11">
        <w:rPr>
          <w:lang w:val="fr-CA"/>
        </w:rPr>
        <w:lastRenderedPageBreak/>
        <w:t>Annexe B</w:t>
      </w:r>
    </w:p>
    <w:bookmarkEnd w:id="1"/>
    <w:p w14:paraId="73452936" w14:textId="77777777" w:rsidR="00742C80" w:rsidRPr="00157A11" w:rsidRDefault="00742C80" w:rsidP="00742C80">
      <w:pPr>
        <w:pStyle w:val="Heading1"/>
        <w:spacing w:before="120" w:after="120"/>
        <w:rPr>
          <w:noProof/>
          <w:sz w:val="40"/>
          <w:lang w:val="fr-CA" w:eastAsia="en-CA"/>
        </w:rPr>
      </w:pPr>
      <w:r w:rsidRPr="00157A11">
        <w:rPr>
          <w:rFonts w:eastAsia="Times New Roman"/>
          <w:noProof/>
          <w:sz w:val="40"/>
          <w:lang w:val="fr-CA" w:eastAsia="en-CA"/>
        </w:rPr>
        <w:t>Population selon la durée d'emploi au 31 mars</w:t>
      </w:r>
    </w:p>
    <w:p w14:paraId="3F4AE285" w14:textId="77777777" w:rsidR="00816D2B" w:rsidRPr="00157A11" w:rsidRDefault="00E01E51" w:rsidP="00816D2B">
      <w:pPr>
        <w:pStyle w:val="Footer"/>
        <w:keepNext/>
        <w:jc w:val="center"/>
        <w:rPr>
          <w:lang w:val="fr-CA"/>
        </w:rPr>
      </w:pPr>
      <w:r w:rsidRPr="00157A11">
        <w:rPr>
          <w:b/>
          <w:noProof/>
          <w:lang w:val="en-CA" w:eastAsia="en-CA"/>
        </w:rPr>
        <w:drawing>
          <wp:inline distT="0" distB="0" distL="0" distR="0" wp14:anchorId="12E30B46" wp14:editId="2B342A36">
            <wp:extent cx="5648400" cy="3049200"/>
            <wp:effectExtent l="0" t="0" r="9525" b="18415"/>
            <wp:docPr id="13" name="Chart 13" descr="Population selon la durée d'emploi au 31 mars&#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6E0E35B" w14:textId="77777777" w:rsidR="00816D2B" w:rsidRPr="00157A11" w:rsidRDefault="00816D2B" w:rsidP="00816D2B">
      <w:pPr>
        <w:pStyle w:val="Caption"/>
        <w:spacing w:after="0"/>
        <w:jc w:val="center"/>
        <w:rPr>
          <w:rFonts w:asciiTheme="minorHAnsi" w:hAnsiTheme="minorHAnsi" w:cstheme="minorHAnsi"/>
          <w:i w:val="0"/>
          <w:color w:val="auto"/>
          <w:lang w:val="fr-CA"/>
        </w:rPr>
      </w:pPr>
      <w:r w:rsidRPr="00157A11">
        <w:rPr>
          <w:rFonts w:asciiTheme="minorHAnsi" w:hAnsiTheme="minorHAnsi" w:cstheme="minorHAnsi"/>
          <w:i w:val="0"/>
          <w:color w:val="auto"/>
          <w:lang w:val="fr-CA"/>
        </w:rPr>
        <w:t xml:space="preserve">Figure </w:t>
      </w:r>
      <w:r w:rsidRPr="00157A11">
        <w:rPr>
          <w:rFonts w:asciiTheme="minorHAnsi" w:hAnsiTheme="minorHAnsi" w:cstheme="minorHAnsi"/>
          <w:i w:val="0"/>
          <w:color w:val="auto"/>
          <w:lang w:val="fr-CA"/>
        </w:rPr>
        <w:fldChar w:fldCharType="begin"/>
      </w:r>
      <w:r w:rsidRPr="00157A11">
        <w:rPr>
          <w:rFonts w:asciiTheme="minorHAnsi" w:hAnsiTheme="minorHAnsi" w:cstheme="minorHAnsi"/>
          <w:i w:val="0"/>
          <w:color w:val="auto"/>
          <w:lang w:val="fr-CA"/>
        </w:rPr>
        <w:instrText xml:space="preserve"> SEQ Figure \* ARABIC </w:instrText>
      </w:r>
      <w:r w:rsidRPr="00157A11">
        <w:rPr>
          <w:rFonts w:asciiTheme="minorHAnsi" w:hAnsiTheme="minorHAnsi" w:cstheme="minorHAnsi"/>
          <w:i w:val="0"/>
          <w:color w:val="auto"/>
          <w:lang w:val="fr-CA"/>
        </w:rPr>
        <w:fldChar w:fldCharType="separate"/>
      </w:r>
      <w:r w:rsidR="00973FED" w:rsidRPr="00157A11">
        <w:rPr>
          <w:rFonts w:asciiTheme="minorHAnsi" w:hAnsiTheme="minorHAnsi" w:cstheme="minorHAnsi"/>
          <w:i w:val="0"/>
          <w:noProof/>
          <w:color w:val="auto"/>
          <w:lang w:val="fr-CA"/>
        </w:rPr>
        <w:t>1</w:t>
      </w:r>
      <w:r w:rsidRPr="00157A11">
        <w:rPr>
          <w:rFonts w:asciiTheme="minorHAnsi" w:hAnsiTheme="minorHAnsi" w:cstheme="minorHAnsi"/>
          <w:i w:val="0"/>
          <w:color w:val="auto"/>
          <w:lang w:val="fr-CA"/>
        </w:rPr>
        <w:fldChar w:fldCharType="end"/>
      </w:r>
      <w:r w:rsidRPr="00157A11">
        <w:rPr>
          <w:rFonts w:asciiTheme="minorHAnsi" w:hAnsiTheme="minorHAnsi" w:cstheme="minorHAnsi"/>
          <w:i w:val="0"/>
          <w:color w:val="auto"/>
          <w:lang w:val="fr-CA"/>
        </w:rPr>
        <w:t xml:space="preserve"> - Population selon la durée d'emploi au 31 mars</w:t>
      </w:r>
    </w:p>
    <w:p w14:paraId="6C7EE822" w14:textId="77777777" w:rsidR="00816D2B" w:rsidRPr="00157A11" w:rsidRDefault="00E01E51" w:rsidP="00816D2B">
      <w:pPr>
        <w:pStyle w:val="Footer"/>
        <w:spacing w:before="240"/>
        <w:jc w:val="center"/>
        <w:rPr>
          <w:rFonts w:asciiTheme="minorHAnsi" w:hAnsiTheme="minorHAnsi" w:cstheme="minorHAnsi"/>
          <w:sz w:val="18"/>
          <w:lang w:val="fr-CA"/>
        </w:rPr>
      </w:pPr>
      <w:r w:rsidRPr="00157A11">
        <w:rPr>
          <w:rFonts w:asciiTheme="minorHAnsi" w:hAnsiTheme="minorHAnsi" w:cstheme="minorHAnsi"/>
          <w:noProof/>
          <w:sz w:val="18"/>
          <w:lang w:val="fr-CA" w:eastAsia="en-CA"/>
        </w:rPr>
        <w:t xml:space="preserve"> </w:t>
      </w:r>
      <w:r w:rsidR="00816D2B" w:rsidRPr="00157A11">
        <w:rPr>
          <w:rFonts w:asciiTheme="minorHAnsi" w:hAnsiTheme="minorHAnsi" w:cstheme="minorHAnsi"/>
          <w:sz w:val="18"/>
          <w:lang w:val="fr-CA"/>
        </w:rPr>
        <w:t xml:space="preserve">Table </w:t>
      </w:r>
      <w:r w:rsidR="00816D2B" w:rsidRPr="00157A11">
        <w:rPr>
          <w:rFonts w:asciiTheme="minorHAnsi" w:hAnsiTheme="minorHAnsi" w:cstheme="minorHAnsi"/>
          <w:sz w:val="18"/>
          <w:lang w:val="fr-CA"/>
        </w:rPr>
        <w:fldChar w:fldCharType="begin"/>
      </w:r>
      <w:r w:rsidR="00816D2B" w:rsidRPr="00157A11">
        <w:rPr>
          <w:rFonts w:asciiTheme="minorHAnsi" w:hAnsiTheme="minorHAnsi" w:cstheme="minorHAnsi"/>
          <w:sz w:val="18"/>
          <w:lang w:val="fr-CA"/>
        </w:rPr>
        <w:instrText xml:space="preserve"> SEQ Table \* ARABIC </w:instrText>
      </w:r>
      <w:r w:rsidR="00816D2B" w:rsidRPr="00157A11">
        <w:rPr>
          <w:rFonts w:asciiTheme="minorHAnsi" w:hAnsiTheme="minorHAnsi" w:cstheme="minorHAnsi"/>
          <w:sz w:val="18"/>
          <w:lang w:val="fr-CA"/>
        </w:rPr>
        <w:fldChar w:fldCharType="separate"/>
      </w:r>
      <w:r w:rsidR="00025079">
        <w:rPr>
          <w:rFonts w:asciiTheme="minorHAnsi" w:hAnsiTheme="minorHAnsi" w:cstheme="minorHAnsi"/>
          <w:noProof/>
          <w:sz w:val="18"/>
          <w:lang w:val="fr-CA"/>
        </w:rPr>
        <w:t>2</w:t>
      </w:r>
      <w:r w:rsidR="00816D2B" w:rsidRPr="00157A11">
        <w:rPr>
          <w:rFonts w:asciiTheme="minorHAnsi" w:hAnsiTheme="minorHAnsi" w:cstheme="minorHAnsi"/>
          <w:sz w:val="18"/>
          <w:lang w:val="fr-CA"/>
        </w:rPr>
        <w:fldChar w:fldCharType="end"/>
      </w:r>
      <w:r w:rsidR="00816D2B" w:rsidRPr="00157A11">
        <w:rPr>
          <w:rFonts w:asciiTheme="minorHAnsi" w:hAnsiTheme="minorHAnsi" w:cstheme="minorHAnsi"/>
          <w:sz w:val="18"/>
          <w:lang w:val="fr-CA"/>
        </w:rPr>
        <w:t xml:space="preserve"> - Effectif régi par la </w:t>
      </w:r>
      <w:r w:rsidR="00816D2B" w:rsidRPr="00157A11">
        <w:rPr>
          <w:rStyle w:val="Emphasis"/>
          <w:rFonts w:asciiTheme="minorHAnsi" w:hAnsiTheme="minorHAnsi" w:cstheme="minorHAnsi"/>
          <w:sz w:val="18"/>
          <w:lang w:val="fr-CA"/>
        </w:rPr>
        <w:t>Loi sur l’emploi dans la fonction publique</w:t>
      </w:r>
      <w:r w:rsidR="00816D2B" w:rsidRPr="00157A11">
        <w:rPr>
          <w:rFonts w:asciiTheme="minorHAnsi" w:hAnsiTheme="minorHAnsi" w:cstheme="minorHAnsi"/>
          <w:sz w:val="18"/>
          <w:lang w:val="fr-CA"/>
        </w:rPr>
        <w:t xml:space="preserve"> au 31 mars selon la durée d’emploi</w:t>
      </w:r>
    </w:p>
    <w:tbl>
      <w:tblPr>
        <w:tblStyle w:val="TableGrid"/>
        <w:tblW w:w="5000" w:type="pct"/>
        <w:jc w:val="center"/>
        <w:tblLook w:val="0020" w:firstRow="1" w:lastRow="0" w:firstColumn="0" w:lastColumn="0" w:noHBand="0" w:noVBand="0"/>
        <w:tblDescription w:val="Effectif selon la durée d’emploi au 31 mars 2014 à 2019"/>
      </w:tblPr>
      <w:tblGrid>
        <w:gridCol w:w="2546"/>
        <w:gridCol w:w="2835"/>
        <w:gridCol w:w="2694"/>
        <w:gridCol w:w="2553"/>
        <w:gridCol w:w="2461"/>
        <w:gridCol w:w="1301"/>
      </w:tblGrid>
      <w:tr w:rsidR="00816D2B" w:rsidRPr="00157A11" w14:paraId="64ADC924" w14:textId="77777777" w:rsidTr="00A74788">
        <w:trPr>
          <w:cantSplit/>
          <w:trHeight w:val="290"/>
          <w:tblHeader/>
          <w:jc w:val="center"/>
        </w:trPr>
        <w:tc>
          <w:tcPr>
            <w:tcW w:w="885" w:type="pct"/>
          </w:tcPr>
          <w:p w14:paraId="5B9C4488" w14:textId="77777777" w:rsidR="00742C80" w:rsidRPr="00157A11" w:rsidRDefault="00742C80" w:rsidP="00816D2B">
            <w:pPr>
              <w:pStyle w:val="TableTitle"/>
              <w:rPr>
                <w:rFonts w:cs="Segoe UI Semibold"/>
                <w:lang w:val="fr-CA"/>
              </w:rPr>
            </w:pPr>
            <w:r w:rsidRPr="00157A11">
              <w:rPr>
                <w:rFonts w:cs="Segoe UI Semibold"/>
                <w:lang w:val="fr-CA"/>
              </w:rPr>
              <w:t xml:space="preserve"> Année</w:t>
            </w:r>
          </w:p>
        </w:tc>
        <w:tc>
          <w:tcPr>
            <w:tcW w:w="985" w:type="pct"/>
          </w:tcPr>
          <w:p w14:paraId="14FDE9B4" w14:textId="77777777" w:rsidR="00742C80" w:rsidRPr="00157A11" w:rsidRDefault="00742C80" w:rsidP="00816D2B">
            <w:pPr>
              <w:pStyle w:val="TableTitle"/>
              <w:rPr>
                <w:rFonts w:cs="Segoe UI Semibold"/>
                <w:lang w:val="fr-CA"/>
              </w:rPr>
            </w:pPr>
            <w:r w:rsidRPr="00157A11">
              <w:rPr>
                <w:rFonts w:cs="Segoe UI Semibold"/>
                <w:lang w:val="fr-CA"/>
              </w:rPr>
              <w:t>Indéterminée</w:t>
            </w:r>
          </w:p>
        </w:tc>
        <w:tc>
          <w:tcPr>
            <w:tcW w:w="936" w:type="pct"/>
          </w:tcPr>
          <w:p w14:paraId="6BFB5F20" w14:textId="77777777" w:rsidR="00742C80" w:rsidRPr="00157A11" w:rsidRDefault="00742C80" w:rsidP="00816D2B">
            <w:pPr>
              <w:pStyle w:val="TableTitle"/>
              <w:rPr>
                <w:rFonts w:cs="Segoe UI Semibold"/>
                <w:lang w:val="fr-CA"/>
              </w:rPr>
            </w:pPr>
            <w:r w:rsidRPr="00157A11">
              <w:rPr>
                <w:rFonts w:cs="Segoe UI Semibold"/>
                <w:lang w:val="fr-CA"/>
              </w:rPr>
              <w:t>Déterminée</w:t>
            </w:r>
          </w:p>
        </w:tc>
        <w:tc>
          <w:tcPr>
            <w:tcW w:w="887" w:type="pct"/>
          </w:tcPr>
          <w:p w14:paraId="257D4C6E" w14:textId="77777777" w:rsidR="00742C80" w:rsidRPr="00157A11" w:rsidRDefault="00742C80" w:rsidP="00816D2B">
            <w:pPr>
              <w:pStyle w:val="TableTitle"/>
              <w:rPr>
                <w:rFonts w:cs="Segoe UI Semibold"/>
                <w:lang w:val="fr-CA"/>
              </w:rPr>
            </w:pPr>
            <w:r w:rsidRPr="00157A11">
              <w:rPr>
                <w:rFonts w:cs="Segoe UI Semibold"/>
                <w:lang w:val="fr-CA"/>
              </w:rPr>
              <w:t>Occasionnels</w:t>
            </w:r>
          </w:p>
        </w:tc>
        <w:tc>
          <w:tcPr>
            <w:tcW w:w="855" w:type="pct"/>
          </w:tcPr>
          <w:p w14:paraId="52E9F0E6" w14:textId="77777777" w:rsidR="00742C80" w:rsidRPr="00157A11" w:rsidRDefault="00742C80" w:rsidP="00816D2B">
            <w:pPr>
              <w:pStyle w:val="TableTitle"/>
              <w:rPr>
                <w:rFonts w:cs="Segoe UI Semibold"/>
                <w:lang w:val="fr-CA"/>
              </w:rPr>
            </w:pPr>
            <w:r w:rsidRPr="00157A11">
              <w:rPr>
                <w:rFonts w:cs="Segoe UI Semibold"/>
                <w:lang w:val="fr-CA"/>
              </w:rPr>
              <w:t>Étudiant</w:t>
            </w:r>
          </w:p>
        </w:tc>
        <w:tc>
          <w:tcPr>
            <w:tcW w:w="452" w:type="pct"/>
          </w:tcPr>
          <w:p w14:paraId="73CB98B2" w14:textId="77777777" w:rsidR="00742C80" w:rsidRPr="00157A11" w:rsidRDefault="00742C80" w:rsidP="00816D2B">
            <w:pPr>
              <w:pStyle w:val="TableTitle"/>
              <w:rPr>
                <w:rFonts w:cs="Segoe UI Semibold"/>
                <w:lang w:val="fr-CA"/>
              </w:rPr>
            </w:pPr>
            <w:r w:rsidRPr="00157A11">
              <w:rPr>
                <w:rFonts w:cs="Segoe UI Semibold"/>
                <w:lang w:val="fr-CA"/>
              </w:rPr>
              <w:t>Total</w:t>
            </w:r>
          </w:p>
        </w:tc>
      </w:tr>
      <w:tr w:rsidR="00816D2B" w:rsidRPr="00157A11" w14:paraId="448D986D" w14:textId="77777777" w:rsidTr="00A74788">
        <w:trPr>
          <w:cantSplit/>
          <w:trHeight w:val="290"/>
          <w:tblHeader/>
          <w:jc w:val="center"/>
        </w:trPr>
        <w:tc>
          <w:tcPr>
            <w:tcW w:w="885" w:type="pct"/>
          </w:tcPr>
          <w:p w14:paraId="7A0A5A3E" w14:textId="77777777" w:rsidR="00742C80" w:rsidRPr="00157A11" w:rsidRDefault="00742C80" w:rsidP="00816D2B">
            <w:pPr>
              <w:autoSpaceDE w:val="0"/>
              <w:autoSpaceDN w:val="0"/>
              <w:adjustRightInd w:val="0"/>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Au 31 mars 2014</w:t>
            </w:r>
          </w:p>
        </w:tc>
        <w:tc>
          <w:tcPr>
            <w:tcW w:w="985" w:type="pct"/>
          </w:tcPr>
          <w:p w14:paraId="7A34F980"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76</w:t>
            </w:r>
          </w:p>
        </w:tc>
        <w:tc>
          <w:tcPr>
            <w:tcW w:w="936" w:type="pct"/>
          </w:tcPr>
          <w:p w14:paraId="5D54A2CD"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8</w:t>
            </w:r>
          </w:p>
        </w:tc>
        <w:tc>
          <w:tcPr>
            <w:tcW w:w="887" w:type="pct"/>
          </w:tcPr>
          <w:p w14:paraId="12F683B1"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12</w:t>
            </w:r>
          </w:p>
        </w:tc>
        <w:tc>
          <w:tcPr>
            <w:tcW w:w="855" w:type="pct"/>
          </w:tcPr>
          <w:p w14:paraId="1626E263"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1</w:t>
            </w:r>
          </w:p>
        </w:tc>
        <w:tc>
          <w:tcPr>
            <w:tcW w:w="452" w:type="pct"/>
          </w:tcPr>
          <w:p w14:paraId="6CC7B592"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97</w:t>
            </w:r>
          </w:p>
        </w:tc>
      </w:tr>
      <w:tr w:rsidR="00816D2B" w:rsidRPr="00157A11" w14:paraId="529A2190" w14:textId="77777777" w:rsidTr="00A74788">
        <w:trPr>
          <w:cantSplit/>
          <w:trHeight w:val="290"/>
          <w:tblHeader/>
          <w:jc w:val="center"/>
        </w:trPr>
        <w:tc>
          <w:tcPr>
            <w:tcW w:w="885" w:type="pct"/>
          </w:tcPr>
          <w:p w14:paraId="071D6724" w14:textId="77777777" w:rsidR="00742C80" w:rsidRPr="00157A11" w:rsidRDefault="00742C80" w:rsidP="00816D2B">
            <w:pPr>
              <w:autoSpaceDE w:val="0"/>
              <w:autoSpaceDN w:val="0"/>
              <w:adjustRightInd w:val="0"/>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Au 31 mars 2015</w:t>
            </w:r>
          </w:p>
        </w:tc>
        <w:tc>
          <w:tcPr>
            <w:tcW w:w="985" w:type="pct"/>
          </w:tcPr>
          <w:p w14:paraId="0E0A85E1"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82</w:t>
            </w:r>
          </w:p>
        </w:tc>
        <w:tc>
          <w:tcPr>
            <w:tcW w:w="936" w:type="pct"/>
          </w:tcPr>
          <w:p w14:paraId="44BECC40"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4</w:t>
            </w:r>
          </w:p>
        </w:tc>
        <w:tc>
          <w:tcPr>
            <w:tcW w:w="887" w:type="pct"/>
          </w:tcPr>
          <w:p w14:paraId="66AE7FF9"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5</w:t>
            </w:r>
          </w:p>
        </w:tc>
        <w:tc>
          <w:tcPr>
            <w:tcW w:w="855" w:type="pct"/>
          </w:tcPr>
          <w:p w14:paraId="4F7073A9"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0</w:t>
            </w:r>
          </w:p>
        </w:tc>
        <w:tc>
          <w:tcPr>
            <w:tcW w:w="452" w:type="pct"/>
          </w:tcPr>
          <w:p w14:paraId="2811EC11"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91</w:t>
            </w:r>
          </w:p>
        </w:tc>
      </w:tr>
      <w:tr w:rsidR="00816D2B" w:rsidRPr="00157A11" w14:paraId="1EC975DD" w14:textId="77777777" w:rsidTr="00A74788">
        <w:trPr>
          <w:cantSplit/>
          <w:trHeight w:val="290"/>
          <w:tblHeader/>
          <w:jc w:val="center"/>
        </w:trPr>
        <w:tc>
          <w:tcPr>
            <w:tcW w:w="885" w:type="pct"/>
          </w:tcPr>
          <w:p w14:paraId="7E0685E6" w14:textId="77777777" w:rsidR="00742C80" w:rsidRPr="00157A11" w:rsidRDefault="00742C80" w:rsidP="00816D2B">
            <w:pPr>
              <w:autoSpaceDE w:val="0"/>
              <w:autoSpaceDN w:val="0"/>
              <w:adjustRightInd w:val="0"/>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Au 31 mars 2016</w:t>
            </w:r>
          </w:p>
        </w:tc>
        <w:tc>
          <w:tcPr>
            <w:tcW w:w="985" w:type="pct"/>
          </w:tcPr>
          <w:p w14:paraId="5B4BBAAB"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77</w:t>
            </w:r>
          </w:p>
        </w:tc>
        <w:tc>
          <w:tcPr>
            <w:tcW w:w="936" w:type="pct"/>
          </w:tcPr>
          <w:p w14:paraId="0345248A"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5</w:t>
            </w:r>
          </w:p>
        </w:tc>
        <w:tc>
          <w:tcPr>
            <w:tcW w:w="887" w:type="pct"/>
          </w:tcPr>
          <w:p w14:paraId="0E9783A0"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7</w:t>
            </w:r>
          </w:p>
        </w:tc>
        <w:tc>
          <w:tcPr>
            <w:tcW w:w="855" w:type="pct"/>
          </w:tcPr>
          <w:p w14:paraId="65A13B29"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1</w:t>
            </w:r>
          </w:p>
        </w:tc>
        <w:tc>
          <w:tcPr>
            <w:tcW w:w="452" w:type="pct"/>
          </w:tcPr>
          <w:p w14:paraId="756780EA"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90</w:t>
            </w:r>
          </w:p>
        </w:tc>
      </w:tr>
      <w:tr w:rsidR="00816D2B" w:rsidRPr="00157A11" w14:paraId="4965046A" w14:textId="77777777" w:rsidTr="00A74788">
        <w:trPr>
          <w:cantSplit/>
          <w:trHeight w:val="290"/>
          <w:tblHeader/>
          <w:jc w:val="center"/>
        </w:trPr>
        <w:tc>
          <w:tcPr>
            <w:tcW w:w="885" w:type="pct"/>
          </w:tcPr>
          <w:p w14:paraId="31BB65A5" w14:textId="77777777" w:rsidR="00742C80" w:rsidRPr="00157A11" w:rsidRDefault="00742C80" w:rsidP="00816D2B">
            <w:pPr>
              <w:autoSpaceDE w:val="0"/>
              <w:autoSpaceDN w:val="0"/>
              <w:adjustRightInd w:val="0"/>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Au 31 mars 2017</w:t>
            </w:r>
          </w:p>
        </w:tc>
        <w:tc>
          <w:tcPr>
            <w:tcW w:w="985" w:type="pct"/>
          </w:tcPr>
          <w:p w14:paraId="7D3733EB"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82</w:t>
            </w:r>
          </w:p>
        </w:tc>
        <w:tc>
          <w:tcPr>
            <w:tcW w:w="936" w:type="pct"/>
          </w:tcPr>
          <w:p w14:paraId="49CFBB6D"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4</w:t>
            </w:r>
          </w:p>
        </w:tc>
        <w:tc>
          <w:tcPr>
            <w:tcW w:w="887" w:type="pct"/>
          </w:tcPr>
          <w:p w14:paraId="41562495"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12</w:t>
            </w:r>
          </w:p>
        </w:tc>
        <w:tc>
          <w:tcPr>
            <w:tcW w:w="855" w:type="pct"/>
          </w:tcPr>
          <w:p w14:paraId="20C635C2"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3</w:t>
            </w:r>
          </w:p>
        </w:tc>
        <w:tc>
          <w:tcPr>
            <w:tcW w:w="452" w:type="pct"/>
          </w:tcPr>
          <w:p w14:paraId="6F090DD8"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101</w:t>
            </w:r>
          </w:p>
        </w:tc>
      </w:tr>
      <w:tr w:rsidR="00816D2B" w:rsidRPr="00157A11" w14:paraId="0EF63098" w14:textId="77777777" w:rsidTr="00A74788">
        <w:trPr>
          <w:cantSplit/>
          <w:trHeight w:val="290"/>
          <w:tblHeader/>
          <w:jc w:val="center"/>
        </w:trPr>
        <w:tc>
          <w:tcPr>
            <w:tcW w:w="885" w:type="pct"/>
          </w:tcPr>
          <w:p w14:paraId="4367348B" w14:textId="77777777" w:rsidR="00742C80" w:rsidRPr="00157A11" w:rsidRDefault="00742C80" w:rsidP="00816D2B">
            <w:pPr>
              <w:autoSpaceDE w:val="0"/>
              <w:autoSpaceDN w:val="0"/>
              <w:adjustRightInd w:val="0"/>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Au 31 mars 2018</w:t>
            </w:r>
          </w:p>
        </w:tc>
        <w:tc>
          <w:tcPr>
            <w:tcW w:w="985" w:type="pct"/>
          </w:tcPr>
          <w:p w14:paraId="695790C2"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88</w:t>
            </w:r>
          </w:p>
        </w:tc>
        <w:tc>
          <w:tcPr>
            <w:tcW w:w="936" w:type="pct"/>
          </w:tcPr>
          <w:p w14:paraId="5F5961A1"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5</w:t>
            </w:r>
          </w:p>
        </w:tc>
        <w:tc>
          <w:tcPr>
            <w:tcW w:w="887" w:type="pct"/>
          </w:tcPr>
          <w:p w14:paraId="030340B3"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22</w:t>
            </w:r>
          </w:p>
        </w:tc>
        <w:tc>
          <w:tcPr>
            <w:tcW w:w="855" w:type="pct"/>
          </w:tcPr>
          <w:p w14:paraId="2ED5B306"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6</w:t>
            </w:r>
          </w:p>
        </w:tc>
        <w:tc>
          <w:tcPr>
            <w:tcW w:w="452" w:type="pct"/>
          </w:tcPr>
          <w:p w14:paraId="5741B629"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121</w:t>
            </w:r>
          </w:p>
        </w:tc>
      </w:tr>
      <w:tr w:rsidR="00816D2B" w:rsidRPr="00157A11" w14:paraId="34388D73" w14:textId="77777777" w:rsidTr="00A74788">
        <w:trPr>
          <w:cantSplit/>
          <w:trHeight w:val="290"/>
          <w:tblHeader/>
          <w:jc w:val="center"/>
        </w:trPr>
        <w:tc>
          <w:tcPr>
            <w:tcW w:w="885" w:type="pct"/>
          </w:tcPr>
          <w:p w14:paraId="15B2E7B3" w14:textId="77777777" w:rsidR="00742C80" w:rsidRPr="00157A11" w:rsidRDefault="00742C80" w:rsidP="00816D2B">
            <w:pPr>
              <w:autoSpaceDE w:val="0"/>
              <w:autoSpaceDN w:val="0"/>
              <w:adjustRightInd w:val="0"/>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Au 31 mars 2019</w:t>
            </w:r>
          </w:p>
        </w:tc>
        <w:tc>
          <w:tcPr>
            <w:tcW w:w="985" w:type="pct"/>
          </w:tcPr>
          <w:p w14:paraId="0B6F8583"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110</w:t>
            </w:r>
          </w:p>
        </w:tc>
        <w:tc>
          <w:tcPr>
            <w:tcW w:w="936" w:type="pct"/>
          </w:tcPr>
          <w:p w14:paraId="5061B101"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7</w:t>
            </w:r>
          </w:p>
        </w:tc>
        <w:tc>
          <w:tcPr>
            <w:tcW w:w="887" w:type="pct"/>
          </w:tcPr>
          <w:p w14:paraId="4ED058F7"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55</w:t>
            </w:r>
          </w:p>
        </w:tc>
        <w:tc>
          <w:tcPr>
            <w:tcW w:w="855" w:type="pct"/>
          </w:tcPr>
          <w:p w14:paraId="29F1E143"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8</w:t>
            </w:r>
          </w:p>
        </w:tc>
        <w:tc>
          <w:tcPr>
            <w:tcW w:w="452" w:type="pct"/>
          </w:tcPr>
          <w:p w14:paraId="3F5B7F89"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180</w:t>
            </w:r>
          </w:p>
        </w:tc>
      </w:tr>
    </w:tbl>
    <w:p w14:paraId="78975715" w14:textId="77777777" w:rsidR="00ED685A" w:rsidRPr="00157A11" w:rsidRDefault="00ED685A" w:rsidP="00E01E51">
      <w:pPr>
        <w:pStyle w:val="Footer"/>
        <w:jc w:val="center"/>
        <w:rPr>
          <w:noProof/>
          <w:lang w:val="fr-CA" w:eastAsia="en-CA"/>
        </w:rPr>
      </w:pPr>
    </w:p>
    <w:p w14:paraId="60F4A674" w14:textId="77777777" w:rsidR="00ED685A" w:rsidRPr="00157A11" w:rsidRDefault="00ED685A" w:rsidP="00E01E51">
      <w:pPr>
        <w:pStyle w:val="Footer"/>
        <w:jc w:val="center"/>
        <w:rPr>
          <w:noProof/>
          <w:lang w:val="fr-CA" w:eastAsia="en-CA"/>
        </w:rPr>
        <w:sectPr w:rsidR="00ED685A" w:rsidRPr="00157A11" w:rsidSect="007E486E">
          <w:headerReference w:type="default" r:id="rId12"/>
          <w:footerReference w:type="even" r:id="rId13"/>
          <w:headerReference w:type="first" r:id="rId14"/>
          <w:footerReference w:type="first" r:id="rId15"/>
          <w:pgSz w:w="15840" w:h="12240" w:orient="landscape"/>
          <w:pgMar w:top="720" w:right="720" w:bottom="720" w:left="720" w:header="283" w:footer="170" w:gutter="0"/>
          <w:cols w:space="708"/>
          <w:titlePg/>
          <w:docGrid w:linePitch="360"/>
        </w:sectPr>
      </w:pPr>
    </w:p>
    <w:p w14:paraId="24A2AAA6" w14:textId="77777777" w:rsidR="00645BC9" w:rsidRPr="00157A11" w:rsidRDefault="00645BC9" w:rsidP="00645BC9">
      <w:pPr>
        <w:pStyle w:val="Heading1"/>
        <w:spacing w:before="120" w:after="120"/>
        <w:rPr>
          <w:noProof/>
          <w:sz w:val="40"/>
          <w:lang w:val="fr-CA" w:eastAsia="en-CA"/>
        </w:rPr>
      </w:pPr>
      <w:r w:rsidRPr="00157A11">
        <w:rPr>
          <w:rFonts w:eastAsia="Times New Roman"/>
          <w:noProof/>
          <w:sz w:val="40"/>
          <w:lang w:val="fr-CA" w:eastAsia="en-CA"/>
        </w:rPr>
        <w:lastRenderedPageBreak/>
        <w:t>Population selon le profil linguistique au 31 mars 2019 (N=180)</w:t>
      </w:r>
    </w:p>
    <w:p w14:paraId="0F797B79" w14:textId="77777777" w:rsidR="00645BC9" w:rsidRPr="00157A11" w:rsidRDefault="00ED685A" w:rsidP="00645BC9">
      <w:pPr>
        <w:pStyle w:val="Footer"/>
        <w:keepNext/>
        <w:jc w:val="center"/>
        <w:rPr>
          <w:lang w:val="fr-CA"/>
        </w:rPr>
      </w:pPr>
      <w:r w:rsidRPr="00157A11">
        <w:rPr>
          <w:noProof/>
          <w:lang w:val="en-CA" w:eastAsia="en-CA"/>
        </w:rPr>
        <w:drawing>
          <wp:inline distT="0" distB="0" distL="0" distR="0" wp14:anchorId="0B4432C9" wp14:editId="525D0257">
            <wp:extent cx="1980000" cy="3020400"/>
            <wp:effectExtent l="0" t="0" r="1270" b="8890"/>
            <wp:docPr id="18" name="Chart 18" descr="Population selon le profil linguistique au 31 mars 2019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2828A47" w14:textId="77777777" w:rsidR="00ED685A" w:rsidRPr="00157A11" w:rsidRDefault="00645BC9" w:rsidP="00011915">
      <w:pPr>
        <w:pStyle w:val="Caption"/>
        <w:spacing w:after="0"/>
        <w:jc w:val="center"/>
        <w:rPr>
          <w:rFonts w:asciiTheme="minorHAnsi" w:hAnsiTheme="minorHAnsi" w:cstheme="minorHAnsi"/>
          <w:i w:val="0"/>
          <w:noProof/>
          <w:color w:val="auto"/>
          <w:lang w:val="fr-CA" w:eastAsia="en-CA"/>
        </w:rPr>
      </w:pPr>
      <w:r w:rsidRPr="00157A11">
        <w:rPr>
          <w:rFonts w:asciiTheme="minorHAnsi" w:hAnsiTheme="minorHAnsi" w:cstheme="minorHAnsi"/>
          <w:i w:val="0"/>
          <w:color w:val="auto"/>
          <w:lang w:val="fr-CA"/>
        </w:rPr>
        <w:t xml:space="preserve">Figure </w:t>
      </w:r>
      <w:r w:rsidRPr="00157A11">
        <w:rPr>
          <w:rFonts w:asciiTheme="minorHAnsi" w:hAnsiTheme="minorHAnsi" w:cstheme="minorHAnsi"/>
          <w:i w:val="0"/>
          <w:color w:val="auto"/>
          <w:lang w:val="fr-CA"/>
        </w:rPr>
        <w:fldChar w:fldCharType="begin"/>
      </w:r>
      <w:r w:rsidRPr="00157A11">
        <w:rPr>
          <w:rFonts w:asciiTheme="minorHAnsi" w:hAnsiTheme="minorHAnsi" w:cstheme="minorHAnsi"/>
          <w:i w:val="0"/>
          <w:color w:val="auto"/>
          <w:lang w:val="fr-CA"/>
        </w:rPr>
        <w:instrText xml:space="preserve"> SEQ Figure \* ARABIC </w:instrText>
      </w:r>
      <w:r w:rsidRPr="00157A11">
        <w:rPr>
          <w:rFonts w:asciiTheme="minorHAnsi" w:hAnsiTheme="minorHAnsi" w:cstheme="minorHAnsi"/>
          <w:i w:val="0"/>
          <w:color w:val="auto"/>
          <w:lang w:val="fr-CA"/>
        </w:rPr>
        <w:fldChar w:fldCharType="separate"/>
      </w:r>
      <w:r w:rsidR="00973FED" w:rsidRPr="00157A11">
        <w:rPr>
          <w:rFonts w:asciiTheme="minorHAnsi" w:hAnsiTheme="minorHAnsi" w:cstheme="minorHAnsi"/>
          <w:i w:val="0"/>
          <w:noProof/>
          <w:color w:val="auto"/>
          <w:lang w:val="fr-CA"/>
        </w:rPr>
        <w:t>2</w:t>
      </w:r>
      <w:r w:rsidRPr="00157A11">
        <w:rPr>
          <w:rFonts w:asciiTheme="minorHAnsi" w:hAnsiTheme="minorHAnsi" w:cstheme="minorHAnsi"/>
          <w:i w:val="0"/>
          <w:color w:val="auto"/>
          <w:lang w:val="fr-CA"/>
        </w:rPr>
        <w:fldChar w:fldCharType="end"/>
      </w:r>
      <w:r w:rsidRPr="00157A11">
        <w:rPr>
          <w:rFonts w:asciiTheme="minorHAnsi" w:hAnsiTheme="minorHAnsi" w:cstheme="minorHAnsi"/>
          <w:i w:val="0"/>
          <w:color w:val="auto"/>
          <w:lang w:val="fr-CA"/>
        </w:rPr>
        <w:t xml:space="preserve"> - Population selon le profil linguistique au 31 mars 2019 (N=180)</w:t>
      </w:r>
    </w:p>
    <w:p w14:paraId="24FF9DE9" w14:textId="77777777" w:rsidR="00645BC9" w:rsidRPr="00157A11" w:rsidRDefault="00645BC9" w:rsidP="00011915">
      <w:pPr>
        <w:pStyle w:val="Caption"/>
        <w:keepNext/>
        <w:spacing w:before="240" w:after="0"/>
        <w:jc w:val="center"/>
        <w:rPr>
          <w:rFonts w:asciiTheme="minorHAnsi" w:hAnsiTheme="minorHAnsi" w:cstheme="minorHAnsi"/>
          <w:i w:val="0"/>
          <w:color w:val="auto"/>
          <w:lang w:val="fr-CA"/>
        </w:rPr>
      </w:pPr>
      <w:r w:rsidRPr="00157A11">
        <w:rPr>
          <w:rFonts w:asciiTheme="minorHAnsi" w:hAnsiTheme="minorHAnsi" w:cstheme="minorHAnsi"/>
          <w:i w:val="0"/>
          <w:color w:val="auto"/>
          <w:lang w:val="fr-CA"/>
        </w:rPr>
        <w:t xml:space="preserve">Table </w:t>
      </w:r>
      <w:r w:rsidRPr="00157A11">
        <w:rPr>
          <w:rFonts w:asciiTheme="minorHAnsi" w:hAnsiTheme="minorHAnsi" w:cstheme="minorHAnsi"/>
          <w:i w:val="0"/>
          <w:color w:val="auto"/>
          <w:lang w:val="fr-CA"/>
        </w:rPr>
        <w:fldChar w:fldCharType="begin"/>
      </w:r>
      <w:r w:rsidRPr="00157A11">
        <w:rPr>
          <w:rFonts w:asciiTheme="minorHAnsi" w:hAnsiTheme="minorHAnsi" w:cstheme="minorHAnsi"/>
          <w:i w:val="0"/>
          <w:color w:val="auto"/>
          <w:lang w:val="fr-CA"/>
        </w:rPr>
        <w:instrText xml:space="preserve"> SEQ Table \* ARABIC </w:instrText>
      </w:r>
      <w:r w:rsidRPr="00157A11">
        <w:rPr>
          <w:rFonts w:asciiTheme="minorHAnsi" w:hAnsiTheme="minorHAnsi" w:cstheme="minorHAnsi"/>
          <w:i w:val="0"/>
          <w:color w:val="auto"/>
          <w:lang w:val="fr-CA"/>
        </w:rPr>
        <w:fldChar w:fldCharType="separate"/>
      </w:r>
      <w:r w:rsidR="00025079">
        <w:rPr>
          <w:rFonts w:asciiTheme="minorHAnsi" w:hAnsiTheme="minorHAnsi" w:cstheme="minorHAnsi"/>
          <w:i w:val="0"/>
          <w:noProof/>
          <w:color w:val="auto"/>
          <w:lang w:val="fr-CA"/>
        </w:rPr>
        <w:t>3</w:t>
      </w:r>
      <w:r w:rsidRPr="00157A11">
        <w:rPr>
          <w:rFonts w:asciiTheme="minorHAnsi" w:hAnsiTheme="minorHAnsi" w:cstheme="minorHAnsi"/>
          <w:i w:val="0"/>
          <w:color w:val="auto"/>
          <w:lang w:val="fr-CA"/>
        </w:rPr>
        <w:fldChar w:fldCharType="end"/>
      </w:r>
      <w:r w:rsidRPr="00157A11">
        <w:rPr>
          <w:rFonts w:asciiTheme="minorHAnsi" w:hAnsiTheme="minorHAnsi" w:cstheme="minorHAnsi"/>
          <w:i w:val="0"/>
          <w:color w:val="auto"/>
          <w:lang w:val="fr-CA"/>
        </w:rPr>
        <w:t xml:space="preserve"> - Effectif régi par la </w:t>
      </w:r>
      <w:r w:rsidRPr="00157A11">
        <w:rPr>
          <w:rStyle w:val="Emphasis"/>
          <w:rFonts w:asciiTheme="minorHAnsi" w:hAnsiTheme="minorHAnsi" w:cstheme="minorHAnsi"/>
          <w:i/>
          <w:color w:val="auto"/>
          <w:lang w:val="fr-CA"/>
        </w:rPr>
        <w:t>Loi sur l’emploi dans la fonction publique</w:t>
      </w:r>
      <w:r w:rsidRPr="00157A11">
        <w:rPr>
          <w:rFonts w:asciiTheme="minorHAnsi" w:hAnsiTheme="minorHAnsi" w:cstheme="minorHAnsi"/>
          <w:i w:val="0"/>
          <w:color w:val="auto"/>
          <w:lang w:val="fr-CA"/>
        </w:rPr>
        <w:t xml:space="preserve"> selon le profil linguistique  au 31 mars 2019</w:t>
      </w:r>
    </w:p>
    <w:tbl>
      <w:tblPr>
        <w:tblStyle w:val="TableGrid"/>
        <w:tblW w:w="5000" w:type="pct"/>
        <w:jc w:val="center"/>
        <w:tblLook w:val="0020" w:firstRow="1" w:lastRow="0" w:firstColumn="0" w:lastColumn="0" w:noHBand="0" w:noVBand="0"/>
        <w:tblDescription w:val="Effectif selon les exigences linguistiques au 31 mars 2019"/>
      </w:tblPr>
      <w:tblGrid>
        <w:gridCol w:w="3226"/>
        <w:gridCol w:w="4156"/>
        <w:gridCol w:w="7008"/>
      </w:tblGrid>
      <w:tr w:rsidR="00742C80" w:rsidRPr="00A74788" w14:paraId="0B12364A" w14:textId="77777777" w:rsidTr="00A74788">
        <w:trPr>
          <w:cantSplit/>
          <w:trHeight w:val="290"/>
          <w:tblHeader/>
          <w:jc w:val="center"/>
        </w:trPr>
        <w:tc>
          <w:tcPr>
            <w:tcW w:w="1121" w:type="pct"/>
          </w:tcPr>
          <w:p w14:paraId="7D59BE7F" w14:textId="77777777" w:rsidR="00742C80" w:rsidRPr="00157A11" w:rsidRDefault="00742C80" w:rsidP="00011915">
            <w:pPr>
              <w:pStyle w:val="TableTitle"/>
              <w:rPr>
                <w:rFonts w:cs="Segoe UI Semibold"/>
                <w:color w:val="000000"/>
                <w:lang w:val="fr-CA"/>
              </w:rPr>
            </w:pPr>
            <w:r w:rsidRPr="00157A11">
              <w:rPr>
                <w:rFonts w:cs="Segoe UI Semibold"/>
                <w:lang w:val="fr-CA"/>
              </w:rPr>
              <w:t xml:space="preserve">Profil linguistique  </w:t>
            </w:r>
          </w:p>
        </w:tc>
        <w:tc>
          <w:tcPr>
            <w:tcW w:w="1444" w:type="pct"/>
          </w:tcPr>
          <w:p w14:paraId="76EDF995" w14:textId="77777777" w:rsidR="00742C80" w:rsidRPr="00157A11" w:rsidRDefault="00742C80" w:rsidP="00011915">
            <w:pPr>
              <w:pStyle w:val="TableTitle"/>
              <w:rPr>
                <w:rFonts w:cs="Segoe UI Semibold"/>
                <w:color w:val="000000"/>
                <w:lang w:val="fr-CA"/>
              </w:rPr>
            </w:pPr>
            <w:r w:rsidRPr="00157A11">
              <w:rPr>
                <w:rFonts w:cs="Segoe UI Semibold"/>
                <w:color w:val="000000"/>
                <w:lang w:val="fr-CA"/>
              </w:rPr>
              <w:t>Effectif au 31 mars 2019</w:t>
            </w:r>
          </w:p>
        </w:tc>
        <w:tc>
          <w:tcPr>
            <w:tcW w:w="2435" w:type="pct"/>
          </w:tcPr>
          <w:p w14:paraId="228CB541" w14:textId="77777777" w:rsidR="00742C80" w:rsidRPr="00157A11" w:rsidRDefault="00742C80" w:rsidP="00011915">
            <w:pPr>
              <w:pStyle w:val="TableTitle"/>
              <w:rPr>
                <w:rFonts w:cs="Segoe UI Semibold"/>
                <w:color w:val="000000"/>
                <w:lang w:val="fr-CA"/>
              </w:rPr>
            </w:pPr>
            <w:r w:rsidRPr="00157A11">
              <w:rPr>
                <w:rFonts w:cs="Segoe UI Semibold"/>
                <w:lang w:val="fr-CA"/>
              </w:rPr>
              <w:t>Pourcentage de l'effectif au 31 mars 2019</w:t>
            </w:r>
          </w:p>
        </w:tc>
      </w:tr>
      <w:tr w:rsidR="00742C80" w:rsidRPr="00157A11" w14:paraId="65E59123" w14:textId="77777777" w:rsidTr="00A74788">
        <w:trPr>
          <w:cantSplit/>
          <w:trHeight w:val="290"/>
          <w:tblHeader/>
          <w:jc w:val="center"/>
        </w:trPr>
        <w:tc>
          <w:tcPr>
            <w:tcW w:w="1121" w:type="pct"/>
          </w:tcPr>
          <w:p w14:paraId="54B966C9" w14:textId="77777777" w:rsidR="00742C80" w:rsidRPr="00157A11" w:rsidRDefault="00742C80" w:rsidP="00645BC9">
            <w:pPr>
              <w:autoSpaceDE w:val="0"/>
              <w:autoSpaceDN w:val="0"/>
              <w:adjustRightInd w:val="0"/>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 xml:space="preserve">Bilingue </w:t>
            </w:r>
          </w:p>
        </w:tc>
        <w:tc>
          <w:tcPr>
            <w:tcW w:w="1444" w:type="pct"/>
          </w:tcPr>
          <w:p w14:paraId="67A905CF"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83</w:t>
            </w:r>
          </w:p>
        </w:tc>
        <w:tc>
          <w:tcPr>
            <w:tcW w:w="2435" w:type="pct"/>
          </w:tcPr>
          <w:p w14:paraId="5A50B967"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86%</w:t>
            </w:r>
          </w:p>
        </w:tc>
      </w:tr>
      <w:tr w:rsidR="00742C80" w:rsidRPr="00157A11" w14:paraId="4610F191" w14:textId="77777777" w:rsidTr="00A74788">
        <w:trPr>
          <w:cantSplit/>
          <w:trHeight w:val="290"/>
          <w:tblHeader/>
          <w:jc w:val="center"/>
        </w:trPr>
        <w:tc>
          <w:tcPr>
            <w:tcW w:w="1121" w:type="pct"/>
          </w:tcPr>
          <w:p w14:paraId="32FDDB0F" w14:textId="77777777" w:rsidR="00742C80" w:rsidRPr="00157A11" w:rsidRDefault="00742C80" w:rsidP="00645BC9">
            <w:pPr>
              <w:autoSpaceDE w:val="0"/>
              <w:autoSpaceDN w:val="0"/>
              <w:adjustRightInd w:val="0"/>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Unilingue</w:t>
            </w:r>
          </w:p>
        </w:tc>
        <w:tc>
          <w:tcPr>
            <w:tcW w:w="1444" w:type="pct"/>
          </w:tcPr>
          <w:p w14:paraId="4FC9A524"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13</w:t>
            </w:r>
          </w:p>
        </w:tc>
        <w:tc>
          <w:tcPr>
            <w:tcW w:w="2435" w:type="pct"/>
          </w:tcPr>
          <w:p w14:paraId="05D135FD"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14%</w:t>
            </w:r>
          </w:p>
        </w:tc>
      </w:tr>
      <w:tr w:rsidR="00742C80" w:rsidRPr="00157A11" w14:paraId="044B10FD" w14:textId="77777777" w:rsidTr="00A74788">
        <w:trPr>
          <w:cantSplit/>
          <w:trHeight w:val="290"/>
          <w:tblHeader/>
          <w:jc w:val="center"/>
        </w:trPr>
        <w:tc>
          <w:tcPr>
            <w:tcW w:w="1121" w:type="pct"/>
          </w:tcPr>
          <w:p w14:paraId="13102C88" w14:textId="77777777" w:rsidR="00742C80" w:rsidRPr="00157A11" w:rsidRDefault="00742C80" w:rsidP="00645BC9">
            <w:pPr>
              <w:autoSpaceDE w:val="0"/>
              <w:autoSpaceDN w:val="0"/>
              <w:adjustRightInd w:val="0"/>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Inconnus</w:t>
            </w:r>
          </w:p>
        </w:tc>
        <w:tc>
          <w:tcPr>
            <w:tcW w:w="1444" w:type="pct"/>
          </w:tcPr>
          <w:p w14:paraId="6E89239D"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84</w:t>
            </w:r>
          </w:p>
        </w:tc>
        <w:tc>
          <w:tcPr>
            <w:tcW w:w="2435" w:type="pct"/>
          </w:tcPr>
          <w:p w14:paraId="1E281F72" w14:textId="77777777" w:rsidR="00742C80" w:rsidRPr="00157A11" w:rsidRDefault="00011915"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0%</w:t>
            </w:r>
          </w:p>
        </w:tc>
      </w:tr>
    </w:tbl>
    <w:p w14:paraId="4ED772B5" w14:textId="77777777" w:rsidR="00ED685A" w:rsidRPr="00157A11" w:rsidRDefault="00ED685A" w:rsidP="00E01E51">
      <w:pPr>
        <w:pStyle w:val="Footer"/>
        <w:jc w:val="center"/>
        <w:rPr>
          <w:noProof/>
          <w:lang w:val="fr-CA" w:eastAsia="en-CA"/>
        </w:rPr>
      </w:pPr>
    </w:p>
    <w:p w14:paraId="3A585775" w14:textId="77777777" w:rsidR="00ED685A" w:rsidRPr="00157A11" w:rsidRDefault="00ED685A" w:rsidP="00E01E51">
      <w:pPr>
        <w:pStyle w:val="Footer"/>
        <w:jc w:val="center"/>
        <w:rPr>
          <w:noProof/>
          <w:lang w:val="fr-CA" w:eastAsia="en-CA"/>
        </w:rPr>
        <w:sectPr w:rsidR="00ED685A" w:rsidRPr="00157A11" w:rsidSect="007E486E">
          <w:pgSz w:w="15840" w:h="12240" w:orient="landscape"/>
          <w:pgMar w:top="720" w:right="720" w:bottom="720" w:left="720" w:header="283" w:footer="170" w:gutter="0"/>
          <w:cols w:space="708"/>
          <w:titlePg/>
          <w:docGrid w:linePitch="360"/>
        </w:sectPr>
      </w:pPr>
    </w:p>
    <w:p w14:paraId="6A1FE4D7" w14:textId="77777777" w:rsidR="005B786F" w:rsidRPr="00157A11" w:rsidRDefault="005B786F" w:rsidP="005B786F">
      <w:pPr>
        <w:pStyle w:val="Heading1"/>
        <w:spacing w:before="120" w:after="120"/>
        <w:rPr>
          <w:noProof/>
          <w:sz w:val="40"/>
          <w:lang w:val="fr-CA" w:eastAsia="en-CA"/>
        </w:rPr>
      </w:pPr>
      <w:r w:rsidRPr="00157A11">
        <w:rPr>
          <w:rFonts w:eastAsia="Times New Roman"/>
          <w:noProof/>
          <w:sz w:val="40"/>
          <w:lang w:val="fr-CA" w:eastAsia="en-CA"/>
        </w:rPr>
        <w:lastRenderedPageBreak/>
        <w:t>Population selon le groupe professionnel au 31 mars 2019</w:t>
      </w:r>
    </w:p>
    <w:p w14:paraId="649AF4EE" w14:textId="77777777" w:rsidR="005B786F" w:rsidRPr="00157A11" w:rsidRDefault="00ED685A" w:rsidP="005B786F">
      <w:pPr>
        <w:pStyle w:val="Footer"/>
        <w:keepNext/>
        <w:jc w:val="center"/>
        <w:rPr>
          <w:lang w:val="fr-CA"/>
        </w:rPr>
      </w:pPr>
      <w:r w:rsidRPr="00157A11">
        <w:rPr>
          <w:noProof/>
          <w:lang w:val="en-CA" w:eastAsia="en-CA"/>
        </w:rPr>
        <w:drawing>
          <wp:inline distT="0" distB="0" distL="0" distR="0" wp14:anchorId="552F9BB8" wp14:editId="1E75D310">
            <wp:extent cx="1980000" cy="3020400"/>
            <wp:effectExtent l="0" t="0" r="1270" b="8890"/>
            <wp:docPr id="5" name="Chart 5" descr="Population selon le groupe professionnel au 31 mars 2019&#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7B32CB9" w14:textId="77777777" w:rsidR="00ED685A" w:rsidRPr="00157A11" w:rsidRDefault="005B786F" w:rsidP="005B786F">
      <w:pPr>
        <w:pStyle w:val="Caption"/>
        <w:spacing w:after="0"/>
        <w:jc w:val="center"/>
        <w:rPr>
          <w:rFonts w:asciiTheme="minorHAnsi" w:hAnsiTheme="minorHAnsi" w:cstheme="minorHAnsi"/>
          <w:i w:val="0"/>
          <w:noProof/>
          <w:color w:val="auto"/>
          <w:lang w:val="fr-CA" w:eastAsia="en-CA"/>
        </w:rPr>
      </w:pPr>
      <w:r w:rsidRPr="00157A11">
        <w:rPr>
          <w:rFonts w:asciiTheme="minorHAnsi" w:hAnsiTheme="minorHAnsi" w:cstheme="minorHAnsi"/>
          <w:i w:val="0"/>
          <w:color w:val="auto"/>
          <w:lang w:val="fr-CA"/>
        </w:rPr>
        <w:t xml:space="preserve">Figure </w:t>
      </w:r>
      <w:r w:rsidRPr="00157A11">
        <w:rPr>
          <w:rFonts w:asciiTheme="minorHAnsi" w:hAnsiTheme="minorHAnsi" w:cstheme="minorHAnsi"/>
          <w:i w:val="0"/>
          <w:color w:val="auto"/>
          <w:lang w:val="fr-CA"/>
        </w:rPr>
        <w:fldChar w:fldCharType="begin"/>
      </w:r>
      <w:r w:rsidRPr="00157A11">
        <w:rPr>
          <w:rFonts w:asciiTheme="minorHAnsi" w:hAnsiTheme="minorHAnsi" w:cstheme="minorHAnsi"/>
          <w:i w:val="0"/>
          <w:color w:val="auto"/>
          <w:lang w:val="fr-CA"/>
        </w:rPr>
        <w:instrText xml:space="preserve"> SEQ Figure \* ARABIC </w:instrText>
      </w:r>
      <w:r w:rsidRPr="00157A11">
        <w:rPr>
          <w:rFonts w:asciiTheme="minorHAnsi" w:hAnsiTheme="minorHAnsi" w:cstheme="minorHAnsi"/>
          <w:i w:val="0"/>
          <w:color w:val="auto"/>
          <w:lang w:val="fr-CA"/>
        </w:rPr>
        <w:fldChar w:fldCharType="separate"/>
      </w:r>
      <w:r w:rsidR="00973FED" w:rsidRPr="00157A11">
        <w:rPr>
          <w:rFonts w:asciiTheme="minorHAnsi" w:hAnsiTheme="minorHAnsi" w:cstheme="minorHAnsi"/>
          <w:i w:val="0"/>
          <w:noProof/>
          <w:color w:val="auto"/>
          <w:lang w:val="fr-CA"/>
        </w:rPr>
        <w:t>3</w:t>
      </w:r>
      <w:r w:rsidRPr="00157A11">
        <w:rPr>
          <w:rFonts w:asciiTheme="minorHAnsi" w:hAnsiTheme="minorHAnsi" w:cstheme="minorHAnsi"/>
          <w:i w:val="0"/>
          <w:color w:val="auto"/>
          <w:lang w:val="fr-CA"/>
        </w:rPr>
        <w:fldChar w:fldCharType="end"/>
      </w:r>
      <w:r w:rsidRPr="00157A11">
        <w:rPr>
          <w:rFonts w:asciiTheme="minorHAnsi" w:hAnsiTheme="minorHAnsi" w:cstheme="minorHAnsi"/>
          <w:i w:val="0"/>
          <w:color w:val="auto"/>
          <w:lang w:val="fr-CA"/>
        </w:rPr>
        <w:t xml:space="preserve"> - Population selon le groupe professionnel au 31 mars 2019</w:t>
      </w:r>
    </w:p>
    <w:p w14:paraId="1FC77C04" w14:textId="77777777" w:rsidR="005B786F" w:rsidRPr="00157A11" w:rsidRDefault="005B786F" w:rsidP="005B786F">
      <w:pPr>
        <w:pStyle w:val="Caption"/>
        <w:keepNext/>
        <w:spacing w:before="240" w:after="0"/>
        <w:jc w:val="center"/>
        <w:rPr>
          <w:rFonts w:asciiTheme="minorHAnsi" w:hAnsiTheme="minorHAnsi" w:cstheme="minorHAnsi"/>
          <w:i w:val="0"/>
          <w:color w:val="auto"/>
          <w:lang w:val="fr-CA"/>
        </w:rPr>
      </w:pPr>
      <w:r w:rsidRPr="00157A11">
        <w:rPr>
          <w:rFonts w:asciiTheme="minorHAnsi" w:hAnsiTheme="minorHAnsi" w:cstheme="minorHAnsi"/>
          <w:i w:val="0"/>
          <w:color w:val="auto"/>
          <w:lang w:val="fr-CA"/>
        </w:rPr>
        <w:t xml:space="preserve">Table </w:t>
      </w:r>
      <w:r w:rsidRPr="00157A11">
        <w:rPr>
          <w:rFonts w:asciiTheme="minorHAnsi" w:hAnsiTheme="minorHAnsi" w:cstheme="minorHAnsi"/>
          <w:i w:val="0"/>
          <w:color w:val="auto"/>
          <w:lang w:val="fr-CA"/>
        </w:rPr>
        <w:fldChar w:fldCharType="begin"/>
      </w:r>
      <w:r w:rsidRPr="00157A11">
        <w:rPr>
          <w:rFonts w:asciiTheme="minorHAnsi" w:hAnsiTheme="minorHAnsi" w:cstheme="minorHAnsi"/>
          <w:i w:val="0"/>
          <w:color w:val="auto"/>
          <w:lang w:val="fr-CA"/>
        </w:rPr>
        <w:instrText xml:space="preserve"> SEQ Table \* ARABIC </w:instrText>
      </w:r>
      <w:r w:rsidRPr="00157A11">
        <w:rPr>
          <w:rFonts w:asciiTheme="minorHAnsi" w:hAnsiTheme="minorHAnsi" w:cstheme="minorHAnsi"/>
          <w:i w:val="0"/>
          <w:color w:val="auto"/>
          <w:lang w:val="fr-CA"/>
        </w:rPr>
        <w:fldChar w:fldCharType="separate"/>
      </w:r>
      <w:r w:rsidR="00025079">
        <w:rPr>
          <w:rFonts w:asciiTheme="minorHAnsi" w:hAnsiTheme="minorHAnsi" w:cstheme="minorHAnsi"/>
          <w:i w:val="0"/>
          <w:noProof/>
          <w:color w:val="auto"/>
          <w:lang w:val="fr-CA"/>
        </w:rPr>
        <w:t>4</w:t>
      </w:r>
      <w:r w:rsidRPr="00157A11">
        <w:rPr>
          <w:rFonts w:asciiTheme="minorHAnsi" w:hAnsiTheme="minorHAnsi" w:cstheme="minorHAnsi"/>
          <w:i w:val="0"/>
          <w:color w:val="auto"/>
          <w:lang w:val="fr-CA"/>
        </w:rPr>
        <w:fldChar w:fldCharType="end"/>
      </w:r>
      <w:r w:rsidRPr="00157A11">
        <w:rPr>
          <w:rFonts w:asciiTheme="minorHAnsi" w:hAnsiTheme="minorHAnsi" w:cstheme="minorHAnsi"/>
          <w:i w:val="0"/>
          <w:color w:val="auto"/>
          <w:lang w:val="fr-CA"/>
        </w:rPr>
        <w:t xml:space="preserve"> - Groupes d’emploi, pourcentage de l'effectif régi par la </w:t>
      </w:r>
      <w:r w:rsidRPr="00157A11">
        <w:rPr>
          <w:rStyle w:val="Emphasis"/>
          <w:rFonts w:asciiTheme="minorHAnsi" w:hAnsiTheme="minorHAnsi" w:cstheme="minorHAnsi"/>
          <w:i/>
          <w:color w:val="auto"/>
          <w:lang w:val="fr-CA"/>
        </w:rPr>
        <w:t>Loi sur l’emploi dans la fonction publique</w:t>
      </w:r>
      <w:r w:rsidRPr="00157A11">
        <w:rPr>
          <w:rFonts w:asciiTheme="minorHAnsi" w:hAnsiTheme="minorHAnsi" w:cstheme="minorHAnsi"/>
          <w:i w:val="0"/>
          <w:color w:val="auto"/>
          <w:lang w:val="fr-CA"/>
        </w:rPr>
        <w:t xml:space="preserve"> au 31 mars 2019</w:t>
      </w:r>
    </w:p>
    <w:tbl>
      <w:tblPr>
        <w:tblStyle w:val="TableGrid"/>
        <w:tblW w:w="5000" w:type="pct"/>
        <w:jc w:val="center"/>
        <w:tblLook w:val="0020" w:firstRow="1" w:lastRow="0" w:firstColumn="0" w:lastColumn="0" w:noHBand="0" w:noVBand="0"/>
        <w:tblDescription w:val="Effectif selon le groupe professionnel au 31 mars 2019"/>
      </w:tblPr>
      <w:tblGrid>
        <w:gridCol w:w="4530"/>
        <w:gridCol w:w="5103"/>
        <w:gridCol w:w="4757"/>
      </w:tblGrid>
      <w:tr w:rsidR="005B786F" w:rsidRPr="00A74788" w14:paraId="50B83BC5" w14:textId="77777777" w:rsidTr="00A74788">
        <w:trPr>
          <w:cantSplit/>
          <w:trHeight w:val="290"/>
          <w:tblHeader/>
          <w:jc w:val="center"/>
        </w:trPr>
        <w:tc>
          <w:tcPr>
            <w:tcW w:w="1574" w:type="pct"/>
          </w:tcPr>
          <w:p w14:paraId="42ED71E1" w14:textId="77777777" w:rsidR="00742C80" w:rsidRPr="00157A11" w:rsidRDefault="00742C80" w:rsidP="005B786F">
            <w:pPr>
              <w:pStyle w:val="TableTitle"/>
              <w:rPr>
                <w:rFonts w:cs="Segoe UI Semibold"/>
                <w:lang w:val="fr-CA"/>
              </w:rPr>
            </w:pPr>
            <w:r w:rsidRPr="00157A11">
              <w:rPr>
                <w:rFonts w:cs="Segoe UI Semibold"/>
                <w:lang w:val="fr-CA"/>
              </w:rPr>
              <w:t>Groupes professionnels</w:t>
            </w:r>
          </w:p>
        </w:tc>
        <w:tc>
          <w:tcPr>
            <w:tcW w:w="1773" w:type="pct"/>
          </w:tcPr>
          <w:p w14:paraId="2A36A912" w14:textId="77777777" w:rsidR="00742C80" w:rsidRPr="00157A11" w:rsidRDefault="00742C80" w:rsidP="005B786F">
            <w:pPr>
              <w:pStyle w:val="TableTitle"/>
              <w:rPr>
                <w:rFonts w:cs="Segoe UI Semibold"/>
                <w:lang w:val="fr-CA"/>
              </w:rPr>
            </w:pPr>
            <w:r w:rsidRPr="00157A11">
              <w:rPr>
                <w:rFonts w:cs="Segoe UI Semibold"/>
                <w:lang w:val="fr-CA"/>
              </w:rPr>
              <w:t>Effectif au 31 mars 2019</w:t>
            </w:r>
          </w:p>
        </w:tc>
        <w:tc>
          <w:tcPr>
            <w:tcW w:w="1653" w:type="pct"/>
          </w:tcPr>
          <w:p w14:paraId="0E00D356" w14:textId="77777777" w:rsidR="00742C80" w:rsidRPr="00157A11" w:rsidRDefault="00742C80" w:rsidP="005B786F">
            <w:pPr>
              <w:pStyle w:val="TableTitle"/>
              <w:rPr>
                <w:rFonts w:cs="Segoe UI Semibold"/>
                <w:lang w:val="fr-CA"/>
              </w:rPr>
            </w:pPr>
            <w:r w:rsidRPr="00157A11">
              <w:rPr>
                <w:rFonts w:cs="Segoe UI Semibold"/>
                <w:lang w:val="fr-CA"/>
              </w:rPr>
              <w:t>Pourcentage de l'effectif au 31 mars 2019</w:t>
            </w:r>
          </w:p>
        </w:tc>
      </w:tr>
      <w:tr w:rsidR="005B786F" w:rsidRPr="00157A11" w14:paraId="4E3DDA52" w14:textId="77777777" w:rsidTr="00A74788">
        <w:trPr>
          <w:cantSplit/>
          <w:trHeight w:val="290"/>
          <w:tblHeader/>
          <w:jc w:val="center"/>
        </w:trPr>
        <w:tc>
          <w:tcPr>
            <w:tcW w:w="1574" w:type="pct"/>
          </w:tcPr>
          <w:p w14:paraId="46D9D0E1" w14:textId="77777777" w:rsidR="00742C80" w:rsidRPr="00157A11" w:rsidRDefault="00742C80" w:rsidP="00645BC9">
            <w:pPr>
              <w:autoSpaceDE w:val="0"/>
              <w:autoSpaceDN w:val="0"/>
              <w:adjustRightInd w:val="0"/>
              <w:rPr>
                <w:rFonts w:asciiTheme="minorHAnsi" w:hAnsiTheme="minorHAnsi" w:cstheme="minorHAnsi"/>
                <w:sz w:val="22"/>
                <w:szCs w:val="24"/>
                <w:lang w:val="fr-CA"/>
              </w:rPr>
            </w:pPr>
            <w:r w:rsidRPr="00157A11">
              <w:rPr>
                <w:rFonts w:asciiTheme="minorHAnsi" w:hAnsiTheme="minorHAnsi" w:cstheme="minorHAnsi"/>
                <w:sz w:val="22"/>
                <w:szCs w:val="24"/>
                <w:lang w:val="fr-CA"/>
              </w:rPr>
              <w:t>EC – Groupe Économique et Services des sciences sociales</w:t>
            </w:r>
          </w:p>
        </w:tc>
        <w:tc>
          <w:tcPr>
            <w:tcW w:w="1773" w:type="pct"/>
          </w:tcPr>
          <w:p w14:paraId="2D2F1930"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44</w:t>
            </w:r>
          </w:p>
        </w:tc>
        <w:tc>
          <w:tcPr>
            <w:tcW w:w="1653" w:type="pct"/>
          </w:tcPr>
          <w:p w14:paraId="02E60AED"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26%</w:t>
            </w:r>
          </w:p>
        </w:tc>
      </w:tr>
      <w:tr w:rsidR="005B786F" w:rsidRPr="00157A11" w14:paraId="27F67AE9" w14:textId="77777777" w:rsidTr="00A74788">
        <w:trPr>
          <w:cantSplit/>
          <w:trHeight w:val="290"/>
          <w:tblHeader/>
          <w:jc w:val="center"/>
        </w:trPr>
        <w:tc>
          <w:tcPr>
            <w:tcW w:w="1574" w:type="pct"/>
          </w:tcPr>
          <w:p w14:paraId="35ED6CC9" w14:textId="77777777" w:rsidR="00742C80" w:rsidRPr="00157A11" w:rsidRDefault="00742C80" w:rsidP="00645BC9">
            <w:pPr>
              <w:autoSpaceDE w:val="0"/>
              <w:autoSpaceDN w:val="0"/>
              <w:adjustRightInd w:val="0"/>
              <w:rPr>
                <w:rFonts w:asciiTheme="minorHAnsi" w:hAnsiTheme="minorHAnsi" w:cstheme="minorHAnsi"/>
                <w:sz w:val="22"/>
                <w:szCs w:val="24"/>
                <w:lang w:val="fr-CA"/>
              </w:rPr>
            </w:pPr>
            <w:r w:rsidRPr="00157A11">
              <w:rPr>
                <w:rFonts w:asciiTheme="minorHAnsi" w:hAnsiTheme="minorHAnsi" w:cstheme="minorHAnsi"/>
                <w:sz w:val="22"/>
                <w:szCs w:val="24"/>
                <w:lang w:val="fr-CA"/>
              </w:rPr>
              <w:t>PM – Administration des programmes</w:t>
            </w:r>
          </w:p>
        </w:tc>
        <w:tc>
          <w:tcPr>
            <w:tcW w:w="1773" w:type="pct"/>
          </w:tcPr>
          <w:p w14:paraId="70732233"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44</w:t>
            </w:r>
          </w:p>
        </w:tc>
        <w:tc>
          <w:tcPr>
            <w:tcW w:w="1653" w:type="pct"/>
          </w:tcPr>
          <w:p w14:paraId="0BF3EDCD"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26%</w:t>
            </w:r>
          </w:p>
        </w:tc>
      </w:tr>
      <w:tr w:rsidR="005B786F" w:rsidRPr="00157A11" w14:paraId="57C3E2CA" w14:textId="77777777" w:rsidTr="00A74788">
        <w:trPr>
          <w:cantSplit/>
          <w:trHeight w:val="290"/>
          <w:tblHeader/>
          <w:jc w:val="center"/>
        </w:trPr>
        <w:tc>
          <w:tcPr>
            <w:tcW w:w="1574" w:type="pct"/>
          </w:tcPr>
          <w:p w14:paraId="35D60148" w14:textId="77777777" w:rsidR="00742C80" w:rsidRPr="00157A11" w:rsidRDefault="00742C80" w:rsidP="00645BC9">
            <w:pPr>
              <w:autoSpaceDE w:val="0"/>
              <w:autoSpaceDN w:val="0"/>
              <w:adjustRightInd w:val="0"/>
              <w:rPr>
                <w:rFonts w:asciiTheme="minorHAnsi" w:hAnsiTheme="minorHAnsi" w:cstheme="minorHAnsi"/>
                <w:sz w:val="22"/>
                <w:szCs w:val="24"/>
                <w:lang w:val="fr-CA"/>
              </w:rPr>
            </w:pPr>
            <w:r w:rsidRPr="00157A11">
              <w:rPr>
                <w:rFonts w:asciiTheme="minorHAnsi" w:hAnsiTheme="minorHAnsi" w:cstheme="minorHAnsi"/>
                <w:sz w:val="22"/>
                <w:szCs w:val="24"/>
                <w:lang w:val="fr-CA"/>
              </w:rPr>
              <w:t>AS – Services administratifs</w:t>
            </w:r>
          </w:p>
        </w:tc>
        <w:tc>
          <w:tcPr>
            <w:tcW w:w="1773" w:type="pct"/>
          </w:tcPr>
          <w:p w14:paraId="6DFBE951"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39</w:t>
            </w:r>
          </w:p>
        </w:tc>
        <w:tc>
          <w:tcPr>
            <w:tcW w:w="1653" w:type="pct"/>
          </w:tcPr>
          <w:p w14:paraId="7432B12C"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23%</w:t>
            </w:r>
          </w:p>
        </w:tc>
      </w:tr>
      <w:tr w:rsidR="005B786F" w:rsidRPr="00157A11" w14:paraId="05AA1F49" w14:textId="77777777" w:rsidTr="00A74788">
        <w:trPr>
          <w:cantSplit/>
          <w:trHeight w:val="290"/>
          <w:tblHeader/>
          <w:jc w:val="center"/>
        </w:trPr>
        <w:tc>
          <w:tcPr>
            <w:tcW w:w="1574" w:type="pct"/>
          </w:tcPr>
          <w:p w14:paraId="10E03853" w14:textId="77777777" w:rsidR="00742C80" w:rsidRPr="00157A11" w:rsidRDefault="00742C80" w:rsidP="00645BC9">
            <w:pPr>
              <w:autoSpaceDE w:val="0"/>
              <w:autoSpaceDN w:val="0"/>
              <w:adjustRightInd w:val="0"/>
              <w:rPr>
                <w:rFonts w:asciiTheme="minorHAnsi" w:hAnsiTheme="minorHAnsi" w:cstheme="minorHAnsi"/>
                <w:sz w:val="22"/>
                <w:szCs w:val="24"/>
                <w:lang w:val="fr-CA"/>
              </w:rPr>
            </w:pPr>
            <w:r w:rsidRPr="00157A11">
              <w:rPr>
                <w:rFonts w:asciiTheme="minorHAnsi" w:hAnsiTheme="minorHAnsi" w:cstheme="minorHAnsi"/>
                <w:sz w:val="22"/>
                <w:szCs w:val="24"/>
                <w:lang w:val="fr-CA"/>
              </w:rPr>
              <w:t>Autre</w:t>
            </w:r>
          </w:p>
        </w:tc>
        <w:tc>
          <w:tcPr>
            <w:tcW w:w="1773" w:type="pct"/>
          </w:tcPr>
          <w:p w14:paraId="04DD92EF"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45</w:t>
            </w:r>
          </w:p>
        </w:tc>
        <w:tc>
          <w:tcPr>
            <w:tcW w:w="1653" w:type="pct"/>
          </w:tcPr>
          <w:p w14:paraId="435A98F1"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26%</w:t>
            </w:r>
          </w:p>
        </w:tc>
      </w:tr>
    </w:tbl>
    <w:p w14:paraId="6A7EDCCE" w14:textId="77777777" w:rsidR="00ED685A" w:rsidRPr="00157A11" w:rsidRDefault="00ED685A" w:rsidP="00E01E51">
      <w:pPr>
        <w:pStyle w:val="Footer"/>
        <w:jc w:val="center"/>
        <w:rPr>
          <w:noProof/>
          <w:lang w:val="fr-CA" w:eastAsia="en-CA"/>
        </w:rPr>
      </w:pPr>
    </w:p>
    <w:p w14:paraId="1FE9A7E6" w14:textId="77777777" w:rsidR="00ED685A" w:rsidRPr="00157A11" w:rsidRDefault="00ED685A" w:rsidP="00E01E51">
      <w:pPr>
        <w:pStyle w:val="Footer"/>
        <w:jc w:val="center"/>
        <w:rPr>
          <w:noProof/>
          <w:lang w:val="fr-CA" w:eastAsia="en-CA"/>
        </w:rPr>
        <w:sectPr w:rsidR="00ED685A" w:rsidRPr="00157A11" w:rsidSect="007E486E">
          <w:pgSz w:w="15840" w:h="12240" w:orient="landscape"/>
          <w:pgMar w:top="720" w:right="720" w:bottom="720" w:left="720" w:header="283" w:footer="170" w:gutter="0"/>
          <w:cols w:space="708"/>
          <w:titlePg/>
          <w:docGrid w:linePitch="360"/>
        </w:sectPr>
      </w:pPr>
    </w:p>
    <w:p w14:paraId="61DAECF5" w14:textId="77777777" w:rsidR="00ED685A" w:rsidRPr="003E2A92" w:rsidRDefault="005B786F" w:rsidP="005B786F">
      <w:pPr>
        <w:pStyle w:val="Heading1"/>
        <w:spacing w:before="120" w:after="120"/>
        <w:rPr>
          <w:noProof/>
          <w:sz w:val="32"/>
          <w:lang w:val="fr-CA" w:eastAsia="en-CA"/>
        </w:rPr>
      </w:pPr>
      <w:r w:rsidRPr="003E2A92">
        <w:rPr>
          <w:noProof/>
          <w:sz w:val="40"/>
          <w:lang w:val="fr-CA" w:eastAsia="en-CA"/>
        </w:rPr>
        <w:lastRenderedPageBreak/>
        <w:t>Population selon la région au 31 mars 2019</w:t>
      </w:r>
    </w:p>
    <w:p w14:paraId="26C15B02" w14:textId="77777777" w:rsidR="005B786F" w:rsidRPr="00157A11" w:rsidRDefault="00ED685A" w:rsidP="005B786F">
      <w:pPr>
        <w:pStyle w:val="Footer"/>
        <w:keepNext/>
        <w:jc w:val="center"/>
        <w:rPr>
          <w:lang w:val="fr-CA"/>
        </w:rPr>
      </w:pPr>
      <w:r w:rsidRPr="00157A11">
        <w:rPr>
          <w:noProof/>
          <w:lang w:val="en-CA" w:eastAsia="en-CA"/>
        </w:rPr>
        <w:drawing>
          <wp:inline distT="0" distB="0" distL="0" distR="0" wp14:anchorId="292ED1E6" wp14:editId="04372A2B">
            <wp:extent cx="1980000" cy="3020400"/>
            <wp:effectExtent l="0" t="0" r="1270" b="8890"/>
            <wp:docPr id="15" name="Chart 15" descr="Population selon la région au 31 mars 2019 "/>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2CD13B2" w14:textId="77777777" w:rsidR="00ED685A" w:rsidRPr="00157A11" w:rsidRDefault="005B786F" w:rsidP="005B786F">
      <w:pPr>
        <w:pStyle w:val="Caption"/>
        <w:spacing w:after="0"/>
        <w:jc w:val="center"/>
        <w:rPr>
          <w:rFonts w:asciiTheme="minorHAnsi" w:hAnsiTheme="minorHAnsi" w:cstheme="minorHAnsi"/>
          <w:i w:val="0"/>
          <w:noProof/>
          <w:color w:val="auto"/>
          <w:lang w:val="fr-CA" w:eastAsia="en-CA"/>
        </w:rPr>
      </w:pPr>
      <w:r w:rsidRPr="00157A11">
        <w:rPr>
          <w:rFonts w:asciiTheme="minorHAnsi" w:hAnsiTheme="minorHAnsi" w:cstheme="minorHAnsi"/>
          <w:i w:val="0"/>
          <w:color w:val="auto"/>
          <w:lang w:val="fr-CA"/>
        </w:rPr>
        <w:t xml:space="preserve">Figure </w:t>
      </w:r>
      <w:r w:rsidRPr="00157A11">
        <w:rPr>
          <w:rFonts w:asciiTheme="minorHAnsi" w:hAnsiTheme="minorHAnsi" w:cstheme="minorHAnsi"/>
          <w:i w:val="0"/>
          <w:color w:val="auto"/>
          <w:lang w:val="fr-CA"/>
        </w:rPr>
        <w:fldChar w:fldCharType="begin"/>
      </w:r>
      <w:r w:rsidRPr="00157A11">
        <w:rPr>
          <w:rFonts w:asciiTheme="minorHAnsi" w:hAnsiTheme="minorHAnsi" w:cstheme="minorHAnsi"/>
          <w:i w:val="0"/>
          <w:color w:val="auto"/>
          <w:lang w:val="fr-CA"/>
        </w:rPr>
        <w:instrText xml:space="preserve"> SEQ Figure \* ARABIC </w:instrText>
      </w:r>
      <w:r w:rsidRPr="00157A11">
        <w:rPr>
          <w:rFonts w:asciiTheme="minorHAnsi" w:hAnsiTheme="minorHAnsi" w:cstheme="minorHAnsi"/>
          <w:i w:val="0"/>
          <w:color w:val="auto"/>
          <w:lang w:val="fr-CA"/>
        </w:rPr>
        <w:fldChar w:fldCharType="separate"/>
      </w:r>
      <w:r w:rsidR="00973FED" w:rsidRPr="00157A11">
        <w:rPr>
          <w:rFonts w:asciiTheme="minorHAnsi" w:hAnsiTheme="minorHAnsi" w:cstheme="minorHAnsi"/>
          <w:i w:val="0"/>
          <w:noProof/>
          <w:color w:val="auto"/>
          <w:lang w:val="fr-CA"/>
        </w:rPr>
        <w:t>4</w:t>
      </w:r>
      <w:r w:rsidRPr="00157A11">
        <w:rPr>
          <w:rFonts w:asciiTheme="minorHAnsi" w:hAnsiTheme="minorHAnsi" w:cstheme="minorHAnsi"/>
          <w:i w:val="0"/>
          <w:color w:val="auto"/>
          <w:lang w:val="fr-CA"/>
        </w:rPr>
        <w:fldChar w:fldCharType="end"/>
      </w:r>
      <w:r w:rsidRPr="00157A11">
        <w:rPr>
          <w:rFonts w:asciiTheme="minorHAnsi" w:hAnsiTheme="minorHAnsi" w:cstheme="minorHAnsi"/>
          <w:i w:val="0"/>
          <w:color w:val="auto"/>
          <w:lang w:val="fr-CA"/>
        </w:rPr>
        <w:t xml:space="preserve"> - Population selon la région au 31 mars 2019</w:t>
      </w:r>
    </w:p>
    <w:p w14:paraId="707987CD" w14:textId="77777777" w:rsidR="005B786F" w:rsidRPr="00157A11" w:rsidRDefault="005B786F" w:rsidP="005B786F">
      <w:pPr>
        <w:pStyle w:val="Caption"/>
        <w:keepNext/>
        <w:spacing w:before="240" w:after="0"/>
        <w:jc w:val="center"/>
        <w:rPr>
          <w:rFonts w:asciiTheme="minorHAnsi" w:hAnsiTheme="minorHAnsi" w:cstheme="minorHAnsi"/>
          <w:i w:val="0"/>
          <w:color w:val="auto"/>
          <w:lang w:val="fr-CA"/>
        </w:rPr>
      </w:pPr>
      <w:r w:rsidRPr="00157A11">
        <w:rPr>
          <w:rFonts w:asciiTheme="minorHAnsi" w:hAnsiTheme="minorHAnsi" w:cstheme="minorHAnsi"/>
          <w:i w:val="0"/>
          <w:color w:val="auto"/>
          <w:lang w:val="fr-CA"/>
        </w:rPr>
        <w:t xml:space="preserve">Table </w:t>
      </w:r>
      <w:r w:rsidRPr="00157A11">
        <w:rPr>
          <w:rFonts w:asciiTheme="minorHAnsi" w:hAnsiTheme="minorHAnsi" w:cstheme="minorHAnsi"/>
          <w:i w:val="0"/>
          <w:color w:val="auto"/>
          <w:lang w:val="fr-CA"/>
        </w:rPr>
        <w:fldChar w:fldCharType="begin"/>
      </w:r>
      <w:r w:rsidRPr="00157A11">
        <w:rPr>
          <w:rFonts w:asciiTheme="minorHAnsi" w:hAnsiTheme="minorHAnsi" w:cstheme="minorHAnsi"/>
          <w:i w:val="0"/>
          <w:color w:val="auto"/>
          <w:lang w:val="fr-CA"/>
        </w:rPr>
        <w:instrText xml:space="preserve"> SEQ Table \* ARABIC </w:instrText>
      </w:r>
      <w:r w:rsidRPr="00157A11">
        <w:rPr>
          <w:rFonts w:asciiTheme="minorHAnsi" w:hAnsiTheme="minorHAnsi" w:cstheme="minorHAnsi"/>
          <w:i w:val="0"/>
          <w:color w:val="auto"/>
          <w:lang w:val="fr-CA"/>
        </w:rPr>
        <w:fldChar w:fldCharType="separate"/>
      </w:r>
      <w:r w:rsidR="00025079">
        <w:rPr>
          <w:rFonts w:asciiTheme="minorHAnsi" w:hAnsiTheme="minorHAnsi" w:cstheme="minorHAnsi"/>
          <w:i w:val="0"/>
          <w:noProof/>
          <w:color w:val="auto"/>
          <w:lang w:val="fr-CA"/>
        </w:rPr>
        <w:t>5</w:t>
      </w:r>
      <w:r w:rsidRPr="00157A11">
        <w:rPr>
          <w:rFonts w:asciiTheme="minorHAnsi" w:hAnsiTheme="minorHAnsi" w:cstheme="minorHAnsi"/>
          <w:i w:val="0"/>
          <w:color w:val="auto"/>
          <w:lang w:val="fr-CA"/>
        </w:rPr>
        <w:fldChar w:fldCharType="end"/>
      </w:r>
      <w:r w:rsidRPr="00157A11">
        <w:rPr>
          <w:rFonts w:asciiTheme="minorHAnsi" w:hAnsiTheme="minorHAnsi" w:cstheme="minorHAnsi"/>
          <w:i w:val="0"/>
          <w:color w:val="auto"/>
          <w:lang w:val="fr-CA"/>
        </w:rPr>
        <w:t xml:space="preserve"> - Effectif par région, pourcentage de l'effectif régi par la </w:t>
      </w:r>
      <w:r w:rsidRPr="00157A11">
        <w:rPr>
          <w:rStyle w:val="Emphasis"/>
          <w:rFonts w:asciiTheme="minorHAnsi" w:hAnsiTheme="minorHAnsi" w:cstheme="minorHAnsi"/>
          <w:i/>
          <w:color w:val="auto"/>
          <w:lang w:val="fr-CA"/>
        </w:rPr>
        <w:t>Loi sur l’emploi dans la fonction publique</w:t>
      </w:r>
      <w:r w:rsidRPr="00157A11">
        <w:rPr>
          <w:rFonts w:asciiTheme="minorHAnsi" w:hAnsiTheme="minorHAnsi" w:cstheme="minorHAnsi"/>
          <w:i w:val="0"/>
          <w:color w:val="auto"/>
          <w:lang w:val="fr-CA"/>
        </w:rPr>
        <w:t xml:space="preserve"> au 31 mars 2019</w:t>
      </w:r>
    </w:p>
    <w:tbl>
      <w:tblPr>
        <w:tblStyle w:val="TableGrid"/>
        <w:tblW w:w="5000" w:type="pct"/>
        <w:jc w:val="center"/>
        <w:tblLook w:val="0020" w:firstRow="1" w:lastRow="0" w:firstColumn="0" w:lastColumn="0" w:noHBand="0" w:noVBand="0"/>
        <w:tblDescription w:val="Effectif selon la région au 31 mars 2019"/>
      </w:tblPr>
      <w:tblGrid>
        <w:gridCol w:w="4107"/>
        <w:gridCol w:w="5103"/>
        <w:gridCol w:w="5180"/>
      </w:tblGrid>
      <w:tr w:rsidR="00742C80" w:rsidRPr="00A74788" w14:paraId="5BF35BE3" w14:textId="77777777" w:rsidTr="00A74788">
        <w:trPr>
          <w:cantSplit/>
          <w:trHeight w:val="290"/>
          <w:tblHeader/>
          <w:jc w:val="center"/>
        </w:trPr>
        <w:tc>
          <w:tcPr>
            <w:tcW w:w="1427" w:type="pct"/>
          </w:tcPr>
          <w:p w14:paraId="015BB225" w14:textId="77777777" w:rsidR="00742C80" w:rsidRPr="00157A11" w:rsidRDefault="00742C80" w:rsidP="00014249">
            <w:pPr>
              <w:pStyle w:val="TableTitle"/>
              <w:rPr>
                <w:lang w:val="fr-CA"/>
              </w:rPr>
            </w:pPr>
            <w:r w:rsidRPr="00157A11">
              <w:rPr>
                <w:lang w:val="fr-CA"/>
              </w:rPr>
              <w:t>Région</w:t>
            </w:r>
          </w:p>
        </w:tc>
        <w:tc>
          <w:tcPr>
            <w:tcW w:w="1773" w:type="pct"/>
          </w:tcPr>
          <w:p w14:paraId="35CDF3DC" w14:textId="77777777" w:rsidR="00742C80" w:rsidRPr="00157A11" w:rsidRDefault="00742C80" w:rsidP="00014249">
            <w:pPr>
              <w:pStyle w:val="TableTitle"/>
              <w:rPr>
                <w:lang w:val="fr-CA"/>
              </w:rPr>
            </w:pPr>
            <w:r w:rsidRPr="00157A11">
              <w:rPr>
                <w:lang w:val="fr-CA"/>
              </w:rPr>
              <w:t>Effectif au 31 mars 2019</w:t>
            </w:r>
          </w:p>
        </w:tc>
        <w:tc>
          <w:tcPr>
            <w:tcW w:w="1800" w:type="pct"/>
          </w:tcPr>
          <w:p w14:paraId="3910FE2A" w14:textId="77777777" w:rsidR="00742C80" w:rsidRPr="00157A11" w:rsidRDefault="00742C80" w:rsidP="00014249">
            <w:pPr>
              <w:pStyle w:val="TableTitle"/>
              <w:rPr>
                <w:lang w:val="fr-CA"/>
              </w:rPr>
            </w:pPr>
            <w:r w:rsidRPr="00157A11">
              <w:rPr>
                <w:lang w:val="fr-CA"/>
              </w:rPr>
              <w:t>Pourcentage de l'effectif au 31 mars 2019</w:t>
            </w:r>
          </w:p>
        </w:tc>
      </w:tr>
      <w:tr w:rsidR="00014249" w:rsidRPr="00157A11" w14:paraId="283B0534" w14:textId="77777777" w:rsidTr="00A74788">
        <w:trPr>
          <w:cantSplit/>
          <w:trHeight w:val="290"/>
          <w:tblHeader/>
          <w:jc w:val="center"/>
        </w:trPr>
        <w:tc>
          <w:tcPr>
            <w:tcW w:w="1427" w:type="pct"/>
          </w:tcPr>
          <w:p w14:paraId="2218EA02" w14:textId="77777777" w:rsidR="00742C80" w:rsidRPr="00157A11" w:rsidRDefault="00742C80" w:rsidP="00645BC9">
            <w:pPr>
              <w:autoSpaceDE w:val="0"/>
              <w:autoSpaceDN w:val="0"/>
              <w:adjustRightInd w:val="0"/>
              <w:rPr>
                <w:rFonts w:asciiTheme="minorHAnsi" w:hAnsiTheme="minorHAnsi" w:cstheme="minorHAnsi"/>
                <w:sz w:val="22"/>
                <w:szCs w:val="24"/>
                <w:lang w:val="fr-CA"/>
              </w:rPr>
            </w:pPr>
            <w:r w:rsidRPr="00157A11">
              <w:rPr>
                <w:rFonts w:asciiTheme="minorHAnsi" w:hAnsiTheme="minorHAnsi" w:cstheme="minorHAnsi"/>
                <w:sz w:val="22"/>
                <w:szCs w:val="24"/>
                <w:lang w:val="fr-CA"/>
              </w:rPr>
              <w:t>Région de la capitale nationale (RCN)</w:t>
            </w:r>
          </w:p>
        </w:tc>
        <w:tc>
          <w:tcPr>
            <w:tcW w:w="1773" w:type="pct"/>
          </w:tcPr>
          <w:p w14:paraId="30D620B3"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162</w:t>
            </w:r>
          </w:p>
        </w:tc>
        <w:tc>
          <w:tcPr>
            <w:tcW w:w="1800" w:type="pct"/>
          </w:tcPr>
          <w:p w14:paraId="21B141EE"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90%</w:t>
            </w:r>
          </w:p>
        </w:tc>
      </w:tr>
      <w:tr w:rsidR="00014249" w:rsidRPr="00157A11" w14:paraId="158ABDEF" w14:textId="77777777" w:rsidTr="00A74788">
        <w:trPr>
          <w:cantSplit/>
          <w:trHeight w:val="290"/>
          <w:tblHeader/>
          <w:jc w:val="center"/>
        </w:trPr>
        <w:tc>
          <w:tcPr>
            <w:tcW w:w="1427" w:type="pct"/>
          </w:tcPr>
          <w:p w14:paraId="7B436923" w14:textId="77777777" w:rsidR="00742C80" w:rsidRPr="00157A11" w:rsidRDefault="00742C80" w:rsidP="00645BC9">
            <w:pPr>
              <w:autoSpaceDE w:val="0"/>
              <w:autoSpaceDN w:val="0"/>
              <w:adjustRightInd w:val="0"/>
              <w:rPr>
                <w:rFonts w:asciiTheme="minorHAnsi" w:hAnsiTheme="minorHAnsi" w:cstheme="minorHAnsi"/>
                <w:sz w:val="22"/>
                <w:szCs w:val="24"/>
                <w:lang w:val="fr-CA"/>
              </w:rPr>
            </w:pPr>
            <w:r w:rsidRPr="00157A11">
              <w:rPr>
                <w:rFonts w:asciiTheme="minorHAnsi" w:hAnsiTheme="minorHAnsi" w:cstheme="minorHAnsi"/>
                <w:sz w:val="22"/>
                <w:szCs w:val="24"/>
                <w:lang w:val="fr-CA"/>
              </w:rPr>
              <w:t>Régions à l’extérieur de la RCN</w:t>
            </w:r>
          </w:p>
        </w:tc>
        <w:tc>
          <w:tcPr>
            <w:tcW w:w="1773" w:type="pct"/>
          </w:tcPr>
          <w:p w14:paraId="64256E55"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18</w:t>
            </w:r>
          </w:p>
        </w:tc>
        <w:tc>
          <w:tcPr>
            <w:tcW w:w="1800" w:type="pct"/>
          </w:tcPr>
          <w:p w14:paraId="0B068E38"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10%</w:t>
            </w:r>
          </w:p>
        </w:tc>
      </w:tr>
      <w:tr w:rsidR="00014249" w:rsidRPr="00157A11" w14:paraId="66D0957A" w14:textId="77777777" w:rsidTr="00A74788">
        <w:trPr>
          <w:cantSplit/>
          <w:trHeight w:val="290"/>
          <w:tblHeader/>
          <w:jc w:val="center"/>
        </w:trPr>
        <w:tc>
          <w:tcPr>
            <w:tcW w:w="1427" w:type="pct"/>
          </w:tcPr>
          <w:p w14:paraId="06A52729" w14:textId="77777777" w:rsidR="00742C80" w:rsidRPr="00157A11" w:rsidRDefault="00742C80" w:rsidP="00645BC9">
            <w:pPr>
              <w:autoSpaceDE w:val="0"/>
              <w:autoSpaceDN w:val="0"/>
              <w:adjustRightInd w:val="0"/>
              <w:rPr>
                <w:rFonts w:asciiTheme="minorHAnsi" w:hAnsiTheme="minorHAnsi" w:cstheme="minorHAnsi"/>
                <w:sz w:val="22"/>
                <w:szCs w:val="24"/>
                <w:lang w:val="fr-CA"/>
              </w:rPr>
            </w:pPr>
            <w:r w:rsidRPr="00157A11">
              <w:rPr>
                <w:rFonts w:asciiTheme="minorHAnsi" w:hAnsiTheme="minorHAnsi" w:cstheme="minorHAnsi"/>
                <w:sz w:val="22"/>
                <w:szCs w:val="24"/>
                <w:lang w:val="fr-CA"/>
              </w:rPr>
              <w:t>Inconnus</w:t>
            </w:r>
          </w:p>
        </w:tc>
        <w:tc>
          <w:tcPr>
            <w:tcW w:w="1773" w:type="pct"/>
          </w:tcPr>
          <w:p w14:paraId="08DBFF41"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0</w:t>
            </w:r>
          </w:p>
        </w:tc>
        <w:tc>
          <w:tcPr>
            <w:tcW w:w="1800" w:type="pct"/>
          </w:tcPr>
          <w:p w14:paraId="7ADC0C4B" w14:textId="77777777" w:rsidR="00742C80" w:rsidRPr="00157A11" w:rsidRDefault="005B786F"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0%</w:t>
            </w:r>
          </w:p>
        </w:tc>
      </w:tr>
    </w:tbl>
    <w:p w14:paraId="6B034973" w14:textId="77777777" w:rsidR="00ED685A" w:rsidRPr="00157A11" w:rsidRDefault="00ED685A" w:rsidP="00E01E51">
      <w:pPr>
        <w:pStyle w:val="Footer"/>
        <w:jc w:val="center"/>
        <w:rPr>
          <w:noProof/>
          <w:lang w:val="fr-CA" w:eastAsia="en-CA"/>
        </w:rPr>
      </w:pPr>
    </w:p>
    <w:p w14:paraId="7825C2B3" w14:textId="77777777" w:rsidR="00ED685A" w:rsidRPr="00157A11" w:rsidRDefault="00ED685A" w:rsidP="00E01E51">
      <w:pPr>
        <w:pStyle w:val="Footer"/>
        <w:jc w:val="center"/>
        <w:rPr>
          <w:noProof/>
          <w:lang w:val="fr-CA" w:eastAsia="en-CA"/>
        </w:rPr>
        <w:sectPr w:rsidR="00ED685A" w:rsidRPr="00157A11" w:rsidSect="007E486E">
          <w:pgSz w:w="15840" w:h="12240" w:orient="landscape"/>
          <w:pgMar w:top="720" w:right="720" w:bottom="720" w:left="720" w:header="283" w:footer="170" w:gutter="0"/>
          <w:cols w:space="708"/>
          <w:titlePg/>
          <w:docGrid w:linePitch="360"/>
        </w:sectPr>
      </w:pPr>
    </w:p>
    <w:p w14:paraId="5BAB4C08" w14:textId="77777777" w:rsidR="00ED685A" w:rsidRPr="00157A11" w:rsidRDefault="00430738" w:rsidP="00430738">
      <w:pPr>
        <w:pStyle w:val="Heading1"/>
        <w:spacing w:before="120" w:after="120"/>
        <w:rPr>
          <w:noProof/>
          <w:sz w:val="40"/>
          <w:lang w:val="fr-CA" w:eastAsia="en-CA"/>
        </w:rPr>
      </w:pPr>
      <w:r w:rsidRPr="00157A11">
        <w:rPr>
          <w:rFonts w:eastAsia="Times New Roman"/>
          <w:noProof/>
          <w:sz w:val="40"/>
          <w:lang w:val="fr-CA" w:eastAsia="en-CA"/>
        </w:rPr>
        <w:lastRenderedPageBreak/>
        <w:t>Embauche externe pour une période indéterminée selon le groupe professionnel, 2018-2019</w:t>
      </w:r>
    </w:p>
    <w:p w14:paraId="5590A440" w14:textId="77777777" w:rsidR="00430738" w:rsidRPr="00157A11" w:rsidRDefault="00E01E51" w:rsidP="00430738">
      <w:pPr>
        <w:pStyle w:val="Footer"/>
        <w:keepNext/>
        <w:jc w:val="center"/>
        <w:rPr>
          <w:lang w:val="fr-CA"/>
        </w:rPr>
      </w:pPr>
      <w:r w:rsidRPr="00157A11">
        <w:rPr>
          <w:noProof/>
          <w:lang w:val="en-CA" w:eastAsia="en-CA"/>
        </w:rPr>
        <w:drawing>
          <wp:inline distT="0" distB="0" distL="0" distR="0" wp14:anchorId="53595D48" wp14:editId="265C6CB3">
            <wp:extent cx="1980000" cy="3020400"/>
            <wp:effectExtent l="0" t="0" r="1270" b="8890"/>
            <wp:docPr id="7" name="Chart 7" descr="Embauche externe pour une période indéterminée selon le groupe professionnel, 2018-2019 "/>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8FA00D2" w14:textId="77777777" w:rsidR="00430738" w:rsidRPr="00157A11" w:rsidRDefault="00430738" w:rsidP="00825206">
      <w:pPr>
        <w:pStyle w:val="Caption"/>
        <w:spacing w:after="0"/>
        <w:jc w:val="center"/>
        <w:rPr>
          <w:rFonts w:asciiTheme="minorHAnsi" w:hAnsiTheme="minorHAnsi" w:cstheme="minorHAnsi"/>
          <w:i w:val="0"/>
          <w:color w:val="auto"/>
          <w:lang w:val="fr-CA"/>
        </w:rPr>
      </w:pPr>
      <w:r w:rsidRPr="00157A11">
        <w:rPr>
          <w:rFonts w:asciiTheme="minorHAnsi" w:hAnsiTheme="minorHAnsi" w:cstheme="minorHAnsi"/>
          <w:i w:val="0"/>
          <w:color w:val="auto"/>
          <w:lang w:val="fr-CA"/>
        </w:rPr>
        <w:t xml:space="preserve">Figure </w:t>
      </w:r>
      <w:r w:rsidRPr="00157A11">
        <w:rPr>
          <w:rFonts w:asciiTheme="minorHAnsi" w:hAnsiTheme="minorHAnsi" w:cstheme="minorHAnsi"/>
          <w:i w:val="0"/>
          <w:color w:val="auto"/>
          <w:lang w:val="fr-CA"/>
        </w:rPr>
        <w:fldChar w:fldCharType="begin"/>
      </w:r>
      <w:r w:rsidRPr="00157A11">
        <w:rPr>
          <w:rFonts w:asciiTheme="minorHAnsi" w:hAnsiTheme="minorHAnsi" w:cstheme="minorHAnsi"/>
          <w:i w:val="0"/>
          <w:color w:val="auto"/>
          <w:lang w:val="fr-CA"/>
        </w:rPr>
        <w:instrText xml:space="preserve"> SEQ Figure \* ARABIC </w:instrText>
      </w:r>
      <w:r w:rsidRPr="00157A11">
        <w:rPr>
          <w:rFonts w:asciiTheme="minorHAnsi" w:hAnsiTheme="minorHAnsi" w:cstheme="minorHAnsi"/>
          <w:i w:val="0"/>
          <w:color w:val="auto"/>
          <w:lang w:val="fr-CA"/>
        </w:rPr>
        <w:fldChar w:fldCharType="separate"/>
      </w:r>
      <w:r w:rsidR="00973FED" w:rsidRPr="00157A11">
        <w:rPr>
          <w:rFonts w:asciiTheme="minorHAnsi" w:hAnsiTheme="minorHAnsi" w:cstheme="minorHAnsi"/>
          <w:i w:val="0"/>
          <w:noProof/>
          <w:color w:val="auto"/>
          <w:lang w:val="fr-CA"/>
        </w:rPr>
        <w:t>5</w:t>
      </w:r>
      <w:r w:rsidRPr="00157A11">
        <w:rPr>
          <w:rFonts w:asciiTheme="minorHAnsi" w:hAnsiTheme="minorHAnsi" w:cstheme="minorHAnsi"/>
          <w:i w:val="0"/>
          <w:color w:val="auto"/>
          <w:lang w:val="fr-CA"/>
        </w:rPr>
        <w:fldChar w:fldCharType="end"/>
      </w:r>
      <w:r w:rsidRPr="00157A11">
        <w:rPr>
          <w:rFonts w:asciiTheme="minorHAnsi" w:hAnsiTheme="minorHAnsi" w:cstheme="minorHAnsi"/>
          <w:i w:val="0"/>
          <w:color w:val="auto"/>
          <w:lang w:val="fr-CA"/>
        </w:rPr>
        <w:t xml:space="preserve"> - Embauche externe pour une période indéterminée selon le groupe professionnel,</w:t>
      </w:r>
    </w:p>
    <w:p w14:paraId="19FE3C67" w14:textId="77777777" w:rsidR="00430738" w:rsidRPr="00157A11" w:rsidRDefault="00430738" w:rsidP="00825206">
      <w:pPr>
        <w:pStyle w:val="Footer"/>
        <w:spacing w:before="240"/>
        <w:jc w:val="center"/>
        <w:rPr>
          <w:rFonts w:asciiTheme="minorHAnsi" w:hAnsiTheme="minorHAnsi" w:cstheme="minorHAnsi"/>
          <w:sz w:val="18"/>
          <w:szCs w:val="18"/>
          <w:lang w:val="fr-CA"/>
        </w:rPr>
      </w:pPr>
      <w:r w:rsidRPr="00157A11">
        <w:rPr>
          <w:rFonts w:asciiTheme="minorHAnsi" w:hAnsiTheme="minorHAnsi" w:cstheme="minorHAnsi"/>
          <w:sz w:val="18"/>
          <w:szCs w:val="18"/>
          <w:lang w:val="fr-CA"/>
        </w:rPr>
        <w:t xml:space="preserve">Table </w:t>
      </w:r>
      <w:r w:rsidRPr="00157A11">
        <w:rPr>
          <w:rFonts w:asciiTheme="minorHAnsi" w:hAnsiTheme="minorHAnsi" w:cstheme="minorHAnsi"/>
          <w:sz w:val="18"/>
          <w:szCs w:val="18"/>
          <w:lang w:val="fr-CA"/>
        </w:rPr>
        <w:fldChar w:fldCharType="begin"/>
      </w:r>
      <w:r w:rsidRPr="00157A11">
        <w:rPr>
          <w:rFonts w:asciiTheme="minorHAnsi" w:hAnsiTheme="minorHAnsi" w:cstheme="minorHAnsi"/>
          <w:sz w:val="18"/>
          <w:szCs w:val="18"/>
          <w:lang w:val="fr-CA"/>
        </w:rPr>
        <w:instrText xml:space="preserve"> SEQ Table \* ARABIC </w:instrText>
      </w:r>
      <w:r w:rsidRPr="00157A11">
        <w:rPr>
          <w:rFonts w:asciiTheme="minorHAnsi" w:hAnsiTheme="minorHAnsi" w:cstheme="minorHAnsi"/>
          <w:sz w:val="18"/>
          <w:szCs w:val="18"/>
          <w:lang w:val="fr-CA"/>
        </w:rPr>
        <w:fldChar w:fldCharType="separate"/>
      </w:r>
      <w:r w:rsidR="00025079">
        <w:rPr>
          <w:rFonts w:asciiTheme="minorHAnsi" w:hAnsiTheme="minorHAnsi" w:cstheme="minorHAnsi"/>
          <w:noProof/>
          <w:sz w:val="18"/>
          <w:szCs w:val="18"/>
          <w:lang w:val="fr-CA"/>
        </w:rPr>
        <w:t>6</w:t>
      </w:r>
      <w:r w:rsidRPr="00157A11">
        <w:rPr>
          <w:rFonts w:asciiTheme="minorHAnsi" w:hAnsiTheme="minorHAnsi" w:cstheme="minorHAnsi"/>
          <w:sz w:val="18"/>
          <w:szCs w:val="18"/>
          <w:lang w:val="fr-CA"/>
        </w:rPr>
        <w:fldChar w:fldCharType="end"/>
      </w:r>
      <w:r w:rsidRPr="00157A11">
        <w:rPr>
          <w:rFonts w:asciiTheme="minorHAnsi" w:hAnsiTheme="minorHAnsi" w:cstheme="minorHAnsi"/>
          <w:sz w:val="18"/>
          <w:szCs w:val="18"/>
          <w:lang w:val="fr-CA"/>
        </w:rPr>
        <w:t xml:space="preserve"> - Embauche externe à des postes pour une période indéterminée selon le groupe professionnel, de 2018 à 2019</w:t>
      </w:r>
    </w:p>
    <w:tbl>
      <w:tblPr>
        <w:tblStyle w:val="TableGrid"/>
        <w:tblW w:w="5000" w:type="pct"/>
        <w:jc w:val="center"/>
        <w:tblLook w:val="0020" w:firstRow="1" w:lastRow="0" w:firstColumn="0" w:lastColumn="0" w:noHBand="0" w:noVBand="0"/>
        <w:tblDescription w:val="Embauches externes indéterminées selon le groupe professionnel 2018-2019"/>
      </w:tblPr>
      <w:tblGrid>
        <w:gridCol w:w="4107"/>
        <w:gridCol w:w="4959"/>
        <w:gridCol w:w="5324"/>
      </w:tblGrid>
      <w:tr w:rsidR="00742C80" w:rsidRPr="00A74788" w14:paraId="166CA9A2" w14:textId="77777777" w:rsidTr="00A74788">
        <w:trPr>
          <w:cantSplit/>
          <w:trHeight w:val="290"/>
          <w:tblHeader/>
          <w:jc w:val="center"/>
        </w:trPr>
        <w:tc>
          <w:tcPr>
            <w:tcW w:w="1427" w:type="pct"/>
          </w:tcPr>
          <w:p w14:paraId="495FF32A" w14:textId="77777777" w:rsidR="00742C80" w:rsidRPr="00157A11" w:rsidRDefault="00742C80" w:rsidP="00430738">
            <w:pPr>
              <w:pStyle w:val="TableTitle"/>
              <w:rPr>
                <w:rFonts w:cs="Segoe UI Semibold"/>
                <w:color w:val="000000"/>
                <w:lang w:val="fr-CA"/>
              </w:rPr>
            </w:pPr>
            <w:r w:rsidRPr="00157A11">
              <w:rPr>
                <w:rFonts w:cs="Segoe UI Semibold"/>
                <w:lang w:val="fr-CA"/>
              </w:rPr>
              <w:t>Groupes professionnels</w:t>
            </w:r>
          </w:p>
        </w:tc>
        <w:tc>
          <w:tcPr>
            <w:tcW w:w="1723" w:type="pct"/>
          </w:tcPr>
          <w:p w14:paraId="0100717F" w14:textId="77777777" w:rsidR="00742C80" w:rsidRPr="00157A11" w:rsidRDefault="00742C80" w:rsidP="00430738">
            <w:pPr>
              <w:pStyle w:val="TableTitle"/>
              <w:rPr>
                <w:rFonts w:cs="Segoe UI Semibold"/>
                <w:color w:val="000000"/>
                <w:lang w:val="fr-CA"/>
              </w:rPr>
            </w:pPr>
            <w:r w:rsidRPr="00157A11">
              <w:rPr>
                <w:rFonts w:cs="Segoe UI Semibold"/>
                <w:color w:val="000000"/>
                <w:lang w:val="fr-CA"/>
              </w:rPr>
              <w:t>Nombre d'embauches pour une période indéterminée dans</w:t>
            </w:r>
            <w:r w:rsidR="00430738" w:rsidRPr="00157A11">
              <w:rPr>
                <w:rFonts w:cs="Segoe UI Semibold"/>
                <w:color w:val="000000"/>
                <w:lang w:val="fr-CA"/>
              </w:rPr>
              <w:t xml:space="preserve"> </w:t>
            </w:r>
            <w:r w:rsidRPr="00157A11">
              <w:rPr>
                <w:rFonts w:cs="Segoe UI Semibold"/>
                <w:color w:val="000000"/>
                <w:lang w:val="fr-CA"/>
              </w:rPr>
              <w:t>l’organisation</w:t>
            </w:r>
          </w:p>
        </w:tc>
        <w:tc>
          <w:tcPr>
            <w:tcW w:w="1850" w:type="pct"/>
          </w:tcPr>
          <w:p w14:paraId="090EC372" w14:textId="77777777" w:rsidR="00742C80" w:rsidRPr="00157A11" w:rsidRDefault="00742C80" w:rsidP="00430738">
            <w:pPr>
              <w:pStyle w:val="TableTitle"/>
              <w:rPr>
                <w:rFonts w:cs="Segoe UI Semibold"/>
                <w:color w:val="000000"/>
                <w:lang w:val="fr-CA"/>
              </w:rPr>
            </w:pPr>
            <w:r w:rsidRPr="00157A11">
              <w:rPr>
                <w:rFonts w:cs="Segoe UI Semibold"/>
                <w:color w:val="000000"/>
                <w:lang w:val="fr-CA"/>
              </w:rPr>
              <w:t>Pourcentage d'embauches pour une période indéterminée dans l’organisation</w:t>
            </w:r>
          </w:p>
        </w:tc>
      </w:tr>
      <w:tr w:rsidR="00430738" w:rsidRPr="00157A11" w14:paraId="09C878DF" w14:textId="77777777" w:rsidTr="00A74788">
        <w:trPr>
          <w:cantSplit/>
          <w:trHeight w:val="290"/>
          <w:tblHeader/>
          <w:jc w:val="center"/>
        </w:trPr>
        <w:tc>
          <w:tcPr>
            <w:tcW w:w="1427" w:type="pct"/>
          </w:tcPr>
          <w:p w14:paraId="61B47A30" w14:textId="77777777" w:rsidR="00742C80" w:rsidRPr="00157A11" w:rsidRDefault="00742C80" w:rsidP="00645BC9">
            <w:pPr>
              <w:autoSpaceDE w:val="0"/>
              <w:autoSpaceDN w:val="0"/>
              <w:adjustRightInd w:val="0"/>
              <w:rPr>
                <w:rFonts w:asciiTheme="minorHAnsi" w:hAnsiTheme="minorHAnsi" w:cstheme="minorHAnsi"/>
                <w:sz w:val="22"/>
                <w:szCs w:val="24"/>
                <w:lang w:val="fr-CA"/>
              </w:rPr>
            </w:pPr>
            <w:r w:rsidRPr="00157A11">
              <w:rPr>
                <w:rFonts w:asciiTheme="minorHAnsi" w:hAnsiTheme="minorHAnsi" w:cstheme="minorHAnsi"/>
                <w:sz w:val="22"/>
                <w:szCs w:val="24"/>
                <w:lang w:val="fr-CA"/>
              </w:rPr>
              <w:t>PM – Administration des programmes</w:t>
            </w:r>
          </w:p>
        </w:tc>
        <w:tc>
          <w:tcPr>
            <w:tcW w:w="1723" w:type="pct"/>
          </w:tcPr>
          <w:p w14:paraId="63C06CD3"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4</w:t>
            </w:r>
          </w:p>
        </w:tc>
        <w:tc>
          <w:tcPr>
            <w:tcW w:w="1850" w:type="pct"/>
          </w:tcPr>
          <w:p w14:paraId="681BB3AA"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44%</w:t>
            </w:r>
          </w:p>
        </w:tc>
      </w:tr>
      <w:tr w:rsidR="00430738" w:rsidRPr="00157A11" w14:paraId="26D0958E" w14:textId="77777777" w:rsidTr="00A74788">
        <w:trPr>
          <w:cantSplit/>
          <w:trHeight w:val="290"/>
          <w:tblHeader/>
          <w:jc w:val="center"/>
        </w:trPr>
        <w:tc>
          <w:tcPr>
            <w:tcW w:w="1427" w:type="pct"/>
          </w:tcPr>
          <w:p w14:paraId="6AD1BD01" w14:textId="77777777" w:rsidR="00742C80" w:rsidRPr="00157A11" w:rsidRDefault="00742C80" w:rsidP="00645BC9">
            <w:pPr>
              <w:autoSpaceDE w:val="0"/>
              <w:autoSpaceDN w:val="0"/>
              <w:adjustRightInd w:val="0"/>
              <w:rPr>
                <w:rFonts w:asciiTheme="minorHAnsi" w:hAnsiTheme="minorHAnsi" w:cstheme="minorHAnsi"/>
                <w:sz w:val="22"/>
                <w:szCs w:val="24"/>
                <w:lang w:val="fr-CA"/>
              </w:rPr>
            </w:pPr>
            <w:r w:rsidRPr="00157A11">
              <w:rPr>
                <w:rFonts w:asciiTheme="minorHAnsi" w:hAnsiTheme="minorHAnsi" w:cstheme="minorHAnsi"/>
                <w:sz w:val="22"/>
                <w:szCs w:val="24"/>
                <w:lang w:val="fr-CA"/>
              </w:rPr>
              <w:t>EC – Groupe Économique et Services des sciences sociales</w:t>
            </w:r>
          </w:p>
        </w:tc>
        <w:tc>
          <w:tcPr>
            <w:tcW w:w="1723" w:type="pct"/>
          </w:tcPr>
          <w:p w14:paraId="0B4CBFD6"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2</w:t>
            </w:r>
          </w:p>
        </w:tc>
        <w:tc>
          <w:tcPr>
            <w:tcW w:w="1850" w:type="pct"/>
          </w:tcPr>
          <w:p w14:paraId="1A681A95"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22%</w:t>
            </w:r>
          </w:p>
        </w:tc>
      </w:tr>
      <w:tr w:rsidR="00430738" w:rsidRPr="00157A11" w14:paraId="62AEBFE0" w14:textId="77777777" w:rsidTr="00A74788">
        <w:trPr>
          <w:cantSplit/>
          <w:trHeight w:val="290"/>
          <w:tblHeader/>
          <w:jc w:val="center"/>
        </w:trPr>
        <w:tc>
          <w:tcPr>
            <w:tcW w:w="1427" w:type="pct"/>
          </w:tcPr>
          <w:p w14:paraId="2B0630BE" w14:textId="77777777" w:rsidR="00742C80" w:rsidRPr="00157A11" w:rsidRDefault="00742C80" w:rsidP="00645BC9">
            <w:pPr>
              <w:autoSpaceDE w:val="0"/>
              <w:autoSpaceDN w:val="0"/>
              <w:adjustRightInd w:val="0"/>
              <w:rPr>
                <w:rFonts w:asciiTheme="minorHAnsi" w:hAnsiTheme="minorHAnsi" w:cstheme="minorHAnsi"/>
                <w:sz w:val="22"/>
                <w:szCs w:val="24"/>
                <w:lang w:val="fr-CA"/>
              </w:rPr>
            </w:pPr>
            <w:r w:rsidRPr="00157A11">
              <w:rPr>
                <w:rFonts w:asciiTheme="minorHAnsi" w:hAnsiTheme="minorHAnsi" w:cstheme="minorHAnsi"/>
                <w:sz w:val="22"/>
                <w:szCs w:val="24"/>
                <w:lang w:val="fr-CA"/>
              </w:rPr>
              <w:t>AS – Services administratifs</w:t>
            </w:r>
          </w:p>
        </w:tc>
        <w:tc>
          <w:tcPr>
            <w:tcW w:w="1723" w:type="pct"/>
          </w:tcPr>
          <w:p w14:paraId="2788BFCB"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1</w:t>
            </w:r>
          </w:p>
        </w:tc>
        <w:tc>
          <w:tcPr>
            <w:tcW w:w="1850" w:type="pct"/>
          </w:tcPr>
          <w:p w14:paraId="44328F42"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11%</w:t>
            </w:r>
          </w:p>
        </w:tc>
      </w:tr>
      <w:tr w:rsidR="00430738" w:rsidRPr="00157A11" w14:paraId="48FFD97F" w14:textId="77777777" w:rsidTr="00A74788">
        <w:trPr>
          <w:cantSplit/>
          <w:trHeight w:val="290"/>
          <w:tblHeader/>
          <w:jc w:val="center"/>
        </w:trPr>
        <w:tc>
          <w:tcPr>
            <w:tcW w:w="1427" w:type="pct"/>
          </w:tcPr>
          <w:p w14:paraId="6503D99A" w14:textId="77777777" w:rsidR="00742C80" w:rsidRPr="00157A11" w:rsidRDefault="00742C80" w:rsidP="00645BC9">
            <w:pPr>
              <w:autoSpaceDE w:val="0"/>
              <w:autoSpaceDN w:val="0"/>
              <w:adjustRightInd w:val="0"/>
              <w:rPr>
                <w:rFonts w:asciiTheme="minorHAnsi" w:hAnsiTheme="minorHAnsi" w:cstheme="minorHAnsi"/>
                <w:sz w:val="22"/>
                <w:szCs w:val="24"/>
                <w:lang w:val="fr-CA"/>
              </w:rPr>
            </w:pPr>
            <w:r w:rsidRPr="00157A11">
              <w:rPr>
                <w:rFonts w:asciiTheme="minorHAnsi" w:hAnsiTheme="minorHAnsi" w:cstheme="minorHAnsi"/>
                <w:sz w:val="22"/>
                <w:szCs w:val="24"/>
                <w:lang w:val="fr-CA"/>
              </w:rPr>
              <w:t>EX – Direction</w:t>
            </w:r>
          </w:p>
        </w:tc>
        <w:tc>
          <w:tcPr>
            <w:tcW w:w="1723" w:type="pct"/>
          </w:tcPr>
          <w:p w14:paraId="5FBFD1FE"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1</w:t>
            </w:r>
          </w:p>
        </w:tc>
        <w:tc>
          <w:tcPr>
            <w:tcW w:w="1850" w:type="pct"/>
          </w:tcPr>
          <w:p w14:paraId="5CE7F070"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11%</w:t>
            </w:r>
          </w:p>
        </w:tc>
      </w:tr>
      <w:tr w:rsidR="00430738" w:rsidRPr="00157A11" w14:paraId="4BB1BD3B" w14:textId="77777777" w:rsidTr="00A74788">
        <w:trPr>
          <w:cantSplit/>
          <w:trHeight w:val="290"/>
          <w:tblHeader/>
          <w:jc w:val="center"/>
        </w:trPr>
        <w:tc>
          <w:tcPr>
            <w:tcW w:w="1427" w:type="pct"/>
          </w:tcPr>
          <w:p w14:paraId="1A47AAB1" w14:textId="77777777" w:rsidR="00742C80" w:rsidRPr="00157A11" w:rsidRDefault="00742C80" w:rsidP="00645BC9">
            <w:pPr>
              <w:autoSpaceDE w:val="0"/>
              <w:autoSpaceDN w:val="0"/>
              <w:adjustRightInd w:val="0"/>
              <w:rPr>
                <w:rFonts w:asciiTheme="minorHAnsi" w:hAnsiTheme="minorHAnsi" w:cstheme="minorHAnsi"/>
                <w:sz w:val="22"/>
                <w:szCs w:val="24"/>
                <w:lang w:val="fr-CA"/>
              </w:rPr>
            </w:pPr>
            <w:r w:rsidRPr="00157A11">
              <w:rPr>
                <w:rFonts w:asciiTheme="minorHAnsi" w:hAnsiTheme="minorHAnsi" w:cstheme="minorHAnsi"/>
                <w:sz w:val="22"/>
                <w:szCs w:val="24"/>
                <w:lang w:val="fr-CA"/>
              </w:rPr>
              <w:t>IS – Services d’information</w:t>
            </w:r>
          </w:p>
        </w:tc>
        <w:tc>
          <w:tcPr>
            <w:tcW w:w="1723" w:type="pct"/>
          </w:tcPr>
          <w:p w14:paraId="4A6BFBB4"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1</w:t>
            </w:r>
          </w:p>
        </w:tc>
        <w:tc>
          <w:tcPr>
            <w:tcW w:w="1850" w:type="pct"/>
          </w:tcPr>
          <w:p w14:paraId="2BA3F318"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11%</w:t>
            </w:r>
          </w:p>
        </w:tc>
      </w:tr>
    </w:tbl>
    <w:p w14:paraId="7CB54E48" w14:textId="77777777" w:rsidR="00ED685A" w:rsidRPr="00157A11" w:rsidRDefault="00ED685A" w:rsidP="00ED685A">
      <w:pPr>
        <w:pStyle w:val="Footer"/>
        <w:jc w:val="center"/>
        <w:rPr>
          <w:rFonts w:asciiTheme="minorHAnsi" w:hAnsiTheme="minorHAnsi" w:cstheme="minorHAnsi"/>
          <w:b/>
          <w:sz w:val="20"/>
          <w:lang w:val="fr-CA"/>
        </w:rPr>
      </w:pPr>
    </w:p>
    <w:p w14:paraId="528915CB" w14:textId="77777777" w:rsidR="00ED685A" w:rsidRPr="00157A11" w:rsidRDefault="00ED685A" w:rsidP="00ED685A">
      <w:pPr>
        <w:pStyle w:val="Footer"/>
        <w:jc w:val="center"/>
        <w:rPr>
          <w:rFonts w:asciiTheme="minorHAnsi" w:hAnsiTheme="minorHAnsi" w:cstheme="minorHAnsi"/>
          <w:b/>
          <w:sz w:val="18"/>
          <w:lang w:val="fr-CA"/>
        </w:rPr>
        <w:sectPr w:rsidR="00ED685A" w:rsidRPr="00157A11" w:rsidSect="007E486E">
          <w:pgSz w:w="15840" w:h="12240" w:orient="landscape"/>
          <w:pgMar w:top="720" w:right="720" w:bottom="720" w:left="720" w:header="283" w:footer="170" w:gutter="0"/>
          <w:cols w:space="708"/>
          <w:titlePg/>
          <w:docGrid w:linePitch="360"/>
        </w:sectPr>
      </w:pPr>
    </w:p>
    <w:p w14:paraId="7015ED7A" w14:textId="77777777" w:rsidR="00430738" w:rsidRPr="00157A11" w:rsidRDefault="00430738" w:rsidP="00430738">
      <w:pPr>
        <w:pStyle w:val="Heading1"/>
        <w:spacing w:before="120" w:after="120"/>
        <w:rPr>
          <w:sz w:val="40"/>
          <w:lang w:val="fr-CA"/>
        </w:rPr>
      </w:pPr>
      <w:r w:rsidRPr="00157A11">
        <w:rPr>
          <w:rFonts w:eastAsia="Times New Roman"/>
          <w:sz w:val="40"/>
          <w:lang w:val="fr-CA"/>
        </w:rPr>
        <w:lastRenderedPageBreak/>
        <w:t>Dotation selon la région</w:t>
      </w:r>
    </w:p>
    <w:p w14:paraId="14444E45" w14:textId="77777777" w:rsidR="00430738" w:rsidRPr="00157A11" w:rsidRDefault="00ED685A" w:rsidP="00430738">
      <w:pPr>
        <w:keepNext/>
        <w:tabs>
          <w:tab w:val="left" w:pos="7839"/>
        </w:tabs>
        <w:jc w:val="center"/>
        <w:rPr>
          <w:lang w:val="fr-CA"/>
        </w:rPr>
      </w:pPr>
      <w:r w:rsidRPr="00157A11">
        <w:rPr>
          <w:noProof/>
          <w:lang w:val="en-CA" w:eastAsia="en-CA"/>
        </w:rPr>
        <w:drawing>
          <wp:inline distT="0" distB="0" distL="0" distR="0" wp14:anchorId="42C2C4D3" wp14:editId="4505BC87">
            <wp:extent cx="5648400" cy="3049200"/>
            <wp:effectExtent l="0" t="0" r="9525" b="18415"/>
            <wp:docPr id="10" name="Chart 10" descr="Dotation selon la région&#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B7B64BE" w14:textId="77777777" w:rsidR="00ED685A" w:rsidRPr="00157A11" w:rsidRDefault="00430738" w:rsidP="00430738">
      <w:pPr>
        <w:pStyle w:val="Caption"/>
        <w:spacing w:after="0"/>
        <w:jc w:val="center"/>
        <w:rPr>
          <w:rFonts w:asciiTheme="minorHAnsi" w:hAnsiTheme="minorHAnsi" w:cstheme="minorHAnsi"/>
          <w:i w:val="0"/>
          <w:color w:val="auto"/>
          <w:lang w:val="fr-CA"/>
        </w:rPr>
      </w:pPr>
      <w:r w:rsidRPr="00157A11">
        <w:rPr>
          <w:rFonts w:asciiTheme="minorHAnsi" w:hAnsiTheme="minorHAnsi" w:cstheme="minorHAnsi"/>
          <w:i w:val="0"/>
          <w:color w:val="auto"/>
          <w:lang w:val="fr-CA"/>
        </w:rPr>
        <w:t xml:space="preserve">Figure </w:t>
      </w:r>
      <w:r w:rsidRPr="00157A11">
        <w:rPr>
          <w:rFonts w:asciiTheme="minorHAnsi" w:hAnsiTheme="minorHAnsi" w:cstheme="minorHAnsi"/>
          <w:i w:val="0"/>
          <w:color w:val="auto"/>
          <w:lang w:val="fr-CA"/>
        </w:rPr>
        <w:fldChar w:fldCharType="begin"/>
      </w:r>
      <w:r w:rsidRPr="00157A11">
        <w:rPr>
          <w:rFonts w:asciiTheme="minorHAnsi" w:hAnsiTheme="minorHAnsi" w:cstheme="minorHAnsi"/>
          <w:i w:val="0"/>
          <w:color w:val="auto"/>
          <w:lang w:val="fr-CA"/>
        </w:rPr>
        <w:instrText xml:space="preserve"> SEQ Figure \* ARABIC </w:instrText>
      </w:r>
      <w:r w:rsidRPr="00157A11">
        <w:rPr>
          <w:rFonts w:asciiTheme="minorHAnsi" w:hAnsiTheme="minorHAnsi" w:cstheme="minorHAnsi"/>
          <w:i w:val="0"/>
          <w:color w:val="auto"/>
          <w:lang w:val="fr-CA"/>
        </w:rPr>
        <w:fldChar w:fldCharType="separate"/>
      </w:r>
      <w:r w:rsidR="00973FED" w:rsidRPr="00157A11">
        <w:rPr>
          <w:rFonts w:asciiTheme="minorHAnsi" w:hAnsiTheme="minorHAnsi" w:cstheme="minorHAnsi"/>
          <w:i w:val="0"/>
          <w:noProof/>
          <w:color w:val="auto"/>
          <w:lang w:val="fr-CA"/>
        </w:rPr>
        <w:t>6</w:t>
      </w:r>
      <w:r w:rsidRPr="00157A11">
        <w:rPr>
          <w:rFonts w:asciiTheme="minorHAnsi" w:hAnsiTheme="minorHAnsi" w:cstheme="minorHAnsi"/>
          <w:i w:val="0"/>
          <w:color w:val="auto"/>
          <w:lang w:val="fr-CA"/>
        </w:rPr>
        <w:fldChar w:fldCharType="end"/>
      </w:r>
      <w:r w:rsidRPr="00157A11">
        <w:rPr>
          <w:rFonts w:asciiTheme="minorHAnsi" w:hAnsiTheme="minorHAnsi" w:cstheme="minorHAnsi"/>
          <w:i w:val="0"/>
          <w:color w:val="auto"/>
          <w:lang w:val="fr-CA"/>
        </w:rPr>
        <w:t xml:space="preserve"> - Dotation selon la région</w:t>
      </w:r>
    </w:p>
    <w:p w14:paraId="67D47EEC" w14:textId="77777777" w:rsidR="00430738" w:rsidRPr="00157A11" w:rsidRDefault="00430738" w:rsidP="00430738">
      <w:pPr>
        <w:pStyle w:val="Caption"/>
        <w:keepNext/>
        <w:spacing w:before="240" w:after="0"/>
        <w:jc w:val="center"/>
        <w:rPr>
          <w:rFonts w:asciiTheme="minorHAnsi" w:hAnsiTheme="minorHAnsi" w:cstheme="minorHAnsi"/>
          <w:i w:val="0"/>
          <w:color w:val="auto"/>
          <w:lang w:val="fr-CA"/>
        </w:rPr>
      </w:pPr>
      <w:r w:rsidRPr="00157A11">
        <w:rPr>
          <w:rFonts w:asciiTheme="minorHAnsi" w:hAnsiTheme="minorHAnsi" w:cstheme="minorHAnsi"/>
          <w:i w:val="0"/>
          <w:color w:val="auto"/>
          <w:lang w:val="fr-CA"/>
        </w:rPr>
        <w:t xml:space="preserve">Table </w:t>
      </w:r>
      <w:r w:rsidRPr="00157A11">
        <w:rPr>
          <w:rFonts w:asciiTheme="minorHAnsi" w:hAnsiTheme="minorHAnsi" w:cstheme="minorHAnsi"/>
          <w:i w:val="0"/>
          <w:color w:val="auto"/>
          <w:lang w:val="fr-CA"/>
        </w:rPr>
        <w:fldChar w:fldCharType="begin"/>
      </w:r>
      <w:r w:rsidRPr="00157A11">
        <w:rPr>
          <w:rFonts w:asciiTheme="minorHAnsi" w:hAnsiTheme="minorHAnsi" w:cstheme="minorHAnsi"/>
          <w:i w:val="0"/>
          <w:color w:val="auto"/>
          <w:lang w:val="fr-CA"/>
        </w:rPr>
        <w:instrText xml:space="preserve"> SEQ Table \* ARABIC </w:instrText>
      </w:r>
      <w:r w:rsidRPr="00157A11">
        <w:rPr>
          <w:rFonts w:asciiTheme="minorHAnsi" w:hAnsiTheme="minorHAnsi" w:cstheme="minorHAnsi"/>
          <w:i w:val="0"/>
          <w:color w:val="auto"/>
          <w:lang w:val="fr-CA"/>
        </w:rPr>
        <w:fldChar w:fldCharType="separate"/>
      </w:r>
      <w:r w:rsidR="00025079">
        <w:rPr>
          <w:rFonts w:asciiTheme="minorHAnsi" w:hAnsiTheme="minorHAnsi" w:cstheme="minorHAnsi"/>
          <w:i w:val="0"/>
          <w:noProof/>
          <w:color w:val="auto"/>
          <w:lang w:val="fr-CA"/>
        </w:rPr>
        <w:t>7</w:t>
      </w:r>
      <w:r w:rsidRPr="00157A11">
        <w:rPr>
          <w:rFonts w:asciiTheme="minorHAnsi" w:hAnsiTheme="minorHAnsi" w:cstheme="minorHAnsi"/>
          <w:i w:val="0"/>
          <w:color w:val="auto"/>
          <w:lang w:val="fr-CA"/>
        </w:rPr>
        <w:fldChar w:fldCharType="end"/>
      </w:r>
      <w:r w:rsidRPr="00157A11">
        <w:rPr>
          <w:rFonts w:asciiTheme="minorHAnsi" w:hAnsiTheme="minorHAnsi" w:cstheme="minorHAnsi"/>
          <w:i w:val="0"/>
          <w:color w:val="auto"/>
          <w:lang w:val="fr-CA"/>
        </w:rPr>
        <w:t xml:space="preserve"> - Pourcentage des activités de dotation dans la région de la capitale nationale en comparaison avec les régions à l’extérieur de la région de la capitale nationale selon l'exercice financier</w:t>
      </w:r>
    </w:p>
    <w:tbl>
      <w:tblPr>
        <w:tblStyle w:val="TableGrid"/>
        <w:tblW w:w="5000" w:type="pct"/>
        <w:jc w:val="center"/>
        <w:tblLook w:val="0020" w:firstRow="1" w:lastRow="0" w:firstColumn="0" w:lastColumn="0" w:noHBand="0" w:noVBand="0"/>
        <w:tblDescription w:val="Dotation selon la région de 2014 à 2019"/>
      </w:tblPr>
      <w:tblGrid>
        <w:gridCol w:w="1554"/>
        <w:gridCol w:w="6378"/>
        <w:gridCol w:w="6458"/>
      </w:tblGrid>
      <w:tr w:rsidR="00742C80" w:rsidRPr="00A74788" w14:paraId="29530C73" w14:textId="77777777" w:rsidTr="00A74788">
        <w:trPr>
          <w:cantSplit/>
          <w:trHeight w:val="290"/>
          <w:tblHeader/>
          <w:jc w:val="center"/>
        </w:trPr>
        <w:tc>
          <w:tcPr>
            <w:tcW w:w="540" w:type="pct"/>
          </w:tcPr>
          <w:p w14:paraId="5E1622E3" w14:textId="77777777" w:rsidR="00742C80" w:rsidRPr="00157A11" w:rsidRDefault="00742C80" w:rsidP="00430738">
            <w:pPr>
              <w:pStyle w:val="TableTitle"/>
              <w:rPr>
                <w:lang w:val="fr-CA"/>
              </w:rPr>
            </w:pPr>
            <w:r w:rsidRPr="00157A11">
              <w:rPr>
                <w:lang w:val="fr-CA"/>
              </w:rPr>
              <w:t>L'exercice financier</w:t>
            </w:r>
          </w:p>
        </w:tc>
        <w:tc>
          <w:tcPr>
            <w:tcW w:w="2216" w:type="pct"/>
          </w:tcPr>
          <w:p w14:paraId="124541AC" w14:textId="77777777" w:rsidR="00742C80" w:rsidRPr="00157A11" w:rsidRDefault="00742C80" w:rsidP="00430738">
            <w:pPr>
              <w:pStyle w:val="TableTitle"/>
              <w:rPr>
                <w:lang w:val="fr-CA"/>
              </w:rPr>
            </w:pPr>
            <w:r w:rsidRPr="00157A11">
              <w:rPr>
                <w:lang w:val="fr-CA"/>
              </w:rPr>
              <w:t xml:space="preserve">Pourcentage des activités de dotation à l’organisation qui a eu lieu dans la région de la capitale nationale (RCN) </w:t>
            </w:r>
          </w:p>
        </w:tc>
        <w:tc>
          <w:tcPr>
            <w:tcW w:w="2244" w:type="pct"/>
          </w:tcPr>
          <w:p w14:paraId="05F529D9" w14:textId="77777777" w:rsidR="00742C80" w:rsidRPr="00157A11" w:rsidRDefault="00742C80" w:rsidP="00430738">
            <w:pPr>
              <w:pStyle w:val="TableTitle"/>
              <w:rPr>
                <w:lang w:val="fr-CA"/>
              </w:rPr>
            </w:pPr>
            <w:r w:rsidRPr="00157A11">
              <w:rPr>
                <w:lang w:val="fr-CA"/>
              </w:rPr>
              <w:t>Pourcentage des activités de dotation à l’organisation qui a eu lieu à l’extérieur de la région de la capitale nationale (RCN)</w:t>
            </w:r>
          </w:p>
        </w:tc>
      </w:tr>
      <w:tr w:rsidR="00430738" w:rsidRPr="00157A11" w14:paraId="33FCBB2C" w14:textId="77777777" w:rsidTr="00A74788">
        <w:trPr>
          <w:cantSplit/>
          <w:trHeight w:val="290"/>
          <w:tblHeader/>
          <w:jc w:val="center"/>
        </w:trPr>
        <w:tc>
          <w:tcPr>
            <w:tcW w:w="540" w:type="pct"/>
          </w:tcPr>
          <w:p w14:paraId="72116E77" w14:textId="77777777" w:rsidR="00742C80" w:rsidRPr="00157A11" w:rsidRDefault="00742C80" w:rsidP="00645BC9">
            <w:pPr>
              <w:autoSpaceDE w:val="0"/>
              <w:autoSpaceDN w:val="0"/>
              <w:adjustRightInd w:val="0"/>
              <w:rPr>
                <w:rFonts w:asciiTheme="minorHAnsi" w:hAnsiTheme="minorHAnsi" w:cstheme="minorHAnsi"/>
                <w:sz w:val="22"/>
                <w:szCs w:val="24"/>
                <w:lang w:val="fr-CA"/>
              </w:rPr>
            </w:pPr>
            <w:r w:rsidRPr="00157A11">
              <w:rPr>
                <w:rFonts w:asciiTheme="minorHAnsi" w:hAnsiTheme="minorHAnsi" w:cstheme="minorHAnsi"/>
                <w:sz w:val="22"/>
                <w:szCs w:val="24"/>
                <w:lang w:val="fr-CA"/>
              </w:rPr>
              <w:t>2014 à 2015</w:t>
            </w:r>
          </w:p>
        </w:tc>
        <w:tc>
          <w:tcPr>
            <w:tcW w:w="2216" w:type="pct"/>
          </w:tcPr>
          <w:p w14:paraId="21C7D181"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83%</w:t>
            </w:r>
          </w:p>
        </w:tc>
        <w:tc>
          <w:tcPr>
            <w:tcW w:w="2244" w:type="pct"/>
          </w:tcPr>
          <w:p w14:paraId="09BD0886"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17%</w:t>
            </w:r>
          </w:p>
        </w:tc>
      </w:tr>
      <w:tr w:rsidR="00430738" w:rsidRPr="00157A11" w14:paraId="63DBEE0F" w14:textId="77777777" w:rsidTr="00A74788">
        <w:trPr>
          <w:cantSplit/>
          <w:trHeight w:val="290"/>
          <w:tblHeader/>
          <w:jc w:val="center"/>
        </w:trPr>
        <w:tc>
          <w:tcPr>
            <w:tcW w:w="540" w:type="pct"/>
          </w:tcPr>
          <w:p w14:paraId="01A54D32" w14:textId="77777777" w:rsidR="00742C80" w:rsidRPr="00157A11" w:rsidRDefault="00742C80" w:rsidP="00645BC9">
            <w:pPr>
              <w:autoSpaceDE w:val="0"/>
              <w:autoSpaceDN w:val="0"/>
              <w:adjustRightInd w:val="0"/>
              <w:rPr>
                <w:rFonts w:asciiTheme="minorHAnsi" w:hAnsiTheme="minorHAnsi" w:cstheme="minorHAnsi"/>
                <w:sz w:val="22"/>
                <w:szCs w:val="24"/>
                <w:lang w:val="fr-CA"/>
              </w:rPr>
            </w:pPr>
            <w:r w:rsidRPr="00157A11">
              <w:rPr>
                <w:rFonts w:asciiTheme="minorHAnsi" w:hAnsiTheme="minorHAnsi" w:cstheme="minorHAnsi"/>
                <w:sz w:val="22"/>
                <w:szCs w:val="24"/>
                <w:lang w:val="fr-CA"/>
              </w:rPr>
              <w:t>2015 à 2016</w:t>
            </w:r>
          </w:p>
        </w:tc>
        <w:tc>
          <w:tcPr>
            <w:tcW w:w="2216" w:type="pct"/>
          </w:tcPr>
          <w:p w14:paraId="3D8F3235"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89%</w:t>
            </w:r>
          </w:p>
        </w:tc>
        <w:tc>
          <w:tcPr>
            <w:tcW w:w="2244" w:type="pct"/>
          </w:tcPr>
          <w:p w14:paraId="3985FA31"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11%</w:t>
            </w:r>
          </w:p>
        </w:tc>
      </w:tr>
      <w:tr w:rsidR="00430738" w:rsidRPr="00157A11" w14:paraId="5DF7F951" w14:textId="77777777" w:rsidTr="00A74788">
        <w:trPr>
          <w:cantSplit/>
          <w:trHeight w:val="290"/>
          <w:tblHeader/>
          <w:jc w:val="center"/>
        </w:trPr>
        <w:tc>
          <w:tcPr>
            <w:tcW w:w="540" w:type="pct"/>
          </w:tcPr>
          <w:p w14:paraId="0748A180" w14:textId="77777777" w:rsidR="00742C80" w:rsidRPr="00157A11" w:rsidRDefault="00742C80" w:rsidP="00645BC9">
            <w:pPr>
              <w:autoSpaceDE w:val="0"/>
              <w:autoSpaceDN w:val="0"/>
              <w:adjustRightInd w:val="0"/>
              <w:rPr>
                <w:rFonts w:asciiTheme="minorHAnsi" w:hAnsiTheme="minorHAnsi" w:cstheme="minorHAnsi"/>
                <w:sz w:val="22"/>
                <w:szCs w:val="24"/>
                <w:lang w:val="fr-CA"/>
              </w:rPr>
            </w:pPr>
            <w:r w:rsidRPr="00157A11">
              <w:rPr>
                <w:rFonts w:asciiTheme="minorHAnsi" w:hAnsiTheme="minorHAnsi" w:cstheme="minorHAnsi"/>
                <w:sz w:val="22"/>
                <w:szCs w:val="24"/>
                <w:lang w:val="fr-CA"/>
              </w:rPr>
              <w:t>2016 à 2017</w:t>
            </w:r>
          </w:p>
        </w:tc>
        <w:tc>
          <w:tcPr>
            <w:tcW w:w="2216" w:type="pct"/>
          </w:tcPr>
          <w:p w14:paraId="08685C22"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88%</w:t>
            </w:r>
          </w:p>
        </w:tc>
        <w:tc>
          <w:tcPr>
            <w:tcW w:w="2244" w:type="pct"/>
          </w:tcPr>
          <w:p w14:paraId="26A33369"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12%</w:t>
            </w:r>
          </w:p>
        </w:tc>
      </w:tr>
      <w:tr w:rsidR="00430738" w:rsidRPr="00157A11" w14:paraId="15FCE8CB" w14:textId="77777777" w:rsidTr="00A74788">
        <w:trPr>
          <w:cantSplit/>
          <w:trHeight w:val="290"/>
          <w:tblHeader/>
          <w:jc w:val="center"/>
        </w:trPr>
        <w:tc>
          <w:tcPr>
            <w:tcW w:w="540" w:type="pct"/>
          </w:tcPr>
          <w:p w14:paraId="0D247EC8" w14:textId="77777777" w:rsidR="00742C80" w:rsidRPr="00157A11" w:rsidRDefault="00742C80" w:rsidP="00645BC9">
            <w:pPr>
              <w:autoSpaceDE w:val="0"/>
              <w:autoSpaceDN w:val="0"/>
              <w:adjustRightInd w:val="0"/>
              <w:rPr>
                <w:rFonts w:asciiTheme="minorHAnsi" w:hAnsiTheme="minorHAnsi" w:cstheme="minorHAnsi"/>
                <w:sz w:val="22"/>
                <w:szCs w:val="24"/>
                <w:lang w:val="fr-CA"/>
              </w:rPr>
            </w:pPr>
            <w:r w:rsidRPr="00157A11">
              <w:rPr>
                <w:rFonts w:asciiTheme="minorHAnsi" w:hAnsiTheme="minorHAnsi" w:cstheme="minorHAnsi"/>
                <w:sz w:val="22"/>
                <w:szCs w:val="24"/>
                <w:lang w:val="fr-CA"/>
              </w:rPr>
              <w:t>2017 à 2018</w:t>
            </w:r>
          </w:p>
        </w:tc>
        <w:tc>
          <w:tcPr>
            <w:tcW w:w="2216" w:type="pct"/>
          </w:tcPr>
          <w:p w14:paraId="4C2076C7"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95%</w:t>
            </w:r>
          </w:p>
        </w:tc>
        <w:tc>
          <w:tcPr>
            <w:tcW w:w="2244" w:type="pct"/>
          </w:tcPr>
          <w:p w14:paraId="14798C02"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5%</w:t>
            </w:r>
          </w:p>
        </w:tc>
      </w:tr>
      <w:tr w:rsidR="00430738" w:rsidRPr="00157A11" w14:paraId="2A6A5725" w14:textId="77777777" w:rsidTr="00A74788">
        <w:trPr>
          <w:cantSplit/>
          <w:trHeight w:val="290"/>
          <w:tblHeader/>
          <w:jc w:val="center"/>
        </w:trPr>
        <w:tc>
          <w:tcPr>
            <w:tcW w:w="540" w:type="pct"/>
          </w:tcPr>
          <w:p w14:paraId="227B72D6" w14:textId="77777777" w:rsidR="00742C80" w:rsidRPr="00157A11" w:rsidRDefault="00742C80" w:rsidP="00645BC9">
            <w:pPr>
              <w:autoSpaceDE w:val="0"/>
              <w:autoSpaceDN w:val="0"/>
              <w:adjustRightInd w:val="0"/>
              <w:rPr>
                <w:rFonts w:asciiTheme="minorHAnsi" w:hAnsiTheme="minorHAnsi" w:cstheme="minorHAnsi"/>
                <w:sz w:val="22"/>
                <w:szCs w:val="24"/>
                <w:lang w:val="fr-CA"/>
              </w:rPr>
            </w:pPr>
            <w:r w:rsidRPr="00157A11">
              <w:rPr>
                <w:rFonts w:asciiTheme="minorHAnsi" w:hAnsiTheme="minorHAnsi" w:cstheme="minorHAnsi"/>
                <w:sz w:val="22"/>
                <w:szCs w:val="24"/>
                <w:lang w:val="fr-CA"/>
              </w:rPr>
              <w:t>2018 à 2019</w:t>
            </w:r>
          </w:p>
        </w:tc>
        <w:tc>
          <w:tcPr>
            <w:tcW w:w="2216" w:type="pct"/>
          </w:tcPr>
          <w:p w14:paraId="74F15355"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96%</w:t>
            </w:r>
          </w:p>
        </w:tc>
        <w:tc>
          <w:tcPr>
            <w:tcW w:w="2244" w:type="pct"/>
          </w:tcPr>
          <w:p w14:paraId="6916CAAE"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4%</w:t>
            </w:r>
          </w:p>
        </w:tc>
      </w:tr>
    </w:tbl>
    <w:p w14:paraId="4C9DE96D" w14:textId="77777777" w:rsidR="00742C80" w:rsidRPr="00157A11" w:rsidRDefault="00742C80" w:rsidP="00825206">
      <w:pPr>
        <w:pStyle w:val="ListParagraph"/>
        <w:numPr>
          <w:ilvl w:val="0"/>
          <w:numId w:val="17"/>
        </w:numPr>
        <w:spacing w:after="100" w:afterAutospacing="1"/>
        <w:contextualSpacing w:val="0"/>
        <w:rPr>
          <w:rFonts w:asciiTheme="minorHAnsi" w:hAnsiTheme="minorHAnsi" w:cstheme="minorHAnsi"/>
          <w:sz w:val="22"/>
          <w:lang w:val="fr-CA"/>
        </w:rPr>
      </w:pPr>
      <w:r w:rsidRPr="00157A11">
        <w:rPr>
          <w:rFonts w:asciiTheme="minorHAnsi" w:hAnsiTheme="minorHAnsi" w:cstheme="minorHAnsi"/>
          <w:sz w:val="22"/>
          <w:lang w:val="fr-CA"/>
        </w:rPr>
        <w:t>La distribution régionale exclus les inconnus</w:t>
      </w:r>
    </w:p>
    <w:p w14:paraId="6110E345" w14:textId="77777777" w:rsidR="00ED685A" w:rsidRPr="00157A11" w:rsidRDefault="00ED685A" w:rsidP="00E01E51">
      <w:pPr>
        <w:tabs>
          <w:tab w:val="left" w:pos="7839"/>
        </w:tabs>
        <w:rPr>
          <w:rFonts w:asciiTheme="minorHAnsi" w:hAnsiTheme="minorHAnsi" w:cstheme="minorHAnsi"/>
          <w:sz w:val="22"/>
          <w:lang w:val="fr-CA"/>
        </w:rPr>
        <w:sectPr w:rsidR="00ED685A" w:rsidRPr="00157A11" w:rsidSect="007E486E">
          <w:pgSz w:w="15840" w:h="12240" w:orient="landscape"/>
          <w:pgMar w:top="720" w:right="720" w:bottom="720" w:left="720" w:header="283" w:footer="170" w:gutter="0"/>
          <w:cols w:space="708"/>
          <w:titlePg/>
          <w:docGrid w:linePitch="360"/>
        </w:sectPr>
      </w:pPr>
    </w:p>
    <w:p w14:paraId="5FEBC4C0" w14:textId="749AA600" w:rsidR="00430738" w:rsidRDefault="00430738" w:rsidP="00430738">
      <w:pPr>
        <w:pStyle w:val="Heading1"/>
        <w:spacing w:before="120" w:after="120"/>
        <w:rPr>
          <w:rFonts w:eastAsia="Times New Roman"/>
          <w:sz w:val="40"/>
          <w:lang w:val="fr-CA"/>
        </w:rPr>
      </w:pPr>
      <w:r w:rsidRPr="00157A11">
        <w:rPr>
          <w:rFonts w:eastAsia="Times New Roman"/>
          <w:sz w:val="40"/>
          <w:lang w:val="fr-CA"/>
        </w:rPr>
        <w:lastRenderedPageBreak/>
        <w:t>Dotation selon le type de processus</w:t>
      </w:r>
    </w:p>
    <w:p w14:paraId="6BDF5611" w14:textId="07BB675D" w:rsidR="00C16C7D" w:rsidRPr="00C16C7D" w:rsidRDefault="00C16C7D" w:rsidP="00C16C7D">
      <w:pPr>
        <w:rPr>
          <w:lang w:val="fr-CA"/>
        </w:rPr>
      </w:pPr>
    </w:p>
    <w:p w14:paraId="72E7EF29" w14:textId="0B091BC0" w:rsidR="00430738" w:rsidRPr="00157A11" w:rsidRDefault="00ED685A" w:rsidP="00430738">
      <w:pPr>
        <w:keepNext/>
        <w:tabs>
          <w:tab w:val="left" w:pos="7839"/>
        </w:tabs>
        <w:jc w:val="center"/>
        <w:rPr>
          <w:lang w:val="fr-CA"/>
        </w:rPr>
      </w:pPr>
      <w:r w:rsidRPr="00157A11">
        <w:rPr>
          <w:noProof/>
          <w:lang w:val="en-CA" w:eastAsia="en-CA"/>
        </w:rPr>
        <w:drawing>
          <wp:inline distT="0" distB="0" distL="0" distR="0" wp14:anchorId="081E53C6" wp14:editId="34259896">
            <wp:extent cx="5648325" cy="3276600"/>
            <wp:effectExtent l="0" t="0" r="9525" b="0"/>
            <wp:docPr id="1" name="Chart 1" descr="Dotation selon le type de processus&#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6CEE9EF" w14:textId="77777777" w:rsidR="00ED685A" w:rsidRPr="00157A11" w:rsidRDefault="00430738" w:rsidP="00430738">
      <w:pPr>
        <w:pStyle w:val="Caption"/>
        <w:spacing w:after="0"/>
        <w:jc w:val="center"/>
        <w:rPr>
          <w:rFonts w:asciiTheme="minorHAnsi" w:hAnsiTheme="minorHAnsi" w:cstheme="minorHAnsi"/>
          <w:i w:val="0"/>
          <w:color w:val="auto"/>
          <w:lang w:val="fr-CA"/>
        </w:rPr>
      </w:pPr>
      <w:r w:rsidRPr="00157A11">
        <w:rPr>
          <w:rFonts w:asciiTheme="minorHAnsi" w:hAnsiTheme="minorHAnsi" w:cstheme="minorHAnsi"/>
          <w:i w:val="0"/>
          <w:color w:val="auto"/>
          <w:lang w:val="fr-CA"/>
        </w:rPr>
        <w:t xml:space="preserve">Figure </w:t>
      </w:r>
      <w:r w:rsidRPr="00157A11">
        <w:rPr>
          <w:rFonts w:asciiTheme="minorHAnsi" w:hAnsiTheme="minorHAnsi" w:cstheme="minorHAnsi"/>
          <w:i w:val="0"/>
          <w:color w:val="auto"/>
          <w:lang w:val="fr-CA"/>
        </w:rPr>
        <w:fldChar w:fldCharType="begin"/>
      </w:r>
      <w:r w:rsidRPr="00157A11">
        <w:rPr>
          <w:rFonts w:asciiTheme="minorHAnsi" w:hAnsiTheme="minorHAnsi" w:cstheme="minorHAnsi"/>
          <w:i w:val="0"/>
          <w:color w:val="auto"/>
          <w:lang w:val="fr-CA"/>
        </w:rPr>
        <w:instrText xml:space="preserve"> SEQ Figure \* ARABIC </w:instrText>
      </w:r>
      <w:r w:rsidRPr="00157A11">
        <w:rPr>
          <w:rFonts w:asciiTheme="minorHAnsi" w:hAnsiTheme="minorHAnsi" w:cstheme="minorHAnsi"/>
          <w:i w:val="0"/>
          <w:color w:val="auto"/>
          <w:lang w:val="fr-CA"/>
        </w:rPr>
        <w:fldChar w:fldCharType="separate"/>
      </w:r>
      <w:r w:rsidR="00973FED" w:rsidRPr="00157A11">
        <w:rPr>
          <w:rFonts w:asciiTheme="minorHAnsi" w:hAnsiTheme="minorHAnsi" w:cstheme="minorHAnsi"/>
          <w:i w:val="0"/>
          <w:noProof/>
          <w:color w:val="auto"/>
          <w:lang w:val="fr-CA"/>
        </w:rPr>
        <w:t>7</w:t>
      </w:r>
      <w:r w:rsidRPr="00157A11">
        <w:rPr>
          <w:rFonts w:asciiTheme="minorHAnsi" w:hAnsiTheme="minorHAnsi" w:cstheme="minorHAnsi"/>
          <w:i w:val="0"/>
          <w:color w:val="auto"/>
          <w:lang w:val="fr-CA"/>
        </w:rPr>
        <w:fldChar w:fldCharType="end"/>
      </w:r>
      <w:r w:rsidRPr="00157A11">
        <w:rPr>
          <w:rFonts w:asciiTheme="minorHAnsi" w:hAnsiTheme="minorHAnsi" w:cstheme="minorHAnsi"/>
          <w:i w:val="0"/>
          <w:color w:val="auto"/>
          <w:lang w:val="fr-CA"/>
        </w:rPr>
        <w:t xml:space="preserve"> - Dotation selon le type de processus</w:t>
      </w:r>
    </w:p>
    <w:p w14:paraId="0AF1615A" w14:textId="77777777" w:rsidR="00430738" w:rsidRPr="00157A11" w:rsidRDefault="00430738" w:rsidP="00430738">
      <w:pPr>
        <w:pStyle w:val="Caption"/>
        <w:keepNext/>
        <w:spacing w:before="240" w:after="0"/>
        <w:jc w:val="center"/>
        <w:rPr>
          <w:rFonts w:asciiTheme="minorHAnsi" w:hAnsiTheme="minorHAnsi" w:cstheme="minorHAnsi"/>
          <w:i w:val="0"/>
          <w:color w:val="auto"/>
          <w:lang w:val="fr-CA"/>
        </w:rPr>
      </w:pPr>
      <w:r w:rsidRPr="00157A11">
        <w:rPr>
          <w:rFonts w:asciiTheme="minorHAnsi" w:hAnsiTheme="minorHAnsi" w:cstheme="minorHAnsi"/>
          <w:i w:val="0"/>
          <w:color w:val="auto"/>
          <w:lang w:val="fr-CA"/>
        </w:rPr>
        <w:t xml:space="preserve">Table </w:t>
      </w:r>
      <w:r w:rsidRPr="00157A11">
        <w:rPr>
          <w:rFonts w:asciiTheme="minorHAnsi" w:hAnsiTheme="minorHAnsi" w:cstheme="minorHAnsi"/>
          <w:i w:val="0"/>
          <w:color w:val="auto"/>
          <w:lang w:val="fr-CA"/>
        </w:rPr>
        <w:fldChar w:fldCharType="begin"/>
      </w:r>
      <w:r w:rsidRPr="00157A11">
        <w:rPr>
          <w:rFonts w:asciiTheme="minorHAnsi" w:hAnsiTheme="minorHAnsi" w:cstheme="minorHAnsi"/>
          <w:i w:val="0"/>
          <w:color w:val="auto"/>
          <w:lang w:val="fr-CA"/>
        </w:rPr>
        <w:instrText xml:space="preserve"> SEQ Table \* ARABIC </w:instrText>
      </w:r>
      <w:r w:rsidRPr="00157A11">
        <w:rPr>
          <w:rFonts w:asciiTheme="minorHAnsi" w:hAnsiTheme="minorHAnsi" w:cstheme="minorHAnsi"/>
          <w:i w:val="0"/>
          <w:color w:val="auto"/>
          <w:lang w:val="fr-CA"/>
        </w:rPr>
        <w:fldChar w:fldCharType="separate"/>
      </w:r>
      <w:r w:rsidR="00025079">
        <w:rPr>
          <w:rFonts w:asciiTheme="minorHAnsi" w:hAnsiTheme="minorHAnsi" w:cstheme="minorHAnsi"/>
          <w:i w:val="0"/>
          <w:noProof/>
          <w:color w:val="auto"/>
          <w:lang w:val="fr-CA"/>
        </w:rPr>
        <w:t>8</w:t>
      </w:r>
      <w:r w:rsidRPr="00157A11">
        <w:rPr>
          <w:rFonts w:asciiTheme="minorHAnsi" w:hAnsiTheme="minorHAnsi" w:cstheme="minorHAnsi"/>
          <w:i w:val="0"/>
          <w:color w:val="auto"/>
          <w:lang w:val="fr-CA"/>
        </w:rPr>
        <w:fldChar w:fldCharType="end"/>
      </w:r>
      <w:r w:rsidRPr="00157A11">
        <w:rPr>
          <w:rFonts w:asciiTheme="minorHAnsi" w:hAnsiTheme="minorHAnsi" w:cstheme="minorHAnsi"/>
          <w:i w:val="0"/>
          <w:color w:val="auto"/>
          <w:lang w:val="fr-CA"/>
        </w:rPr>
        <w:t xml:space="preserve"> - Nombre et pourcentage des activités de dotation selon le type de processus et l’exercice financier</w:t>
      </w:r>
    </w:p>
    <w:tbl>
      <w:tblPr>
        <w:tblStyle w:val="TableGrid"/>
        <w:tblW w:w="5000" w:type="pct"/>
        <w:jc w:val="center"/>
        <w:tblLook w:val="0020" w:firstRow="1" w:lastRow="0" w:firstColumn="0" w:lastColumn="0" w:noHBand="0" w:noVBand="0"/>
        <w:tblDescription w:val="Dotation selon le type de processus de 2014 à 2019"/>
      </w:tblPr>
      <w:tblGrid>
        <w:gridCol w:w="2263"/>
        <w:gridCol w:w="4396"/>
        <w:gridCol w:w="3259"/>
        <w:gridCol w:w="4472"/>
      </w:tblGrid>
      <w:tr w:rsidR="00742C80" w:rsidRPr="00A74788" w14:paraId="43153B4F" w14:textId="77777777" w:rsidTr="00A74788">
        <w:trPr>
          <w:cantSplit/>
          <w:trHeight w:val="290"/>
          <w:tblHeader/>
          <w:jc w:val="center"/>
        </w:trPr>
        <w:tc>
          <w:tcPr>
            <w:tcW w:w="786" w:type="pct"/>
          </w:tcPr>
          <w:p w14:paraId="69305FE8" w14:textId="77777777" w:rsidR="00742C80" w:rsidRPr="00157A11" w:rsidRDefault="00742C80" w:rsidP="00430738">
            <w:pPr>
              <w:pStyle w:val="TableTitle"/>
              <w:rPr>
                <w:lang w:val="fr-CA"/>
              </w:rPr>
            </w:pPr>
            <w:r w:rsidRPr="00157A11">
              <w:rPr>
                <w:lang w:val="fr-CA"/>
              </w:rPr>
              <w:t>Exercice financier</w:t>
            </w:r>
          </w:p>
        </w:tc>
        <w:tc>
          <w:tcPr>
            <w:tcW w:w="1527" w:type="pct"/>
          </w:tcPr>
          <w:p w14:paraId="7FDC398B" w14:textId="77777777" w:rsidR="00742C80" w:rsidRPr="00157A11" w:rsidRDefault="00742C80" w:rsidP="00430738">
            <w:pPr>
              <w:pStyle w:val="TableTitle"/>
              <w:rPr>
                <w:lang w:val="fr-CA"/>
              </w:rPr>
            </w:pPr>
            <w:r w:rsidRPr="00157A11">
              <w:rPr>
                <w:lang w:val="fr-CA"/>
              </w:rPr>
              <w:t>Processus non annoncé (inconnus exclus)</w:t>
            </w:r>
          </w:p>
        </w:tc>
        <w:tc>
          <w:tcPr>
            <w:tcW w:w="1132" w:type="pct"/>
          </w:tcPr>
          <w:p w14:paraId="3E9889C6" w14:textId="77777777" w:rsidR="00742C80" w:rsidRPr="00157A11" w:rsidRDefault="00742C80" w:rsidP="00430738">
            <w:pPr>
              <w:pStyle w:val="TableTitle"/>
              <w:rPr>
                <w:lang w:val="fr-CA"/>
              </w:rPr>
            </w:pPr>
            <w:r w:rsidRPr="00157A11">
              <w:rPr>
                <w:lang w:val="fr-CA"/>
              </w:rPr>
              <w:t>Processus annoncés</w:t>
            </w:r>
          </w:p>
        </w:tc>
        <w:tc>
          <w:tcPr>
            <w:tcW w:w="1554" w:type="pct"/>
          </w:tcPr>
          <w:p w14:paraId="7CEA4991" w14:textId="77777777" w:rsidR="00742C80" w:rsidRPr="00157A11" w:rsidRDefault="00742C80" w:rsidP="00430738">
            <w:pPr>
              <w:pStyle w:val="TableTitle"/>
              <w:rPr>
                <w:lang w:val="fr-CA"/>
              </w:rPr>
            </w:pPr>
            <w:r w:rsidRPr="00157A11">
              <w:rPr>
                <w:lang w:val="fr-CA"/>
              </w:rPr>
              <w:t xml:space="preserve">Pourcentage de processus non annoncés </w:t>
            </w:r>
          </w:p>
        </w:tc>
      </w:tr>
      <w:tr w:rsidR="00430738" w:rsidRPr="00157A11" w14:paraId="6BC5F19E" w14:textId="77777777" w:rsidTr="00A74788">
        <w:trPr>
          <w:cantSplit/>
          <w:trHeight w:val="290"/>
          <w:tblHeader/>
          <w:jc w:val="center"/>
        </w:trPr>
        <w:tc>
          <w:tcPr>
            <w:tcW w:w="786" w:type="pct"/>
          </w:tcPr>
          <w:p w14:paraId="20911473" w14:textId="77777777" w:rsidR="00742C80" w:rsidRPr="00157A11" w:rsidRDefault="00742C80" w:rsidP="00645BC9">
            <w:pPr>
              <w:autoSpaceDE w:val="0"/>
              <w:autoSpaceDN w:val="0"/>
              <w:adjustRightInd w:val="0"/>
              <w:rPr>
                <w:rFonts w:asciiTheme="minorHAnsi" w:hAnsiTheme="minorHAnsi" w:cstheme="minorHAnsi"/>
                <w:sz w:val="22"/>
                <w:szCs w:val="24"/>
                <w:lang w:val="fr-CA"/>
              </w:rPr>
            </w:pPr>
            <w:r w:rsidRPr="00157A11">
              <w:rPr>
                <w:rFonts w:asciiTheme="minorHAnsi" w:hAnsiTheme="minorHAnsi" w:cstheme="minorHAnsi"/>
                <w:sz w:val="22"/>
                <w:szCs w:val="24"/>
                <w:lang w:val="fr-CA"/>
              </w:rPr>
              <w:t xml:space="preserve">2014 à 2015 </w:t>
            </w:r>
          </w:p>
        </w:tc>
        <w:tc>
          <w:tcPr>
            <w:tcW w:w="1527" w:type="pct"/>
          </w:tcPr>
          <w:p w14:paraId="78CA55F1"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1</w:t>
            </w:r>
          </w:p>
        </w:tc>
        <w:tc>
          <w:tcPr>
            <w:tcW w:w="1132" w:type="pct"/>
          </w:tcPr>
          <w:p w14:paraId="054FFA69"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5</w:t>
            </w:r>
          </w:p>
        </w:tc>
        <w:tc>
          <w:tcPr>
            <w:tcW w:w="1554" w:type="pct"/>
          </w:tcPr>
          <w:p w14:paraId="68464B5C"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17%</w:t>
            </w:r>
          </w:p>
        </w:tc>
      </w:tr>
      <w:tr w:rsidR="00430738" w:rsidRPr="00157A11" w14:paraId="3F7744CC" w14:textId="77777777" w:rsidTr="00A74788">
        <w:trPr>
          <w:cantSplit/>
          <w:trHeight w:val="290"/>
          <w:tblHeader/>
          <w:jc w:val="center"/>
        </w:trPr>
        <w:tc>
          <w:tcPr>
            <w:tcW w:w="786" w:type="pct"/>
          </w:tcPr>
          <w:p w14:paraId="23D33B80" w14:textId="77777777" w:rsidR="00742C80" w:rsidRPr="00157A11" w:rsidRDefault="00742C80" w:rsidP="00645BC9">
            <w:pPr>
              <w:autoSpaceDE w:val="0"/>
              <w:autoSpaceDN w:val="0"/>
              <w:adjustRightInd w:val="0"/>
              <w:rPr>
                <w:rFonts w:asciiTheme="minorHAnsi" w:hAnsiTheme="minorHAnsi" w:cstheme="minorHAnsi"/>
                <w:sz w:val="22"/>
                <w:szCs w:val="24"/>
                <w:lang w:val="fr-CA"/>
              </w:rPr>
            </w:pPr>
            <w:r w:rsidRPr="00157A11">
              <w:rPr>
                <w:rFonts w:asciiTheme="minorHAnsi" w:hAnsiTheme="minorHAnsi" w:cstheme="minorHAnsi"/>
                <w:sz w:val="22"/>
                <w:szCs w:val="24"/>
                <w:lang w:val="fr-CA"/>
              </w:rPr>
              <w:t xml:space="preserve">2015 à 2016 </w:t>
            </w:r>
          </w:p>
        </w:tc>
        <w:tc>
          <w:tcPr>
            <w:tcW w:w="1527" w:type="pct"/>
          </w:tcPr>
          <w:p w14:paraId="799E7623"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3</w:t>
            </w:r>
          </w:p>
        </w:tc>
        <w:tc>
          <w:tcPr>
            <w:tcW w:w="1132" w:type="pct"/>
          </w:tcPr>
          <w:p w14:paraId="4F271859"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7</w:t>
            </w:r>
          </w:p>
        </w:tc>
        <w:tc>
          <w:tcPr>
            <w:tcW w:w="1554" w:type="pct"/>
          </w:tcPr>
          <w:p w14:paraId="29DDDD15"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30%</w:t>
            </w:r>
          </w:p>
        </w:tc>
      </w:tr>
      <w:tr w:rsidR="00430738" w:rsidRPr="00157A11" w14:paraId="15FF5DD6" w14:textId="77777777" w:rsidTr="00A74788">
        <w:trPr>
          <w:cantSplit/>
          <w:trHeight w:val="290"/>
          <w:tblHeader/>
          <w:jc w:val="center"/>
        </w:trPr>
        <w:tc>
          <w:tcPr>
            <w:tcW w:w="786" w:type="pct"/>
          </w:tcPr>
          <w:p w14:paraId="5D971B9A" w14:textId="77777777" w:rsidR="00742C80" w:rsidRPr="00157A11" w:rsidRDefault="00742C80" w:rsidP="00645BC9">
            <w:pPr>
              <w:autoSpaceDE w:val="0"/>
              <w:autoSpaceDN w:val="0"/>
              <w:adjustRightInd w:val="0"/>
              <w:rPr>
                <w:rFonts w:asciiTheme="minorHAnsi" w:hAnsiTheme="minorHAnsi" w:cstheme="minorHAnsi"/>
                <w:sz w:val="22"/>
                <w:szCs w:val="24"/>
                <w:lang w:val="fr-CA"/>
              </w:rPr>
            </w:pPr>
            <w:r w:rsidRPr="00157A11">
              <w:rPr>
                <w:rFonts w:asciiTheme="minorHAnsi" w:hAnsiTheme="minorHAnsi" w:cstheme="minorHAnsi"/>
                <w:sz w:val="22"/>
                <w:szCs w:val="24"/>
                <w:lang w:val="fr-CA"/>
              </w:rPr>
              <w:t>2016 à 2017</w:t>
            </w:r>
          </w:p>
        </w:tc>
        <w:tc>
          <w:tcPr>
            <w:tcW w:w="1527" w:type="pct"/>
          </w:tcPr>
          <w:p w14:paraId="090AC674"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8</w:t>
            </w:r>
          </w:p>
        </w:tc>
        <w:tc>
          <w:tcPr>
            <w:tcW w:w="1132" w:type="pct"/>
          </w:tcPr>
          <w:p w14:paraId="7D6C0C01"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6</w:t>
            </w:r>
          </w:p>
        </w:tc>
        <w:tc>
          <w:tcPr>
            <w:tcW w:w="1554" w:type="pct"/>
          </w:tcPr>
          <w:p w14:paraId="35158796"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57%</w:t>
            </w:r>
          </w:p>
        </w:tc>
      </w:tr>
      <w:tr w:rsidR="00430738" w:rsidRPr="00157A11" w14:paraId="7F4A34C7" w14:textId="77777777" w:rsidTr="00A74788">
        <w:trPr>
          <w:cantSplit/>
          <w:trHeight w:val="290"/>
          <w:tblHeader/>
          <w:jc w:val="center"/>
        </w:trPr>
        <w:tc>
          <w:tcPr>
            <w:tcW w:w="786" w:type="pct"/>
          </w:tcPr>
          <w:p w14:paraId="00BF9424" w14:textId="77777777" w:rsidR="00742C80" w:rsidRPr="00157A11" w:rsidRDefault="00742C80" w:rsidP="00645BC9">
            <w:pPr>
              <w:autoSpaceDE w:val="0"/>
              <w:autoSpaceDN w:val="0"/>
              <w:adjustRightInd w:val="0"/>
              <w:rPr>
                <w:rFonts w:asciiTheme="minorHAnsi" w:hAnsiTheme="minorHAnsi" w:cstheme="minorHAnsi"/>
                <w:sz w:val="22"/>
                <w:szCs w:val="24"/>
                <w:lang w:val="fr-CA"/>
              </w:rPr>
            </w:pPr>
            <w:r w:rsidRPr="00157A11">
              <w:rPr>
                <w:rFonts w:asciiTheme="minorHAnsi" w:hAnsiTheme="minorHAnsi" w:cstheme="minorHAnsi"/>
                <w:sz w:val="22"/>
                <w:szCs w:val="24"/>
                <w:lang w:val="fr-CA"/>
              </w:rPr>
              <w:t>2017 à 2018</w:t>
            </w:r>
          </w:p>
        </w:tc>
        <w:tc>
          <w:tcPr>
            <w:tcW w:w="1527" w:type="pct"/>
          </w:tcPr>
          <w:p w14:paraId="50A2E1CC"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11</w:t>
            </w:r>
          </w:p>
        </w:tc>
        <w:tc>
          <w:tcPr>
            <w:tcW w:w="1132" w:type="pct"/>
          </w:tcPr>
          <w:p w14:paraId="13BD3C36"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10</w:t>
            </w:r>
          </w:p>
        </w:tc>
        <w:tc>
          <w:tcPr>
            <w:tcW w:w="1554" w:type="pct"/>
          </w:tcPr>
          <w:p w14:paraId="5DBB8E2D"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52%</w:t>
            </w:r>
          </w:p>
        </w:tc>
      </w:tr>
      <w:tr w:rsidR="00430738" w:rsidRPr="00157A11" w14:paraId="2D53979E" w14:textId="77777777" w:rsidTr="00A74788">
        <w:trPr>
          <w:cantSplit/>
          <w:trHeight w:val="290"/>
          <w:tblHeader/>
          <w:jc w:val="center"/>
        </w:trPr>
        <w:tc>
          <w:tcPr>
            <w:tcW w:w="786" w:type="pct"/>
          </w:tcPr>
          <w:p w14:paraId="5CD7ADBA" w14:textId="77777777" w:rsidR="00742C80" w:rsidRPr="00157A11" w:rsidRDefault="00742C80" w:rsidP="00645BC9">
            <w:pPr>
              <w:autoSpaceDE w:val="0"/>
              <w:autoSpaceDN w:val="0"/>
              <w:adjustRightInd w:val="0"/>
              <w:rPr>
                <w:rFonts w:asciiTheme="minorHAnsi" w:hAnsiTheme="minorHAnsi" w:cstheme="minorHAnsi"/>
                <w:sz w:val="22"/>
                <w:szCs w:val="24"/>
                <w:lang w:val="fr-CA"/>
              </w:rPr>
            </w:pPr>
            <w:r w:rsidRPr="00157A11">
              <w:rPr>
                <w:rFonts w:asciiTheme="minorHAnsi" w:hAnsiTheme="minorHAnsi" w:cstheme="minorHAnsi"/>
                <w:sz w:val="22"/>
                <w:szCs w:val="24"/>
                <w:lang w:val="fr-CA"/>
              </w:rPr>
              <w:t>2018 à 2019</w:t>
            </w:r>
          </w:p>
        </w:tc>
        <w:tc>
          <w:tcPr>
            <w:tcW w:w="1527" w:type="pct"/>
          </w:tcPr>
          <w:p w14:paraId="5930A717"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28</w:t>
            </w:r>
          </w:p>
        </w:tc>
        <w:tc>
          <w:tcPr>
            <w:tcW w:w="1132" w:type="pct"/>
          </w:tcPr>
          <w:p w14:paraId="3A86F420"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18</w:t>
            </w:r>
          </w:p>
        </w:tc>
        <w:tc>
          <w:tcPr>
            <w:tcW w:w="1554" w:type="pct"/>
          </w:tcPr>
          <w:p w14:paraId="66503023"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61%</w:t>
            </w:r>
          </w:p>
        </w:tc>
      </w:tr>
    </w:tbl>
    <w:p w14:paraId="7AEC4743" w14:textId="77777777" w:rsidR="00742C80" w:rsidRPr="00157A11" w:rsidRDefault="00742C80" w:rsidP="00E87CBC">
      <w:pPr>
        <w:pStyle w:val="ListParagraph"/>
        <w:numPr>
          <w:ilvl w:val="0"/>
          <w:numId w:val="15"/>
        </w:numPr>
        <w:spacing w:after="0"/>
        <w:contextualSpacing w:val="0"/>
        <w:rPr>
          <w:rFonts w:asciiTheme="minorHAnsi" w:hAnsiTheme="minorHAnsi" w:cstheme="minorHAnsi"/>
          <w:sz w:val="22"/>
          <w:lang w:val="fr-CA"/>
        </w:rPr>
      </w:pPr>
      <w:r w:rsidRPr="00157A11">
        <w:rPr>
          <w:rFonts w:asciiTheme="minorHAnsi" w:hAnsiTheme="minorHAnsi" w:cstheme="minorHAnsi"/>
          <w:sz w:val="22"/>
          <w:lang w:val="fr-CA"/>
        </w:rPr>
        <w:t>Comprend les nominations pour une période indéterminée et pour une durée déterminée.</w:t>
      </w:r>
    </w:p>
    <w:p w14:paraId="5576BE63" w14:textId="77777777" w:rsidR="00742C80" w:rsidRPr="00157A11" w:rsidRDefault="00742C80" w:rsidP="00E87CBC">
      <w:pPr>
        <w:pStyle w:val="ListParagraph"/>
        <w:numPr>
          <w:ilvl w:val="0"/>
          <w:numId w:val="15"/>
        </w:numPr>
        <w:spacing w:after="0"/>
        <w:contextualSpacing w:val="0"/>
        <w:rPr>
          <w:rFonts w:asciiTheme="minorHAnsi" w:hAnsiTheme="minorHAnsi" w:cstheme="minorHAnsi"/>
          <w:sz w:val="22"/>
          <w:lang w:val="fr-CA"/>
        </w:rPr>
      </w:pPr>
      <w:r w:rsidRPr="00157A11">
        <w:rPr>
          <w:rFonts w:asciiTheme="minorHAnsi" w:hAnsiTheme="minorHAnsi" w:cstheme="minorHAnsi"/>
          <w:sz w:val="22"/>
          <w:lang w:val="fr-CA"/>
        </w:rPr>
        <w:t>Exclut les déplacements latéraux et régressifs, les mutations et les nominations intérimaires de moins de 4 mois.</w:t>
      </w:r>
    </w:p>
    <w:p w14:paraId="4772CF48" w14:textId="77777777" w:rsidR="00742C80" w:rsidRPr="00157A11" w:rsidRDefault="00742C80" w:rsidP="00E87CBC">
      <w:pPr>
        <w:pStyle w:val="ListParagraph"/>
        <w:numPr>
          <w:ilvl w:val="0"/>
          <w:numId w:val="15"/>
        </w:numPr>
        <w:spacing w:after="100" w:afterAutospacing="1"/>
        <w:contextualSpacing w:val="0"/>
        <w:rPr>
          <w:rFonts w:asciiTheme="minorHAnsi" w:hAnsiTheme="minorHAnsi" w:cstheme="minorHAnsi"/>
          <w:sz w:val="22"/>
          <w:lang w:val="fr-CA"/>
        </w:rPr>
      </w:pPr>
      <w:r w:rsidRPr="00157A11">
        <w:rPr>
          <w:rFonts w:asciiTheme="minorHAnsi" w:hAnsiTheme="minorHAnsi" w:cstheme="minorHAnsi"/>
          <w:sz w:val="22"/>
          <w:lang w:val="fr-CA"/>
        </w:rPr>
        <w:t>Inclut seulement les nominations où le type de processus est connu (35% à 88% des nominations).</w:t>
      </w:r>
    </w:p>
    <w:p w14:paraId="1A86C58A" w14:textId="77777777" w:rsidR="00ED685A" w:rsidRPr="00157A11" w:rsidRDefault="00ED685A" w:rsidP="00E01E51">
      <w:pPr>
        <w:tabs>
          <w:tab w:val="left" w:pos="7839"/>
        </w:tabs>
        <w:rPr>
          <w:lang w:val="fr-CA"/>
        </w:rPr>
        <w:sectPr w:rsidR="00ED685A" w:rsidRPr="00157A11" w:rsidSect="007E486E">
          <w:pgSz w:w="15840" w:h="12240" w:orient="landscape"/>
          <w:pgMar w:top="720" w:right="720" w:bottom="720" w:left="720" w:header="283" w:footer="170" w:gutter="0"/>
          <w:cols w:space="708"/>
          <w:titlePg/>
          <w:docGrid w:linePitch="360"/>
        </w:sectPr>
      </w:pPr>
    </w:p>
    <w:p w14:paraId="3F550471" w14:textId="77777777" w:rsidR="004B3D0B" w:rsidRPr="00157A11" w:rsidRDefault="004B3D0B" w:rsidP="004B3D0B">
      <w:pPr>
        <w:pStyle w:val="Heading1"/>
        <w:spacing w:before="120" w:after="120"/>
        <w:rPr>
          <w:sz w:val="40"/>
          <w:lang w:val="fr-CA"/>
        </w:rPr>
      </w:pPr>
      <w:r w:rsidRPr="00157A11">
        <w:rPr>
          <w:rFonts w:eastAsia="Times New Roman"/>
          <w:sz w:val="40"/>
          <w:lang w:val="fr-CA"/>
        </w:rPr>
        <w:lastRenderedPageBreak/>
        <w:t>Dotation selon le type de nomination</w:t>
      </w:r>
    </w:p>
    <w:p w14:paraId="3B983D91" w14:textId="77777777" w:rsidR="004B3D0B" w:rsidRPr="00157A11" w:rsidRDefault="00E01E51" w:rsidP="004B3D0B">
      <w:pPr>
        <w:keepNext/>
        <w:jc w:val="center"/>
        <w:rPr>
          <w:lang w:val="fr-CA"/>
        </w:rPr>
      </w:pPr>
      <w:r w:rsidRPr="00157A11">
        <w:rPr>
          <w:noProof/>
          <w:lang w:val="en-CA" w:eastAsia="en-CA"/>
        </w:rPr>
        <w:drawing>
          <wp:inline distT="0" distB="0" distL="0" distR="0" wp14:anchorId="73B11573" wp14:editId="6B90DC87">
            <wp:extent cx="5648400" cy="3049200"/>
            <wp:effectExtent l="0" t="0" r="9525" b="18415"/>
            <wp:docPr id="9" name="Chart 9" descr="Dotation selon le type de nomination&#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A7EA756" w14:textId="77777777" w:rsidR="00E01E51" w:rsidRPr="00157A11" w:rsidRDefault="004B3D0B" w:rsidP="004B3D0B">
      <w:pPr>
        <w:pStyle w:val="Caption"/>
        <w:spacing w:after="0"/>
        <w:jc w:val="center"/>
        <w:rPr>
          <w:rFonts w:asciiTheme="minorHAnsi" w:hAnsiTheme="minorHAnsi" w:cstheme="minorHAnsi"/>
          <w:i w:val="0"/>
          <w:color w:val="auto"/>
          <w:lang w:val="fr-CA"/>
        </w:rPr>
      </w:pPr>
      <w:r w:rsidRPr="00157A11">
        <w:rPr>
          <w:rFonts w:asciiTheme="minorHAnsi" w:hAnsiTheme="minorHAnsi" w:cstheme="minorHAnsi"/>
          <w:i w:val="0"/>
          <w:color w:val="auto"/>
          <w:lang w:val="fr-CA"/>
        </w:rPr>
        <w:t xml:space="preserve">Figure </w:t>
      </w:r>
      <w:r w:rsidRPr="00157A11">
        <w:rPr>
          <w:rFonts w:asciiTheme="minorHAnsi" w:hAnsiTheme="minorHAnsi" w:cstheme="minorHAnsi"/>
          <w:i w:val="0"/>
          <w:color w:val="auto"/>
          <w:lang w:val="fr-CA"/>
        </w:rPr>
        <w:fldChar w:fldCharType="begin"/>
      </w:r>
      <w:r w:rsidRPr="00157A11">
        <w:rPr>
          <w:rFonts w:asciiTheme="minorHAnsi" w:hAnsiTheme="minorHAnsi" w:cstheme="minorHAnsi"/>
          <w:i w:val="0"/>
          <w:color w:val="auto"/>
          <w:lang w:val="fr-CA"/>
        </w:rPr>
        <w:instrText xml:space="preserve"> SEQ Figure \* ARABIC </w:instrText>
      </w:r>
      <w:r w:rsidRPr="00157A11">
        <w:rPr>
          <w:rFonts w:asciiTheme="minorHAnsi" w:hAnsiTheme="minorHAnsi" w:cstheme="minorHAnsi"/>
          <w:i w:val="0"/>
          <w:color w:val="auto"/>
          <w:lang w:val="fr-CA"/>
        </w:rPr>
        <w:fldChar w:fldCharType="separate"/>
      </w:r>
      <w:r w:rsidR="00973FED" w:rsidRPr="00157A11">
        <w:rPr>
          <w:rFonts w:asciiTheme="minorHAnsi" w:hAnsiTheme="minorHAnsi" w:cstheme="minorHAnsi"/>
          <w:i w:val="0"/>
          <w:noProof/>
          <w:color w:val="auto"/>
          <w:lang w:val="fr-CA"/>
        </w:rPr>
        <w:t>8</w:t>
      </w:r>
      <w:r w:rsidRPr="00157A11">
        <w:rPr>
          <w:rFonts w:asciiTheme="minorHAnsi" w:hAnsiTheme="minorHAnsi" w:cstheme="minorHAnsi"/>
          <w:i w:val="0"/>
          <w:color w:val="auto"/>
          <w:lang w:val="fr-CA"/>
        </w:rPr>
        <w:fldChar w:fldCharType="end"/>
      </w:r>
      <w:r w:rsidRPr="00157A11">
        <w:rPr>
          <w:rFonts w:asciiTheme="minorHAnsi" w:hAnsiTheme="minorHAnsi" w:cstheme="minorHAnsi"/>
          <w:i w:val="0"/>
          <w:color w:val="auto"/>
          <w:lang w:val="fr-CA"/>
        </w:rPr>
        <w:t xml:space="preserve"> - Dotation selon le type de nomination</w:t>
      </w:r>
    </w:p>
    <w:p w14:paraId="47E668E8" w14:textId="77777777" w:rsidR="004B3D0B" w:rsidRPr="00157A11" w:rsidRDefault="004B3D0B" w:rsidP="004B3D0B">
      <w:pPr>
        <w:pStyle w:val="Caption"/>
        <w:keepNext/>
        <w:spacing w:before="240" w:after="0"/>
        <w:jc w:val="center"/>
        <w:rPr>
          <w:rFonts w:asciiTheme="minorHAnsi" w:hAnsiTheme="minorHAnsi" w:cstheme="minorHAnsi"/>
          <w:i w:val="0"/>
          <w:color w:val="auto"/>
          <w:lang w:val="fr-CA"/>
        </w:rPr>
      </w:pPr>
      <w:r w:rsidRPr="00157A11">
        <w:rPr>
          <w:rFonts w:asciiTheme="minorHAnsi" w:hAnsiTheme="minorHAnsi" w:cstheme="minorHAnsi"/>
          <w:i w:val="0"/>
          <w:color w:val="auto"/>
          <w:lang w:val="fr-CA"/>
        </w:rPr>
        <w:t xml:space="preserve">Table </w:t>
      </w:r>
      <w:r w:rsidRPr="00157A11">
        <w:rPr>
          <w:rFonts w:asciiTheme="minorHAnsi" w:hAnsiTheme="minorHAnsi" w:cstheme="minorHAnsi"/>
          <w:i w:val="0"/>
          <w:color w:val="auto"/>
          <w:lang w:val="fr-CA"/>
        </w:rPr>
        <w:fldChar w:fldCharType="begin"/>
      </w:r>
      <w:r w:rsidRPr="00157A11">
        <w:rPr>
          <w:rFonts w:asciiTheme="minorHAnsi" w:hAnsiTheme="minorHAnsi" w:cstheme="minorHAnsi"/>
          <w:i w:val="0"/>
          <w:color w:val="auto"/>
          <w:lang w:val="fr-CA"/>
        </w:rPr>
        <w:instrText xml:space="preserve"> SEQ Table \* ARABIC </w:instrText>
      </w:r>
      <w:r w:rsidRPr="00157A11">
        <w:rPr>
          <w:rFonts w:asciiTheme="minorHAnsi" w:hAnsiTheme="minorHAnsi" w:cstheme="minorHAnsi"/>
          <w:i w:val="0"/>
          <w:color w:val="auto"/>
          <w:lang w:val="fr-CA"/>
        </w:rPr>
        <w:fldChar w:fldCharType="separate"/>
      </w:r>
      <w:r w:rsidR="00025079">
        <w:rPr>
          <w:rFonts w:asciiTheme="minorHAnsi" w:hAnsiTheme="minorHAnsi" w:cstheme="minorHAnsi"/>
          <w:i w:val="0"/>
          <w:noProof/>
          <w:color w:val="auto"/>
          <w:lang w:val="fr-CA"/>
        </w:rPr>
        <w:t>9</w:t>
      </w:r>
      <w:r w:rsidRPr="00157A11">
        <w:rPr>
          <w:rFonts w:asciiTheme="minorHAnsi" w:hAnsiTheme="minorHAnsi" w:cstheme="minorHAnsi"/>
          <w:i w:val="0"/>
          <w:color w:val="auto"/>
          <w:lang w:val="fr-CA"/>
        </w:rPr>
        <w:fldChar w:fldCharType="end"/>
      </w:r>
      <w:r w:rsidRPr="00157A11">
        <w:rPr>
          <w:rFonts w:asciiTheme="minorHAnsi" w:hAnsiTheme="minorHAnsi" w:cstheme="minorHAnsi"/>
          <w:i w:val="0"/>
          <w:color w:val="auto"/>
          <w:lang w:val="fr-CA"/>
        </w:rPr>
        <w:t xml:space="preserve"> - Activités de dotation selon le type de nomination et exercice financier</w:t>
      </w:r>
    </w:p>
    <w:tbl>
      <w:tblPr>
        <w:tblStyle w:val="TableGrid"/>
        <w:tblW w:w="5000" w:type="pct"/>
        <w:jc w:val="center"/>
        <w:tblLook w:val="0020" w:firstRow="1" w:lastRow="0" w:firstColumn="0" w:lastColumn="0" w:noHBand="0" w:noVBand="0"/>
        <w:tblDescription w:val="Dotation selon le type de nomination de 2014 à 2019"/>
      </w:tblPr>
      <w:tblGrid>
        <w:gridCol w:w="1695"/>
        <w:gridCol w:w="1560"/>
        <w:gridCol w:w="2409"/>
        <w:gridCol w:w="4343"/>
        <w:gridCol w:w="3045"/>
        <w:gridCol w:w="1338"/>
      </w:tblGrid>
      <w:tr w:rsidR="00742C80" w:rsidRPr="00157A11" w14:paraId="7B21A048" w14:textId="77777777" w:rsidTr="00A74788">
        <w:trPr>
          <w:cantSplit/>
          <w:tblHeader/>
          <w:jc w:val="center"/>
        </w:trPr>
        <w:tc>
          <w:tcPr>
            <w:tcW w:w="589" w:type="pct"/>
          </w:tcPr>
          <w:p w14:paraId="6D535DE0" w14:textId="77777777" w:rsidR="00742C80" w:rsidRPr="00157A11" w:rsidRDefault="00742C80" w:rsidP="004B3D0B">
            <w:pPr>
              <w:pStyle w:val="TableTitle"/>
              <w:rPr>
                <w:lang w:val="fr-CA"/>
              </w:rPr>
            </w:pPr>
            <w:r w:rsidRPr="00157A11">
              <w:rPr>
                <w:lang w:val="fr-CA"/>
              </w:rPr>
              <w:t>Exercice financier</w:t>
            </w:r>
          </w:p>
        </w:tc>
        <w:tc>
          <w:tcPr>
            <w:tcW w:w="542" w:type="pct"/>
          </w:tcPr>
          <w:p w14:paraId="32455329" w14:textId="77777777" w:rsidR="00742C80" w:rsidRPr="00157A11" w:rsidRDefault="00742C80" w:rsidP="004B3D0B">
            <w:pPr>
              <w:pStyle w:val="TableTitle"/>
              <w:rPr>
                <w:lang w:val="fr-CA"/>
              </w:rPr>
            </w:pPr>
            <w:r w:rsidRPr="00157A11">
              <w:rPr>
                <w:lang w:val="fr-CA"/>
              </w:rPr>
              <w:t>Promotions</w:t>
            </w:r>
          </w:p>
        </w:tc>
        <w:tc>
          <w:tcPr>
            <w:tcW w:w="837" w:type="pct"/>
          </w:tcPr>
          <w:p w14:paraId="28941E3E" w14:textId="77777777" w:rsidR="00742C80" w:rsidRPr="00157A11" w:rsidRDefault="00742C80" w:rsidP="004B3D0B">
            <w:pPr>
              <w:pStyle w:val="TableTitle"/>
              <w:rPr>
                <w:lang w:val="fr-CA"/>
              </w:rPr>
            </w:pPr>
            <w:r w:rsidRPr="00157A11">
              <w:rPr>
                <w:lang w:val="fr-CA"/>
              </w:rPr>
              <w:t>Déplacements latéraux et régressifs</w:t>
            </w:r>
          </w:p>
        </w:tc>
        <w:tc>
          <w:tcPr>
            <w:tcW w:w="1509" w:type="pct"/>
          </w:tcPr>
          <w:p w14:paraId="5558FBE6" w14:textId="77777777" w:rsidR="00742C80" w:rsidRPr="00157A11" w:rsidRDefault="00742C80" w:rsidP="004B3D0B">
            <w:pPr>
              <w:pStyle w:val="TableTitle"/>
              <w:rPr>
                <w:lang w:val="fr-CA"/>
              </w:rPr>
            </w:pPr>
            <w:r w:rsidRPr="00157A11">
              <w:rPr>
                <w:lang w:val="fr-CA"/>
              </w:rPr>
              <w:t>Nominations à la fonction publique (y compris les employés occasionnels et les étudiants)</w:t>
            </w:r>
          </w:p>
        </w:tc>
        <w:tc>
          <w:tcPr>
            <w:tcW w:w="1058" w:type="pct"/>
          </w:tcPr>
          <w:p w14:paraId="51C49C6B" w14:textId="77777777" w:rsidR="00742C80" w:rsidRPr="00157A11" w:rsidRDefault="00742C80" w:rsidP="004B3D0B">
            <w:pPr>
              <w:pStyle w:val="TableTitle"/>
              <w:rPr>
                <w:lang w:val="fr-CA"/>
              </w:rPr>
            </w:pPr>
            <w:r w:rsidRPr="00157A11">
              <w:rPr>
                <w:lang w:val="fr-CA"/>
              </w:rPr>
              <w:t>Nominations intérimaires (Excluant les nominations de moins de 4 mois)</w:t>
            </w:r>
          </w:p>
        </w:tc>
        <w:tc>
          <w:tcPr>
            <w:tcW w:w="465" w:type="pct"/>
          </w:tcPr>
          <w:p w14:paraId="7EB183FE" w14:textId="77777777" w:rsidR="00742C80" w:rsidRPr="00157A11" w:rsidRDefault="00742C80" w:rsidP="004B3D0B">
            <w:pPr>
              <w:pStyle w:val="TableTitle"/>
              <w:rPr>
                <w:lang w:val="fr-CA"/>
              </w:rPr>
            </w:pPr>
            <w:r w:rsidRPr="00157A11">
              <w:rPr>
                <w:lang w:val="fr-CA"/>
              </w:rPr>
              <w:t>Total</w:t>
            </w:r>
          </w:p>
        </w:tc>
      </w:tr>
      <w:tr w:rsidR="00742C80" w:rsidRPr="00157A11" w14:paraId="294224C0" w14:textId="77777777" w:rsidTr="00A74788">
        <w:trPr>
          <w:cantSplit/>
          <w:tblHeader/>
          <w:jc w:val="center"/>
        </w:trPr>
        <w:tc>
          <w:tcPr>
            <w:tcW w:w="589" w:type="pct"/>
          </w:tcPr>
          <w:p w14:paraId="540ED17B" w14:textId="77777777" w:rsidR="00742C80" w:rsidRPr="00157A11" w:rsidRDefault="00742C80" w:rsidP="00645BC9">
            <w:pPr>
              <w:autoSpaceDE w:val="0"/>
              <w:autoSpaceDN w:val="0"/>
              <w:adjustRightInd w:val="0"/>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 xml:space="preserve">2014 à 2015 </w:t>
            </w:r>
          </w:p>
        </w:tc>
        <w:tc>
          <w:tcPr>
            <w:tcW w:w="542" w:type="pct"/>
          </w:tcPr>
          <w:p w14:paraId="5787481B"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5</w:t>
            </w:r>
          </w:p>
        </w:tc>
        <w:tc>
          <w:tcPr>
            <w:tcW w:w="837" w:type="pct"/>
          </w:tcPr>
          <w:p w14:paraId="7BE60746"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13</w:t>
            </w:r>
          </w:p>
        </w:tc>
        <w:tc>
          <w:tcPr>
            <w:tcW w:w="1509" w:type="pct"/>
          </w:tcPr>
          <w:p w14:paraId="42B215F8"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17</w:t>
            </w:r>
          </w:p>
        </w:tc>
        <w:tc>
          <w:tcPr>
            <w:tcW w:w="1058" w:type="pct"/>
          </w:tcPr>
          <w:p w14:paraId="4501A994"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6</w:t>
            </w:r>
          </w:p>
        </w:tc>
        <w:tc>
          <w:tcPr>
            <w:tcW w:w="465" w:type="pct"/>
          </w:tcPr>
          <w:p w14:paraId="6BD36E7A"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41</w:t>
            </w:r>
          </w:p>
        </w:tc>
      </w:tr>
      <w:tr w:rsidR="00742C80" w:rsidRPr="00157A11" w14:paraId="04AF0B29" w14:textId="77777777" w:rsidTr="00A74788">
        <w:trPr>
          <w:cantSplit/>
          <w:tblHeader/>
          <w:jc w:val="center"/>
        </w:trPr>
        <w:tc>
          <w:tcPr>
            <w:tcW w:w="589" w:type="pct"/>
          </w:tcPr>
          <w:p w14:paraId="698898EA" w14:textId="77777777" w:rsidR="00742C80" w:rsidRPr="00157A11" w:rsidRDefault="00742C80" w:rsidP="00645BC9">
            <w:pPr>
              <w:autoSpaceDE w:val="0"/>
              <w:autoSpaceDN w:val="0"/>
              <w:adjustRightInd w:val="0"/>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2015 à 2016</w:t>
            </w:r>
          </w:p>
        </w:tc>
        <w:tc>
          <w:tcPr>
            <w:tcW w:w="542" w:type="pct"/>
          </w:tcPr>
          <w:p w14:paraId="385F2791"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8</w:t>
            </w:r>
          </w:p>
        </w:tc>
        <w:tc>
          <w:tcPr>
            <w:tcW w:w="837" w:type="pct"/>
          </w:tcPr>
          <w:p w14:paraId="357DC85B"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14</w:t>
            </w:r>
          </w:p>
        </w:tc>
        <w:tc>
          <w:tcPr>
            <w:tcW w:w="1509" w:type="pct"/>
          </w:tcPr>
          <w:p w14:paraId="357C2D5E"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27</w:t>
            </w:r>
          </w:p>
        </w:tc>
        <w:tc>
          <w:tcPr>
            <w:tcW w:w="1058" w:type="pct"/>
          </w:tcPr>
          <w:p w14:paraId="77E52E9C"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7</w:t>
            </w:r>
          </w:p>
        </w:tc>
        <w:tc>
          <w:tcPr>
            <w:tcW w:w="465" w:type="pct"/>
          </w:tcPr>
          <w:p w14:paraId="2E3A111B"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56</w:t>
            </w:r>
          </w:p>
        </w:tc>
      </w:tr>
      <w:tr w:rsidR="00742C80" w:rsidRPr="00157A11" w14:paraId="59EE62B6" w14:textId="77777777" w:rsidTr="00A74788">
        <w:trPr>
          <w:cantSplit/>
          <w:tblHeader/>
          <w:jc w:val="center"/>
        </w:trPr>
        <w:tc>
          <w:tcPr>
            <w:tcW w:w="589" w:type="pct"/>
          </w:tcPr>
          <w:p w14:paraId="4A4BC8E9" w14:textId="77777777" w:rsidR="00742C80" w:rsidRPr="00157A11" w:rsidRDefault="00742C80" w:rsidP="00645BC9">
            <w:pPr>
              <w:autoSpaceDE w:val="0"/>
              <w:autoSpaceDN w:val="0"/>
              <w:adjustRightInd w:val="0"/>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 xml:space="preserve">2016 à 2017 </w:t>
            </w:r>
          </w:p>
        </w:tc>
        <w:tc>
          <w:tcPr>
            <w:tcW w:w="542" w:type="pct"/>
          </w:tcPr>
          <w:p w14:paraId="58676224"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10</w:t>
            </w:r>
          </w:p>
        </w:tc>
        <w:tc>
          <w:tcPr>
            <w:tcW w:w="837" w:type="pct"/>
          </w:tcPr>
          <w:p w14:paraId="112CF492"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12</w:t>
            </w:r>
          </w:p>
        </w:tc>
        <w:tc>
          <w:tcPr>
            <w:tcW w:w="1509" w:type="pct"/>
          </w:tcPr>
          <w:p w14:paraId="04AF3153"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39</w:t>
            </w:r>
          </w:p>
        </w:tc>
        <w:tc>
          <w:tcPr>
            <w:tcW w:w="1058" w:type="pct"/>
          </w:tcPr>
          <w:p w14:paraId="5003FE0A"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4</w:t>
            </w:r>
          </w:p>
        </w:tc>
        <w:tc>
          <w:tcPr>
            <w:tcW w:w="465" w:type="pct"/>
          </w:tcPr>
          <w:p w14:paraId="4435AB03"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65</w:t>
            </w:r>
          </w:p>
        </w:tc>
      </w:tr>
      <w:tr w:rsidR="00742C80" w:rsidRPr="00157A11" w14:paraId="52456463" w14:textId="77777777" w:rsidTr="00A74788">
        <w:trPr>
          <w:cantSplit/>
          <w:tblHeader/>
          <w:jc w:val="center"/>
        </w:trPr>
        <w:tc>
          <w:tcPr>
            <w:tcW w:w="589" w:type="pct"/>
          </w:tcPr>
          <w:p w14:paraId="294DCB0B" w14:textId="77777777" w:rsidR="00742C80" w:rsidRPr="00157A11" w:rsidRDefault="00742C80" w:rsidP="00645BC9">
            <w:pPr>
              <w:autoSpaceDE w:val="0"/>
              <w:autoSpaceDN w:val="0"/>
              <w:adjustRightInd w:val="0"/>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2017 à 2018</w:t>
            </w:r>
          </w:p>
        </w:tc>
        <w:tc>
          <w:tcPr>
            <w:tcW w:w="542" w:type="pct"/>
          </w:tcPr>
          <w:p w14:paraId="28732031"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11</w:t>
            </w:r>
          </w:p>
        </w:tc>
        <w:tc>
          <w:tcPr>
            <w:tcW w:w="837" w:type="pct"/>
          </w:tcPr>
          <w:p w14:paraId="63A6BE4E"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18</w:t>
            </w:r>
          </w:p>
        </w:tc>
        <w:tc>
          <w:tcPr>
            <w:tcW w:w="1509" w:type="pct"/>
          </w:tcPr>
          <w:p w14:paraId="0EDFB39F"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64</w:t>
            </w:r>
          </w:p>
        </w:tc>
        <w:tc>
          <w:tcPr>
            <w:tcW w:w="1058" w:type="pct"/>
          </w:tcPr>
          <w:p w14:paraId="36FA82D9"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5</w:t>
            </w:r>
          </w:p>
        </w:tc>
        <w:tc>
          <w:tcPr>
            <w:tcW w:w="465" w:type="pct"/>
          </w:tcPr>
          <w:p w14:paraId="437A9F7D"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98</w:t>
            </w:r>
          </w:p>
        </w:tc>
      </w:tr>
      <w:tr w:rsidR="00742C80" w:rsidRPr="00157A11" w14:paraId="2469B541" w14:textId="77777777" w:rsidTr="00A74788">
        <w:trPr>
          <w:cantSplit/>
          <w:tblHeader/>
          <w:jc w:val="center"/>
        </w:trPr>
        <w:tc>
          <w:tcPr>
            <w:tcW w:w="589" w:type="pct"/>
          </w:tcPr>
          <w:p w14:paraId="4B290BF8" w14:textId="77777777" w:rsidR="00742C80" w:rsidRPr="00157A11" w:rsidRDefault="00742C80" w:rsidP="00645BC9">
            <w:pPr>
              <w:autoSpaceDE w:val="0"/>
              <w:autoSpaceDN w:val="0"/>
              <w:adjustRightInd w:val="0"/>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2018 à 2019</w:t>
            </w:r>
          </w:p>
        </w:tc>
        <w:tc>
          <w:tcPr>
            <w:tcW w:w="542" w:type="pct"/>
          </w:tcPr>
          <w:p w14:paraId="00BD196A"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25</w:t>
            </w:r>
          </w:p>
        </w:tc>
        <w:tc>
          <w:tcPr>
            <w:tcW w:w="837" w:type="pct"/>
          </w:tcPr>
          <w:p w14:paraId="7184B5B2"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40</w:t>
            </w:r>
          </w:p>
        </w:tc>
        <w:tc>
          <w:tcPr>
            <w:tcW w:w="1509" w:type="pct"/>
          </w:tcPr>
          <w:p w14:paraId="0B3B64BB"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134</w:t>
            </w:r>
          </w:p>
        </w:tc>
        <w:tc>
          <w:tcPr>
            <w:tcW w:w="1058" w:type="pct"/>
          </w:tcPr>
          <w:p w14:paraId="00940AB7"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6</w:t>
            </w:r>
          </w:p>
        </w:tc>
        <w:tc>
          <w:tcPr>
            <w:tcW w:w="465" w:type="pct"/>
          </w:tcPr>
          <w:p w14:paraId="4A6BCB79"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205</w:t>
            </w:r>
          </w:p>
        </w:tc>
      </w:tr>
    </w:tbl>
    <w:p w14:paraId="065B4AD2" w14:textId="77777777" w:rsidR="00ED685A" w:rsidRPr="00157A11" w:rsidRDefault="00ED685A" w:rsidP="00E01E51">
      <w:pPr>
        <w:rPr>
          <w:lang w:val="fr-CA"/>
        </w:rPr>
      </w:pPr>
    </w:p>
    <w:p w14:paraId="77520359" w14:textId="77777777" w:rsidR="00ED685A" w:rsidRPr="00157A11" w:rsidRDefault="00ED685A" w:rsidP="00E01E51">
      <w:pPr>
        <w:rPr>
          <w:lang w:val="fr-CA"/>
        </w:rPr>
        <w:sectPr w:rsidR="00ED685A" w:rsidRPr="00157A11" w:rsidSect="007E486E">
          <w:pgSz w:w="15840" w:h="12240" w:orient="landscape"/>
          <w:pgMar w:top="720" w:right="720" w:bottom="720" w:left="720" w:header="283" w:footer="170" w:gutter="0"/>
          <w:cols w:space="708"/>
          <w:titlePg/>
          <w:docGrid w:linePitch="360"/>
        </w:sectPr>
      </w:pPr>
    </w:p>
    <w:p w14:paraId="20575BDB" w14:textId="77777777" w:rsidR="004B3D0B" w:rsidRPr="00157A11" w:rsidRDefault="004B3D0B" w:rsidP="004B3D0B">
      <w:pPr>
        <w:pStyle w:val="Heading1"/>
        <w:spacing w:before="120" w:after="120"/>
        <w:rPr>
          <w:sz w:val="40"/>
          <w:lang w:val="fr-CA"/>
        </w:rPr>
      </w:pPr>
      <w:r w:rsidRPr="00157A11">
        <w:rPr>
          <w:rFonts w:eastAsia="Times New Roman"/>
          <w:sz w:val="40"/>
          <w:lang w:val="fr-CA"/>
        </w:rPr>
        <w:lastRenderedPageBreak/>
        <w:t>Dotation selon la durée d'emploi</w:t>
      </w:r>
    </w:p>
    <w:p w14:paraId="526B9109" w14:textId="77777777" w:rsidR="004B3D0B" w:rsidRPr="00157A11" w:rsidRDefault="00ED685A" w:rsidP="004B3D0B">
      <w:pPr>
        <w:keepNext/>
        <w:jc w:val="center"/>
        <w:rPr>
          <w:lang w:val="fr-CA"/>
        </w:rPr>
      </w:pPr>
      <w:r w:rsidRPr="00157A11">
        <w:rPr>
          <w:noProof/>
          <w:lang w:val="en-CA" w:eastAsia="en-CA"/>
        </w:rPr>
        <w:drawing>
          <wp:inline distT="0" distB="0" distL="0" distR="0" wp14:anchorId="2F691BB5" wp14:editId="6E58C18C">
            <wp:extent cx="5648400" cy="3049200"/>
            <wp:effectExtent l="0" t="0" r="9525" b="18415"/>
            <wp:docPr id="3" name="Chart 3" descr="Dotation selon la durée d'emploi&#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3A7F41E" w14:textId="77777777" w:rsidR="00ED685A" w:rsidRPr="00157A11" w:rsidRDefault="004B3D0B" w:rsidP="004B3D0B">
      <w:pPr>
        <w:pStyle w:val="Caption"/>
        <w:spacing w:after="0"/>
        <w:jc w:val="center"/>
        <w:rPr>
          <w:rFonts w:asciiTheme="minorHAnsi" w:hAnsiTheme="minorHAnsi" w:cstheme="minorHAnsi"/>
          <w:i w:val="0"/>
          <w:color w:val="auto"/>
          <w:lang w:val="fr-CA"/>
        </w:rPr>
      </w:pPr>
      <w:r w:rsidRPr="00157A11">
        <w:rPr>
          <w:rFonts w:asciiTheme="minorHAnsi" w:hAnsiTheme="minorHAnsi" w:cstheme="minorHAnsi"/>
          <w:i w:val="0"/>
          <w:color w:val="auto"/>
          <w:lang w:val="fr-CA"/>
        </w:rPr>
        <w:t xml:space="preserve">Figure </w:t>
      </w:r>
      <w:r w:rsidRPr="00157A11">
        <w:rPr>
          <w:rFonts w:asciiTheme="minorHAnsi" w:hAnsiTheme="minorHAnsi" w:cstheme="minorHAnsi"/>
          <w:i w:val="0"/>
          <w:color w:val="auto"/>
          <w:lang w:val="fr-CA"/>
        </w:rPr>
        <w:fldChar w:fldCharType="begin"/>
      </w:r>
      <w:r w:rsidRPr="00157A11">
        <w:rPr>
          <w:rFonts w:asciiTheme="minorHAnsi" w:hAnsiTheme="minorHAnsi" w:cstheme="minorHAnsi"/>
          <w:i w:val="0"/>
          <w:color w:val="auto"/>
          <w:lang w:val="fr-CA"/>
        </w:rPr>
        <w:instrText xml:space="preserve"> SEQ Figure \* ARABIC </w:instrText>
      </w:r>
      <w:r w:rsidRPr="00157A11">
        <w:rPr>
          <w:rFonts w:asciiTheme="minorHAnsi" w:hAnsiTheme="minorHAnsi" w:cstheme="minorHAnsi"/>
          <w:i w:val="0"/>
          <w:color w:val="auto"/>
          <w:lang w:val="fr-CA"/>
        </w:rPr>
        <w:fldChar w:fldCharType="separate"/>
      </w:r>
      <w:r w:rsidR="00973FED" w:rsidRPr="00157A11">
        <w:rPr>
          <w:rFonts w:asciiTheme="minorHAnsi" w:hAnsiTheme="minorHAnsi" w:cstheme="minorHAnsi"/>
          <w:i w:val="0"/>
          <w:noProof/>
          <w:color w:val="auto"/>
          <w:lang w:val="fr-CA"/>
        </w:rPr>
        <w:t>9</w:t>
      </w:r>
      <w:r w:rsidRPr="00157A11">
        <w:rPr>
          <w:rFonts w:asciiTheme="minorHAnsi" w:hAnsiTheme="minorHAnsi" w:cstheme="minorHAnsi"/>
          <w:i w:val="0"/>
          <w:color w:val="auto"/>
          <w:lang w:val="fr-CA"/>
        </w:rPr>
        <w:fldChar w:fldCharType="end"/>
      </w:r>
      <w:r w:rsidRPr="00157A11">
        <w:rPr>
          <w:rFonts w:asciiTheme="minorHAnsi" w:hAnsiTheme="minorHAnsi" w:cstheme="minorHAnsi"/>
          <w:i w:val="0"/>
          <w:color w:val="auto"/>
          <w:lang w:val="fr-CA"/>
        </w:rPr>
        <w:t xml:space="preserve"> - Dotation selon la durée d'emploi</w:t>
      </w:r>
    </w:p>
    <w:p w14:paraId="5D4CE150" w14:textId="77777777" w:rsidR="004B3D0B" w:rsidRPr="00157A11" w:rsidRDefault="004B3D0B" w:rsidP="004B3D0B">
      <w:pPr>
        <w:pStyle w:val="Caption"/>
        <w:keepNext/>
        <w:spacing w:before="240" w:after="0"/>
        <w:jc w:val="center"/>
        <w:rPr>
          <w:rFonts w:asciiTheme="minorHAnsi" w:hAnsiTheme="minorHAnsi" w:cstheme="minorHAnsi"/>
          <w:i w:val="0"/>
          <w:color w:val="auto"/>
          <w:lang w:val="fr-CA"/>
        </w:rPr>
      </w:pPr>
      <w:r w:rsidRPr="00157A11">
        <w:rPr>
          <w:rFonts w:asciiTheme="minorHAnsi" w:hAnsiTheme="minorHAnsi" w:cstheme="minorHAnsi"/>
          <w:i w:val="0"/>
          <w:color w:val="auto"/>
          <w:lang w:val="fr-CA"/>
        </w:rPr>
        <w:t xml:space="preserve">Table </w:t>
      </w:r>
      <w:r w:rsidRPr="00157A11">
        <w:rPr>
          <w:rFonts w:asciiTheme="minorHAnsi" w:hAnsiTheme="minorHAnsi" w:cstheme="minorHAnsi"/>
          <w:i w:val="0"/>
          <w:color w:val="auto"/>
          <w:lang w:val="fr-CA"/>
        </w:rPr>
        <w:fldChar w:fldCharType="begin"/>
      </w:r>
      <w:r w:rsidRPr="00157A11">
        <w:rPr>
          <w:rFonts w:asciiTheme="minorHAnsi" w:hAnsiTheme="minorHAnsi" w:cstheme="minorHAnsi"/>
          <w:i w:val="0"/>
          <w:color w:val="auto"/>
          <w:lang w:val="fr-CA"/>
        </w:rPr>
        <w:instrText xml:space="preserve"> SEQ Table \* ARABIC </w:instrText>
      </w:r>
      <w:r w:rsidRPr="00157A11">
        <w:rPr>
          <w:rFonts w:asciiTheme="minorHAnsi" w:hAnsiTheme="minorHAnsi" w:cstheme="minorHAnsi"/>
          <w:i w:val="0"/>
          <w:color w:val="auto"/>
          <w:lang w:val="fr-CA"/>
        </w:rPr>
        <w:fldChar w:fldCharType="separate"/>
      </w:r>
      <w:r w:rsidR="00025079">
        <w:rPr>
          <w:rFonts w:asciiTheme="minorHAnsi" w:hAnsiTheme="minorHAnsi" w:cstheme="minorHAnsi"/>
          <w:i w:val="0"/>
          <w:noProof/>
          <w:color w:val="auto"/>
          <w:lang w:val="fr-CA"/>
        </w:rPr>
        <w:t>10</w:t>
      </w:r>
      <w:r w:rsidRPr="00157A11">
        <w:rPr>
          <w:rFonts w:asciiTheme="minorHAnsi" w:hAnsiTheme="minorHAnsi" w:cstheme="minorHAnsi"/>
          <w:i w:val="0"/>
          <w:color w:val="auto"/>
          <w:lang w:val="fr-CA"/>
        </w:rPr>
        <w:fldChar w:fldCharType="end"/>
      </w:r>
      <w:r w:rsidRPr="00157A11">
        <w:rPr>
          <w:rFonts w:asciiTheme="minorHAnsi" w:hAnsiTheme="minorHAnsi" w:cstheme="minorHAnsi"/>
          <w:i w:val="0"/>
          <w:color w:val="auto"/>
          <w:lang w:val="fr-CA"/>
        </w:rPr>
        <w:t xml:space="preserve"> - Activités de dotation selon la durée d’emploi et l’exercice financier</w:t>
      </w:r>
    </w:p>
    <w:tbl>
      <w:tblPr>
        <w:tblStyle w:val="TableGrid"/>
        <w:tblW w:w="5000" w:type="pct"/>
        <w:jc w:val="center"/>
        <w:tblLook w:val="0020" w:firstRow="1" w:lastRow="0" w:firstColumn="0" w:lastColumn="0" w:noHBand="0" w:noVBand="0"/>
        <w:tblDescription w:val="Dotation selon la durée d’emploi de 2014 à 2019"/>
      </w:tblPr>
      <w:tblGrid>
        <w:gridCol w:w="1695"/>
        <w:gridCol w:w="2835"/>
        <w:gridCol w:w="2694"/>
        <w:gridCol w:w="2835"/>
        <w:gridCol w:w="2587"/>
        <w:gridCol w:w="1744"/>
      </w:tblGrid>
      <w:tr w:rsidR="00014249" w:rsidRPr="00157A11" w14:paraId="1656020F" w14:textId="77777777" w:rsidTr="00A74788">
        <w:trPr>
          <w:cantSplit/>
          <w:tblHeader/>
          <w:jc w:val="center"/>
        </w:trPr>
        <w:tc>
          <w:tcPr>
            <w:tcW w:w="589" w:type="pct"/>
          </w:tcPr>
          <w:p w14:paraId="696C9FAA" w14:textId="77777777" w:rsidR="00742C80" w:rsidRPr="00157A11" w:rsidRDefault="00742C80" w:rsidP="004B3D0B">
            <w:pPr>
              <w:pStyle w:val="TableTitle"/>
              <w:rPr>
                <w:lang w:val="fr-CA"/>
              </w:rPr>
            </w:pPr>
            <w:r w:rsidRPr="00157A11">
              <w:rPr>
                <w:lang w:val="fr-CA"/>
              </w:rPr>
              <w:t>Exercice financier</w:t>
            </w:r>
          </w:p>
        </w:tc>
        <w:tc>
          <w:tcPr>
            <w:tcW w:w="985" w:type="pct"/>
          </w:tcPr>
          <w:p w14:paraId="0736224A" w14:textId="77777777" w:rsidR="00742C80" w:rsidRPr="00157A11" w:rsidRDefault="00742C80" w:rsidP="004B3D0B">
            <w:pPr>
              <w:pStyle w:val="TableTitle"/>
              <w:rPr>
                <w:lang w:val="fr-CA"/>
              </w:rPr>
            </w:pPr>
            <w:r w:rsidRPr="00157A11">
              <w:rPr>
                <w:lang w:val="fr-CA"/>
              </w:rPr>
              <w:t>Activités de dotation pour des postes pour une période indéterminée</w:t>
            </w:r>
          </w:p>
        </w:tc>
        <w:tc>
          <w:tcPr>
            <w:tcW w:w="936" w:type="pct"/>
          </w:tcPr>
          <w:p w14:paraId="42CE2914" w14:textId="77777777" w:rsidR="00742C80" w:rsidRPr="00157A11" w:rsidRDefault="00742C80" w:rsidP="004B3D0B">
            <w:pPr>
              <w:pStyle w:val="TableTitle"/>
              <w:rPr>
                <w:lang w:val="fr-CA"/>
              </w:rPr>
            </w:pPr>
            <w:r w:rsidRPr="00157A11">
              <w:rPr>
                <w:lang w:val="fr-CA"/>
              </w:rPr>
              <w:t>Activités de dotation pour des postes de durée déterminée</w:t>
            </w:r>
          </w:p>
        </w:tc>
        <w:tc>
          <w:tcPr>
            <w:tcW w:w="985" w:type="pct"/>
          </w:tcPr>
          <w:p w14:paraId="7A0AC6F1" w14:textId="77777777" w:rsidR="00742C80" w:rsidRPr="00157A11" w:rsidRDefault="00742C80" w:rsidP="004B3D0B">
            <w:pPr>
              <w:pStyle w:val="TableTitle"/>
              <w:rPr>
                <w:lang w:val="fr-CA"/>
              </w:rPr>
            </w:pPr>
            <w:r w:rsidRPr="00157A11">
              <w:rPr>
                <w:lang w:val="fr-CA"/>
              </w:rPr>
              <w:t>Activités de dotation de durée pour les emplois occasionnels</w:t>
            </w:r>
          </w:p>
        </w:tc>
        <w:tc>
          <w:tcPr>
            <w:tcW w:w="899" w:type="pct"/>
          </w:tcPr>
          <w:p w14:paraId="0A7F1439" w14:textId="77777777" w:rsidR="00742C80" w:rsidRPr="00157A11" w:rsidRDefault="00742C80" w:rsidP="004B3D0B">
            <w:pPr>
              <w:pStyle w:val="TableTitle"/>
              <w:rPr>
                <w:lang w:val="fr-CA"/>
              </w:rPr>
            </w:pPr>
            <w:r w:rsidRPr="00157A11">
              <w:rPr>
                <w:lang w:val="fr-CA"/>
              </w:rPr>
              <w:t>Activités de dotation pour les emplois étudiants</w:t>
            </w:r>
          </w:p>
        </w:tc>
        <w:tc>
          <w:tcPr>
            <w:tcW w:w="606" w:type="pct"/>
          </w:tcPr>
          <w:p w14:paraId="48378E2C" w14:textId="77777777" w:rsidR="00742C80" w:rsidRPr="00157A11" w:rsidRDefault="00742C80" w:rsidP="004B3D0B">
            <w:pPr>
              <w:pStyle w:val="TableTitle"/>
              <w:rPr>
                <w:lang w:val="fr-CA"/>
              </w:rPr>
            </w:pPr>
            <w:r w:rsidRPr="00157A11">
              <w:rPr>
                <w:lang w:val="fr-CA"/>
              </w:rPr>
              <w:t>Activités de dotation totale</w:t>
            </w:r>
          </w:p>
        </w:tc>
      </w:tr>
      <w:tr w:rsidR="00742C80" w:rsidRPr="00157A11" w14:paraId="5C31EBA2" w14:textId="77777777" w:rsidTr="00A74788">
        <w:trPr>
          <w:cantSplit/>
          <w:tblHeader/>
          <w:jc w:val="center"/>
        </w:trPr>
        <w:tc>
          <w:tcPr>
            <w:tcW w:w="589" w:type="pct"/>
          </w:tcPr>
          <w:p w14:paraId="7C99A547" w14:textId="77777777" w:rsidR="00742C80" w:rsidRPr="00157A11" w:rsidRDefault="00742C80" w:rsidP="00645BC9">
            <w:pPr>
              <w:autoSpaceDE w:val="0"/>
              <w:autoSpaceDN w:val="0"/>
              <w:adjustRightInd w:val="0"/>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2014 à 2015</w:t>
            </w:r>
          </w:p>
        </w:tc>
        <w:tc>
          <w:tcPr>
            <w:tcW w:w="985" w:type="pct"/>
          </w:tcPr>
          <w:p w14:paraId="2D669EF6"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21</w:t>
            </w:r>
          </w:p>
        </w:tc>
        <w:tc>
          <w:tcPr>
            <w:tcW w:w="936" w:type="pct"/>
          </w:tcPr>
          <w:p w14:paraId="54ED1B1B"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9</w:t>
            </w:r>
          </w:p>
        </w:tc>
        <w:tc>
          <w:tcPr>
            <w:tcW w:w="985" w:type="pct"/>
          </w:tcPr>
          <w:p w14:paraId="2735CF8C"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11</w:t>
            </w:r>
          </w:p>
        </w:tc>
        <w:tc>
          <w:tcPr>
            <w:tcW w:w="899" w:type="pct"/>
          </w:tcPr>
          <w:p w14:paraId="5668078C"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0</w:t>
            </w:r>
          </w:p>
        </w:tc>
        <w:tc>
          <w:tcPr>
            <w:tcW w:w="606" w:type="pct"/>
          </w:tcPr>
          <w:p w14:paraId="6FF66FF5"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41</w:t>
            </w:r>
          </w:p>
        </w:tc>
      </w:tr>
      <w:tr w:rsidR="00742C80" w:rsidRPr="00157A11" w14:paraId="414EB489" w14:textId="77777777" w:rsidTr="00A74788">
        <w:trPr>
          <w:cantSplit/>
          <w:tblHeader/>
          <w:jc w:val="center"/>
        </w:trPr>
        <w:tc>
          <w:tcPr>
            <w:tcW w:w="589" w:type="pct"/>
          </w:tcPr>
          <w:p w14:paraId="022999C5" w14:textId="77777777" w:rsidR="00742C80" w:rsidRPr="00157A11" w:rsidRDefault="00742C80" w:rsidP="00645BC9">
            <w:pPr>
              <w:autoSpaceDE w:val="0"/>
              <w:autoSpaceDN w:val="0"/>
              <w:adjustRightInd w:val="0"/>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2015 à 2016</w:t>
            </w:r>
          </w:p>
        </w:tc>
        <w:tc>
          <w:tcPr>
            <w:tcW w:w="985" w:type="pct"/>
          </w:tcPr>
          <w:p w14:paraId="10FCCDF8"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27</w:t>
            </w:r>
          </w:p>
        </w:tc>
        <w:tc>
          <w:tcPr>
            <w:tcW w:w="936" w:type="pct"/>
          </w:tcPr>
          <w:p w14:paraId="4D766DCD"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10</w:t>
            </w:r>
          </w:p>
        </w:tc>
        <w:tc>
          <w:tcPr>
            <w:tcW w:w="985" w:type="pct"/>
          </w:tcPr>
          <w:p w14:paraId="535F1F9F"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13</w:t>
            </w:r>
          </w:p>
        </w:tc>
        <w:tc>
          <w:tcPr>
            <w:tcW w:w="899" w:type="pct"/>
          </w:tcPr>
          <w:p w14:paraId="034D01EA"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6</w:t>
            </w:r>
          </w:p>
        </w:tc>
        <w:tc>
          <w:tcPr>
            <w:tcW w:w="606" w:type="pct"/>
          </w:tcPr>
          <w:p w14:paraId="3C4F17BE"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56</w:t>
            </w:r>
          </w:p>
        </w:tc>
      </w:tr>
      <w:tr w:rsidR="00742C80" w:rsidRPr="00157A11" w14:paraId="02E1311E" w14:textId="77777777" w:rsidTr="00A74788">
        <w:trPr>
          <w:cantSplit/>
          <w:tblHeader/>
          <w:jc w:val="center"/>
        </w:trPr>
        <w:tc>
          <w:tcPr>
            <w:tcW w:w="589" w:type="pct"/>
          </w:tcPr>
          <w:p w14:paraId="0370B474" w14:textId="77777777" w:rsidR="00742C80" w:rsidRPr="00157A11" w:rsidRDefault="00742C80" w:rsidP="00645BC9">
            <w:pPr>
              <w:autoSpaceDE w:val="0"/>
              <w:autoSpaceDN w:val="0"/>
              <w:adjustRightInd w:val="0"/>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2016 à 2017</w:t>
            </w:r>
          </w:p>
        </w:tc>
        <w:tc>
          <w:tcPr>
            <w:tcW w:w="985" w:type="pct"/>
          </w:tcPr>
          <w:p w14:paraId="15C780F6"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29</w:t>
            </w:r>
          </w:p>
        </w:tc>
        <w:tc>
          <w:tcPr>
            <w:tcW w:w="936" w:type="pct"/>
          </w:tcPr>
          <w:p w14:paraId="21AB2766"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6</w:t>
            </w:r>
          </w:p>
        </w:tc>
        <w:tc>
          <w:tcPr>
            <w:tcW w:w="985" w:type="pct"/>
          </w:tcPr>
          <w:p w14:paraId="3E133937"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21</w:t>
            </w:r>
          </w:p>
        </w:tc>
        <w:tc>
          <w:tcPr>
            <w:tcW w:w="899" w:type="pct"/>
          </w:tcPr>
          <w:p w14:paraId="0286BF90"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9</w:t>
            </w:r>
          </w:p>
        </w:tc>
        <w:tc>
          <w:tcPr>
            <w:tcW w:w="606" w:type="pct"/>
          </w:tcPr>
          <w:p w14:paraId="066F9CDB"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65</w:t>
            </w:r>
          </w:p>
        </w:tc>
      </w:tr>
      <w:tr w:rsidR="00742C80" w:rsidRPr="00157A11" w14:paraId="4D3A444D" w14:textId="77777777" w:rsidTr="00A74788">
        <w:trPr>
          <w:cantSplit/>
          <w:tblHeader/>
          <w:jc w:val="center"/>
        </w:trPr>
        <w:tc>
          <w:tcPr>
            <w:tcW w:w="589" w:type="pct"/>
          </w:tcPr>
          <w:p w14:paraId="1425EECF" w14:textId="77777777" w:rsidR="00742C80" w:rsidRPr="00157A11" w:rsidRDefault="00742C80" w:rsidP="00645BC9">
            <w:pPr>
              <w:autoSpaceDE w:val="0"/>
              <w:autoSpaceDN w:val="0"/>
              <w:adjustRightInd w:val="0"/>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2017 à 2018</w:t>
            </w:r>
          </w:p>
        </w:tc>
        <w:tc>
          <w:tcPr>
            <w:tcW w:w="985" w:type="pct"/>
          </w:tcPr>
          <w:p w14:paraId="0E473826"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37</w:t>
            </w:r>
          </w:p>
        </w:tc>
        <w:tc>
          <w:tcPr>
            <w:tcW w:w="936" w:type="pct"/>
          </w:tcPr>
          <w:p w14:paraId="5D41CF2B"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6</w:t>
            </w:r>
          </w:p>
        </w:tc>
        <w:tc>
          <w:tcPr>
            <w:tcW w:w="985" w:type="pct"/>
          </w:tcPr>
          <w:p w14:paraId="40B58DF4"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41</w:t>
            </w:r>
          </w:p>
        </w:tc>
        <w:tc>
          <w:tcPr>
            <w:tcW w:w="899" w:type="pct"/>
          </w:tcPr>
          <w:p w14:paraId="101393D3"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14</w:t>
            </w:r>
          </w:p>
        </w:tc>
        <w:tc>
          <w:tcPr>
            <w:tcW w:w="606" w:type="pct"/>
          </w:tcPr>
          <w:p w14:paraId="5A1AB262"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98</w:t>
            </w:r>
          </w:p>
        </w:tc>
      </w:tr>
      <w:tr w:rsidR="00742C80" w:rsidRPr="00157A11" w14:paraId="73299093" w14:textId="77777777" w:rsidTr="00A74788">
        <w:trPr>
          <w:cantSplit/>
          <w:tblHeader/>
          <w:jc w:val="center"/>
        </w:trPr>
        <w:tc>
          <w:tcPr>
            <w:tcW w:w="589" w:type="pct"/>
          </w:tcPr>
          <w:p w14:paraId="4F5B0AA0" w14:textId="77777777" w:rsidR="00742C80" w:rsidRPr="00157A11" w:rsidRDefault="00742C80" w:rsidP="00645BC9">
            <w:pPr>
              <w:autoSpaceDE w:val="0"/>
              <w:autoSpaceDN w:val="0"/>
              <w:adjustRightInd w:val="0"/>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2018 à 2019</w:t>
            </w:r>
          </w:p>
        </w:tc>
        <w:tc>
          <w:tcPr>
            <w:tcW w:w="985" w:type="pct"/>
          </w:tcPr>
          <w:p w14:paraId="72B36EFE"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80</w:t>
            </w:r>
          </w:p>
        </w:tc>
        <w:tc>
          <w:tcPr>
            <w:tcW w:w="936" w:type="pct"/>
          </w:tcPr>
          <w:p w14:paraId="68B6026D"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12</w:t>
            </w:r>
          </w:p>
        </w:tc>
        <w:tc>
          <w:tcPr>
            <w:tcW w:w="985" w:type="pct"/>
          </w:tcPr>
          <w:p w14:paraId="29880F0D"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99</w:t>
            </w:r>
          </w:p>
        </w:tc>
        <w:tc>
          <w:tcPr>
            <w:tcW w:w="899" w:type="pct"/>
          </w:tcPr>
          <w:p w14:paraId="63B63E70"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14</w:t>
            </w:r>
          </w:p>
        </w:tc>
        <w:tc>
          <w:tcPr>
            <w:tcW w:w="606" w:type="pct"/>
          </w:tcPr>
          <w:p w14:paraId="61862AEC"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205</w:t>
            </w:r>
          </w:p>
        </w:tc>
      </w:tr>
    </w:tbl>
    <w:p w14:paraId="1C9C4660" w14:textId="77777777" w:rsidR="004B3D0B" w:rsidRPr="00157A11" w:rsidRDefault="004B3D0B" w:rsidP="004B3D0B">
      <w:pPr>
        <w:rPr>
          <w:rFonts w:asciiTheme="minorHAnsi" w:hAnsiTheme="minorHAnsi" w:cstheme="minorHAnsi"/>
          <w:b/>
          <w:sz w:val="22"/>
          <w:szCs w:val="24"/>
          <w:lang w:val="fr-CA"/>
        </w:rPr>
        <w:sectPr w:rsidR="004B3D0B" w:rsidRPr="00157A11" w:rsidSect="007E486E">
          <w:pgSz w:w="15840" w:h="12240" w:orient="landscape"/>
          <w:pgMar w:top="720" w:right="720" w:bottom="720" w:left="720" w:header="283" w:footer="170" w:gutter="0"/>
          <w:cols w:space="708"/>
          <w:titlePg/>
          <w:docGrid w:linePitch="360"/>
        </w:sectPr>
      </w:pPr>
    </w:p>
    <w:p w14:paraId="324484CD" w14:textId="77777777" w:rsidR="00742C80" w:rsidRPr="00157A11" w:rsidRDefault="00742C80" w:rsidP="004B3D0B">
      <w:pPr>
        <w:contextualSpacing/>
        <w:rPr>
          <w:rStyle w:val="Strong"/>
          <w:lang w:val="fr-CA"/>
        </w:rPr>
      </w:pPr>
      <w:r w:rsidRPr="00157A11">
        <w:rPr>
          <w:rStyle w:val="Strong"/>
          <w:lang w:val="fr-CA"/>
        </w:rPr>
        <w:lastRenderedPageBreak/>
        <w:t>Sondage sur la dotation et l’impartialité politique (2018) – Principales constatations</w:t>
      </w:r>
    </w:p>
    <w:p w14:paraId="09A78198" w14:textId="77777777" w:rsidR="00742C80" w:rsidRPr="00157A11" w:rsidRDefault="00742C80" w:rsidP="004B3D0B">
      <w:pPr>
        <w:pStyle w:val="ListParagraph"/>
        <w:numPr>
          <w:ilvl w:val="0"/>
          <w:numId w:val="16"/>
        </w:numPr>
        <w:spacing w:after="0"/>
        <w:jc w:val="both"/>
        <w:rPr>
          <w:rFonts w:asciiTheme="minorHAnsi" w:hAnsiTheme="minorHAnsi" w:cstheme="minorHAnsi"/>
          <w:sz w:val="22"/>
          <w:lang w:val="fr-CA"/>
        </w:rPr>
      </w:pPr>
      <w:r w:rsidRPr="00157A11">
        <w:rPr>
          <w:rFonts w:asciiTheme="minorHAnsi" w:hAnsiTheme="minorHAnsi" w:cstheme="minorHAnsi"/>
          <w:sz w:val="22"/>
          <w:lang w:val="fr-CA"/>
        </w:rPr>
        <w:t xml:space="preserve">65,4% des </w:t>
      </w:r>
      <w:r w:rsidRPr="00157A11">
        <w:rPr>
          <w:rStyle w:val="Strong"/>
          <w:lang w:val="fr-CA"/>
        </w:rPr>
        <w:t>employés</w:t>
      </w:r>
      <w:r w:rsidRPr="00157A11">
        <w:rPr>
          <w:rFonts w:asciiTheme="minorHAnsi" w:hAnsiTheme="minorHAnsi" w:cstheme="minorHAnsi"/>
          <w:sz w:val="22"/>
          <w:lang w:val="fr-CA"/>
        </w:rPr>
        <w:t xml:space="preserve"> estiment que les personnes embauchées peuvent effectuer le travail, comparativement à 67,1% dans les organisations de même taille et à 53,8% dans la fonction publique fédérale.</w:t>
      </w:r>
    </w:p>
    <w:p w14:paraId="7A2364E1" w14:textId="77777777" w:rsidR="00742C80" w:rsidRPr="00157A11" w:rsidRDefault="00742C80" w:rsidP="004B3D0B">
      <w:pPr>
        <w:pStyle w:val="ListParagraph"/>
        <w:numPr>
          <w:ilvl w:val="0"/>
          <w:numId w:val="16"/>
        </w:numPr>
        <w:spacing w:after="0"/>
        <w:jc w:val="both"/>
        <w:rPr>
          <w:rFonts w:asciiTheme="minorHAnsi" w:hAnsiTheme="minorHAnsi" w:cstheme="minorHAnsi"/>
          <w:sz w:val="22"/>
          <w:lang w:val="fr-CA"/>
        </w:rPr>
      </w:pPr>
      <w:r w:rsidRPr="00157A11">
        <w:rPr>
          <w:rFonts w:asciiTheme="minorHAnsi" w:hAnsiTheme="minorHAnsi" w:cstheme="minorHAnsi"/>
          <w:sz w:val="22"/>
          <w:lang w:val="fr-CA"/>
        </w:rPr>
        <w:t xml:space="preserve">48,9% des </w:t>
      </w:r>
      <w:r w:rsidRPr="00157A11">
        <w:rPr>
          <w:rStyle w:val="Strong"/>
          <w:lang w:val="fr-CA"/>
        </w:rPr>
        <w:t>gestionnaires</w:t>
      </w:r>
      <w:r w:rsidRPr="00157A11">
        <w:rPr>
          <w:rFonts w:asciiTheme="minorHAnsi" w:hAnsiTheme="minorHAnsi" w:cstheme="minorHAnsi"/>
          <w:sz w:val="22"/>
          <w:lang w:val="fr-CA"/>
        </w:rPr>
        <w:t xml:space="preserve"> estiment que la Nouvelle orientation en dotation a amélioré la façon d'embaucher et de nommer les candidats au sein de leur organisation, comparativement à 69,7% dans les organisations de même taille et à 56,1% dans la fonction publique fédérale.</w:t>
      </w:r>
    </w:p>
    <w:p w14:paraId="3AE20293" w14:textId="77777777" w:rsidR="00742C80" w:rsidRPr="00157A11" w:rsidRDefault="00742C80" w:rsidP="00742C80">
      <w:pPr>
        <w:pStyle w:val="ListParagraph"/>
        <w:numPr>
          <w:ilvl w:val="0"/>
          <w:numId w:val="16"/>
        </w:numPr>
        <w:spacing w:before="100" w:beforeAutospacing="1" w:after="100" w:afterAutospacing="1"/>
        <w:jc w:val="both"/>
        <w:rPr>
          <w:rFonts w:asciiTheme="minorHAnsi" w:hAnsiTheme="minorHAnsi" w:cstheme="minorHAnsi"/>
          <w:sz w:val="22"/>
          <w:lang w:val="fr-CA"/>
        </w:rPr>
      </w:pPr>
      <w:r w:rsidRPr="00157A11">
        <w:rPr>
          <w:rFonts w:asciiTheme="minorHAnsi" w:hAnsiTheme="minorHAnsi" w:cstheme="minorHAnsi"/>
          <w:sz w:val="22"/>
          <w:lang w:val="fr-CA"/>
        </w:rPr>
        <w:t xml:space="preserve">80,3% des </w:t>
      </w:r>
      <w:r w:rsidRPr="00157A11">
        <w:rPr>
          <w:rStyle w:val="Strong"/>
          <w:lang w:val="fr-CA"/>
        </w:rPr>
        <w:t>gestionnaires</w:t>
      </w:r>
      <w:r w:rsidRPr="00157A11">
        <w:rPr>
          <w:rFonts w:asciiTheme="minorHAnsi" w:hAnsiTheme="minorHAnsi" w:cstheme="minorHAnsi"/>
          <w:sz w:val="22"/>
          <w:lang w:val="fr-CA"/>
        </w:rPr>
        <w:t xml:space="preserve"> estiment qu'au sein de leur organisation, le processus administratif visant à pourvoir un poste est </w:t>
      </w:r>
      <w:r w:rsidRPr="00157A11">
        <w:rPr>
          <w:rStyle w:val="Strong"/>
          <w:lang w:val="fr-CA"/>
        </w:rPr>
        <w:t>lourd</w:t>
      </w:r>
      <w:r w:rsidRPr="00157A11">
        <w:rPr>
          <w:rFonts w:asciiTheme="minorHAnsi" w:hAnsiTheme="minorHAnsi" w:cstheme="minorHAnsi"/>
          <w:sz w:val="22"/>
          <w:lang w:val="fr-CA"/>
        </w:rPr>
        <w:t>, comparativement à 79,3% dans les organisations de même taille et à 87,9% dans la fonction publique fédérale.</w:t>
      </w:r>
    </w:p>
    <w:p w14:paraId="0B899E8B" w14:textId="77777777" w:rsidR="00ED685A" w:rsidRPr="00157A11" w:rsidRDefault="00ED685A" w:rsidP="00E01E51">
      <w:pPr>
        <w:rPr>
          <w:lang w:val="fr-CA"/>
        </w:rPr>
        <w:sectPr w:rsidR="00ED685A" w:rsidRPr="00157A11" w:rsidSect="007E486E">
          <w:pgSz w:w="15840" w:h="12240" w:orient="landscape"/>
          <w:pgMar w:top="720" w:right="720" w:bottom="720" w:left="720" w:header="283" w:footer="170" w:gutter="0"/>
          <w:cols w:space="708"/>
          <w:titlePg/>
          <w:docGrid w:linePitch="360"/>
        </w:sectPr>
      </w:pPr>
    </w:p>
    <w:p w14:paraId="3993E581" w14:textId="77777777" w:rsidR="004B3D0B" w:rsidRPr="00157A11" w:rsidRDefault="004B3D0B" w:rsidP="004B3D0B">
      <w:pPr>
        <w:pStyle w:val="Heading1"/>
        <w:spacing w:before="120" w:after="120"/>
        <w:rPr>
          <w:sz w:val="40"/>
          <w:lang w:val="fr-CA"/>
        </w:rPr>
      </w:pPr>
      <w:r w:rsidRPr="00157A11">
        <w:rPr>
          <w:rFonts w:eastAsia="Times New Roman"/>
          <w:sz w:val="40"/>
          <w:lang w:val="fr-CA"/>
        </w:rPr>
        <w:lastRenderedPageBreak/>
        <w:t>Embauche d'étudiants</w:t>
      </w:r>
    </w:p>
    <w:p w14:paraId="79D869BD" w14:textId="77777777" w:rsidR="004B3D0B" w:rsidRPr="00157A11" w:rsidRDefault="00E01E51" w:rsidP="004B3D0B">
      <w:pPr>
        <w:keepNext/>
        <w:jc w:val="center"/>
        <w:rPr>
          <w:lang w:val="fr-CA"/>
        </w:rPr>
      </w:pPr>
      <w:r w:rsidRPr="00157A11">
        <w:rPr>
          <w:noProof/>
          <w:lang w:val="en-CA" w:eastAsia="en-CA"/>
        </w:rPr>
        <w:drawing>
          <wp:inline distT="0" distB="0" distL="0" distR="0" wp14:anchorId="5E060D0C" wp14:editId="292F627F">
            <wp:extent cx="5648400" cy="3049200"/>
            <wp:effectExtent l="0" t="0" r="9525" b="18415"/>
            <wp:docPr id="17" name="Chart 17" descr="Embauche d'étudiants&#1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E5D7CBB" w14:textId="77777777" w:rsidR="00E01E51" w:rsidRPr="00157A11" w:rsidRDefault="004B3D0B" w:rsidP="004B3D0B">
      <w:pPr>
        <w:pStyle w:val="Caption"/>
        <w:spacing w:after="0"/>
        <w:jc w:val="center"/>
        <w:rPr>
          <w:rFonts w:asciiTheme="minorHAnsi" w:hAnsiTheme="minorHAnsi" w:cstheme="minorHAnsi"/>
          <w:i w:val="0"/>
          <w:color w:val="auto"/>
          <w:lang w:val="fr-CA"/>
        </w:rPr>
      </w:pPr>
      <w:r w:rsidRPr="00157A11">
        <w:rPr>
          <w:rFonts w:asciiTheme="minorHAnsi" w:hAnsiTheme="minorHAnsi" w:cstheme="minorHAnsi"/>
          <w:i w:val="0"/>
          <w:color w:val="auto"/>
          <w:lang w:val="fr-CA"/>
        </w:rPr>
        <w:t xml:space="preserve">Figure </w:t>
      </w:r>
      <w:r w:rsidRPr="00157A11">
        <w:rPr>
          <w:rFonts w:asciiTheme="minorHAnsi" w:hAnsiTheme="minorHAnsi" w:cstheme="minorHAnsi"/>
          <w:i w:val="0"/>
          <w:color w:val="auto"/>
          <w:lang w:val="fr-CA"/>
        </w:rPr>
        <w:fldChar w:fldCharType="begin"/>
      </w:r>
      <w:r w:rsidRPr="00157A11">
        <w:rPr>
          <w:rFonts w:asciiTheme="minorHAnsi" w:hAnsiTheme="minorHAnsi" w:cstheme="minorHAnsi"/>
          <w:i w:val="0"/>
          <w:color w:val="auto"/>
          <w:lang w:val="fr-CA"/>
        </w:rPr>
        <w:instrText xml:space="preserve"> SEQ Figure \* ARABIC </w:instrText>
      </w:r>
      <w:r w:rsidRPr="00157A11">
        <w:rPr>
          <w:rFonts w:asciiTheme="minorHAnsi" w:hAnsiTheme="minorHAnsi" w:cstheme="minorHAnsi"/>
          <w:i w:val="0"/>
          <w:color w:val="auto"/>
          <w:lang w:val="fr-CA"/>
        </w:rPr>
        <w:fldChar w:fldCharType="separate"/>
      </w:r>
      <w:r w:rsidR="00973FED" w:rsidRPr="00157A11">
        <w:rPr>
          <w:rFonts w:asciiTheme="minorHAnsi" w:hAnsiTheme="minorHAnsi" w:cstheme="minorHAnsi"/>
          <w:i w:val="0"/>
          <w:noProof/>
          <w:color w:val="auto"/>
          <w:lang w:val="fr-CA"/>
        </w:rPr>
        <w:t>10</w:t>
      </w:r>
      <w:r w:rsidRPr="00157A11">
        <w:rPr>
          <w:rFonts w:asciiTheme="minorHAnsi" w:hAnsiTheme="minorHAnsi" w:cstheme="minorHAnsi"/>
          <w:i w:val="0"/>
          <w:color w:val="auto"/>
          <w:lang w:val="fr-CA"/>
        </w:rPr>
        <w:fldChar w:fldCharType="end"/>
      </w:r>
      <w:r w:rsidRPr="00157A11">
        <w:rPr>
          <w:rFonts w:asciiTheme="minorHAnsi" w:hAnsiTheme="minorHAnsi" w:cstheme="minorHAnsi"/>
          <w:i w:val="0"/>
          <w:color w:val="auto"/>
          <w:lang w:val="fr-CA"/>
        </w:rPr>
        <w:t xml:space="preserve"> - Embauche d'étudiants</w:t>
      </w:r>
    </w:p>
    <w:p w14:paraId="6387028D" w14:textId="77777777" w:rsidR="004B3D0B" w:rsidRPr="00157A11" w:rsidRDefault="004B3D0B" w:rsidP="004B3D0B">
      <w:pPr>
        <w:pStyle w:val="Caption"/>
        <w:keepNext/>
        <w:spacing w:before="240" w:after="0"/>
        <w:jc w:val="center"/>
        <w:rPr>
          <w:rFonts w:asciiTheme="minorHAnsi" w:hAnsiTheme="minorHAnsi" w:cstheme="minorHAnsi"/>
          <w:i w:val="0"/>
          <w:color w:val="auto"/>
          <w:lang w:val="fr-CA"/>
        </w:rPr>
      </w:pPr>
      <w:r w:rsidRPr="00157A11">
        <w:rPr>
          <w:rFonts w:asciiTheme="minorHAnsi" w:hAnsiTheme="minorHAnsi" w:cstheme="minorHAnsi"/>
          <w:i w:val="0"/>
          <w:color w:val="auto"/>
          <w:lang w:val="fr-CA"/>
        </w:rPr>
        <w:t xml:space="preserve">Table </w:t>
      </w:r>
      <w:r w:rsidRPr="00157A11">
        <w:rPr>
          <w:rFonts w:asciiTheme="minorHAnsi" w:hAnsiTheme="minorHAnsi" w:cstheme="minorHAnsi"/>
          <w:i w:val="0"/>
          <w:color w:val="auto"/>
          <w:lang w:val="fr-CA"/>
        </w:rPr>
        <w:fldChar w:fldCharType="begin"/>
      </w:r>
      <w:r w:rsidRPr="00157A11">
        <w:rPr>
          <w:rFonts w:asciiTheme="minorHAnsi" w:hAnsiTheme="minorHAnsi" w:cstheme="minorHAnsi"/>
          <w:i w:val="0"/>
          <w:color w:val="auto"/>
          <w:lang w:val="fr-CA"/>
        </w:rPr>
        <w:instrText xml:space="preserve"> SEQ Table \* ARABIC </w:instrText>
      </w:r>
      <w:r w:rsidRPr="00157A11">
        <w:rPr>
          <w:rFonts w:asciiTheme="minorHAnsi" w:hAnsiTheme="minorHAnsi" w:cstheme="minorHAnsi"/>
          <w:i w:val="0"/>
          <w:color w:val="auto"/>
          <w:lang w:val="fr-CA"/>
        </w:rPr>
        <w:fldChar w:fldCharType="separate"/>
      </w:r>
      <w:r w:rsidR="00025079">
        <w:rPr>
          <w:rFonts w:asciiTheme="minorHAnsi" w:hAnsiTheme="minorHAnsi" w:cstheme="minorHAnsi"/>
          <w:i w:val="0"/>
          <w:noProof/>
          <w:color w:val="auto"/>
          <w:lang w:val="fr-CA"/>
        </w:rPr>
        <w:t>11</w:t>
      </w:r>
      <w:r w:rsidRPr="00157A11">
        <w:rPr>
          <w:rFonts w:asciiTheme="minorHAnsi" w:hAnsiTheme="minorHAnsi" w:cstheme="minorHAnsi"/>
          <w:i w:val="0"/>
          <w:color w:val="auto"/>
          <w:lang w:val="fr-CA"/>
        </w:rPr>
        <w:fldChar w:fldCharType="end"/>
      </w:r>
      <w:r w:rsidRPr="00157A11">
        <w:rPr>
          <w:rFonts w:asciiTheme="minorHAnsi" w:hAnsiTheme="minorHAnsi" w:cstheme="minorHAnsi"/>
          <w:i w:val="0"/>
          <w:color w:val="auto"/>
          <w:lang w:val="fr-CA"/>
        </w:rPr>
        <w:t xml:space="preserve"> - Activités d’embauche d’étudiants selon le programme de recrutement et l’exercice financier</w:t>
      </w:r>
    </w:p>
    <w:tbl>
      <w:tblPr>
        <w:tblStyle w:val="TableGrid"/>
        <w:tblW w:w="5000" w:type="pct"/>
        <w:jc w:val="center"/>
        <w:tblLook w:val="0020" w:firstRow="1" w:lastRow="0" w:firstColumn="0" w:lastColumn="0" w:noHBand="0" w:noVBand="0"/>
        <w:tblDescription w:val="Embauches dans le cadre de programmes d’étudiants de 2014 à 2019"/>
      </w:tblPr>
      <w:tblGrid>
        <w:gridCol w:w="1979"/>
        <w:gridCol w:w="3828"/>
        <w:gridCol w:w="4110"/>
        <w:gridCol w:w="3310"/>
        <w:gridCol w:w="1163"/>
      </w:tblGrid>
      <w:tr w:rsidR="00742C80" w:rsidRPr="00157A11" w14:paraId="3A796085" w14:textId="77777777" w:rsidTr="00A74788">
        <w:trPr>
          <w:tblHeader/>
          <w:jc w:val="center"/>
        </w:trPr>
        <w:tc>
          <w:tcPr>
            <w:tcW w:w="688" w:type="pct"/>
          </w:tcPr>
          <w:p w14:paraId="4D79B55C" w14:textId="77777777" w:rsidR="00742C80" w:rsidRPr="00157A11" w:rsidRDefault="00742C80" w:rsidP="004B3D0B">
            <w:pPr>
              <w:pStyle w:val="TableTitle"/>
              <w:rPr>
                <w:lang w:val="fr-CA"/>
              </w:rPr>
            </w:pPr>
            <w:r w:rsidRPr="00157A11">
              <w:rPr>
                <w:lang w:val="fr-CA"/>
              </w:rPr>
              <w:t>Exercice financier</w:t>
            </w:r>
          </w:p>
        </w:tc>
        <w:tc>
          <w:tcPr>
            <w:tcW w:w="1330" w:type="pct"/>
          </w:tcPr>
          <w:p w14:paraId="512F77F7" w14:textId="77777777" w:rsidR="00742C80" w:rsidRPr="00157A11" w:rsidRDefault="00742C80" w:rsidP="004B3D0B">
            <w:pPr>
              <w:pStyle w:val="TableTitle"/>
              <w:rPr>
                <w:lang w:val="fr-CA"/>
              </w:rPr>
            </w:pPr>
            <w:r w:rsidRPr="00157A11">
              <w:rPr>
                <w:lang w:val="fr-CA"/>
              </w:rPr>
              <w:t xml:space="preserve">Programme fédéral d’expérience de travail étudiant </w:t>
            </w:r>
          </w:p>
        </w:tc>
        <w:tc>
          <w:tcPr>
            <w:tcW w:w="1428" w:type="pct"/>
          </w:tcPr>
          <w:p w14:paraId="251A2E00" w14:textId="77777777" w:rsidR="00742C80" w:rsidRPr="00157A11" w:rsidRDefault="00742C80" w:rsidP="004B3D0B">
            <w:pPr>
              <w:pStyle w:val="TableTitle"/>
              <w:rPr>
                <w:lang w:val="fr-CA"/>
              </w:rPr>
            </w:pPr>
            <w:r w:rsidRPr="00157A11">
              <w:rPr>
                <w:lang w:val="fr-CA"/>
              </w:rPr>
              <w:t xml:space="preserve">Programme postsecondaire d'enseignement coopératif/de stages </w:t>
            </w:r>
          </w:p>
        </w:tc>
        <w:tc>
          <w:tcPr>
            <w:tcW w:w="1150" w:type="pct"/>
          </w:tcPr>
          <w:p w14:paraId="786385B8" w14:textId="77777777" w:rsidR="00742C80" w:rsidRPr="00157A11" w:rsidRDefault="00742C80" w:rsidP="004B3D0B">
            <w:pPr>
              <w:pStyle w:val="TableTitle"/>
              <w:rPr>
                <w:lang w:val="fr-CA"/>
              </w:rPr>
            </w:pPr>
            <w:r w:rsidRPr="00157A11">
              <w:rPr>
                <w:lang w:val="fr-CA"/>
              </w:rPr>
              <w:t>Programme des adjoints de recherche</w:t>
            </w:r>
          </w:p>
        </w:tc>
        <w:tc>
          <w:tcPr>
            <w:tcW w:w="404" w:type="pct"/>
          </w:tcPr>
          <w:p w14:paraId="1D0DEE3D" w14:textId="77777777" w:rsidR="00742C80" w:rsidRPr="00157A11" w:rsidRDefault="00742C80" w:rsidP="004B3D0B">
            <w:pPr>
              <w:pStyle w:val="TableTitle"/>
              <w:rPr>
                <w:lang w:val="fr-CA"/>
              </w:rPr>
            </w:pPr>
            <w:r w:rsidRPr="00157A11">
              <w:rPr>
                <w:lang w:val="fr-CA"/>
              </w:rPr>
              <w:t>Total</w:t>
            </w:r>
          </w:p>
        </w:tc>
      </w:tr>
      <w:tr w:rsidR="00742C80" w:rsidRPr="00157A11" w14:paraId="52DC343C" w14:textId="77777777" w:rsidTr="00A74788">
        <w:trPr>
          <w:tblHeader/>
          <w:jc w:val="center"/>
        </w:trPr>
        <w:tc>
          <w:tcPr>
            <w:tcW w:w="688" w:type="pct"/>
          </w:tcPr>
          <w:p w14:paraId="5D78974C" w14:textId="77777777" w:rsidR="00742C80" w:rsidRPr="00157A11" w:rsidRDefault="00742C80" w:rsidP="00645BC9">
            <w:pPr>
              <w:autoSpaceDE w:val="0"/>
              <w:autoSpaceDN w:val="0"/>
              <w:adjustRightInd w:val="0"/>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2014 à 2015</w:t>
            </w:r>
          </w:p>
        </w:tc>
        <w:tc>
          <w:tcPr>
            <w:tcW w:w="1330" w:type="pct"/>
          </w:tcPr>
          <w:p w14:paraId="7651154C"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0</w:t>
            </w:r>
          </w:p>
        </w:tc>
        <w:tc>
          <w:tcPr>
            <w:tcW w:w="1428" w:type="pct"/>
          </w:tcPr>
          <w:p w14:paraId="1FAB0AE2"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0</w:t>
            </w:r>
          </w:p>
        </w:tc>
        <w:tc>
          <w:tcPr>
            <w:tcW w:w="1150" w:type="pct"/>
          </w:tcPr>
          <w:p w14:paraId="7FCD46C1"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0</w:t>
            </w:r>
          </w:p>
        </w:tc>
        <w:tc>
          <w:tcPr>
            <w:tcW w:w="404" w:type="pct"/>
          </w:tcPr>
          <w:p w14:paraId="01206556"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0</w:t>
            </w:r>
          </w:p>
        </w:tc>
      </w:tr>
      <w:tr w:rsidR="00742C80" w:rsidRPr="00157A11" w14:paraId="15411884" w14:textId="77777777" w:rsidTr="00A74788">
        <w:trPr>
          <w:tblHeader/>
          <w:jc w:val="center"/>
        </w:trPr>
        <w:tc>
          <w:tcPr>
            <w:tcW w:w="688" w:type="pct"/>
          </w:tcPr>
          <w:p w14:paraId="64CCD124" w14:textId="77777777" w:rsidR="00742C80" w:rsidRPr="00157A11" w:rsidRDefault="00742C80" w:rsidP="00645BC9">
            <w:pPr>
              <w:autoSpaceDE w:val="0"/>
              <w:autoSpaceDN w:val="0"/>
              <w:adjustRightInd w:val="0"/>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2015 à 2016</w:t>
            </w:r>
          </w:p>
        </w:tc>
        <w:tc>
          <w:tcPr>
            <w:tcW w:w="1330" w:type="pct"/>
          </w:tcPr>
          <w:p w14:paraId="2080343D"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6</w:t>
            </w:r>
          </w:p>
        </w:tc>
        <w:tc>
          <w:tcPr>
            <w:tcW w:w="1428" w:type="pct"/>
          </w:tcPr>
          <w:p w14:paraId="7160B9AF"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0</w:t>
            </w:r>
          </w:p>
        </w:tc>
        <w:tc>
          <w:tcPr>
            <w:tcW w:w="1150" w:type="pct"/>
          </w:tcPr>
          <w:p w14:paraId="26C07140"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0</w:t>
            </w:r>
          </w:p>
        </w:tc>
        <w:tc>
          <w:tcPr>
            <w:tcW w:w="404" w:type="pct"/>
          </w:tcPr>
          <w:p w14:paraId="3FC575B3"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6</w:t>
            </w:r>
          </w:p>
        </w:tc>
      </w:tr>
      <w:tr w:rsidR="00742C80" w:rsidRPr="00157A11" w14:paraId="58F760CB" w14:textId="77777777" w:rsidTr="00A74788">
        <w:trPr>
          <w:tblHeader/>
          <w:jc w:val="center"/>
        </w:trPr>
        <w:tc>
          <w:tcPr>
            <w:tcW w:w="688" w:type="pct"/>
          </w:tcPr>
          <w:p w14:paraId="7D56342D" w14:textId="77777777" w:rsidR="00742C80" w:rsidRPr="00157A11" w:rsidRDefault="00742C80" w:rsidP="00645BC9">
            <w:pPr>
              <w:autoSpaceDE w:val="0"/>
              <w:autoSpaceDN w:val="0"/>
              <w:adjustRightInd w:val="0"/>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2016 à 2017</w:t>
            </w:r>
          </w:p>
        </w:tc>
        <w:tc>
          <w:tcPr>
            <w:tcW w:w="1330" w:type="pct"/>
          </w:tcPr>
          <w:p w14:paraId="6F1C9356"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8</w:t>
            </w:r>
          </w:p>
        </w:tc>
        <w:tc>
          <w:tcPr>
            <w:tcW w:w="1428" w:type="pct"/>
          </w:tcPr>
          <w:p w14:paraId="364D4726"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0</w:t>
            </w:r>
          </w:p>
        </w:tc>
        <w:tc>
          <w:tcPr>
            <w:tcW w:w="1150" w:type="pct"/>
          </w:tcPr>
          <w:p w14:paraId="4DAF4EDA"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1</w:t>
            </w:r>
          </w:p>
        </w:tc>
        <w:tc>
          <w:tcPr>
            <w:tcW w:w="404" w:type="pct"/>
          </w:tcPr>
          <w:p w14:paraId="5970D710"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9</w:t>
            </w:r>
          </w:p>
        </w:tc>
      </w:tr>
      <w:tr w:rsidR="00742C80" w:rsidRPr="00157A11" w14:paraId="6F0DFF16" w14:textId="77777777" w:rsidTr="00A74788">
        <w:trPr>
          <w:tblHeader/>
          <w:jc w:val="center"/>
        </w:trPr>
        <w:tc>
          <w:tcPr>
            <w:tcW w:w="688" w:type="pct"/>
          </w:tcPr>
          <w:p w14:paraId="25493FBD" w14:textId="77777777" w:rsidR="00742C80" w:rsidRPr="00157A11" w:rsidRDefault="00742C80" w:rsidP="00645BC9">
            <w:pPr>
              <w:autoSpaceDE w:val="0"/>
              <w:autoSpaceDN w:val="0"/>
              <w:adjustRightInd w:val="0"/>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2017 à 2018</w:t>
            </w:r>
          </w:p>
        </w:tc>
        <w:tc>
          <w:tcPr>
            <w:tcW w:w="1330" w:type="pct"/>
          </w:tcPr>
          <w:p w14:paraId="061EF008"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12</w:t>
            </w:r>
          </w:p>
        </w:tc>
        <w:tc>
          <w:tcPr>
            <w:tcW w:w="1428" w:type="pct"/>
          </w:tcPr>
          <w:p w14:paraId="6BEB297D"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1</w:t>
            </w:r>
          </w:p>
        </w:tc>
        <w:tc>
          <w:tcPr>
            <w:tcW w:w="1150" w:type="pct"/>
          </w:tcPr>
          <w:p w14:paraId="37A37E4C"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1</w:t>
            </w:r>
          </w:p>
        </w:tc>
        <w:tc>
          <w:tcPr>
            <w:tcW w:w="404" w:type="pct"/>
          </w:tcPr>
          <w:p w14:paraId="1630F404"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14</w:t>
            </w:r>
          </w:p>
        </w:tc>
      </w:tr>
      <w:tr w:rsidR="00742C80" w:rsidRPr="00157A11" w14:paraId="1089A40D" w14:textId="77777777" w:rsidTr="00A74788">
        <w:trPr>
          <w:tblHeader/>
          <w:jc w:val="center"/>
        </w:trPr>
        <w:tc>
          <w:tcPr>
            <w:tcW w:w="688" w:type="pct"/>
          </w:tcPr>
          <w:p w14:paraId="06FFF3B2" w14:textId="77777777" w:rsidR="00742C80" w:rsidRPr="00157A11" w:rsidRDefault="00742C80" w:rsidP="00645BC9">
            <w:pPr>
              <w:autoSpaceDE w:val="0"/>
              <w:autoSpaceDN w:val="0"/>
              <w:adjustRightInd w:val="0"/>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2018 à 2019</w:t>
            </w:r>
          </w:p>
        </w:tc>
        <w:tc>
          <w:tcPr>
            <w:tcW w:w="1330" w:type="pct"/>
          </w:tcPr>
          <w:p w14:paraId="24349B27"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9</w:t>
            </w:r>
          </w:p>
        </w:tc>
        <w:tc>
          <w:tcPr>
            <w:tcW w:w="1428" w:type="pct"/>
          </w:tcPr>
          <w:p w14:paraId="1130F672"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4</w:t>
            </w:r>
          </w:p>
        </w:tc>
        <w:tc>
          <w:tcPr>
            <w:tcW w:w="1150" w:type="pct"/>
          </w:tcPr>
          <w:p w14:paraId="1E6B2DA3"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1</w:t>
            </w:r>
          </w:p>
        </w:tc>
        <w:tc>
          <w:tcPr>
            <w:tcW w:w="404" w:type="pct"/>
          </w:tcPr>
          <w:p w14:paraId="10C27EDD" w14:textId="77777777" w:rsidR="00742C80" w:rsidRPr="00157A11" w:rsidRDefault="00742C80" w:rsidP="00645BC9">
            <w:pPr>
              <w:autoSpaceDE w:val="0"/>
              <w:autoSpaceDN w:val="0"/>
              <w:adjustRightInd w:val="0"/>
              <w:jc w:val="center"/>
              <w:rPr>
                <w:rFonts w:asciiTheme="minorHAnsi" w:hAnsiTheme="minorHAnsi" w:cstheme="minorHAnsi"/>
                <w:color w:val="000000"/>
                <w:sz w:val="22"/>
                <w:szCs w:val="24"/>
                <w:lang w:val="fr-CA"/>
              </w:rPr>
            </w:pPr>
            <w:r w:rsidRPr="00157A11">
              <w:rPr>
                <w:rFonts w:asciiTheme="minorHAnsi" w:hAnsiTheme="minorHAnsi" w:cstheme="minorHAnsi"/>
                <w:color w:val="000000"/>
                <w:sz w:val="22"/>
                <w:szCs w:val="24"/>
                <w:lang w:val="fr-CA"/>
              </w:rPr>
              <w:t>14</w:t>
            </w:r>
          </w:p>
        </w:tc>
      </w:tr>
    </w:tbl>
    <w:p w14:paraId="0B67504E" w14:textId="77777777" w:rsidR="00ED685A" w:rsidRPr="00157A11" w:rsidRDefault="00ED685A" w:rsidP="00E01E51">
      <w:pPr>
        <w:rPr>
          <w:lang w:val="fr-CA"/>
        </w:rPr>
      </w:pPr>
    </w:p>
    <w:p w14:paraId="1580820D" w14:textId="77777777" w:rsidR="00ED685A" w:rsidRPr="00157A11" w:rsidRDefault="00ED685A" w:rsidP="00E01E51">
      <w:pPr>
        <w:rPr>
          <w:lang w:val="fr-CA"/>
        </w:rPr>
        <w:sectPr w:rsidR="00ED685A" w:rsidRPr="00157A11" w:rsidSect="007E486E">
          <w:pgSz w:w="15840" w:h="12240" w:orient="landscape"/>
          <w:pgMar w:top="720" w:right="720" w:bottom="720" w:left="720" w:header="283" w:footer="170" w:gutter="0"/>
          <w:cols w:space="708"/>
          <w:titlePg/>
          <w:docGrid w:linePitch="360"/>
        </w:sectPr>
      </w:pPr>
    </w:p>
    <w:p w14:paraId="7E09EBA9" w14:textId="77777777" w:rsidR="00FA57A3" w:rsidRPr="00157A11" w:rsidRDefault="00FA57A3" w:rsidP="00FA57A3">
      <w:pPr>
        <w:pStyle w:val="Heading1"/>
        <w:spacing w:before="120" w:after="120"/>
        <w:rPr>
          <w:sz w:val="40"/>
          <w:lang w:val="fr-CA"/>
        </w:rPr>
      </w:pPr>
      <w:r w:rsidRPr="00157A11">
        <w:rPr>
          <w:rFonts w:eastAsia="Times New Roman"/>
          <w:sz w:val="40"/>
          <w:lang w:val="fr-CA"/>
        </w:rPr>
        <w:lastRenderedPageBreak/>
        <w:t>Activités d'embauche externe pour une période indéterminée et d'une durée déterminée : Programme de recrutement postsecondaire et embauche d'anciens étudiants</w:t>
      </w:r>
    </w:p>
    <w:p w14:paraId="5DA2A269" w14:textId="77777777" w:rsidR="007059B2" w:rsidRPr="00157A11" w:rsidRDefault="00ED685A" w:rsidP="007059B2">
      <w:pPr>
        <w:keepNext/>
        <w:jc w:val="center"/>
        <w:rPr>
          <w:lang w:val="fr-CA"/>
        </w:rPr>
      </w:pPr>
      <w:r w:rsidRPr="00157A11">
        <w:rPr>
          <w:noProof/>
          <w:lang w:val="en-CA" w:eastAsia="en-CA"/>
        </w:rPr>
        <w:drawing>
          <wp:inline distT="0" distB="0" distL="0" distR="0" wp14:anchorId="19E27383" wp14:editId="1F76261C">
            <wp:extent cx="5648400" cy="3049200"/>
            <wp:effectExtent l="0" t="0" r="9525" b="18415"/>
            <wp:docPr id="2" name="Chart 2" descr="Activités d'embauche externe pour une période indéterminée et d'une durée déterminée : Programme de recrutement postsecondaire et embauche d'anciens étudiants&#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33D8543" w14:textId="77777777" w:rsidR="00ED685A" w:rsidRPr="00157A11" w:rsidRDefault="007059B2" w:rsidP="007059B2">
      <w:pPr>
        <w:pStyle w:val="Caption"/>
        <w:spacing w:after="0"/>
        <w:jc w:val="center"/>
        <w:rPr>
          <w:rFonts w:asciiTheme="minorHAnsi" w:hAnsiTheme="minorHAnsi" w:cstheme="minorHAnsi"/>
          <w:i w:val="0"/>
          <w:color w:val="auto"/>
          <w:lang w:val="fr-CA"/>
        </w:rPr>
      </w:pPr>
      <w:r w:rsidRPr="00157A11">
        <w:rPr>
          <w:rFonts w:asciiTheme="minorHAnsi" w:hAnsiTheme="minorHAnsi" w:cstheme="minorHAnsi"/>
          <w:i w:val="0"/>
          <w:color w:val="auto"/>
          <w:lang w:val="fr-CA"/>
        </w:rPr>
        <w:t xml:space="preserve">Figure </w:t>
      </w:r>
      <w:r w:rsidRPr="00157A11">
        <w:rPr>
          <w:rFonts w:asciiTheme="minorHAnsi" w:hAnsiTheme="minorHAnsi" w:cstheme="minorHAnsi"/>
          <w:i w:val="0"/>
          <w:color w:val="auto"/>
          <w:lang w:val="fr-CA"/>
        </w:rPr>
        <w:fldChar w:fldCharType="begin"/>
      </w:r>
      <w:r w:rsidRPr="00157A11">
        <w:rPr>
          <w:rFonts w:asciiTheme="minorHAnsi" w:hAnsiTheme="minorHAnsi" w:cstheme="minorHAnsi"/>
          <w:i w:val="0"/>
          <w:color w:val="auto"/>
          <w:lang w:val="fr-CA"/>
        </w:rPr>
        <w:instrText xml:space="preserve"> SEQ Figure \* ARABIC </w:instrText>
      </w:r>
      <w:r w:rsidRPr="00157A11">
        <w:rPr>
          <w:rFonts w:asciiTheme="minorHAnsi" w:hAnsiTheme="minorHAnsi" w:cstheme="minorHAnsi"/>
          <w:i w:val="0"/>
          <w:color w:val="auto"/>
          <w:lang w:val="fr-CA"/>
        </w:rPr>
        <w:fldChar w:fldCharType="separate"/>
      </w:r>
      <w:r w:rsidR="00973FED" w:rsidRPr="00157A11">
        <w:rPr>
          <w:rFonts w:asciiTheme="minorHAnsi" w:hAnsiTheme="minorHAnsi" w:cstheme="minorHAnsi"/>
          <w:i w:val="0"/>
          <w:noProof/>
          <w:color w:val="auto"/>
          <w:lang w:val="fr-CA"/>
        </w:rPr>
        <w:t>11</w:t>
      </w:r>
      <w:r w:rsidRPr="00157A11">
        <w:rPr>
          <w:rFonts w:asciiTheme="minorHAnsi" w:hAnsiTheme="minorHAnsi" w:cstheme="minorHAnsi"/>
          <w:i w:val="0"/>
          <w:color w:val="auto"/>
          <w:lang w:val="fr-CA"/>
        </w:rPr>
        <w:fldChar w:fldCharType="end"/>
      </w:r>
      <w:r w:rsidRPr="00157A11">
        <w:rPr>
          <w:rFonts w:asciiTheme="minorHAnsi" w:hAnsiTheme="minorHAnsi" w:cstheme="minorHAnsi"/>
          <w:i w:val="0"/>
          <w:color w:val="auto"/>
          <w:lang w:val="fr-CA"/>
        </w:rPr>
        <w:t xml:space="preserve"> - Activités d'embauche externe pour une période indéterminée et d'une durée déterminée : Programme de recrutement postsecondaire et embauche d'anciens étudiants</w:t>
      </w:r>
    </w:p>
    <w:p w14:paraId="2A2E437E" w14:textId="77777777" w:rsidR="007059B2" w:rsidRPr="00157A11" w:rsidRDefault="007059B2" w:rsidP="007059B2">
      <w:pPr>
        <w:pStyle w:val="Caption"/>
        <w:keepNext/>
        <w:spacing w:before="240" w:after="0"/>
        <w:jc w:val="center"/>
        <w:rPr>
          <w:rFonts w:asciiTheme="minorHAnsi" w:hAnsiTheme="minorHAnsi" w:cstheme="minorHAnsi"/>
          <w:i w:val="0"/>
          <w:color w:val="auto"/>
          <w:lang w:val="fr-CA"/>
        </w:rPr>
      </w:pPr>
      <w:r w:rsidRPr="00157A11">
        <w:rPr>
          <w:rFonts w:asciiTheme="minorHAnsi" w:hAnsiTheme="minorHAnsi" w:cstheme="minorHAnsi"/>
          <w:i w:val="0"/>
          <w:color w:val="auto"/>
          <w:lang w:val="fr-CA"/>
        </w:rPr>
        <w:t xml:space="preserve">Table </w:t>
      </w:r>
      <w:r w:rsidRPr="00157A11">
        <w:rPr>
          <w:rFonts w:asciiTheme="minorHAnsi" w:hAnsiTheme="minorHAnsi" w:cstheme="minorHAnsi"/>
          <w:i w:val="0"/>
          <w:color w:val="auto"/>
          <w:lang w:val="fr-CA"/>
        </w:rPr>
        <w:fldChar w:fldCharType="begin"/>
      </w:r>
      <w:r w:rsidRPr="00157A11">
        <w:rPr>
          <w:rFonts w:asciiTheme="minorHAnsi" w:hAnsiTheme="minorHAnsi" w:cstheme="minorHAnsi"/>
          <w:i w:val="0"/>
          <w:color w:val="auto"/>
          <w:lang w:val="fr-CA"/>
        </w:rPr>
        <w:instrText xml:space="preserve"> SEQ Table \* ARABIC </w:instrText>
      </w:r>
      <w:r w:rsidRPr="00157A11">
        <w:rPr>
          <w:rFonts w:asciiTheme="minorHAnsi" w:hAnsiTheme="minorHAnsi" w:cstheme="minorHAnsi"/>
          <w:i w:val="0"/>
          <w:color w:val="auto"/>
          <w:lang w:val="fr-CA"/>
        </w:rPr>
        <w:fldChar w:fldCharType="separate"/>
      </w:r>
      <w:r w:rsidR="00025079">
        <w:rPr>
          <w:rFonts w:asciiTheme="minorHAnsi" w:hAnsiTheme="minorHAnsi" w:cstheme="minorHAnsi"/>
          <w:i w:val="0"/>
          <w:noProof/>
          <w:color w:val="auto"/>
          <w:lang w:val="fr-CA"/>
        </w:rPr>
        <w:t>12</w:t>
      </w:r>
      <w:r w:rsidRPr="00157A11">
        <w:rPr>
          <w:rFonts w:asciiTheme="minorHAnsi" w:hAnsiTheme="minorHAnsi" w:cstheme="minorHAnsi"/>
          <w:i w:val="0"/>
          <w:color w:val="auto"/>
          <w:lang w:val="fr-CA"/>
        </w:rPr>
        <w:fldChar w:fldCharType="end"/>
      </w:r>
      <w:r w:rsidRPr="00157A11">
        <w:rPr>
          <w:rFonts w:asciiTheme="minorHAnsi" w:hAnsiTheme="minorHAnsi" w:cstheme="minorHAnsi"/>
          <w:i w:val="0"/>
          <w:color w:val="auto"/>
          <w:lang w:val="fr-CA"/>
        </w:rPr>
        <w:t xml:space="preserve"> - Activités d'embauche externe pour une période indéterminée et d'une durée déterminée : Programme de recrutement postsecondaire et embauche d'anciens étudiants selon l’exercice financier</w:t>
      </w:r>
    </w:p>
    <w:tbl>
      <w:tblPr>
        <w:tblStyle w:val="TableGrid"/>
        <w:tblW w:w="5000" w:type="pct"/>
        <w:jc w:val="center"/>
        <w:tblLook w:val="0020" w:firstRow="1" w:lastRow="0" w:firstColumn="0" w:lastColumn="0" w:noHBand="0" w:noVBand="0"/>
        <w:tblDescription w:val="Programme de recrutement postsecondaire et embauche d'anciens étudiants&#10;"/>
      </w:tblPr>
      <w:tblGrid>
        <w:gridCol w:w="2507"/>
        <w:gridCol w:w="6277"/>
        <w:gridCol w:w="5606"/>
      </w:tblGrid>
      <w:tr w:rsidR="00742C80" w:rsidRPr="00157A11" w14:paraId="2633EACF" w14:textId="77777777" w:rsidTr="00A74788">
        <w:trPr>
          <w:cantSplit/>
          <w:tblHeader/>
          <w:jc w:val="center"/>
        </w:trPr>
        <w:tc>
          <w:tcPr>
            <w:tcW w:w="871" w:type="pct"/>
          </w:tcPr>
          <w:p w14:paraId="4BDFFEAE" w14:textId="77777777" w:rsidR="00742C80" w:rsidRPr="00157A11" w:rsidRDefault="00742C80" w:rsidP="007059B2">
            <w:pPr>
              <w:pStyle w:val="TableTitle"/>
              <w:rPr>
                <w:lang w:val="fr-CA"/>
              </w:rPr>
            </w:pPr>
            <w:r w:rsidRPr="00157A11">
              <w:rPr>
                <w:lang w:val="fr-CA"/>
              </w:rPr>
              <w:t>Exercice financier</w:t>
            </w:r>
          </w:p>
        </w:tc>
        <w:tc>
          <w:tcPr>
            <w:tcW w:w="2181" w:type="pct"/>
          </w:tcPr>
          <w:p w14:paraId="6B3A451B" w14:textId="77777777" w:rsidR="00742C80" w:rsidRPr="00157A11" w:rsidRDefault="00742C80" w:rsidP="007059B2">
            <w:pPr>
              <w:pStyle w:val="TableTitle"/>
              <w:rPr>
                <w:lang w:val="fr-CA"/>
              </w:rPr>
            </w:pPr>
            <w:r w:rsidRPr="00157A11">
              <w:rPr>
                <w:lang w:val="fr-CA"/>
              </w:rPr>
              <w:t>Embauche du programme de recrutement postsecondaire</w:t>
            </w:r>
          </w:p>
        </w:tc>
        <w:tc>
          <w:tcPr>
            <w:tcW w:w="1948" w:type="pct"/>
          </w:tcPr>
          <w:p w14:paraId="357A0C3A" w14:textId="77777777" w:rsidR="00742C80" w:rsidRPr="00157A11" w:rsidRDefault="00742C80" w:rsidP="007059B2">
            <w:pPr>
              <w:pStyle w:val="TableTitle"/>
              <w:rPr>
                <w:lang w:val="fr-CA"/>
              </w:rPr>
            </w:pPr>
            <w:r w:rsidRPr="00157A11">
              <w:rPr>
                <w:lang w:val="fr-CA"/>
              </w:rPr>
              <w:t>Embauche d’anciens étudiants</w:t>
            </w:r>
          </w:p>
        </w:tc>
      </w:tr>
      <w:tr w:rsidR="007059B2" w:rsidRPr="00157A11" w14:paraId="34E7511C" w14:textId="77777777" w:rsidTr="00A74788">
        <w:trPr>
          <w:cantSplit/>
          <w:tblHeader/>
          <w:jc w:val="center"/>
        </w:trPr>
        <w:tc>
          <w:tcPr>
            <w:tcW w:w="871" w:type="pct"/>
          </w:tcPr>
          <w:p w14:paraId="30C3C398" w14:textId="77777777" w:rsidR="00742C80" w:rsidRPr="00157A11" w:rsidRDefault="00742C80" w:rsidP="00645BC9">
            <w:pPr>
              <w:autoSpaceDE w:val="0"/>
              <w:autoSpaceDN w:val="0"/>
              <w:adjustRightInd w:val="0"/>
              <w:rPr>
                <w:rFonts w:asciiTheme="minorHAnsi" w:hAnsiTheme="minorHAnsi" w:cstheme="minorHAnsi"/>
                <w:sz w:val="22"/>
                <w:szCs w:val="24"/>
                <w:lang w:val="fr-CA"/>
              </w:rPr>
            </w:pPr>
            <w:r w:rsidRPr="00157A11">
              <w:rPr>
                <w:rFonts w:asciiTheme="minorHAnsi" w:hAnsiTheme="minorHAnsi" w:cstheme="minorHAnsi"/>
                <w:sz w:val="22"/>
                <w:szCs w:val="24"/>
                <w:lang w:val="fr-CA"/>
              </w:rPr>
              <w:t>2014 à 2015</w:t>
            </w:r>
          </w:p>
        </w:tc>
        <w:tc>
          <w:tcPr>
            <w:tcW w:w="2181" w:type="pct"/>
          </w:tcPr>
          <w:p w14:paraId="61336121"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1</w:t>
            </w:r>
          </w:p>
        </w:tc>
        <w:tc>
          <w:tcPr>
            <w:tcW w:w="1948" w:type="pct"/>
          </w:tcPr>
          <w:p w14:paraId="0B2210B3"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0</w:t>
            </w:r>
          </w:p>
        </w:tc>
      </w:tr>
      <w:tr w:rsidR="007059B2" w:rsidRPr="00157A11" w14:paraId="30634273" w14:textId="77777777" w:rsidTr="00A74788">
        <w:trPr>
          <w:cantSplit/>
          <w:tblHeader/>
          <w:jc w:val="center"/>
        </w:trPr>
        <w:tc>
          <w:tcPr>
            <w:tcW w:w="871" w:type="pct"/>
          </w:tcPr>
          <w:p w14:paraId="291F6DD9" w14:textId="77777777" w:rsidR="00742C80" w:rsidRPr="00157A11" w:rsidRDefault="00742C80" w:rsidP="00645BC9">
            <w:pPr>
              <w:autoSpaceDE w:val="0"/>
              <w:autoSpaceDN w:val="0"/>
              <w:adjustRightInd w:val="0"/>
              <w:rPr>
                <w:rFonts w:asciiTheme="minorHAnsi" w:hAnsiTheme="minorHAnsi" w:cstheme="minorHAnsi"/>
                <w:sz w:val="22"/>
                <w:szCs w:val="24"/>
                <w:lang w:val="fr-CA"/>
              </w:rPr>
            </w:pPr>
            <w:r w:rsidRPr="00157A11">
              <w:rPr>
                <w:rFonts w:asciiTheme="minorHAnsi" w:hAnsiTheme="minorHAnsi" w:cstheme="minorHAnsi"/>
                <w:sz w:val="22"/>
                <w:szCs w:val="24"/>
                <w:lang w:val="fr-CA"/>
              </w:rPr>
              <w:t>2015 à 2016</w:t>
            </w:r>
          </w:p>
        </w:tc>
        <w:tc>
          <w:tcPr>
            <w:tcW w:w="2181" w:type="pct"/>
          </w:tcPr>
          <w:p w14:paraId="35C5ED08"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1</w:t>
            </w:r>
          </w:p>
        </w:tc>
        <w:tc>
          <w:tcPr>
            <w:tcW w:w="1948" w:type="pct"/>
          </w:tcPr>
          <w:p w14:paraId="05232586"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2</w:t>
            </w:r>
          </w:p>
        </w:tc>
      </w:tr>
      <w:tr w:rsidR="007059B2" w:rsidRPr="00157A11" w14:paraId="3C40420E" w14:textId="77777777" w:rsidTr="00A74788">
        <w:trPr>
          <w:cantSplit/>
          <w:tblHeader/>
          <w:jc w:val="center"/>
        </w:trPr>
        <w:tc>
          <w:tcPr>
            <w:tcW w:w="871" w:type="pct"/>
          </w:tcPr>
          <w:p w14:paraId="6AF8F52A" w14:textId="77777777" w:rsidR="00742C80" w:rsidRPr="00157A11" w:rsidRDefault="00742C80" w:rsidP="00645BC9">
            <w:pPr>
              <w:autoSpaceDE w:val="0"/>
              <w:autoSpaceDN w:val="0"/>
              <w:adjustRightInd w:val="0"/>
              <w:rPr>
                <w:rFonts w:asciiTheme="minorHAnsi" w:hAnsiTheme="minorHAnsi" w:cstheme="minorHAnsi"/>
                <w:sz w:val="22"/>
                <w:szCs w:val="24"/>
                <w:lang w:val="fr-CA"/>
              </w:rPr>
            </w:pPr>
            <w:r w:rsidRPr="00157A11">
              <w:rPr>
                <w:rFonts w:asciiTheme="minorHAnsi" w:hAnsiTheme="minorHAnsi" w:cstheme="minorHAnsi"/>
                <w:sz w:val="22"/>
                <w:szCs w:val="24"/>
                <w:lang w:val="fr-CA"/>
              </w:rPr>
              <w:t>2016 à 2017</w:t>
            </w:r>
          </w:p>
        </w:tc>
        <w:tc>
          <w:tcPr>
            <w:tcW w:w="2181" w:type="pct"/>
          </w:tcPr>
          <w:p w14:paraId="6BE23FB8"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1</w:t>
            </w:r>
          </w:p>
        </w:tc>
        <w:tc>
          <w:tcPr>
            <w:tcW w:w="1948" w:type="pct"/>
          </w:tcPr>
          <w:p w14:paraId="61B37299"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3</w:t>
            </w:r>
          </w:p>
        </w:tc>
      </w:tr>
      <w:tr w:rsidR="007059B2" w:rsidRPr="00157A11" w14:paraId="6799DFC9" w14:textId="77777777" w:rsidTr="00A74788">
        <w:trPr>
          <w:cantSplit/>
          <w:tblHeader/>
          <w:jc w:val="center"/>
        </w:trPr>
        <w:tc>
          <w:tcPr>
            <w:tcW w:w="871" w:type="pct"/>
          </w:tcPr>
          <w:p w14:paraId="0832F133" w14:textId="77777777" w:rsidR="00742C80" w:rsidRPr="00157A11" w:rsidRDefault="00742C80" w:rsidP="00645BC9">
            <w:pPr>
              <w:autoSpaceDE w:val="0"/>
              <w:autoSpaceDN w:val="0"/>
              <w:adjustRightInd w:val="0"/>
              <w:rPr>
                <w:rFonts w:asciiTheme="minorHAnsi" w:hAnsiTheme="minorHAnsi" w:cstheme="minorHAnsi"/>
                <w:sz w:val="22"/>
                <w:szCs w:val="24"/>
                <w:lang w:val="fr-CA"/>
              </w:rPr>
            </w:pPr>
            <w:r w:rsidRPr="00157A11">
              <w:rPr>
                <w:rFonts w:asciiTheme="minorHAnsi" w:hAnsiTheme="minorHAnsi" w:cstheme="minorHAnsi"/>
                <w:sz w:val="22"/>
                <w:szCs w:val="24"/>
                <w:lang w:val="fr-CA"/>
              </w:rPr>
              <w:t>2017 à 2018</w:t>
            </w:r>
          </w:p>
        </w:tc>
        <w:tc>
          <w:tcPr>
            <w:tcW w:w="2181" w:type="pct"/>
          </w:tcPr>
          <w:p w14:paraId="255BEA66"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0</w:t>
            </w:r>
          </w:p>
        </w:tc>
        <w:tc>
          <w:tcPr>
            <w:tcW w:w="1948" w:type="pct"/>
          </w:tcPr>
          <w:p w14:paraId="523C1FB9"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3</w:t>
            </w:r>
          </w:p>
        </w:tc>
      </w:tr>
      <w:tr w:rsidR="007059B2" w:rsidRPr="00157A11" w14:paraId="5F384076" w14:textId="77777777" w:rsidTr="00A74788">
        <w:trPr>
          <w:cantSplit/>
          <w:tblHeader/>
          <w:jc w:val="center"/>
        </w:trPr>
        <w:tc>
          <w:tcPr>
            <w:tcW w:w="871" w:type="pct"/>
          </w:tcPr>
          <w:p w14:paraId="152B0B39" w14:textId="77777777" w:rsidR="00742C80" w:rsidRPr="00157A11" w:rsidRDefault="00742C80" w:rsidP="00645BC9">
            <w:pPr>
              <w:autoSpaceDE w:val="0"/>
              <w:autoSpaceDN w:val="0"/>
              <w:adjustRightInd w:val="0"/>
              <w:rPr>
                <w:rFonts w:asciiTheme="minorHAnsi" w:hAnsiTheme="minorHAnsi" w:cstheme="minorHAnsi"/>
                <w:sz w:val="22"/>
                <w:szCs w:val="24"/>
                <w:lang w:val="fr-CA"/>
              </w:rPr>
            </w:pPr>
            <w:r w:rsidRPr="00157A11">
              <w:rPr>
                <w:rFonts w:asciiTheme="minorHAnsi" w:hAnsiTheme="minorHAnsi" w:cstheme="minorHAnsi"/>
                <w:sz w:val="22"/>
                <w:szCs w:val="24"/>
                <w:lang w:val="fr-CA"/>
              </w:rPr>
              <w:t>2018 à 2019</w:t>
            </w:r>
          </w:p>
        </w:tc>
        <w:tc>
          <w:tcPr>
            <w:tcW w:w="2181" w:type="pct"/>
          </w:tcPr>
          <w:p w14:paraId="2F5A3E15"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0</w:t>
            </w:r>
          </w:p>
        </w:tc>
        <w:tc>
          <w:tcPr>
            <w:tcW w:w="1948" w:type="pct"/>
          </w:tcPr>
          <w:p w14:paraId="340C8432" w14:textId="77777777" w:rsidR="00742C80" w:rsidRPr="00157A11" w:rsidRDefault="00742C80" w:rsidP="00645BC9">
            <w:pPr>
              <w:autoSpaceDE w:val="0"/>
              <w:autoSpaceDN w:val="0"/>
              <w:adjustRightInd w:val="0"/>
              <w:jc w:val="center"/>
              <w:rPr>
                <w:rFonts w:asciiTheme="minorHAnsi" w:hAnsiTheme="minorHAnsi" w:cstheme="minorHAnsi"/>
                <w:sz w:val="22"/>
                <w:szCs w:val="24"/>
                <w:lang w:val="fr-CA"/>
              </w:rPr>
            </w:pPr>
            <w:r w:rsidRPr="00157A11">
              <w:rPr>
                <w:rFonts w:asciiTheme="minorHAnsi" w:hAnsiTheme="minorHAnsi" w:cstheme="minorHAnsi"/>
                <w:sz w:val="22"/>
                <w:szCs w:val="24"/>
                <w:lang w:val="fr-CA"/>
              </w:rPr>
              <w:t>3</w:t>
            </w:r>
          </w:p>
        </w:tc>
      </w:tr>
    </w:tbl>
    <w:p w14:paraId="0C0DE7F4" w14:textId="77777777" w:rsidR="00ED685A" w:rsidRPr="00157A11" w:rsidRDefault="00742C80" w:rsidP="00E01E51">
      <w:pPr>
        <w:rPr>
          <w:rFonts w:asciiTheme="minorHAnsi" w:hAnsiTheme="minorHAnsi" w:cstheme="minorHAnsi"/>
          <w:sz w:val="22"/>
          <w:lang w:val="fr-CA"/>
        </w:rPr>
      </w:pPr>
      <w:r w:rsidRPr="00157A11">
        <w:rPr>
          <w:rFonts w:asciiTheme="minorHAnsi" w:hAnsiTheme="minorHAnsi" w:cstheme="minorHAnsi"/>
          <w:sz w:val="22"/>
          <w:szCs w:val="24"/>
          <w:lang w:val="fr-CA"/>
        </w:rPr>
        <w:t>L’embauche des anciens étudiants qui avaient une expérience dans le programme fédéral de recrutement étudiant au cours des 10 dernières années.</w:t>
      </w:r>
    </w:p>
    <w:p w14:paraId="0C884380" w14:textId="77777777" w:rsidR="00ED685A" w:rsidRPr="00157A11" w:rsidRDefault="00ED685A" w:rsidP="00E01E51">
      <w:pPr>
        <w:rPr>
          <w:lang w:val="fr-CA"/>
        </w:rPr>
      </w:pPr>
    </w:p>
    <w:p w14:paraId="62924064" w14:textId="77777777" w:rsidR="00742C80" w:rsidRPr="00157A11" w:rsidRDefault="00742C80" w:rsidP="00E01E51">
      <w:pPr>
        <w:rPr>
          <w:lang w:val="fr-CA"/>
        </w:rPr>
        <w:sectPr w:rsidR="00742C80" w:rsidRPr="00157A11" w:rsidSect="007E486E">
          <w:pgSz w:w="15840" w:h="12240" w:orient="landscape"/>
          <w:pgMar w:top="720" w:right="720" w:bottom="720" w:left="720" w:header="283" w:footer="170" w:gutter="0"/>
          <w:cols w:space="708"/>
          <w:titlePg/>
          <w:docGrid w:linePitch="360"/>
        </w:sectPr>
      </w:pPr>
    </w:p>
    <w:p w14:paraId="1FBD33B1" w14:textId="77777777" w:rsidR="00ED685A" w:rsidRPr="00157A11" w:rsidRDefault="00FA57A3" w:rsidP="00FA57A3">
      <w:pPr>
        <w:pStyle w:val="Heading1"/>
        <w:spacing w:before="120" w:after="120"/>
        <w:rPr>
          <w:sz w:val="40"/>
          <w:lang w:val="fr-CA"/>
        </w:rPr>
      </w:pPr>
      <w:r w:rsidRPr="00157A11">
        <w:rPr>
          <w:sz w:val="40"/>
          <w:lang w:val="fr-CA"/>
        </w:rPr>
        <w:lastRenderedPageBreak/>
        <w:t>Durée de dotation interne</w:t>
      </w:r>
    </w:p>
    <w:p w14:paraId="3874CE57" w14:textId="77777777" w:rsidR="00FA57A3" w:rsidRPr="00157A11" w:rsidRDefault="00E01E51" w:rsidP="00FA57A3">
      <w:pPr>
        <w:keepNext/>
        <w:rPr>
          <w:lang w:val="fr-CA"/>
        </w:rPr>
      </w:pPr>
      <w:r w:rsidRPr="00157A11">
        <w:rPr>
          <w:noProof/>
          <w:lang w:val="en-CA" w:eastAsia="en-CA"/>
        </w:rPr>
        <w:drawing>
          <wp:inline distT="0" distB="0" distL="0" distR="0" wp14:anchorId="12A0B885" wp14:editId="3AD39092">
            <wp:extent cx="5648400" cy="3049200"/>
            <wp:effectExtent l="0" t="0" r="9525" b="18415"/>
            <wp:docPr id="22" name="Chart 22" descr="Durée de dotation interne médiane pour la fonction publique = 176 jours, 2018-2019&#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FA57A3" w:rsidRPr="00157A11">
        <w:rPr>
          <w:noProof/>
          <w:lang w:val="en-CA" w:eastAsia="en-CA"/>
        </w:rPr>
        <mc:AlternateContent>
          <mc:Choice Requires="wps">
            <w:drawing>
              <wp:inline distT="0" distB="0" distL="0" distR="0" wp14:anchorId="615E0B1A" wp14:editId="6FDCCB05">
                <wp:extent cx="5648400" cy="3049200"/>
                <wp:effectExtent l="0" t="0" r="28575" b="18415"/>
                <wp:docPr id="6" name="Text Box 6" descr="Les données sont insuffisantes pour fournir des résultats sur la durée des processus de dotation interne pour le Ministère des Femmes et de l’Égalité des genres." title="Durée du processus de dotation interne pendant l’exercice financier 2018-2019 pour l'organisme concerné"/>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400" cy="3049200"/>
                        </a:xfrm>
                        <a:prstGeom prst="rect">
                          <a:avLst/>
                        </a:prstGeom>
                        <a:solidFill>
                          <a:srgbClr val="FFFFFF"/>
                        </a:solidFill>
                        <a:ln w="9525">
                          <a:solidFill>
                            <a:srgbClr val="000000"/>
                          </a:solidFill>
                          <a:miter lim="800000"/>
                          <a:headEnd/>
                          <a:tailEnd/>
                        </a:ln>
                      </wps:spPr>
                      <wps:txbx>
                        <w:txbxContent>
                          <w:p w14:paraId="2713B148" w14:textId="77777777" w:rsidR="00E5209B" w:rsidRPr="00FA57A3" w:rsidRDefault="00E5209B" w:rsidP="00FA57A3">
                            <w:pPr>
                              <w:spacing w:after="240"/>
                              <w:rPr>
                                <w:rFonts w:asciiTheme="minorHAnsi" w:hAnsiTheme="minorHAnsi" w:cstheme="minorHAnsi"/>
                                <w:sz w:val="22"/>
                                <w:szCs w:val="24"/>
                                <w:lang w:val="fr-CA"/>
                              </w:rPr>
                            </w:pPr>
                            <w:r w:rsidRPr="00FA57A3">
                              <w:rPr>
                                <w:rFonts w:asciiTheme="minorHAnsi" w:hAnsiTheme="minorHAnsi" w:cstheme="minorHAnsi"/>
                                <w:sz w:val="22"/>
                                <w:szCs w:val="24"/>
                                <w:lang w:val="fr-CA"/>
                              </w:rPr>
                              <w:t>Durée de dotation interne</w:t>
                            </w:r>
                          </w:p>
                          <w:p w14:paraId="3984EF93" w14:textId="77777777" w:rsidR="00E5209B" w:rsidRPr="00FA57A3" w:rsidRDefault="00E5209B" w:rsidP="00FA57A3">
                            <w:pPr>
                              <w:pStyle w:val="ListParagraph"/>
                              <w:ind w:left="360"/>
                              <w:rPr>
                                <w:rFonts w:asciiTheme="minorHAnsi" w:hAnsiTheme="minorHAnsi" w:cstheme="minorHAnsi"/>
                                <w:sz w:val="22"/>
                                <w:lang w:val="fr-CA"/>
                              </w:rPr>
                            </w:pPr>
                            <w:r w:rsidRPr="00FA57A3">
                              <w:rPr>
                                <w:rFonts w:asciiTheme="minorHAnsi" w:hAnsiTheme="minorHAnsi" w:cstheme="minorHAnsi"/>
                                <w:sz w:val="22"/>
                                <w:lang w:val="fr-CA"/>
                              </w:rPr>
                              <w:t>Les données sont insuffisantes pour fournir des résultats sur la durée des processus de dotation interne pour le Ministère des Femmes et de l’Égalité des genres.</w:t>
                            </w:r>
                          </w:p>
                        </w:txbxContent>
                      </wps:txbx>
                      <wps:bodyPr rot="0" vert="horz" wrap="square" lIns="91440" tIns="45720" rIns="91440" bIns="45720" anchor="t" anchorCtr="0">
                        <a:noAutofit/>
                      </wps:bodyPr>
                    </wps:wsp>
                  </a:graphicData>
                </a:graphic>
              </wp:inline>
            </w:drawing>
          </mc:Choice>
          <mc:Fallback>
            <w:pict>
              <v:shapetype w14:anchorId="615E0B1A" id="_x0000_t202" coordsize="21600,21600" o:spt="202" path="m,l,21600r21600,l21600,xe">
                <v:stroke joinstyle="miter"/>
                <v:path gradientshapeok="t" o:connecttype="rect"/>
              </v:shapetype>
              <v:shape id="Text Box 6" o:spid="_x0000_s1026" type="#_x0000_t202" alt="Title: Durée du processus de dotation interne pendant l’exercice financier 2018-2019 pour l'organisme concerné - Description: Les données sont insuffisantes pour fournir des résultats sur la durée des processus de dotation interne pour le Ministère des Femmes et de l’Égalité des genres." style="width:444.75pt;height:2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">
                <v:textbox>
                  <w:txbxContent>
                    <w:p w14:paraId="2713B148" w14:textId="77777777" w:rsidR="00E5209B" w:rsidRPr="00FA57A3" w:rsidRDefault="00E5209B" w:rsidP="00FA57A3">
                      <w:pPr>
                        <w:spacing w:after="240"/>
                        <w:rPr>
                          <w:rFonts w:asciiTheme="minorHAnsi" w:hAnsiTheme="minorHAnsi" w:cstheme="minorHAnsi"/>
                          <w:sz w:val="22"/>
                          <w:szCs w:val="24"/>
                          <w:lang w:val="fr-CA"/>
                        </w:rPr>
                      </w:pPr>
                      <w:r w:rsidRPr="00FA57A3">
                        <w:rPr>
                          <w:rFonts w:asciiTheme="minorHAnsi" w:hAnsiTheme="minorHAnsi" w:cstheme="minorHAnsi"/>
                          <w:sz w:val="22"/>
                          <w:szCs w:val="24"/>
                          <w:lang w:val="fr-CA"/>
                        </w:rPr>
                        <w:t>Durée de dotation interne</w:t>
                      </w:r>
                    </w:p>
                    <w:p w14:paraId="3984EF93" w14:textId="77777777" w:rsidR="00E5209B" w:rsidRPr="00FA57A3" w:rsidRDefault="00E5209B" w:rsidP="00FA57A3">
                      <w:pPr>
                        <w:pStyle w:val="ListParagraph"/>
                        <w:ind w:left="360"/>
                        <w:rPr>
                          <w:rFonts w:asciiTheme="minorHAnsi" w:hAnsiTheme="minorHAnsi" w:cstheme="minorHAnsi"/>
                          <w:sz w:val="22"/>
                          <w:lang w:val="fr-CA"/>
                        </w:rPr>
                      </w:pPr>
                      <w:r w:rsidRPr="00FA57A3">
                        <w:rPr>
                          <w:rFonts w:asciiTheme="minorHAnsi" w:hAnsiTheme="minorHAnsi" w:cstheme="minorHAnsi"/>
                          <w:sz w:val="22"/>
                          <w:lang w:val="fr-CA"/>
                        </w:rPr>
                        <w:t>Les données sont insuffisantes pour fournir des résultats sur la durée des processus de dotation interne pour le Ministère des Femmes et de l’Égalité des genres.</w:t>
                      </w:r>
                    </w:p>
                  </w:txbxContent>
                </v:textbox>
                <w10:anchorlock/>
              </v:shape>
            </w:pict>
          </mc:Fallback>
        </mc:AlternateContent>
      </w:r>
    </w:p>
    <w:p w14:paraId="741CAC8E" w14:textId="77777777" w:rsidR="00FA57A3" w:rsidRPr="00157A11" w:rsidRDefault="00FA57A3" w:rsidP="00025079">
      <w:pPr>
        <w:pStyle w:val="Caption"/>
        <w:spacing w:after="0"/>
        <w:rPr>
          <w:rFonts w:asciiTheme="minorHAnsi" w:hAnsiTheme="minorHAnsi" w:cstheme="minorHAnsi"/>
          <w:i w:val="0"/>
          <w:color w:val="auto"/>
          <w:lang w:val="fr-CA"/>
        </w:rPr>
      </w:pPr>
      <w:r w:rsidRPr="00157A11">
        <w:rPr>
          <w:rFonts w:asciiTheme="minorHAnsi" w:hAnsiTheme="minorHAnsi" w:cstheme="minorHAnsi"/>
          <w:i w:val="0"/>
          <w:color w:val="auto"/>
          <w:lang w:val="fr-CA"/>
        </w:rPr>
        <w:t xml:space="preserve">Figure </w:t>
      </w:r>
      <w:r w:rsidRPr="00157A11">
        <w:rPr>
          <w:rFonts w:asciiTheme="minorHAnsi" w:hAnsiTheme="minorHAnsi" w:cstheme="minorHAnsi"/>
          <w:i w:val="0"/>
          <w:color w:val="auto"/>
          <w:lang w:val="fr-CA"/>
        </w:rPr>
        <w:fldChar w:fldCharType="begin"/>
      </w:r>
      <w:r w:rsidRPr="00157A11">
        <w:rPr>
          <w:rFonts w:asciiTheme="minorHAnsi" w:hAnsiTheme="minorHAnsi" w:cstheme="minorHAnsi"/>
          <w:i w:val="0"/>
          <w:color w:val="auto"/>
          <w:lang w:val="fr-CA"/>
        </w:rPr>
        <w:instrText xml:space="preserve"> SEQ Figure \* ARABIC </w:instrText>
      </w:r>
      <w:r w:rsidRPr="00157A11">
        <w:rPr>
          <w:rFonts w:asciiTheme="minorHAnsi" w:hAnsiTheme="minorHAnsi" w:cstheme="minorHAnsi"/>
          <w:i w:val="0"/>
          <w:color w:val="auto"/>
          <w:lang w:val="fr-CA"/>
        </w:rPr>
        <w:fldChar w:fldCharType="separate"/>
      </w:r>
      <w:r w:rsidR="00973FED" w:rsidRPr="00157A11">
        <w:rPr>
          <w:rFonts w:asciiTheme="minorHAnsi" w:hAnsiTheme="minorHAnsi" w:cstheme="minorHAnsi"/>
          <w:i w:val="0"/>
          <w:noProof/>
          <w:color w:val="auto"/>
          <w:lang w:val="fr-CA"/>
        </w:rPr>
        <w:t>12</w:t>
      </w:r>
      <w:r w:rsidRPr="00157A11">
        <w:rPr>
          <w:rFonts w:asciiTheme="minorHAnsi" w:hAnsiTheme="minorHAnsi" w:cstheme="minorHAnsi"/>
          <w:i w:val="0"/>
          <w:color w:val="auto"/>
          <w:lang w:val="fr-CA"/>
        </w:rPr>
        <w:fldChar w:fldCharType="end"/>
      </w:r>
      <w:r w:rsidRPr="00157A11">
        <w:rPr>
          <w:rFonts w:asciiTheme="minorHAnsi" w:hAnsiTheme="minorHAnsi" w:cstheme="minorHAnsi"/>
          <w:i w:val="0"/>
          <w:color w:val="auto"/>
          <w:lang w:val="fr-CA"/>
        </w:rPr>
        <w:t xml:space="preserve"> - Durée de dotation interne</w:t>
      </w:r>
      <w:r w:rsidR="006362DA" w:rsidRPr="00157A11">
        <w:rPr>
          <w:rFonts w:asciiTheme="minorHAnsi" w:hAnsiTheme="minorHAnsi" w:cstheme="minorHAnsi"/>
          <w:i w:val="0"/>
          <w:color w:val="auto"/>
          <w:lang w:val="fr-CA"/>
        </w:rPr>
        <w:t xml:space="preserve"> Médiane pour la fonction publique = 176 jours, 2018-2019</w:t>
      </w:r>
    </w:p>
    <w:p w14:paraId="0B14B255" w14:textId="77777777" w:rsidR="00E01E51" w:rsidRPr="00157A11" w:rsidRDefault="00863029" w:rsidP="00025079">
      <w:pPr>
        <w:spacing w:before="240" w:after="120"/>
        <w:rPr>
          <w:rFonts w:cs="Arial"/>
          <w:lang w:val="fr-CA" w:eastAsia="en-CA"/>
        </w:rPr>
      </w:pPr>
      <w:hyperlink w:anchor="Durée_dotation_interne" w:history="1">
        <w:r w:rsidR="006362DA" w:rsidRPr="00157A11">
          <w:rPr>
            <w:rStyle w:val="Hyperlink"/>
            <w:rFonts w:asciiTheme="minorHAnsi" w:eastAsiaTheme="minorHAnsi" w:hAnsiTheme="minorHAnsi" w:cstheme="minorHAnsi"/>
            <w:sz w:val="22"/>
            <w:szCs w:val="22"/>
            <w:lang w:val="fr-CA"/>
          </w:rPr>
          <w:t>Tableau des données sur la durée de dotation interne disponible ici</w:t>
        </w:r>
      </w:hyperlink>
      <w:r w:rsidR="006362DA" w:rsidRPr="00157A11">
        <w:rPr>
          <w:rFonts w:asciiTheme="minorHAnsi" w:eastAsiaTheme="minorHAnsi" w:hAnsiTheme="minorHAnsi" w:cstheme="minorHAnsi"/>
          <w:sz w:val="22"/>
          <w:szCs w:val="22"/>
          <w:lang w:val="fr-CA"/>
        </w:rPr>
        <w:t>.</w:t>
      </w:r>
    </w:p>
    <w:p w14:paraId="340A2C57" w14:textId="77777777" w:rsidR="006362DA" w:rsidRPr="00157A11" w:rsidRDefault="006362DA" w:rsidP="00025079">
      <w:pPr>
        <w:spacing w:before="240" w:after="120"/>
        <w:contextualSpacing/>
        <w:rPr>
          <w:rFonts w:ascii="Arial" w:hAnsi="Arial" w:cs="Arial"/>
          <w:sz w:val="22"/>
          <w:szCs w:val="22"/>
          <w:lang w:val="fr-CA"/>
        </w:rPr>
        <w:sectPr w:rsidR="006362DA" w:rsidRPr="00157A11" w:rsidSect="00F466D9">
          <w:pgSz w:w="20160" w:h="12240" w:orient="landscape" w:code="5"/>
          <w:pgMar w:top="720" w:right="720" w:bottom="720" w:left="720" w:header="283" w:footer="170" w:gutter="0"/>
          <w:cols w:space="708"/>
          <w:titlePg/>
          <w:docGrid w:linePitch="360"/>
        </w:sectPr>
      </w:pPr>
    </w:p>
    <w:p w14:paraId="0553C7B2" w14:textId="77777777" w:rsidR="00F466D9" w:rsidRPr="00157A11" w:rsidRDefault="00F466D9" w:rsidP="006362DA">
      <w:pPr>
        <w:spacing w:after="120"/>
        <w:rPr>
          <w:rFonts w:asciiTheme="minorHAnsi" w:hAnsiTheme="minorHAnsi" w:cstheme="minorHAnsi"/>
          <w:sz w:val="22"/>
          <w:szCs w:val="22"/>
          <w:lang w:val="fr-CA"/>
        </w:rPr>
      </w:pPr>
      <w:r w:rsidRPr="00157A11">
        <w:rPr>
          <w:rFonts w:asciiTheme="minorHAnsi" w:hAnsiTheme="minorHAnsi" w:cstheme="minorHAnsi"/>
          <w:sz w:val="22"/>
          <w:szCs w:val="22"/>
          <w:lang w:val="fr-CA"/>
        </w:rPr>
        <w:t>La durée de dotation interne correspond au nombre de jours civils entre la date d'ouverture de l'annonce et la date de la première notification.</w:t>
      </w:r>
    </w:p>
    <w:p w14:paraId="7A20B314" w14:textId="77777777" w:rsidR="006362DA" w:rsidRPr="00157A11" w:rsidRDefault="006362DA" w:rsidP="003E00F5">
      <w:pPr>
        <w:rPr>
          <w:rFonts w:asciiTheme="minorHAnsi" w:hAnsiTheme="minorHAnsi" w:cstheme="minorHAnsi"/>
          <w:sz w:val="22"/>
          <w:szCs w:val="22"/>
          <w:lang w:val="fr-CA"/>
        </w:rPr>
      </w:pPr>
      <w:r w:rsidRPr="00157A11">
        <w:rPr>
          <w:rFonts w:asciiTheme="minorHAnsi" w:hAnsiTheme="minorHAnsi" w:cstheme="minorHAnsi"/>
          <w:sz w:val="22"/>
          <w:szCs w:val="22"/>
          <w:lang w:val="fr-CA"/>
        </w:rPr>
        <w:t xml:space="preserve">La durée médiane de dotation interne pour la fonction publique (organisations assujetties à la </w:t>
      </w:r>
      <w:r w:rsidRPr="00AA6DB1">
        <w:rPr>
          <w:rStyle w:val="Emphasis"/>
          <w:rFonts w:asciiTheme="minorHAnsi" w:hAnsiTheme="minorHAnsi" w:cstheme="minorHAnsi"/>
          <w:sz w:val="22"/>
          <w:lang w:val="fr-CA"/>
        </w:rPr>
        <w:t>Loi sur l’emploi dans la fonction publique</w:t>
      </w:r>
      <w:r w:rsidRPr="00157A11">
        <w:rPr>
          <w:rFonts w:asciiTheme="minorHAnsi" w:hAnsiTheme="minorHAnsi" w:cstheme="minorHAnsi"/>
          <w:sz w:val="22"/>
          <w:szCs w:val="22"/>
          <w:lang w:val="fr-CA"/>
        </w:rPr>
        <w:t>) pour l’exercice financier 2018 à 2019 est 176 jours</w:t>
      </w:r>
    </w:p>
    <w:p w14:paraId="5383080A" w14:textId="77777777" w:rsidR="000F63A3" w:rsidRPr="00157A11" w:rsidRDefault="000F63A3" w:rsidP="000F63A3">
      <w:pPr>
        <w:rPr>
          <w:rStyle w:val="Strong"/>
          <w:lang w:val="fr-CA"/>
        </w:rPr>
      </w:pPr>
      <w:r w:rsidRPr="00157A11">
        <w:rPr>
          <w:rStyle w:val="Strong"/>
          <w:lang w:val="fr-CA"/>
        </w:rPr>
        <w:t>Durée de dotation interne pour l’exercice financier de 2018 à 2019</w:t>
      </w:r>
    </w:p>
    <w:p w14:paraId="64D8588C" w14:textId="77777777" w:rsidR="006362DA" w:rsidRPr="00157A11" w:rsidRDefault="006362DA" w:rsidP="003E00F5">
      <w:pPr>
        <w:rPr>
          <w:rFonts w:asciiTheme="minorHAnsi" w:hAnsiTheme="minorHAnsi" w:cstheme="minorHAnsi"/>
          <w:sz w:val="22"/>
          <w:szCs w:val="22"/>
          <w:lang w:val="fr-CA"/>
        </w:rPr>
      </w:pPr>
      <w:r w:rsidRPr="00157A11">
        <w:rPr>
          <w:rFonts w:asciiTheme="minorHAnsi" w:hAnsiTheme="minorHAnsi" w:cstheme="minorHAnsi"/>
          <w:sz w:val="22"/>
          <w:szCs w:val="22"/>
          <w:lang w:val="fr-CA"/>
        </w:rPr>
        <w:t>Les données sont insuffisantes pour fournir des résultats sur la durée des processus de dotation interne pour le Ministère des Femmes et de l’Égalité des genres.</w:t>
      </w:r>
    </w:p>
    <w:p w14:paraId="5AC9E8CC" w14:textId="77777777" w:rsidR="00F466D9" w:rsidRPr="00157A11" w:rsidRDefault="00F466D9" w:rsidP="00E01E51">
      <w:pPr>
        <w:rPr>
          <w:rFonts w:asciiTheme="minorHAnsi" w:hAnsiTheme="minorHAnsi" w:cstheme="minorHAnsi"/>
          <w:sz w:val="22"/>
          <w:szCs w:val="22"/>
          <w:lang w:val="fr-CA" w:eastAsia="en-CA"/>
        </w:rPr>
      </w:pPr>
    </w:p>
    <w:p w14:paraId="0EF4B035" w14:textId="77777777" w:rsidR="006362DA" w:rsidRPr="00157A11" w:rsidRDefault="006362DA" w:rsidP="00E01E51">
      <w:pPr>
        <w:rPr>
          <w:rFonts w:asciiTheme="minorHAnsi" w:hAnsiTheme="minorHAnsi" w:cstheme="minorHAnsi"/>
          <w:sz w:val="22"/>
          <w:szCs w:val="22"/>
          <w:lang w:val="fr-CA" w:eastAsia="en-CA"/>
        </w:rPr>
        <w:sectPr w:rsidR="006362DA" w:rsidRPr="00157A11" w:rsidSect="006362DA">
          <w:type w:val="continuous"/>
          <w:pgSz w:w="20160" w:h="12240" w:orient="landscape" w:code="5"/>
          <w:pgMar w:top="720" w:right="720" w:bottom="720" w:left="720" w:header="283" w:footer="170" w:gutter="0"/>
          <w:cols w:num="2" w:space="708"/>
          <w:titlePg/>
          <w:docGrid w:linePitch="360"/>
        </w:sectPr>
      </w:pPr>
    </w:p>
    <w:p w14:paraId="5C18896A" w14:textId="77777777" w:rsidR="00F466D9" w:rsidRPr="00157A11" w:rsidRDefault="00F466D9" w:rsidP="00E01E51">
      <w:pPr>
        <w:rPr>
          <w:rFonts w:cs="Arial"/>
          <w:lang w:val="fr-CA" w:eastAsia="en-CA"/>
        </w:rPr>
      </w:pPr>
    </w:p>
    <w:p w14:paraId="345C8F22" w14:textId="77777777" w:rsidR="00F466D9" w:rsidRPr="00157A11" w:rsidRDefault="00F466D9" w:rsidP="00E01E51">
      <w:pPr>
        <w:rPr>
          <w:rFonts w:cs="Arial"/>
          <w:lang w:val="fr-CA" w:eastAsia="en-CA"/>
        </w:rPr>
        <w:sectPr w:rsidR="00F466D9" w:rsidRPr="00157A11" w:rsidSect="006362DA">
          <w:type w:val="continuous"/>
          <w:pgSz w:w="20160" w:h="12240" w:orient="landscape" w:code="5"/>
          <w:pgMar w:top="720" w:right="720" w:bottom="720" w:left="720" w:header="283" w:footer="170" w:gutter="0"/>
          <w:cols w:space="708"/>
          <w:titlePg/>
          <w:docGrid w:linePitch="360"/>
        </w:sectPr>
      </w:pPr>
    </w:p>
    <w:p w14:paraId="5DEBED35" w14:textId="77777777" w:rsidR="006362DA" w:rsidRPr="00157A11" w:rsidRDefault="006362DA" w:rsidP="006362DA">
      <w:pPr>
        <w:pStyle w:val="Heading1"/>
        <w:spacing w:before="120" w:after="120"/>
        <w:rPr>
          <w:sz w:val="40"/>
          <w:lang w:val="fr-CA" w:eastAsia="en-CA"/>
        </w:rPr>
      </w:pPr>
      <w:r w:rsidRPr="00157A11">
        <w:rPr>
          <w:sz w:val="40"/>
          <w:lang w:val="fr-CA" w:eastAsia="en-CA"/>
        </w:rPr>
        <w:lastRenderedPageBreak/>
        <w:t>Durée de dotation interne</w:t>
      </w:r>
    </w:p>
    <w:p w14:paraId="3EF7ECA3" w14:textId="77777777" w:rsidR="00025079" w:rsidRPr="00025079" w:rsidRDefault="00025079" w:rsidP="00025079">
      <w:pPr>
        <w:pStyle w:val="Caption"/>
        <w:keepNext/>
        <w:spacing w:after="0"/>
        <w:rPr>
          <w:rFonts w:asciiTheme="minorHAnsi" w:hAnsiTheme="minorHAnsi" w:cstheme="minorHAnsi"/>
          <w:i w:val="0"/>
          <w:color w:val="auto"/>
          <w:lang w:val="fr-CA"/>
        </w:rPr>
      </w:pPr>
      <w:r w:rsidRPr="00025079">
        <w:rPr>
          <w:rFonts w:asciiTheme="minorHAnsi" w:hAnsiTheme="minorHAnsi" w:cstheme="minorHAnsi"/>
          <w:i w:val="0"/>
          <w:color w:val="auto"/>
          <w:lang w:val="fr-CA"/>
        </w:rPr>
        <w:t xml:space="preserve">Table </w:t>
      </w:r>
      <w:r w:rsidRPr="00025079">
        <w:rPr>
          <w:rFonts w:asciiTheme="minorHAnsi" w:hAnsiTheme="minorHAnsi" w:cstheme="minorHAnsi"/>
          <w:i w:val="0"/>
          <w:color w:val="auto"/>
        </w:rPr>
        <w:fldChar w:fldCharType="begin"/>
      </w:r>
      <w:r w:rsidRPr="00025079">
        <w:rPr>
          <w:rFonts w:asciiTheme="minorHAnsi" w:hAnsiTheme="minorHAnsi" w:cstheme="minorHAnsi"/>
          <w:i w:val="0"/>
          <w:color w:val="auto"/>
          <w:lang w:val="fr-CA"/>
        </w:rPr>
        <w:instrText xml:space="preserve"> SEQ Table \* ARABIC </w:instrText>
      </w:r>
      <w:r w:rsidRPr="00025079">
        <w:rPr>
          <w:rFonts w:asciiTheme="minorHAnsi" w:hAnsiTheme="minorHAnsi" w:cstheme="minorHAnsi"/>
          <w:i w:val="0"/>
          <w:color w:val="auto"/>
        </w:rPr>
        <w:fldChar w:fldCharType="separate"/>
      </w:r>
      <w:r>
        <w:rPr>
          <w:rFonts w:asciiTheme="minorHAnsi" w:hAnsiTheme="minorHAnsi" w:cstheme="minorHAnsi"/>
          <w:i w:val="0"/>
          <w:noProof/>
          <w:color w:val="auto"/>
          <w:lang w:val="fr-CA"/>
        </w:rPr>
        <w:t>13</w:t>
      </w:r>
      <w:r w:rsidRPr="00025079">
        <w:rPr>
          <w:rFonts w:asciiTheme="minorHAnsi" w:hAnsiTheme="minorHAnsi" w:cstheme="minorHAnsi"/>
          <w:i w:val="0"/>
          <w:color w:val="auto"/>
        </w:rPr>
        <w:fldChar w:fldCharType="end"/>
      </w:r>
      <w:r w:rsidRPr="00025079">
        <w:rPr>
          <w:rFonts w:asciiTheme="minorHAnsi" w:hAnsiTheme="minorHAnsi" w:cstheme="minorHAnsi"/>
          <w:i w:val="0"/>
          <w:color w:val="auto"/>
          <w:lang w:val="fr-CA"/>
        </w:rPr>
        <w:t xml:space="preserve"> - Durée de dotation interne</w:t>
      </w:r>
    </w:p>
    <w:tbl>
      <w:tblPr>
        <w:tblStyle w:val="TableGrid"/>
        <w:tblW w:w="5000" w:type="pct"/>
        <w:jc w:val="center"/>
        <w:tblLook w:val="0020" w:firstRow="1" w:lastRow="0" w:firstColumn="0" w:lastColumn="0" w:noHBand="0" w:noVBand="0"/>
        <w:tblDescription w:val="Durée des processus de dotation interne"/>
      </w:tblPr>
      <w:tblGrid>
        <w:gridCol w:w="2915"/>
        <w:gridCol w:w="7875"/>
      </w:tblGrid>
      <w:tr w:rsidR="006362DA" w:rsidRPr="00A74788" w14:paraId="52FB272F" w14:textId="77777777" w:rsidTr="00A74788">
        <w:trPr>
          <w:cantSplit/>
          <w:trHeight w:val="290"/>
          <w:tblHeader/>
          <w:jc w:val="center"/>
        </w:trPr>
        <w:tc>
          <w:tcPr>
            <w:tcW w:w="1351" w:type="pct"/>
          </w:tcPr>
          <w:p w14:paraId="483DEFA6" w14:textId="77777777" w:rsidR="006362DA" w:rsidRPr="00157A11" w:rsidRDefault="006362DA" w:rsidP="00025079">
            <w:pPr>
              <w:pStyle w:val="TableTitle"/>
              <w:contextualSpacing/>
              <w:rPr>
                <w:rFonts w:cs="Segoe UI Semibold"/>
                <w:lang w:val="fr-CA"/>
              </w:rPr>
            </w:pPr>
            <w:bookmarkStart w:id="2" w:name="Durée_dotation_interne"/>
            <w:r w:rsidRPr="00157A11">
              <w:rPr>
                <w:rFonts w:cs="Segoe UI Semibold"/>
                <w:lang w:val="fr-CA"/>
              </w:rPr>
              <w:t>Nombre de jours civils</w:t>
            </w:r>
            <w:bookmarkEnd w:id="2"/>
          </w:p>
        </w:tc>
        <w:tc>
          <w:tcPr>
            <w:tcW w:w="3649" w:type="pct"/>
          </w:tcPr>
          <w:p w14:paraId="0B1F8342" w14:textId="77777777" w:rsidR="006362DA" w:rsidRPr="00157A11" w:rsidRDefault="006362DA" w:rsidP="00025079">
            <w:pPr>
              <w:pStyle w:val="TableTitle"/>
              <w:contextualSpacing/>
              <w:rPr>
                <w:rFonts w:cs="Segoe UI Semibold"/>
                <w:lang w:val="fr-CA"/>
              </w:rPr>
            </w:pPr>
            <w:r w:rsidRPr="00157A11">
              <w:rPr>
                <w:rFonts w:cs="Segoe UI Semibold"/>
                <w:lang w:val="fr-CA"/>
              </w:rPr>
              <w:t xml:space="preserve">Le nombre de premières embauches internes dans un processus interne (durée de dotation interne) dans les organisations assujetties à la </w:t>
            </w:r>
            <w:r w:rsidRPr="00AA6DB1">
              <w:rPr>
                <w:rStyle w:val="Emphasis"/>
                <w:rFonts w:cs="Segoe UI Semibold"/>
                <w:lang w:val="fr-CA"/>
              </w:rPr>
              <w:t>Loi sur l’emploi dans la fonction publique</w:t>
            </w:r>
            <w:r w:rsidRPr="00157A11">
              <w:rPr>
                <w:rFonts w:cs="Segoe UI Semibold"/>
                <w:lang w:val="fr-CA"/>
              </w:rPr>
              <w:t>, dans le nombre de jours civils spécifié</w:t>
            </w:r>
          </w:p>
        </w:tc>
      </w:tr>
      <w:tr w:rsidR="006362DA" w:rsidRPr="00157A11" w14:paraId="2B116033" w14:textId="77777777" w:rsidTr="00A74788">
        <w:trPr>
          <w:cantSplit/>
          <w:trHeight w:val="290"/>
          <w:tblHeader/>
          <w:jc w:val="center"/>
        </w:trPr>
        <w:tc>
          <w:tcPr>
            <w:tcW w:w="1351" w:type="pct"/>
          </w:tcPr>
          <w:p w14:paraId="081B165C" w14:textId="77777777" w:rsidR="006362DA" w:rsidRPr="00F9552B" w:rsidRDefault="006362DA" w:rsidP="00025079">
            <w:pPr>
              <w:autoSpaceDE w:val="0"/>
              <w:autoSpaceDN w:val="0"/>
              <w:adjustRightInd w:val="0"/>
              <w:contextualSpacing/>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0 jours civils</w:t>
            </w:r>
          </w:p>
        </w:tc>
        <w:tc>
          <w:tcPr>
            <w:tcW w:w="3649" w:type="pct"/>
          </w:tcPr>
          <w:p w14:paraId="12358A90" w14:textId="77777777" w:rsidR="006362DA" w:rsidRPr="00F9552B" w:rsidRDefault="006362DA" w:rsidP="00025079">
            <w:pPr>
              <w:autoSpaceDE w:val="0"/>
              <w:autoSpaceDN w:val="0"/>
              <w:adjustRightInd w:val="0"/>
              <w:contextualSpacing/>
              <w:jc w:val="center"/>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0</w:t>
            </w:r>
          </w:p>
        </w:tc>
      </w:tr>
      <w:tr w:rsidR="006362DA" w:rsidRPr="00157A11" w14:paraId="4B800297" w14:textId="77777777" w:rsidTr="00A74788">
        <w:trPr>
          <w:cantSplit/>
          <w:trHeight w:val="290"/>
          <w:tblHeader/>
          <w:jc w:val="center"/>
        </w:trPr>
        <w:tc>
          <w:tcPr>
            <w:tcW w:w="1351" w:type="pct"/>
          </w:tcPr>
          <w:p w14:paraId="54A44C9C" w14:textId="77777777" w:rsidR="006362DA" w:rsidRPr="00F9552B" w:rsidRDefault="006362DA" w:rsidP="00025079">
            <w:pPr>
              <w:autoSpaceDE w:val="0"/>
              <w:autoSpaceDN w:val="0"/>
              <w:adjustRightInd w:val="0"/>
              <w:contextualSpacing/>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0 à 29 jours civils</w:t>
            </w:r>
          </w:p>
        </w:tc>
        <w:tc>
          <w:tcPr>
            <w:tcW w:w="3649" w:type="pct"/>
          </w:tcPr>
          <w:p w14:paraId="3E1BCC79" w14:textId="77777777" w:rsidR="006362DA" w:rsidRPr="00F9552B" w:rsidRDefault="006362DA" w:rsidP="00025079">
            <w:pPr>
              <w:autoSpaceDE w:val="0"/>
              <w:autoSpaceDN w:val="0"/>
              <w:adjustRightInd w:val="0"/>
              <w:contextualSpacing/>
              <w:jc w:val="center"/>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15</w:t>
            </w:r>
          </w:p>
        </w:tc>
      </w:tr>
      <w:tr w:rsidR="006362DA" w:rsidRPr="00157A11" w14:paraId="6A0C6933" w14:textId="77777777" w:rsidTr="00A74788">
        <w:trPr>
          <w:cantSplit/>
          <w:trHeight w:val="290"/>
          <w:tblHeader/>
          <w:jc w:val="center"/>
        </w:trPr>
        <w:tc>
          <w:tcPr>
            <w:tcW w:w="1351" w:type="pct"/>
          </w:tcPr>
          <w:p w14:paraId="08F04362" w14:textId="77777777" w:rsidR="006362DA" w:rsidRPr="00F9552B" w:rsidRDefault="006362DA" w:rsidP="00025079">
            <w:pPr>
              <w:autoSpaceDE w:val="0"/>
              <w:autoSpaceDN w:val="0"/>
              <w:adjustRightInd w:val="0"/>
              <w:contextualSpacing/>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30 à 59 jours civils</w:t>
            </w:r>
          </w:p>
        </w:tc>
        <w:tc>
          <w:tcPr>
            <w:tcW w:w="3649" w:type="pct"/>
          </w:tcPr>
          <w:p w14:paraId="0455C8FE" w14:textId="77777777" w:rsidR="006362DA" w:rsidRPr="00F9552B" w:rsidRDefault="006362DA" w:rsidP="00025079">
            <w:pPr>
              <w:autoSpaceDE w:val="0"/>
              <w:autoSpaceDN w:val="0"/>
              <w:adjustRightInd w:val="0"/>
              <w:contextualSpacing/>
              <w:jc w:val="center"/>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130</w:t>
            </w:r>
          </w:p>
        </w:tc>
      </w:tr>
      <w:tr w:rsidR="006362DA" w:rsidRPr="00157A11" w14:paraId="7BB6AF87" w14:textId="77777777" w:rsidTr="00A74788">
        <w:trPr>
          <w:cantSplit/>
          <w:trHeight w:val="290"/>
          <w:tblHeader/>
          <w:jc w:val="center"/>
        </w:trPr>
        <w:tc>
          <w:tcPr>
            <w:tcW w:w="1351" w:type="pct"/>
          </w:tcPr>
          <w:p w14:paraId="792CBAD1" w14:textId="77777777" w:rsidR="006362DA" w:rsidRPr="00F9552B" w:rsidRDefault="006362DA" w:rsidP="00025079">
            <w:pPr>
              <w:autoSpaceDE w:val="0"/>
              <w:autoSpaceDN w:val="0"/>
              <w:adjustRightInd w:val="0"/>
              <w:contextualSpacing/>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60 à 89 jours civils</w:t>
            </w:r>
          </w:p>
        </w:tc>
        <w:tc>
          <w:tcPr>
            <w:tcW w:w="3649" w:type="pct"/>
          </w:tcPr>
          <w:p w14:paraId="4407D657" w14:textId="77777777" w:rsidR="006362DA" w:rsidRPr="00F9552B" w:rsidRDefault="006362DA" w:rsidP="00025079">
            <w:pPr>
              <w:autoSpaceDE w:val="0"/>
              <w:autoSpaceDN w:val="0"/>
              <w:adjustRightInd w:val="0"/>
              <w:contextualSpacing/>
              <w:jc w:val="center"/>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277</w:t>
            </w:r>
          </w:p>
        </w:tc>
      </w:tr>
      <w:tr w:rsidR="006362DA" w:rsidRPr="00157A11" w14:paraId="43E618B0" w14:textId="77777777" w:rsidTr="00A74788">
        <w:trPr>
          <w:cantSplit/>
          <w:trHeight w:val="290"/>
          <w:tblHeader/>
          <w:jc w:val="center"/>
        </w:trPr>
        <w:tc>
          <w:tcPr>
            <w:tcW w:w="1351" w:type="pct"/>
          </w:tcPr>
          <w:p w14:paraId="2A78CBC6" w14:textId="77777777" w:rsidR="006362DA" w:rsidRPr="00F9552B" w:rsidRDefault="006362DA" w:rsidP="00025079">
            <w:pPr>
              <w:autoSpaceDE w:val="0"/>
              <w:autoSpaceDN w:val="0"/>
              <w:adjustRightInd w:val="0"/>
              <w:contextualSpacing/>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90 à 119 jours civils</w:t>
            </w:r>
          </w:p>
        </w:tc>
        <w:tc>
          <w:tcPr>
            <w:tcW w:w="3649" w:type="pct"/>
          </w:tcPr>
          <w:p w14:paraId="772E3CF9" w14:textId="77777777" w:rsidR="006362DA" w:rsidRPr="00F9552B" w:rsidRDefault="006362DA" w:rsidP="00025079">
            <w:pPr>
              <w:autoSpaceDE w:val="0"/>
              <w:autoSpaceDN w:val="0"/>
              <w:adjustRightInd w:val="0"/>
              <w:contextualSpacing/>
              <w:jc w:val="center"/>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391</w:t>
            </w:r>
          </w:p>
        </w:tc>
      </w:tr>
      <w:tr w:rsidR="006362DA" w:rsidRPr="00157A11" w14:paraId="291B0C16" w14:textId="77777777" w:rsidTr="00A74788">
        <w:trPr>
          <w:cantSplit/>
          <w:trHeight w:val="290"/>
          <w:tblHeader/>
          <w:jc w:val="center"/>
        </w:trPr>
        <w:tc>
          <w:tcPr>
            <w:tcW w:w="1351" w:type="pct"/>
          </w:tcPr>
          <w:p w14:paraId="6D4DF811" w14:textId="77777777" w:rsidR="006362DA" w:rsidRPr="00F9552B" w:rsidRDefault="006362DA" w:rsidP="00025079">
            <w:pPr>
              <w:autoSpaceDE w:val="0"/>
              <w:autoSpaceDN w:val="0"/>
              <w:adjustRightInd w:val="0"/>
              <w:contextualSpacing/>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120 à 149 jours civils</w:t>
            </w:r>
          </w:p>
        </w:tc>
        <w:tc>
          <w:tcPr>
            <w:tcW w:w="3649" w:type="pct"/>
          </w:tcPr>
          <w:p w14:paraId="6332A61A" w14:textId="77777777" w:rsidR="006362DA" w:rsidRPr="00F9552B" w:rsidRDefault="006362DA" w:rsidP="00025079">
            <w:pPr>
              <w:autoSpaceDE w:val="0"/>
              <w:autoSpaceDN w:val="0"/>
              <w:adjustRightInd w:val="0"/>
              <w:contextualSpacing/>
              <w:jc w:val="center"/>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367</w:t>
            </w:r>
          </w:p>
        </w:tc>
      </w:tr>
      <w:tr w:rsidR="006362DA" w:rsidRPr="00157A11" w14:paraId="707B82C7" w14:textId="77777777" w:rsidTr="00A74788">
        <w:trPr>
          <w:cantSplit/>
          <w:trHeight w:val="290"/>
          <w:tblHeader/>
          <w:jc w:val="center"/>
        </w:trPr>
        <w:tc>
          <w:tcPr>
            <w:tcW w:w="1351" w:type="pct"/>
          </w:tcPr>
          <w:p w14:paraId="0DAB7D44" w14:textId="77777777" w:rsidR="006362DA" w:rsidRPr="00F9552B" w:rsidRDefault="006362DA" w:rsidP="00025079">
            <w:pPr>
              <w:autoSpaceDE w:val="0"/>
              <w:autoSpaceDN w:val="0"/>
              <w:adjustRightInd w:val="0"/>
              <w:contextualSpacing/>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150 à 179 jours civils</w:t>
            </w:r>
          </w:p>
        </w:tc>
        <w:tc>
          <w:tcPr>
            <w:tcW w:w="3649" w:type="pct"/>
          </w:tcPr>
          <w:p w14:paraId="06F141F2" w14:textId="77777777" w:rsidR="006362DA" w:rsidRPr="00F9552B" w:rsidRDefault="006362DA" w:rsidP="00025079">
            <w:pPr>
              <w:autoSpaceDE w:val="0"/>
              <w:autoSpaceDN w:val="0"/>
              <w:adjustRightInd w:val="0"/>
              <w:contextualSpacing/>
              <w:jc w:val="center"/>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322</w:t>
            </w:r>
          </w:p>
        </w:tc>
      </w:tr>
      <w:tr w:rsidR="006362DA" w:rsidRPr="00157A11" w14:paraId="0BE681C7" w14:textId="77777777" w:rsidTr="00A74788">
        <w:trPr>
          <w:cantSplit/>
          <w:trHeight w:val="290"/>
          <w:tblHeader/>
          <w:jc w:val="center"/>
        </w:trPr>
        <w:tc>
          <w:tcPr>
            <w:tcW w:w="1351" w:type="pct"/>
          </w:tcPr>
          <w:p w14:paraId="4D551064" w14:textId="77777777" w:rsidR="006362DA" w:rsidRPr="00F9552B" w:rsidRDefault="006362DA" w:rsidP="00025079">
            <w:pPr>
              <w:autoSpaceDE w:val="0"/>
              <w:autoSpaceDN w:val="0"/>
              <w:adjustRightInd w:val="0"/>
              <w:contextualSpacing/>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180 à 209 jours civils</w:t>
            </w:r>
          </w:p>
        </w:tc>
        <w:tc>
          <w:tcPr>
            <w:tcW w:w="3649" w:type="pct"/>
          </w:tcPr>
          <w:p w14:paraId="5362AF28" w14:textId="77777777" w:rsidR="006362DA" w:rsidRPr="00F9552B" w:rsidRDefault="006362DA" w:rsidP="00025079">
            <w:pPr>
              <w:autoSpaceDE w:val="0"/>
              <w:autoSpaceDN w:val="0"/>
              <w:adjustRightInd w:val="0"/>
              <w:contextualSpacing/>
              <w:jc w:val="center"/>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278</w:t>
            </w:r>
          </w:p>
        </w:tc>
      </w:tr>
      <w:tr w:rsidR="006362DA" w:rsidRPr="00157A11" w14:paraId="62FE3915" w14:textId="77777777" w:rsidTr="00A74788">
        <w:trPr>
          <w:cantSplit/>
          <w:trHeight w:val="290"/>
          <w:tblHeader/>
          <w:jc w:val="center"/>
        </w:trPr>
        <w:tc>
          <w:tcPr>
            <w:tcW w:w="1351" w:type="pct"/>
          </w:tcPr>
          <w:p w14:paraId="250D6684" w14:textId="77777777" w:rsidR="006362DA" w:rsidRPr="00F9552B" w:rsidRDefault="006362DA" w:rsidP="00025079">
            <w:pPr>
              <w:autoSpaceDE w:val="0"/>
              <w:autoSpaceDN w:val="0"/>
              <w:adjustRightInd w:val="0"/>
              <w:contextualSpacing/>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210 à 239 jours civils</w:t>
            </w:r>
          </w:p>
        </w:tc>
        <w:tc>
          <w:tcPr>
            <w:tcW w:w="3649" w:type="pct"/>
          </w:tcPr>
          <w:p w14:paraId="0E22AAC6" w14:textId="77777777" w:rsidR="006362DA" w:rsidRPr="00F9552B" w:rsidRDefault="006362DA" w:rsidP="00025079">
            <w:pPr>
              <w:autoSpaceDE w:val="0"/>
              <w:autoSpaceDN w:val="0"/>
              <w:adjustRightInd w:val="0"/>
              <w:contextualSpacing/>
              <w:jc w:val="center"/>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241</w:t>
            </w:r>
          </w:p>
        </w:tc>
      </w:tr>
      <w:tr w:rsidR="006362DA" w:rsidRPr="00157A11" w14:paraId="4A2822B5" w14:textId="77777777" w:rsidTr="00A74788">
        <w:trPr>
          <w:cantSplit/>
          <w:trHeight w:val="290"/>
          <w:tblHeader/>
          <w:jc w:val="center"/>
        </w:trPr>
        <w:tc>
          <w:tcPr>
            <w:tcW w:w="1351" w:type="pct"/>
          </w:tcPr>
          <w:p w14:paraId="4DE0BB96" w14:textId="77777777" w:rsidR="006362DA" w:rsidRPr="00F9552B" w:rsidRDefault="006362DA" w:rsidP="00025079">
            <w:pPr>
              <w:autoSpaceDE w:val="0"/>
              <w:autoSpaceDN w:val="0"/>
              <w:adjustRightInd w:val="0"/>
              <w:contextualSpacing/>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240 à 269 jours civils</w:t>
            </w:r>
          </w:p>
        </w:tc>
        <w:tc>
          <w:tcPr>
            <w:tcW w:w="3649" w:type="pct"/>
          </w:tcPr>
          <w:p w14:paraId="418944FB" w14:textId="77777777" w:rsidR="006362DA" w:rsidRPr="00F9552B" w:rsidRDefault="006362DA" w:rsidP="00025079">
            <w:pPr>
              <w:autoSpaceDE w:val="0"/>
              <w:autoSpaceDN w:val="0"/>
              <w:adjustRightInd w:val="0"/>
              <w:contextualSpacing/>
              <w:jc w:val="center"/>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165</w:t>
            </w:r>
          </w:p>
        </w:tc>
      </w:tr>
      <w:tr w:rsidR="006362DA" w:rsidRPr="00157A11" w14:paraId="7A6DFC35" w14:textId="77777777" w:rsidTr="00A74788">
        <w:trPr>
          <w:cantSplit/>
          <w:trHeight w:val="290"/>
          <w:tblHeader/>
          <w:jc w:val="center"/>
        </w:trPr>
        <w:tc>
          <w:tcPr>
            <w:tcW w:w="1351" w:type="pct"/>
          </w:tcPr>
          <w:p w14:paraId="00C84536" w14:textId="77777777" w:rsidR="006362DA" w:rsidRPr="00F9552B" w:rsidRDefault="006362DA" w:rsidP="00025079">
            <w:pPr>
              <w:autoSpaceDE w:val="0"/>
              <w:autoSpaceDN w:val="0"/>
              <w:adjustRightInd w:val="0"/>
              <w:contextualSpacing/>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270 à 299 jours civils</w:t>
            </w:r>
          </w:p>
        </w:tc>
        <w:tc>
          <w:tcPr>
            <w:tcW w:w="3649" w:type="pct"/>
          </w:tcPr>
          <w:p w14:paraId="1E13D8B9" w14:textId="77777777" w:rsidR="006362DA" w:rsidRPr="00F9552B" w:rsidRDefault="006362DA" w:rsidP="00025079">
            <w:pPr>
              <w:autoSpaceDE w:val="0"/>
              <w:autoSpaceDN w:val="0"/>
              <w:adjustRightInd w:val="0"/>
              <w:contextualSpacing/>
              <w:jc w:val="center"/>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134</w:t>
            </w:r>
          </w:p>
        </w:tc>
      </w:tr>
      <w:tr w:rsidR="006362DA" w:rsidRPr="00157A11" w14:paraId="700CB8D6" w14:textId="77777777" w:rsidTr="00A74788">
        <w:trPr>
          <w:cantSplit/>
          <w:trHeight w:val="290"/>
          <w:tblHeader/>
          <w:jc w:val="center"/>
        </w:trPr>
        <w:tc>
          <w:tcPr>
            <w:tcW w:w="1351" w:type="pct"/>
          </w:tcPr>
          <w:p w14:paraId="68718223" w14:textId="77777777" w:rsidR="006362DA" w:rsidRPr="00F9552B" w:rsidRDefault="006362DA" w:rsidP="00025079">
            <w:pPr>
              <w:autoSpaceDE w:val="0"/>
              <w:autoSpaceDN w:val="0"/>
              <w:adjustRightInd w:val="0"/>
              <w:contextualSpacing/>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300 à 329 jours civils</w:t>
            </w:r>
          </w:p>
        </w:tc>
        <w:tc>
          <w:tcPr>
            <w:tcW w:w="3649" w:type="pct"/>
          </w:tcPr>
          <w:p w14:paraId="659A6B21" w14:textId="77777777" w:rsidR="006362DA" w:rsidRPr="00F9552B" w:rsidRDefault="006362DA" w:rsidP="00025079">
            <w:pPr>
              <w:autoSpaceDE w:val="0"/>
              <w:autoSpaceDN w:val="0"/>
              <w:adjustRightInd w:val="0"/>
              <w:contextualSpacing/>
              <w:jc w:val="center"/>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107</w:t>
            </w:r>
          </w:p>
        </w:tc>
      </w:tr>
      <w:tr w:rsidR="006362DA" w:rsidRPr="00157A11" w14:paraId="115FA788" w14:textId="77777777" w:rsidTr="00A74788">
        <w:trPr>
          <w:cantSplit/>
          <w:trHeight w:val="290"/>
          <w:tblHeader/>
          <w:jc w:val="center"/>
        </w:trPr>
        <w:tc>
          <w:tcPr>
            <w:tcW w:w="1351" w:type="pct"/>
          </w:tcPr>
          <w:p w14:paraId="331BE081" w14:textId="77777777" w:rsidR="006362DA" w:rsidRPr="00F9552B" w:rsidRDefault="006362DA" w:rsidP="00025079">
            <w:pPr>
              <w:autoSpaceDE w:val="0"/>
              <w:autoSpaceDN w:val="0"/>
              <w:adjustRightInd w:val="0"/>
              <w:contextualSpacing/>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330 à 359 jours civils</w:t>
            </w:r>
          </w:p>
        </w:tc>
        <w:tc>
          <w:tcPr>
            <w:tcW w:w="3649" w:type="pct"/>
          </w:tcPr>
          <w:p w14:paraId="4F808AF5" w14:textId="77777777" w:rsidR="006362DA" w:rsidRPr="00F9552B" w:rsidRDefault="006362DA" w:rsidP="00025079">
            <w:pPr>
              <w:autoSpaceDE w:val="0"/>
              <w:autoSpaceDN w:val="0"/>
              <w:adjustRightInd w:val="0"/>
              <w:contextualSpacing/>
              <w:jc w:val="center"/>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77</w:t>
            </w:r>
          </w:p>
        </w:tc>
      </w:tr>
      <w:tr w:rsidR="006362DA" w:rsidRPr="00157A11" w14:paraId="06C92B34" w14:textId="77777777" w:rsidTr="00A74788">
        <w:trPr>
          <w:cantSplit/>
          <w:trHeight w:val="290"/>
          <w:tblHeader/>
          <w:jc w:val="center"/>
        </w:trPr>
        <w:tc>
          <w:tcPr>
            <w:tcW w:w="1351" w:type="pct"/>
          </w:tcPr>
          <w:p w14:paraId="1DAACDAC" w14:textId="77777777" w:rsidR="006362DA" w:rsidRPr="00F9552B" w:rsidRDefault="006362DA" w:rsidP="00025079">
            <w:pPr>
              <w:autoSpaceDE w:val="0"/>
              <w:autoSpaceDN w:val="0"/>
              <w:adjustRightInd w:val="0"/>
              <w:contextualSpacing/>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360 à 389 jours civils</w:t>
            </w:r>
          </w:p>
        </w:tc>
        <w:tc>
          <w:tcPr>
            <w:tcW w:w="3649" w:type="pct"/>
          </w:tcPr>
          <w:p w14:paraId="3CA0FAFA" w14:textId="77777777" w:rsidR="006362DA" w:rsidRPr="00F9552B" w:rsidRDefault="006362DA" w:rsidP="00025079">
            <w:pPr>
              <w:autoSpaceDE w:val="0"/>
              <w:autoSpaceDN w:val="0"/>
              <w:adjustRightInd w:val="0"/>
              <w:contextualSpacing/>
              <w:jc w:val="center"/>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61</w:t>
            </w:r>
          </w:p>
        </w:tc>
      </w:tr>
      <w:tr w:rsidR="006362DA" w:rsidRPr="00157A11" w14:paraId="1075A818" w14:textId="77777777" w:rsidTr="00A74788">
        <w:trPr>
          <w:cantSplit/>
          <w:trHeight w:val="290"/>
          <w:tblHeader/>
          <w:jc w:val="center"/>
        </w:trPr>
        <w:tc>
          <w:tcPr>
            <w:tcW w:w="1351" w:type="pct"/>
          </w:tcPr>
          <w:p w14:paraId="6E8B3052" w14:textId="77777777" w:rsidR="006362DA" w:rsidRPr="00F9552B" w:rsidRDefault="006362DA" w:rsidP="00025079">
            <w:pPr>
              <w:autoSpaceDE w:val="0"/>
              <w:autoSpaceDN w:val="0"/>
              <w:adjustRightInd w:val="0"/>
              <w:contextualSpacing/>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390 à 419 jours civils</w:t>
            </w:r>
          </w:p>
        </w:tc>
        <w:tc>
          <w:tcPr>
            <w:tcW w:w="3649" w:type="pct"/>
          </w:tcPr>
          <w:p w14:paraId="6CC9B019" w14:textId="77777777" w:rsidR="006362DA" w:rsidRPr="00F9552B" w:rsidRDefault="006362DA" w:rsidP="00025079">
            <w:pPr>
              <w:autoSpaceDE w:val="0"/>
              <w:autoSpaceDN w:val="0"/>
              <w:adjustRightInd w:val="0"/>
              <w:contextualSpacing/>
              <w:jc w:val="center"/>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53</w:t>
            </w:r>
          </w:p>
        </w:tc>
      </w:tr>
      <w:tr w:rsidR="006362DA" w:rsidRPr="00157A11" w14:paraId="303E0674" w14:textId="77777777" w:rsidTr="00A74788">
        <w:trPr>
          <w:cantSplit/>
          <w:trHeight w:val="290"/>
          <w:tblHeader/>
          <w:jc w:val="center"/>
        </w:trPr>
        <w:tc>
          <w:tcPr>
            <w:tcW w:w="1351" w:type="pct"/>
          </w:tcPr>
          <w:p w14:paraId="0CBE61AF" w14:textId="77777777" w:rsidR="006362DA" w:rsidRPr="00F9552B" w:rsidRDefault="006362DA" w:rsidP="00025079">
            <w:pPr>
              <w:autoSpaceDE w:val="0"/>
              <w:autoSpaceDN w:val="0"/>
              <w:adjustRightInd w:val="0"/>
              <w:contextualSpacing/>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420 à 449 jours civils</w:t>
            </w:r>
          </w:p>
        </w:tc>
        <w:tc>
          <w:tcPr>
            <w:tcW w:w="3649" w:type="pct"/>
          </w:tcPr>
          <w:p w14:paraId="7EB63C8E" w14:textId="77777777" w:rsidR="006362DA" w:rsidRPr="00F9552B" w:rsidRDefault="006362DA" w:rsidP="00025079">
            <w:pPr>
              <w:autoSpaceDE w:val="0"/>
              <w:autoSpaceDN w:val="0"/>
              <w:adjustRightInd w:val="0"/>
              <w:contextualSpacing/>
              <w:jc w:val="center"/>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51</w:t>
            </w:r>
          </w:p>
        </w:tc>
      </w:tr>
      <w:tr w:rsidR="006362DA" w:rsidRPr="00157A11" w14:paraId="318E1458" w14:textId="77777777" w:rsidTr="00A74788">
        <w:trPr>
          <w:cantSplit/>
          <w:trHeight w:val="290"/>
          <w:tblHeader/>
          <w:jc w:val="center"/>
        </w:trPr>
        <w:tc>
          <w:tcPr>
            <w:tcW w:w="1351" w:type="pct"/>
          </w:tcPr>
          <w:p w14:paraId="568A5526" w14:textId="77777777" w:rsidR="006362DA" w:rsidRPr="00F9552B" w:rsidRDefault="006362DA" w:rsidP="00025079">
            <w:pPr>
              <w:autoSpaceDE w:val="0"/>
              <w:autoSpaceDN w:val="0"/>
              <w:adjustRightInd w:val="0"/>
              <w:contextualSpacing/>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450 à 479 jours civils</w:t>
            </w:r>
          </w:p>
        </w:tc>
        <w:tc>
          <w:tcPr>
            <w:tcW w:w="3649" w:type="pct"/>
          </w:tcPr>
          <w:p w14:paraId="13F177D0" w14:textId="77777777" w:rsidR="006362DA" w:rsidRPr="00F9552B" w:rsidRDefault="006362DA" w:rsidP="00025079">
            <w:pPr>
              <w:autoSpaceDE w:val="0"/>
              <w:autoSpaceDN w:val="0"/>
              <w:adjustRightInd w:val="0"/>
              <w:contextualSpacing/>
              <w:jc w:val="center"/>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42</w:t>
            </w:r>
          </w:p>
        </w:tc>
      </w:tr>
      <w:tr w:rsidR="006362DA" w:rsidRPr="00157A11" w14:paraId="45E1BE63" w14:textId="77777777" w:rsidTr="00A74788">
        <w:trPr>
          <w:cantSplit/>
          <w:trHeight w:val="290"/>
          <w:tblHeader/>
          <w:jc w:val="center"/>
        </w:trPr>
        <w:tc>
          <w:tcPr>
            <w:tcW w:w="1351" w:type="pct"/>
          </w:tcPr>
          <w:p w14:paraId="32AF4D22" w14:textId="77777777" w:rsidR="006362DA" w:rsidRPr="00F9552B" w:rsidRDefault="006362DA" w:rsidP="00025079">
            <w:pPr>
              <w:autoSpaceDE w:val="0"/>
              <w:autoSpaceDN w:val="0"/>
              <w:adjustRightInd w:val="0"/>
              <w:contextualSpacing/>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480 à 509 jours civils</w:t>
            </w:r>
          </w:p>
        </w:tc>
        <w:tc>
          <w:tcPr>
            <w:tcW w:w="3649" w:type="pct"/>
          </w:tcPr>
          <w:p w14:paraId="0A2EF10A" w14:textId="77777777" w:rsidR="006362DA" w:rsidRPr="00F9552B" w:rsidRDefault="006362DA" w:rsidP="00025079">
            <w:pPr>
              <w:autoSpaceDE w:val="0"/>
              <w:autoSpaceDN w:val="0"/>
              <w:adjustRightInd w:val="0"/>
              <w:contextualSpacing/>
              <w:jc w:val="center"/>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40</w:t>
            </w:r>
          </w:p>
        </w:tc>
      </w:tr>
      <w:tr w:rsidR="006362DA" w:rsidRPr="00157A11" w14:paraId="6CE4A77C" w14:textId="77777777" w:rsidTr="00A74788">
        <w:trPr>
          <w:cantSplit/>
          <w:trHeight w:val="290"/>
          <w:tblHeader/>
          <w:jc w:val="center"/>
        </w:trPr>
        <w:tc>
          <w:tcPr>
            <w:tcW w:w="1351" w:type="pct"/>
          </w:tcPr>
          <w:p w14:paraId="0051A6D3" w14:textId="77777777" w:rsidR="006362DA" w:rsidRPr="00F9552B" w:rsidRDefault="006362DA" w:rsidP="00025079">
            <w:pPr>
              <w:autoSpaceDE w:val="0"/>
              <w:autoSpaceDN w:val="0"/>
              <w:adjustRightInd w:val="0"/>
              <w:contextualSpacing/>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 xml:space="preserve">510 à 539 jours civils </w:t>
            </w:r>
          </w:p>
        </w:tc>
        <w:tc>
          <w:tcPr>
            <w:tcW w:w="3649" w:type="pct"/>
          </w:tcPr>
          <w:p w14:paraId="57798B5F" w14:textId="77777777" w:rsidR="006362DA" w:rsidRPr="00F9552B" w:rsidRDefault="006362DA" w:rsidP="00025079">
            <w:pPr>
              <w:autoSpaceDE w:val="0"/>
              <w:autoSpaceDN w:val="0"/>
              <w:adjustRightInd w:val="0"/>
              <w:contextualSpacing/>
              <w:jc w:val="center"/>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32</w:t>
            </w:r>
          </w:p>
        </w:tc>
      </w:tr>
      <w:tr w:rsidR="006362DA" w:rsidRPr="00157A11" w14:paraId="2F73B270" w14:textId="77777777" w:rsidTr="00A74788">
        <w:trPr>
          <w:cantSplit/>
          <w:trHeight w:val="290"/>
          <w:tblHeader/>
          <w:jc w:val="center"/>
        </w:trPr>
        <w:tc>
          <w:tcPr>
            <w:tcW w:w="1351" w:type="pct"/>
          </w:tcPr>
          <w:p w14:paraId="1AFA1E76" w14:textId="77777777" w:rsidR="006362DA" w:rsidRPr="00F9552B" w:rsidRDefault="006362DA" w:rsidP="00025079">
            <w:pPr>
              <w:autoSpaceDE w:val="0"/>
              <w:autoSpaceDN w:val="0"/>
              <w:adjustRightInd w:val="0"/>
              <w:contextualSpacing/>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540 à 569 jours civils</w:t>
            </w:r>
          </w:p>
        </w:tc>
        <w:tc>
          <w:tcPr>
            <w:tcW w:w="3649" w:type="pct"/>
          </w:tcPr>
          <w:p w14:paraId="086F4340" w14:textId="77777777" w:rsidR="006362DA" w:rsidRPr="00F9552B" w:rsidRDefault="006362DA" w:rsidP="00025079">
            <w:pPr>
              <w:autoSpaceDE w:val="0"/>
              <w:autoSpaceDN w:val="0"/>
              <w:adjustRightInd w:val="0"/>
              <w:contextualSpacing/>
              <w:jc w:val="center"/>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24</w:t>
            </w:r>
          </w:p>
        </w:tc>
      </w:tr>
      <w:tr w:rsidR="006362DA" w:rsidRPr="00157A11" w14:paraId="7D909172" w14:textId="77777777" w:rsidTr="00A74788">
        <w:trPr>
          <w:cantSplit/>
          <w:trHeight w:val="290"/>
          <w:tblHeader/>
          <w:jc w:val="center"/>
        </w:trPr>
        <w:tc>
          <w:tcPr>
            <w:tcW w:w="1351" w:type="pct"/>
          </w:tcPr>
          <w:p w14:paraId="04913168" w14:textId="77777777" w:rsidR="006362DA" w:rsidRPr="00F9552B" w:rsidRDefault="006362DA" w:rsidP="00025079">
            <w:pPr>
              <w:autoSpaceDE w:val="0"/>
              <w:autoSpaceDN w:val="0"/>
              <w:adjustRightInd w:val="0"/>
              <w:contextualSpacing/>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570 à 599 jours civils</w:t>
            </w:r>
          </w:p>
        </w:tc>
        <w:tc>
          <w:tcPr>
            <w:tcW w:w="3649" w:type="pct"/>
          </w:tcPr>
          <w:p w14:paraId="51211788" w14:textId="77777777" w:rsidR="006362DA" w:rsidRPr="00F9552B" w:rsidRDefault="006362DA" w:rsidP="00025079">
            <w:pPr>
              <w:autoSpaceDE w:val="0"/>
              <w:autoSpaceDN w:val="0"/>
              <w:adjustRightInd w:val="0"/>
              <w:contextualSpacing/>
              <w:jc w:val="center"/>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21</w:t>
            </w:r>
          </w:p>
        </w:tc>
      </w:tr>
      <w:tr w:rsidR="006362DA" w:rsidRPr="00157A11" w14:paraId="36401599" w14:textId="77777777" w:rsidTr="00A74788">
        <w:trPr>
          <w:cantSplit/>
          <w:trHeight w:val="290"/>
          <w:tblHeader/>
          <w:jc w:val="center"/>
        </w:trPr>
        <w:tc>
          <w:tcPr>
            <w:tcW w:w="1351" w:type="pct"/>
          </w:tcPr>
          <w:p w14:paraId="2E28C8D6" w14:textId="77777777" w:rsidR="006362DA" w:rsidRPr="00F9552B" w:rsidRDefault="006362DA" w:rsidP="00025079">
            <w:pPr>
              <w:autoSpaceDE w:val="0"/>
              <w:autoSpaceDN w:val="0"/>
              <w:adjustRightInd w:val="0"/>
              <w:contextualSpacing/>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600 à 629 jours civils</w:t>
            </w:r>
          </w:p>
        </w:tc>
        <w:tc>
          <w:tcPr>
            <w:tcW w:w="3649" w:type="pct"/>
          </w:tcPr>
          <w:p w14:paraId="6DAD8E7C" w14:textId="77777777" w:rsidR="006362DA" w:rsidRPr="00F9552B" w:rsidRDefault="006362DA" w:rsidP="00025079">
            <w:pPr>
              <w:autoSpaceDE w:val="0"/>
              <w:autoSpaceDN w:val="0"/>
              <w:adjustRightInd w:val="0"/>
              <w:contextualSpacing/>
              <w:jc w:val="center"/>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11</w:t>
            </w:r>
          </w:p>
        </w:tc>
      </w:tr>
      <w:tr w:rsidR="006362DA" w:rsidRPr="00157A11" w14:paraId="505E5D08" w14:textId="77777777" w:rsidTr="00A74788">
        <w:trPr>
          <w:cantSplit/>
          <w:trHeight w:val="290"/>
          <w:tblHeader/>
          <w:jc w:val="center"/>
        </w:trPr>
        <w:tc>
          <w:tcPr>
            <w:tcW w:w="1351" w:type="pct"/>
          </w:tcPr>
          <w:p w14:paraId="53894D72" w14:textId="77777777" w:rsidR="006362DA" w:rsidRPr="00F9552B" w:rsidRDefault="006362DA" w:rsidP="00025079">
            <w:pPr>
              <w:autoSpaceDE w:val="0"/>
              <w:autoSpaceDN w:val="0"/>
              <w:adjustRightInd w:val="0"/>
              <w:contextualSpacing/>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630 à 659 jours civils</w:t>
            </w:r>
          </w:p>
        </w:tc>
        <w:tc>
          <w:tcPr>
            <w:tcW w:w="3649" w:type="pct"/>
          </w:tcPr>
          <w:p w14:paraId="556CF776" w14:textId="77777777" w:rsidR="006362DA" w:rsidRPr="00F9552B" w:rsidRDefault="006362DA" w:rsidP="00025079">
            <w:pPr>
              <w:autoSpaceDE w:val="0"/>
              <w:autoSpaceDN w:val="0"/>
              <w:adjustRightInd w:val="0"/>
              <w:contextualSpacing/>
              <w:jc w:val="center"/>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19</w:t>
            </w:r>
          </w:p>
        </w:tc>
      </w:tr>
      <w:tr w:rsidR="006362DA" w:rsidRPr="00157A11" w14:paraId="31DADAAC" w14:textId="77777777" w:rsidTr="00A74788">
        <w:trPr>
          <w:cantSplit/>
          <w:trHeight w:val="290"/>
          <w:tblHeader/>
          <w:jc w:val="center"/>
        </w:trPr>
        <w:tc>
          <w:tcPr>
            <w:tcW w:w="1351" w:type="pct"/>
          </w:tcPr>
          <w:p w14:paraId="4F23DCB7" w14:textId="77777777" w:rsidR="006362DA" w:rsidRPr="00F9552B" w:rsidRDefault="006362DA" w:rsidP="00025079">
            <w:pPr>
              <w:autoSpaceDE w:val="0"/>
              <w:autoSpaceDN w:val="0"/>
              <w:adjustRightInd w:val="0"/>
              <w:contextualSpacing/>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660 à 689 jours civils</w:t>
            </w:r>
          </w:p>
        </w:tc>
        <w:tc>
          <w:tcPr>
            <w:tcW w:w="3649" w:type="pct"/>
          </w:tcPr>
          <w:p w14:paraId="2DD72608" w14:textId="77777777" w:rsidR="006362DA" w:rsidRPr="00F9552B" w:rsidRDefault="006362DA" w:rsidP="00025079">
            <w:pPr>
              <w:autoSpaceDE w:val="0"/>
              <w:autoSpaceDN w:val="0"/>
              <w:adjustRightInd w:val="0"/>
              <w:contextualSpacing/>
              <w:jc w:val="center"/>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3</w:t>
            </w:r>
          </w:p>
        </w:tc>
      </w:tr>
      <w:tr w:rsidR="006362DA" w:rsidRPr="00157A11" w14:paraId="06796922" w14:textId="77777777" w:rsidTr="00A74788">
        <w:trPr>
          <w:cantSplit/>
          <w:trHeight w:val="290"/>
          <w:tblHeader/>
          <w:jc w:val="center"/>
        </w:trPr>
        <w:tc>
          <w:tcPr>
            <w:tcW w:w="1351" w:type="pct"/>
          </w:tcPr>
          <w:p w14:paraId="3403C330" w14:textId="77777777" w:rsidR="006362DA" w:rsidRPr="00F9552B" w:rsidRDefault="006362DA" w:rsidP="00025079">
            <w:pPr>
              <w:autoSpaceDE w:val="0"/>
              <w:autoSpaceDN w:val="0"/>
              <w:adjustRightInd w:val="0"/>
              <w:contextualSpacing/>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690 à 719 jours civils</w:t>
            </w:r>
          </w:p>
        </w:tc>
        <w:tc>
          <w:tcPr>
            <w:tcW w:w="3649" w:type="pct"/>
          </w:tcPr>
          <w:p w14:paraId="0F63E5F4" w14:textId="77777777" w:rsidR="006362DA" w:rsidRPr="00F9552B" w:rsidRDefault="006362DA" w:rsidP="00025079">
            <w:pPr>
              <w:autoSpaceDE w:val="0"/>
              <w:autoSpaceDN w:val="0"/>
              <w:adjustRightInd w:val="0"/>
              <w:contextualSpacing/>
              <w:jc w:val="center"/>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13</w:t>
            </w:r>
          </w:p>
        </w:tc>
      </w:tr>
      <w:tr w:rsidR="006362DA" w:rsidRPr="00157A11" w14:paraId="3A13D4D2" w14:textId="77777777" w:rsidTr="00A74788">
        <w:trPr>
          <w:cantSplit/>
          <w:trHeight w:val="302"/>
          <w:tblHeader/>
          <w:jc w:val="center"/>
        </w:trPr>
        <w:tc>
          <w:tcPr>
            <w:tcW w:w="1351" w:type="pct"/>
          </w:tcPr>
          <w:p w14:paraId="7AC2E642" w14:textId="77777777" w:rsidR="006362DA" w:rsidRPr="00F9552B" w:rsidRDefault="006362DA" w:rsidP="00025079">
            <w:pPr>
              <w:autoSpaceDE w:val="0"/>
              <w:autoSpaceDN w:val="0"/>
              <w:adjustRightInd w:val="0"/>
              <w:contextualSpacing/>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720 à 749 jours civils</w:t>
            </w:r>
          </w:p>
        </w:tc>
        <w:tc>
          <w:tcPr>
            <w:tcW w:w="3649" w:type="pct"/>
          </w:tcPr>
          <w:p w14:paraId="220878ED" w14:textId="77777777" w:rsidR="006362DA" w:rsidRPr="00F9552B" w:rsidRDefault="006362DA" w:rsidP="00025079">
            <w:pPr>
              <w:autoSpaceDE w:val="0"/>
              <w:autoSpaceDN w:val="0"/>
              <w:adjustRightInd w:val="0"/>
              <w:contextualSpacing/>
              <w:jc w:val="center"/>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6</w:t>
            </w:r>
          </w:p>
        </w:tc>
      </w:tr>
      <w:tr w:rsidR="006362DA" w:rsidRPr="00157A11" w14:paraId="53C20FAA" w14:textId="77777777" w:rsidTr="00A74788">
        <w:trPr>
          <w:cantSplit/>
          <w:trHeight w:val="290"/>
          <w:tblHeader/>
          <w:jc w:val="center"/>
        </w:trPr>
        <w:tc>
          <w:tcPr>
            <w:tcW w:w="1351" w:type="pct"/>
          </w:tcPr>
          <w:p w14:paraId="25D84306" w14:textId="77777777" w:rsidR="006362DA" w:rsidRPr="00F9552B" w:rsidRDefault="006362DA" w:rsidP="00025079">
            <w:pPr>
              <w:autoSpaceDE w:val="0"/>
              <w:autoSpaceDN w:val="0"/>
              <w:adjustRightInd w:val="0"/>
              <w:contextualSpacing/>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750 à 779 jours civils</w:t>
            </w:r>
          </w:p>
        </w:tc>
        <w:tc>
          <w:tcPr>
            <w:tcW w:w="3649" w:type="pct"/>
          </w:tcPr>
          <w:p w14:paraId="749002A3" w14:textId="77777777" w:rsidR="006362DA" w:rsidRPr="00F9552B" w:rsidRDefault="006362DA" w:rsidP="00025079">
            <w:pPr>
              <w:autoSpaceDE w:val="0"/>
              <w:autoSpaceDN w:val="0"/>
              <w:adjustRightInd w:val="0"/>
              <w:contextualSpacing/>
              <w:jc w:val="center"/>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5</w:t>
            </w:r>
          </w:p>
        </w:tc>
      </w:tr>
      <w:tr w:rsidR="006362DA" w:rsidRPr="00157A11" w14:paraId="70021C31" w14:textId="77777777" w:rsidTr="00A74788">
        <w:trPr>
          <w:cantSplit/>
          <w:trHeight w:val="290"/>
          <w:tblHeader/>
          <w:jc w:val="center"/>
        </w:trPr>
        <w:tc>
          <w:tcPr>
            <w:tcW w:w="1351" w:type="pct"/>
          </w:tcPr>
          <w:p w14:paraId="56DFCEB0" w14:textId="77777777" w:rsidR="006362DA" w:rsidRPr="00F9552B" w:rsidRDefault="006362DA" w:rsidP="00025079">
            <w:pPr>
              <w:autoSpaceDE w:val="0"/>
              <w:autoSpaceDN w:val="0"/>
              <w:adjustRightInd w:val="0"/>
              <w:contextualSpacing/>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780 à 809 jours civils</w:t>
            </w:r>
          </w:p>
        </w:tc>
        <w:tc>
          <w:tcPr>
            <w:tcW w:w="3649" w:type="pct"/>
          </w:tcPr>
          <w:p w14:paraId="63091F49" w14:textId="77777777" w:rsidR="006362DA" w:rsidRPr="00F9552B" w:rsidRDefault="006362DA" w:rsidP="00025079">
            <w:pPr>
              <w:autoSpaceDE w:val="0"/>
              <w:autoSpaceDN w:val="0"/>
              <w:adjustRightInd w:val="0"/>
              <w:contextualSpacing/>
              <w:jc w:val="center"/>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8</w:t>
            </w:r>
          </w:p>
        </w:tc>
      </w:tr>
      <w:tr w:rsidR="006362DA" w:rsidRPr="00157A11" w14:paraId="0081668D" w14:textId="77777777" w:rsidTr="00A74788">
        <w:trPr>
          <w:cantSplit/>
          <w:trHeight w:val="290"/>
          <w:tblHeader/>
          <w:jc w:val="center"/>
        </w:trPr>
        <w:tc>
          <w:tcPr>
            <w:tcW w:w="1351" w:type="pct"/>
          </w:tcPr>
          <w:p w14:paraId="1C007A7D" w14:textId="77777777" w:rsidR="006362DA" w:rsidRPr="00F9552B" w:rsidRDefault="006362DA" w:rsidP="00025079">
            <w:pPr>
              <w:autoSpaceDE w:val="0"/>
              <w:autoSpaceDN w:val="0"/>
              <w:adjustRightInd w:val="0"/>
              <w:contextualSpacing/>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810 à 839 jours civils</w:t>
            </w:r>
          </w:p>
        </w:tc>
        <w:tc>
          <w:tcPr>
            <w:tcW w:w="3649" w:type="pct"/>
          </w:tcPr>
          <w:p w14:paraId="5967DC75" w14:textId="77777777" w:rsidR="006362DA" w:rsidRPr="00F9552B" w:rsidRDefault="006362DA" w:rsidP="00025079">
            <w:pPr>
              <w:autoSpaceDE w:val="0"/>
              <w:autoSpaceDN w:val="0"/>
              <w:adjustRightInd w:val="0"/>
              <w:contextualSpacing/>
              <w:jc w:val="center"/>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4</w:t>
            </w:r>
          </w:p>
        </w:tc>
      </w:tr>
      <w:tr w:rsidR="006362DA" w:rsidRPr="00157A11" w14:paraId="39B9C05A" w14:textId="77777777" w:rsidTr="00A74788">
        <w:trPr>
          <w:cantSplit/>
          <w:trHeight w:val="290"/>
          <w:tblHeader/>
          <w:jc w:val="center"/>
        </w:trPr>
        <w:tc>
          <w:tcPr>
            <w:tcW w:w="1351" w:type="pct"/>
          </w:tcPr>
          <w:p w14:paraId="7F47CDDD" w14:textId="77777777" w:rsidR="006362DA" w:rsidRPr="00F9552B" w:rsidRDefault="006362DA" w:rsidP="00025079">
            <w:pPr>
              <w:autoSpaceDE w:val="0"/>
              <w:autoSpaceDN w:val="0"/>
              <w:adjustRightInd w:val="0"/>
              <w:contextualSpacing/>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840 à 869 jours civils</w:t>
            </w:r>
          </w:p>
        </w:tc>
        <w:tc>
          <w:tcPr>
            <w:tcW w:w="3649" w:type="pct"/>
          </w:tcPr>
          <w:p w14:paraId="00B1A2A8" w14:textId="77777777" w:rsidR="006362DA" w:rsidRPr="00F9552B" w:rsidRDefault="006362DA" w:rsidP="00025079">
            <w:pPr>
              <w:autoSpaceDE w:val="0"/>
              <w:autoSpaceDN w:val="0"/>
              <w:adjustRightInd w:val="0"/>
              <w:contextualSpacing/>
              <w:jc w:val="center"/>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10</w:t>
            </w:r>
          </w:p>
        </w:tc>
      </w:tr>
      <w:tr w:rsidR="006362DA" w:rsidRPr="00157A11" w14:paraId="64A1AC2B" w14:textId="77777777" w:rsidTr="00A74788">
        <w:trPr>
          <w:cantSplit/>
          <w:trHeight w:val="290"/>
          <w:tblHeader/>
          <w:jc w:val="center"/>
        </w:trPr>
        <w:tc>
          <w:tcPr>
            <w:tcW w:w="1351" w:type="pct"/>
          </w:tcPr>
          <w:p w14:paraId="261514D0" w14:textId="77777777" w:rsidR="006362DA" w:rsidRPr="00F9552B" w:rsidRDefault="006362DA" w:rsidP="00025079">
            <w:pPr>
              <w:autoSpaceDE w:val="0"/>
              <w:autoSpaceDN w:val="0"/>
              <w:adjustRightInd w:val="0"/>
              <w:contextualSpacing/>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870 à 899 jours civils</w:t>
            </w:r>
          </w:p>
        </w:tc>
        <w:tc>
          <w:tcPr>
            <w:tcW w:w="3649" w:type="pct"/>
          </w:tcPr>
          <w:p w14:paraId="11CC45E2" w14:textId="77777777" w:rsidR="006362DA" w:rsidRPr="00F9552B" w:rsidRDefault="006362DA" w:rsidP="00025079">
            <w:pPr>
              <w:autoSpaceDE w:val="0"/>
              <w:autoSpaceDN w:val="0"/>
              <w:adjustRightInd w:val="0"/>
              <w:contextualSpacing/>
              <w:jc w:val="center"/>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4</w:t>
            </w:r>
          </w:p>
        </w:tc>
      </w:tr>
      <w:tr w:rsidR="006362DA" w:rsidRPr="00157A11" w14:paraId="2A7D2272" w14:textId="77777777" w:rsidTr="00A74788">
        <w:trPr>
          <w:cantSplit/>
          <w:trHeight w:val="290"/>
          <w:tblHeader/>
          <w:jc w:val="center"/>
        </w:trPr>
        <w:tc>
          <w:tcPr>
            <w:tcW w:w="1351" w:type="pct"/>
          </w:tcPr>
          <w:p w14:paraId="2956C8E3" w14:textId="77777777" w:rsidR="006362DA" w:rsidRPr="00F9552B" w:rsidRDefault="006362DA" w:rsidP="00025079">
            <w:pPr>
              <w:autoSpaceDE w:val="0"/>
              <w:autoSpaceDN w:val="0"/>
              <w:adjustRightInd w:val="0"/>
              <w:contextualSpacing/>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900 à 929 jours civils</w:t>
            </w:r>
          </w:p>
        </w:tc>
        <w:tc>
          <w:tcPr>
            <w:tcW w:w="3649" w:type="pct"/>
          </w:tcPr>
          <w:p w14:paraId="01656916" w14:textId="77777777" w:rsidR="006362DA" w:rsidRPr="00F9552B" w:rsidRDefault="006362DA" w:rsidP="00025079">
            <w:pPr>
              <w:autoSpaceDE w:val="0"/>
              <w:autoSpaceDN w:val="0"/>
              <w:adjustRightInd w:val="0"/>
              <w:contextualSpacing/>
              <w:jc w:val="center"/>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5</w:t>
            </w:r>
          </w:p>
        </w:tc>
      </w:tr>
      <w:tr w:rsidR="006362DA" w:rsidRPr="00157A11" w14:paraId="46B1789E" w14:textId="77777777" w:rsidTr="00A74788">
        <w:trPr>
          <w:cantSplit/>
          <w:trHeight w:val="290"/>
          <w:tblHeader/>
          <w:jc w:val="center"/>
        </w:trPr>
        <w:tc>
          <w:tcPr>
            <w:tcW w:w="1351" w:type="pct"/>
          </w:tcPr>
          <w:p w14:paraId="1D9F44C3" w14:textId="77777777" w:rsidR="006362DA" w:rsidRPr="00F9552B" w:rsidRDefault="006362DA" w:rsidP="00025079">
            <w:pPr>
              <w:autoSpaceDE w:val="0"/>
              <w:autoSpaceDN w:val="0"/>
              <w:adjustRightInd w:val="0"/>
              <w:contextualSpacing/>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930 à 959 jours civils</w:t>
            </w:r>
          </w:p>
        </w:tc>
        <w:tc>
          <w:tcPr>
            <w:tcW w:w="3649" w:type="pct"/>
          </w:tcPr>
          <w:p w14:paraId="021DA78D" w14:textId="77777777" w:rsidR="006362DA" w:rsidRPr="00F9552B" w:rsidRDefault="006362DA" w:rsidP="00025079">
            <w:pPr>
              <w:autoSpaceDE w:val="0"/>
              <w:autoSpaceDN w:val="0"/>
              <w:adjustRightInd w:val="0"/>
              <w:contextualSpacing/>
              <w:jc w:val="center"/>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5</w:t>
            </w:r>
          </w:p>
        </w:tc>
      </w:tr>
      <w:tr w:rsidR="006362DA" w:rsidRPr="00157A11" w14:paraId="13B6FF4D" w14:textId="77777777" w:rsidTr="00A74788">
        <w:trPr>
          <w:cantSplit/>
          <w:trHeight w:val="290"/>
          <w:tblHeader/>
          <w:jc w:val="center"/>
        </w:trPr>
        <w:tc>
          <w:tcPr>
            <w:tcW w:w="1351" w:type="pct"/>
          </w:tcPr>
          <w:p w14:paraId="216D23ED" w14:textId="77777777" w:rsidR="006362DA" w:rsidRPr="00F9552B" w:rsidRDefault="006362DA" w:rsidP="00025079">
            <w:pPr>
              <w:autoSpaceDE w:val="0"/>
              <w:autoSpaceDN w:val="0"/>
              <w:adjustRightInd w:val="0"/>
              <w:contextualSpacing/>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960 à 989 jours civils</w:t>
            </w:r>
          </w:p>
        </w:tc>
        <w:tc>
          <w:tcPr>
            <w:tcW w:w="3649" w:type="pct"/>
          </w:tcPr>
          <w:p w14:paraId="7307F7B6" w14:textId="77777777" w:rsidR="006362DA" w:rsidRPr="00F9552B" w:rsidRDefault="006362DA" w:rsidP="00025079">
            <w:pPr>
              <w:autoSpaceDE w:val="0"/>
              <w:autoSpaceDN w:val="0"/>
              <w:adjustRightInd w:val="0"/>
              <w:contextualSpacing/>
              <w:jc w:val="center"/>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3</w:t>
            </w:r>
          </w:p>
        </w:tc>
      </w:tr>
      <w:tr w:rsidR="006362DA" w:rsidRPr="00157A11" w14:paraId="4751DCE0" w14:textId="77777777" w:rsidTr="00A74788">
        <w:trPr>
          <w:cantSplit/>
          <w:trHeight w:val="290"/>
          <w:tblHeader/>
          <w:jc w:val="center"/>
        </w:trPr>
        <w:tc>
          <w:tcPr>
            <w:tcW w:w="1351" w:type="pct"/>
          </w:tcPr>
          <w:p w14:paraId="6E6CDBF3" w14:textId="77777777" w:rsidR="006362DA" w:rsidRPr="00F9552B" w:rsidRDefault="006362DA" w:rsidP="00025079">
            <w:pPr>
              <w:autoSpaceDE w:val="0"/>
              <w:autoSpaceDN w:val="0"/>
              <w:adjustRightInd w:val="0"/>
              <w:contextualSpacing/>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Plus de 990 jours civils</w:t>
            </w:r>
          </w:p>
        </w:tc>
        <w:tc>
          <w:tcPr>
            <w:tcW w:w="3649" w:type="pct"/>
          </w:tcPr>
          <w:p w14:paraId="613EF535" w14:textId="77777777" w:rsidR="006362DA" w:rsidRPr="00F9552B" w:rsidRDefault="006362DA" w:rsidP="00025079">
            <w:pPr>
              <w:autoSpaceDE w:val="0"/>
              <w:autoSpaceDN w:val="0"/>
              <w:adjustRightInd w:val="0"/>
              <w:contextualSpacing/>
              <w:jc w:val="center"/>
              <w:rPr>
                <w:rFonts w:asciiTheme="minorHAnsi" w:hAnsiTheme="minorHAnsi" w:cstheme="minorHAnsi"/>
                <w:color w:val="000000"/>
                <w:sz w:val="22"/>
                <w:szCs w:val="22"/>
                <w:lang w:val="fr-CA"/>
              </w:rPr>
            </w:pPr>
            <w:r w:rsidRPr="00F9552B">
              <w:rPr>
                <w:rFonts w:asciiTheme="minorHAnsi" w:hAnsiTheme="minorHAnsi" w:cstheme="minorHAnsi"/>
                <w:color w:val="000000"/>
                <w:sz w:val="22"/>
                <w:szCs w:val="22"/>
                <w:lang w:val="fr-CA"/>
              </w:rPr>
              <w:t>23</w:t>
            </w:r>
          </w:p>
        </w:tc>
      </w:tr>
    </w:tbl>
    <w:p w14:paraId="2A93696C" w14:textId="77777777" w:rsidR="006362DA" w:rsidRPr="00157A11" w:rsidRDefault="006362DA" w:rsidP="00E01E51">
      <w:pPr>
        <w:rPr>
          <w:rFonts w:cs="Arial"/>
          <w:lang w:val="fr-CA" w:eastAsia="en-CA"/>
        </w:rPr>
      </w:pPr>
    </w:p>
    <w:p w14:paraId="74402B39" w14:textId="77777777" w:rsidR="006362DA" w:rsidRPr="00157A11" w:rsidRDefault="006362DA" w:rsidP="00E01E51">
      <w:pPr>
        <w:rPr>
          <w:rFonts w:cs="Arial"/>
          <w:lang w:val="fr-CA" w:eastAsia="en-CA"/>
        </w:rPr>
        <w:sectPr w:rsidR="006362DA" w:rsidRPr="00157A11" w:rsidSect="00025079">
          <w:pgSz w:w="12240" w:h="15840" w:code="1"/>
          <w:pgMar w:top="720" w:right="720" w:bottom="720" w:left="720" w:header="283" w:footer="170" w:gutter="0"/>
          <w:cols w:space="708"/>
          <w:titlePg/>
          <w:docGrid w:linePitch="360"/>
        </w:sectPr>
      </w:pPr>
    </w:p>
    <w:p w14:paraId="5CC7257D" w14:textId="77777777" w:rsidR="006362DA" w:rsidRPr="00157A11" w:rsidRDefault="006362DA" w:rsidP="006362DA">
      <w:pPr>
        <w:pStyle w:val="Heading1"/>
        <w:spacing w:before="120" w:after="120"/>
        <w:rPr>
          <w:sz w:val="40"/>
          <w:lang w:val="fr-CA" w:eastAsia="en-CA"/>
        </w:rPr>
      </w:pPr>
      <w:r w:rsidRPr="00157A11">
        <w:rPr>
          <w:sz w:val="40"/>
          <w:lang w:val="fr-CA" w:eastAsia="en-CA"/>
        </w:rPr>
        <w:lastRenderedPageBreak/>
        <w:t>Durée de dotation externe</w:t>
      </w:r>
    </w:p>
    <w:p w14:paraId="5EF608F2" w14:textId="77777777" w:rsidR="00973FED" w:rsidRPr="00157A11" w:rsidRDefault="00F466D9" w:rsidP="00973FED">
      <w:pPr>
        <w:keepNext/>
        <w:rPr>
          <w:lang w:val="fr-CA"/>
        </w:rPr>
      </w:pPr>
      <w:r w:rsidRPr="00157A11">
        <w:rPr>
          <w:noProof/>
          <w:lang w:val="en-CA" w:eastAsia="en-CA"/>
        </w:rPr>
        <w:drawing>
          <wp:inline distT="0" distB="0" distL="0" distR="0" wp14:anchorId="04657236" wp14:editId="42DB2A9A">
            <wp:extent cx="5648400" cy="3049200"/>
            <wp:effectExtent l="0" t="0" r="9525" b="18415"/>
            <wp:docPr id="21" name="Chart 21" descr="Durée de dotation externe médiane pour la fonction publique = 186 jours, 2018-2019&#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973FED" w:rsidRPr="00157A11">
        <w:rPr>
          <w:noProof/>
          <w:lang w:val="en-CA" w:eastAsia="en-CA"/>
        </w:rPr>
        <mc:AlternateContent>
          <mc:Choice Requires="wps">
            <w:drawing>
              <wp:inline distT="0" distB="0" distL="0" distR="0" wp14:anchorId="6CFE3D7E" wp14:editId="708A0C06">
                <wp:extent cx="5648400" cy="3049200"/>
                <wp:effectExtent l="0" t="0" r="28575" b="18415"/>
                <wp:docPr id="14" name="Text Box 14" descr="Les données sont insuffisantes pour fournir des résultats sur la durée des processus de dotation externe pour le Ministère des Femmes et de l’Égalité des genres." title="Durée du processus de dotation externe pendant l’exercice financier 2018-2019 pour l'organisme concerné"/>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400" cy="3049200"/>
                        </a:xfrm>
                        <a:prstGeom prst="rect">
                          <a:avLst/>
                        </a:prstGeom>
                        <a:solidFill>
                          <a:srgbClr val="FFFFFF"/>
                        </a:solidFill>
                        <a:ln w="9525">
                          <a:solidFill>
                            <a:srgbClr val="000000"/>
                          </a:solidFill>
                          <a:miter lim="800000"/>
                          <a:headEnd/>
                          <a:tailEnd/>
                        </a:ln>
                      </wps:spPr>
                      <wps:txbx>
                        <w:txbxContent>
                          <w:p w14:paraId="3F292C2B" w14:textId="77777777" w:rsidR="00E5209B" w:rsidRPr="00973FED" w:rsidRDefault="00E5209B" w:rsidP="00973FED">
                            <w:pPr>
                              <w:spacing w:after="240"/>
                              <w:rPr>
                                <w:rFonts w:asciiTheme="minorHAnsi" w:hAnsiTheme="minorHAnsi" w:cstheme="minorHAnsi"/>
                                <w:sz w:val="22"/>
                                <w:szCs w:val="24"/>
                                <w:lang w:val="fr-CA"/>
                              </w:rPr>
                            </w:pPr>
                            <w:r w:rsidRPr="00973FED">
                              <w:rPr>
                                <w:rFonts w:asciiTheme="minorHAnsi" w:hAnsiTheme="minorHAnsi" w:cstheme="minorHAnsi"/>
                                <w:sz w:val="22"/>
                                <w:szCs w:val="24"/>
                                <w:lang w:val="fr-CA"/>
                              </w:rPr>
                              <w:t>Durée de dotation externe</w:t>
                            </w:r>
                          </w:p>
                          <w:p w14:paraId="299034BB" w14:textId="77777777" w:rsidR="00E5209B" w:rsidRPr="00973FED" w:rsidRDefault="00E5209B" w:rsidP="00973FED">
                            <w:pPr>
                              <w:pStyle w:val="ListParagraph"/>
                              <w:ind w:left="360"/>
                              <w:rPr>
                                <w:rFonts w:asciiTheme="minorHAnsi" w:hAnsiTheme="minorHAnsi" w:cstheme="minorHAnsi"/>
                                <w:sz w:val="22"/>
                                <w:lang w:val="fr-CA"/>
                              </w:rPr>
                            </w:pPr>
                            <w:r>
                              <w:rPr>
                                <w:rFonts w:asciiTheme="minorHAnsi" w:hAnsiTheme="minorHAnsi" w:cstheme="minorHAnsi"/>
                                <w:sz w:val="22"/>
                                <w:lang w:val="fr-CA"/>
                              </w:rPr>
                              <w:t>D</w:t>
                            </w:r>
                            <w:r w:rsidRPr="00973FED">
                              <w:rPr>
                                <w:rFonts w:asciiTheme="minorHAnsi" w:hAnsiTheme="minorHAnsi" w:cstheme="minorHAnsi"/>
                                <w:sz w:val="22"/>
                                <w:lang w:val="fr-CA"/>
                              </w:rPr>
                              <w:t>urée des processus de dotation externe pour le Ministère des Femmes et de l’Égalité des genres.</w:t>
                            </w:r>
                          </w:p>
                        </w:txbxContent>
                      </wps:txbx>
                      <wps:bodyPr rot="0" vert="horz" wrap="square" lIns="91440" tIns="45720" rIns="91440" bIns="45720" anchor="t" anchorCtr="0">
                        <a:noAutofit/>
                      </wps:bodyPr>
                    </wps:wsp>
                  </a:graphicData>
                </a:graphic>
              </wp:inline>
            </w:drawing>
          </mc:Choice>
          <mc:Fallback>
            <w:pict>
              <v:shape w14:anchorId="6CFE3D7E" id="Text Box 14" o:spid="_x0000_s1027" type="#_x0000_t202" alt="Title: Durée du processus de dotation externe pendant l’exercice financier 2018-2019 pour l'organisme concerné - Description: Les données sont insuffisantes pour fournir des résultats sur la durée des processus de dotation externe pour le Ministère des Femmes et de l’Égalité des genres." style="width:444.75pt;height:2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">
                <v:textbox>
                  <w:txbxContent>
                    <w:p w14:paraId="3F292C2B" w14:textId="77777777" w:rsidR="00E5209B" w:rsidRPr="00973FED" w:rsidRDefault="00E5209B" w:rsidP="00973FED">
                      <w:pPr>
                        <w:spacing w:after="240"/>
                        <w:rPr>
                          <w:rFonts w:asciiTheme="minorHAnsi" w:hAnsiTheme="minorHAnsi" w:cstheme="minorHAnsi"/>
                          <w:sz w:val="22"/>
                          <w:szCs w:val="24"/>
                          <w:lang w:val="fr-CA"/>
                        </w:rPr>
                      </w:pPr>
                      <w:r w:rsidRPr="00973FED">
                        <w:rPr>
                          <w:rFonts w:asciiTheme="minorHAnsi" w:hAnsiTheme="minorHAnsi" w:cstheme="minorHAnsi"/>
                          <w:sz w:val="22"/>
                          <w:szCs w:val="24"/>
                          <w:lang w:val="fr-CA"/>
                        </w:rPr>
                        <w:t>Durée de dotation externe</w:t>
                      </w:r>
                    </w:p>
                    <w:p w14:paraId="299034BB" w14:textId="77777777" w:rsidR="00E5209B" w:rsidRPr="00973FED" w:rsidRDefault="00E5209B" w:rsidP="00973FED">
                      <w:pPr>
                        <w:pStyle w:val="ListParagraph"/>
                        <w:ind w:left="360"/>
                        <w:rPr>
                          <w:rFonts w:asciiTheme="minorHAnsi" w:hAnsiTheme="minorHAnsi" w:cstheme="minorHAnsi"/>
                          <w:sz w:val="22"/>
                          <w:lang w:val="fr-CA"/>
                        </w:rPr>
                      </w:pPr>
                      <w:r>
                        <w:rPr>
                          <w:rFonts w:asciiTheme="minorHAnsi" w:hAnsiTheme="minorHAnsi" w:cstheme="minorHAnsi"/>
                          <w:sz w:val="22"/>
                          <w:lang w:val="fr-CA"/>
                        </w:rPr>
                        <w:t>D</w:t>
                      </w:r>
                      <w:r w:rsidRPr="00973FED">
                        <w:rPr>
                          <w:rFonts w:asciiTheme="minorHAnsi" w:hAnsiTheme="minorHAnsi" w:cstheme="minorHAnsi"/>
                          <w:sz w:val="22"/>
                          <w:lang w:val="fr-CA"/>
                        </w:rPr>
                        <w:t>urée des processus de dotation externe pour le Ministère des Femmes et de l’Égalité des genres.</w:t>
                      </w:r>
                    </w:p>
                  </w:txbxContent>
                </v:textbox>
                <w10:anchorlock/>
              </v:shape>
            </w:pict>
          </mc:Fallback>
        </mc:AlternateContent>
      </w:r>
    </w:p>
    <w:p w14:paraId="1FC21245" w14:textId="77777777" w:rsidR="00973FED" w:rsidRPr="00157A11" w:rsidRDefault="00973FED" w:rsidP="00025079">
      <w:pPr>
        <w:pStyle w:val="Caption"/>
        <w:spacing w:after="0"/>
        <w:rPr>
          <w:rFonts w:asciiTheme="minorHAnsi" w:hAnsiTheme="minorHAnsi" w:cstheme="minorHAnsi"/>
          <w:i w:val="0"/>
          <w:color w:val="auto"/>
          <w:lang w:val="fr-CA"/>
        </w:rPr>
      </w:pPr>
      <w:r w:rsidRPr="00157A11">
        <w:rPr>
          <w:rFonts w:asciiTheme="minorHAnsi" w:hAnsiTheme="minorHAnsi" w:cstheme="minorHAnsi"/>
          <w:i w:val="0"/>
          <w:color w:val="auto"/>
          <w:lang w:val="fr-CA"/>
        </w:rPr>
        <w:t xml:space="preserve">Figure </w:t>
      </w:r>
      <w:r w:rsidRPr="00157A11">
        <w:rPr>
          <w:rFonts w:asciiTheme="minorHAnsi" w:hAnsiTheme="minorHAnsi" w:cstheme="minorHAnsi"/>
          <w:i w:val="0"/>
          <w:color w:val="auto"/>
          <w:lang w:val="fr-CA"/>
        </w:rPr>
        <w:fldChar w:fldCharType="begin"/>
      </w:r>
      <w:r w:rsidRPr="00157A11">
        <w:rPr>
          <w:rFonts w:asciiTheme="minorHAnsi" w:hAnsiTheme="minorHAnsi" w:cstheme="minorHAnsi"/>
          <w:i w:val="0"/>
          <w:color w:val="auto"/>
          <w:lang w:val="fr-CA"/>
        </w:rPr>
        <w:instrText xml:space="preserve"> SEQ Figure \* ARABIC </w:instrText>
      </w:r>
      <w:r w:rsidRPr="00157A11">
        <w:rPr>
          <w:rFonts w:asciiTheme="minorHAnsi" w:hAnsiTheme="minorHAnsi" w:cstheme="minorHAnsi"/>
          <w:i w:val="0"/>
          <w:color w:val="auto"/>
          <w:lang w:val="fr-CA"/>
        </w:rPr>
        <w:fldChar w:fldCharType="separate"/>
      </w:r>
      <w:r w:rsidRPr="00157A11">
        <w:rPr>
          <w:rFonts w:asciiTheme="minorHAnsi" w:hAnsiTheme="minorHAnsi" w:cstheme="minorHAnsi"/>
          <w:i w:val="0"/>
          <w:noProof/>
          <w:color w:val="auto"/>
          <w:lang w:val="fr-CA"/>
        </w:rPr>
        <w:t>13</w:t>
      </w:r>
      <w:r w:rsidRPr="00157A11">
        <w:rPr>
          <w:rFonts w:asciiTheme="minorHAnsi" w:hAnsiTheme="minorHAnsi" w:cstheme="minorHAnsi"/>
          <w:i w:val="0"/>
          <w:color w:val="auto"/>
          <w:lang w:val="fr-CA"/>
        </w:rPr>
        <w:fldChar w:fldCharType="end"/>
      </w:r>
      <w:r w:rsidRPr="00157A11">
        <w:rPr>
          <w:rFonts w:asciiTheme="minorHAnsi" w:hAnsiTheme="minorHAnsi" w:cstheme="minorHAnsi"/>
          <w:i w:val="0"/>
          <w:color w:val="auto"/>
          <w:lang w:val="fr-CA"/>
        </w:rPr>
        <w:t xml:space="preserve"> - Durée de dotation externe Médiane pour la fonction publique = 186 jours, 2018-2019</w:t>
      </w:r>
    </w:p>
    <w:p w14:paraId="7343992F" w14:textId="77777777" w:rsidR="00ED685A" w:rsidRPr="00157A11" w:rsidRDefault="00863029" w:rsidP="00025079">
      <w:pPr>
        <w:spacing w:before="240" w:after="120"/>
        <w:rPr>
          <w:rFonts w:cs="Arial"/>
          <w:lang w:val="fr-CA" w:eastAsia="en-CA"/>
        </w:rPr>
      </w:pPr>
      <w:hyperlink w:anchor="Durée_dotation_externe" w:history="1">
        <w:r w:rsidR="00973FED" w:rsidRPr="00157A11">
          <w:rPr>
            <w:rStyle w:val="Hyperlink"/>
            <w:rFonts w:asciiTheme="minorHAnsi" w:eastAsiaTheme="minorHAnsi" w:hAnsiTheme="minorHAnsi" w:cstheme="minorHAnsi"/>
            <w:sz w:val="22"/>
            <w:szCs w:val="22"/>
            <w:lang w:val="fr-CA"/>
          </w:rPr>
          <w:t>Tableau des données sur la durée de dotation externe disponible ici</w:t>
        </w:r>
      </w:hyperlink>
    </w:p>
    <w:p w14:paraId="0358A227" w14:textId="77777777" w:rsidR="00973FED" w:rsidRPr="00157A11" w:rsidRDefault="00973FED" w:rsidP="00E01E51">
      <w:pPr>
        <w:rPr>
          <w:rFonts w:cs="Arial"/>
          <w:lang w:val="fr-CA" w:eastAsia="en-CA"/>
        </w:rPr>
      </w:pPr>
    </w:p>
    <w:p w14:paraId="7A51723A" w14:textId="77777777" w:rsidR="00973FED" w:rsidRPr="00157A11" w:rsidRDefault="00973FED" w:rsidP="00E01E51">
      <w:pPr>
        <w:rPr>
          <w:rFonts w:cs="Arial"/>
          <w:lang w:val="fr-CA" w:eastAsia="en-CA"/>
        </w:rPr>
        <w:sectPr w:rsidR="00973FED" w:rsidRPr="00157A11" w:rsidSect="00973FED">
          <w:pgSz w:w="20160" w:h="12240" w:orient="landscape" w:code="5"/>
          <w:pgMar w:top="720" w:right="720" w:bottom="720" w:left="720" w:header="283" w:footer="170" w:gutter="0"/>
          <w:cols w:space="708"/>
          <w:titlePg/>
          <w:docGrid w:linePitch="360"/>
        </w:sectPr>
      </w:pPr>
    </w:p>
    <w:p w14:paraId="219826E4" w14:textId="77777777" w:rsidR="00973FED" w:rsidRPr="00157A11" w:rsidRDefault="00973FED" w:rsidP="00025079">
      <w:pPr>
        <w:spacing w:after="120"/>
        <w:rPr>
          <w:rFonts w:asciiTheme="minorHAnsi" w:hAnsiTheme="minorHAnsi" w:cstheme="minorHAnsi"/>
          <w:sz w:val="22"/>
          <w:lang w:val="fr-CA" w:eastAsia="en-CA"/>
        </w:rPr>
      </w:pPr>
      <w:r w:rsidRPr="00157A11">
        <w:rPr>
          <w:rFonts w:asciiTheme="minorHAnsi" w:hAnsiTheme="minorHAnsi" w:cstheme="minorHAnsi"/>
          <w:sz w:val="22"/>
          <w:lang w:val="fr-CA" w:eastAsia="en-CA"/>
        </w:rPr>
        <w:t>La durée de dotation externe est calculée en tant que le nombre de jours civils entre la date d’ouverture de l’annonce et la date estimée de la première embauche externe</w:t>
      </w:r>
    </w:p>
    <w:p w14:paraId="6518AA34" w14:textId="77777777" w:rsidR="00973FED" w:rsidRPr="00157A11" w:rsidRDefault="00973FED" w:rsidP="003E00F5">
      <w:pPr>
        <w:rPr>
          <w:rFonts w:asciiTheme="minorHAnsi" w:hAnsiTheme="minorHAnsi" w:cstheme="minorHAnsi"/>
          <w:sz w:val="22"/>
          <w:lang w:val="fr-CA" w:eastAsia="en-CA"/>
        </w:rPr>
      </w:pPr>
      <w:r w:rsidRPr="00157A11">
        <w:rPr>
          <w:rFonts w:asciiTheme="minorHAnsi" w:hAnsiTheme="minorHAnsi" w:cstheme="minorHAnsi"/>
          <w:sz w:val="22"/>
          <w:lang w:val="fr-CA" w:eastAsia="en-CA"/>
        </w:rPr>
        <w:t xml:space="preserve">La durée médiane de dotation externe pour la fonction publique (organisations assujetties à la </w:t>
      </w:r>
      <w:r w:rsidRPr="00157A11">
        <w:rPr>
          <w:rStyle w:val="Emphasis"/>
          <w:rFonts w:asciiTheme="minorHAnsi" w:hAnsiTheme="minorHAnsi" w:cstheme="minorHAnsi"/>
          <w:sz w:val="22"/>
          <w:lang w:val="fr-CA"/>
        </w:rPr>
        <w:t>Loi sur l’emploi dans la fonction publiques</w:t>
      </w:r>
      <w:r w:rsidRPr="00157A11">
        <w:rPr>
          <w:rFonts w:asciiTheme="minorHAnsi" w:hAnsiTheme="minorHAnsi" w:cstheme="minorHAnsi"/>
          <w:i/>
          <w:sz w:val="20"/>
          <w:lang w:val="fr-CA" w:eastAsia="en-CA"/>
        </w:rPr>
        <w:t xml:space="preserve"> </w:t>
      </w:r>
      <w:r w:rsidRPr="00157A11">
        <w:rPr>
          <w:rFonts w:asciiTheme="minorHAnsi" w:hAnsiTheme="minorHAnsi" w:cstheme="minorHAnsi"/>
          <w:sz w:val="22"/>
          <w:lang w:val="fr-CA" w:eastAsia="en-CA"/>
        </w:rPr>
        <w:t>(LEFP)) pour l’exercice financier 2018 à 2019 est 186 jours</w:t>
      </w:r>
    </w:p>
    <w:p w14:paraId="7E4681A0" w14:textId="77777777" w:rsidR="00025079" w:rsidRPr="00157A11" w:rsidRDefault="00025079" w:rsidP="00025079">
      <w:pPr>
        <w:rPr>
          <w:rStyle w:val="Strong"/>
          <w:lang w:val="fr-CA"/>
        </w:rPr>
      </w:pPr>
      <w:r w:rsidRPr="00157A11">
        <w:rPr>
          <w:rStyle w:val="Strong"/>
          <w:lang w:val="fr-CA"/>
        </w:rPr>
        <w:t>Durée de dotation externe pour l’exercice financier 2018 à 2019</w:t>
      </w:r>
    </w:p>
    <w:p w14:paraId="71E7D72D" w14:textId="77777777" w:rsidR="00973FED" w:rsidRPr="00157A11" w:rsidRDefault="00973FED" w:rsidP="003E00F5">
      <w:pPr>
        <w:rPr>
          <w:rFonts w:asciiTheme="minorHAnsi" w:hAnsiTheme="minorHAnsi" w:cstheme="minorHAnsi"/>
          <w:sz w:val="22"/>
          <w:lang w:val="fr-CA"/>
        </w:rPr>
      </w:pPr>
      <w:r w:rsidRPr="00157A11">
        <w:rPr>
          <w:rFonts w:asciiTheme="minorHAnsi" w:hAnsiTheme="minorHAnsi" w:cstheme="minorHAnsi"/>
          <w:sz w:val="22"/>
          <w:lang w:val="fr-CA"/>
        </w:rPr>
        <w:t>Les données sont insuffisantes pour fournir des résultats sur la durée des processus de dotation externe pour le Ministère des Femmes et de l’Égalité des genres.</w:t>
      </w:r>
    </w:p>
    <w:p w14:paraId="6636C385" w14:textId="77777777" w:rsidR="00973FED" w:rsidRPr="00157A11" w:rsidRDefault="00973FED" w:rsidP="00E01E51">
      <w:pPr>
        <w:rPr>
          <w:rFonts w:asciiTheme="minorHAnsi" w:hAnsiTheme="minorHAnsi" w:cstheme="minorHAnsi"/>
          <w:sz w:val="22"/>
          <w:lang w:val="fr-CA" w:eastAsia="en-CA"/>
        </w:rPr>
      </w:pPr>
    </w:p>
    <w:p w14:paraId="5DF7ADFD" w14:textId="77777777" w:rsidR="00973FED" w:rsidRPr="00157A11" w:rsidRDefault="00973FED" w:rsidP="00E01E51">
      <w:pPr>
        <w:rPr>
          <w:rFonts w:asciiTheme="minorHAnsi" w:hAnsiTheme="minorHAnsi" w:cstheme="minorHAnsi"/>
          <w:sz w:val="22"/>
          <w:lang w:val="fr-CA" w:eastAsia="en-CA"/>
        </w:rPr>
        <w:sectPr w:rsidR="00973FED" w:rsidRPr="00157A11" w:rsidSect="00973FED">
          <w:type w:val="continuous"/>
          <w:pgSz w:w="20160" w:h="12240" w:orient="landscape" w:code="5"/>
          <w:pgMar w:top="720" w:right="720" w:bottom="720" w:left="720" w:header="283" w:footer="170" w:gutter="0"/>
          <w:cols w:num="2" w:space="708"/>
          <w:titlePg/>
          <w:docGrid w:linePitch="360"/>
        </w:sectPr>
      </w:pPr>
    </w:p>
    <w:p w14:paraId="01DAB99A" w14:textId="77777777" w:rsidR="00973FED" w:rsidRPr="00157A11" w:rsidRDefault="00973FED" w:rsidP="00E01E51">
      <w:pPr>
        <w:rPr>
          <w:rFonts w:cs="Arial"/>
          <w:lang w:val="fr-CA" w:eastAsia="en-CA"/>
        </w:rPr>
      </w:pPr>
    </w:p>
    <w:p w14:paraId="3F0EF1A2" w14:textId="77777777" w:rsidR="00ED685A" w:rsidRPr="00157A11" w:rsidRDefault="00ED685A" w:rsidP="00E01E51">
      <w:pPr>
        <w:rPr>
          <w:rFonts w:cs="Arial"/>
          <w:lang w:val="fr-CA" w:eastAsia="en-CA"/>
        </w:rPr>
        <w:sectPr w:rsidR="00ED685A" w:rsidRPr="00157A11" w:rsidSect="00973FED">
          <w:type w:val="continuous"/>
          <w:pgSz w:w="20160" w:h="12240" w:orient="landscape" w:code="5"/>
          <w:pgMar w:top="720" w:right="720" w:bottom="720" w:left="720" w:header="283" w:footer="170" w:gutter="0"/>
          <w:cols w:space="708"/>
          <w:titlePg/>
          <w:docGrid w:linePitch="360"/>
        </w:sectPr>
      </w:pPr>
    </w:p>
    <w:p w14:paraId="3B589F88" w14:textId="77777777" w:rsidR="00973FED" w:rsidRPr="00157A11" w:rsidRDefault="00973FED" w:rsidP="00973FED">
      <w:pPr>
        <w:pStyle w:val="Heading1"/>
        <w:spacing w:before="120" w:after="120"/>
        <w:rPr>
          <w:sz w:val="40"/>
          <w:lang w:val="fr-CA"/>
        </w:rPr>
      </w:pPr>
      <w:r w:rsidRPr="00157A11">
        <w:rPr>
          <w:sz w:val="40"/>
          <w:lang w:val="fr-CA"/>
        </w:rPr>
        <w:lastRenderedPageBreak/>
        <w:t>Durée de dotation externe</w:t>
      </w:r>
    </w:p>
    <w:p w14:paraId="51ED006B" w14:textId="77777777" w:rsidR="00025079" w:rsidRPr="00025079" w:rsidRDefault="00025079" w:rsidP="00025079">
      <w:pPr>
        <w:pStyle w:val="Caption"/>
        <w:keepNext/>
        <w:spacing w:after="0"/>
        <w:rPr>
          <w:rFonts w:asciiTheme="minorHAnsi" w:hAnsiTheme="minorHAnsi" w:cstheme="minorHAnsi"/>
          <w:i w:val="0"/>
          <w:color w:val="auto"/>
          <w:lang w:val="fr-CA"/>
        </w:rPr>
      </w:pPr>
      <w:r w:rsidRPr="00025079">
        <w:rPr>
          <w:rFonts w:asciiTheme="minorHAnsi" w:hAnsiTheme="minorHAnsi" w:cstheme="minorHAnsi"/>
          <w:i w:val="0"/>
          <w:color w:val="auto"/>
          <w:lang w:val="fr-CA"/>
        </w:rPr>
        <w:t xml:space="preserve">Table </w:t>
      </w:r>
      <w:r w:rsidRPr="00025079">
        <w:rPr>
          <w:rFonts w:asciiTheme="minorHAnsi" w:hAnsiTheme="minorHAnsi" w:cstheme="minorHAnsi"/>
          <w:i w:val="0"/>
          <w:color w:val="auto"/>
        </w:rPr>
        <w:fldChar w:fldCharType="begin"/>
      </w:r>
      <w:r w:rsidRPr="00025079">
        <w:rPr>
          <w:rFonts w:asciiTheme="minorHAnsi" w:hAnsiTheme="minorHAnsi" w:cstheme="minorHAnsi"/>
          <w:i w:val="0"/>
          <w:color w:val="auto"/>
          <w:lang w:val="fr-CA"/>
        </w:rPr>
        <w:instrText xml:space="preserve"> SEQ Table \* ARABIC </w:instrText>
      </w:r>
      <w:r w:rsidRPr="00025079">
        <w:rPr>
          <w:rFonts w:asciiTheme="minorHAnsi" w:hAnsiTheme="minorHAnsi" w:cstheme="minorHAnsi"/>
          <w:i w:val="0"/>
          <w:color w:val="auto"/>
        </w:rPr>
        <w:fldChar w:fldCharType="separate"/>
      </w:r>
      <w:r w:rsidRPr="00025079">
        <w:rPr>
          <w:rFonts w:asciiTheme="minorHAnsi" w:hAnsiTheme="minorHAnsi" w:cstheme="minorHAnsi"/>
          <w:i w:val="0"/>
          <w:noProof/>
          <w:color w:val="auto"/>
          <w:lang w:val="fr-CA"/>
        </w:rPr>
        <w:t>14</w:t>
      </w:r>
      <w:r w:rsidRPr="00025079">
        <w:rPr>
          <w:rFonts w:asciiTheme="minorHAnsi" w:hAnsiTheme="minorHAnsi" w:cstheme="minorHAnsi"/>
          <w:i w:val="0"/>
          <w:color w:val="auto"/>
        </w:rPr>
        <w:fldChar w:fldCharType="end"/>
      </w:r>
      <w:r w:rsidRPr="00025079">
        <w:rPr>
          <w:rFonts w:asciiTheme="minorHAnsi" w:hAnsiTheme="minorHAnsi" w:cstheme="minorHAnsi"/>
          <w:i w:val="0"/>
          <w:color w:val="auto"/>
          <w:lang w:val="fr-CA"/>
        </w:rPr>
        <w:t xml:space="preserve"> - Durée de dotation externe</w:t>
      </w:r>
    </w:p>
    <w:tbl>
      <w:tblPr>
        <w:tblStyle w:val="TableGrid"/>
        <w:tblW w:w="5000" w:type="pct"/>
        <w:jc w:val="center"/>
        <w:tblLook w:val="0020" w:firstRow="1" w:lastRow="0" w:firstColumn="0" w:lastColumn="0" w:noHBand="0" w:noVBand="0"/>
        <w:tblDescription w:val="Durée des processus de dotation externe"/>
      </w:tblPr>
      <w:tblGrid>
        <w:gridCol w:w="2516"/>
        <w:gridCol w:w="8274"/>
      </w:tblGrid>
      <w:tr w:rsidR="00014249" w:rsidRPr="00A74788" w14:paraId="780180B5" w14:textId="77777777" w:rsidTr="00A74788">
        <w:trPr>
          <w:cantSplit/>
          <w:trHeight w:val="290"/>
          <w:tblHeader/>
          <w:jc w:val="center"/>
        </w:trPr>
        <w:tc>
          <w:tcPr>
            <w:tcW w:w="1166" w:type="pct"/>
          </w:tcPr>
          <w:p w14:paraId="0C35E4D0" w14:textId="77777777" w:rsidR="00014249" w:rsidRPr="00157A11" w:rsidRDefault="00014249" w:rsidP="00025079">
            <w:pPr>
              <w:pStyle w:val="TableTitle"/>
              <w:contextualSpacing/>
              <w:rPr>
                <w:lang w:val="fr-CA"/>
              </w:rPr>
            </w:pPr>
            <w:bookmarkStart w:id="3" w:name="Durée_dotation_externe"/>
            <w:r w:rsidRPr="00157A11">
              <w:rPr>
                <w:lang w:val="fr-CA"/>
              </w:rPr>
              <w:t>Nombre de jours civils</w:t>
            </w:r>
            <w:bookmarkEnd w:id="3"/>
          </w:p>
        </w:tc>
        <w:tc>
          <w:tcPr>
            <w:tcW w:w="3834" w:type="pct"/>
          </w:tcPr>
          <w:p w14:paraId="0A97AE2C" w14:textId="77777777" w:rsidR="00014249" w:rsidRPr="00157A11" w:rsidRDefault="00014249" w:rsidP="00025079">
            <w:pPr>
              <w:pStyle w:val="TableTitle"/>
              <w:contextualSpacing/>
              <w:rPr>
                <w:lang w:val="fr-CA"/>
              </w:rPr>
            </w:pPr>
            <w:r w:rsidRPr="00157A11">
              <w:rPr>
                <w:lang w:val="fr-CA"/>
              </w:rPr>
              <w:t>Le nombre de premières embauches externes dans un processus externe (durée de dotation externe) dans les organisations assujetties à la</w:t>
            </w:r>
            <w:r w:rsidRPr="00157A11">
              <w:rPr>
                <w:i/>
                <w:lang w:val="fr-CA"/>
              </w:rPr>
              <w:t xml:space="preserve"> </w:t>
            </w:r>
            <w:r w:rsidRPr="00157A11">
              <w:rPr>
                <w:rStyle w:val="Emphasis"/>
                <w:lang w:val="fr-CA"/>
              </w:rPr>
              <w:t>Loi sur l’emploi dans la fonction publique</w:t>
            </w:r>
            <w:r w:rsidRPr="00157A11">
              <w:rPr>
                <w:i/>
                <w:lang w:val="fr-CA"/>
              </w:rPr>
              <w:t xml:space="preserve">, </w:t>
            </w:r>
            <w:r w:rsidRPr="00157A11">
              <w:rPr>
                <w:lang w:val="fr-CA"/>
              </w:rPr>
              <w:t>dans le nombre de jours civils spécifié</w:t>
            </w:r>
          </w:p>
        </w:tc>
      </w:tr>
      <w:tr w:rsidR="00014249" w:rsidRPr="00B643C9" w14:paraId="769FD0F3" w14:textId="77777777" w:rsidTr="00A74788">
        <w:trPr>
          <w:cantSplit/>
          <w:trHeight w:val="290"/>
          <w:tblHeader/>
          <w:jc w:val="center"/>
        </w:trPr>
        <w:tc>
          <w:tcPr>
            <w:tcW w:w="1166" w:type="pct"/>
          </w:tcPr>
          <w:p w14:paraId="6CB39ED4" w14:textId="77777777" w:rsidR="00014249" w:rsidRPr="00B643C9" w:rsidRDefault="00014249" w:rsidP="00025079">
            <w:pPr>
              <w:autoSpaceDE w:val="0"/>
              <w:autoSpaceDN w:val="0"/>
              <w:adjustRightInd w:val="0"/>
              <w:contextualSpacing/>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0 jours civils</w:t>
            </w:r>
          </w:p>
        </w:tc>
        <w:tc>
          <w:tcPr>
            <w:tcW w:w="3834" w:type="pct"/>
          </w:tcPr>
          <w:p w14:paraId="41E12D9E" w14:textId="77777777" w:rsidR="00014249" w:rsidRPr="00B643C9" w:rsidRDefault="00014249" w:rsidP="00025079">
            <w:pPr>
              <w:autoSpaceDE w:val="0"/>
              <w:autoSpaceDN w:val="0"/>
              <w:adjustRightInd w:val="0"/>
              <w:contextualSpacing/>
              <w:jc w:val="center"/>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0</w:t>
            </w:r>
          </w:p>
        </w:tc>
      </w:tr>
      <w:tr w:rsidR="00014249" w:rsidRPr="00B643C9" w14:paraId="1BF91B3F" w14:textId="77777777" w:rsidTr="00A74788">
        <w:trPr>
          <w:cantSplit/>
          <w:trHeight w:val="290"/>
          <w:tblHeader/>
          <w:jc w:val="center"/>
        </w:trPr>
        <w:tc>
          <w:tcPr>
            <w:tcW w:w="1166" w:type="pct"/>
          </w:tcPr>
          <w:p w14:paraId="6C1FF036" w14:textId="77777777" w:rsidR="00014249" w:rsidRPr="00B643C9" w:rsidRDefault="00014249" w:rsidP="00025079">
            <w:pPr>
              <w:autoSpaceDE w:val="0"/>
              <w:autoSpaceDN w:val="0"/>
              <w:adjustRightInd w:val="0"/>
              <w:contextualSpacing/>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0 à 29 jours civils</w:t>
            </w:r>
          </w:p>
        </w:tc>
        <w:tc>
          <w:tcPr>
            <w:tcW w:w="3834" w:type="pct"/>
          </w:tcPr>
          <w:p w14:paraId="204F443A" w14:textId="77777777" w:rsidR="00014249" w:rsidRPr="00B643C9" w:rsidRDefault="00014249" w:rsidP="00025079">
            <w:pPr>
              <w:autoSpaceDE w:val="0"/>
              <w:autoSpaceDN w:val="0"/>
              <w:adjustRightInd w:val="0"/>
              <w:contextualSpacing/>
              <w:jc w:val="center"/>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49</w:t>
            </w:r>
          </w:p>
        </w:tc>
      </w:tr>
      <w:tr w:rsidR="00014249" w:rsidRPr="00B643C9" w14:paraId="3F575DA2" w14:textId="77777777" w:rsidTr="00A74788">
        <w:trPr>
          <w:cantSplit/>
          <w:trHeight w:val="290"/>
          <w:tblHeader/>
          <w:jc w:val="center"/>
        </w:trPr>
        <w:tc>
          <w:tcPr>
            <w:tcW w:w="1166" w:type="pct"/>
          </w:tcPr>
          <w:p w14:paraId="3E96FFE0" w14:textId="77777777" w:rsidR="00014249" w:rsidRPr="00B643C9" w:rsidRDefault="00014249" w:rsidP="00025079">
            <w:pPr>
              <w:autoSpaceDE w:val="0"/>
              <w:autoSpaceDN w:val="0"/>
              <w:adjustRightInd w:val="0"/>
              <w:contextualSpacing/>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30 à 59 jours civils</w:t>
            </w:r>
          </w:p>
        </w:tc>
        <w:tc>
          <w:tcPr>
            <w:tcW w:w="3834" w:type="pct"/>
          </w:tcPr>
          <w:p w14:paraId="41E312DC" w14:textId="77777777" w:rsidR="00014249" w:rsidRPr="00B643C9" w:rsidRDefault="00014249" w:rsidP="00025079">
            <w:pPr>
              <w:autoSpaceDE w:val="0"/>
              <w:autoSpaceDN w:val="0"/>
              <w:adjustRightInd w:val="0"/>
              <w:contextualSpacing/>
              <w:jc w:val="center"/>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82</w:t>
            </w:r>
          </w:p>
        </w:tc>
      </w:tr>
      <w:tr w:rsidR="00014249" w:rsidRPr="00B643C9" w14:paraId="6ABF337A" w14:textId="77777777" w:rsidTr="00A74788">
        <w:trPr>
          <w:cantSplit/>
          <w:trHeight w:val="290"/>
          <w:tblHeader/>
          <w:jc w:val="center"/>
        </w:trPr>
        <w:tc>
          <w:tcPr>
            <w:tcW w:w="1166" w:type="pct"/>
          </w:tcPr>
          <w:p w14:paraId="15AFF648" w14:textId="77777777" w:rsidR="00014249" w:rsidRPr="00B643C9" w:rsidRDefault="00014249" w:rsidP="00025079">
            <w:pPr>
              <w:autoSpaceDE w:val="0"/>
              <w:autoSpaceDN w:val="0"/>
              <w:adjustRightInd w:val="0"/>
              <w:contextualSpacing/>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60 à 89 jours civils</w:t>
            </w:r>
          </w:p>
        </w:tc>
        <w:tc>
          <w:tcPr>
            <w:tcW w:w="3834" w:type="pct"/>
          </w:tcPr>
          <w:p w14:paraId="1A87E740" w14:textId="77777777" w:rsidR="00014249" w:rsidRPr="00B643C9" w:rsidRDefault="00014249" w:rsidP="00025079">
            <w:pPr>
              <w:autoSpaceDE w:val="0"/>
              <w:autoSpaceDN w:val="0"/>
              <w:adjustRightInd w:val="0"/>
              <w:contextualSpacing/>
              <w:jc w:val="center"/>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124</w:t>
            </w:r>
          </w:p>
        </w:tc>
      </w:tr>
      <w:tr w:rsidR="00014249" w:rsidRPr="00B643C9" w14:paraId="6B3F3226" w14:textId="77777777" w:rsidTr="00A74788">
        <w:trPr>
          <w:cantSplit/>
          <w:trHeight w:val="290"/>
          <w:tblHeader/>
          <w:jc w:val="center"/>
        </w:trPr>
        <w:tc>
          <w:tcPr>
            <w:tcW w:w="1166" w:type="pct"/>
          </w:tcPr>
          <w:p w14:paraId="4426B61F" w14:textId="77777777" w:rsidR="00014249" w:rsidRPr="00B643C9" w:rsidRDefault="00014249" w:rsidP="00025079">
            <w:pPr>
              <w:autoSpaceDE w:val="0"/>
              <w:autoSpaceDN w:val="0"/>
              <w:adjustRightInd w:val="0"/>
              <w:contextualSpacing/>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90 à 119 jours civils</w:t>
            </w:r>
          </w:p>
        </w:tc>
        <w:tc>
          <w:tcPr>
            <w:tcW w:w="3834" w:type="pct"/>
          </w:tcPr>
          <w:p w14:paraId="1C25A532" w14:textId="77777777" w:rsidR="00014249" w:rsidRPr="00B643C9" w:rsidRDefault="00014249" w:rsidP="00025079">
            <w:pPr>
              <w:autoSpaceDE w:val="0"/>
              <w:autoSpaceDN w:val="0"/>
              <w:adjustRightInd w:val="0"/>
              <w:contextualSpacing/>
              <w:jc w:val="center"/>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160</w:t>
            </w:r>
          </w:p>
        </w:tc>
      </w:tr>
      <w:tr w:rsidR="00014249" w:rsidRPr="00B643C9" w14:paraId="295CC2B9" w14:textId="77777777" w:rsidTr="00A74788">
        <w:trPr>
          <w:cantSplit/>
          <w:trHeight w:val="290"/>
          <w:tblHeader/>
          <w:jc w:val="center"/>
        </w:trPr>
        <w:tc>
          <w:tcPr>
            <w:tcW w:w="1166" w:type="pct"/>
          </w:tcPr>
          <w:p w14:paraId="7273C47A" w14:textId="77777777" w:rsidR="00014249" w:rsidRPr="00B643C9" w:rsidRDefault="00014249" w:rsidP="00025079">
            <w:pPr>
              <w:autoSpaceDE w:val="0"/>
              <w:autoSpaceDN w:val="0"/>
              <w:adjustRightInd w:val="0"/>
              <w:contextualSpacing/>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120 à 149 jours civils</w:t>
            </w:r>
          </w:p>
        </w:tc>
        <w:tc>
          <w:tcPr>
            <w:tcW w:w="3834" w:type="pct"/>
          </w:tcPr>
          <w:p w14:paraId="5E457315" w14:textId="77777777" w:rsidR="00014249" w:rsidRPr="00B643C9" w:rsidRDefault="00014249" w:rsidP="00025079">
            <w:pPr>
              <w:autoSpaceDE w:val="0"/>
              <w:autoSpaceDN w:val="0"/>
              <w:adjustRightInd w:val="0"/>
              <w:contextualSpacing/>
              <w:jc w:val="center"/>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181</w:t>
            </w:r>
          </w:p>
        </w:tc>
      </w:tr>
      <w:tr w:rsidR="00014249" w:rsidRPr="00B643C9" w14:paraId="300B31CF" w14:textId="77777777" w:rsidTr="00A74788">
        <w:trPr>
          <w:cantSplit/>
          <w:trHeight w:val="290"/>
          <w:tblHeader/>
          <w:jc w:val="center"/>
        </w:trPr>
        <w:tc>
          <w:tcPr>
            <w:tcW w:w="1166" w:type="pct"/>
          </w:tcPr>
          <w:p w14:paraId="66A701BB" w14:textId="77777777" w:rsidR="00014249" w:rsidRPr="00B643C9" w:rsidRDefault="00014249" w:rsidP="00025079">
            <w:pPr>
              <w:autoSpaceDE w:val="0"/>
              <w:autoSpaceDN w:val="0"/>
              <w:adjustRightInd w:val="0"/>
              <w:contextualSpacing/>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150 à 179 jours civils</w:t>
            </w:r>
          </w:p>
        </w:tc>
        <w:tc>
          <w:tcPr>
            <w:tcW w:w="3834" w:type="pct"/>
          </w:tcPr>
          <w:p w14:paraId="2FFA4A90" w14:textId="77777777" w:rsidR="00014249" w:rsidRPr="00B643C9" w:rsidRDefault="00014249" w:rsidP="00025079">
            <w:pPr>
              <w:autoSpaceDE w:val="0"/>
              <w:autoSpaceDN w:val="0"/>
              <w:adjustRightInd w:val="0"/>
              <w:contextualSpacing/>
              <w:jc w:val="center"/>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179</w:t>
            </w:r>
          </w:p>
        </w:tc>
      </w:tr>
      <w:tr w:rsidR="00014249" w:rsidRPr="00B643C9" w14:paraId="496E623E" w14:textId="77777777" w:rsidTr="00A74788">
        <w:trPr>
          <w:cantSplit/>
          <w:trHeight w:val="290"/>
          <w:tblHeader/>
          <w:jc w:val="center"/>
        </w:trPr>
        <w:tc>
          <w:tcPr>
            <w:tcW w:w="1166" w:type="pct"/>
          </w:tcPr>
          <w:p w14:paraId="38828E38" w14:textId="77777777" w:rsidR="00014249" w:rsidRPr="00B643C9" w:rsidRDefault="00014249" w:rsidP="00025079">
            <w:pPr>
              <w:autoSpaceDE w:val="0"/>
              <w:autoSpaceDN w:val="0"/>
              <w:adjustRightInd w:val="0"/>
              <w:contextualSpacing/>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180 à 209 jours civils</w:t>
            </w:r>
          </w:p>
        </w:tc>
        <w:tc>
          <w:tcPr>
            <w:tcW w:w="3834" w:type="pct"/>
          </w:tcPr>
          <w:p w14:paraId="0396C0C8" w14:textId="77777777" w:rsidR="00014249" w:rsidRPr="00B643C9" w:rsidRDefault="00014249" w:rsidP="00025079">
            <w:pPr>
              <w:autoSpaceDE w:val="0"/>
              <w:autoSpaceDN w:val="0"/>
              <w:adjustRightInd w:val="0"/>
              <w:contextualSpacing/>
              <w:jc w:val="center"/>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160</w:t>
            </w:r>
          </w:p>
        </w:tc>
      </w:tr>
      <w:tr w:rsidR="00014249" w:rsidRPr="00B643C9" w14:paraId="0E7C8D81" w14:textId="77777777" w:rsidTr="00A74788">
        <w:trPr>
          <w:cantSplit/>
          <w:trHeight w:val="290"/>
          <w:tblHeader/>
          <w:jc w:val="center"/>
        </w:trPr>
        <w:tc>
          <w:tcPr>
            <w:tcW w:w="1166" w:type="pct"/>
          </w:tcPr>
          <w:p w14:paraId="2ABBB719" w14:textId="77777777" w:rsidR="00014249" w:rsidRPr="00B643C9" w:rsidRDefault="00014249" w:rsidP="00025079">
            <w:pPr>
              <w:autoSpaceDE w:val="0"/>
              <w:autoSpaceDN w:val="0"/>
              <w:adjustRightInd w:val="0"/>
              <w:contextualSpacing/>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210 à 239 jours civils</w:t>
            </w:r>
          </w:p>
        </w:tc>
        <w:tc>
          <w:tcPr>
            <w:tcW w:w="3834" w:type="pct"/>
          </w:tcPr>
          <w:p w14:paraId="7E6BF400" w14:textId="77777777" w:rsidR="00014249" w:rsidRPr="00B643C9" w:rsidRDefault="00014249" w:rsidP="00025079">
            <w:pPr>
              <w:autoSpaceDE w:val="0"/>
              <w:autoSpaceDN w:val="0"/>
              <w:adjustRightInd w:val="0"/>
              <w:contextualSpacing/>
              <w:jc w:val="center"/>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139</w:t>
            </w:r>
          </w:p>
        </w:tc>
      </w:tr>
      <w:tr w:rsidR="00014249" w:rsidRPr="00B643C9" w14:paraId="5E6E232D" w14:textId="77777777" w:rsidTr="00A74788">
        <w:trPr>
          <w:cantSplit/>
          <w:trHeight w:val="290"/>
          <w:tblHeader/>
          <w:jc w:val="center"/>
        </w:trPr>
        <w:tc>
          <w:tcPr>
            <w:tcW w:w="1166" w:type="pct"/>
          </w:tcPr>
          <w:p w14:paraId="5B4D37BF" w14:textId="77777777" w:rsidR="00014249" w:rsidRPr="00B643C9" w:rsidRDefault="00014249" w:rsidP="00025079">
            <w:pPr>
              <w:autoSpaceDE w:val="0"/>
              <w:autoSpaceDN w:val="0"/>
              <w:adjustRightInd w:val="0"/>
              <w:contextualSpacing/>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240 à 269 jours civils</w:t>
            </w:r>
          </w:p>
        </w:tc>
        <w:tc>
          <w:tcPr>
            <w:tcW w:w="3834" w:type="pct"/>
          </w:tcPr>
          <w:p w14:paraId="3C6088D5" w14:textId="77777777" w:rsidR="00014249" w:rsidRPr="00B643C9" w:rsidRDefault="00014249" w:rsidP="00025079">
            <w:pPr>
              <w:autoSpaceDE w:val="0"/>
              <w:autoSpaceDN w:val="0"/>
              <w:adjustRightInd w:val="0"/>
              <w:contextualSpacing/>
              <w:jc w:val="center"/>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84</w:t>
            </w:r>
          </w:p>
        </w:tc>
      </w:tr>
      <w:tr w:rsidR="00014249" w:rsidRPr="00B643C9" w14:paraId="6CDDE285" w14:textId="77777777" w:rsidTr="00A74788">
        <w:trPr>
          <w:cantSplit/>
          <w:trHeight w:val="290"/>
          <w:tblHeader/>
          <w:jc w:val="center"/>
        </w:trPr>
        <w:tc>
          <w:tcPr>
            <w:tcW w:w="1166" w:type="pct"/>
          </w:tcPr>
          <w:p w14:paraId="42486058" w14:textId="77777777" w:rsidR="00014249" w:rsidRPr="00B643C9" w:rsidRDefault="00014249" w:rsidP="00025079">
            <w:pPr>
              <w:autoSpaceDE w:val="0"/>
              <w:autoSpaceDN w:val="0"/>
              <w:adjustRightInd w:val="0"/>
              <w:contextualSpacing/>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270 à 299 jours civils</w:t>
            </w:r>
          </w:p>
        </w:tc>
        <w:tc>
          <w:tcPr>
            <w:tcW w:w="3834" w:type="pct"/>
          </w:tcPr>
          <w:p w14:paraId="6DA4F87E" w14:textId="77777777" w:rsidR="00014249" w:rsidRPr="00B643C9" w:rsidRDefault="00014249" w:rsidP="00025079">
            <w:pPr>
              <w:autoSpaceDE w:val="0"/>
              <w:autoSpaceDN w:val="0"/>
              <w:adjustRightInd w:val="0"/>
              <w:contextualSpacing/>
              <w:jc w:val="center"/>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73</w:t>
            </w:r>
          </w:p>
        </w:tc>
      </w:tr>
      <w:tr w:rsidR="00014249" w:rsidRPr="00B643C9" w14:paraId="771E11AB" w14:textId="77777777" w:rsidTr="00A74788">
        <w:trPr>
          <w:cantSplit/>
          <w:trHeight w:val="290"/>
          <w:tblHeader/>
          <w:jc w:val="center"/>
        </w:trPr>
        <w:tc>
          <w:tcPr>
            <w:tcW w:w="1166" w:type="pct"/>
          </w:tcPr>
          <w:p w14:paraId="17480620" w14:textId="77777777" w:rsidR="00014249" w:rsidRPr="00B643C9" w:rsidRDefault="00014249" w:rsidP="00025079">
            <w:pPr>
              <w:autoSpaceDE w:val="0"/>
              <w:autoSpaceDN w:val="0"/>
              <w:adjustRightInd w:val="0"/>
              <w:contextualSpacing/>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300 à 329 jours civils</w:t>
            </w:r>
          </w:p>
        </w:tc>
        <w:tc>
          <w:tcPr>
            <w:tcW w:w="3834" w:type="pct"/>
          </w:tcPr>
          <w:p w14:paraId="411FAC34" w14:textId="77777777" w:rsidR="00014249" w:rsidRPr="00B643C9" w:rsidRDefault="00014249" w:rsidP="00025079">
            <w:pPr>
              <w:autoSpaceDE w:val="0"/>
              <w:autoSpaceDN w:val="0"/>
              <w:adjustRightInd w:val="0"/>
              <w:contextualSpacing/>
              <w:jc w:val="center"/>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61</w:t>
            </w:r>
          </w:p>
        </w:tc>
      </w:tr>
      <w:tr w:rsidR="00014249" w:rsidRPr="00B643C9" w14:paraId="5A8EDE5E" w14:textId="77777777" w:rsidTr="00A74788">
        <w:trPr>
          <w:cantSplit/>
          <w:trHeight w:val="290"/>
          <w:tblHeader/>
          <w:jc w:val="center"/>
        </w:trPr>
        <w:tc>
          <w:tcPr>
            <w:tcW w:w="1166" w:type="pct"/>
          </w:tcPr>
          <w:p w14:paraId="5798B199" w14:textId="77777777" w:rsidR="00014249" w:rsidRPr="00B643C9" w:rsidRDefault="00014249" w:rsidP="00025079">
            <w:pPr>
              <w:autoSpaceDE w:val="0"/>
              <w:autoSpaceDN w:val="0"/>
              <w:adjustRightInd w:val="0"/>
              <w:contextualSpacing/>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330 à 359 jours civils</w:t>
            </w:r>
          </w:p>
        </w:tc>
        <w:tc>
          <w:tcPr>
            <w:tcW w:w="3834" w:type="pct"/>
          </w:tcPr>
          <w:p w14:paraId="17E22AC1" w14:textId="77777777" w:rsidR="00014249" w:rsidRPr="00B643C9" w:rsidRDefault="00014249" w:rsidP="00025079">
            <w:pPr>
              <w:autoSpaceDE w:val="0"/>
              <w:autoSpaceDN w:val="0"/>
              <w:adjustRightInd w:val="0"/>
              <w:contextualSpacing/>
              <w:jc w:val="center"/>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41</w:t>
            </w:r>
          </w:p>
        </w:tc>
      </w:tr>
      <w:tr w:rsidR="00014249" w:rsidRPr="00B643C9" w14:paraId="30D922D5" w14:textId="77777777" w:rsidTr="00A74788">
        <w:trPr>
          <w:cantSplit/>
          <w:trHeight w:val="290"/>
          <w:tblHeader/>
          <w:jc w:val="center"/>
        </w:trPr>
        <w:tc>
          <w:tcPr>
            <w:tcW w:w="1166" w:type="pct"/>
          </w:tcPr>
          <w:p w14:paraId="35F59517" w14:textId="77777777" w:rsidR="00014249" w:rsidRPr="00B643C9" w:rsidRDefault="00014249" w:rsidP="00025079">
            <w:pPr>
              <w:autoSpaceDE w:val="0"/>
              <w:autoSpaceDN w:val="0"/>
              <w:adjustRightInd w:val="0"/>
              <w:contextualSpacing/>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360 à 389 jours civils</w:t>
            </w:r>
          </w:p>
        </w:tc>
        <w:tc>
          <w:tcPr>
            <w:tcW w:w="3834" w:type="pct"/>
          </w:tcPr>
          <w:p w14:paraId="29655E23" w14:textId="77777777" w:rsidR="00014249" w:rsidRPr="00B643C9" w:rsidRDefault="00014249" w:rsidP="00025079">
            <w:pPr>
              <w:autoSpaceDE w:val="0"/>
              <w:autoSpaceDN w:val="0"/>
              <w:adjustRightInd w:val="0"/>
              <w:contextualSpacing/>
              <w:jc w:val="center"/>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43</w:t>
            </w:r>
          </w:p>
        </w:tc>
      </w:tr>
      <w:tr w:rsidR="00014249" w:rsidRPr="00B643C9" w14:paraId="76087959" w14:textId="77777777" w:rsidTr="00A74788">
        <w:trPr>
          <w:cantSplit/>
          <w:trHeight w:val="290"/>
          <w:tblHeader/>
          <w:jc w:val="center"/>
        </w:trPr>
        <w:tc>
          <w:tcPr>
            <w:tcW w:w="1166" w:type="pct"/>
          </w:tcPr>
          <w:p w14:paraId="151A0F1C" w14:textId="77777777" w:rsidR="00014249" w:rsidRPr="00B643C9" w:rsidRDefault="00014249" w:rsidP="00025079">
            <w:pPr>
              <w:autoSpaceDE w:val="0"/>
              <w:autoSpaceDN w:val="0"/>
              <w:adjustRightInd w:val="0"/>
              <w:contextualSpacing/>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390 à 419 jours civils</w:t>
            </w:r>
          </w:p>
        </w:tc>
        <w:tc>
          <w:tcPr>
            <w:tcW w:w="3834" w:type="pct"/>
          </w:tcPr>
          <w:p w14:paraId="23C274D3" w14:textId="77777777" w:rsidR="00014249" w:rsidRPr="00B643C9" w:rsidRDefault="00014249" w:rsidP="00025079">
            <w:pPr>
              <w:autoSpaceDE w:val="0"/>
              <w:autoSpaceDN w:val="0"/>
              <w:adjustRightInd w:val="0"/>
              <w:contextualSpacing/>
              <w:jc w:val="center"/>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49</w:t>
            </w:r>
          </w:p>
        </w:tc>
      </w:tr>
      <w:tr w:rsidR="00014249" w:rsidRPr="00B643C9" w14:paraId="37A8AAD6" w14:textId="77777777" w:rsidTr="00A74788">
        <w:trPr>
          <w:cantSplit/>
          <w:trHeight w:val="290"/>
          <w:tblHeader/>
          <w:jc w:val="center"/>
        </w:trPr>
        <w:tc>
          <w:tcPr>
            <w:tcW w:w="1166" w:type="pct"/>
          </w:tcPr>
          <w:p w14:paraId="3E243C19" w14:textId="77777777" w:rsidR="00014249" w:rsidRPr="00B643C9" w:rsidRDefault="00014249" w:rsidP="00025079">
            <w:pPr>
              <w:autoSpaceDE w:val="0"/>
              <w:autoSpaceDN w:val="0"/>
              <w:adjustRightInd w:val="0"/>
              <w:contextualSpacing/>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420 à 449 jours civils</w:t>
            </w:r>
          </w:p>
        </w:tc>
        <w:tc>
          <w:tcPr>
            <w:tcW w:w="3834" w:type="pct"/>
          </w:tcPr>
          <w:p w14:paraId="0F227329" w14:textId="77777777" w:rsidR="00014249" w:rsidRPr="00B643C9" w:rsidRDefault="00014249" w:rsidP="00025079">
            <w:pPr>
              <w:autoSpaceDE w:val="0"/>
              <w:autoSpaceDN w:val="0"/>
              <w:adjustRightInd w:val="0"/>
              <w:contextualSpacing/>
              <w:jc w:val="center"/>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35</w:t>
            </w:r>
          </w:p>
        </w:tc>
      </w:tr>
      <w:tr w:rsidR="00014249" w:rsidRPr="00B643C9" w14:paraId="70E37F7A" w14:textId="77777777" w:rsidTr="00A74788">
        <w:trPr>
          <w:cantSplit/>
          <w:trHeight w:val="290"/>
          <w:tblHeader/>
          <w:jc w:val="center"/>
        </w:trPr>
        <w:tc>
          <w:tcPr>
            <w:tcW w:w="1166" w:type="pct"/>
          </w:tcPr>
          <w:p w14:paraId="5CAE9D65" w14:textId="77777777" w:rsidR="00014249" w:rsidRPr="00B643C9" w:rsidRDefault="00014249" w:rsidP="00025079">
            <w:pPr>
              <w:autoSpaceDE w:val="0"/>
              <w:autoSpaceDN w:val="0"/>
              <w:adjustRightInd w:val="0"/>
              <w:contextualSpacing/>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450 à 479 jours civils</w:t>
            </w:r>
          </w:p>
        </w:tc>
        <w:tc>
          <w:tcPr>
            <w:tcW w:w="3834" w:type="pct"/>
          </w:tcPr>
          <w:p w14:paraId="31D91ABC" w14:textId="77777777" w:rsidR="00014249" w:rsidRPr="00B643C9" w:rsidRDefault="00014249" w:rsidP="00025079">
            <w:pPr>
              <w:autoSpaceDE w:val="0"/>
              <w:autoSpaceDN w:val="0"/>
              <w:adjustRightInd w:val="0"/>
              <w:contextualSpacing/>
              <w:jc w:val="center"/>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22</w:t>
            </w:r>
          </w:p>
        </w:tc>
      </w:tr>
      <w:tr w:rsidR="00014249" w:rsidRPr="00B643C9" w14:paraId="2C89A028" w14:textId="77777777" w:rsidTr="00A74788">
        <w:trPr>
          <w:cantSplit/>
          <w:trHeight w:val="290"/>
          <w:tblHeader/>
          <w:jc w:val="center"/>
        </w:trPr>
        <w:tc>
          <w:tcPr>
            <w:tcW w:w="1166" w:type="pct"/>
          </w:tcPr>
          <w:p w14:paraId="629E5BB6" w14:textId="77777777" w:rsidR="00014249" w:rsidRPr="00B643C9" w:rsidRDefault="00014249" w:rsidP="00025079">
            <w:pPr>
              <w:autoSpaceDE w:val="0"/>
              <w:autoSpaceDN w:val="0"/>
              <w:adjustRightInd w:val="0"/>
              <w:contextualSpacing/>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480 à 509 jours civils</w:t>
            </w:r>
          </w:p>
        </w:tc>
        <w:tc>
          <w:tcPr>
            <w:tcW w:w="3834" w:type="pct"/>
          </w:tcPr>
          <w:p w14:paraId="703140A3" w14:textId="77777777" w:rsidR="00014249" w:rsidRPr="00B643C9" w:rsidRDefault="00014249" w:rsidP="00025079">
            <w:pPr>
              <w:autoSpaceDE w:val="0"/>
              <w:autoSpaceDN w:val="0"/>
              <w:adjustRightInd w:val="0"/>
              <w:contextualSpacing/>
              <w:jc w:val="center"/>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27</w:t>
            </w:r>
          </w:p>
        </w:tc>
      </w:tr>
      <w:tr w:rsidR="00014249" w:rsidRPr="00B643C9" w14:paraId="4C539695" w14:textId="77777777" w:rsidTr="00A74788">
        <w:trPr>
          <w:cantSplit/>
          <w:trHeight w:val="290"/>
          <w:tblHeader/>
          <w:jc w:val="center"/>
        </w:trPr>
        <w:tc>
          <w:tcPr>
            <w:tcW w:w="1166" w:type="pct"/>
          </w:tcPr>
          <w:p w14:paraId="36D1EA96" w14:textId="77777777" w:rsidR="00014249" w:rsidRPr="00B643C9" w:rsidRDefault="00014249" w:rsidP="00025079">
            <w:pPr>
              <w:autoSpaceDE w:val="0"/>
              <w:autoSpaceDN w:val="0"/>
              <w:adjustRightInd w:val="0"/>
              <w:contextualSpacing/>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 xml:space="preserve">510 à 539 jours civils </w:t>
            </w:r>
          </w:p>
        </w:tc>
        <w:tc>
          <w:tcPr>
            <w:tcW w:w="3834" w:type="pct"/>
          </w:tcPr>
          <w:p w14:paraId="2E213DFB" w14:textId="77777777" w:rsidR="00014249" w:rsidRPr="00B643C9" w:rsidRDefault="00014249" w:rsidP="00025079">
            <w:pPr>
              <w:autoSpaceDE w:val="0"/>
              <w:autoSpaceDN w:val="0"/>
              <w:adjustRightInd w:val="0"/>
              <w:contextualSpacing/>
              <w:jc w:val="center"/>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17</w:t>
            </w:r>
          </w:p>
        </w:tc>
      </w:tr>
      <w:tr w:rsidR="00014249" w:rsidRPr="00B643C9" w14:paraId="3636922B" w14:textId="77777777" w:rsidTr="00A74788">
        <w:trPr>
          <w:cantSplit/>
          <w:trHeight w:val="290"/>
          <w:tblHeader/>
          <w:jc w:val="center"/>
        </w:trPr>
        <w:tc>
          <w:tcPr>
            <w:tcW w:w="1166" w:type="pct"/>
          </w:tcPr>
          <w:p w14:paraId="3DC4A826" w14:textId="77777777" w:rsidR="00014249" w:rsidRPr="00B643C9" w:rsidRDefault="00014249" w:rsidP="00025079">
            <w:pPr>
              <w:autoSpaceDE w:val="0"/>
              <w:autoSpaceDN w:val="0"/>
              <w:adjustRightInd w:val="0"/>
              <w:contextualSpacing/>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540 à 569 jours civils</w:t>
            </w:r>
          </w:p>
        </w:tc>
        <w:tc>
          <w:tcPr>
            <w:tcW w:w="3834" w:type="pct"/>
          </w:tcPr>
          <w:p w14:paraId="3C73815D" w14:textId="77777777" w:rsidR="00014249" w:rsidRPr="00B643C9" w:rsidRDefault="00014249" w:rsidP="00025079">
            <w:pPr>
              <w:autoSpaceDE w:val="0"/>
              <w:autoSpaceDN w:val="0"/>
              <w:adjustRightInd w:val="0"/>
              <w:contextualSpacing/>
              <w:jc w:val="center"/>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15</w:t>
            </w:r>
          </w:p>
        </w:tc>
      </w:tr>
      <w:tr w:rsidR="00014249" w:rsidRPr="00B643C9" w14:paraId="68E9F55E" w14:textId="77777777" w:rsidTr="00A74788">
        <w:trPr>
          <w:cantSplit/>
          <w:trHeight w:val="290"/>
          <w:tblHeader/>
          <w:jc w:val="center"/>
        </w:trPr>
        <w:tc>
          <w:tcPr>
            <w:tcW w:w="1166" w:type="pct"/>
          </w:tcPr>
          <w:p w14:paraId="66925D1A" w14:textId="77777777" w:rsidR="00014249" w:rsidRPr="00B643C9" w:rsidRDefault="00014249" w:rsidP="00025079">
            <w:pPr>
              <w:autoSpaceDE w:val="0"/>
              <w:autoSpaceDN w:val="0"/>
              <w:adjustRightInd w:val="0"/>
              <w:contextualSpacing/>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570 à 599 jours civils</w:t>
            </w:r>
          </w:p>
        </w:tc>
        <w:tc>
          <w:tcPr>
            <w:tcW w:w="3834" w:type="pct"/>
          </w:tcPr>
          <w:p w14:paraId="180A945A" w14:textId="77777777" w:rsidR="00014249" w:rsidRPr="00B643C9" w:rsidRDefault="00014249" w:rsidP="00025079">
            <w:pPr>
              <w:autoSpaceDE w:val="0"/>
              <w:autoSpaceDN w:val="0"/>
              <w:adjustRightInd w:val="0"/>
              <w:contextualSpacing/>
              <w:jc w:val="center"/>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14</w:t>
            </w:r>
          </w:p>
        </w:tc>
      </w:tr>
      <w:tr w:rsidR="00014249" w:rsidRPr="00B643C9" w14:paraId="2E8A63C8" w14:textId="77777777" w:rsidTr="00A74788">
        <w:trPr>
          <w:cantSplit/>
          <w:trHeight w:val="290"/>
          <w:tblHeader/>
          <w:jc w:val="center"/>
        </w:trPr>
        <w:tc>
          <w:tcPr>
            <w:tcW w:w="1166" w:type="pct"/>
          </w:tcPr>
          <w:p w14:paraId="72770B96" w14:textId="77777777" w:rsidR="00014249" w:rsidRPr="00B643C9" w:rsidRDefault="00014249" w:rsidP="00025079">
            <w:pPr>
              <w:autoSpaceDE w:val="0"/>
              <w:autoSpaceDN w:val="0"/>
              <w:adjustRightInd w:val="0"/>
              <w:contextualSpacing/>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600 à 629 jours civils</w:t>
            </w:r>
          </w:p>
        </w:tc>
        <w:tc>
          <w:tcPr>
            <w:tcW w:w="3834" w:type="pct"/>
          </w:tcPr>
          <w:p w14:paraId="5C045DAC" w14:textId="77777777" w:rsidR="00014249" w:rsidRPr="00B643C9" w:rsidRDefault="00014249" w:rsidP="00025079">
            <w:pPr>
              <w:autoSpaceDE w:val="0"/>
              <w:autoSpaceDN w:val="0"/>
              <w:adjustRightInd w:val="0"/>
              <w:contextualSpacing/>
              <w:jc w:val="center"/>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12</w:t>
            </w:r>
          </w:p>
        </w:tc>
      </w:tr>
      <w:tr w:rsidR="00014249" w:rsidRPr="00B643C9" w14:paraId="2083F338" w14:textId="77777777" w:rsidTr="00A74788">
        <w:trPr>
          <w:cantSplit/>
          <w:trHeight w:val="290"/>
          <w:tblHeader/>
          <w:jc w:val="center"/>
        </w:trPr>
        <w:tc>
          <w:tcPr>
            <w:tcW w:w="1166" w:type="pct"/>
          </w:tcPr>
          <w:p w14:paraId="0E22B066" w14:textId="77777777" w:rsidR="00014249" w:rsidRPr="00B643C9" w:rsidRDefault="00014249" w:rsidP="00025079">
            <w:pPr>
              <w:autoSpaceDE w:val="0"/>
              <w:autoSpaceDN w:val="0"/>
              <w:adjustRightInd w:val="0"/>
              <w:contextualSpacing/>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630 à 659 jours civils</w:t>
            </w:r>
          </w:p>
        </w:tc>
        <w:tc>
          <w:tcPr>
            <w:tcW w:w="3834" w:type="pct"/>
          </w:tcPr>
          <w:p w14:paraId="63D5EA22" w14:textId="77777777" w:rsidR="00014249" w:rsidRPr="00B643C9" w:rsidRDefault="00014249" w:rsidP="00025079">
            <w:pPr>
              <w:autoSpaceDE w:val="0"/>
              <w:autoSpaceDN w:val="0"/>
              <w:adjustRightInd w:val="0"/>
              <w:contextualSpacing/>
              <w:jc w:val="center"/>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7</w:t>
            </w:r>
          </w:p>
        </w:tc>
      </w:tr>
      <w:tr w:rsidR="00014249" w:rsidRPr="00B643C9" w14:paraId="750A35EB" w14:textId="77777777" w:rsidTr="00A74788">
        <w:trPr>
          <w:cantSplit/>
          <w:trHeight w:val="290"/>
          <w:tblHeader/>
          <w:jc w:val="center"/>
        </w:trPr>
        <w:tc>
          <w:tcPr>
            <w:tcW w:w="1166" w:type="pct"/>
          </w:tcPr>
          <w:p w14:paraId="01166F28" w14:textId="77777777" w:rsidR="00014249" w:rsidRPr="00B643C9" w:rsidRDefault="00014249" w:rsidP="00025079">
            <w:pPr>
              <w:autoSpaceDE w:val="0"/>
              <w:autoSpaceDN w:val="0"/>
              <w:adjustRightInd w:val="0"/>
              <w:contextualSpacing/>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660 à 689 jours civils</w:t>
            </w:r>
          </w:p>
        </w:tc>
        <w:tc>
          <w:tcPr>
            <w:tcW w:w="3834" w:type="pct"/>
          </w:tcPr>
          <w:p w14:paraId="54B313C4" w14:textId="77777777" w:rsidR="00014249" w:rsidRPr="00B643C9" w:rsidRDefault="00014249" w:rsidP="00025079">
            <w:pPr>
              <w:autoSpaceDE w:val="0"/>
              <w:autoSpaceDN w:val="0"/>
              <w:adjustRightInd w:val="0"/>
              <w:contextualSpacing/>
              <w:jc w:val="center"/>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5</w:t>
            </w:r>
          </w:p>
        </w:tc>
      </w:tr>
      <w:tr w:rsidR="00014249" w:rsidRPr="00B643C9" w14:paraId="209D182B" w14:textId="77777777" w:rsidTr="00A74788">
        <w:trPr>
          <w:cantSplit/>
          <w:trHeight w:val="290"/>
          <w:tblHeader/>
          <w:jc w:val="center"/>
        </w:trPr>
        <w:tc>
          <w:tcPr>
            <w:tcW w:w="1166" w:type="pct"/>
          </w:tcPr>
          <w:p w14:paraId="23C37D5F" w14:textId="77777777" w:rsidR="00014249" w:rsidRPr="00B643C9" w:rsidRDefault="00014249" w:rsidP="00025079">
            <w:pPr>
              <w:autoSpaceDE w:val="0"/>
              <w:autoSpaceDN w:val="0"/>
              <w:adjustRightInd w:val="0"/>
              <w:contextualSpacing/>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690 à 719 jours civils</w:t>
            </w:r>
          </w:p>
        </w:tc>
        <w:tc>
          <w:tcPr>
            <w:tcW w:w="3834" w:type="pct"/>
          </w:tcPr>
          <w:p w14:paraId="1DAD68E0" w14:textId="77777777" w:rsidR="00014249" w:rsidRPr="00B643C9" w:rsidRDefault="00014249" w:rsidP="00025079">
            <w:pPr>
              <w:autoSpaceDE w:val="0"/>
              <w:autoSpaceDN w:val="0"/>
              <w:adjustRightInd w:val="0"/>
              <w:contextualSpacing/>
              <w:jc w:val="center"/>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7</w:t>
            </w:r>
          </w:p>
        </w:tc>
      </w:tr>
      <w:tr w:rsidR="00014249" w:rsidRPr="00B643C9" w14:paraId="6CFA1A79" w14:textId="77777777" w:rsidTr="00A74788">
        <w:trPr>
          <w:cantSplit/>
          <w:trHeight w:val="302"/>
          <w:tblHeader/>
          <w:jc w:val="center"/>
        </w:trPr>
        <w:tc>
          <w:tcPr>
            <w:tcW w:w="1166" w:type="pct"/>
          </w:tcPr>
          <w:p w14:paraId="45B4E557" w14:textId="77777777" w:rsidR="00014249" w:rsidRPr="00B643C9" w:rsidRDefault="00014249" w:rsidP="00025079">
            <w:pPr>
              <w:autoSpaceDE w:val="0"/>
              <w:autoSpaceDN w:val="0"/>
              <w:adjustRightInd w:val="0"/>
              <w:contextualSpacing/>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720 à 749 jours civils</w:t>
            </w:r>
          </w:p>
        </w:tc>
        <w:tc>
          <w:tcPr>
            <w:tcW w:w="3834" w:type="pct"/>
          </w:tcPr>
          <w:p w14:paraId="47CF0B87" w14:textId="77777777" w:rsidR="00014249" w:rsidRPr="00B643C9" w:rsidRDefault="00014249" w:rsidP="00025079">
            <w:pPr>
              <w:autoSpaceDE w:val="0"/>
              <w:autoSpaceDN w:val="0"/>
              <w:adjustRightInd w:val="0"/>
              <w:contextualSpacing/>
              <w:jc w:val="center"/>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11</w:t>
            </w:r>
          </w:p>
        </w:tc>
      </w:tr>
      <w:tr w:rsidR="00014249" w:rsidRPr="00B643C9" w14:paraId="741F8099" w14:textId="77777777" w:rsidTr="00A74788">
        <w:trPr>
          <w:cantSplit/>
          <w:trHeight w:val="290"/>
          <w:tblHeader/>
          <w:jc w:val="center"/>
        </w:trPr>
        <w:tc>
          <w:tcPr>
            <w:tcW w:w="1166" w:type="pct"/>
          </w:tcPr>
          <w:p w14:paraId="51D68B64" w14:textId="77777777" w:rsidR="00014249" w:rsidRPr="00B643C9" w:rsidRDefault="00014249" w:rsidP="00025079">
            <w:pPr>
              <w:autoSpaceDE w:val="0"/>
              <w:autoSpaceDN w:val="0"/>
              <w:adjustRightInd w:val="0"/>
              <w:contextualSpacing/>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750 à 779 jours civils</w:t>
            </w:r>
          </w:p>
        </w:tc>
        <w:tc>
          <w:tcPr>
            <w:tcW w:w="3834" w:type="pct"/>
          </w:tcPr>
          <w:p w14:paraId="2EAE69D9" w14:textId="77777777" w:rsidR="00014249" w:rsidRPr="00B643C9" w:rsidRDefault="00014249" w:rsidP="00025079">
            <w:pPr>
              <w:autoSpaceDE w:val="0"/>
              <w:autoSpaceDN w:val="0"/>
              <w:adjustRightInd w:val="0"/>
              <w:contextualSpacing/>
              <w:jc w:val="center"/>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3</w:t>
            </w:r>
          </w:p>
        </w:tc>
      </w:tr>
      <w:tr w:rsidR="00014249" w:rsidRPr="00B643C9" w14:paraId="49373597" w14:textId="77777777" w:rsidTr="00A74788">
        <w:trPr>
          <w:cantSplit/>
          <w:trHeight w:val="290"/>
          <w:tblHeader/>
          <w:jc w:val="center"/>
        </w:trPr>
        <w:tc>
          <w:tcPr>
            <w:tcW w:w="1166" w:type="pct"/>
          </w:tcPr>
          <w:p w14:paraId="77955475" w14:textId="77777777" w:rsidR="00014249" w:rsidRPr="00B643C9" w:rsidRDefault="00014249" w:rsidP="00025079">
            <w:pPr>
              <w:autoSpaceDE w:val="0"/>
              <w:autoSpaceDN w:val="0"/>
              <w:adjustRightInd w:val="0"/>
              <w:contextualSpacing/>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780 à 809 jours civils</w:t>
            </w:r>
          </w:p>
        </w:tc>
        <w:tc>
          <w:tcPr>
            <w:tcW w:w="3834" w:type="pct"/>
          </w:tcPr>
          <w:p w14:paraId="36D5F57B" w14:textId="77777777" w:rsidR="00014249" w:rsidRPr="00B643C9" w:rsidRDefault="00014249" w:rsidP="00025079">
            <w:pPr>
              <w:autoSpaceDE w:val="0"/>
              <w:autoSpaceDN w:val="0"/>
              <w:adjustRightInd w:val="0"/>
              <w:contextualSpacing/>
              <w:jc w:val="center"/>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7</w:t>
            </w:r>
          </w:p>
        </w:tc>
      </w:tr>
      <w:tr w:rsidR="00014249" w:rsidRPr="00B643C9" w14:paraId="69D90547" w14:textId="77777777" w:rsidTr="00A74788">
        <w:trPr>
          <w:cantSplit/>
          <w:trHeight w:val="290"/>
          <w:tblHeader/>
          <w:jc w:val="center"/>
        </w:trPr>
        <w:tc>
          <w:tcPr>
            <w:tcW w:w="1166" w:type="pct"/>
          </w:tcPr>
          <w:p w14:paraId="660FCDC0" w14:textId="77777777" w:rsidR="00014249" w:rsidRPr="00B643C9" w:rsidRDefault="00014249" w:rsidP="00025079">
            <w:pPr>
              <w:autoSpaceDE w:val="0"/>
              <w:autoSpaceDN w:val="0"/>
              <w:adjustRightInd w:val="0"/>
              <w:contextualSpacing/>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810 à 839 jours civils</w:t>
            </w:r>
          </w:p>
        </w:tc>
        <w:tc>
          <w:tcPr>
            <w:tcW w:w="3834" w:type="pct"/>
          </w:tcPr>
          <w:p w14:paraId="07552E2C" w14:textId="77777777" w:rsidR="00014249" w:rsidRPr="00B643C9" w:rsidRDefault="00014249" w:rsidP="00025079">
            <w:pPr>
              <w:autoSpaceDE w:val="0"/>
              <w:autoSpaceDN w:val="0"/>
              <w:adjustRightInd w:val="0"/>
              <w:contextualSpacing/>
              <w:jc w:val="center"/>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2</w:t>
            </w:r>
          </w:p>
        </w:tc>
      </w:tr>
      <w:tr w:rsidR="00014249" w:rsidRPr="00B643C9" w14:paraId="55046D3F" w14:textId="77777777" w:rsidTr="00A74788">
        <w:trPr>
          <w:cantSplit/>
          <w:trHeight w:val="290"/>
          <w:tblHeader/>
          <w:jc w:val="center"/>
        </w:trPr>
        <w:tc>
          <w:tcPr>
            <w:tcW w:w="1166" w:type="pct"/>
          </w:tcPr>
          <w:p w14:paraId="45AC76F2" w14:textId="77777777" w:rsidR="00014249" w:rsidRPr="00B643C9" w:rsidRDefault="00014249" w:rsidP="00025079">
            <w:pPr>
              <w:autoSpaceDE w:val="0"/>
              <w:autoSpaceDN w:val="0"/>
              <w:adjustRightInd w:val="0"/>
              <w:contextualSpacing/>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840 à 869 jours civils</w:t>
            </w:r>
          </w:p>
        </w:tc>
        <w:tc>
          <w:tcPr>
            <w:tcW w:w="3834" w:type="pct"/>
          </w:tcPr>
          <w:p w14:paraId="045BE8F3" w14:textId="77777777" w:rsidR="00014249" w:rsidRPr="00B643C9" w:rsidRDefault="00014249" w:rsidP="00025079">
            <w:pPr>
              <w:autoSpaceDE w:val="0"/>
              <w:autoSpaceDN w:val="0"/>
              <w:adjustRightInd w:val="0"/>
              <w:contextualSpacing/>
              <w:jc w:val="center"/>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2</w:t>
            </w:r>
          </w:p>
        </w:tc>
      </w:tr>
      <w:tr w:rsidR="00014249" w:rsidRPr="00B643C9" w14:paraId="22A454A6" w14:textId="77777777" w:rsidTr="00A74788">
        <w:trPr>
          <w:cantSplit/>
          <w:trHeight w:val="290"/>
          <w:tblHeader/>
          <w:jc w:val="center"/>
        </w:trPr>
        <w:tc>
          <w:tcPr>
            <w:tcW w:w="1166" w:type="pct"/>
          </w:tcPr>
          <w:p w14:paraId="25DFE1DB" w14:textId="77777777" w:rsidR="00014249" w:rsidRPr="00B643C9" w:rsidRDefault="00014249" w:rsidP="00025079">
            <w:pPr>
              <w:autoSpaceDE w:val="0"/>
              <w:autoSpaceDN w:val="0"/>
              <w:adjustRightInd w:val="0"/>
              <w:contextualSpacing/>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870 à 899 jours civils</w:t>
            </w:r>
          </w:p>
        </w:tc>
        <w:tc>
          <w:tcPr>
            <w:tcW w:w="3834" w:type="pct"/>
          </w:tcPr>
          <w:p w14:paraId="18E84B7A" w14:textId="77777777" w:rsidR="00014249" w:rsidRPr="00B643C9" w:rsidRDefault="00014249" w:rsidP="00025079">
            <w:pPr>
              <w:autoSpaceDE w:val="0"/>
              <w:autoSpaceDN w:val="0"/>
              <w:adjustRightInd w:val="0"/>
              <w:contextualSpacing/>
              <w:jc w:val="center"/>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0</w:t>
            </w:r>
          </w:p>
        </w:tc>
      </w:tr>
      <w:tr w:rsidR="00014249" w:rsidRPr="00B643C9" w14:paraId="494DD78A" w14:textId="77777777" w:rsidTr="00A74788">
        <w:trPr>
          <w:cantSplit/>
          <w:trHeight w:val="290"/>
          <w:tblHeader/>
          <w:jc w:val="center"/>
        </w:trPr>
        <w:tc>
          <w:tcPr>
            <w:tcW w:w="1166" w:type="pct"/>
          </w:tcPr>
          <w:p w14:paraId="1550292B" w14:textId="77777777" w:rsidR="00014249" w:rsidRPr="00B643C9" w:rsidRDefault="00014249" w:rsidP="00025079">
            <w:pPr>
              <w:autoSpaceDE w:val="0"/>
              <w:autoSpaceDN w:val="0"/>
              <w:adjustRightInd w:val="0"/>
              <w:contextualSpacing/>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900 à 929 jours civils</w:t>
            </w:r>
          </w:p>
        </w:tc>
        <w:tc>
          <w:tcPr>
            <w:tcW w:w="3834" w:type="pct"/>
          </w:tcPr>
          <w:p w14:paraId="3F480753" w14:textId="77777777" w:rsidR="00014249" w:rsidRPr="00B643C9" w:rsidRDefault="00014249" w:rsidP="00025079">
            <w:pPr>
              <w:autoSpaceDE w:val="0"/>
              <w:autoSpaceDN w:val="0"/>
              <w:adjustRightInd w:val="0"/>
              <w:contextualSpacing/>
              <w:jc w:val="center"/>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3</w:t>
            </w:r>
          </w:p>
        </w:tc>
      </w:tr>
      <w:tr w:rsidR="00014249" w:rsidRPr="00B643C9" w14:paraId="78957B74" w14:textId="77777777" w:rsidTr="00A74788">
        <w:trPr>
          <w:cantSplit/>
          <w:trHeight w:val="290"/>
          <w:tblHeader/>
          <w:jc w:val="center"/>
        </w:trPr>
        <w:tc>
          <w:tcPr>
            <w:tcW w:w="1166" w:type="pct"/>
          </w:tcPr>
          <w:p w14:paraId="4A52A18C" w14:textId="77777777" w:rsidR="00014249" w:rsidRPr="00B643C9" w:rsidRDefault="00014249" w:rsidP="00025079">
            <w:pPr>
              <w:autoSpaceDE w:val="0"/>
              <w:autoSpaceDN w:val="0"/>
              <w:adjustRightInd w:val="0"/>
              <w:contextualSpacing/>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930 à 959 jours civils</w:t>
            </w:r>
          </w:p>
        </w:tc>
        <w:tc>
          <w:tcPr>
            <w:tcW w:w="3834" w:type="pct"/>
          </w:tcPr>
          <w:p w14:paraId="5F0C5E96" w14:textId="77777777" w:rsidR="00014249" w:rsidRPr="00B643C9" w:rsidRDefault="00014249" w:rsidP="00025079">
            <w:pPr>
              <w:autoSpaceDE w:val="0"/>
              <w:autoSpaceDN w:val="0"/>
              <w:adjustRightInd w:val="0"/>
              <w:contextualSpacing/>
              <w:jc w:val="center"/>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1</w:t>
            </w:r>
          </w:p>
        </w:tc>
      </w:tr>
      <w:tr w:rsidR="00014249" w:rsidRPr="00B643C9" w14:paraId="7A359A2B" w14:textId="77777777" w:rsidTr="00A74788">
        <w:trPr>
          <w:cantSplit/>
          <w:trHeight w:val="290"/>
          <w:tblHeader/>
          <w:jc w:val="center"/>
        </w:trPr>
        <w:tc>
          <w:tcPr>
            <w:tcW w:w="1166" w:type="pct"/>
          </w:tcPr>
          <w:p w14:paraId="19ADFE9D" w14:textId="77777777" w:rsidR="00014249" w:rsidRPr="00B643C9" w:rsidRDefault="00014249" w:rsidP="00025079">
            <w:pPr>
              <w:autoSpaceDE w:val="0"/>
              <w:autoSpaceDN w:val="0"/>
              <w:adjustRightInd w:val="0"/>
              <w:contextualSpacing/>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960 à 989 jours civils</w:t>
            </w:r>
          </w:p>
        </w:tc>
        <w:tc>
          <w:tcPr>
            <w:tcW w:w="3834" w:type="pct"/>
          </w:tcPr>
          <w:p w14:paraId="430D8F0C" w14:textId="77777777" w:rsidR="00014249" w:rsidRPr="00B643C9" w:rsidRDefault="00014249" w:rsidP="00025079">
            <w:pPr>
              <w:autoSpaceDE w:val="0"/>
              <w:autoSpaceDN w:val="0"/>
              <w:adjustRightInd w:val="0"/>
              <w:contextualSpacing/>
              <w:jc w:val="center"/>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0</w:t>
            </w:r>
          </w:p>
        </w:tc>
      </w:tr>
      <w:tr w:rsidR="00014249" w:rsidRPr="00B643C9" w14:paraId="6CD5042D" w14:textId="77777777" w:rsidTr="00A74788">
        <w:trPr>
          <w:cantSplit/>
          <w:trHeight w:val="290"/>
          <w:tblHeader/>
          <w:jc w:val="center"/>
        </w:trPr>
        <w:tc>
          <w:tcPr>
            <w:tcW w:w="1166" w:type="pct"/>
          </w:tcPr>
          <w:p w14:paraId="75686984" w14:textId="77777777" w:rsidR="00014249" w:rsidRPr="00B643C9" w:rsidRDefault="00014249" w:rsidP="00025079">
            <w:pPr>
              <w:autoSpaceDE w:val="0"/>
              <w:autoSpaceDN w:val="0"/>
              <w:adjustRightInd w:val="0"/>
              <w:contextualSpacing/>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Plus de 990 jours civils</w:t>
            </w:r>
          </w:p>
        </w:tc>
        <w:tc>
          <w:tcPr>
            <w:tcW w:w="3834" w:type="pct"/>
          </w:tcPr>
          <w:p w14:paraId="41A4DD92" w14:textId="77777777" w:rsidR="00014249" w:rsidRPr="00B643C9" w:rsidRDefault="00014249" w:rsidP="00025079">
            <w:pPr>
              <w:autoSpaceDE w:val="0"/>
              <w:autoSpaceDN w:val="0"/>
              <w:adjustRightInd w:val="0"/>
              <w:contextualSpacing/>
              <w:jc w:val="center"/>
              <w:rPr>
                <w:rFonts w:asciiTheme="minorHAnsi" w:hAnsiTheme="minorHAnsi" w:cstheme="minorHAnsi"/>
                <w:color w:val="000000"/>
                <w:sz w:val="22"/>
                <w:szCs w:val="22"/>
                <w:lang w:val="fr-CA"/>
              </w:rPr>
            </w:pPr>
            <w:r w:rsidRPr="00B643C9">
              <w:rPr>
                <w:rFonts w:asciiTheme="minorHAnsi" w:hAnsiTheme="minorHAnsi" w:cstheme="minorHAnsi"/>
                <w:color w:val="000000"/>
                <w:sz w:val="22"/>
                <w:szCs w:val="22"/>
                <w:lang w:val="fr-CA"/>
              </w:rPr>
              <w:t>0</w:t>
            </w:r>
          </w:p>
        </w:tc>
      </w:tr>
    </w:tbl>
    <w:p w14:paraId="430E1FE5" w14:textId="77777777" w:rsidR="00973FED" w:rsidRPr="00B643C9" w:rsidRDefault="00973FED" w:rsidP="007E486E">
      <w:pPr>
        <w:pStyle w:val="Heading3"/>
        <w:rPr>
          <w:rFonts w:asciiTheme="minorHAnsi" w:hAnsiTheme="minorHAnsi" w:cstheme="minorHAnsi"/>
          <w:sz w:val="22"/>
          <w:szCs w:val="22"/>
          <w:lang w:val="fr-CA"/>
        </w:rPr>
      </w:pPr>
    </w:p>
    <w:p w14:paraId="0FEA5D40" w14:textId="77777777" w:rsidR="00973FED" w:rsidRPr="00157A11" w:rsidRDefault="00973FED" w:rsidP="007E486E">
      <w:pPr>
        <w:pStyle w:val="Heading3"/>
        <w:rPr>
          <w:lang w:val="fr-CA"/>
        </w:rPr>
        <w:sectPr w:rsidR="00973FED" w:rsidRPr="00157A11" w:rsidSect="00025079">
          <w:headerReference w:type="default" r:id="rId28"/>
          <w:footerReference w:type="even" r:id="rId29"/>
          <w:footerReference w:type="default" r:id="rId30"/>
          <w:pgSz w:w="12240" w:h="15840" w:code="1"/>
          <w:pgMar w:top="720" w:right="720" w:bottom="1276" w:left="720" w:header="708" w:footer="708" w:gutter="0"/>
          <w:cols w:space="708"/>
          <w:docGrid w:linePitch="360"/>
        </w:sectPr>
      </w:pPr>
    </w:p>
    <w:p w14:paraId="2D08178C" w14:textId="77777777" w:rsidR="00E01E51" w:rsidRPr="00157A11" w:rsidRDefault="00E01E51" w:rsidP="00014249">
      <w:pPr>
        <w:pStyle w:val="Heading1"/>
        <w:spacing w:after="120"/>
        <w:rPr>
          <w:sz w:val="40"/>
          <w:lang w:val="fr-CA"/>
        </w:rPr>
      </w:pPr>
      <w:r w:rsidRPr="00157A11">
        <w:rPr>
          <w:sz w:val="40"/>
          <w:lang w:val="fr-CA"/>
        </w:rPr>
        <w:lastRenderedPageBreak/>
        <w:t>Notes techniques :</w:t>
      </w:r>
    </w:p>
    <w:p w14:paraId="2A7C31A6" w14:textId="61079239" w:rsidR="00E01E51" w:rsidRPr="00157A11" w:rsidRDefault="00E01E51" w:rsidP="00014249">
      <w:pPr>
        <w:pStyle w:val="ListParagraph"/>
        <w:numPr>
          <w:ilvl w:val="0"/>
          <w:numId w:val="9"/>
        </w:numPr>
        <w:spacing w:after="0"/>
        <w:ind w:left="426" w:hanging="426"/>
        <w:contextualSpacing w:val="0"/>
        <w:rPr>
          <w:rFonts w:asciiTheme="minorHAnsi" w:hAnsiTheme="minorHAnsi" w:cstheme="minorHAnsi"/>
          <w:sz w:val="22"/>
          <w:szCs w:val="22"/>
          <w:lang w:val="fr-CA"/>
        </w:rPr>
      </w:pPr>
      <w:r w:rsidRPr="00157A11">
        <w:rPr>
          <w:rFonts w:asciiTheme="minorHAnsi" w:eastAsiaTheme="minorHAnsi" w:hAnsiTheme="minorHAnsi" w:cstheme="minorHAnsi"/>
          <w:bCs/>
          <w:sz w:val="22"/>
          <w:szCs w:val="22"/>
          <w:lang w:val="fr-CA"/>
        </w:rPr>
        <w:t>L</w:t>
      </w:r>
      <w:r w:rsidR="00AF1FCE">
        <w:rPr>
          <w:rFonts w:asciiTheme="minorHAnsi" w:eastAsiaTheme="minorHAnsi" w:hAnsiTheme="minorHAnsi" w:cstheme="minorHAnsi"/>
          <w:bCs/>
          <w:sz w:val="22"/>
          <w:szCs w:val="22"/>
          <w:lang w:val="fr-CA"/>
        </w:rPr>
        <w:t>a durée de dotation</w:t>
      </w:r>
      <w:r w:rsidRPr="00157A11">
        <w:rPr>
          <w:rFonts w:asciiTheme="minorHAnsi" w:eastAsiaTheme="minorHAnsi" w:hAnsiTheme="minorHAnsi" w:cstheme="minorHAnsi"/>
          <w:bCs/>
          <w:sz w:val="22"/>
          <w:szCs w:val="22"/>
          <w:lang w:val="fr-CA"/>
        </w:rPr>
        <w:t xml:space="preserve"> - Nominations internes (TND-NI) est le nombre médian de jours civils entre la date d'ouverture d'une annonce interne et la date du premier avis de nomination ou de proposition de nomination (PANA) du Système de ressourcement de la fonction publique (SRFP) pour les postes internes de durée déterminée et ceux pour une période indéterminée. </w:t>
      </w:r>
      <w:r w:rsidRPr="00157A11">
        <w:rPr>
          <w:rFonts w:asciiTheme="minorHAnsi" w:hAnsiTheme="minorHAnsi" w:cstheme="minorHAnsi"/>
          <w:sz w:val="22"/>
          <w:szCs w:val="22"/>
          <w:lang w:val="fr-CA"/>
        </w:rPr>
        <w:t>Les PANA ne sont pas requis pour toutes les activités de dotation interne. Par conséquent, cette mesure se limite aux rapports sur les nominations promotionnels internes.</w:t>
      </w:r>
    </w:p>
    <w:p w14:paraId="79897455" w14:textId="392E3031" w:rsidR="00E01E51" w:rsidRPr="00157A11" w:rsidRDefault="00E01E51" w:rsidP="00014249">
      <w:pPr>
        <w:pStyle w:val="ListParagraph"/>
        <w:numPr>
          <w:ilvl w:val="0"/>
          <w:numId w:val="7"/>
        </w:numPr>
        <w:spacing w:after="0"/>
        <w:ind w:left="360"/>
        <w:rPr>
          <w:rFonts w:asciiTheme="minorHAnsi" w:eastAsiaTheme="minorHAnsi" w:hAnsiTheme="minorHAnsi" w:cstheme="minorHAnsi"/>
          <w:bCs/>
          <w:sz w:val="22"/>
          <w:szCs w:val="22"/>
          <w:lang w:val="fr-CA"/>
        </w:rPr>
      </w:pPr>
      <w:r w:rsidRPr="00157A11">
        <w:rPr>
          <w:rFonts w:asciiTheme="minorHAnsi" w:eastAsiaTheme="minorHAnsi" w:hAnsiTheme="minorHAnsi" w:cstheme="minorHAnsi"/>
          <w:bCs/>
          <w:sz w:val="22"/>
          <w:szCs w:val="22"/>
          <w:lang w:val="fr-CA"/>
        </w:rPr>
        <w:t>L</w:t>
      </w:r>
      <w:r w:rsidR="00AF1FCE">
        <w:rPr>
          <w:rFonts w:asciiTheme="minorHAnsi" w:eastAsiaTheme="minorHAnsi" w:hAnsiTheme="minorHAnsi" w:cstheme="minorHAnsi"/>
          <w:bCs/>
          <w:sz w:val="22"/>
          <w:szCs w:val="22"/>
          <w:lang w:val="fr-CA"/>
        </w:rPr>
        <w:t>a durée de dotation</w:t>
      </w:r>
      <w:r w:rsidRPr="00157A11">
        <w:rPr>
          <w:rFonts w:asciiTheme="minorHAnsi" w:eastAsiaTheme="minorHAnsi" w:hAnsiTheme="minorHAnsi" w:cstheme="minorHAnsi"/>
          <w:bCs/>
          <w:sz w:val="22"/>
          <w:szCs w:val="22"/>
          <w:lang w:val="fr-CA"/>
        </w:rPr>
        <w:t xml:space="preserve"> - Nominations externes (TND-NE) est le nombre médian de jours civils entre la date d'ouverture d'une annonce externe et la date de la première nomination estimative d'une personne de l'extérieur d'une organisation assujettie à la </w:t>
      </w:r>
      <w:r w:rsidRPr="00157A11">
        <w:rPr>
          <w:rStyle w:val="Emphasis"/>
          <w:rFonts w:asciiTheme="minorHAnsi" w:eastAsiaTheme="minorHAnsi" w:hAnsiTheme="minorHAnsi" w:cstheme="minorHAnsi"/>
          <w:sz w:val="22"/>
          <w:lang w:val="fr-CA"/>
        </w:rPr>
        <w:t>Loi sur l'emploi dans la fonction publique</w:t>
      </w:r>
      <w:r w:rsidRPr="00157A11">
        <w:rPr>
          <w:rFonts w:asciiTheme="minorHAnsi" w:eastAsiaTheme="minorHAnsi" w:hAnsiTheme="minorHAnsi" w:cstheme="minorHAnsi"/>
          <w:bCs/>
          <w:i/>
          <w:sz w:val="22"/>
          <w:szCs w:val="22"/>
          <w:lang w:val="fr-CA"/>
        </w:rPr>
        <w:t xml:space="preserve"> </w:t>
      </w:r>
      <w:r w:rsidRPr="00157A11">
        <w:rPr>
          <w:rFonts w:asciiTheme="minorHAnsi" w:eastAsiaTheme="minorHAnsi" w:hAnsiTheme="minorHAnsi" w:cstheme="minorHAnsi"/>
          <w:bCs/>
          <w:sz w:val="22"/>
          <w:szCs w:val="22"/>
          <w:lang w:val="fr-CA"/>
        </w:rPr>
        <w:t>pour les postes de durée déterminée et ceux pour une période indéterminée. Parce que le lien des données entre les systèmes utilise un jumelage probabiliste, des erreurs de mesure sont donc possibles.</w:t>
      </w:r>
    </w:p>
    <w:p w14:paraId="2940E893" w14:textId="77777777" w:rsidR="00E01E51" w:rsidRPr="00157A11" w:rsidRDefault="00E01E51" w:rsidP="00014249">
      <w:pPr>
        <w:pStyle w:val="ListParagraph"/>
        <w:numPr>
          <w:ilvl w:val="0"/>
          <w:numId w:val="7"/>
        </w:numPr>
        <w:spacing w:after="0"/>
        <w:ind w:left="360"/>
        <w:rPr>
          <w:rFonts w:asciiTheme="minorHAnsi" w:eastAsiaTheme="minorHAnsi" w:hAnsiTheme="minorHAnsi" w:cstheme="minorHAnsi"/>
          <w:bCs/>
          <w:sz w:val="22"/>
          <w:szCs w:val="22"/>
          <w:lang w:val="fr-CA"/>
        </w:rPr>
      </w:pPr>
      <w:r w:rsidRPr="00157A11">
        <w:rPr>
          <w:rFonts w:asciiTheme="minorHAnsi" w:eastAsiaTheme="minorHAnsi" w:hAnsiTheme="minorHAnsi" w:cstheme="minorHAnsi"/>
          <w:bCs/>
          <w:sz w:val="22"/>
          <w:szCs w:val="22"/>
          <w:lang w:val="fr-CA"/>
        </w:rPr>
        <w:t>Seules les nominations d'une durée déterminée et les nominations pour une période indéterminée sont incluses (les mutations, les nominations d’employés occasionnels et les nominations intérimaires sont exclues).</w:t>
      </w:r>
    </w:p>
    <w:p w14:paraId="3A272772" w14:textId="77777777" w:rsidR="00E01E51" w:rsidRPr="00157A11" w:rsidRDefault="00E01E51" w:rsidP="00014249">
      <w:pPr>
        <w:pStyle w:val="Heading1"/>
        <w:spacing w:after="120"/>
        <w:rPr>
          <w:sz w:val="40"/>
          <w:lang w:val="fr-CA"/>
        </w:rPr>
      </w:pPr>
      <w:r w:rsidRPr="00157A11">
        <w:rPr>
          <w:sz w:val="40"/>
          <w:lang w:val="fr-CA"/>
        </w:rPr>
        <w:t>Source :</w:t>
      </w:r>
    </w:p>
    <w:p w14:paraId="0B21044D" w14:textId="77777777" w:rsidR="00E01E51" w:rsidRPr="00157A11" w:rsidRDefault="00E01E51" w:rsidP="00014249">
      <w:pPr>
        <w:pStyle w:val="ListParagraph"/>
        <w:numPr>
          <w:ilvl w:val="0"/>
          <w:numId w:val="7"/>
        </w:numPr>
        <w:spacing w:after="0"/>
        <w:ind w:left="360"/>
        <w:rPr>
          <w:rFonts w:asciiTheme="minorHAnsi" w:eastAsiaTheme="minorHAnsi" w:hAnsiTheme="minorHAnsi" w:cstheme="minorHAnsi"/>
          <w:bCs/>
          <w:sz w:val="22"/>
          <w:szCs w:val="22"/>
          <w:lang w:val="fr-CA"/>
        </w:rPr>
      </w:pPr>
      <w:r w:rsidRPr="00157A11">
        <w:rPr>
          <w:rFonts w:asciiTheme="minorHAnsi" w:eastAsiaTheme="minorHAnsi" w:hAnsiTheme="minorHAnsi" w:cstheme="minorHAnsi"/>
          <w:bCs/>
          <w:sz w:val="22"/>
          <w:szCs w:val="22"/>
          <w:lang w:val="fr-CA"/>
        </w:rPr>
        <w:t>Les données sur les activités d’embauche et de dotation sont tirées des renseignements du Fichier des titulaires du Secrétariat du Conseil du Trésor du Canada.  Le Fichier des titulaires est extrait du système de rémunération de Services publics et Approvisionnement Canada.  Les données constituent une estimation des activités d’embauche et de dotation des organisations.</w:t>
      </w:r>
    </w:p>
    <w:p w14:paraId="0CAEC72E" w14:textId="77777777" w:rsidR="00E01E51" w:rsidRPr="00157A11" w:rsidRDefault="00E01E51" w:rsidP="00014249">
      <w:pPr>
        <w:pStyle w:val="ListParagraph"/>
        <w:numPr>
          <w:ilvl w:val="0"/>
          <w:numId w:val="7"/>
        </w:numPr>
        <w:spacing w:after="0"/>
        <w:ind w:left="360"/>
        <w:rPr>
          <w:rFonts w:asciiTheme="minorHAnsi" w:eastAsiaTheme="minorHAnsi" w:hAnsiTheme="minorHAnsi" w:cstheme="minorHAnsi"/>
          <w:bCs/>
          <w:sz w:val="22"/>
          <w:szCs w:val="22"/>
          <w:lang w:val="fr-CA"/>
        </w:rPr>
      </w:pPr>
      <w:r w:rsidRPr="00157A11">
        <w:rPr>
          <w:rFonts w:asciiTheme="minorHAnsi" w:eastAsiaTheme="minorHAnsi" w:hAnsiTheme="minorHAnsi" w:cstheme="minorHAnsi"/>
          <w:bCs/>
          <w:sz w:val="22"/>
          <w:szCs w:val="22"/>
          <w:lang w:val="fr-CA"/>
        </w:rPr>
        <w:t>L’information du Système de gestion de l’information sur les priorités et du Système de ressourcement de la fonction publique est également utilisée pour déterminer si les processus de dotation sont annoncés ou non annoncés, et pour calculer la durée du processus de dotation.</w:t>
      </w:r>
    </w:p>
    <w:p w14:paraId="281BF4F2" w14:textId="577F3C33" w:rsidR="00E01E51" w:rsidRDefault="00E01E51" w:rsidP="00014249">
      <w:pPr>
        <w:pStyle w:val="ListParagraph"/>
        <w:numPr>
          <w:ilvl w:val="0"/>
          <w:numId w:val="7"/>
        </w:numPr>
        <w:spacing w:after="0"/>
        <w:ind w:left="360"/>
        <w:rPr>
          <w:rFonts w:asciiTheme="minorHAnsi" w:eastAsiaTheme="minorHAnsi" w:hAnsiTheme="minorHAnsi" w:cstheme="minorHAnsi"/>
          <w:bCs/>
          <w:sz w:val="22"/>
          <w:szCs w:val="22"/>
          <w:lang w:val="fr-CA"/>
        </w:rPr>
      </w:pPr>
      <w:r w:rsidRPr="00157A11">
        <w:rPr>
          <w:rFonts w:asciiTheme="minorHAnsi" w:eastAsiaTheme="minorHAnsi" w:hAnsiTheme="minorHAnsi" w:cstheme="minorHAnsi"/>
          <w:bCs/>
          <w:sz w:val="22"/>
          <w:szCs w:val="22"/>
          <w:lang w:val="fr-CA"/>
        </w:rPr>
        <w:t>Ces données ne correspondent pas nécessairement aux donnés sur les ressources humaines de chaque organisation en raison des différences de méthodologie et des périodes visées par l’analyse.</w:t>
      </w:r>
    </w:p>
    <w:p w14:paraId="5390BB75" w14:textId="1BA9F954" w:rsidR="00E01E51" w:rsidRDefault="001D6B6F" w:rsidP="001D6B6F">
      <w:pPr>
        <w:pStyle w:val="ListParagraph"/>
        <w:numPr>
          <w:ilvl w:val="0"/>
          <w:numId w:val="7"/>
        </w:numPr>
        <w:spacing w:after="0"/>
        <w:ind w:left="360"/>
        <w:rPr>
          <w:rFonts w:asciiTheme="minorHAnsi" w:hAnsiTheme="minorHAnsi" w:cstheme="minorHAnsi"/>
          <w:sz w:val="22"/>
          <w:szCs w:val="22"/>
          <w:lang w:val="fr-CA"/>
        </w:rPr>
      </w:pPr>
      <w:r>
        <w:rPr>
          <w:rFonts w:asciiTheme="minorHAnsi" w:eastAsiaTheme="minorHAnsi" w:hAnsiTheme="minorHAnsi" w:cstheme="minorHAnsi"/>
          <w:bCs/>
          <w:sz w:val="22"/>
          <w:szCs w:val="22"/>
          <w:lang w:val="fr-CA"/>
        </w:rPr>
        <w:t>La</w:t>
      </w:r>
      <w:r w:rsidR="00AF1FCE">
        <w:rPr>
          <w:rFonts w:asciiTheme="minorHAnsi" w:hAnsiTheme="minorHAnsi" w:cstheme="minorHAnsi"/>
          <w:sz w:val="22"/>
          <w:szCs w:val="22"/>
          <w:lang w:val="fr-CA"/>
        </w:rPr>
        <w:t xml:space="preserve"> durée de dotation</w:t>
      </w:r>
      <w:r w:rsidR="00E01E51" w:rsidRPr="00157A11">
        <w:rPr>
          <w:rFonts w:asciiTheme="minorHAnsi" w:hAnsiTheme="minorHAnsi" w:cstheme="minorHAnsi"/>
          <w:sz w:val="22"/>
          <w:szCs w:val="22"/>
          <w:lang w:val="fr-CA"/>
        </w:rPr>
        <w:t xml:space="preserve"> – Nominations internes (TND-NI) est le nombre médian de jours civils entre la date d’ouverture d’une annonce interne et la date du premier avis de nomination ou de proposition de nomination (PANA) du Système de ressourcement de la fonction publique pour les postes internes de durée déterminée et indéterminée. Les PANA ne sont pas requis pour toutes les activités de dotation interne. Par conséquent, cette mesure se limite aux rapports sur les nominations promotionnels internes</w:t>
      </w:r>
    </w:p>
    <w:p w14:paraId="727465A5" w14:textId="3E920087" w:rsidR="00E01E51" w:rsidRDefault="001D6B6F" w:rsidP="001D6B6F">
      <w:pPr>
        <w:pStyle w:val="ListParagraph"/>
        <w:numPr>
          <w:ilvl w:val="0"/>
          <w:numId w:val="7"/>
        </w:numPr>
        <w:spacing w:after="0"/>
        <w:ind w:left="360"/>
        <w:rPr>
          <w:rFonts w:asciiTheme="minorHAnsi" w:hAnsiTheme="minorHAnsi" w:cstheme="minorHAnsi"/>
          <w:sz w:val="22"/>
          <w:szCs w:val="22"/>
          <w:lang w:val="fr-CA"/>
        </w:rPr>
      </w:pPr>
      <w:r>
        <w:rPr>
          <w:rFonts w:asciiTheme="minorHAnsi" w:hAnsiTheme="minorHAnsi" w:cstheme="minorHAnsi"/>
          <w:sz w:val="22"/>
          <w:szCs w:val="22"/>
          <w:lang w:val="fr-CA"/>
        </w:rPr>
        <w:t>Seules</w:t>
      </w:r>
      <w:r w:rsidR="00E01E51" w:rsidRPr="00157A11">
        <w:rPr>
          <w:rFonts w:asciiTheme="minorHAnsi" w:hAnsiTheme="minorHAnsi" w:cstheme="minorHAnsi"/>
          <w:sz w:val="22"/>
          <w:szCs w:val="22"/>
          <w:lang w:val="fr-CA"/>
        </w:rPr>
        <w:t xml:space="preserve"> les nominations à des postes de durée déterminée et les nominations à des postes pour une période indéterminée sont incluses (les mutations, les nominations occasionnelles et les nominations intérimaires sont exclues)</w:t>
      </w:r>
    </w:p>
    <w:p w14:paraId="766C6B97" w14:textId="37FEF59C" w:rsidR="00E01E51" w:rsidRDefault="001D6B6F" w:rsidP="001D6B6F">
      <w:pPr>
        <w:pStyle w:val="ListParagraph"/>
        <w:numPr>
          <w:ilvl w:val="0"/>
          <w:numId w:val="7"/>
        </w:numPr>
        <w:spacing w:after="0"/>
        <w:ind w:left="360"/>
        <w:rPr>
          <w:rFonts w:asciiTheme="minorHAnsi" w:hAnsiTheme="minorHAnsi" w:cstheme="minorHAnsi"/>
          <w:sz w:val="22"/>
          <w:szCs w:val="22"/>
          <w:lang w:val="fr-CA"/>
        </w:rPr>
      </w:pPr>
      <w:r>
        <w:rPr>
          <w:rFonts w:asciiTheme="minorHAnsi" w:hAnsiTheme="minorHAnsi" w:cstheme="minorHAnsi"/>
          <w:sz w:val="22"/>
          <w:szCs w:val="22"/>
          <w:lang w:val="fr-CA"/>
        </w:rPr>
        <w:t>La</w:t>
      </w:r>
      <w:r w:rsidR="00AF1FCE">
        <w:rPr>
          <w:rFonts w:asciiTheme="minorHAnsi" w:hAnsiTheme="minorHAnsi" w:cstheme="minorHAnsi"/>
          <w:sz w:val="22"/>
          <w:szCs w:val="22"/>
          <w:lang w:val="fr-CA"/>
        </w:rPr>
        <w:t xml:space="preserve"> durée de </w:t>
      </w:r>
      <w:r w:rsidR="00E01E51" w:rsidRPr="00157A11">
        <w:rPr>
          <w:rFonts w:asciiTheme="minorHAnsi" w:hAnsiTheme="minorHAnsi" w:cstheme="minorHAnsi"/>
          <w:sz w:val="22"/>
          <w:szCs w:val="22"/>
          <w:lang w:val="fr-CA"/>
        </w:rPr>
        <w:t xml:space="preserve">dotation - Nominations externes (TND-NE) est le nombre médian de jours civils entre la date d'ouverture d'une annonce externe et la date de la première nomination estimative d'une personne de l'extérieur d'une organisation assujettie à la </w:t>
      </w:r>
      <w:r w:rsidR="00E01E51" w:rsidRPr="00157A11">
        <w:rPr>
          <w:rStyle w:val="Emphasis"/>
          <w:rFonts w:asciiTheme="minorHAnsi" w:hAnsiTheme="minorHAnsi" w:cstheme="minorHAnsi"/>
          <w:sz w:val="22"/>
          <w:lang w:val="fr-CA"/>
        </w:rPr>
        <w:t xml:space="preserve">Loi sur l'emploi dans la fonction publique </w:t>
      </w:r>
      <w:r w:rsidR="00E01E51" w:rsidRPr="00157A11">
        <w:rPr>
          <w:rFonts w:asciiTheme="minorHAnsi" w:hAnsiTheme="minorHAnsi" w:cstheme="minorHAnsi"/>
          <w:sz w:val="22"/>
          <w:szCs w:val="22"/>
          <w:lang w:val="fr-CA"/>
        </w:rPr>
        <w:t xml:space="preserve">pour les postes de durée déterminée et pour les postes pour une période indéterminée. Seules les nominations d’une durée déterminée et les nominations pour une période indéterminée sont </w:t>
      </w:r>
      <w:r w:rsidR="00E01E51" w:rsidRPr="00157A11">
        <w:rPr>
          <w:rFonts w:asciiTheme="minorHAnsi" w:hAnsiTheme="minorHAnsi" w:cstheme="minorHAnsi"/>
          <w:sz w:val="22"/>
          <w:szCs w:val="22"/>
          <w:lang w:val="fr-CA"/>
        </w:rPr>
        <w:lastRenderedPageBreak/>
        <w:t>incluses (les mutations, les nominations occasionnelles et les nominations intérimaires sont exclues)</w:t>
      </w:r>
    </w:p>
    <w:p w14:paraId="38687B6A" w14:textId="459BDC25" w:rsidR="00E01E51" w:rsidRDefault="001D6B6F" w:rsidP="001D6B6F">
      <w:pPr>
        <w:pStyle w:val="ListParagraph"/>
        <w:numPr>
          <w:ilvl w:val="0"/>
          <w:numId w:val="7"/>
        </w:numPr>
        <w:spacing w:after="0"/>
        <w:ind w:left="360"/>
        <w:rPr>
          <w:rFonts w:asciiTheme="minorHAnsi" w:hAnsiTheme="minorHAnsi" w:cstheme="minorHAnsi"/>
          <w:sz w:val="22"/>
          <w:szCs w:val="22"/>
          <w:lang w:val="fr-CA"/>
        </w:rPr>
      </w:pPr>
      <w:r>
        <w:rPr>
          <w:rFonts w:asciiTheme="minorHAnsi" w:hAnsiTheme="minorHAnsi" w:cstheme="minorHAnsi"/>
          <w:sz w:val="22"/>
          <w:szCs w:val="22"/>
          <w:lang w:val="fr-CA"/>
        </w:rPr>
        <w:t>Parce</w:t>
      </w:r>
      <w:r w:rsidR="00E01E51" w:rsidRPr="00157A11">
        <w:rPr>
          <w:rFonts w:asciiTheme="minorHAnsi" w:hAnsiTheme="minorHAnsi" w:cstheme="minorHAnsi"/>
          <w:sz w:val="22"/>
          <w:szCs w:val="22"/>
          <w:lang w:val="fr-CA"/>
        </w:rPr>
        <w:t xml:space="preserve"> que le lien des données entre les systèmes utilise un jumelage probabiliste, des erreurs de mesure sont donc possibles</w:t>
      </w:r>
    </w:p>
    <w:p w14:paraId="1B535937" w14:textId="49F4D6FC" w:rsidR="00E01E51" w:rsidRDefault="001D6B6F" w:rsidP="001D6B6F">
      <w:pPr>
        <w:pStyle w:val="ListParagraph"/>
        <w:numPr>
          <w:ilvl w:val="0"/>
          <w:numId w:val="7"/>
        </w:numPr>
        <w:spacing w:after="0"/>
        <w:ind w:left="360"/>
        <w:rPr>
          <w:rFonts w:asciiTheme="minorHAnsi" w:hAnsiTheme="minorHAnsi" w:cstheme="minorHAnsi"/>
          <w:sz w:val="22"/>
          <w:szCs w:val="22"/>
          <w:lang w:val="fr-CA"/>
        </w:rPr>
      </w:pPr>
      <w:r>
        <w:rPr>
          <w:rFonts w:asciiTheme="minorHAnsi" w:hAnsiTheme="minorHAnsi" w:cstheme="minorHAnsi"/>
          <w:sz w:val="22"/>
          <w:szCs w:val="22"/>
          <w:lang w:val="fr-CA"/>
        </w:rPr>
        <w:t>Les</w:t>
      </w:r>
      <w:r w:rsidR="00E01E51" w:rsidRPr="00157A11">
        <w:rPr>
          <w:rFonts w:asciiTheme="minorHAnsi" w:hAnsiTheme="minorHAnsi" w:cstheme="minorHAnsi"/>
          <w:sz w:val="22"/>
          <w:szCs w:val="22"/>
          <w:lang w:val="fr-CA"/>
        </w:rPr>
        <w:t xml:space="preserve"> données sur les activités d’embauche et de dotation sont tirées des renseignements du Fichier des titulaires du Secrétariat du Conseil du Trésor du Canada.  Le Fichier des titulaires est extrait du système de rémunération de Services publics et Approvisionnement Canada.  Les données constituent une estimation des activités d’embauche et de dotation des organisations.</w:t>
      </w:r>
    </w:p>
    <w:p w14:paraId="6792664C" w14:textId="60BF274F" w:rsidR="00E01E51" w:rsidRDefault="001D6B6F" w:rsidP="001D6B6F">
      <w:pPr>
        <w:pStyle w:val="ListParagraph"/>
        <w:numPr>
          <w:ilvl w:val="0"/>
          <w:numId w:val="7"/>
        </w:numPr>
        <w:spacing w:after="0"/>
        <w:ind w:left="360"/>
        <w:rPr>
          <w:rFonts w:asciiTheme="minorHAnsi" w:hAnsiTheme="minorHAnsi" w:cstheme="minorHAnsi"/>
          <w:sz w:val="22"/>
          <w:szCs w:val="22"/>
          <w:lang w:val="fr-CA"/>
        </w:rPr>
      </w:pPr>
      <w:r>
        <w:rPr>
          <w:rFonts w:asciiTheme="minorHAnsi" w:hAnsiTheme="minorHAnsi" w:cstheme="minorHAnsi"/>
          <w:sz w:val="22"/>
          <w:szCs w:val="22"/>
          <w:lang w:val="fr-CA"/>
        </w:rPr>
        <w:t>L’information</w:t>
      </w:r>
      <w:r w:rsidR="00E01E51" w:rsidRPr="00157A11">
        <w:rPr>
          <w:rFonts w:asciiTheme="minorHAnsi" w:hAnsiTheme="minorHAnsi" w:cstheme="minorHAnsi"/>
          <w:sz w:val="22"/>
          <w:szCs w:val="22"/>
          <w:lang w:val="fr-CA"/>
        </w:rPr>
        <w:t xml:space="preserve"> du Système de gestion de l’information sur les priorités et du Système de ressourcement de la fonction publique est également utilisée pour déterminer si les processus de dotation sont annoncés ou non annoncés, et pour calculer la durée du processus de dotation.</w:t>
      </w:r>
    </w:p>
    <w:p w14:paraId="766B7136" w14:textId="24E83990" w:rsidR="00E01E51" w:rsidRPr="00157A11" w:rsidRDefault="001D6B6F" w:rsidP="001D6B6F">
      <w:pPr>
        <w:pStyle w:val="ListParagraph"/>
        <w:numPr>
          <w:ilvl w:val="0"/>
          <w:numId w:val="7"/>
        </w:numPr>
        <w:spacing w:after="0"/>
        <w:ind w:left="360"/>
        <w:rPr>
          <w:rFonts w:asciiTheme="minorHAnsi" w:hAnsiTheme="minorHAnsi" w:cstheme="minorHAnsi"/>
          <w:sz w:val="22"/>
          <w:szCs w:val="22"/>
          <w:lang w:val="fr-CA"/>
        </w:rPr>
      </w:pPr>
      <w:r>
        <w:rPr>
          <w:rFonts w:asciiTheme="minorHAnsi" w:hAnsiTheme="minorHAnsi" w:cstheme="minorHAnsi"/>
          <w:sz w:val="22"/>
          <w:szCs w:val="22"/>
          <w:lang w:val="fr-CA"/>
        </w:rPr>
        <w:t>Ces</w:t>
      </w:r>
      <w:r w:rsidR="00E01E51" w:rsidRPr="00157A11">
        <w:rPr>
          <w:rFonts w:asciiTheme="minorHAnsi" w:hAnsiTheme="minorHAnsi" w:cstheme="minorHAnsi"/>
          <w:sz w:val="22"/>
          <w:szCs w:val="22"/>
          <w:lang w:val="fr-CA"/>
        </w:rPr>
        <w:t xml:space="preserve"> données ne correspondent pas nécessairement aux donnés sur les ressources humaines de chaque organisation en raison des différences de méthodologie et des périodes visées par l’analyse.</w:t>
      </w:r>
    </w:p>
    <w:sectPr w:rsidR="00E01E51" w:rsidRPr="00157A11" w:rsidSect="00014249">
      <w:pgSz w:w="12240" w:h="15840"/>
      <w:pgMar w:top="709" w:right="1304" w:bottom="1361" w:left="1304"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4DA5E" w14:textId="77777777" w:rsidR="00863029" w:rsidRDefault="00863029" w:rsidP="0051557E">
      <w:r>
        <w:separator/>
      </w:r>
    </w:p>
  </w:endnote>
  <w:endnote w:type="continuationSeparator" w:id="0">
    <w:p w14:paraId="2E29B990" w14:textId="77777777" w:rsidR="00863029" w:rsidRDefault="00863029" w:rsidP="0051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5807678"/>
      <w:docPartObj>
        <w:docPartGallery w:val="Page Numbers (Bottom of Page)"/>
        <w:docPartUnique/>
      </w:docPartObj>
    </w:sdtPr>
    <w:sdtEndPr/>
    <w:sdtContent>
      <w:p w14:paraId="16ED5535" w14:textId="77777777" w:rsidR="00E5209B" w:rsidRDefault="00E5209B">
        <w:pPr>
          <w:pStyle w:val="Footer"/>
        </w:pPr>
        <w:r>
          <w:fldChar w:fldCharType="begin"/>
        </w:r>
        <w:r>
          <w:instrText>PAGE   \* MERGEFORMAT</w:instrText>
        </w:r>
        <w:r>
          <w:fldChar w:fldCharType="separate"/>
        </w:r>
        <w:r w:rsidR="00C3356B" w:rsidRPr="00C3356B">
          <w:rPr>
            <w:noProof/>
            <w:lang w:val="fr-FR"/>
          </w:rPr>
          <w:t>8</w:t>
        </w:r>
        <w:r>
          <w:fldChar w:fldCharType="end"/>
        </w:r>
      </w:p>
    </w:sdtContent>
  </w:sdt>
  <w:p w14:paraId="29EA9491" w14:textId="77777777" w:rsidR="00E5209B" w:rsidRPr="008A6060" w:rsidRDefault="00E5209B" w:rsidP="003552F5">
    <w:pPr>
      <w:pStyle w:val="Footer"/>
      <w:rPr>
        <w:lang w:val="fr-C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594941"/>
      <w:docPartObj>
        <w:docPartGallery w:val="Page Numbers (Bottom of Page)"/>
        <w:docPartUnique/>
      </w:docPartObj>
    </w:sdtPr>
    <w:sdtEndPr/>
    <w:sdtContent>
      <w:p w14:paraId="1BAD820D" w14:textId="77777777" w:rsidR="00E5209B" w:rsidRDefault="00E5209B">
        <w:pPr>
          <w:pStyle w:val="Footer"/>
        </w:pPr>
        <w:r>
          <w:fldChar w:fldCharType="begin"/>
        </w:r>
        <w:r>
          <w:instrText>PAGE   \* MERGEFORMAT</w:instrText>
        </w:r>
        <w:r>
          <w:fldChar w:fldCharType="separate"/>
        </w:r>
        <w:r w:rsidR="00C3356B" w:rsidRPr="00C3356B">
          <w:rPr>
            <w:noProof/>
            <w:lang w:val="fr-FR"/>
          </w:rPr>
          <w:t>7</w:t>
        </w:r>
        <w:r>
          <w:fldChar w:fldCharType="end"/>
        </w:r>
      </w:p>
    </w:sdtContent>
  </w:sdt>
  <w:p w14:paraId="6A62F866" w14:textId="77777777" w:rsidR="00E5209B" w:rsidRDefault="00E520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19986" w14:textId="77777777" w:rsidR="00E5209B" w:rsidRPr="00ED49DF" w:rsidRDefault="00E5209B" w:rsidP="005F4892">
    <w:pPr>
      <w:pStyle w:val="Footer"/>
      <w:jc w:val="center"/>
      <w:rPr>
        <w:sz w:val="20"/>
        <w:lang w:val="fr-CA"/>
      </w:rPr>
    </w:pPr>
    <w:r w:rsidRPr="0079292E">
      <w:rPr>
        <w:sz w:val="20"/>
        <w:lang w:val="fr-CA"/>
      </w:rPr>
      <w:t xml:space="preserve">Produit par la Direction des services de données et de l’analyse de la Commission de la fonction publique du Canada – Mise à jour le </w:t>
    </w:r>
    <w:r>
      <w:rPr>
        <w:sz w:val="20"/>
        <w:lang w:val="fr-CA"/>
      </w:rPr>
      <w:t>18 juillet</w:t>
    </w:r>
    <w:r w:rsidRPr="0079292E">
      <w:rPr>
        <w:sz w:val="20"/>
        <w:lang w:val="fr-CA"/>
      </w:rPr>
      <w:t xml:space="preserve"> 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51862"/>
      <w:docPartObj>
        <w:docPartGallery w:val="Page Numbers (Bottom of Page)"/>
        <w:docPartUnique/>
      </w:docPartObj>
    </w:sdtPr>
    <w:sdtEndPr/>
    <w:sdtContent>
      <w:p w14:paraId="3E8E3B74" w14:textId="77777777" w:rsidR="00E5209B" w:rsidRDefault="00E5209B">
        <w:pPr>
          <w:pStyle w:val="Footer"/>
        </w:pPr>
        <w:r>
          <w:fldChar w:fldCharType="begin"/>
        </w:r>
        <w:r>
          <w:instrText>PAGE   \* MERGEFORMAT</w:instrText>
        </w:r>
        <w:r>
          <w:fldChar w:fldCharType="separate"/>
        </w:r>
        <w:r w:rsidR="00C3356B" w:rsidRPr="00C3356B">
          <w:rPr>
            <w:noProof/>
            <w:lang w:val="fr-FR"/>
          </w:rPr>
          <w:t>12</w:t>
        </w:r>
        <w:r>
          <w:fldChar w:fldCharType="end"/>
        </w:r>
      </w:p>
    </w:sdtContent>
  </w:sdt>
  <w:p w14:paraId="718B9A31" w14:textId="77777777" w:rsidR="00E5209B" w:rsidRPr="008A6060" w:rsidRDefault="00E5209B" w:rsidP="00E01E51">
    <w:pPr>
      <w:pStyle w:val="Footer"/>
      <w:rPr>
        <w:lang w:val="fr-C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643BD" w14:textId="77777777" w:rsidR="00E5209B" w:rsidRPr="00A56930" w:rsidRDefault="00E5209B" w:rsidP="005F489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867546"/>
      <w:docPartObj>
        <w:docPartGallery w:val="Page Numbers (Bottom of Page)"/>
        <w:docPartUnique/>
      </w:docPartObj>
    </w:sdtPr>
    <w:sdtEndPr/>
    <w:sdtContent>
      <w:p w14:paraId="70E616D7" w14:textId="77777777" w:rsidR="00E5209B" w:rsidRDefault="00E5209B">
        <w:pPr>
          <w:pStyle w:val="Footer"/>
        </w:pPr>
        <w:r>
          <w:fldChar w:fldCharType="begin"/>
        </w:r>
        <w:r>
          <w:instrText>PAGE   \* MERGEFORMAT</w:instrText>
        </w:r>
        <w:r>
          <w:fldChar w:fldCharType="separate"/>
        </w:r>
        <w:r w:rsidR="00C3356B" w:rsidRPr="00C3356B">
          <w:rPr>
            <w:noProof/>
            <w:lang w:val="fr-FR"/>
          </w:rPr>
          <w:t>26</w:t>
        </w:r>
        <w:r>
          <w:fldChar w:fldCharType="end"/>
        </w:r>
      </w:p>
    </w:sdtContent>
  </w:sdt>
  <w:p w14:paraId="460729CB" w14:textId="77777777" w:rsidR="00E5209B" w:rsidRPr="008A6060" w:rsidRDefault="00E5209B" w:rsidP="00E01E51">
    <w:pPr>
      <w:pStyle w:val="Footer"/>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962A1" w14:textId="77777777" w:rsidR="00863029" w:rsidRDefault="00863029" w:rsidP="0051557E">
      <w:r>
        <w:separator/>
      </w:r>
    </w:p>
  </w:footnote>
  <w:footnote w:type="continuationSeparator" w:id="0">
    <w:p w14:paraId="57FD865E" w14:textId="77777777" w:rsidR="00863029" w:rsidRDefault="00863029" w:rsidP="00515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A247" w14:textId="77777777" w:rsidR="00E5209B" w:rsidRDefault="00E5209B" w:rsidP="0051557E">
    <w:pPr>
      <w:pStyle w:val="Header"/>
      <w:ind w:left="70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0D69A" w14:textId="77777777" w:rsidR="00E5209B" w:rsidRPr="00436E39" w:rsidRDefault="00E5209B" w:rsidP="005F4892">
    <w:pPr>
      <w:pStyle w:val="Header"/>
      <w:jc w:val="center"/>
      <w:rPr>
        <w:lang w:val="fr-CA"/>
      </w:rPr>
    </w:pPr>
    <w:r>
      <w:rPr>
        <w:rFonts w:asciiTheme="minorHAnsi" w:hAnsiTheme="minorHAnsi" w:cstheme="minorHAnsi"/>
        <w:b/>
        <w:sz w:val="20"/>
        <w:lang w:val="fr-CA"/>
      </w:rPr>
      <w:t>Femmes et de l’Égalité des genres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1DA9E" w14:textId="77777777" w:rsidR="00E5209B" w:rsidRPr="00270784" w:rsidRDefault="00E5209B" w:rsidP="002707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17398" w14:textId="77777777" w:rsidR="00E5209B" w:rsidRPr="00896F90" w:rsidRDefault="00E52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E65"/>
    <w:multiLevelType w:val="hybridMultilevel"/>
    <w:tmpl w:val="245092F2"/>
    <w:lvl w:ilvl="0" w:tplc="10090005">
      <w:start w:val="1"/>
      <w:numFmt w:val="bullet"/>
      <w:lvlText w:val=""/>
      <w:lvlJc w:val="left"/>
      <w:pPr>
        <w:ind w:left="360" w:hanging="360"/>
      </w:pPr>
      <w:rPr>
        <w:rFonts w:ascii="Wingdings" w:hAnsi="Wingdings" w:hint="default"/>
        <w:color w:val="54575A" w:themeColor="text1"/>
      </w:rPr>
    </w:lvl>
    <w:lvl w:ilvl="1" w:tplc="7C82211A">
      <w:start w:val="1"/>
      <w:numFmt w:val="bullet"/>
      <w:lvlText w:val=""/>
      <w:lvlJc w:val="left"/>
      <w:pPr>
        <w:ind w:left="1080" w:hanging="360"/>
      </w:pPr>
      <w:rPr>
        <w:rFonts w:ascii="Symbol" w:hAnsi="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9663C21"/>
    <w:multiLevelType w:val="hybridMultilevel"/>
    <w:tmpl w:val="0256ED0E"/>
    <w:lvl w:ilvl="0" w:tplc="CE5C5B68">
      <w:start w:val="1"/>
      <w:numFmt w:val="bullet"/>
      <w:lvlText w:val="•"/>
      <w:lvlJc w:val="left"/>
      <w:pPr>
        <w:ind w:left="1004" w:hanging="360"/>
      </w:pPr>
      <w:rPr>
        <w:rFonts w:ascii="Arial" w:hAnsi="Aria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 w15:restartNumberingAfterBreak="0">
    <w:nsid w:val="14745A0D"/>
    <w:multiLevelType w:val="hybridMultilevel"/>
    <w:tmpl w:val="CFE4E61A"/>
    <w:lvl w:ilvl="0" w:tplc="4D7CDC26">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A6E2164"/>
    <w:multiLevelType w:val="hybridMultilevel"/>
    <w:tmpl w:val="0680D156"/>
    <w:lvl w:ilvl="0" w:tplc="3DE84C70">
      <w:start w:val="1"/>
      <w:numFmt w:val="bullet"/>
      <w:lvlText w:val=""/>
      <w:lvlJc w:val="left"/>
      <w:pPr>
        <w:ind w:left="720" w:hanging="360"/>
      </w:pPr>
      <w:rPr>
        <w:rFonts w:ascii="Wingdings" w:hAnsi="Wingdings" w:hint="default"/>
        <w:color w:val="auto"/>
      </w:rPr>
    </w:lvl>
    <w:lvl w:ilvl="1" w:tplc="2AA66DAA">
      <w:numFmt w:val="bullet"/>
      <w:lvlText w:val="-"/>
      <w:lvlJc w:val="left"/>
      <w:pPr>
        <w:ind w:left="1440" w:hanging="360"/>
      </w:pPr>
      <w:rPr>
        <w:rFonts w:ascii="Arial" w:eastAsiaTheme="minorHAnsi"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BE710FF"/>
    <w:multiLevelType w:val="hybridMultilevel"/>
    <w:tmpl w:val="6F5211AC"/>
    <w:lvl w:ilvl="0" w:tplc="309E786C">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C2C6BF6"/>
    <w:multiLevelType w:val="hybridMultilevel"/>
    <w:tmpl w:val="56FA14D2"/>
    <w:lvl w:ilvl="0" w:tplc="3FAE77F8">
      <w:numFmt w:val="bullet"/>
      <w:lvlText w:val="•"/>
      <w:lvlJc w:val="left"/>
      <w:pPr>
        <w:ind w:left="720" w:hanging="36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47858AE"/>
    <w:multiLevelType w:val="multilevel"/>
    <w:tmpl w:val="0A76A30C"/>
    <w:lvl w:ilvl="0">
      <w:start w:val="1"/>
      <w:numFmt w:val="bullet"/>
      <w:lvlText w:val=""/>
      <w:lvlJc w:val="left"/>
      <w:pPr>
        <w:tabs>
          <w:tab w:val="num" w:pos="360"/>
        </w:tabs>
        <w:ind w:left="360" w:hanging="360"/>
      </w:pPr>
      <w:rPr>
        <w:rFonts w:ascii="Symbol" w:hAnsi="Symbol" w:hint="default"/>
        <w:sz w:val="20"/>
      </w:rPr>
    </w:lvl>
    <w:lvl w:ilvl="1">
      <w:start w:val="19"/>
      <w:numFmt w:val="bullet"/>
      <w:lvlText w:val="-"/>
      <w:lvlJc w:val="left"/>
      <w:pPr>
        <w:ind w:left="1080" w:hanging="360"/>
      </w:pPr>
      <w:rPr>
        <w:rFonts w:ascii="Arial" w:eastAsiaTheme="minorHAnsi" w:hAnsi="Aria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47966E7"/>
    <w:multiLevelType w:val="hybridMultilevel"/>
    <w:tmpl w:val="F76C962E"/>
    <w:lvl w:ilvl="0" w:tplc="CE5C5B68">
      <w:start w:val="1"/>
      <w:numFmt w:val="bullet"/>
      <w:lvlText w:val="•"/>
      <w:lvlJc w:val="left"/>
      <w:pPr>
        <w:tabs>
          <w:tab w:val="num" w:pos="720"/>
        </w:tabs>
        <w:ind w:left="720" w:hanging="360"/>
      </w:pPr>
      <w:rPr>
        <w:rFonts w:ascii="Arial" w:hAnsi="Arial" w:hint="default"/>
      </w:rPr>
    </w:lvl>
    <w:lvl w:ilvl="1" w:tplc="F7F66436">
      <w:start w:val="76"/>
      <w:numFmt w:val="bullet"/>
      <w:lvlText w:val="•"/>
      <w:lvlJc w:val="left"/>
      <w:pPr>
        <w:tabs>
          <w:tab w:val="num" w:pos="1440"/>
        </w:tabs>
        <w:ind w:left="1440" w:hanging="360"/>
      </w:pPr>
      <w:rPr>
        <w:rFonts w:ascii="Arial" w:hAnsi="Arial" w:hint="default"/>
      </w:rPr>
    </w:lvl>
    <w:lvl w:ilvl="2" w:tplc="CEF41514" w:tentative="1">
      <w:start w:val="1"/>
      <w:numFmt w:val="bullet"/>
      <w:lvlText w:val="•"/>
      <w:lvlJc w:val="left"/>
      <w:pPr>
        <w:tabs>
          <w:tab w:val="num" w:pos="2160"/>
        </w:tabs>
        <w:ind w:left="2160" w:hanging="360"/>
      </w:pPr>
      <w:rPr>
        <w:rFonts w:ascii="Arial" w:hAnsi="Arial" w:hint="default"/>
      </w:rPr>
    </w:lvl>
    <w:lvl w:ilvl="3" w:tplc="F482A62E" w:tentative="1">
      <w:start w:val="1"/>
      <w:numFmt w:val="bullet"/>
      <w:lvlText w:val="•"/>
      <w:lvlJc w:val="left"/>
      <w:pPr>
        <w:tabs>
          <w:tab w:val="num" w:pos="2880"/>
        </w:tabs>
        <w:ind w:left="2880" w:hanging="360"/>
      </w:pPr>
      <w:rPr>
        <w:rFonts w:ascii="Arial" w:hAnsi="Arial" w:hint="default"/>
      </w:rPr>
    </w:lvl>
    <w:lvl w:ilvl="4" w:tplc="9AFC614C" w:tentative="1">
      <w:start w:val="1"/>
      <w:numFmt w:val="bullet"/>
      <w:lvlText w:val="•"/>
      <w:lvlJc w:val="left"/>
      <w:pPr>
        <w:tabs>
          <w:tab w:val="num" w:pos="3600"/>
        </w:tabs>
        <w:ind w:left="3600" w:hanging="360"/>
      </w:pPr>
      <w:rPr>
        <w:rFonts w:ascii="Arial" w:hAnsi="Arial" w:hint="default"/>
      </w:rPr>
    </w:lvl>
    <w:lvl w:ilvl="5" w:tplc="2CF65ECC" w:tentative="1">
      <w:start w:val="1"/>
      <w:numFmt w:val="bullet"/>
      <w:lvlText w:val="•"/>
      <w:lvlJc w:val="left"/>
      <w:pPr>
        <w:tabs>
          <w:tab w:val="num" w:pos="4320"/>
        </w:tabs>
        <w:ind w:left="4320" w:hanging="360"/>
      </w:pPr>
      <w:rPr>
        <w:rFonts w:ascii="Arial" w:hAnsi="Arial" w:hint="default"/>
      </w:rPr>
    </w:lvl>
    <w:lvl w:ilvl="6" w:tplc="41D4D958" w:tentative="1">
      <w:start w:val="1"/>
      <w:numFmt w:val="bullet"/>
      <w:lvlText w:val="•"/>
      <w:lvlJc w:val="left"/>
      <w:pPr>
        <w:tabs>
          <w:tab w:val="num" w:pos="5040"/>
        </w:tabs>
        <w:ind w:left="5040" w:hanging="360"/>
      </w:pPr>
      <w:rPr>
        <w:rFonts w:ascii="Arial" w:hAnsi="Arial" w:hint="default"/>
      </w:rPr>
    </w:lvl>
    <w:lvl w:ilvl="7" w:tplc="C680DA1A" w:tentative="1">
      <w:start w:val="1"/>
      <w:numFmt w:val="bullet"/>
      <w:lvlText w:val="•"/>
      <w:lvlJc w:val="left"/>
      <w:pPr>
        <w:tabs>
          <w:tab w:val="num" w:pos="5760"/>
        </w:tabs>
        <w:ind w:left="5760" w:hanging="360"/>
      </w:pPr>
      <w:rPr>
        <w:rFonts w:ascii="Arial" w:hAnsi="Arial" w:hint="default"/>
      </w:rPr>
    </w:lvl>
    <w:lvl w:ilvl="8" w:tplc="BED0E66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7E374A2"/>
    <w:multiLevelType w:val="hybridMultilevel"/>
    <w:tmpl w:val="5CA82E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98E5A3D"/>
    <w:multiLevelType w:val="hybridMultilevel"/>
    <w:tmpl w:val="70D89B88"/>
    <w:lvl w:ilvl="0" w:tplc="10090001">
      <w:start w:val="1"/>
      <w:numFmt w:val="bullet"/>
      <w:lvlText w:val=""/>
      <w:lvlJc w:val="left"/>
      <w:pPr>
        <w:ind w:left="360" w:hanging="360"/>
      </w:pPr>
      <w:rPr>
        <w:rFonts w:ascii="Symbol" w:hAnsi="Symbol" w:hint="default"/>
      </w:rPr>
    </w:lvl>
    <w:lvl w:ilvl="1" w:tplc="363019FC">
      <w:numFmt w:val="bullet"/>
      <w:lvlText w:val="-"/>
      <w:lvlJc w:val="left"/>
      <w:pPr>
        <w:ind w:left="1080" w:hanging="360"/>
      </w:pPr>
      <w:rPr>
        <w:rFonts w:ascii="Arial" w:eastAsia="Times New Roman" w:hAnsi="Arial"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AAE2091"/>
    <w:multiLevelType w:val="hybridMultilevel"/>
    <w:tmpl w:val="29225EF8"/>
    <w:lvl w:ilvl="0" w:tplc="10090005">
      <w:start w:val="1"/>
      <w:numFmt w:val="bullet"/>
      <w:lvlText w:val=""/>
      <w:lvlJc w:val="left"/>
      <w:pPr>
        <w:ind w:left="720" w:hanging="360"/>
      </w:pPr>
      <w:rPr>
        <w:rFonts w:ascii="Wingdings" w:hAnsi="Wingdings" w:hint="default"/>
      </w:rPr>
    </w:lvl>
    <w:lvl w:ilvl="1" w:tplc="7C82211A">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BC84B0D"/>
    <w:multiLevelType w:val="hybridMultilevel"/>
    <w:tmpl w:val="EEFE1F2C"/>
    <w:lvl w:ilvl="0" w:tplc="4D7CDC26">
      <w:start w:val="1"/>
      <w:numFmt w:val="bullet"/>
      <w:lvlText w:val=""/>
      <w:lvlJc w:val="left"/>
      <w:pPr>
        <w:ind w:left="1083" w:hanging="360"/>
      </w:pPr>
      <w:rPr>
        <w:rFonts w:ascii="Symbol" w:hAnsi="Symbol" w:hint="default"/>
        <w:color w:val="auto"/>
      </w:rPr>
    </w:lvl>
    <w:lvl w:ilvl="1" w:tplc="10090003" w:tentative="1">
      <w:start w:val="1"/>
      <w:numFmt w:val="bullet"/>
      <w:lvlText w:val="o"/>
      <w:lvlJc w:val="left"/>
      <w:pPr>
        <w:ind w:left="1803" w:hanging="360"/>
      </w:pPr>
      <w:rPr>
        <w:rFonts w:ascii="Courier New" w:hAnsi="Courier New" w:cs="Courier New" w:hint="default"/>
      </w:rPr>
    </w:lvl>
    <w:lvl w:ilvl="2" w:tplc="10090005" w:tentative="1">
      <w:start w:val="1"/>
      <w:numFmt w:val="bullet"/>
      <w:lvlText w:val=""/>
      <w:lvlJc w:val="left"/>
      <w:pPr>
        <w:ind w:left="2523" w:hanging="360"/>
      </w:pPr>
      <w:rPr>
        <w:rFonts w:ascii="Wingdings" w:hAnsi="Wingdings" w:hint="default"/>
      </w:rPr>
    </w:lvl>
    <w:lvl w:ilvl="3" w:tplc="10090001" w:tentative="1">
      <w:start w:val="1"/>
      <w:numFmt w:val="bullet"/>
      <w:lvlText w:val=""/>
      <w:lvlJc w:val="left"/>
      <w:pPr>
        <w:ind w:left="3243" w:hanging="360"/>
      </w:pPr>
      <w:rPr>
        <w:rFonts w:ascii="Symbol" w:hAnsi="Symbol" w:hint="default"/>
      </w:rPr>
    </w:lvl>
    <w:lvl w:ilvl="4" w:tplc="10090003" w:tentative="1">
      <w:start w:val="1"/>
      <w:numFmt w:val="bullet"/>
      <w:lvlText w:val="o"/>
      <w:lvlJc w:val="left"/>
      <w:pPr>
        <w:ind w:left="3963" w:hanging="360"/>
      </w:pPr>
      <w:rPr>
        <w:rFonts w:ascii="Courier New" w:hAnsi="Courier New" w:cs="Courier New" w:hint="default"/>
      </w:rPr>
    </w:lvl>
    <w:lvl w:ilvl="5" w:tplc="10090005" w:tentative="1">
      <w:start w:val="1"/>
      <w:numFmt w:val="bullet"/>
      <w:lvlText w:val=""/>
      <w:lvlJc w:val="left"/>
      <w:pPr>
        <w:ind w:left="4683" w:hanging="360"/>
      </w:pPr>
      <w:rPr>
        <w:rFonts w:ascii="Wingdings" w:hAnsi="Wingdings" w:hint="default"/>
      </w:rPr>
    </w:lvl>
    <w:lvl w:ilvl="6" w:tplc="10090001" w:tentative="1">
      <w:start w:val="1"/>
      <w:numFmt w:val="bullet"/>
      <w:lvlText w:val=""/>
      <w:lvlJc w:val="left"/>
      <w:pPr>
        <w:ind w:left="5403" w:hanging="360"/>
      </w:pPr>
      <w:rPr>
        <w:rFonts w:ascii="Symbol" w:hAnsi="Symbol" w:hint="default"/>
      </w:rPr>
    </w:lvl>
    <w:lvl w:ilvl="7" w:tplc="10090003" w:tentative="1">
      <w:start w:val="1"/>
      <w:numFmt w:val="bullet"/>
      <w:lvlText w:val="o"/>
      <w:lvlJc w:val="left"/>
      <w:pPr>
        <w:ind w:left="6123" w:hanging="360"/>
      </w:pPr>
      <w:rPr>
        <w:rFonts w:ascii="Courier New" w:hAnsi="Courier New" w:cs="Courier New" w:hint="default"/>
      </w:rPr>
    </w:lvl>
    <w:lvl w:ilvl="8" w:tplc="10090005" w:tentative="1">
      <w:start w:val="1"/>
      <w:numFmt w:val="bullet"/>
      <w:lvlText w:val=""/>
      <w:lvlJc w:val="left"/>
      <w:pPr>
        <w:ind w:left="6843" w:hanging="360"/>
      </w:pPr>
      <w:rPr>
        <w:rFonts w:ascii="Wingdings" w:hAnsi="Wingdings" w:hint="default"/>
      </w:rPr>
    </w:lvl>
  </w:abstractNum>
  <w:abstractNum w:abstractNumId="12" w15:restartNumberingAfterBreak="0">
    <w:nsid w:val="2E040480"/>
    <w:multiLevelType w:val="hybridMultilevel"/>
    <w:tmpl w:val="878682A0"/>
    <w:lvl w:ilvl="0" w:tplc="4D7CDC2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05B4CB3"/>
    <w:multiLevelType w:val="hybridMultilevel"/>
    <w:tmpl w:val="4B3837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07A6417"/>
    <w:multiLevelType w:val="hybridMultilevel"/>
    <w:tmpl w:val="39FABF78"/>
    <w:lvl w:ilvl="0" w:tplc="2AA66DAA">
      <w:numFmt w:val="bullet"/>
      <w:lvlText w:val="-"/>
      <w:lvlJc w:val="left"/>
      <w:pPr>
        <w:ind w:left="1080" w:hanging="360"/>
      </w:pPr>
      <w:rPr>
        <w:rFonts w:ascii="Arial" w:eastAsiaTheme="minorHAnsi" w:hAnsi="Arial" w:cs="Arial" w:hint="default"/>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3112405F"/>
    <w:multiLevelType w:val="hybridMultilevel"/>
    <w:tmpl w:val="68A28780"/>
    <w:lvl w:ilvl="0" w:tplc="7C82211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6ED6957"/>
    <w:multiLevelType w:val="hybridMultilevel"/>
    <w:tmpl w:val="EDBCE650"/>
    <w:lvl w:ilvl="0" w:tplc="4D7CDC26">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DBD2DBF"/>
    <w:multiLevelType w:val="hybridMultilevel"/>
    <w:tmpl w:val="657CDC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E44718C"/>
    <w:multiLevelType w:val="hybridMultilevel"/>
    <w:tmpl w:val="DF1E189A"/>
    <w:lvl w:ilvl="0" w:tplc="E084BE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C19D5"/>
    <w:multiLevelType w:val="hybridMultilevel"/>
    <w:tmpl w:val="F3D258B6"/>
    <w:lvl w:ilvl="0" w:tplc="10090005">
      <w:start w:val="1"/>
      <w:numFmt w:val="bullet"/>
      <w:lvlText w:val=""/>
      <w:lvlJc w:val="left"/>
      <w:pPr>
        <w:ind w:left="720" w:hanging="360"/>
      </w:pPr>
      <w:rPr>
        <w:rFonts w:ascii="Wingdings" w:hAnsi="Wingdings" w:hint="default"/>
      </w:rPr>
    </w:lvl>
    <w:lvl w:ilvl="1" w:tplc="2AA66DAA">
      <w:numFmt w:val="bullet"/>
      <w:lvlText w:val="-"/>
      <w:lvlJc w:val="left"/>
      <w:pPr>
        <w:ind w:left="1440" w:hanging="360"/>
      </w:pPr>
      <w:rPr>
        <w:rFonts w:ascii="Arial" w:eastAsiaTheme="minorHAnsi"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5392DC6"/>
    <w:multiLevelType w:val="hybridMultilevel"/>
    <w:tmpl w:val="2090ADEA"/>
    <w:lvl w:ilvl="0" w:tplc="4D7CDC2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2603743"/>
    <w:multiLevelType w:val="hybridMultilevel"/>
    <w:tmpl w:val="80F83EE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63656CB2"/>
    <w:multiLevelType w:val="hybridMultilevel"/>
    <w:tmpl w:val="6DFE1124"/>
    <w:lvl w:ilvl="0" w:tplc="4D7CDC2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CBA6217"/>
    <w:multiLevelType w:val="hybridMultilevel"/>
    <w:tmpl w:val="EAC4FDE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24" w15:restartNumberingAfterBreak="0">
    <w:nsid w:val="7276730E"/>
    <w:multiLevelType w:val="hybridMultilevel"/>
    <w:tmpl w:val="97562BC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3333A32"/>
    <w:multiLevelType w:val="hybridMultilevel"/>
    <w:tmpl w:val="8776397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7F857333"/>
    <w:multiLevelType w:val="hybridMultilevel"/>
    <w:tmpl w:val="564E671E"/>
    <w:lvl w:ilvl="0" w:tplc="2AA66DAA">
      <w:numFmt w:val="bullet"/>
      <w:lvlText w:val="-"/>
      <w:lvlJc w:val="left"/>
      <w:pPr>
        <w:ind w:left="1080" w:hanging="360"/>
      </w:pPr>
      <w:rPr>
        <w:rFonts w:ascii="Arial" w:eastAsiaTheme="minorHAns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18"/>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8"/>
  </w:num>
  <w:num w:numId="7">
    <w:abstractNumId w:val="7"/>
  </w:num>
  <w:num w:numId="8">
    <w:abstractNumId w:val="6"/>
  </w:num>
  <w:num w:numId="9">
    <w:abstractNumId w:val="1"/>
  </w:num>
  <w:num w:numId="10">
    <w:abstractNumId w:val="0"/>
  </w:num>
  <w:num w:numId="11">
    <w:abstractNumId w:val="19"/>
  </w:num>
  <w:num w:numId="12">
    <w:abstractNumId w:val="10"/>
  </w:num>
  <w:num w:numId="13">
    <w:abstractNumId w:val="3"/>
  </w:num>
  <w:num w:numId="14">
    <w:abstractNumId w:val="24"/>
  </w:num>
  <w:num w:numId="15">
    <w:abstractNumId w:val="9"/>
  </w:num>
  <w:num w:numId="16">
    <w:abstractNumId w:val="21"/>
  </w:num>
  <w:num w:numId="17">
    <w:abstractNumId w:val="25"/>
  </w:num>
  <w:num w:numId="18">
    <w:abstractNumId w:val="13"/>
  </w:num>
  <w:num w:numId="19">
    <w:abstractNumId w:val="26"/>
  </w:num>
  <w:num w:numId="20">
    <w:abstractNumId w:val="20"/>
  </w:num>
  <w:num w:numId="21">
    <w:abstractNumId w:val="14"/>
  </w:num>
  <w:num w:numId="22">
    <w:abstractNumId w:val="16"/>
  </w:num>
  <w:num w:numId="23">
    <w:abstractNumId w:val="2"/>
  </w:num>
  <w:num w:numId="24">
    <w:abstractNumId w:val="22"/>
  </w:num>
  <w:num w:numId="25">
    <w:abstractNumId w:val="12"/>
  </w:num>
  <w:num w:numId="26">
    <w:abstractNumId w:val="11"/>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19D"/>
    <w:rsid w:val="00011915"/>
    <w:rsid w:val="00014249"/>
    <w:rsid w:val="000217AE"/>
    <w:rsid w:val="00025079"/>
    <w:rsid w:val="0003019D"/>
    <w:rsid w:val="000A58CD"/>
    <w:rsid w:val="000F63A3"/>
    <w:rsid w:val="000F76B0"/>
    <w:rsid w:val="00157A11"/>
    <w:rsid w:val="001D6B6F"/>
    <w:rsid w:val="00210749"/>
    <w:rsid w:val="00244CD0"/>
    <w:rsid w:val="002524A4"/>
    <w:rsid w:val="00270784"/>
    <w:rsid w:val="002B5334"/>
    <w:rsid w:val="0033619B"/>
    <w:rsid w:val="003552F5"/>
    <w:rsid w:val="003E00F5"/>
    <w:rsid w:val="003E0F11"/>
    <w:rsid w:val="003E2A92"/>
    <w:rsid w:val="00430738"/>
    <w:rsid w:val="004459BF"/>
    <w:rsid w:val="004B3D0B"/>
    <w:rsid w:val="0051557E"/>
    <w:rsid w:val="00596B1B"/>
    <w:rsid w:val="00597372"/>
    <w:rsid w:val="005B786F"/>
    <w:rsid w:val="005F4892"/>
    <w:rsid w:val="006362DA"/>
    <w:rsid w:val="00645BC9"/>
    <w:rsid w:val="00665C19"/>
    <w:rsid w:val="006D6A50"/>
    <w:rsid w:val="007059B2"/>
    <w:rsid w:val="0071039D"/>
    <w:rsid w:val="00742C80"/>
    <w:rsid w:val="00767B03"/>
    <w:rsid w:val="007E17D1"/>
    <w:rsid w:val="007E2EC0"/>
    <w:rsid w:val="007E486E"/>
    <w:rsid w:val="00814546"/>
    <w:rsid w:val="00816D2B"/>
    <w:rsid w:val="00825206"/>
    <w:rsid w:val="00863029"/>
    <w:rsid w:val="0086628F"/>
    <w:rsid w:val="00973FED"/>
    <w:rsid w:val="00997D3F"/>
    <w:rsid w:val="00A330B9"/>
    <w:rsid w:val="00A3677B"/>
    <w:rsid w:val="00A74788"/>
    <w:rsid w:val="00A77330"/>
    <w:rsid w:val="00AA6DB1"/>
    <w:rsid w:val="00AD0091"/>
    <w:rsid w:val="00AF1FCE"/>
    <w:rsid w:val="00B365E1"/>
    <w:rsid w:val="00B42083"/>
    <w:rsid w:val="00B643C9"/>
    <w:rsid w:val="00BB4447"/>
    <w:rsid w:val="00C16C7D"/>
    <w:rsid w:val="00C2619B"/>
    <w:rsid w:val="00C3356B"/>
    <w:rsid w:val="00C4308F"/>
    <w:rsid w:val="00C562F1"/>
    <w:rsid w:val="00D77773"/>
    <w:rsid w:val="00DF2783"/>
    <w:rsid w:val="00E01E51"/>
    <w:rsid w:val="00E5209B"/>
    <w:rsid w:val="00E6510C"/>
    <w:rsid w:val="00E87CBC"/>
    <w:rsid w:val="00EB4732"/>
    <w:rsid w:val="00ED685A"/>
    <w:rsid w:val="00ED7F0A"/>
    <w:rsid w:val="00F466D9"/>
    <w:rsid w:val="00F7709C"/>
    <w:rsid w:val="00F77558"/>
    <w:rsid w:val="00F9552B"/>
    <w:rsid w:val="00FA57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747AF"/>
  <w15:chartTrackingRefBased/>
  <w15:docId w15:val="{F0DD7F9D-6FB3-4718-88D9-33B00ECBB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19D"/>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uiPriority w:val="9"/>
    <w:qFormat/>
    <w:rsid w:val="00210749"/>
    <w:pPr>
      <w:keepNext/>
      <w:spacing w:before="240"/>
      <w:outlineLvl w:val="0"/>
    </w:pPr>
    <w:rPr>
      <w:rFonts w:asciiTheme="majorHAnsi" w:eastAsiaTheme="majorEastAsia" w:hAnsiTheme="majorHAnsi" w:cstheme="majorBidi"/>
      <w:sz w:val="48"/>
      <w:szCs w:val="48"/>
    </w:rPr>
  </w:style>
  <w:style w:type="paragraph" w:styleId="Heading2">
    <w:name w:val="heading 2"/>
    <w:basedOn w:val="Normal"/>
    <w:next w:val="Normal"/>
    <w:link w:val="Heading2Char"/>
    <w:uiPriority w:val="9"/>
    <w:unhideWhenUsed/>
    <w:qFormat/>
    <w:rsid w:val="00210749"/>
    <w:pPr>
      <w:keepNext/>
      <w:spacing w:before="40"/>
      <w:outlineLvl w:val="1"/>
    </w:pPr>
    <w:rPr>
      <w:rFonts w:ascii="Segoe UI" w:eastAsiaTheme="majorEastAsia" w:hAnsi="Segoe UI" w:cs="Segoe UI"/>
      <w:b/>
      <w:color w:val="5B315E" w:themeColor="accent2"/>
      <w:sz w:val="32"/>
      <w:szCs w:val="32"/>
    </w:rPr>
  </w:style>
  <w:style w:type="paragraph" w:styleId="Heading3">
    <w:name w:val="heading 3"/>
    <w:basedOn w:val="Normal"/>
    <w:next w:val="Normal"/>
    <w:link w:val="Heading3Char"/>
    <w:uiPriority w:val="9"/>
    <w:unhideWhenUsed/>
    <w:qFormat/>
    <w:rsid w:val="00210749"/>
    <w:pPr>
      <w:keepNext/>
      <w:spacing w:before="40"/>
      <w:outlineLvl w:val="2"/>
    </w:pPr>
    <w:rPr>
      <w:rFonts w:ascii="Segoe UI Semibold" w:eastAsiaTheme="majorEastAsia" w:hAnsi="Segoe UI Semibold" w:cs="Segoe UI Semibold"/>
      <w:szCs w:val="24"/>
    </w:rPr>
  </w:style>
  <w:style w:type="paragraph" w:styleId="Heading4">
    <w:name w:val="heading 4"/>
    <w:basedOn w:val="Normal"/>
    <w:next w:val="Normal"/>
    <w:link w:val="Heading4Char"/>
    <w:uiPriority w:val="9"/>
    <w:unhideWhenUsed/>
    <w:qFormat/>
    <w:rsid w:val="00210749"/>
    <w:pPr>
      <w:keepNext/>
      <w:spacing w:before="40"/>
      <w:outlineLvl w:val="3"/>
    </w:pPr>
    <w:rPr>
      <w:rFonts w:asciiTheme="majorHAnsi" w:eastAsiaTheme="majorEastAsia" w:hAnsiTheme="majorHAnsi" w:cstheme="majorBidi"/>
      <w:iCs/>
      <w:color w:val="54575A" w:themeColor="text2"/>
    </w:rPr>
  </w:style>
  <w:style w:type="paragraph" w:styleId="Heading5">
    <w:name w:val="heading 5"/>
    <w:basedOn w:val="Normal"/>
    <w:next w:val="Normal"/>
    <w:link w:val="Heading5Char"/>
    <w:uiPriority w:val="9"/>
    <w:unhideWhenUsed/>
    <w:qFormat/>
    <w:rsid w:val="00210749"/>
    <w:pPr>
      <w:keepNext/>
      <w:spacing w:before="40"/>
      <w:outlineLvl w:val="4"/>
    </w:pPr>
    <w:rPr>
      <w:rFonts w:asciiTheme="majorHAnsi" w:eastAsiaTheme="majorEastAsia" w:hAnsiTheme="majorHAnsi" w:cstheme="majorBidi"/>
      <w:color w:val="9F004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749"/>
    <w:pPr>
      <w:tabs>
        <w:tab w:val="center" w:pos="4680"/>
        <w:tab w:val="right" w:pos="9360"/>
      </w:tabs>
    </w:pPr>
  </w:style>
  <w:style w:type="character" w:customStyle="1" w:styleId="HeaderChar">
    <w:name w:val="Header Char"/>
    <w:basedOn w:val="DefaultParagraphFont"/>
    <w:link w:val="Header"/>
    <w:uiPriority w:val="99"/>
    <w:rsid w:val="00210749"/>
    <w:rPr>
      <w:color w:val="54575A" w:themeColor="text1"/>
      <w:lang w:val="fr-CA"/>
    </w:rPr>
  </w:style>
  <w:style w:type="paragraph" w:styleId="Footer">
    <w:name w:val="footer"/>
    <w:basedOn w:val="Normal"/>
    <w:link w:val="FooterChar"/>
    <w:uiPriority w:val="99"/>
    <w:unhideWhenUsed/>
    <w:rsid w:val="00210749"/>
    <w:pPr>
      <w:tabs>
        <w:tab w:val="center" w:pos="4680"/>
        <w:tab w:val="right" w:pos="9360"/>
      </w:tabs>
    </w:pPr>
  </w:style>
  <w:style w:type="character" w:customStyle="1" w:styleId="FooterChar">
    <w:name w:val="Footer Char"/>
    <w:basedOn w:val="DefaultParagraphFont"/>
    <w:link w:val="Footer"/>
    <w:uiPriority w:val="99"/>
    <w:rsid w:val="00210749"/>
    <w:rPr>
      <w:color w:val="54575A" w:themeColor="text1"/>
      <w:lang w:val="fr-CA"/>
    </w:rPr>
  </w:style>
  <w:style w:type="paragraph" w:styleId="BalloonText">
    <w:name w:val="Balloon Text"/>
    <w:basedOn w:val="Normal"/>
    <w:link w:val="BalloonTextChar"/>
    <w:uiPriority w:val="99"/>
    <w:semiHidden/>
    <w:unhideWhenUsed/>
    <w:rsid w:val="002107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749"/>
    <w:rPr>
      <w:rFonts w:ascii="Segoe UI" w:hAnsi="Segoe UI" w:cs="Segoe UI"/>
      <w:color w:val="54575A" w:themeColor="text1"/>
      <w:sz w:val="18"/>
      <w:szCs w:val="18"/>
      <w:lang w:val="fr-CA"/>
    </w:rPr>
  </w:style>
  <w:style w:type="paragraph" w:customStyle="1" w:styleId="ColumnTitle">
    <w:name w:val="Column Title"/>
    <w:basedOn w:val="Normal"/>
    <w:qFormat/>
    <w:rsid w:val="00210749"/>
    <w:rPr>
      <w:rFonts w:ascii="Segoe UI Semibold" w:hAnsi="Segoe UI Semibold" w:cs="Segoe UI Semibold"/>
      <w:color w:val="F2F2F2" w:themeColor="background2"/>
      <w:szCs w:val="24"/>
    </w:rPr>
  </w:style>
  <w:style w:type="paragraph" w:customStyle="1" w:styleId="DataText">
    <w:name w:val="Data Text"/>
    <w:basedOn w:val="Normal"/>
    <w:qFormat/>
    <w:rsid w:val="00210749"/>
  </w:style>
  <w:style w:type="character" w:styleId="FootnoteReference">
    <w:name w:val="footnote reference"/>
    <w:basedOn w:val="DefaultParagraphFont"/>
    <w:uiPriority w:val="99"/>
    <w:semiHidden/>
    <w:unhideWhenUsed/>
    <w:rsid w:val="00210749"/>
    <w:rPr>
      <w:vertAlign w:val="superscript"/>
    </w:rPr>
  </w:style>
  <w:style w:type="paragraph" w:styleId="FootnoteText">
    <w:name w:val="footnote text"/>
    <w:basedOn w:val="Normal"/>
    <w:link w:val="FootnoteTextChar"/>
    <w:uiPriority w:val="99"/>
    <w:unhideWhenUsed/>
    <w:rsid w:val="00210749"/>
    <w:rPr>
      <w:sz w:val="20"/>
    </w:rPr>
  </w:style>
  <w:style w:type="character" w:customStyle="1" w:styleId="FootnoteTextChar">
    <w:name w:val="Footnote Text Char"/>
    <w:basedOn w:val="DefaultParagraphFont"/>
    <w:link w:val="FootnoteText"/>
    <w:uiPriority w:val="99"/>
    <w:rsid w:val="00210749"/>
    <w:rPr>
      <w:color w:val="54575A" w:themeColor="text1"/>
      <w:sz w:val="20"/>
      <w:szCs w:val="20"/>
      <w:lang w:val="fr-CA"/>
    </w:rPr>
  </w:style>
  <w:style w:type="character" w:customStyle="1" w:styleId="Heading1Char">
    <w:name w:val="Heading 1 Char"/>
    <w:basedOn w:val="DefaultParagraphFont"/>
    <w:link w:val="Heading1"/>
    <w:uiPriority w:val="9"/>
    <w:rsid w:val="00210749"/>
    <w:rPr>
      <w:rFonts w:asciiTheme="majorHAnsi" w:eastAsiaTheme="majorEastAsia" w:hAnsiTheme="majorHAnsi" w:cstheme="majorBidi"/>
      <w:color w:val="54575A" w:themeColor="text1"/>
      <w:sz w:val="48"/>
      <w:szCs w:val="48"/>
      <w:lang w:val="fr-CA"/>
    </w:rPr>
  </w:style>
  <w:style w:type="character" w:customStyle="1" w:styleId="Heading2Char">
    <w:name w:val="Heading 2 Char"/>
    <w:basedOn w:val="DefaultParagraphFont"/>
    <w:link w:val="Heading2"/>
    <w:uiPriority w:val="9"/>
    <w:rsid w:val="00210749"/>
    <w:rPr>
      <w:rFonts w:ascii="Segoe UI" w:eastAsiaTheme="majorEastAsia" w:hAnsi="Segoe UI" w:cs="Segoe UI"/>
      <w:b/>
      <w:color w:val="5B315E" w:themeColor="accent2"/>
      <w:sz w:val="32"/>
      <w:szCs w:val="32"/>
      <w:lang w:val="fr-CA"/>
    </w:rPr>
  </w:style>
  <w:style w:type="character" w:customStyle="1" w:styleId="Heading3Char">
    <w:name w:val="Heading 3 Char"/>
    <w:basedOn w:val="DefaultParagraphFont"/>
    <w:link w:val="Heading3"/>
    <w:uiPriority w:val="9"/>
    <w:rsid w:val="00210749"/>
    <w:rPr>
      <w:rFonts w:ascii="Segoe UI Semibold" w:eastAsiaTheme="majorEastAsia" w:hAnsi="Segoe UI Semibold" w:cs="Segoe UI Semibold"/>
      <w:color w:val="54575A" w:themeColor="text1"/>
      <w:sz w:val="24"/>
      <w:szCs w:val="24"/>
      <w:lang w:val="fr-CA"/>
    </w:rPr>
  </w:style>
  <w:style w:type="paragraph" w:customStyle="1" w:styleId="Heading3forBox">
    <w:name w:val="Heading 3 for Box"/>
    <w:basedOn w:val="Normal"/>
    <w:qFormat/>
    <w:rsid w:val="00210749"/>
    <w:rPr>
      <w:rFonts w:ascii="Segoe UI Semibold" w:eastAsiaTheme="majorEastAsia" w:hAnsi="Segoe UI Semibold" w:cs="Segoe UI Semibold"/>
      <w:color w:val="FFFFFF" w:themeColor="background1"/>
      <w:szCs w:val="24"/>
    </w:rPr>
  </w:style>
  <w:style w:type="character" w:customStyle="1" w:styleId="Heading4Char">
    <w:name w:val="Heading 4 Char"/>
    <w:basedOn w:val="DefaultParagraphFont"/>
    <w:link w:val="Heading4"/>
    <w:uiPriority w:val="9"/>
    <w:rsid w:val="00210749"/>
    <w:rPr>
      <w:rFonts w:asciiTheme="majorHAnsi" w:eastAsiaTheme="majorEastAsia" w:hAnsiTheme="majorHAnsi" w:cstheme="majorBidi"/>
      <w:iCs/>
      <w:color w:val="54575A" w:themeColor="text2"/>
      <w:lang w:val="fr-CA"/>
    </w:rPr>
  </w:style>
  <w:style w:type="character" w:customStyle="1" w:styleId="Heading5Char">
    <w:name w:val="Heading 5 Char"/>
    <w:basedOn w:val="DefaultParagraphFont"/>
    <w:link w:val="Heading5"/>
    <w:uiPriority w:val="9"/>
    <w:rsid w:val="00210749"/>
    <w:rPr>
      <w:rFonts w:asciiTheme="majorHAnsi" w:eastAsiaTheme="majorEastAsia" w:hAnsiTheme="majorHAnsi" w:cstheme="majorBidi"/>
      <w:color w:val="9F0040" w:themeColor="accent1" w:themeShade="BF"/>
      <w:lang w:val="fr-CA"/>
    </w:rPr>
  </w:style>
  <w:style w:type="paragraph" w:styleId="ListParagraph">
    <w:name w:val="List Paragraph"/>
    <w:aliases w:val="TBS PB List Paragraph,Table Paragraph,Dot pt,Liste 1,List Paragraph1,Recommendation,List Paragraph11,L,List Paragraph2,CV text,Table text,F5 List Paragraph,List Paragraph111,Medium Grid 1 - Accent 21,Bullet text,Bullet,table bullets"/>
    <w:basedOn w:val="Normal"/>
    <w:link w:val="ListParagraphChar"/>
    <w:uiPriority w:val="34"/>
    <w:qFormat/>
    <w:rsid w:val="00210749"/>
    <w:pPr>
      <w:spacing w:after="320"/>
      <w:contextualSpacing/>
    </w:pPr>
  </w:style>
  <w:style w:type="paragraph" w:customStyle="1" w:styleId="NormalWhiteforBox">
    <w:name w:val="Normal White for Box"/>
    <w:basedOn w:val="Normal"/>
    <w:qFormat/>
    <w:rsid w:val="00210749"/>
  </w:style>
  <w:style w:type="paragraph" w:customStyle="1" w:styleId="Numberedlist">
    <w:name w:val="Numbered list"/>
    <w:basedOn w:val="ListParagraph"/>
    <w:qFormat/>
    <w:rsid w:val="00210749"/>
  </w:style>
  <w:style w:type="paragraph" w:styleId="Subtitle">
    <w:name w:val="Subtitle"/>
    <w:basedOn w:val="Normal"/>
    <w:next w:val="Normal"/>
    <w:link w:val="SubtitleChar"/>
    <w:uiPriority w:val="11"/>
    <w:qFormat/>
    <w:rsid w:val="00210749"/>
    <w:rPr>
      <w:rFonts w:ascii="Segoe UI Light" w:hAnsi="Segoe UI Light" w:cs="Segoe UI Light"/>
      <w:sz w:val="36"/>
      <w:szCs w:val="36"/>
    </w:rPr>
  </w:style>
  <w:style w:type="character" w:customStyle="1" w:styleId="SubtitleChar">
    <w:name w:val="Subtitle Char"/>
    <w:basedOn w:val="DefaultParagraphFont"/>
    <w:link w:val="Subtitle"/>
    <w:uiPriority w:val="11"/>
    <w:rsid w:val="00210749"/>
    <w:rPr>
      <w:rFonts w:ascii="Segoe UI Light" w:hAnsi="Segoe UI Light" w:cs="Segoe UI Light"/>
      <w:color w:val="54575A" w:themeColor="text1"/>
      <w:sz w:val="36"/>
      <w:szCs w:val="36"/>
      <w:lang w:val="fr-CA"/>
    </w:rPr>
  </w:style>
  <w:style w:type="table" w:styleId="TableGrid">
    <w:name w:val="Table Grid"/>
    <w:basedOn w:val="TableNormal"/>
    <w:uiPriority w:val="39"/>
    <w:rsid w:val="00210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Heading2"/>
    <w:qFormat/>
    <w:rsid w:val="00430738"/>
    <w:rPr>
      <w:rFonts w:ascii="Segoe UI Semibold" w:hAnsi="Segoe UI Semibold"/>
      <w:b w:val="0"/>
      <w:color w:val="auto"/>
      <w:sz w:val="22"/>
    </w:rPr>
  </w:style>
  <w:style w:type="paragraph" w:styleId="Title">
    <w:name w:val="Title"/>
    <w:basedOn w:val="Normal"/>
    <w:next w:val="Normal"/>
    <w:link w:val="TitleChar"/>
    <w:autoRedefine/>
    <w:uiPriority w:val="10"/>
    <w:qFormat/>
    <w:rsid w:val="00210749"/>
    <w:pPr>
      <w:spacing w:before="1200" w:line="1200" w:lineRule="exact"/>
      <w:contextualSpacing/>
    </w:pPr>
    <w:rPr>
      <w:rFonts w:ascii="Segoe UI Light" w:eastAsiaTheme="majorEastAsia" w:hAnsi="Segoe UI Light" w:cs="Segoe UI Light"/>
      <w:spacing w:val="-10"/>
      <w:kern w:val="28"/>
      <w:sz w:val="120"/>
      <w:szCs w:val="120"/>
    </w:rPr>
  </w:style>
  <w:style w:type="character" w:customStyle="1" w:styleId="TitleChar">
    <w:name w:val="Title Char"/>
    <w:basedOn w:val="DefaultParagraphFont"/>
    <w:link w:val="Title"/>
    <w:uiPriority w:val="10"/>
    <w:rsid w:val="00210749"/>
    <w:rPr>
      <w:rFonts w:ascii="Segoe UI Light" w:eastAsiaTheme="majorEastAsia" w:hAnsi="Segoe UI Light" w:cs="Segoe UI Light"/>
      <w:color w:val="54575A" w:themeColor="text1"/>
      <w:spacing w:val="-10"/>
      <w:kern w:val="28"/>
      <w:sz w:val="120"/>
      <w:szCs w:val="120"/>
      <w:lang w:val="fr-CA"/>
    </w:rPr>
  </w:style>
  <w:style w:type="paragraph" w:styleId="NormalWeb">
    <w:name w:val="Normal (Web)"/>
    <w:basedOn w:val="Normal"/>
    <w:uiPriority w:val="99"/>
    <w:unhideWhenUsed/>
    <w:rsid w:val="0003019D"/>
    <w:pPr>
      <w:spacing w:before="100" w:beforeAutospacing="1" w:after="100" w:afterAutospacing="1"/>
    </w:pPr>
    <w:rPr>
      <w:rFonts w:ascii="Verdana" w:hAnsi="Verdana"/>
      <w:szCs w:val="24"/>
    </w:rPr>
  </w:style>
  <w:style w:type="paragraph" w:customStyle="1" w:styleId="Level1">
    <w:name w:val="Level 1"/>
    <w:basedOn w:val="Normal"/>
    <w:uiPriority w:val="99"/>
    <w:rsid w:val="0003019D"/>
    <w:pPr>
      <w:widowControl w:val="0"/>
    </w:pPr>
  </w:style>
  <w:style w:type="character" w:styleId="Hyperlink">
    <w:name w:val="Hyperlink"/>
    <w:uiPriority w:val="99"/>
    <w:unhideWhenUsed/>
    <w:rsid w:val="0003019D"/>
    <w:rPr>
      <w:color w:val="0563C1"/>
      <w:u w:val="single"/>
    </w:rPr>
  </w:style>
  <w:style w:type="paragraph" w:styleId="NoSpacing">
    <w:name w:val="No Spacing"/>
    <w:uiPriority w:val="1"/>
    <w:qFormat/>
    <w:rsid w:val="0003019D"/>
    <w:pPr>
      <w:spacing w:after="0" w:line="240" w:lineRule="auto"/>
    </w:pPr>
    <w:rPr>
      <w:rFonts w:ascii="Times New Roman" w:eastAsia="Times New Roman" w:hAnsi="Times New Roman" w:cs="Times New Roman"/>
      <w:sz w:val="24"/>
      <w:szCs w:val="20"/>
      <w:lang w:val="en-US"/>
    </w:rPr>
  </w:style>
  <w:style w:type="paragraph" w:customStyle="1" w:styleId="Style1">
    <w:name w:val="Style1"/>
    <w:basedOn w:val="Normal"/>
    <w:link w:val="Style1Char"/>
    <w:qFormat/>
    <w:rsid w:val="0003019D"/>
    <w:pPr>
      <w:pBdr>
        <w:bottom w:val="single" w:sz="4" w:space="1" w:color="92D050"/>
      </w:pBdr>
      <w:autoSpaceDE w:val="0"/>
      <w:autoSpaceDN w:val="0"/>
      <w:adjustRightInd w:val="0"/>
      <w:ind w:right="50"/>
    </w:pPr>
    <w:rPr>
      <w:rFonts w:ascii="Arial" w:hAnsi="Arial" w:cs="Arial"/>
      <w:b/>
      <w:caps/>
      <w:color w:val="92D050"/>
      <w:sz w:val="22"/>
      <w:szCs w:val="22"/>
      <w:lang w:val="en-CA"/>
    </w:rPr>
  </w:style>
  <w:style w:type="character" w:customStyle="1" w:styleId="Style1Char">
    <w:name w:val="Style1 Char"/>
    <w:basedOn w:val="DefaultParagraphFont"/>
    <w:link w:val="Style1"/>
    <w:rsid w:val="0003019D"/>
    <w:rPr>
      <w:rFonts w:ascii="Arial" w:eastAsia="Times New Roman" w:hAnsi="Arial" w:cs="Arial"/>
      <w:b/>
      <w:caps/>
      <w:color w:val="92D050"/>
    </w:rPr>
  </w:style>
  <w:style w:type="paragraph" w:customStyle="1" w:styleId="Style6">
    <w:name w:val="Style6"/>
    <w:basedOn w:val="Normal"/>
    <w:link w:val="Style6Char"/>
    <w:qFormat/>
    <w:rsid w:val="0003019D"/>
    <w:pPr>
      <w:jc w:val="center"/>
    </w:pPr>
    <w:rPr>
      <w:rFonts w:ascii="Arial" w:hAnsi="Arial" w:cs="Arial"/>
      <w:b/>
      <w:color w:val="009999"/>
      <w:szCs w:val="24"/>
    </w:rPr>
  </w:style>
  <w:style w:type="paragraph" w:customStyle="1" w:styleId="Style7">
    <w:name w:val="Style7"/>
    <w:basedOn w:val="Normal"/>
    <w:link w:val="Style7Char"/>
    <w:qFormat/>
    <w:rsid w:val="0003019D"/>
    <w:pPr>
      <w:jc w:val="center"/>
    </w:pPr>
    <w:rPr>
      <w:rFonts w:ascii="Arial" w:hAnsi="Arial" w:cs="Arial"/>
      <w:color w:val="009999"/>
      <w:sz w:val="22"/>
      <w:szCs w:val="32"/>
    </w:rPr>
  </w:style>
  <w:style w:type="character" w:customStyle="1" w:styleId="Style6Char">
    <w:name w:val="Style6 Char"/>
    <w:basedOn w:val="DefaultParagraphFont"/>
    <w:link w:val="Style6"/>
    <w:rsid w:val="0003019D"/>
    <w:rPr>
      <w:rFonts w:ascii="Arial" w:eastAsia="Times New Roman" w:hAnsi="Arial" w:cs="Arial"/>
      <w:b/>
      <w:color w:val="009999"/>
      <w:sz w:val="24"/>
      <w:szCs w:val="24"/>
      <w:lang w:val="en-US"/>
    </w:rPr>
  </w:style>
  <w:style w:type="paragraph" w:customStyle="1" w:styleId="Style8">
    <w:name w:val="Style8"/>
    <w:basedOn w:val="Normal"/>
    <w:link w:val="Style8Char"/>
    <w:qFormat/>
    <w:rsid w:val="0003019D"/>
    <w:rPr>
      <w:rFonts w:ascii="Arial" w:hAnsi="Arial" w:cs="Arial"/>
      <w:color w:val="767171"/>
      <w:sz w:val="16"/>
      <w:szCs w:val="22"/>
      <w:lang w:val="en-CA"/>
    </w:rPr>
  </w:style>
  <w:style w:type="character" w:customStyle="1" w:styleId="Style7Char">
    <w:name w:val="Style7 Char"/>
    <w:basedOn w:val="DefaultParagraphFont"/>
    <w:link w:val="Style7"/>
    <w:rsid w:val="0003019D"/>
    <w:rPr>
      <w:rFonts w:ascii="Arial" w:eastAsia="Times New Roman" w:hAnsi="Arial" w:cs="Arial"/>
      <w:color w:val="009999"/>
      <w:szCs w:val="32"/>
      <w:lang w:val="en-US"/>
    </w:rPr>
  </w:style>
  <w:style w:type="character" w:customStyle="1" w:styleId="Style8Char">
    <w:name w:val="Style8 Char"/>
    <w:basedOn w:val="DefaultParagraphFont"/>
    <w:link w:val="Style8"/>
    <w:rsid w:val="0003019D"/>
    <w:rPr>
      <w:rFonts w:ascii="Arial" w:eastAsia="Times New Roman" w:hAnsi="Arial" w:cs="Arial"/>
      <w:color w:val="767171"/>
      <w:sz w:val="16"/>
    </w:rPr>
  </w:style>
  <w:style w:type="character" w:customStyle="1" w:styleId="ListParagraphChar">
    <w:name w:val="List Paragraph Char"/>
    <w:aliases w:val="TBS PB List Paragraph Char,Table Paragraph Char,Dot pt Char,Liste 1 Char,List Paragraph1 Char,Recommendation Char,List Paragraph11 Char,L Char,List Paragraph2 Char,CV text Char,Table text Char,F5 List Paragraph Char,Bullet text Char"/>
    <w:basedOn w:val="DefaultParagraphFont"/>
    <w:link w:val="ListParagraph"/>
    <w:uiPriority w:val="34"/>
    <w:locked/>
    <w:rsid w:val="00AD0091"/>
    <w:rPr>
      <w:rFonts w:ascii="Times New Roman" w:eastAsia="Times New Roman" w:hAnsi="Times New Roman" w:cs="Times New Roman"/>
      <w:sz w:val="24"/>
      <w:szCs w:val="20"/>
      <w:lang w:val="en-US"/>
    </w:rPr>
  </w:style>
  <w:style w:type="character" w:styleId="Strong">
    <w:name w:val="Strong"/>
    <w:basedOn w:val="DefaultParagraphFont"/>
    <w:uiPriority w:val="22"/>
    <w:qFormat/>
    <w:rsid w:val="004B3D0B"/>
    <w:rPr>
      <w:rFonts w:asciiTheme="minorHAnsi" w:hAnsiTheme="minorHAnsi"/>
      <w:b/>
      <w:bCs/>
      <w:sz w:val="22"/>
    </w:rPr>
  </w:style>
  <w:style w:type="character" w:styleId="FollowedHyperlink">
    <w:name w:val="FollowedHyperlink"/>
    <w:basedOn w:val="DefaultParagraphFont"/>
    <w:uiPriority w:val="99"/>
    <w:semiHidden/>
    <w:unhideWhenUsed/>
    <w:rsid w:val="00270784"/>
    <w:rPr>
      <w:color w:val="A5A5A5" w:themeColor="followedHyperlink"/>
      <w:u w:val="single"/>
    </w:rPr>
  </w:style>
  <w:style w:type="paragraph" w:styleId="Caption">
    <w:name w:val="caption"/>
    <w:basedOn w:val="Normal"/>
    <w:next w:val="Normal"/>
    <w:uiPriority w:val="35"/>
    <w:unhideWhenUsed/>
    <w:qFormat/>
    <w:rsid w:val="00ED685A"/>
    <w:pPr>
      <w:spacing w:after="200"/>
    </w:pPr>
    <w:rPr>
      <w:i/>
      <w:iCs/>
      <w:color w:val="54575A" w:themeColor="text2"/>
      <w:sz w:val="18"/>
      <w:szCs w:val="18"/>
    </w:rPr>
  </w:style>
  <w:style w:type="character" w:styleId="Emphasis">
    <w:name w:val="Emphasis"/>
    <w:basedOn w:val="DefaultParagraphFont"/>
    <w:uiPriority w:val="20"/>
    <w:qFormat/>
    <w:rsid w:val="00ED68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45334">
      <w:bodyDiv w:val="1"/>
      <w:marLeft w:val="0"/>
      <w:marRight w:val="0"/>
      <w:marTop w:val="0"/>
      <w:marBottom w:val="0"/>
      <w:divBdr>
        <w:top w:val="none" w:sz="0" w:space="0" w:color="auto"/>
        <w:left w:val="none" w:sz="0" w:space="0" w:color="auto"/>
        <w:bottom w:val="none" w:sz="0" w:space="0" w:color="auto"/>
        <w:right w:val="none" w:sz="0" w:space="0" w:color="auto"/>
      </w:divBdr>
    </w:div>
    <w:div w:id="197745863">
      <w:bodyDiv w:val="1"/>
      <w:marLeft w:val="0"/>
      <w:marRight w:val="0"/>
      <w:marTop w:val="0"/>
      <w:marBottom w:val="0"/>
      <w:divBdr>
        <w:top w:val="none" w:sz="0" w:space="0" w:color="auto"/>
        <w:left w:val="none" w:sz="0" w:space="0" w:color="auto"/>
        <w:bottom w:val="none" w:sz="0" w:space="0" w:color="auto"/>
        <w:right w:val="none" w:sz="0" w:space="0" w:color="auto"/>
      </w:divBdr>
    </w:div>
    <w:div w:id="633021211">
      <w:bodyDiv w:val="1"/>
      <w:marLeft w:val="0"/>
      <w:marRight w:val="0"/>
      <w:marTop w:val="0"/>
      <w:marBottom w:val="0"/>
      <w:divBdr>
        <w:top w:val="none" w:sz="0" w:space="0" w:color="auto"/>
        <w:left w:val="none" w:sz="0" w:space="0" w:color="auto"/>
        <w:bottom w:val="none" w:sz="0" w:space="0" w:color="auto"/>
        <w:right w:val="none" w:sz="0" w:space="0" w:color="auto"/>
      </w:divBdr>
    </w:div>
    <w:div w:id="650016172">
      <w:bodyDiv w:val="1"/>
      <w:marLeft w:val="0"/>
      <w:marRight w:val="0"/>
      <w:marTop w:val="0"/>
      <w:marBottom w:val="0"/>
      <w:divBdr>
        <w:top w:val="none" w:sz="0" w:space="0" w:color="auto"/>
        <w:left w:val="none" w:sz="0" w:space="0" w:color="auto"/>
        <w:bottom w:val="none" w:sz="0" w:space="0" w:color="auto"/>
        <w:right w:val="none" w:sz="0" w:space="0" w:color="auto"/>
      </w:divBdr>
    </w:div>
    <w:div w:id="922033111">
      <w:bodyDiv w:val="1"/>
      <w:marLeft w:val="0"/>
      <w:marRight w:val="0"/>
      <w:marTop w:val="0"/>
      <w:marBottom w:val="0"/>
      <w:divBdr>
        <w:top w:val="none" w:sz="0" w:space="0" w:color="auto"/>
        <w:left w:val="none" w:sz="0" w:space="0" w:color="auto"/>
        <w:bottom w:val="none" w:sz="0" w:space="0" w:color="auto"/>
        <w:right w:val="none" w:sz="0" w:space="0" w:color="auto"/>
      </w:divBdr>
    </w:div>
    <w:div w:id="1159466984">
      <w:bodyDiv w:val="1"/>
      <w:marLeft w:val="0"/>
      <w:marRight w:val="0"/>
      <w:marTop w:val="0"/>
      <w:marBottom w:val="0"/>
      <w:divBdr>
        <w:top w:val="none" w:sz="0" w:space="0" w:color="auto"/>
        <w:left w:val="none" w:sz="0" w:space="0" w:color="auto"/>
        <w:bottom w:val="none" w:sz="0" w:space="0" w:color="auto"/>
        <w:right w:val="none" w:sz="0" w:space="0" w:color="auto"/>
      </w:divBdr>
    </w:div>
    <w:div w:id="1198811280">
      <w:bodyDiv w:val="1"/>
      <w:marLeft w:val="0"/>
      <w:marRight w:val="0"/>
      <w:marTop w:val="0"/>
      <w:marBottom w:val="0"/>
      <w:divBdr>
        <w:top w:val="none" w:sz="0" w:space="0" w:color="auto"/>
        <w:left w:val="none" w:sz="0" w:space="0" w:color="auto"/>
        <w:bottom w:val="none" w:sz="0" w:space="0" w:color="auto"/>
        <w:right w:val="none" w:sz="0" w:space="0" w:color="auto"/>
      </w:divBdr>
    </w:div>
    <w:div w:id="1394309975">
      <w:bodyDiv w:val="1"/>
      <w:marLeft w:val="0"/>
      <w:marRight w:val="0"/>
      <w:marTop w:val="0"/>
      <w:marBottom w:val="0"/>
      <w:divBdr>
        <w:top w:val="none" w:sz="0" w:space="0" w:color="auto"/>
        <w:left w:val="none" w:sz="0" w:space="0" w:color="auto"/>
        <w:bottom w:val="none" w:sz="0" w:space="0" w:color="auto"/>
        <w:right w:val="none" w:sz="0" w:space="0" w:color="auto"/>
      </w:divBdr>
    </w:div>
    <w:div w:id="1905412704">
      <w:bodyDiv w:val="1"/>
      <w:marLeft w:val="0"/>
      <w:marRight w:val="0"/>
      <w:marTop w:val="0"/>
      <w:marBottom w:val="0"/>
      <w:divBdr>
        <w:top w:val="none" w:sz="0" w:space="0" w:color="auto"/>
        <w:left w:val="none" w:sz="0" w:space="0" w:color="auto"/>
        <w:bottom w:val="none" w:sz="0" w:space="0" w:color="auto"/>
        <w:right w:val="none" w:sz="0" w:space="0" w:color="auto"/>
      </w:divBdr>
    </w:div>
    <w:div w:id="195941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chart" Target="charts/chart12.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3.xml"/><Relationship Id="rId25"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0.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hart" Target="charts/chart9.xml"/><Relationship Id="rId28" Type="http://schemas.openxmlformats.org/officeDocument/2006/relationships/header" Target="header4.xml"/><Relationship Id="rId10" Type="http://schemas.openxmlformats.org/officeDocument/2006/relationships/footer" Target="footer2.xml"/><Relationship Id="rId19" Type="http://schemas.openxmlformats.org/officeDocument/2006/relationships/chart" Target="charts/chart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CFP-Entete-Corpo2019.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5.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6.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7.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3.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4.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CA" sz="1200" b="1"/>
              <a:t>Population selon la durée d'emploi au 31 mars</a:t>
            </a:r>
          </a:p>
        </c:rich>
      </c:tx>
      <c:layout>
        <c:manualLayout>
          <c:xMode val="edge"/>
          <c:yMode val="edge"/>
          <c:x val="0.23502737537234489"/>
          <c:y val="1.5584351685262421E-2"/>
        </c:manualLayout>
      </c:layout>
      <c:overlay val="1"/>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1551017336998137"/>
          <c:y val="9.3506438127227434E-2"/>
          <c:w val="0.8438565211696043"/>
          <c:h val="0.6100861028735044"/>
        </c:manualLayout>
      </c:layout>
      <c:barChart>
        <c:barDir val="col"/>
        <c:grouping val="stacked"/>
        <c:varyColors val="0"/>
        <c:ser>
          <c:idx val="0"/>
          <c:order val="0"/>
          <c:tx>
            <c:strRef>
              <c:f>Sheet1!$B$1</c:f>
              <c:strCache>
                <c:ptCount val="1"/>
                <c:pt idx="0">
                  <c:v>Indéterminée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(N=97) </c:v>
                </c:pt>
                <c:pt idx="1">
                  <c:v> 2015
(N=91) </c:v>
                </c:pt>
                <c:pt idx="2">
                  <c:v> 2016
(N=90) </c:v>
                </c:pt>
                <c:pt idx="3">
                  <c:v> 2017
(N=101) </c:v>
                </c:pt>
                <c:pt idx="4">
                  <c:v> 2018
(N=121) </c:v>
                </c:pt>
                <c:pt idx="5">
                  <c:v> 2019
(N=180) </c:v>
                </c:pt>
              </c:strCache>
            </c:strRef>
          </c:cat>
          <c:val>
            <c:numRef>
              <c:f>Sheet1!$B$2:$B$7</c:f>
              <c:numCache>
                <c:formatCode>#\ ###</c:formatCode>
                <c:ptCount val="6"/>
                <c:pt idx="0">
                  <c:v>76</c:v>
                </c:pt>
                <c:pt idx="1">
                  <c:v>82</c:v>
                </c:pt>
                <c:pt idx="2">
                  <c:v>77</c:v>
                </c:pt>
                <c:pt idx="3">
                  <c:v>82</c:v>
                </c:pt>
                <c:pt idx="4">
                  <c:v>88</c:v>
                </c:pt>
                <c:pt idx="5">
                  <c:v>110</c:v>
                </c:pt>
              </c:numCache>
            </c:numRef>
          </c:val>
          <c:extLst>
            <c:ext xmlns:c16="http://schemas.microsoft.com/office/drawing/2014/chart" uri="{C3380CC4-5D6E-409C-BE32-E72D297353CC}">
              <c16:uniqueId val="{00000000-18AA-4F9F-970C-B8FF962E5BDC}"/>
            </c:ext>
          </c:extLst>
        </c:ser>
        <c:ser>
          <c:idx val="1"/>
          <c:order val="1"/>
          <c:tx>
            <c:strRef>
              <c:f>Sheet1!$C$1</c:f>
              <c:strCache>
                <c:ptCount val="1"/>
                <c:pt idx="0">
                  <c:v>Déterminée</c:v>
                </c:pt>
              </c:strCache>
            </c:strRef>
          </c:tx>
          <c:spPr>
            <a:solidFill>
              <a:schemeClr val="accent2"/>
            </a:solidFill>
            <a:ln>
              <a:noFill/>
            </a:ln>
            <a:effectLst/>
          </c:spPr>
          <c:invertIfNegative val="0"/>
          <c:dLbls>
            <c:dLbl>
              <c:idx val="0"/>
              <c:layout>
                <c:manualLayout>
                  <c:x val="3.080714725816361E-3"/>
                  <c:y val="4.675324675324672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8AA-4F9F-970C-B8FF962E5BDC}"/>
                </c:ext>
              </c:extLst>
            </c:dLbl>
            <c:dLbl>
              <c:idx val="1"/>
              <c:layout>
                <c:manualLayout>
                  <c:x val="-4.1221183918041126E-17"/>
                  <c:y val="4.577392833185999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8AA-4F9F-970C-B8FF962E5BDC}"/>
                </c:ext>
              </c:extLst>
            </c:dLbl>
            <c:dLbl>
              <c:idx val="2"/>
              <c:layout>
                <c:manualLayout>
                  <c:x val="0"/>
                  <c:y val="4.15584415584415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8AA-4F9F-970C-B8FF962E5BDC}"/>
                </c:ext>
              </c:extLst>
            </c:dLbl>
            <c:dLbl>
              <c:idx val="3"/>
              <c:layout>
                <c:manualLayout>
                  <c:x val="0"/>
                  <c:y val="4.675324675324675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8AA-4F9F-970C-B8FF962E5BDC}"/>
                </c:ext>
              </c:extLst>
            </c:dLbl>
            <c:dLbl>
              <c:idx val="4"/>
              <c:layout>
                <c:manualLayout>
                  <c:x val="0"/>
                  <c:y val="1.558441558441553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8AA-4F9F-970C-B8FF962E5BDC}"/>
                </c:ext>
              </c:extLst>
            </c:dLbl>
            <c:dLbl>
              <c:idx val="5"/>
              <c:layout>
                <c:manualLayout>
                  <c:x val="-1.1295823504343063E-16"/>
                  <c:y val="-4.7618497526100754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8AA-4F9F-970C-B8FF962E5BDC}"/>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(N=97) </c:v>
                </c:pt>
                <c:pt idx="1">
                  <c:v> 2015
(N=91) </c:v>
                </c:pt>
                <c:pt idx="2">
                  <c:v> 2016
(N=90) </c:v>
                </c:pt>
                <c:pt idx="3">
                  <c:v> 2017
(N=101) </c:v>
                </c:pt>
                <c:pt idx="4">
                  <c:v> 2018
(N=121) </c:v>
                </c:pt>
                <c:pt idx="5">
                  <c:v> 2019
(N=180) </c:v>
                </c:pt>
              </c:strCache>
            </c:strRef>
          </c:cat>
          <c:val>
            <c:numRef>
              <c:f>Sheet1!$C$2:$C$7</c:f>
              <c:numCache>
                <c:formatCode>#\ ###</c:formatCode>
                <c:ptCount val="6"/>
                <c:pt idx="0">
                  <c:v>8</c:v>
                </c:pt>
                <c:pt idx="1">
                  <c:v>4</c:v>
                </c:pt>
                <c:pt idx="2">
                  <c:v>5</c:v>
                </c:pt>
                <c:pt idx="3">
                  <c:v>4</c:v>
                </c:pt>
                <c:pt idx="4">
                  <c:v>5</c:v>
                </c:pt>
                <c:pt idx="5">
                  <c:v>7</c:v>
                </c:pt>
              </c:numCache>
            </c:numRef>
          </c:val>
          <c:extLst>
            <c:ext xmlns:c16="http://schemas.microsoft.com/office/drawing/2014/chart" uri="{C3380CC4-5D6E-409C-BE32-E72D297353CC}">
              <c16:uniqueId val="{00000007-18AA-4F9F-970C-B8FF962E5BDC}"/>
            </c:ext>
          </c:extLst>
        </c:ser>
        <c:ser>
          <c:idx val="2"/>
          <c:order val="2"/>
          <c:tx>
            <c:strRef>
              <c:f>Sheet1!$D$1</c:f>
              <c:strCache>
                <c:ptCount val="1"/>
                <c:pt idx="0">
                  <c:v>Occasionnel</c:v>
                </c:pt>
              </c:strCache>
            </c:strRef>
          </c:tx>
          <c:spPr>
            <a:solidFill>
              <a:schemeClr val="accent3"/>
            </a:solidFill>
            <a:ln>
              <a:noFill/>
            </a:ln>
            <a:effectLst/>
          </c:spPr>
          <c:invertIfNegative val="0"/>
          <c:dLbls>
            <c:dLbl>
              <c:idx val="1"/>
              <c:layout>
                <c:manualLayout>
                  <c:x val="3.0807363244855362E-3"/>
                  <c:y val="2.1576869648219613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8AA-4F9F-970C-B8FF962E5BDC}"/>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(N=97) </c:v>
                </c:pt>
                <c:pt idx="1">
                  <c:v> 2015
(N=91) </c:v>
                </c:pt>
                <c:pt idx="2">
                  <c:v> 2016
(N=90) </c:v>
                </c:pt>
                <c:pt idx="3">
                  <c:v> 2017
(N=101) </c:v>
                </c:pt>
                <c:pt idx="4">
                  <c:v> 2018
(N=121) </c:v>
                </c:pt>
                <c:pt idx="5">
                  <c:v> 2019
(N=180) </c:v>
                </c:pt>
              </c:strCache>
            </c:strRef>
          </c:cat>
          <c:val>
            <c:numRef>
              <c:f>Sheet1!$D$2:$D$7</c:f>
              <c:numCache>
                <c:formatCode>#\ ###</c:formatCode>
                <c:ptCount val="6"/>
                <c:pt idx="0">
                  <c:v>12</c:v>
                </c:pt>
                <c:pt idx="1">
                  <c:v>5</c:v>
                </c:pt>
                <c:pt idx="2">
                  <c:v>7</c:v>
                </c:pt>
                <c:pt idx="3">
                  <c:v>12</c:v>
                </c:pt>
                <c:pt idx="4">
                  <c:v>22</c:v>
                </c:pt>
                <c:pt idx="5">
                  <c:v>55</c:v>
                </c:pt>
              </c:numCache>
            </c:numRef>
          </c:val>
          <c:extLst>
            <c:ext xmlns:c16="http://schemas.microsoft.com/office/drawing/2014/chart" uri="{C3380CC4-5D6E-409C-BE32-E72D297353CC}">
              <c16:uniqueId val="{00000009-18AA-4F9F-970C-B8FF962E5BDC}"/>
            </c:ext>
          </c:extLst>
        </c:ser>
        <c:ser>
          <c:idx val="3"/>
          <c:order val="3"/>
          <c:tx>
            <c:strRef>
              <c:f>Sheet1!$E$1</c:f>
              <c:strCache>
                <c:ptCount val="1"/>
                <c:pt idx="0">
                  <c:v>Étudiant</c:v>
                </c:pt>
              </c:strCache>
            </c:strRef>
          </c:tx>
          <c:spPr>
            <a:solidFill>
              <a:schemeClr val="accent4"/>
            </a:solidFill>
            <a:ln>
              <a:noFill/>
            </a:ln>
            <a:effectLst/>
          </c:spPr>
          <c:invertIfNegative val="0"/>
          <c:dLbls>
            <c:dLbl>
              <c:idx val="0"/>
              <c:layout>
                <c:manualLayout>
                  <c:x val="3.0807147258163892E-3"/>
                  <c:y val="-4.155844155844157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8AA-4F9F-970C-B8FF962E5BDC}"/>
                </c:ext>
              </c:extLst>
            </c:dLbl>
            <c:dLbl>
              <c:idx val="1"/>
              <c:layout>
                <c:manualLayout>
                  <c:x val="0"/>
                  <c:y val="-1.1443503382682772E-2"/>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1.3501878875595863E-2"/>
                      <c:h val="4.9864611539262645E-2"/>
                    </c:manualLayout>
                  </c15:layout>
                </c:ext>
                <c:ext xmlns:c16="http://schemas.microsoft.com/office/drawing/2014/chart" uri="{C3380CC4-5D6E-409C-BE32-E72D297353CC}">
                  <c16:uniqueId val="{0000000B-18AA-4F9F-970C-B8FF962E5BDC}"/>
                </c:ext>
              </c:extLst>
            </c:dLbl>
            <c:dLbl>
              <c:idx val="2"/>
              <c:layout>
                <c:manualLayout>
                  <c:x val="-5.6479117521715313E-17"/>
                  <c:y val="-4.155844155844157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8AA-4F9F-970C-B8FF962E5BDC}"/>
                </c:ext>
              </c:extLst>
            </c:dLbl>
            <c:dLbl>
              <c:idx val="3"/>
              <c:layout>
                <c:manualLayout>
                  <c:x val="0"/>
                  <c:y val="-4.155844155844157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8AA-4F9F-970C-B8FF962E5BDC}"/>
                </c:ext>
              </c:extLst>
            </c:dLbl>
            <c:dLbl>
              <c:idx val="4"/>
              <c:layout>
                <c:manualLayout>
                  <c:x val="0"/>
                  <c:y val="-3.636363636363636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8AA-4F9F-970C-B8FF962E5BDC}"/>
                </c:ext>
              </c:extLst>
            </c:dLbl>
            <c:dLbl>
              <c:idx val="5"/>
              <c:layout>
                <c:manualLayout>
                  <c:x val="-1.1295823504343063E-16"/>
                  <c:y val="-3.116883116883116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8AA-4F9F-970C-B8FF962E5BDC}"/>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(N=97) </c:v>
                </c:pt>
                <c:pt idx="1">
                  <c:v> 2015
(N=91) </c:v>
                </c:pt>
                <c:pt idx="2">
                  <c:v> 2016
(N=90) </c:v>
                </c:pt>
                <c:pt idx="3">
                  <c:v> 2017
(N=101) </c:v>
                </c:pt>
                <c:pt idx="4">
                  <c:v> 2018
(N=121) </c:v>
                </c:pt>
                <c:pt idx="5">
                  <c:v> 2019
(N=180) </c:v>
                </c:pt>
              </c:strCache>
            </c:strRef>
          </c:cat>
          <c:val>
            <c:numRef>
              <c:f>Sheet1!$E$2:$E$7</c:f>
              <c:numCache>
                <c:formatCode>#\ ###</c:formatCode>
                <c:ptCount val="6"/>
                <c:pt idx="0">
                  <c:v>1</c:v>
                </c:pt>
                <c:pt idx="1">
                  <c:v>0</c:v>
                </c:pt>
                <c:pt idx="2">
                  <c:v>1</c:v>
                </c:pt>
                <c:pt idx="3">
                  <c:v>3</c:v>
                </c:pt>
                <c:pt idx="4">
                  <c:v>6</c:v>
                </c:pt>
                <c:pt idx="5">
                  <c:v>8</c:v>
                </c:pt>
              </c:numCache>
            </c:numRef>
          </c:val>
          <c:extLst>
            <c:ext xmlns:c16="http://schemas.microsoft.com/office/drawing/2014/chart" uri="{C3380CC4-5D6E-409C-BE32-E72D297353CC}">
              <c16:uniqueId val="{00000010-18AA-4F9F-970C-B8FF962E5BDC}"/>
            </c:ext>
          </c:extLst>
        </c:ser>
        <c:dLbls>
          <c:dLblPos val="ctr"/>
          <c:showLegendKey val="0"/>
          <c:showVal val="1"/>
          <c:showCatName val="0"/>
          <c:showSerName val="0"/>
          <c:showPercent val="0"/>
          <c:showBubbleSize val="0"/>
        </c:dLbls>
        <c:gapWidth val="150"/>
        <c:overlap val="100"/>
        <c:axId val="536296304"/>
        <c:axId val="536287288"/>
      </c:barChart>
      <c:catAx>
        <c:axId val="536296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36287288"/>
        <c:crosses val="autoZero"/>
        <c:auto val="1"/>
        <c:lblAlgn val="ctr"/>
        <c:lblOffset val="100"/>
        <c:noMultiLvlLbl val="0"/>
      </c:catAx>
      <c:valAx>
        <c:axId val="536287288"/>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36296304"/>
        <c:crosses val="autoZero"/>
        <c:crossBetween val="between"/>
      </c:valAx>
      <c:spPr>
        <a:noFill/>
        <a:ln>
          <a:noFill/>
        </a:ln>
        <a:effectLst/>
      </c:spPr>
    </c:plotArea>
    <c:legend>
      <c:legendPos val="b"/>
      <c:layout>
        <c:manualLayout>
          <c:xMode val="edge"/>
          <c:yMode val="edge"/>
          <c:x val="0.13638008742437693"/>
          <c:y val="0.88116821760916253"/>
          <c:w val="0.77653126076430834"/>
          <c:h val="8.7662951222006347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CA" sz="1200" b="1"/>
              <a:t>Embauche d'étudiants</a:t>
            </a:r>
          </a:p>
        </c:rich>
      </c:tx>
      <c:layout>
        <c:manualLayout>
          <c:xMode val="edge"/>
          <c:yMode val="edge"/>
          <c:x val="0.37363430751594501"/>
          <c:y val="3.1027000608469035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2767611440767029"/>
          <c:y val="0.10525697710604966"/>
          <c:w val="0.83536289996604629"/>
          <c:h val="0.58717180352455944"/>
        </c:manualLayout>
      </c:layout>
      <c:barChart>
        <c:barDir val="col"/>
        <c:grouping val="stacked"/>
        <c:varyColors val="0"/>
        <c:ser>
          <c:idx val="0"/>
          <c:order val="0"/>
          <c:tx>
            <c:strRef>
              <c:f>Sheet1!$B$1</c:f>
              <c:strCache>
                <c:ptCount val="1"/>
                <c:pt idx="0">
                  <c:v>Programme fédéral d'expérience de travail étudiant (PFETÉ)</c:v>
                </c:pt>
              </c:strCache>
            </c:strRef>
          </c:tx>
          <c:spPr>
            <a:solidFill>
              <a:schemeClr val="accent1"/>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39FA-479C-9D79-344BB0588D19}"/>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(N=0)</c:v>
                </c:pt>
                <c:pt idx="1">
                  <c:v>2015-2016
 (N=6)</c:v>
                </c:pt>
                <c:pt idx="2">
                  <c:v>2016-2017
 (N=9)</c:v>
                </c:pt>
                <c:pt idx="3">
                  <c:v>2017-2018
 (N=14)</c:v>
                </c:pt>
                <c:pt idx="4">
                  <c:v>2018-2019
 (N=14)</c:v>
                </c:pt>
              </c:strCache>
            </c:strRef>
          </c:cat>
          <c:val>
            <c:numRef>
              <c:f>Sheet1!$B$2:$B$6</c:f>
              <c:numCache>
                <c:formatCode>General</c:formatCode>
                <c:ptCount val="5"/>
                <c:pt idx="0">
                  <c:v>0</c:v>
                </c:pt>
                <c:pt idx="1">
                  <c:v>6</c:v>
                </c:pt>
                <c:pt idx="2">
                  <c:v>8</c:v>
                </c:pt>
                <c:pt idx="3">
                  <c:v>12</c:v>
                </c:pt>
                <c:pt idx="4">
                  <c:v>9</c:v>
                </c:pt>
              </c:numCache>
            </c:numRef>
          </c:val>
          <c:extLst>
            <c:ext xmlns:c16="http://schemas.microsoft.com/office/drawing/2014/chart" uri="{C3380CC4-5D6E-409C-BE32-E72D297353CC}">
              <c16:uniqueId val="{00000001-39FA-479C-9D79-344BB0588D19}"/>
            </c:ext>
          </c:extLst>
        </c:ser>
        <c:ser>
          <c:idx val="1"/>
          <c:order val="1"/>
          <c:tx>
            <c:strRef>
              <c:f>Sheet1!$C$1</c:f>
              <c:strCache>
                <c:ptCount val="1"/>
                <c:pt idx="0">
                  <c:v>Programme post secondaire d'enseignement coopératif/stage (COOP)</c:v>
                </c:pt>
              </c:strCache>
            </c:strRef>
          </c:tx>
          <c:spPr>
            <a:solidFill>
              <a:schemeClr val="accent2"/>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39FA-479C-9D79-344BB0588D19}"/>
                </c:ext>
              </c:extLst>
            </c:dLbl>
            <c:dLbl>
              <c:idx val="1"/>
              <c:delete val="1"/>
              <c:extLst>
                <c:ext xmlns:c15="http://schemas.microsoft.com/office/drawing/2012/chart" uri="{CE6537A1-D6FC-4f65-9D91-7224C49458BB}"/>
                <c:ext xmlns:c16="http://schemas.microsoft.com/office/drawing/2014/chart" uri="{C3380CC4-5D6E-409C-BE32-E72D297353CC}">
                  <c16:uniqueId val="{00000003-39FA-479C-9D79-344BB0588D19}"/>
                </c:ext>
              </c:extLst>
            </c:dLbl>
            <c:dLbl>
              <c:idx val="2"/>
              <c:delete val="1"/>
              <c:extLst>
                <c:ext xmlns:c15="http://schemas.microsoft.com/office/drawing/2012/chart" uri="{CE6537A1-D6FC-4f65-9D91-7224C49458BB}"/>
                <c:ext xmlns:c16="http://schemas.microsoft.com/office/drawing/2014/chart" uri="{C3380CC4-5D6E-409C-BE32-E72D297353CC}">
                  <c16:uniqueId val="{00000004-39FA-479C-9D79-344BB0588D19}"/>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(N=0)</c:v>
                </c:pt>
                <c:pt idx="1">
                  <c:v>2015-2016
 (N=6)</c:v>
                </c:pt>
                <c:pt idx="2">
                  <c:v>2016-2017
 (N=9)</c:v>
                </c:pt>
                <c:pt idx="3">
                  <c:v>2017-2018
 (N=14)</c:v>
                </c:pt>
                <c:pt idx="4">
                  <c:v>2018-2019
 (N=14)</c:v>
                </c:pt>
              </c:strCache>
            </c:strRef>
          </c:cat>
          <c:val>
            <c:numRef>
              <c:f>Sheet1!$C$2:$C$6</c:f>
              <c:numCache>
                <c:formatCode>General</c:formatCode>
                <c:ptCount val="5"/>
                <c:pt idx="0">
                  <c:v>0</c:v>
                </c:pt>
                <c:pt idx="1">
                  <c:v>0</c:v>
                </c:pt>
                <c:pt idx="2">
                  <c:v>0</c:v>
                </c:pt>
                <c:pt idx="3">
                  <c:v>1</c:v>
                </c:pt>
                <c:pt idx="4">
                  <c:v>4</c:v>
                </c:pt>
              </c:numCache>
            </c:numRef>
          </c:val>
          <c:extLst>
            <c:ext xmlns:c16="http://schemas.microsoft.com/office/drawing/2014/chart" uri="{C3380CC4-5D6E-409C-BE32-E72D297353CC}">
              <c16:uniqueId val="{00000005-39FA-479C-9D79-344BB0588D19}"/>
            </c:ext>
          </c:extLst>
        </c:ser>
        <c:ser>
          <c:idx val="2"/>
          <c:order val="2"/>
          <c:tx>
            <c:strRef>
              <c:f>Sheet1!$D$1</c:f>
              <c:strCache>
                <c:ptCount val="1"/>
                <c:pt idx="0">
                  <c:v>Programme des adjoints de recherche (PAR)</c:v>
                </c:pt>
              </c:strCache>
            </c:strRef>
          </c:tx>
          <c:spPr>
            <a:solidFill>
              <a:schemeClr val="accent3"/>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39FA-479C-9D79-344BB0588D19}"/>
                </c:ext>
              </c:extLst>
            </c:dLbl>
            <c:dLbl>
              <c:idx val="1"/>
              <c:delete val="1"/>
              <c:extLst>
                <c:ext xmlns:c15="http://schemas.microsoft.com/office/drawing/2012/chart" uri="{CE6537A1-D6FC-4f65-9D91-7224C49458BB}"/>
                <c:ext xmlns:c16="http://schemas.microsoft.com/office/drawing/2014/chart" uri="{C3380CC4-5D6E-409C-BE32-E72D297353CC}">
                  <c16:uniqueId val="{00000007-39FA-479C-9D79-344BB0588D19}"/>
                </c:ext>
              </c:extLst>
            </c:dLbl>
            <c:dLbl>
              <c:idx val="2"/>
              <c:layout>
                <c:manualLayout>
                  <c:x val="4.1067761806981521E-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9FA-479C-9D79-344BB0588D19}"/>
                </c:ext>
              </c:extLst>
            </c:dLbl>
            <c:dLbl>
              <c:idx val="3"/>
              <c:layout>
                <c:manualLayout>
                  <c:x val="0"/>
                  <c:y val="-7.457121551081282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9FA-479C-9D79-344BB0588D19}"/>
                </c:ext>
              </c:extLst>
            </c:dLbl>
            <c:dLbl>
              <c:idx val="4"/>
              <c:layout>
                <c:manualLayout>
                  <c:x val="-1.5058005377863483E-16"/>
                  <c:y val="-3.72856077554064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9FA-479C-9D79-344BB0588D19}"/>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(N=0)</c:v>
                </c:pt>
                <c:pt idx="1">
                  <c:v>2015-2016
 (N=6)</c:v>
                </c:pt>
                <c:pt idx="2">
                  <c:v>2016-2017
 (N=9)</c:v>
                </c:pt>
                <c:pt idx="3">
                  <c:v>2017-2018
 (N=14)</c:v>
                </c:pt>
                <c:pt idx="4">
                  <c:v>2018-2019
 (N=14)</c:v>
                </c:pt>
              </c:strCache>
            </c:strRef>
          </c:cat>
          <c:val>
            <c:numRef>
              <c:f>Sheet1!$D$2:$D$6</c:f>
              <c:numCache>
                <c:formatCode>General</c:formatCode>
                <c:ptCount val="5"/>
                <c:pt idx="0">
                  <c:v>0</c:v>
                </c:pt>
                <c:pt idx="1">
                  <c:v>0</c:v>
                </c:pt>
                <c:pt idx="2">
                  <c:v>1</c:v>
                </c:pt>
                <c:pt idx="3">
                  <c:v>1</c:v>
                </c:pt>
                <c:pt idx="4">
                  <c:v>1</c:v>
                </c:pt>
              </c:numCache>
            </c:numRef>
          </c:val>
          <c:extLst>
            <c:ext xmlns:c16="http://schemas.microsoft.com/office/drawing/2014/chart" uri="{C3380CC4-5D6E-409C-BE32-E72D297353CC}">
              <c16:uniqueId val="{0000000B-39FA-479C-9D79-344BB0588D19}"/>
            </c:ext>
          </c:extLst>
        </c:ser>
        <c:dLbls>
          <c:dLblPos val="ctr"/>
          <c:showLegendKey val="0"/>
          <c:showVal val="1"/>
          <c:showCatName val="0"/>
          <c:showSerName val="0"/>
          <c:showPercent val="0"/>
          <c:showBubbleSize val="0"/>
        </c:dLbls>
        <c:gapWidth val="150"/>
        <c:overlap val="100"/>
        <c:axId val="536286504"/>
        <c:axId val="536286896"/>
      </c:barChart>
      <c:catAx>
        <c:axId val="536286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536286896"/>
        <c:crosses val="autoZero"/>
        <c:auto val="1"/>
        <c:lblAlgn val="ctr"/>
        <c:lblOffset val="100"/>
        <c:noMultiLvlLbl val="0"/>
      </c:catAx>
      <c:valAx>
        <c:axId val="53628689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36286504"/>
        <c:crosses val="autoZero"/>
        <c:crossBetween val="between"/>
      </c:valAx>
      <c:spPr>
        <a:noFill/>
        <a:ln>
          <a:noFill/>
        </a:ln>
        <a:effectLst/>
      </c:spPr>
    </c:plotArea>
    <c:legend>
      <c:legendPos val="b"/>
      <c:layout>
        <c:manualLayout>
          <c:xMode val="edge"/>
          <c:yMode val="edge"/>
          <c:x val="4.4100955553040477E-3"/>
          <c:y val="0.80836371963571652"/>
          <c:w val="0.97885948034729742"/>
          <c:h val="0.1504210044214271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Activités d'embauche externe pour une période indéterminée et d'une durée déterminée : Programme de recrutement postsecondaire et embauche d'anciens étudiants</a:t>
            </a:r>
          </a:p>
        </c:rich>
      </c:tx>
      <c:layout>
        <c:manualLayout>
          <c:xMode val="edge"/>
          <c:yMode val="edge"/>
          <c:x val="0.14479726290537459"/>
          <c:y val="2.4223955967178764E-3"/>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7963032789915352E-2"/>
          <c:y val="0.25135174030139185"/>
          <c:w val="0.90253418598918234"/>
          <c:h val="0.49020726195126385"/>
        </c:manualLayout>
      </c:layout>
      <c:bar3DChart>
        <c:barDir val="col"/>
        <c:grouping val="clustered"/>
        <c:varyColors val="0"/>
        <c:ser>
          <c:idx val="0"/>
          <c:order val="0"/>
          <c:tx>
            <c:strRef>
              <c:f>Sheet1!$B$1</c:f>
              <c:strCache>
                <c:ptCount val="1"/>
                <c:pt idx="0">
                  <c:v>Recrutement postsecondaire (RP)</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1049723756906077E-2"/>
                  <c:y val="1.11898545318910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DFC-407B-99B6-14A06622CC2E}"/>
                </c:ext>
              </c:extLst>
            </c:dLbl>
            <c:dLbl>
              <c:idx val="2"/>
              <c:layout>
                <c:manualLayout>
                  <c:x val="-1.1049723756906145E-2"/>
                  <c:y val="1.11898545318910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DFC-407B-99B6-14A06622CC2E}"/>
                </c:ext>
              </c:extLst>
            </c:dLbl>
            <c:dLbl>
              <c:idx val="3"/>
              <c:delete val="1"/>
              <c:extLst>
                <c:ext xmlns:c15="http://schemas.microsoft.com/office/drawing/2012/chart" uri="{CE6537A1-D6FC-4f65-9D91-7224C49458BB}"/>
                <c:ext xmlns:c16="http://schemas.microsoft.com/office/drawing/2014/chart" uri="{C3380CC4-5D6E-409C-BE32-E72D297353CC}">
                  <c16:uniqueId val="{00000002-3DFC-407B-99B6-14A06622CC2E}"/>
                </c:ext>
              </c:extLst>
            </c:dLbl>
            <c:dLbl>
              <c:idx val="4"/>
              <c:delete val="1"/>
              <c:extLst>
                <c:ext xmlns:c15="http://schemas.microsoft.com/office/drawing/2012/chart" uri="{CE6537A1-D6FC-4f65-9D91-7224C49458BB}"/>
                <c:ext xmlns:c16="http://schemas.microsoft.com/office/drawing/2014/chart" uri="{C3380CC4-5D6E-409C-BE32-E72D297353CC}">
                  <c16:uniqueId val="{00000003-3DFC-407B-99B6-14A06622CC2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c:v>
                </c:pt>
                <c:pt idx="1">
                  <c:v>2015-2016</c:v>
                </c:pt>
                <c:pt idx="2">
                  <c:v>2016-2017</c:v>
                </c:pt>
                <c:pt idx="3">
                  <c:v>2017-2018</c:v>
                </c:pt>
                <c:pt idx="4">
                  <c:v>2018-2019</c:v>
                </c:pt>
              </c:strCache>
            </c:strRef>
          </c:cat>
          <c:val>
            <c:numRef>
              <c:f>Sheet1!$B$2:$B$6</c:f>
              <c:numCache>
                <c:formatCode>_-* #,##0_-;\-* #,##0_-;_-* "-"??_-;_-@_-</c:formatCode>
                <c:ptCount val="5"/>
                <c:pt idx="0">
                  <c:v>1</c:v>
                </c:pt>
                <c:pt idx="1">
                  <c:v>1</c:v>
                </c:pt>
                <c:pt idx="2">
                  <c:v>1</c:v>
                </c:pt>
                <c:pt idx="3">
                  <c:v>0</c:v>
                </c:pt>
                <c:pt idx="4">
                  <c:v>0</c:v>
                </c:pt>
              </c:numCache>
            </c:numRef>
          </c:val>
          <c:extLst>
            <c:ext xmlns:c16="http://schemas.microsoft.com/office/drawing/2014/chart" uri="{C3380CC4-5D6E-409C-BE32-E72D297353CC}">
              <c16:uniqueId val="{00000004-3DFC-407B-99B6-14A06622CC2E}"/>
            </c:ext>
          </c:extLst>
        </c:ser>
        <c:ser>
          <c:idx val="1"/>
          <c:order val="1"/>
          <c:tx>
            <c:strRef>
              <c:f>Sheet1!$C$1</c:f>
              <c:strCache>
                <c:ptCount val="1"/>
                <c:pt idx="0">
                  <c:v>Embauche d'anciens étudiants*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5-3DFC-407B-99B6-14A06622CC2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c:v>
                </c:pt>
                <c:pt idx="1">
                  <c:v>2015-2016</c:v>
                </c:pt>
                <c:pt idx="2">
                  <c:v>2016-2017</c:v>
                </c:pt>
                <c:pt idx="3">
                  <c:v>2017-2018</c:v>
                </c:pt>
                <c:pt idx="4">
                  <c:v>2018-2019</c:v>
                </c:pt>
              </c:strCache>
            </c:strRef>
          </c:cat>
          <c:val>
            <c:numRef>
              <c:f>Sheet1!$C$2:$C$6</c:f>
              <c:numCache>
                <c:formatCode>_-* #,##0_-;\-* #,##0_-;_-* "-"??_-;_-@_-</c:formatCode>
                <c:ptCount val="5"/>
                <c:pt idx="0">
                  <c:v>0</c:v>
                </c:pt>
                <c:pt idx="1">
                  <c:v>2</c:v>
                </c:pt>
                <c:pt idx="2">
                  <c:v>3</c:v>
                </c:pt>
                <c:pt idx="3">
                  <c:v>3</c:v>
                </c:pt>
                <c:pt idx="4">
                  <c:v>3</c:v>
                </c:pt>
              </c:numCache>
            </c:numRef>
          </c:val>
          <c:extLst>
            <c:ext xmlns:c16="http://schemas.microsoft.com/office/drawing/2014/chart" uri="{C3380CC4-5D6E-409C-BE32-E72D297353CC}">
              <c16:uniqueId val="{00000006-3DFC-407B-99B6-14A06622CC2E}"/>
            </c:ext>
          </c:extLst>
        </c:ser>
        <c:dLbls>
          <c:showLegendKey val="0"/>
          <c:showVal val="1"/>
          <c:showCatName val="0"/>
          <c:showSerName val="0"/>
          <c:showPercent val="0"/>
          <c:showBubbleSize val="0"/>
        </c:dLbls>
        <c:gapWidth val="150"/>
        <c:shape val="box"/>
        <c:axId val="536289640"/>
        <c:axId val="536289248"/>
        <c:axId val="0"/>
      </c:bar3DChart>
      <c:catAx>
        <c:axId val="5362896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536289248"/>
        <c:crosses val="autoZero"/>
        <c:auto val="1"/>
        <c:lblAlgn val="ctr"/>
        <c:lblOffset val="100"/>
        <c:noMultiLvlLbl val="0"/>
      </c:catAx>
      <c:valAx>
        <c:axId val="536289248"/>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36289640"/>
        <c:crosses val="autoZero"/>
        <c:crossBetween val="between"/>
        <c:minorUnit val="1"/>
      </c:valAx>
      <c:spPr>
        <a:noFill/>
        <a:ln>
          <a:noFill/>
        </a:ln>
        <a:effectLst/>
      </c:spPr>
    </c:plotArea>
    <c:legend>
      <c:legendPos val="r"/>
      <c:layout>
        <c:manualLayout>
          <c:xMode val="edge"/>
          <c:yMode val="edge"/>
          <c:x val="4.7026870260002032E-2"/>
          <c:y val="0.81653161501026461"/>
          <c:w val="0.88258285263088621"/>
          <c:h val="9.03746253592075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Durée de dotation interne</a:t>
            </a:r>
          </a:p>
          <a:p>
            <a:pPr>
              <a:defRPr sz="1200"/>
            </a:pPr>
            <a:r>
              <a:rPr lang="en-CA" sz="1200"/>
              <a:t>Médiane pour la fonction publique = 176 jours</a:t>
            </a:r>
          </a:p>
          <a:p>
            <a:pPr>
              <a:defRPr sz="1200"/>
            </a:pPr>
            <a:r>
              <a:rPr lang="en-CA" sz="1200"/>
              <a:t> 2018-2019</a:t>
            </a:r>
          </a:p>
        </c:rich>
      </c:tx>
      <c:layout>
        <c:manualLayout>
          <c:xMode val="edge"/>
          <c:yMode val="edge"/>
          <c:x val="0.25173285885638663"/>
          <c:y val="3.6183406672166403E-3"/>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Jours civils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1">
                  <c:v>15</c:v>
                </c:pt>
                <c:pt idx="2">
                  <c:v>130</c:v>
                </c:pt>
                <c:pt idx="3">
                  <c:v>277</c:v>
                </c:pt>
                <c:pt idx="4">
                  <c:v>391</c:v>
                </c:pt>
                <c:pt idx="5">
                  <c:v>367</c:v>
                </c:pt>
                <c:pt idx="6">
                  <c:v>322</c:v>
                </c:pt>
                <c:pt idx="7">
                  <c:v>278</c:v>
                </c:pt>
                <c:pt idx="8">
                  <c:v>241</c:v>
                </c:pt>
                <c:pt idx="9">
                  <c:v>165</c:v>
                </c:pt>
                <c:pt idx="10">
                  <c:v>134</c:v>
                </c:pt>
                <c:pt idx="11">
                  <c:v>107</c:v>
                </c:pt>
                <c:pt idx="12">
                  <c:v>77</c:v>
                </c:pt>
                <c:pt idx="13">
                  <c:v>61</c:v>
                </c:pt>
                <c:pt idx="14">
                  <c:v>53</c:v>
                </c:pt>
                <c:pt idx="15">
                  <c:v>51</c:v>
                </c:pt>
                <c:pt idx="16">
                  <c:v>42</c:v>
                </c:pt>
                <c:pt idx="17">
                  <c:v>40</c:v>
                </c:pt>
                <c:pt idx="18">
                  <c:v>32</c:v>
                </c:pt>
                <c:pt idx="19">
                  <c:v>24</c:v>
                </c:pt>
                <c:pt idx="20">
                  <c:v>21</c:v>
                </c:pt>
                <c:pt idx="21">
                  <c:v>11</c:v>
                </c:pt>
                <c:pt idx="22">
                  <c:v>19</c:v>
                </c:pt>
                <c:pt idx="23">
                  <c:v>3</c:v>
                </c:pt>
                <c:pt idx="24">
                  <c:v>13</c:v>
                </c:pt>
                <c:pt idx="25">
                  <c:v>6</c:v>
                </c:pt>
                <c:pt idx="26">
                  <c:v>5</c:v>
                </c:pt>
                <c:pt idx="27">
                  <c:v>8</c:v>
                </c:pt>
                <c:pt idx="28">
                  <c:v>4</c:v>
                </c:pt>
                <c:pt idx="29">
                  <c:v>10</c:v>
                </c:pt>
                <c:pt idx="30">
                  <c:v>4</c:v>
                </c:pt>
                <c:pt idx="31">
                  <c:v>5</c:v>
                </c:pt>
                <c:pt idx="32">
                  <c:v>5</c:v>
                </c:pt>
                <c:pt idx="33">
                  <c:v>3</c:v>
                </c:pt>
                <c:pt idx="34">
                  <c:v>23</c:v>
                </c:pt>
              </c:numCache>
            </c:numRef>
          </c:val>
          <c:extLst>
            <c:ext xmlns:c16="http://schemas.microsoft.com/office/drawing/2014/chart" uri="{C3380CC4-5D6E-409C-BE32-E72D297353CC}">
              <c16:uniqueId val="{00000000-5E8B-43A6-BC10-1FF44EDA6764}"/>
            </c:ext>
          </c:extLst>
        </c:ser>
        <c:dLbls>
          <c:showLegendKey val="0"/>
          <c:showVal val="0"/>
          <c:showCatName val="0"/>
          <c:showSerName val="0"/>
          <c:showPercent val="0"/>
          <c:showBubbleSize val="0"/>
        </c:dLbls>
        <c:gapWidth val="150"/>
        <c:overlap val="100"/>
        <c:axId val="540721080"/>
        <c:axId val="540715200"/>
      </c:barChart>
      <c:catAx>
        <c:axId val="540721080"/>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Jours civils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40715200"/>
        <c:crosses val="autoZero"/>
        <c:auto val="1"/>
        <c:lblAlgn val="ctr"/>
        <c:lblOffset val="100"/>
        <c:noMultiLvlLbl val="0"/>
      </c:catAx>
      <c:valAx>
        <c:axId val="5407152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Fréquence</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407210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Durée de dotation externe</a:t>
            </a:r>
          </a:p>
          <a:p>
            <a:pPr>
              <a:defRPr sz="1200"/>
            </a:pPr>
            <a:r>
              <a:rPr lang="en-CA" sz="1200"/>
              <a:t>Médiane pour la fonction publique = 186 jours</a:t>
            </a:r>
          </a:p>
          <a:p>
            <a:pPr>
              <a:defRPr sz="1200"/>
            </a:pPr>
            <a:r>
              <a:rPr lang="en-CA" sz="1200"/>
              <a:t> 2018-2019</a:t>
            </a:r>
          </a:p>
        </c:rich>
      </c:tx>
      <c:layout>
        <c:manualLayout>
          <c:xMode val="edge"/>
          <c:yMode val="edge"/>
          <c:x val="0.25163059163059165"/>
          <c:y val="1.2782062036059926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0">
                  <c:v>0</c:v>
                </c:pt>
                <c:pt idx="1">
                  <c:v>49</c:v>
                </c:pt>
                <c:pt idx="2">
                  <c:v>82</c:v>
                </c:pt>
                <c:pt idx="3">
                  <c:v>124</c:v>
                </c:pt>
                <c:pt idx="4">
                  <c:v>160</c:v>
                </c:pt>
                <c:pt idx="5">
                  <c:v>181</c:v>
                </c:pt>
                <c:pt idx="6">
                  <c:v>179</c:v>
                </c:pt>
                <c:pt idx="7">
                  <c:v>160</c:v>
                </c:pt>
                <c:pt idx="8">
                  <c:v>139</c:v>
                </c:pt>
                <c:pt idx="9">
                  <c:v>84</c:v>
                </c:pt>
                <c:pt idx="10">
                  <c:v>73</c:v>
                </c:pt>
                <c:pt idx="11">
                  <c:v>61</c:v>
                </c:pt>
                <c:pt idx="12">
                  <c:v>41</c:v>
                </c:pt>
                <c:pt idx="13">
                  <c:v>43</c:v>
                </c:pt>
                <c:pt idx="14">
                  <c:v>49</c:v>
                </c:pt>
                <c:pt idx="15">
                  <c:v>35</c:v>
                </c:pt>
                <c:pt idx="16">
                  <c:v>22</c:v>
                </c:pt>
                <c:pt idx="17">
                  <c:v>27</c:v>
                </c:pt>
                <c:pt idx="18">
                  <c:v>17</c:v>
                </c:pt>
                <c:pt idx="19">
                  <c:v>15</c:v>
                </c:pt>
                <c:pt idx="20">
                  <c:v>14</c:v>
                </c:pt>
                <c:pt idx="21">
                  <c:v>12</c:v>
                </c:pt>
                <c:pt idx="22">
                  <c:v>7</c:v>
                </c:pt>
                <c:pt idx="23">
                  <c:v>5</c:v>
                </c:pt>
                <c:pt idx="24">
                  <c:v>7</c:v>
                </c:pt>
                <c:pt idx="25">
                  <c:v>11</c:v>
                </c:pt>
                <c:pt idx="26">
                  <c:v>3</c:v>
                </c:pt>
                <c:pt idx="27">
                  <c:v>7</c:v>
                </c:pt>
                <c:pt idx="28">
                  <c:v>2</c:v>
                </c:pt>
                <c:pt idx="29">
                  <c:v>2</c:v>
                </c:pt>
                <c:pt idx="30">
                  <c:v>0</c:v>
                </c:pt>
                <c:pt idx="31">
                  <c:v>3</c:v>
                </c:pt>
                <c:pt idx="32">
                  <c:v>1</c:v>
                </c:pt>
                <c:pt idx="33">
                  <c:v>0</c:v>
                </c:pt>
                <c:pt idx="34">
                  <c:v>0</c:v>
                </c:pt>
              </c:numCache>
            </c:numRef>
          </c:val>
          <c:extLst>
            <c:ext xmlns:c16="http://schemas.microsoft.com/office/drawing/2014/chart" uri="{C3380CC4-5D6E-409C-BE32-E72D297353CC}">
              <c16:uniqueId val="{00000000-B407-4860-8A59-FD1850EA64FF}"/>
            </c:ext>
          </c:extLst>
        </c:ser>
        <c:dLbls>
          <c:showLegendKey val="0"/>
          <c:showVal val="0"/>
          <c:showCatName val="0"/>
          <c:showSerName val="0"/>
          <c:showPercent val="0"/>
          <c:showBubbleSize val="0"/>
        </c:dLbls>
        <c:gapWidth val="150"/>
        <c:overlap val="100"/>
        <c:axId val="540723040"/>
        <c:axId val="540716376"/>
      </c:barChart>
      <c:catAx>
        <c:axId val="540723040"/>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Jours civils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40716376"/>
        <c:crosses val="autoZero"/>
        <c:auto val="1"/>
        <c:lblAlgn val="ctr"/>
        <c:lblOffset val="100"/>
        <c:noMultiLvlLbl val="0"/>
      </c:catAx>
      <c:valAx>
        <c:axId val="5407163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Fréquence</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40723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US" sz="1200" b="1" i="0" baseline="0">
                <a:solidFill>
                  <a:sysClr val="windowText" lastClr="000000"/>
                </a:solidFill>
                <a:effectLst/>
              </a:rPr>
              <a:t>Population selon le profil linguistique au 31 mars 2019 (N=180)</a:t>
            </a:r>
            <a:endParaRPr lang="en-CA" sz="1200">
              <a:solidFill>
                <a:sysClr val="windowText" lastClr="000000"/>
              </a:solidFill>
              <a:effectLst/>
            </a:endParaRPr>
          </a:p>
        </c:rich>
      </c:tx>
      <c:layout>
        <c:manualLayout>
          <c:xMode val="edge"/>
          <c:yMode val="edge"/>
          <c:x val="0.14725646205219109"/>
          <c:y val="8.5289610537813212E-3"/>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1595553173654358E-3"/>
          <c:y val="0.28853377023524235"/>
          <c:w val="0.99084044468263455"/>
          <c:h val="0.58773454948566217"/>
        </c:manualLayout>
      </c:layout>
      <c:pieChart>
        <c:varyColors val="1"/>
        <c:ser>
          <c:idx val="0"/>
          <c:order val="0"/>
          <c:tx>
            <c:strRef>
              <c:f>Sheet1!$B$1</c:f>
              <c:strCache>
                <c:ptCount val="1"/>
                <c:pt idx="0">
                  <c:v>Population selon le profil linguistique au 31 mars 2018</c:v>
                </c:pt>
              </c:strCache>
            </c:strRef>
          </c:tx>
          <c:spPr>
            <a:ln w="3175">
              <a:noFill/>
            </a:ln>
            <a:effectLst/>
          </c:spPr>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3175">
                <a:noFill/>
              </a:ln>
              <a:effectLst/>
            </c:spPr>
            <c:extLst>
              <c:ext xmlns:c16="http://schemas.microsoft.com/office/drawing/2014/chart" uri="{C3380CC4-5D6E-409C-BE32-E72D297353CC}">
                <c16:uniqueId val="{00000001-EB1A-46D0-9D4A-09343A08E863}"/>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3175">
                <a:noFill/>
              </a:ln>
              <a:effectLst/>
            </c:spPr>
            <c:extLst>
              <c:ext xmlns:c16="http://schemas.microsoft.com/office/drawing/2014/chart" uri="{C3380CC4-5D6E-409C-BE32-E72D297353CC}">
                <c16:uniqueId val="{00000003-EB1A-46D0-9D4A-09343A08E863}"/>
              </c:ext>
            </c:extLst>
          </c:dPt>
          <c:dLbls>
            <c:dLbl>
              <c:idx val="0"/>
              <c:layout>
                <c:manualLayout>
                  <c:x val="-6.5441590743565434E-3"/>
                  <c:y val="1.7119463327953572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39354275741710287"/>
                      <c:h val="0.14492753623188406"/>
                    </c:manualLayout>
                  </c15:layout>
                </c:ext>
                <c:ext xmlns:c16="http://schemas.microsoft.com/office/drawing/2014/chart" uri="{C3380CC4-5D6E-409C-BE32-E72D297353CC}">
                  <c16:uniqueId val="{00000001-EB1A-46D0-9D4A-09343A08E863}"/>
                </c:ext>
              </c:extLst>
            </c:dLbl>
            <c:dLbl>
              <c:idx val="1"/>
              <c:layout>
                <c:manualLayout>
                  <c:x val="0.12216439240906406"/>
                  <c:y val="-5.0325231085244782E-3"/>
                </c:manualLayout>
              </c:layout>
              <c:showLegendKey val="0"/>
              <c:showVal val="0"/>
              <c:showCatName val="1"/>
              <c:showSerName val="0"/>
              <c:showPercent val="1"/>
              <c:showBubbleSize val="0"/>
              <c:extLst>
                <c:ext xmlns:c15="http://schemas.microsoft.com/office/drawing/2012/chart" uri="{CE6537A1-D6FC-4f65-9D91-7224C49458BB}">
                  <c15:layout>
                    <c:manualLayout>
                      <c:w val="0.34746945898778353"/>
                      <c:h val="0.18610268825092516"/>
                    </c:manualLayout>
                  </c15:layout>
                </c:ext>
                <c:ext xmlns:c16="http://schemas.microsoft.com/office/drawing/2014/chart" uri="{C3380CC4-5D6E-409C-BE32-E72D297353CC}">
                  <c16:uniqueId val="{00000003-EB1A-46D0-9D4A-09343A08E86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Unilingue</c:v>
                </c:pt>
                <c:pt idx="1">
                  <c:v>Bilingue</c:v>
                </c:pt>
              </c:strCache>
            </c:strRef>
          </c:cat>
          <c:val>
            <c:numRef>
              <c:f>Sheet1!$B$2:$B$3</c:f>
              <c:numCache>
                <c:formatCode>0</c:formatCode>
                <c:ptCount val="2"/>
                <c:pt idx="0">
                  <c:v>13</c:v>
                </c:pt>
                <c:pt idx="1">
                  <c:v>83</c:v>
                </c:pt>
              </c:numCache>
            </c:numRef>
          </c:val>
          <c:extLst>
            <c:ext xmlns:c16="http://schemas.microsoft.com/office/drawing/2014/chart" uri="{C3380CC4-5D6E-409C-BE32-E72D297353CC}">
              <c16:uniqueId val="{00000004-EB1A-46D0-9D4A-09343A08E863}"/>
            </c:ext>
          </c:extLst>
        </c:ser>
        <c:dLbls>
          <c:showLegendKey val="0"/>
          <c:showVal val="0"/>
          <c:showCatName val="0"/>
          <c:showSerName val="0"/>
          <c:showPercent val="0"/>
          <c:showBubbleSize val="0"/>
          <c:showLeaderLines val="1"/>
        </c:dLbls>
        <c:firstSliceAng val="6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US" sz="1200">
                <a:solidFill>
                  <a:sysClr val="windowText" lastClr="000000"/>
                </a:solidFill>
              </a:rPr>
              <a:t>Population selon le groupe professionnel au 31 mars 2019</a:t>
            </a:r>
          </a:p>
        </c:rich>
      </c:tx>
      <c:layout>
        <c:manualLayout>
          <c:xMode val="edge"/>
          <c:yMode val="edge"/>
          <c:x val="0.11600522001788885"/>
          <c:y val="1.5484134522095228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3.2974677048050557E-2"/>
          <c:y val="0.30179943484886967"/>
          <c:w val="0.93955862026122472"/>
          <c:h val="0.62025549540682412"/>
        </c:manualLayout>
      </c:layout>
      <c:pieChart>
        <c:varyColors val="1"/>
        <c:ser>
          <c:idx val="0"/>
          <c:order val="0"/>
          <c:tx>
            <c:strRef>
              <c:f>Sheet1!$B$1</c:f>
              <c:strCache>
                <c:ptCount val="1"/>
                <c:pt idx="0">
                  <c:v>Population selon le groupe professionnel au 31 mars 2018</c:v>
                </c:pt>
              </c:strCache>
            </c:strRef>
          </c:tx>
          <c:spPr>
            <a:ln w="3175"/>
          </c:spPr>
          <c:dPt>
            <c:idx val="0"/>
            <c:bubble3D val="0"/>
            <c:spPr>
              <a:solidFill>
                <a:schemeClr val="accent2"/>
              </a:solidFill>
              <a:ln w="3175">
                <a:solidFill>
                  <a:schemeClr val="lt1"/>
                </a:solidFill>
              </a:ln>
              <a:effectLst/>
            </c:spPr>
            <c:extLst>
              <c:ext xmlns:c16="http://schemas.microsoft.com/office/drawing/2014/chart" uri="{C3380CC4-5D6E-409C-BE32-E72D297353CC}">
                <c16:uniqueId val="{00000001-C43B-4408-9125-C4AF478CBCB3}"/>
              </c:ext>
            </c:extLst>
          </c:dPt>
          <c:dPt>
            <c:idx val="1"/>
            <c:bubble3D val="0"/>
            <c:spPr>
              <a:solidFill>
                <a:schemeClr val="accent1"/>
              </a:solidFill>
              <a:ln w="3175">
                <a:solidFill>
                  <a:schemeClr val="lt1"/>
                </a:solidFill>
              </a:ln>
              <a:effectLst/>
            </c:spPr>
            <c:extLst>
              <c:ext xmlns:c16="http://schemas.microsoft.com/office/drawing/2014/chart" uri="{C3380CC4-5D6E-409C-BE32-E72D297353CC}">
                <c16:uniqueId val="{00000003-C43B-4408-9125-C4AF478CBCB3}"/>
              </c:ext>
            </c:extLst>
          </c:dPt>
          <c:dPt>
            <c:idx val="2"/>
            <c:bubble3D val="0"/>
            <c:spPr>
              <a:solidFill>
                <a:schemeClr val="bg2">
                  <a:lumMod val="75000"/>
                </a:schemeClr>
              </a:solidFill>
              <a:ln w="3175">
                <a:solidFill>
                  <a:schemeClr val="lt1"/>
                </a:solidFill>
              </a:ln>
              <a:effectLst/>
            </c:spPr>
            <c:extLst>
              <c:ext xmlns:c16="http://schemas.microsoft.com/office/drawing/2014/chart" uri="{C3380CC4-5D6E-409C-BE32-E72D297353CC}">
                <c16:uniqueId val="{00000005-C43B-4408-9125-C4AF478CBCB3}"/>
              </c:ext>
            </c:extLst>
          </c:dPt>
          <c:dPt>
            <c:idx val="3"/>
            <c:bubble3D val="0"/>
            <c:spPr>
              <a:solidFill>
                <a:schemeClr val="accent6"/>
              </a:solidFill>
              <a:ln w="3175">
                <a:solidFill>
                  <a:schemeClr val="lt1"/>
                </a:solidFill>
              </a:ln>
              <a:effectLst/>
            </c:spPr>
            <c:extLst>
              <c:ext xmlns:c16="http://schemas.microsoft.com/office/drawing/2014/chart" uri="{C3380CC4-5D6E-409C-BE32-E72D297353CC}">
                <c16:uniqueId val="{00000007-C43B-4408-9125-C4AF478CBCB3}"/>
              </c:ext>
            </c:extLst>
          </c:dPt>
          <c:dLbls>
            <c:dLbl>
              <c:idx val="0"/>
              <c:layout>
                <c:manualLayout>
                  <c:x val="5.2141527001862198E-2"/>
                  <c:y val="-0.12077821011673143"/>
                </c:manualLayout>
              </c:layout>
              <c:tx>
                <c:rich>
                  <a:bodyPr/>
                  <a:lstStyle/>
                  <a:p>
                    <a:fld id="{7E91B075-5E21-40C6-9385-8821B7861682}" type="CATEGORYNAME">
                      <a:rPr lang="en-US"/>
                      <a:pPr/>
                      <a:t>[CATEGORY NAME]</a:t>
                    </a:fld>
                    <a:r>
                      <a:rPr lang="en-US" baseline="0"/>
                      <a:t>
26%</a:t>
                    </a:r>
                  </a:p>
                </c:rich>
              </c:tx>
              <c:dLblPos val="bestFit"/>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C43B-4408-9125-C4AF478CBCB3}"/>
                </c:ext>
              </c:extLst>
            </c:dLbl>
            <c:dLbl>
              <c:idx val="1"/>
              <c:layout>
                <c:manualLayout>
                  <c:x val="0.11173184357541899"/>
                  <c:y val="3.6812402340757992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C43B-4408-9125-C4AF478CBCB3}"/>
                </c:ext>
              </c:extLst>
            </c:dLbl>
            <c:dLbl>
              <c:idx val="2"/>
              <c:layout>
                <c:manualLayout>
                  <c:x val="-3.2759996565535146E-2"/>
                  <c:y val="0.19787288994258384"/>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1705897135198526"/>
                      <c:h val="0.18653716923516855"/>
                    </c:manualLayout>
                  </c15:layout>
                </c:ext>
                <c:ext xmlns:c16="http://schemas.microsoft.com/office/drawing/2014/chart" uri="{C3380CC4-5D6E-409C-BE32-E72D297353CC}">
                  <c16:uniqueId val="{00000005-C43B-4408-9125-C4AF478CBCB3}"/>
                </c:ext>
              </c:extLst>
            </c:dLbl>
            <c:dLbl>
              <c:idx val="3"/>
              <c:layout>
                <c:manualLayout>
                  <c:x val="-5.9590477576550588E-2"/>
                  <c:y val="1.1987295362398667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0205193624539944"/>
                      <c:h val="0.17509727626459143"/>
                    </c:manualLayout>
                  </c15:layout>
                </c:ext>
                <c:ext xmlns:c16="http://schemas.microsoft.com/office/drawing/2014/chart" uri="{C3380CC4-5D6E-409C-BE32-E72D297353CC}">
                  <c16:uniqueId val="{00000007-C43B-4408-9125-C4AF478CBCB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bestFit"/>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EC</c:v>
                </c:pt>
                <c:pt idx="1">
                  <c:v>PM</c:v>
                </c:pt>
                <c:pt idx="2">
                  <c:v>AS</c:v>
                </c:pt>
                <c:pt idx="3">
                  <c:v>Autre</c:v>
                </c:pt>
              </c:strCache>
            </c:strRef>
          </c:cat>
          <c:val>
            <c:numRef>
              <c:f>Sheet1!$B$2:$B$5</c:f>
              <c:numCache>
                <c:formatCode>General</c:formatCode>
                <c:ptCount val="4"/>
                <c:pt idx="0">
                  <c:v>44</c:v>
                </c:pt>
                <c:pt idx="1">
                  <c:v>44</c:v>
                </c:pt>
                <c:pt idx="2">
                  <c:v>39</c:v>
                </c:pt>
                <c:pt idx="3">
                  <c:v>45</c:v>
                </c:pt>
              </c:numCache>
            </c:numRef>
          </c:val>
          <c:extLst>
            <c:ext xmlns:c16="http://schemas.microsoft.com/office/drawing/2014/chart" uri="{C3380CC4-5D6E-409C-BE32-E72D297353CC}">
              <c16:uniqueId val="{00000008-C43B-4408-9125-C4AF478CBCB3}"/>
            </c:ext>
          </c:extLst>
        </c:ser>
        <c:dLbls>
          <c:dLblPos val="bestFit"/>
          <c:showLegendKey val="0"/>
          <c:showVal val="1"/>
          <c:showCatName val="0"/>
          <c:showSerName val="0"/>
          <c:showPercent val="0"/>
          <c:showBubbleSize val="0"/>
          <c:showLeaderLines val="1"/>
        </c:dLbls>
        <c:firstSliceAng val="141"/>
      </c:pie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sz="1200" b="1" i="0" baseline="0">
                <a:solidFill>
                  <a:sysClr val="windowText" lastClr="000000"/>
                </a:solidFill>
                <a:effectLst/>
              </a:rPr>
              <a:t>Population selon la région au 31 mars 2019 (N=180)</a:t>
            </a:r>
            <a:endParaRPr lang="en-CA" sz="1200">
              <a:solidFill>
                <a:sysClr val="windowText" lastClr="000000"/>
              </a:solidFill>
              <a:effectLst/>
            </a:endParaRPr>
          </a:p>
        </c:rich>
      </c:tx>
      <c:layout>
        <c:manualLayout>
          <c:xMode val="edge"/>
          <c:yMode val="edge"/>
          <c:x val="0.12792086473061834"/>
          <c:y val="2.0703933747412008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8.3640109502441232E-2"/>
          <c:y val="0.22221760323437831"/>
          <c:w val="0.84333349635643373"/>
          <c:h val="0.70579860488143109"/>
        </c:manualLayout>
      </c:layout>
      <c:pieChart>
        <c:varyColors val="1"/>
        <c:ser>
          <c:idx val="0"/>
          <c:order val="0"/>
          <c:tx>
            <c:strRef>
              <c:f>Sheet1!$B$1</c:f>
              <c:strCache>
                <c:ptCount val="1"/>
                <c:pt idx="0">
                  <c:v>Population selon la région au 31 mars 2018</c:v>
                </c:pt>
              </c:strCache>
            </c:strRef>
          </c:tx>
          <c:spPr>
            <a:effectLst/>
          </c:spPr>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3175">
                <a:solidFill>
                  <a:schemeClr val="lt1"/>
                </a:solidFill>
              </a:ln>
              <a:effectLst/>
            </c:spPr>
            <c:extLst>
              <c:ext xmlns:c16="http://schemas.microsoft.com/office/drawing/2014/chart" uri="{C3380CC4-5D6E-409C-BE32-E72D297353CC}">
                <c16:uniqueId val="{00000001-81A5-410F-87F4-D973AF7721EA}"/>
              </c:ext>
            </c:extLst>
          </c:dPt>
          <c:dPt>
            <c:idx val="1"/>
            <c:bubble3D val="0"/>
            <c:explosion val="3"/>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81A5-410F-87F4-D973AF7721EA}"/>
              </c:ext>
            </c:extLst>
          </c:dPt>
          <c:dLbls>
            <c:dLbl>
              <c:idx val="0"/>
              <c:layout>
                <c:manualLayout>
                  <c:x val="-7.1684587813620068E-2"/>
                  <c:y val="7.314601979100438E-2"/>
                </c:manualLayout>
              </c:layout>
              <c:showLegendKey val="0"/>
              <c:showVal val="0"/>
              <c:showCatName val="1"/>
              <c:showSerName val="0"/>
              <c:showPercent val="1"/>
              <c:showBubbleSize val="0"/>
              <c:extLst>
                <c:ext xmlns:c15="http://schemas.microsoft.com/office/drawing/2012/chart" uri="{CE6537A1-D6FC-4f65-9D91-7224C49458BB}">
                  <c15:layout>
                    <c:manualLayout>
                      <c:w val="0.37992831541218636"/>
                      <c:h val="0.24456521739130435"/>
                    </c:manualLayout>
                  </c15:layout>
                </c:ext>
                <c:ext xmlns:c16="http://schemas.microsoft.com/office/drawing/2014/chart" uri="{C3380CC4-5D6E-409C-BE32-E72D297353CC}">
                  <c16:uniqueId val="{00000001-81A5-410F-87F4-D973AF7721EA}"/>
                </c:ext>
              </c:extLst>
            </c:dLbl>
            <c:dLbl>
              <c:idx val="1"/>
              <c:layout>
                <c:manualLayout>
                  <c:x val="0.25448056896113791"/>
                  <c:y val="-0.10596420012715801"/>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20849434143312728"/>
                      <c:h val="0.19127867168777815"/>
                    </c:manualLayout>
                  </c15:layout>
                </c:ext>
                <c:ext xmlns:c16="http://schemas.microsoft.com/office/drawing/2014/chart" uri="{C3380CC4-5D6E-409C-BE32-E72D297353CC}">
                  <c16:uniqueId val="{00000003-81A5-410F-87F4-D973AF7721E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Extérieur de la RCN</c:v>
                </c:pt>
                <c:pt idx="1">
                  <c:v>RCN</c:v>
                </c:pt>
              </c:strCache>
            </c:strRef>
          </c:cat>
          <c:val>
            <c:numRef>
              <c:f>Sheet1!$B$2:$B$3</c:f>
              <c:numCache>
                <c:formatCode>0</c:formatCode>
                <c:ptCount val="2"/>
                <c:pt idx="0">
                  <c:v>18</c:v>
                </c:pt>
                <c:pt idx="1">
                  <c:v>162</c:v>
                </c:pt>
              </c:numCache>
            </c:numRef>
          </c:val>
          <c:extLst>
            <c:ext xmlns:c16="http://schemas.microsoft.com/office/drawing/2014/chart" uri="{C3380CC4-5D6E-409C-BE32-E72D297353CC}">
              <c16:uniqueId val="{00000004-81A5-410F-87F4-D973AF7721EA}"/>
            </c:ext>
          </c:extLst>
        </c:ser>
        <c:dLbls>
          <c:showLegendKey val="0"/>
          <c:showVal val="0"/>
          <c:showCatName val="0"/>
          <c:showSerName val="0"/>
          <c:showPercent val="0"/>
          <c:showBubbleSize val="0"/>
          <c:showLeaderLines val="1"/>
        </c:dLbls>
        <c:firstSliceAng val="54"/>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US" sz="1200">
                <a:solidFill>
                  <a:sysClr val="windowText" lastClr="000000"/>
                </a:solidFill>
              </a:rPr>
              <a:t>Embauche externe pour une période</a:t>
            </a:r>
            <a:r>
              <a:rPr lang="en-US" sz="1200" baseline="0">
                <a:solidFill>
                  <a:sysClr val="windowText" lastClr="000000"/>
                </a:solidFill>
              </a:rPr>
              <a:t> indéterminée selon le groupe professionnel</a:t>
            </a:r>
            <a:r>
              <a:rPr lang="en-US" sz="1200">
                <a:solidFill>
                  <a:sysClr val="windowText" lastClr="000000"/>
                </a:solidFill>
              </a:rPr>
              <a:t>,</a:t>
            </a:r>
          </a:p>
          <a:p>
            <a:pPr>
              <a:defRPr sz="1200" b="1">
                <a:solidFill>
                  <a:sysClr val="windowText" lastClr="000000"/>
                </a:solidFill>
              </a:defRPr>
            </a:pPr>
            <a:r>
              <a:rPr lang="en-US" sz="1200">
                <a:solidFill>
                  <a:sysClr val="windowText" lastClr="000000"/>
                </a:solidFill>
              </a:rPr>
              <a:t> 2018-2019 (N=9)</a:t>
            </a:r>
          </a:p>
        </c:rich>
      </c:tx>
      <c:layout>
        <c:manualLayout>
          <c:xMode val="edge"/>
          <c:yMode val="edge"/>
          <c:x val="0.14968643412327082"/>
          <c:y val="2.5746584826502987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1580156874232927"/>
          <c:y val="0.44123759130613294"/>
          <c:w val="0.8966533531134695"/>
          <c:h val="0.48715812098290862"/>
        </c:manualLayout>
      </c:layout>
      <c:doughnutChart>
        <c:varyColors val="1"/>
        <c:ser>
          <c:idx val="0"/>
          <c:order val="0"/>
          <c:tx>
            <c:strRef>
              <c:f>Sheet1!$B$1</c:f>
              <c:strCache>
                <c:ptCount val="1"/>
                <c:pt idx="0">
                  <c:v>Embauche externe pour une période indéterminée selon le groupe professionnel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8ED-4794-A08D-8FC9098CE2F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8ED-4794-A08D-8FC9098CE2F0}"/>
              </c:ext>
            </c:extLst>
          </c:dPt>
          <c:dPt>
            <c:idx val="2"/>
            <c:bubble3D val="0"/>
            <c:spPr>
              <a:solidFill>
                <a:schemeClr val="bg1">
                  <a:lumMod val="65000"/>
                </a:schemeClr>
              </a:solidFill>
              <a:ln w="19050">
                <a:solidFill>
                  <a:schemeClr val="lt1"/>
                </a:solidFill>
              </a:ln>
              <a:effectLst/>
            </c:spPr>
            <c:extLst>
              <c:ext xmlns:c16="http://schemas.microsoft.com/office/drawing/2014/chart" uri="{C3380CC4-5D6E-409C-BE32-E72D297353CC}">
                <c16:uniqueId val="{00000005-38ED-4794-A08D-8FC9098CE2F0}"/>
              </c:ext>
            </c:extLst>
          </c:dPt>
          <c:dPt>
            <c:idx val="3"/>
            <c:bubble3D val="0"/>
            <c:spPr>
              <a:solidFill>
                <a:schemeClr val="accent5">
                  <a:lumMod val="40000"/>
                  <a:lumOff val="60000"/>
                </a:schemeClr>
              </a:solidFill>
              <a:ln w="19050">
                <a:solidFill>
                  <a:schemeClr val="lt1"/>
                </a:solidFill>
              </a:ln>
              <a:effectLst/>
            </c:spPr>
            <c:extLst>
              <c:ext xmlns:c16="http://schemas.microsoft.com/office/drawing/2014/chart" uri="{C3380CC4-5D6E-409C-BE32-E72D297353CC}">
                <c16:uniqueId val="{00000007-38ED-4794-A08D-8FC9098CE2F0}"/>
              </c:ext>
            </c:extLst>
          </c:dPt>
          <c:dPt>
            <c:idx val="4"/>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09-38ED-4794-A08D-8FC9098CE2F0}"/>
              </c:ext>
            </c:extLst>
          </c:dPt>
          <c:dLbls>
            <c:dLbl>
              <c:idx val="0"/>
              <c:layout>
                <c:manualLayout>
                  <c:x val="-9.6620893402817407E-3"/>
                  <c:y val="-3.283741203300744E-3"/>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fld id="{0BB73ACA-D99C-43A1-BE11-6488294F4569}" type="CATEGORYNAME">
                      <a:rPr lang="en-US">
                        <a:solidFill>
                          <a:schemeClr val="bg1"/>
                        </a:solidFill>
                      </a:rPr>
                      <a:pPr>
                        <a:defRPr b="1">
                          <a:solidFill>
                            <a:schemeClr val="bg1"/>
                          </a:solidFill>
                        </a:defRPr>
                      </a:pPr>
                      <a:t>[CATEGORY NAME]</a:t>
                    </a:fld>
                    <a:endParaRPr lang="en-US">
                      <a:solidFill>
                        <a:schemeClr val="bg1"/>
                      </a:solidFill>
                    </a:endParaRPr>
                  </a:p>
                  <a:p>
                    <a:pPr>
                      <a:defRPr b="1">
                        <a:solidFill>
                          <a:schemeClr val="bg1"/>
                        </a:solidFill>
                      </a:defRPr>
                    </a:pPr>
                    <a:fld id="{821713FA-20D7-45A8-8004-F775E912F526}" type="VALUE">
                      <a:rPr lang="en-US" baseline="0">
                        <a:solidFill>
                          <a:schemeClr val="bg1"/>
                        </a:solidFill>
                      </a:rPr>
                      <a:pPr>
                        <a:defRPr b="1">
                          <a:solidFill>
                            <a:schemeClr val="bg1"/>
                          </a:solidFill>
                        </a:defRPr>
                      </a:pPr>
                      <a:t>[VALUE]</a:t>
                    </a:fld>
                    <a:endParaRPr lang="en-CA"/>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layout>
                    <c:manualLayout>
                      <c:w val="0.24085815360036511"/>
                      <c:h val="0.13880863317282188"/>
                    </c:manualLayout>
                  </c15:layout>
                  <c15:dlblFieldTable/>
                  <c15:showDataLabelsRange val="0"/>
                </c:ext>
                <c:ext xmlns:c16="http://schemas.microsoft.com/office/drawing/2014/chart" uri="{C3380CC4-5D6E-409C-BE32-E72D297353CC}">
                  <c16:uniqueId val="{00000001-38ED-4794-A08D-8FC9098CE2F0}"/>
                </c:ext>
              </c:extLst>
            </c:dLbl>
            <c:dLbl>
              <c:idx val="1"/>
              <c:layout>
                <c:manualLayout>
                  <c:x val="-8.4932861653162928E-3"/>
                  <c:y val="3.5162507000249649E-3"/>
                </c:manualLayout>
              </c:layout>
              <c:tx>
                <c:rich>
                  <a:bodyPr rot="0" spcFirstLastPara="1" vertOverflow="clip" horzOverflow="clip"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fld id="{6C117BD9-8F99-42CA-8E8A-41EF5C1A9260}" type="CATEGORYNAME">
                      <a:rPr lang="en-US">
                        <a:solidFill>
                          <a:schemeClr val="bg1"/>
                        </a:solidFill>
                      </a:rPr>
                      <a:pPr>
                        <a:defRPr b="1">
                          <a:solidFill>
                            <a:schemeClr val="bg1"/>
                          </a:solidFill>
                        </a:defRPr>
                      </a:pPr>
                      <a:t>[CATEGORY NAME]</a:t>
                    </a:fld>
                    <a:endParaRPr lang="en-US" baseline="0">
                      <a:solidFill>
                        <a:schemeClr val="bg1"/>
                      </a:solidFill>
                    </a:endParaRPr>
                  </a:p>
                  <a:p>
                    <a:pPr>
                      <a:defRPr b="1">
                        <a:solidFill>
                          <a:schemeClr val="bg1"/>
                        </a:solidFill>
                      </a:defRPr>
                    </a:pPr>
                    <a:fld id="{E10B615C-5383-4711-A018-D462A1C05188}" type="VALUE">
                      <a:rPr lang="en-US" baseline="0">
                        <a:solidFill>
                          <a:schemeClr val="bg1"/>
                        </a:solidFill>
                      </a:rPr>
                      <a:pPr>
                        <a:defRPr b="1">
                          <a:solidFill>
                            <a:schemeClr val="bg1"/>
                          </a:solidFill>
                        </a:defRPr>
                      </a:pPr>
                      <a:t>[VALUE]</a:t>
                    </a:fld>
                    <a:endParaRPr lang="en-CA"/>
                  </a:p>
                </c:rich>
              </c:tx>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3123446393897562"/>
                      <c:h val="0.16763557277114552"/>
                    </c:manualLayout>
                  </c15:layout>
                  <c15:dlblFieldTable/>
                  <c15:showDataLabelsRange val="0"/>
                </c:ext>
                <c:ext xmlns:c16="http://schemas.microsoft.com/office/drawing/2014/chart" uri="{C3380CC4-5D6E-409C-BE32-E72D297353CC}">
                  <c16:uniqueId val="{00000003-38ED-4794-A08D-8FC9098CE2F0}"/>
                </c:ext>
              </c:extLst>
            </c:dLbl>
            <c:dLbl>
              <c:idx val="2"/>
              <c:layout>
                <c:manualLayout>
                  <c:x val="-5.4542457555124598E-3"/>
                  <c:y val="-3.937696764282482E-3"/>
                </c:manualLayout>
              </c:layout>
              <c:tx>
                <c:rich>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fld id="{190D0757-48BE-4F46-B977-F2F65B9F2D00}" type="CATEGORYNAME">
                      <a:rPr lang="en-US">
                        <a:solidFill>
                          <a:sysClr val="windowText" lastClr="000000"/>
                        </a:solidFill>
                      </a:rPr>
                      <a:pPr>
                        <a:defRPr b="1">
                          <a:solidFill>
                            <a:sysClr val="windowText" lastClr="000000"/>
                          </a:solidFill>
                        </a:defRPr>
                      </a:pPr>
                      <a:t>[CATEGORY NAME]</a:t>
                    </a:fld>
                    <a:endParaRPr lang="en-US">
                      <a:solidFill>
                        <a:sysClr val="windowText" lastClr="000000"/>
                      </a:solidFill>
                    </a:endParaRPr>
                  </a:p>
                  <a:p>
                    <a:pPr>
                      <a:defRPr b="1">
                        <a:solidFill>
                          <a:sysClr val="windowText" lastClr="000000"/>
                        </a:solidFill>
                      </a:defRPr>
                    </a:pPr>
                    <a:fld id="{E925E733-A707-4A42-A9BF-1413A7288427}" type="VALUE">
                      <a:rPr lang="en-US" baseline="0">
                        <a:solidFill>
                          <a:sysClr val="windowText" lastClr="000000"/>
                        </a:solidFill>
                      </a:rPr>
                      <a:pPr>
                        <a:defRPr b="1">
                          <a:solidFill>
                            <a:sysClr val="windowText" lastClr="000000"/>
                          </a:solidFill>
                        </a:defRPr>
                      </a:pPr>
                      <a:t>[VALUE]</a:t>
                    </a:fld>
                    <a:endParaRPr lang="en-CA"/>
                  </a:p>
                </c:rich>
              </c:tx>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dlblFieldTable/>
                  <c15:showDataLabelsRange val="0"/>
                </c:ext>
                <c:ext xmlns:c16="http://schemas.microsoft.com/office/drawing/2014/chart" uri="{C3380CC4-5D6E-409C-BE32-E72D297353CC}">
                  <c16:uniqueId val="{00000005-38ED-4794-A08D-8FC9098CE2F0}"/>
                </c:ext>
              </c:extLst>
            </c:dLbl>
            <c:dLbl>
              <c:idx val="3"/>
              <c:tx>
                <c:rich>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fld id="{A8AE31C2-64B8-4FDD-B7F8-061BB3A27999}" type="CATEGORYNAME">
                      <a:rPr lang="en-US">
                        <a:solidFill>
                          <a:sysClr val="windowText" lastClr="000000"/>
                        </a:solidFill>
                      </a:rPr>
                      <a:pPr>
                        <a:defRPr b="1">
                          <a:solidFill>
                            <a:sysClr val="windowText" lastClr="000000"/>
                          </a:solidFill>
                        </a:defRPr>
                      </a:pPr>
                      <a:t>[CATEGORY NAME]</a:t>
                    </a:fld>
                    <a:endParaRPr lang="en-US">
                      <a:solidFill>
                        <a:sysClr val="windowText" lastClr="000000"/>
                      </a:solidFill>
                    </a:endParaRPr>
                  </a:p>
                  <a:p>
                    <a:pPr>
                      <a:defRPr b="1">
                        <a:solidFill>
                          <a:sysClr val="windowText" lastClr="000000"/>
                        </a:solidFill>
                      </a:defRPr>
                    </a:pPr>
                    <a:fld id="{B6E3A3A4-F8D6-4D03-804F-DF0E8FB50EED}" type="VALUE">
                      <a:rPr lang="en-US" baseline="0">
                        <a:solidFill>
                          <a:sysClr val="windowText" lastClr="000000"/>
                        </a:solidFill>
                      </a:rPr>
                      <a:pPr>
                        <a:defRPr b="1">
                          <a:solidFill>
                            <a:sysClr val="windowText" lastClr="000000"/>
                          </a:solidFill>
                        </a:defRPr>
                      </a:pPr>
                      <a:t>[VALUE]</a:t>
                    </a:fld>
                    <a:endParaRPr lang="en-CA"/>
                  </a:p>
                </c:rich>
              </c:tx>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dlblFieldTable/>
                  <c15:showDataLabelsRange val="0"/>
                </c:ext>
                <c:ext xmlns:c16="http://schemas.microsoft.com/office/drawing/2014/chart" uri="{C3380CC4-5D6E-409C-BE32-E72D297353CC}">
                  <c16:uniqueId val="{00000007-38ED-4794-A08D-8FC9098CE2F0}"/>
                </c:ext>
              </c:extLst>
            </c:dLbl>
            <c:dLbl>
              <c:idx val="4"/>
              <c:tx>
                <c:rich>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fld id="{4633833B-ED73-4117-983D-FE4A74581AFC}" type="CATEGORYNAME">
                      <a:rPr lang="en-US">
                        <a:solidFill>
                          <a:sysClr val="windowText" lastClr="000000"/>
                        </a:solidFill>
                      </a:rPr>
                      <a:pPr>
                        <a:defRPr b="1">
                          <a:solidFill>
                            <a:sysClr val="windowText" lastClr="000000"/>
                          </a:solidFill>
                        </a:defRPr>
                      </a:pPr>
                      <a:t>[CATEGORY NAME]</a:t>
                    </a:fld>
                    <a:endParaRPr lang="en-US">
                      <a:solidFill>
                        <a:sysClr val="windowText" lastClr="000000"/>
                      </a:solidFill>
                    </a:endParaRPr>
                  </a:p>
                  <a:p>
                    <a:pPr>
                      <a:defRPr b="1">
                        <a:solidFill>
                          <a:sysClr val="windowText" lastClr="000000"/>
                        </a:solidFill>
                      </a:defRPr>
                    </a:pPr>
                    <a:fld id="{34083F2D-8E94-4BB8-8FFF-77EC76B4DB7E}" type="VALUE">
                      <a:rPr lang="en-US" baseline="0">
                        <a:solidFill>
                          <a:sysClr val="windowText" lastClr="000000"/>
                        </a:solidFill>
                      </a:rPr>
                      <a:pPr>
                        <a:defRPr b="1">
                          <a:solidFill>
                            <a:sysClr val="windowText" lastClr="000000"/>
                          </a:solidFill>
                        </a:defRPr>
                      </a:pPr>
                      <a:t>[VALUE]</a:t>
                    </a:fld>
                    <a:endParaRPr lang="en-CA"/>
                  </a:p>
                </c:rich>
              </c:tx>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dlblFieldTable/>
                  <c15:showDataLabelsRange val="0"/>
                </c:ext>
                <c:ext xmlns:c16="http://schemas.microsoft.com/office/drawing/2014/chart" uri="{C3380CC4-5D6E-409C-BE32-E72D297353CC}">
                  <c16:uniqueId val="{00000009-38ED-4794-A08D-8FC9098CE2F0}"/>
                </c:ext>
              </c:extLst>
            </c:dLbl>
            <c:spPr>
              <a:solidFill>
                <a:sysClr val="window" lastClr="FFFFFF"/>
              </a:solid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Sheet1!$A$2:$A$6</c:f>
              <c:strCache>
                <c:ptCount val="5"/>
                <c:pt idx="0">
                  <c:v>PM</c:v>
                </c:pt>
                <c:pt idx="1">
                  <c:v>EC</c:v>
                </c:pt>
                <c:pt idx="2">
                  <c:v>AS</c:v>
                </c:pt>
                <c:pt idx="3">
                  <c:v>EX</c:v>
                </c:pt>
                <c:pt idx="4">
                  <c:v>IS</c:v>
                </c:pt>
              </c:strCache>
            </c:strRef>
          </c:cat>
          <c:val>
            <c:numRef>
              <c:f>Sheet1!$B$2:$B$6</c:f>
              <c:numCache>
                <c:formatCode>General</c:formatCode>
                <c:ptCount val="5"/>
                <c:pt idx="0">
                  <c:v>4</c:v>
                </c:pt>
                <c:pt idx="1">
                  <c:v>2</c:v>
                </c:pt>
                <c:pt idx="2">
                  <c:v>1</c:v>
                </c:pt>
                <c:pt idx="3">
                  <c:v>1</c:v>
                </c:pt>
                <c:pt idx="4">
                  <c:v>1</c:v>
                </c:pt>
              </c:numCache>
            </c:numRef>
          </c:val>
          <c:extLst>
            <c:ext xmlns:c16="http://schemas.microsoft.com/office/drawing/2014/chart" uri="{C3380CC4-5D6E-409C-BE32-E72D297353CC}">
              <c16:uniqueId val="{0000000A-38ED-4794-A08D-8FC9098CE2F0}"/>
            </c:ext>
          </c:extLst>
        </c:ser>
        <c:dLbls>
          <c:showLegendKey val="0"/>
          <c:showVal val="0"/>
          <c:showCatName val="0"/>
          <c:showSerName val="0"/>
          <c:showPercent val="0"/>
          <c:showBubbleSize val="0"/>
          <c:showLeaderLines val="0"/>
        </c:dLbls>
        <c:firstSliceAng val="120"/>
        <c:holeSize val="50"/>
      </c:doughnut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Dotation selon la région</a:t>
            </a:r>
          </a:p>
        </c:rich>
      </c:tx>
      <c:layout>
        <c:manualLayout>
          <c:xMode val="edge"/>
          <c:yMode val="edge"/>
          <c:x val="0.31305054795782106"/>
          <c:y val="2.4056959472493554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951817700419027"/>
          <c:y val="0.12158656628431981"/>
          <c:w val="0.84333349635643373"/>
          <c:h val="0.61671174519323513"/>
        </c:manualLayout>
      </c:layout>
      <c:barChart>
        <c:barDir val="col"/>
        <c:grouping val="clustered"/>
        <c:varyColors val="0"/>
        <c:ser>
          <c:idx val="0"/>
          <c:order val="0"/>
          <c:tx>
            <c:strRef>
              <c:f>Sheet1!$B$1</c:f>
              <c:strCache>
                <c:ptCount val="1"/>
                <c:pt idx="0">
                  <c:v>Région de la capitale nationale (RCN)</c:v>
                </c:pt>
              </c:strCache>
            </c:strRef>
          </c:tx>
          <c:spPr>
            <a:solidFill>
              <a:schemeClr val="accent2"/>
            </a:solidFill>
            <a:ln>
              <a:noFill/>
            </a:ln>
            <a:effectLst>
              <a:outerShdw blurRad="57150" dist="19050" dir="5400000" algn="ctr" rotWithShape="0">
                <a:srgbClr val="000000">
                  <a:alpha val="63000"/>
                </a:srgbClr>
              </a:outerShdw>
            </a:effectLst>
          </c:spPr>
          <c:invertIfNegative val="0"/>
          <c:dLbls>
            <c:dLbl>
              <c:idx val="0"/>
              <c:layout>
                <c:manualLayout>
                  <c:x val="-8.3332646246444333E-3"/>
                  <c:y val="1.04950148679377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FEB-45CF-95A6-2AFCCA015BF9}"/>
                </c:ext>
              </c:extLst>
            </c:dLbl>
            <c:dLbl>
              <c:idx val="1"/>
              <c:layout>
                <c:manualLayout>
                  <c:x val="-7.0912188608003284E-3"/>
                  <c:y val="1.37056707212609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FEB-45CF-95A6-2AFCCA015BF9}"/>
                </c:ext>
              </c:extLst>
            </c:dLbl>
            <c:dLbl>
              <c:idx val="2"/>
              <c:layout>
                <c:manualLayout>
                  <c:x val="-1.2152921674264468E-2"/>
                  <c:y val="1.39932739690732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FEB-45CF-95A6-2AFCCA015BF9}"/>
                </c:ext>
              </c:extLst>
            </c:dLbl>
            <c:dLbl>
              <c:idx val="3"/>
              <c:layout>
                <c:manualLayout>
                  <c:x val="-9.0459087350923239E-3"/>
                  <c:y val="1.39215080554540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FEB-45CF-95A6-2AFCCA015BF9}"/>
                </c:ext>
              </c:extLst>
            </c:dLbl>
            <c:dLbl>
              <c:idx val="4"/>
              <c:layout>
                <c:manualLayout>
                  <c:x val="-1.1494451351475803E-2"/>
                  <c:y val="1.79134195513551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FEB-45CF-95A6-2AFCCA015BF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c:v>
                </c:pt>
                <c:pt idx="1">
                  <c:v>2015-2016</c:v>
                </c:pt>
                <c:pt idx="2">
                  <c:v>2016-2017</c:v>
                </c:pt>
                <c:pt idx="3">
                  <c:v>2017-2018</c:v>
                </c:pt>
                <c:pt idx="4">
                  <c:v>2018-2019</c:v>
                </c:pt>
              </c:strCache>
            </c:strRef>
          </c:cat>
          <c:val>
            <c:numRef>
              <c:f>Sheet1!$B$2:$B$6</c:f>
              <c:numCache>
                <c:formatCode>0%</c:formatCode>
                <c:ptCount val="5"/>
                <c:pt idx="0">
                  <c:v>0.83</c:v>
                </c:pt>
                <c:pt idx="1">
                  <c:v>0.89</c:v>
                </c:pt>
                <c:pt idx="2">
                  <c:v>0.88</c:v>
                </c:pt>
                <c:pt idx="3">
                  <c:v>0.95</c:v>
                </c:pt>
                <c:pt idx="4">
                  <c:v>0.96</c:v>
                </c:pt>
              </c:numCache>
            </c:numRef>
          </c:val>
          <c:extLst>
            <c:ext xmlns:c16="http://schemas.microsoft.com/office/drawing/2014/chart" uri="{C3380CC4-5D6E-409C-BE32-E72D297353CC}">
              <c16:uniqueId val="{00000005-AFEB-45CF-95A6-2AFCCA015BF9}"/>
            </c:ext>
          </c:extLst>
        </c:ser>
        <c:ser>
          <c:idx val="1"/>
          <c:order val="1"/>
          <c:tx>
            <c:strRef>
              <c:f>Sheet1!$C$1</c:f>
              <c:strCache>
                <c:ptCount val="1"/>
                <c:pt idx="0">
                  <c:v>Extérieur de la Région de la capitale nationale (RCN)</c:v>
                </c:pt>
              </c:strCache>
            </c:strRef>
          </c:tx>
          <c:spPr>
            <a:solidFill>
              <a:schemeClr val="accent1"/>
            </a:solidFill>
            <a:ln>
              <a:noFill/>
            </a:ln>
            <a:effectLst>
              <a:outerShdw blurRad="57150" dist="19050" dir="5400000" algn="ctr" rotWithShape="0">
                <a:srgbClr val="000000">
                  <a:alpha val="63000"/>
                </a:srgbClr>
              </a:outerShdw>
            </a:effectLst>
          </c:spPr>
          <c:invertIfNegative val="0"/>
          <c:dLbls>
            <c:dLbl>
              <c:idx val="0"/>
              <c:layout>
                <c:manualLayout>
                  <c:x val="1.1294147442096053E-2"/>
                  <c:y val="1.34223842201324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FEB-45CF-95A6-2AFCCA015BF9}"/>
                </c:ext>
              </c:extLst>
            </c:dLbl>
            <c:dLbl>
              <c:idx val="1"/>
              <c:layout>
                <c:manualLayout>
                  <c:x val="1.0800294700004537E-2"/>
                  <c:y val="7.84002136789608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FEB-45CF-95A6-2AFCCA015BF9}"/>
                </c:ext>
              </c:extLst>
            </c:dLbl>
            <c:dLbl>
              <c:idx val="2"/>
              <c:layout>
                <c:manualLayout>
                  <c:x val="8.1871345029240431E-3"/>
                  <c:y val="1.18322026604649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FEB-45CF-95A6-2AFCCA015BF9}"/>
                </c:ext>
              </c:extLst>
            </c:dLbl>
            <c:dLbl>
              <c:idx val="3"/>
              <c:layout>
                <c:manualLayout>
                  <c:x val="1.0964912280701754E-2"/>
                  <c:y val="1.52586203407801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FEB-45CF-95A6-2AFCCA015BF9}"/>
                </c:ext>
              </c:extLst>
            </c:dLbl>
            <c:dLbl>
              <c:idx val="4"/>
              <c:layout>
                <c:manualLayout>
                  <c:x val="1.4784500621632822E-2"/>
                  <c:y val="7.14043860844274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FEB-45CF-95A6-2AFCCA015BF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c:v>
                </c:pt>
                <c:pt idx="1">
                  <c:v>2015-2016</c:v>
                </c:pt>
                <c:pt idx="2">
                  <c:v>2016-2017</c:v>
                </c:pt>
                <c:pt idx="3">
                  <c:v>2017-2018</c:v>
                </c:pt>
                <c:pt idx="4">
                  <c:v>2018-2019</c:v>
                </c:pt>
              </c:strCache>
            </c:strRef>
          </c:cat>
          <c:val>
            <c:numRef>
              <c:f>Sheet1!$C$2:$C$6</c:f>
              <c:numCache>
                <c:formatCode>0%</c:formatCode>
                <c:ptCount val="5"/>
                <c:pt idx="0">
                  <c:v>0.17</c:v>
                </c:pt>
                <c:pt idx="1">
                  <c:v>0.11</c:v>
                </c:pt>
                <c:pt idx="2">
                  <c:v>0.12</c:v>
                </c:pt>
                <c:pt idx="3">
                  <c:v>0.05</c:v>
                </c:pt>
                <c:pt idx="4">
                  <c:v>0.04</c:v>
                </c:pt>
              </c:numCache>
            </c:numRef>
          </c:val>
          <c:extLst>
            <c:ext xmlns:c16="http://schemas.microsoft.com/office/drawing/2014/chart" uri="{C3380CC4-5D6E-409C-BE32-E72D297353CC}">
              <c16:uniqueId val="{0000000B-AFEB-45CF-95A6-2AFCCA015BF9}"/>
            </c:ext>
          </c:extLst>
        </c:ser>
        <c:dLbls>
          <c:showLegendKey val="0"/>
          <c:showVal val="0"/>
          <c:showCatName val="0"/>
          <c:showSerName val="0"/>
          <c:showPercent val="0"/>
          <c:showBubbleSize val="0"/>
        </c:dLbls>
        <c:gapWidth val="150"/>
        <c:axId val="536288464"/>
        <c:axId val="536297088"/>
      </c:barChart>
      <c:catAx>
        <c:axId val="53628846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36297088"/>
        <c:crosses val="autoZero"/>
        <c:auto val="1"/>
        <c:lblAlgn val="ctr"/>
        <c:lblOffset val="100"/>
        <c:noMultiLvlLbl val="0"/>
      </c:catAx>
      <c:valAx>
        <c:axId val="536297088"/>
        <c:scaling>
          <c:orientation val="minMax"/>
          <c:max val="1"/>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36288464"/>
        <c:crosses val="autoZero"/>
        <c:crossBetween val="between"/>
      </c:valAx>
      <c:spPr>
        <a:noFill/>
        <a:ln>
          <a:noFill/>
        </a:ln>
        <a:effectLst/>
      </c:spPr>
    </c:plotArea>
    <c:legend>
      <c:legendPos val="b"/>
      <c:layout>
        <c:manualLayout>
          <c:xMode val="edge"/>
          <c:yMode val="edge"/>
          <c:x val="8.3406144955564754E-2"/>
          <c:y val="0.83428252297655869"/>
          <c:w val="0.8251991527374869"/>
          <c:h val="0.1090787927678305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Dotation selon le type de processus</a:t>
            </a:r>
          </a:p>
        </c:rich>
      </c:tx>
      <c:layout>
        <c:manualLayout>
          <c:xMode val="edge"/>
          <c:yMode val="edge"/>
          <c:x val="0.26553599648211512"/>
          <c:y val="1.7204124111863093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8.9229225927910855E-2"/>
          <c:y val="7.0190301079591358E-2"/>
          <c:w val="0.84333349635643373"/>
          <c:h val="0.55160980926724579"/>
        </c:manualLayout>
      </c:layout>
      <c:barChart>
        <c:barDir val="col"/>
        <c:grouping val="clustered"/>
        <c:varyColors val="0"/>
        <c:ser>
          <c:idx val="0"/>
          <c:order val="0"/>
          <c:tx>
            <c:strRef>
              <c:f>Sheet1!$B$1</c:f>
              <c:strCache>
                <c:ptCount val="1"/>
                <c:pt idx="0">
                  <c:v>Non annoncé (ne tient pas compte des types de processus inconnus)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8.3332646246444333E-3"/>
                  <c:y val="1.04950148679377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C20-45D2-AE12-C838C0EF1E48}"/>
                </c:ext>
              </c:extLst>
            </c:dLbl>
            <c:dLbl>
              <c:idx val="1"/>
              <c:layout>
                <c:manualLayout>
                  <c:x val="-7.0912863640736649E-3"/>
                  <c:y val="1.02792530409456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C20-45D2-AE12-C838C0EF1E48}"/>
                </c:ext>
              </c:extLst>
            </c:dLbl>
            <c:dLbl>
              <c:idx val="2"/>
              <c:layout>
                <c:manualLayout>
                  <c:x val="-4.8428632284838744E-3"/>
                  <c:y val="1.39933531572502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C20-45D2-AE12-C838C0EF1E48}"/>
                </c:ext>
              </c:extLst>
            </c:dLbl>
            <c:dLbl>
              <c:idx val="3"/>
              <c:layout>
                <c:manualLayout>
                  <c:x val="-9.0459111459235131E-3"/>
                  <c:y val="1.3921508055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C20-45D2-AE12-C838C0EF1E48}"/>
                </c:ext>
              </c:extLst>
            </c:dLbl>
            <c:dLbl>
              <c:idx val="4"/>
              <c:layout>
                <c:manualLayout>
                  <c:x val="-4.8428632284838744E-3"/>
                  <c:y val="1.79134195513551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C20-45D2-AE12-C838C0EF1E4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c:v>
                </c:pt>
                <c:pt idx="1">
                  <c:v>2015-2016 </c:v>
                </c:pt>
                <c:pt idx="2">
                  <c:v>2016-2017</c:v>
                </c:pt>
                <c:pt idx="3">
                  <c:v>2017-2018</c:v>
                </c:pt>
                <c:pt idx="4">
                  <c:v>2018-2019</c:v>
                </c:pt>
              </c:strCache>
            </c:strRef>
          </c:cat>
          <c:val>
            <c:numRef>
              <c:f>Sheet1!$B$2:$B$6</c:f>
              <c:numCache>
                <c:formatCode>#\ ###</c:formatCode>
                <c:ptCount val="5"/>
                <c:pt idx="0">
                  <c:v>1</c:v>
                </c:pt>
                <c:pt idx="1">
                  <c:v>3</c:v>
                </c:pt>
                <c:pt idx="2">
                  <c:v>8</c:v>
                </c:pt>
                <c:pt idx="3">
                  <c:v>11</c:v>
                </c:pt>
                <c:pt idx="4">
                  <c:v>28</c:v>
                </c:pt>
              </c:numCache>
            </c:numRef>
          </c:val>
          <c:extLst>
            <c:ext xmlns:c16="http://schemas.microsoft.com/office/drawing/2014/chart" uri="{C3380CC4-5D6E-409C-BE32-E72D297353CC}">
              <c16:uniqueId val="{00000005-AC20-45D2-AE12-C838C0EF1E48}"/>
            </c:ext>
          </c:extLst>
        </c:ser>
        <c:ser>
          <c:idx val="1"/>
          <c:order val="1"/>
          <c:tx>
            <c:strRef>
              <c:f>Sheet1!$C$1</c:f>
              <c:strCache>
                <c:ptCount val="1"/>
                <c:pt idx="0">
                  <c:v>Annoncé</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3.4904013961605585E-3"/>
                  <c:y val="2.02752195807629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C20-45D2-AE12-C838C0EF1E48}"/>
                </c:ext>
              </c:extLst>
            </c:dLbl>
            <c:dLbl>
              <c:idx val="1"/>
              <c:layout>
                <c:manualLayout>
                  <c:x val="-3.4904013961606223E-3"/>
                  <c:y val="1.46928567285265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C20-45D2-AE12-C838C0EF1E48}"/>
                </c:ext>
              </c:extLst>
            </c:dLbl>
            <c:dLbl>
              <c:idx val="2"/>
              <c:layout>
                <c:manualLayout>
                  <c:x val="-2.7777548748815417E-3"/>
                  <c:y val="1.52585395952670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C20-45D2-AE12-C838C0EF1E48}"/>
                </c:ext>
              </c:extLst>
            </c:dLbl>
            <c:dLbl>
              <c:idx val="3"/>
              <c:layout>
                <c:manualLayout>
                  <c:x val="0"/>
                  <c:y val="1.18322026604649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C20-45D2-AE12-C838C0EF1E48}"/>
                </c:ext>
              </c:extLst>
            </c:dLbl>
            <c:dLbl>
              <c:idx val="4"/>
              <c:layout>
                <c:manualLayout>
                  <c:x val="6.9808027923211171E-3"/>
                  <c:y val="1.7419691649388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C20-45D2-AE12-C838C0EF1E4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c:v>
                </c:pt>
                <c:pt idx="1">
                  <c:v>2015-2016 </c:v>
                </c:pt>
                <c:pt idx="2">
                  <c:v>2016-2017</c:v>
                </c:pt>
                <c:pt idx="3">
                  <c:v>2017-2018</c:v>
                </c:pt>
                <c:pt idx="4">
                  <c:v>2018-2019</c:v>
                </c:pt>
              </c:strCache>
            </c:strRef>
          </c:cat>
          <c:val>
            <c:numRef>
              <c:f>Sheet1!$C$2:$C$6</c:f>
              <c:numCache>
                <c:formatCode>#\ ###</c:formatCode>
                <c:ptCount val="5"/>
                <c:pt idx="0">
                  <c:v>5</c:v>
                </c:pt>
                <c:pt idx="1">
                  <c:v>7</c:v>
                </c:pt>
                <c:pt idx="2">
                  <c:v>6</c:v>
                </c:pt>
                <c:pt idx="3">
                  <c:v>10</c:v>
                </c:pt>
                <c:pt idx="4">
                  <c:v>18</c:v>
                </c:pt>
              </c:numCache>
            </c:numRef>
          </c:val>
          <c:extLst>
            <c:ext xmlns:c16="http://schemas.microsoft.com/office/drawing/2014/chart" uri="{C3380CC4-5D6E-409C-BE32-E72D297353CC}">
              <c16:uniqueId val="{0000000B-AC20-45D2-AE12-C838C0EF1E48}"/>
            </c:ext>
          </c:extLst>
        </c:ser>
        <c:dLbls>
          <c:showLegendKey val="0"/>
          <c:showVal val="0"/>
          <c:showCatName val="0"/>
          <c:showSerName val="0"/>
          <c:showPercent val="0"/>
          <c:showBubbleSize val="0"/>
        </c:dLbls>
        <c:gapWidth val="150"/>
        <c:axId val="536293560"/>
        <c:axId val="536286112"/>
      </c:barChart>
      <c:lineChart>
        <c:grouping val="standard"/>
        <c:varyColors val="0"/>
        <c:ser>
          <c:idx val="2"/>
          <c:order val="2"/>
          <c:tx>
            <c:strRef>
              <c:f>Sheet1!$D$1</c:f>
              <c:strCache>
                <c:ptCount val="1"/>
                <c:pt idx="0">
                  <c:v>% de processus non annoncés</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dLbls>
            <c:dLbl>
              <c:idx val="0"/>
              <c:layout>
                <c:manualLayout>
                  <c:x val="-9.2451938272113912E-2"/>
                  <c:y val="-5.544591318752590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C20-45D2-AE12-C838C0EF1E48}"/>
                </c:ext>
              </c:extLst>
            </c:dLbl>
            <c:dLbl>
              <c:idx val="1"/>
              <c:layout>
                <c:manualLayout>
                  <c:x val="-7.9594069065974118E-2"/>
                  <c:y val="-2.736817397568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C20-45D2-AE12-C838C0EF1E48}"/>
                </c:ext>
              </c:extLst>
            </c:dLbl>
            <c:dLbl>
              <c:idx val="2"/>
              <c:layout>
                <c:manualLayout>
                  <c:x val="-6.7599180992428301E-2"/>
                  <c:y val="-2.869098703761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C20-45D2-AE12-C838C0EF1E48}"/>
                </c:ext>
              </c:extLst>
            </c:dLbl>
            <c:dLbl>
              <c:idx val="3"/>
              <c:layout>
                <c:manualLayout>
                  <c:x val="-5.6835277789229352E-2"/>
                  <c:y val="-3.1332026618139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C20-45D2-AE12-C838C0EF1E48}"/>
                </c:ext>
              </c:extLst>
            </c:dLbl>
            <c:dLbl>
              <c:idx val="4"/>
              <c:layout>
                <c:manualLayout>
                  <c:x val="-1.4815242335545754E-2"/>
                  <c:y val="-2.486985683239826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C20-45D2-AE12-C838C0EF1E4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c:v>
                </c:pt>
                <c:pt idx="1">
                  <c:v>2015-2016 </c:v>
                </c:pt>
                <c:pt idx="2">
                  <c:v>2016-2017</c:v>
                </c:pt>
                <c:pt idx="3">
                  <c:v>2017-2018</c:v>
                </c:pt>
                <c:pt idx="4">
                  <c:v>2018-2019</c:v>
                </c:pt>
              </c:strCache>
            </c:strRef>
          </c:cat>
          <c:val>
            <c:numRef>
              <c:f>Sheet1!$D$2:$D$6</c:f>
              <c:numCache>
                <c:formatCode>0%</c:formatCode>
                <c:ptCount val="5"/>
                <c:pt idx="0">
                  <c:v>0.17</c:v>
                </c:pt>
                <c:pt idx="1">
                  <c:v>0.3</c:v>
                </c:pt>
                <c:pt idx="2">
                  <c:v>0.56999999999999995</c:v>
                </c:pt>
                <c:pt idx="3">
                  <c:v>0.52</c:v>
                </c:pt>
                <c:pt idx="4">
                  <c:v>0.61</c:v>
                </c:pt>
              </c:numCache>
            </c:numRef>
          </c:val>
          <c:smooth val="0"/>
          <c:extLst>
            <c:ext xmlns:c16="http://schemas.microsoft.com/office/drawing/2014/chart" uri="{C3380CC4-5D6E-409C-BE32-E72D297353CC}">
              <c16:uniqueId val="{00000011-AC20-45D2-AE12-C838C0EF1E48}"/>
            </c:ext>
          </c:extLst>
        </c:ser>
        <c:dLbls>
          <c:showLegendKey val="0"/>
          <c:showVal val="0"/>
          <c:showCatName val="0"/>
          <c:showSerName val="0"/>
          <c:showPercent val="0"/>
          <c:showBubbleSize val="0"/>
        </c:dLbls>
        <c:marker val="1"/>
        <c:smooth val="0"/>
        <c:axId val="536291600"/>
        <c:axId val="536287680"/>
      </c:lineChart>
      <c:catAx>
        <c:axId val="53629356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36286112"/>
        <c:crosses val="autoZero"/>
        <c:auto val="1"/>
        <c:lblAlgn val="ctr"/>
        <c:lblOffset val="100"/>
        <c:noMultiLvlLbl val="0"/>
      </c:catAx>
      <c:valAx>
        <c:axId val="536286112"/>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36293560"/>
        <c:crosses val="autoZero"/>
        <c:crossBetween val="between"/>
      </c:valAx>
      <c:valAx>
        <c:axId val="536287680"/>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36291600"/>
        <c:crosses val="max"/>
        <c:crossBetween val="between"/>
        <c:majorUnit val="0.1"/>
      </c:valAx>
      <c:catAx>
        <c:axId val="536291600"/>
        <c:scaling>
          <c:orientation val="minMax"/>
        </c:scaling>
        <c:delete val="1"/>
        <c:axPos val="b"/>
        <c:numFmt formatCode="General" sourceLinked="1"/>
        <c:majorTickMark val="out"/>
        <c:minorTickMark val="none"/>
        <c:tickLblPos val="nextTo"/>
        <c:crossAx val="536287680"/>
        <c:crosses val="autoZero"/>
        <c:auto val="1"/>
        <c:lblAlgn val="ctr"/>
        <c:lblOffset val="100"/>
        <c:noMultiLvlLbl val="0"/>
      </c:catAx>
      <c:spPr>
        <a:noFill/>
        <a:ln>
          <a:noFill/>
        </a:ln>
        <a:effectLst/>
      </c:spPr>
    </c:plotArea>
    <c:legend>
      <c:legendPos val="b"/>
      <c:layout>
        <c:manualLayout>
          <c:xMode val="edge"/>
          <c:yMode val="edge"/>
          <c:x val="0"/>
          <c:y val="0.70273816331617767"/>
          <c:w val="1"/>
          <c:h val="0.1515441575389668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Dotation selon le type de nomination</a:t>
            </a:r>
          </a:p>
        </c:rich>
      </c:tx>
      <c:layout>
        <c:manualLayout>
          <c:xMode val="edge"/>
          <c:yMode val="edge"/>
          <c:x val="0.26583333333333331"/>
          <c:y val="2.4615384615384615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339700040434969"/>
          <c:w val="0.84333349635643373"/>
          <c:h val="0.55364490207954775"/>
        </c:manualLayout>
      </c:layout>
      <c:bar3DChart>
        <c:barDir val="col"/>
        <c:grouping val="clustered"/>
        <c:varyColors val="0"/>
        <c:ser>
          <c:idx val="0"/>
          <c:order val="0"/>
          <c:tx>
            <c:strRef>
              <c:f>Sheet1!$B$1</c:f>
              <c:strCache>
                <c:ptCount val="1"/>
                <c:pt idx="0">
                  <c:v>Promotions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4.0717410323709534E-3"/>
                  <c:y val="2.17852614577024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9FC-491F-B422-D828F479236D}"/>
                </c:ext>
              </c:extLst>
            </c:dLbl>
            <c:dLbl>
              <c:idx val="1"/>
              <c:layout>
                <c:manualLayout>
                  <c:x val="-2.7777777777777779E-3"/>
                  <c:y val="2.3702806379971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9FC-491F-B422-D828F479236D}"/>
                </c:ext>
              </c:extLst>
            </c:dLbl>
            <c:dLbl>
              <c:idx val="2"/>
              <c:layout>
                <c:manualLayout>
                  <c:x val="-8.3333333333333835E-3"/>
                  <c:y val="2.38853220270543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9FC-491F-B422-D828F479236D}"/>
                </c:ext>
              </c:extLst>
            </c:dLbl>
            <c:dLbl>
              <c:idx val="3"/>
              <c:layout>
                <c:manualLayout>
                  <c:x val="-8.3333333333333332E-3"/>
                  <c:y val="2.3520290732889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9FC-491F-B422-D828F479236D}"/>
                </c:ext>
              </c:extLst>
            </c:dLbl>
            <c:dLbl>
              <c:idx val="4"/>
              <c:layout>
                <c:manualLayout>
                  <c:x val="-5.5555555555556572E-3"/>
                  <c:y val="1.56801938219261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9FC-491F-B422-D828F479236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2014-2015 
(N=41)</c:v>
                </c:pt>
                <c:pt idx="1">
                  <c:v>2015-2016
(N=56)</c:v>
                </c:pt>
                <c:pt idx="2">
                  <c:v>2016-2017 
(N=65)</c:v>
                </c:pt>
                <c:pt idx="3">
                  <c:v>2017-2018
(N=98)</c:v>
                </c:pt>
                <c:pt idx="4">
                  <c:v>2018-2019
(N=205)</c:v>
                </c:pt>
              </c:strCache>
            </c:strRef>
          </c:cat>
          <c:val>
            <c:numRef>
              <c:f>Sheet1!$B$3:$B$7</c:f>
              <c:numCache>
                <c:formatCode>#\ ###</c:formatCode>
                <c:ptCount val="5"/>
                <c:pt idx="0">
                  <c:v>5</c:v>
                </c:pt>
                <c:pt idx="1">
                  <c:v>8</c:v>
                </c:pt>
                <c:pt idx="2">
                  <c:v>10</c:v>
                </c:pt>
                <c:pt idx="3">
                  <c:v>11</c:v>
                </c:pt>
                <c:pt idx="4">
                  <c:v>25</c:v>
                </c:pt>
              </c:numCache>
            </c:numRef>
          </c:val>
          <c:extLst>
            <c:ext xmlns:c16="http://schemas.microsoft.com/office/drawing/2014/chart" uri="{C3380CC4-5D6E-409C-BE32-E72D297353CC}">
              <c16:uniqueId val="{00000005-B9FC-491F-B422-D828F479236D}"/>
            </c:ext>
          </c:extLst>
        </c:ser>
        <c:ser>
          <c:idx val="1"/>
          <c:order val="1"/>
          <c:tx>
            <c:strRef>
              <c:f>Sheet1!$C$1</c:f>
              <c:strCache>
                <c:ptCount val="1"/>
                <c:pt idx="0">
                  <c:v>Déplacements latéraux et régressifs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1111111111111112E-2"/>
                  <c:y val="1.97827579244902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9FC-491F-B422-D828F479236D}"/>
                </c:ext>
              </c:extLst>
            </c:dLbl>
            <c:dLbl>
              <c:idx val="1"/>
              <c:layout>
                <c:manualLayout>
                  <c:x val="-8.3333333333333332E-3"/>
                  <c:y val="1.94177266303250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9FC-491F-B422-D828F479236D}"/>
                </c:ext>
              </c:extLst>
            </c:dLbl>
            <c:dLbl>
              <c:idx val="2"/>
              <c:layout>
                <c:manualLayout>
                  <c:x val="-1.0185067526415994E-16"/>
                  <c:y val="1.99652735715727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9FC-491F-B422-D828F479236D}"/>
                </c:ext>
              </c:extLst>
            </c:dLbl>
            <c:dLbl>
              <c:idx val="3"/>
              <c:layout>
                <c:manualLayout>
                  <c:x val="-8.3333333333333332E-3"/>
                  <c:y val="2.4067837674136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9FC-491F-B422-D828F479236D}"/>
                </c:ext>
              </c:extLst>
            </c:dLbl>
            <c:dLbl>
              <c:idx val="4"/>
              <c:layout>
                <c:manualLayout>
                  <c:x val="0"/>
                  <c:y val="2.3702806379971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9FC-491F-B422-D828F479236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2014-2015 
(N=41)</c:v>
                </c:pt>
                <c:pt idx="1">
                  <c:v>2015-2016
(N=56)</c:v>
                </c:pt>
                <c:pt idx="2">
                  <c:v>2016-2017 
(N=65)</c:v>
                </c:pt>
                <c:pt idx="3">
                  <c:v>2017-2018
(N=98)</c:v>
                </c:pt>
                <c:pt idx="4">
                  <c:v>2018-2019
(N=205)</c:v>
                </c:pt>
              </c:strCache>
            </c:strRef>
          </c:cat>
          <c:val>
            <c:numRef>
              <c:f>Sheet1!$C$3:$C$7</c:f>
              <c:numCache>
                <c:formatCode>#\ ###</c:formatCode>
                <c:ptCount val="5"/>
                <c:pt idx="0">
                  <c:v>13</c:v>
                </c:pt>
                <c:pt idx="1">
                  <c:v>14</c:v>
                </c:pt>
                <c:pt idx="2">
                  <c:v>12</c:v>
                </c:pt>
                <c:pt idx="3">
                  <c:v>18</c:v>
                </c:pt>
                <c:pt idx="4">
                  <c:v>40</c:v>
                </c:pt>
              </c:numCache>
            </c:numRef>
          </c:val>
          <c:extLst>
            <c:ext xmlns:c16="http://schemas.microsoft.com/office/drawing/2014/chart" uri="{C3380CC4-5D6E-409C-BE32-E72D297353CC}">
              <c16:uniqueId val="{0000000B-B9FC-491F-B422-D828F479236D}"/>
            </c:ext>
          </c:extLst>
        </c:ser>
        <c:ser>
          <c:idx val="2"/>
          <c:order val="2"/>
          <c:tx>
            <c:strRef>
              <c:f>Sheet1!$D$1</c:f>
              <c:strCache>
                <c:ptCount val="1"/>
                <c:pt idx="0">
                  <c:v>Nominations à la fonction publique (y compris les employés occasionnels et les étudiants)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0147789218655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9FC-491F-B422-D828F479236D}"/>
                </c:ext>
              </c:extLst>
            </c:dLbl>
            <c:dLbl>
              <c:idx val="1"/>
              <c:layout>
                <c:manualLayout>
                  <c:x val="8.2852143482059644E-4"/>
                  <c:y val="1.2005007066424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9FC-491F-B422-D828F479236D}"/>
                </c:ext>
              </c:extLst>
            </c:dLbl>
            <c:dLbl>
              <c:idx val="2"/>
              <c:layout>
                <c:manualLayout>
                  <c:x val="-2.7777777777777779E-3"/>
                  <c:y val="1.97827579244902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9FC-491F-B422-D828F479236D}"/>
                </c:ext>
              </c:extLst>
            </c:dLbl>
            <c:dLbl>
              <c:idx val="3"/>
              <c:layout>
                <c:manualLayout>
                  <c:x val="-2.7777777777777779E-3"/>
                  <c:y val="1.54976781748434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9FC-491F-B422-D828F479236D}"/>
                </c:ext>
              </c:extLst>
            </c:dLbl>
            <c:dLbl>
              <c:idx val="4"/>
              <c:layout>
                <c:manualLayout>
                  <c:x val="8.285214348205456E-4"/>
                  <c:y val="1.56801938219260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9FC-491F-B422-D828F479236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2014-2015 
(N=41)</c:v>
                </c:pt>
                <c:pt idx="1">
                  <c:v>2015-2016
(N=56)</c:v>
                </c:pt>
                <c:pt idx="2">
                  <c:v>2016-2017 
(N=65)</c:v>
                </c:pt>
                <c:pt idx="3">
                  <c:v>2017-2018
(N=98)</c:v>
                </c:pt>
                <c:pt idx="4">
                  <c:v>2018-2019
(N=205)</c:v>
                </c:pt>
              </c:strCache>
            </c:strRef>
          </c:cat>
          <c:val>
            <c:numRef>
              <c:f>Sheet1!$D$3:$D$7</c:f>
              <c:numCache>
                <c:formatCode>#\ ###</c:formatCode>
                <c:ptCount val="5"/>
                <c:pt idx="0">
                  <c:v>17</c:v>
                </c:pt>
                <c:pt idx="1">
                  <c:v>27</c:v>
                </c:pt>
                <c:pt idx="2">
                  <c:v>39</c:v>
                </c:pt>
                <c:pt idx="3">
                  <c:v>64</c:v>
                </c:pt>
                <c:pt idx="4">
                  <c:v>134</c:v>
                </c:pt>
              </c:numCache>
            </c:numRef>
          </c:val>
          <c:extLst>
            <c:ext xmlns:c16="http://schemas.microsoft.com/office/drawing/2014/chart" uri="{C3380CC4-5D6E-409C-BE32-E72D297353CC}">
              <c16:uniqueId val="{00000011-B9FC-491F-B422-D828F479236D}"/>
            </c:ext>
          </c:extLst>
        </c:ser>
        <c:ser>
          <c:idx val="3"/>
          <c:order val="3"/>
          <c:tx>
            <c:strRef>
              <c:f>Sheet1!$E$1</c:f>
              <c:strCache>
                <c:ptCount val="1"/>
                <c:pt idx="0">
                  <c:v>Nominations intérimaires (Excluant les nominations de moins de quatre mois)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0"/>
                  <c:y val="1.96002422774076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9FC-491F-B422-D828F479236D}"/>
                </c:ext>
              </c:extLst>
            </c:dLbl>
            <c:dLbl>
              <c:idx val="1"/>
              <c:layout>
                <c:manualLayout>
                  <c:x val="2.7777777777777779E-3"/>
                  <c:y val="2.03303048657379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9FC-491F-B422-D828F479236D}"/>
                </c:ext>
              </c:extLst>
            </c:dLbl>
            <c:dLbl>
              <c:idx val="2"/>
              <c:layout>
                <c:manualLayout>
                  <c:x val="2.777777777777676E-3"/>
                  <c:y val="2.06953361599030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9FC-491F-B422-D828F479236D}"/>
                </c:ext>
              </c:extLst>
            </c:dLbl>
            <c:dLbl>
              <c:idx val="3"/>
              <c:layout>
                <c:manualLayout>
                  <c:x val="8.285214348205456E-4"/>
                  <c:y val="2.039265091863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9FC-491F-B422-D828F479236D}"/>
                </c:ext>
              </c:extLst>
            </c:dLbl>
            <c:dLbl>
              <c:idx val="4"/>
              <c:layout>
                <c:manualLayout>
                  <c:x val="8.285214348205456E-4"/>
                  <c:y val="1.97827579244902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9FC-491F-B422-D828F479236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2014-2015 
(N=41)</c:v>
                </c:pt>
                <c:pt idx="1">
                  <c:v>2015-2016
(N=56)</c:v>
                </c:pt>
                <c:pt idx="2">
                  <c:v>2016-2017 
(N=65)</c:v>
                </c:pt>
                <c:pt idx="3">
                  <c:v>2017-2018
(N=98)</c:v>
                </c:pt>
                <c:pt idx="4">
                  <c:v>2018-2019
(N=205)</c:v>
                </c:pt>
              </c:strCache>
            </c:strRef>
          </c:cat>
          <c:val>
            <c:numRef>
              <c:f>Sheet1!$E$3:$E$7</c:f>
              <c:numCache>
                <c:formatCode>#\ ###</c:formatCode>
                <c:ptCount val="5"/>
                <c:pt idx="0">
                  <c:v>6</c:v>
                </c:pt>
                <c:pt idx="1">
                  <c:v>7</c:v>
                </c:pt>
                <c:pt idx="2">
                  <c:v>4</c:v>
                </c:pt>
                <c:pt idx="3">
                  <c:v>5</c:v>
                </c:pt>
                <c:pt idx="4">
                  <c:v>6</c:v>
                </c:pt>
              </c:numCache>
            </c:numRef>
          </c:val>
          <c:extLst>
            <c:ext xmlns:c16="http://schemas.microsoft.com/office/drawing/2014/chart" uri="{C3380CC4-5D6E-409C-BE32-E72D297353CC}">
              <c16:uniqueId val="{00000017-B9FC-491F-B422-D828F479236D}"/>
            </c:ext>
          </c:extLst>
        </c:ser>
        <c:dLbls>
          <c:showLegendKey val="0"/>
          <c:showVal val="0"/>
          <c:showCatName val="0"/>
          <c:showSerName val="0"/>
          <c:showPercent val="0"/>
          <c:showBubbleSize val="0"/>
        </c:dLbls>
        <c:gapWidth val="150"/>
        <c:shape val="box"/>
        <c:axId val="536291992"/>
        <c:axId val="536294344"/>
        <c:axId val="0"/>
      </c:bar3DChart>
      <c:catAx>
        <c:axId val="5362919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536294344"/>
        <c:crosses val="autoZero"/>
        <c:auto val="0"/>
        <c:lblAlgn val="ctr"/>
        <c:lblOffset val="100"/>
        <c:noMultiLvlLbl val="0"/>
      </c:catAx>
      <c:valAx>
        <c:axId val="536294344"/>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36291992"/>
        <c:crosses val="autoZero"/>
        <c:crossBetween val="between"/>
      </c:valAx>
      <c:spPr>
        <a:noFill/>
        <a:ln>
          <a:noFill/>
        </a:ln>
        <a:effectLst/>
      </c:spPr>
    </c:plotArea>
    <c:legend>
      <c:legendPos val="r"/>
      <c:layout>
        <c:manualLayout>
          <c:xMode val="edge"/>
          <c:yMode val="edge"/>
          <c:x val="0"/>
          <c:y val="0.80998182919442763"/>
          <c:w val="1"/>
          <c:h val="0.1900181708055723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Dotation selon la durée d'emploi</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0260975316148986"/>
          <c:w val="0.86277799650043729"/>
          <c:h val="0.60816022612558041"/>
        </c:manualLayout>
      </c:layout>
      <c:bar3DChart>
        <c:barDir val="col"/>
        <c:grouping val="clustered"/>
        <c:varyColors val="0"/>
        <c:ser>
          <c:idx val="0"/>
          <c:order val="0"/>
          <c:tx>
            <c:strRef>
              <c:f>Sheet1!$B$1</c:f>
              <c:strCache>
                <c:ptCount val="1"/>
                <c:pt idx="0">
                  <c:v>Indéterminée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0"/>
                  <c:y val="1.96002422774076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4B2-4783-8873-55B76F41F414}"/>
                </c:ext>
              </c:extLst>
            </c:dLbl>
            <c:dLbl>
              <c:idx val="1"/>
              <c:layout>
                <c:manualLayout>
                  <c:x val="0"/>
                  <c:y val="1.96001568012544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4B2-4783-8873-55B76F41F414}"/>
                </c:ext>
              </c:extLst>
            </c:dLbl>
            <c:dLbl>
              <c:idx val="2"/>
              <c:layout>
                <c:manualLayout>
                  <c:x val="-2.7777777777778798E-3"/>
                  <c:y val="1.96001568012543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4B2-4783-8873-55B76F41F414}"/>
                </c:ext>
              </c:extLst>
            </c:dLbl>
            <c:dLbl>
              <c:idx val="3"/>
              <c:layout>
                <c:manualLayout>
                  <c:x val="-2.7777777777778798E-3"/>
                  <c:y val="1.97827579244901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4B2-4783-8873-55B76F41F414}"/>
                </c:ext>
              </c:extLst>
            </c:dLbl>
            <c:dLbl>
              <c:idx val="4"/>
              <c:layout>
                <c:manualLayout>
                  <c:x val="-2.7777777777777779E-3"/>
                  <c:y val="1.96002422774076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4B2-4783-8873-55B76F41F41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(N=41)</c:v>
                </c:pt>
                <c:pt idx="1">
                  <c:v>2015-2016
 (N=56)</c:v>
                </c:pt>
                <c:pt idx="2">
                  <c:v>2016-2017
 (N=65)</c:v>
                </c:pt>
                <c:pt idx="3">
                  <c:v>2017-2018
 (N=98)</c:v>
                </c:pt>
                <c:pt idx="4">
                  <c:v>2018-2019
 (N=205)</c:v>
                </c:pt>
              </c:strCache>
            </c:strRef>
          </c:cat>
          <c:val>
            <c:numRef>
              <c:f>Sheet1!$B$2:$B$6</c:f>
              <c:numCache>
                <c:formatCode>#\ ###</c:formatCode>
                <c:ptCount val="5"/>
                <c:pt idx="0">
                  <c:v>21</c:v>
                </c:pt>
                <c:pt idx="1">
                  <c:v>27</c:v>
                </c:pt>
                <c:pt idx="2">
                  <c:v>29</c:v>
                </c:pt>
                <c:pt idx="3">
                  <c:v>37</c:v>
                </c:pt>
                <c:pt idx="4">
                  <c:v>80</c:v>
                </c:pt>
              </c:numCache>
            </c:numRef>
          </c:val>
          <c:extLst>
            <c:ext xmlns:c16="http://schemas.microsoft.com/office/drawing/2014/chart" uri="{C3380CC4-5D6E-409C-BE32-E72D297353CC}">
              <c16:uniqueId val="{00000005-54B2-4783-8873-55B76F41F414}"/>
            </c:ext>
          </c:extLst>
        </c:ser>
        <c:ser>
          <c:idx val="1"/>
          <c:order val="1"/>
          <c:tx>
            <c:strRef>
              <c:f>Sheet1!$C$1</c:f>
              <c:strCache>
                <c:ptCount val="1"/>
                <c:pt idx="0">
                  <c:v>Déterminée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1.94177266303249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4B2-4783-8873-55B76F41F414}"/>
                </c:ext>
              </c:extLst>
            </c:dLbl>
            <c:dLbl>
              <c:idx val="1"/>
              <c:layout>
                <c:manualLayout>
                  <c:x val="-2.7777777777778286E-3"/>
                  <c:y val="2.0147789218655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4B2-4783-8873-55B76F41F414}"/>
                </c:ext>
              </c:extLst>
            </c:dLbl>
            <c:dLbl>
              <c:idx val="2"/>
              <c:layout>
                <c:manualLayout>
                  <c:x val="-2.7777777777777779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4B2-4783-8873-55B76F41F414}"/>
                </c:ext>
              </c:extLst>
            </c:dLbl>
            <c:dLbl>
              <c:idx val="3"/>
              <c:layout>
                <c:manualLayout>
                  <c:x val="2.7777777777777779E-3"/>
                  <c:y val="2.3702806379971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4B2-4783-8873-55B76F41F414}"/>
                </c:ext>
              </c:extLst>
            </c:dLbl>
            <c:dLbl>
              <c:idx val="4"/>
              <c:layout>
                <c:manualLayout>
                  <c:x val="-5.5555555555555558E-3"/>
                  <c:y val="2.3702806379971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4B2-4783-8873-55B76F41F41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(N=41)</c:v>
                </c:pt>
                <c:pt idx="1">
                  <c:v>2015-2016
 (N=56)</c:v>
                </c:pt>
                <c:pt idx="2">
                  <c:v>2016-2017
 (N=65)</c:v>
                </c:pt>
                <c:pt idx="3">
                  <c:v>2017-2018
 (N=98)</c:v>
                </c:pt>
                <c:pt idx="4">
                  <c:v>2018-2019
 (N=205)</c:v>
                </c:pt>
              </c:strCache>
            </c:strRef>
          </c:cat>
          <c:val>
            <c:numRef>
              <c:f>Sheet1!$C$2:$C$6</c:f>
              <c:numCache>
                <c:formatCode>#\ ###</c:formatCode>
                <c:ptCount val="5"/>
                <c:pt idx="0">
                  <c:v>9</c:v>
                </c:pt>
                <c:pt idx="1">
                  <c:v>10</c:v>
                </c:pt>
                <c:pt idx="2">
                  <c:v>6</c:v>
                </c:pt>
                <c:pt idx="3">
                  <c:v>6</c:v>
                </c:pt>
                <c:pt idx="4">
                  <c:v>12</c:v>
                </c:pt>
              </c:numCache>
            </c:numRef>
          </c:val>
          <c:extLst>
            <c:ext xmlns:c16="http://schemas.microsoft.com/office/drawing/2014/chart" uri="{C3380CC4-5D6E-409C-BE32-E72D297353CC}">
              <c16:uniqueId val="{0000000B-54B2-4783-8873-55B76F41F414}"/>
            </c:ext>
          </c:extLst>
        </c:ser>
        <c:ser>
          <c:idx val="2"/>
          <c:order val="2"/>
          <c:tx>
            <c:strRef>
              <c:f>Sheet1!$D$1</c:f>
              <c:strCache>
                <c:ptCount val="1"/>
                <c:pt idx="0">
                  <c:v>Occasionnel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0"/>
                  <c:y val="2.44328689683020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4B2-4783-8873-55B76F41F414}"/>
                </c:ext>
              </c:extLst>
            </c:dLbl>
            <c:dLbl>
              <c:idx val="1"/>
              <c:layout>
                <c:manualLayout>
                  <c:x val="2.7777777777777779E-3"/>
                  <c:y val="2.3702806379971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4B2-4783-8873-55B76F41F414}"/>
                </c:ext>
              </c:extLst>
            </c:dLbl>
            <c:dLbl>
              <c:idx val="2"/>
              <c:layout>
                <c:manualLayout>
                  <c:x val="0"/>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4B2-4783-8873-55B76F41F414}"/>
                </c:ext>
              </c:extLst>
            </c:dLbl>
            <c:dLbl>
              <c:idx val="3"/>
              <c:layout>
                <c:manualLayout>
                  <c:x val="-2.7777777777778798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4B2-4783-8873-55B76F41F414}"/>
                </c:ext>
              </c:extLst>
            </c:dLbl>
            <c:dLbl>
              <c:idx val="4"/>
              <c:layout>
                <c:manualLayout>
                  <c:x val="5.5555555555555558E-3"/>
                  <c:y val="2.38853220270543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54B2-4783-8873-55B76F41F41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(N=41)</c:v>
                </c:pt>
                <c:pt idx="1">
                  <c:v>2015-2016
 (N=56)</c:v>
                </c:pt>
                <c:pt idx="2">
                  <c:v>2016-2017
 (N=65)</c:v>
                </c:pt>
                <c:pt idx="3">
                  <c:v>2017-2018
 (N=98)</c:v>
                </c:pt>
                <c:pt idx="4">
                  <c:v>2018-2019
 (N=205)</c:v>
                </c:pt>
              </c:strCache>
            </c:strRef>
          </c:cat>
          <c:val>
            <c:numRef>
              <c:f>Sheet1!$D$2:$D$6</c:f>
              <c:numCache>
                <c:formatCode>#\ ###</c:formatCode>
                <c:ptCount val="5"/>
                <c:pt idx="0">
                  <c:v>11</c:v>
                </c:pt>
                <c:pt idx="1">
                  <c:v>13</c:v>
                </c:pt>
                <c:pt idx="2">
                  <c:v>21</c:v>
                </c:pt>
                <c:pt idx="3">
                  <c:v>41</c:v>
                </c:pt>
                <c:pt idx="4">
                  <c:v>99</c:v>
                </c:pt>
              </c:numCache>
            </c:numRef>
          </c:val>
          <c:extLst>
            <c:ext xmlns:c16="http://schemas.microsoft.com/office/drawing/2014/chart" uri="{C3380CC4-5D6E-409C-BE32-E72D297353CC}">
              <c16:uniqueId val="{00000011-54B2-4783-8873-55B76F41F414}"/>
            </c:ext>
          </c:extLst>
        </c:ser>
        <c:ser>
          <c:idx val="3"/>
          <c:order val="3"/>
          <c:tx>
            <c:strRef>
              <c:f>Sheet1!$E$1</c:f>
              <c:strCache>
                <c:ptCount val="1"/>
                <c:pt idx="0">
                  <c:v>Étudiant</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0"/>
                  <c:y val="2.42503533212194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54B2-4783-8873-55B76F41F414}"/>
                </c:ext>
              </c:extLst>
            </c:dLbl>
            <c:dLbl>
              <c:idx val="1"/>
              <c:layout>
                <c:manualLayout>
                  <c:x val="2.7777777777777779E-3"/>
                  <c:y val="2.35202907328892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54B2-4783-8873-55B76F41F414}"/>
                </c:ext>
              </c:extLst>
            </c:dLbl>
            <c:dLbl>
              <c:idx val="2"/>
              <c:layout>
                <c:manualLayout>
                  <c:x val="2.7777777777777779E-3"/>
                  <c:y val="2.3520290732889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54B2-4783-8873-55B76F41F414}"/>
                </c:ext>
              </c:extLst>
            </c:dLbl>
            <c:dLbl>
              <c:idx val="3"/>
              <c:layout>
                <c:manualLayout>
                  <c:x val="2.7777777777777779E-3"/>
                  <c:y val="2.40678376741368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54B2-4783-8873-55B76F41F414}"/>
                </c:ext>
              </c:extLst>
            </c:dLbl>
            <c:dLbl>
              <c:idx val="4"/>
              <c:layout>
                <c:manualLayout>
                  <c:x val="5.5555555555555558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54B2-4783-8873-55B76F41F41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(N=41)</c:v>
                </c:pt>
                <c:pt idx="1">
                  <c:v>2015-2016
 (N=56)</c:v>
                </c:pt>
                <c:pt idx="2">
                  <c:v>2016-2017
 (N=65)</c:v>
                </c:pt>
                <c:pt idx="3">
                  <c:v>2017-2018
 (N=98)</c:v>
                </c:pt>
                <c:pt idx="4">
                  <c:v>2018-2019
 (N=205)</c:v>
                </c:pt>
              </c:strCache>
            </c:strRef>
          </c:cat>
          <c:val>
            <c:numRef>
              <c:f>Sheet1!$E$2:$E$6</c:f>
              <c:numCache>
                <c:formatCode>#\ ###</c:formatCode>
                <c:ptCount val="5"/>
                <c:pt idx="0">
                  <c:v>0</c:v>
                </c:pt>
                <c:pt idx="1">
                  <c:v>6</c:v>
                </c:pt>
                <c:pt idx="2">
                  <c:v>9</c:v>
                </c:pt>
                <c:pt idx="3">
                  <c:v>14</c:v>
                </c:pt>
                <c:pt idx="4">
                  <c:v>14</c:v>
                </c:pt>
              </c:numCache>
            </c:numRef>
          </c:val>
          <c:extLst>
            <c:ext xmlns:c16="http://schemas.microsoft.com/office/drawing/2014/chart" uri="{C3380CC4-5D6E-409C-BE32-E72D297353CC}">
              <c16:uniqueId val="{00000017-54B2-4783-8873-55B76F41F414}"/>
            </c:ext>
          </c:extLst>
        </c:ser>
        <c:dLbls>
          <c:showLegendKey val="0"/>
          <c:showVal val="1"/>
          <c:showCatName val="0"/>
          <c:showSerName val="0"/>
          <c:showPercent val="0"/>
          <c:showBubbleSize val="0"/>
        </c:dLbls>
        <c:gapWidth val="150"/>
        <c:shape val="box"/>
        <c:axId val="536297480"/>
        <c:axId val="536285328"/>
        <c:axId val="0"/>
      </c:bar3DChart>
      <c:catAx>
        <c:axId val="5362974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36285328"/>
        <c:crosses val="autoZero"/>
        <c:auto val="1"/>
        <c:lblAlgn val="ctr"/>
        <c:lblOffset val="100"/>
        <c:noMultiLvlLbl val="0"/>
      </c:catAx>
      <c:valAx>
        <c:axId val="536285328"/>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36297480"/>
        <c:crosses val="autoZero"/>
        <c:crossBetween val="between"/>
      </c:valAx>
      <c:spPr>
        <a:noFill/>
        <a:ln>
          <a:noFill/>
        </a:ln>
        <a:effectLst/>
      </c:spPr>
    </c:plotArea>
    <c:legend>
      <c:legendPos val="r"/>
      <c:layout>
        <c:manualLayout>
          <c:xMode val="edge"/>
          <c:yMode val="edge"/>
          <c:x val="0.1"/>
          <c:y val="0.84398433272763984"/>
          <c:w val="0.81944444444444442"/>
          <c:h val="9.03746253592075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rawings/drawing1.xml><?xml version="1.0" encoding="utf-8"?>
<c:userShapes xmlns:c="http://schemas.openxmlformats.org/drawingml/2006/chart">
  <cdr:relSizeAnchor xmlns:cdr="http://schemas.openxmlformats.org/drawingml/2006/chartDrawing">
    <cdr:from>
      <cdr:x>0.00725</cdr:x>
      <cdr:y>0.92924</cdr:y>
    </cdr:from>
    <cdr:to>
      <cdr:x>0.97183</cdr:x>
      <cdr:y>0.99965</cdr:y>
    </cdr:to>
    <cdr:sp macro="" textlink="">
      <cdr:nvSpPr>
        <cdr:cNvPr id="2" name="Text Box 1"/>
        <cdr:cNvSpPr txBox="1"/>
      </cdr:nvSpPr>
      <cdr:spPr>
        <a:xfrm xmlns:a="http://schemas.openxmlformats.org/drawingml/2006/main">
          <a:off x="25192" y="3444240"/>
          <a:ext cx="3351645" cy="2609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lnSpc>
              <a:spcPts val="900"/>
            </a:lnSpc>
          </a:pPr>
          <a:r>
            <a:rPr lang="en-CA" sz="850" baseline="0"/>
            <a:t>inconnus= 84</a:t>
          </a:r>
          <a:endParaRPr lang="en-CA" sz="850"/>
        </a:p>
      </cdr:txBody>
    </cdr:sp>
  </cdr:relSizeAnchor>
</c:userShapes>
</file>

<file path=word/drawings/drawing2.xml><?xml version="1.0" encoding="utf-8"?>
<c:userShapes xmlns:c="http://schemas.openxmlformats.org/drawingml/2006/chart">
  <cdr:relSizeAnchor xmlns:cdr="http://schemas.openxmlformats.org/drawingml/2006/chartDrawing">
    <cdr:from>
      <cdr:x>0.00725</cdr:x>
      <cdr:y>0.92924</cdr:y>
    </cdr:from>
    <cdr:to>
      <cdr:x>0.97183</cdr:x>
      <cdr:y>0.99965</cdr:y>
    </cdr:to>
    <cdr:sp macro="" textlink="">
      <cdr:nvSpPr>
        <cdr:cNvPr id="2" name="Text Box 1"/>
        <cdr:cNvSpPr txBox="1"/>
      </cdr:nvSpPr>
      <cdr:spPr>
        <a:xfrm xmlns:a="http://schemas.openxmlformats.org/drawingml/2006/main">
          <a:off x="25192" y="3444240"/>
          <a:ext cx="3351645" cy="2609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lnSpc>
              <a:spcPts val="900"/>
            </a:lnSpc>
          </a:pPr>
          <a:r>
            <a:rPr lang="en-CA" sz="850" baseline="0"/>
            <a:t>inconnus= 0</a:t>
          </a:r>
        </a:p>
        <a:p xmlns:a="http://schemas.openxmlformats.org/drawingml/2006/main">
          <a:pPr algn="ctr">
            <a:lnSpc>
              <a:spcPts val="900"/>
            </a:lnSpc>
          </a:pPr>
          <a:endParaRPr lang="en-CA" sz="850"/>
        </a:p>
      </cdr:txBody>
    </cdr:sp>
  </cdr:relSizeAnchor>
</c:userShapes>
</file>

<file path=word/drawings/drawing3.xml><?xml version="1.0" encoding="utf-8"?>
<c:userShapes xmlns:c="http://schemas.openxmlformats.org/drawingml/2006/chart">
  <cdr:relSizeAnchor xmlns:cdr="http://schemas.openxmlformats.org/drawingml/2006/chartDrawing">
    <cdr:from>
      <cdr:x>0.00725</cdr:x>
      <cdr:y>0.92924</cdr:y>
    </cdr:from>
    <cdr:to>
      <cdr:x>0.97183</cdr:x>
      <cdr:y>0.99965</cdr:y>
    </cdr:to>
    <cdr:sp macro="" textlink="">
      <cdr:nvSpPr>
        <cdr:cNvPr id="2" name="Text Box 1"/>
        <cdr:cNvSpPr txBox="1"/>
      </cdr:nvSpPr>
      <cdr:spPr>
        <a:xfrm xmlns:a="http://schemas.openxmlformats.org/drawingml/2006/main">
          <a:off x="25192" y="3444240"/>
          <a:ext cx="3351645" cy="2609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nSpc>
              <a:spcPts val="900"/>
            </a:lnSpc>
          </a:pPr>
          <a:r>
            <a:rPr lang="en-CA" sz="850"/>
            <a:t>-</a:t>
          </a:r>
          <a:r>
            <a:rPr lang="en-CA" sz="850" baseline="0"/>
            <a:t>Distribution régionale exclus les inconnus</a:t>
          </a:r>
          <a:endParaRPr lang="en-CA" sz="850"/>
        </a:p>
      </cdr:txBody>
    </cdr:sp>
  </cdr:relSizeAnchor>
</c:userShapes>
</file>

<file path=word/drawings/drawing4.xml><?xml version="1.0" encoding="utf-8"?>
<c:userShapes xmlns:c="http://schemas.openxmlformats.org/drawingml/2006/chart">
  <cdr:relSizeAnchor xmlns:cdr="http://schemas.openxmlformats.org/drawingml/2006/chartDrawing">
    <cdr:from>
      <cdr:x>0.00725</cdr:x>
      <cdr:y>0.82961</cdr:y>
    </cdr:from>
    <cdr:to>
      <cdr:x>0.97183</cdr:x>
      <cdr:y>0.99965</cdr:y>
    </cdr:to>
    <cdr:sp macro="" textlink="">
      <cdr:nvSpPr>
        <cdr:cNvPr id="2" name="Text Box 1"/>
        <cdr:cNvSpPr txBox="1"/>
      </cdr:nvSpPr>
      <cdr:spPr>
        <a:xfrm xmlns:a="http://schemas.openxmlformats.org/drawingml/2006/main">
          <a:off x="40950" y="2828925"/>
          <a:ext cx="5448262" cy="57983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nSpc>
              <a:spcPts val="900"/>
            </a:lnSpc>
          </a:pPr>
          <a:r>
            <a:rPr lang="en-CA" sz="850"/>
            <a:t>-</a:t>
          </a:r>
          <a:r>
            <a:rPr lang="en-CA" sz="850" baseline="0"/>
            <a:t>comprend les nominations pour une période indéterminée et pour une période déterminée</a:t>
          </a:r>
        </a:p>
        <a:p xmlns:a="http://schemas.openxmlformats.org/drawingml/2006/main">
          <a:pPr>
            <a:lnSpc>
              <a:spcPts val="900"/>
            </a:lnSpc>
          </a:pPr>
          <a:r>
            <a:rPr lang="en-CA" sz="850" baseline="0"/>
            <a:t>-Exclut les déplacements latéraux et régressifs, les mutations et les nominations intérimaires de moins de quatre mois</a:t>
          </a:r>
        </a:p>
        <a:p xmlns:a="http://schemas.openxmlformats.org/drawingml/2006/main">
          <a:pPr>
            <a:lnSpc>
              <a:spcPts val="900"/>
            </a:lnSpc>
          </a:pPr>
          <a:r>
            <a:rPr lang="en-CA" sz="850" baseline="0"/>
            <a:t>-Inclut seulement les nominations où le type de processus est connu (35</a:t>
          </a:r>
          <a:r>
            <a:rPr lang="en-CA" sz="850" baseline="0">
              <a:solidFill>
                <a:sysClr val="windowText" lastClr="000000"/>
              </a:solidFill>
            </a:rPr>
            <a:t>% à 88</a:t>
          </a:r>
          <a:r>
            <a:rPr lang="en-CA" sz="850" baseline="0"/>
            <a:t>% des nominations)</a:t>
          </a:r>
          <a:endParaRPr lang="en-CA" sz="850"/>
        </a:p>
      </cdr:txBody>
    </cdr:sp>
  </cdr:relSizeAnchor>
</c:userShapes>
</file>

<file path=word/drawings/drawing5.xml><?xml version="1.0" encoding="utf-8"?>
<c:userShapes xmlns:c="http://schemas.openxmlformats.org/drawingml/2006/chart">
  <cdr:relSizeAnchor xmlns:cdr="http://schemas.openxmlformats.org/drawingml/2006/chartDrawing">
    <cdr:from>
      <cdr:x>0.01105</cdr:x>
      <cdr:y>0.90918</cdr:y>
    </cdr:from>
    <cdr:to>
      <cdr:x>0.99721</cdr:x>
      <cdr:y>1</cdr:y>
    </cdr:to>
    <cdr:sp macro="" textlink="">
      <cdr:nvSpPr>
        <cdr:cNvPr id="2" name="Text Box 1" descr="*Aux fins du rapport, les anciens étudiants incluent les participants au programme (COOP et PFETE) nommés dans le cadre d'un processus non annoncé.&#10;&#10;"/>
        <cdr:cNvSpPr txBox="1"/>
      </cdr:nvSpPr>
      <cdr:spPr>
        <a:xfrm xmlns:a="http://schemas.openxmlformats.org/drawingml/2006/main">
          <a:off x="38101" y="3095625"/>
          <a:ext cx="3400330" cy="309245"/>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CA" sz="800"/>
            <a:t>*Embauche avec expérience acquise dans les programmes fédéraux de recrutement étudiant dans les 10 dernières années.</a:t>
          </a:r>
        </a:p>
      </cdr:txBody>
    </cdr:sp>
  </cdr:relSizeAnchor>
</c:userShapes>
</file>

<file path=word/drawings/drawing6.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0.26529</cdr:x>
      <cdr:y>0.19986</cdr:y>
    </cdr:from>
    <cdr:to>
      <cdr:x>0.26668</cdr:x>
      <cdr:y>0.74988</cdr:y>
    </cdr:to>
    <cdr:cxnSp macro="">
      <cdr:nvCxnSpPr>
        <cdr:cNvPr id="5" name="Straight Connector 4" descr="Median line fof the specified organization's internal time to staff graphic"/>
        <cdr:cNvCxnSpPr/>
      </cdr:nvCxnSpPr>
      <cdr:spPr>
        <a:xfrm xmlns:a="http://schemas.openxmlformats.org/drawingml/2006/main" flipV="1">
          <a:off x="1167400" y="536834"/>
          <a:ext cx="6117" cy="1477381"/>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drawings/drawing7.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0.28693</cdr:x>
      <cdr:y>0.19986</cdr:y>
    </cdr:from>
    <cdr:to>
      <cdr:x>0.28832</cdr:x>
      <cdr:y>0.74988</cdr:y>
    </cdr:to>
    <cdr:cxnSp macro="">
      <cdr:nvCxnSpPr>
        <cdr:cNvPr id="5" name="Straight Connector 4" descr="Median line fof the specified organization's internal time to staff graphic"/>
        <cdr:cNvCxnSpPr/>
      </cdr:nvCxnSpPr>
      <cdr:spPr>
        <a:xfrm xmlns:a="http://schemas.openxmlformats.org/drawingml/2006/main" flipV="1">
          <a:off x="1262650" y="553968"/>
          <a:ext cx="6117" cy="1524532"/>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theme/theme1.xml><?xml version="1.0" encoding="utf-8"?>
<a:theme xmlns:a="http://schemas.openxmlformats.org/drawingml/2006/main" name="CFP-PSC-Theme2019-fromWord">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5A57E-6D41-4D62-B2FC-EEA60C77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CFP-Entete-Corpo2019.dotx</Template>
  <TotalTime>0</TotalTime>
  <Pages>26</Pages>
  <Words>4889</Words>
  <Characters>27869</Characters>
  <Application>Microsoft Office Word</Application>
  <DocSecurity>0</DocSecurity>
  <Lines>232</Lines>
  <Paragraphs>65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CFP-PSC</Company>
  <LinksUpToDate>false</LinksUpToDate>
  <CharactersWithSpaces>32693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Lefebvre</dc:creator>
  <cp:keywords/>
  <dc:description/>
  <cp:lastModifiedBy>Snjezana Kulic</cp:lastModifiedBy>
  <cp:revision>2</cp:revision>
  <dcterms:created xsi:type="dcterms:W3CDTF">2022-03-07T19:14:00Z</dcterms:created>
  <dcterms:modified xsi:type="dcterms:W3CDTF">2022-03-07T19:14:00Z</dcterms:modified>
</cp:coreProperties>
</file>