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6.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7.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8.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9.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0.xml" ContentType="application/vnd.openxmlformats-officedocument.drawingml.chartshapes+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7286" w14:textId="4E260F58" w:rsidR="005719F2" w:rsidRPr="008B0074" w:rsidRDefault="004B2F46" w:rsidP="00D43E1F">
      <w:pPr>
        <w:pStyle w:val="Title"/>
        <w:spacing w:after="240"/>
        <w:rPr>
          <w:sz w:val="52"/>
          <w:szCs w:val="48"/>
        </w:rPr>
      </w:pPr>
      <w:bookmarkStart w:id="0" w:name="_Hlk67490419"/>
      <w:bookmarkEnd w:id="0"/>
      <w:r w:rsidRPr="008B0074">
        <w:rPr>
          <w:sz w:val="52"/>
          <w:szCs w:val="48"/>
        </w:rPr>
        <w:t xml:space="preserve">Meeting between Patrick Borbey, PSC President, and Mr. </w:t>
      </w:r>
      <w:r w:rsidR="00E426E5" w:rsidRPr="008B0074">
        <w:rPr>
          <w:sz w:val="52"/>
          <w:szCs w:val="48"/>
        </w:rPr>
        <w:t>J</w:t>
      </w:r>
      <w:r w:rsidR="005966C1" w:rsidRPr="008B0074">
        <w:rPr>
          <w:sz w:val="52"/>
          <w:szCs w:val="48"/>
        </w:rPr>
        <w:t>ean</w:t>
      </w:r>
      <w:r w:rsidR="005966C1" w:rsidRPr="008B0074">
        <w:rPr>
          <w:sz w:val="52"/>
          <w:szCs w:val="48"/>
        </w:rPr>
        <w:noBreakHyphen/>
        <w:t>François Tremblay</w:t>
      </w:r>
      <w:r w:rsidR="001D5063" w:rsidRPr="008B0074">
        <w:rPr>
          <w:sz w:val="52"/>
          <w:szCs w:val="48"/>
        </w:rPr>
        <w:t>,</w:t>
      </w:r>
      <w:r w:rsidR="00E426E5" w:rsidRPr="008B0074">
        <w:rPr>
          <w:sz w:val="52"/>
          <w:szCs w:val="48"/>
        </w:rPr>
        <w:t xml:space="preserve"> </w:t>
      </w:r>
      <w:r w:rsidR="0010202F" w:rsidRPr="008B0074">
        <w:rPr>
          <w:sz w:val="52"/>
          <w:szCs w:val="48"/>
        </w:rPr>
        <w:t>Deputy Minister</w:t>
      </w:r>
      <w:r w:rsidR="001D5063" w:rsidRPr="008B0074">
        <w:rPr>
          <w:sz w:val="52"/>
          <w:szCs w:val="48"/>
        </w:rPr>
        <w:t xml:space="preserve">, </w:t>
      </w:r>
      <w:r w:rsidR="0010202F" w:rsidRPr="008B0074">
        <w:rPr>
          <w:sz w:val="52"/>
          <w:szCs w:val="48"/>
        </w:rPr>
        <w:t>Natural Resources Canada</w:t>
      </w:r>
      <w:r w:rsidR="001D5063" w:rsidRPr="008B0074">
        <w:rPr>
          <w:sz w:val="52"/>
          <w:szCs w:val="48"/>
        </w:rPr>
        <w:t xml:space="preserve"> </w:t>
      </w:r>
    </w:p>
    <w:p w14:paraId="6BFB366D" w14:textId="6A375225" w:rsidR="001D5063" w:rsidRPr="008B0074" w:rsidRDefault="001D5063" w:rsidP="00D43E1F">
      <w:pPr>
        <w:pStyle w:val="Title"/>
        <w:spacing w:after="240"/>
        <w:rPr>
          <w:sz w:val="52"/>
          <w:szCs w:val="48"/>
        </w:rPr>
      </w:pPr>
      <w:r w:rsidRPr="008B0074">
        <w:rPr>
          <w:sz w:val="52"/>
          <w:szCs w:val="48"/>
        </w:rPr>
        <w:t xml:space="preserve">*Information valid as of </w:t>
      </w:r>
      <w:r w:rsidR="004B039E" w:rsidRPr="008B0074">
        <w:rPr>
          <w:sz w:val="52"/>
          <w:szCs w:val="48"/>
        </w:rPr>
        <w:t>November 5</w:t>
      </w:r>
      <w:r w:rsidR="00956646" w:rsidRPr="008B0074">
        <w:rPr>
          <w:sz w:val="52"/>
          <w:szCs w:val="48"/>
        </w:rPr>
        <w:t>, 2020</w:t>
      </w:r>
    </w:p>
    <w:p w14:paraId="539C0A1F" w14:textId="77777777" w:rsidR="007378D3" w:rsidRPr="008B0074" w:rsidRDefault="000A5B54" w:rsidP="004B2F46">
      <w:pPr>
        <w:pStyle w:val="Heading1"/>
      </w:pPr>
      <w:r w:rsidRPr="008B0074">
        <w:t>Introduction</w:t>
      </w:r>
    </w:p>
    <w:p w14:paraId="5AACB747" w14:textId="77777777" w:rsidR="007378D3" w:rsidRPr="00D43E1F" w:rsidRDefault="007378D3" w:rsidP="00D43E1F">
      <w:pPr>
        <w:pStyle w:val="Heading2"/>
        <w:spacing w:before="40"/>
        <w:rPr>
          <w:lang w:val="en-CA"/>
        </w:rPr>
      </w:pPr>
      <w:r w:rsidRPr="00D43E1F">
        <w:t>Deputy</w:t>
      </w:r>
      <w:r w:rsidRPr="00D43E1F">
        <w:rPr>
          <w:lang w:val="en-CA"/>
        </w:rPr>
        <w:t xml:space="preserve"> Head</w:t>
      </w:r>
    </w:p>
    <w:p w14:paraId="2D230E54" w14:textId="035AD696" w:rsidR="007378D3" w:rsidRPr="00D43E1F" w:rsidRDefault="005966C1" w:rsidP="00072A3C">
      <w:pPr>
        <w:pStyle w:val="NoSpacing"/>
      </w:pPr>
      <w:r w:rsidRPr="00D43E1F">
        <w:t xml:space="preserve">Mr. Jean-François Tremblay </w:t>
      </w:r>
      <w:r w:rsidR="007378D3" w:rsidRPr="00D43E1F">
        <w:t xml:space="preserve">was appointed as the </w:t>
      </w:r>
      <w:r w:rsidR="0010202F" w:rsidRPr="00D43E1F">
        <w:t>Deputy Head of Natural Resources Canada (</w:t>
      </w:r>
      <w:r w:rsidR="009C285D" w:rsidRPr="00D43E1F">
        <w:t>NRCan</w:t>
      </w:r>
      <w:r w:rsidR="0010202F" w:rsidRPr="00D43E1F">
        <w:t>), on September 21, 20</w:t>
      </w:r>
      <w:r w:rsidR="006A45E1" w:rsidRPr="00D43E1F">
        <w:t>2</w:t>
      </w:r>
      <w:r w:rsidR="0010202F" w:rsidRPr="00D43E1F">
        <w:t>0.</w:t>
      </w:r>
      <w:r w:rsidR="003D6D80" w:rsidRPr="00D43E1F">
        <w:t xml:space="preserve"> </w:t>
      </w:r>
      <w:r w:rsidR="00893E1D" w:rsidRPr="00D43E1F">
        <w:t xml:space="preserve">He was </w:t>
      </w:r>
      <w:r w:rsidR="003D6D80" w:rsidRPr="00D43E1F">
        <w:t xml:space="preserve">also appointed as the </w:t>
      </w:r>
      <w:r w:rsidR="001402D4" w:rsidRPr="00D43E1F">
        <w:t>Chairperson</w:t>
      </w:r>
      <w:r w:rsidR="003D6D80" w:rsidRPr="00D43E1F">
        <w:t xml:space="preserve"> of the Energy Supplies Allocation Board</w:t>
      </w:r>
      <w:r w:rsidR="00CA6A76" w:rsidRPr="00D43E1F">
        <w:t xml:space="preserve"> which </w:t>
      </w:r>
      <w:r w:rsidR="00893E1D" w:rsidRPr="00D43E1F">
        <w:t xml:space="preserve">remains </w:t>
      </w:r>
      <w:r w:rsidR="00DC1044" w:rsidRPr="00D43E1F">
        <w:t xml:space="preserve">operationally inactive </w:t>
      </w:r>
      <w:r w:rsidR="00E426E5" w:rsidRPr="00D43E1F">
        <w:t>unless there is an</w:t>
      </w:r>
      <w:r w:rsidR="00DC1044" w:rsidRPr="00D43E1F">
        <w:t xml:space="preserve"> emergency</w:t>
      </w:r>
      <w:r w:rsidR="00E426E5" w:rsidRPr="00D43E1F">
        <w:t xml:space="preserve"> </w:t>
      </w:r>
      <w:r w:rsidR="00DC1044" w:rsidRPr="00D43E1F">
        <w:t>situation</w:t>
      </w:r>
      <w:r w:rsidR="00CA6A76" w:rsidRPr="00D43E1F">
        <w:t xml:space="preserve"> </w:t>
      </w:r>
      <w:r w:rsidR="00DC1044" w:rsidRPr="00D43E1F">
        <w:t>(i.e. war)</w:t>
      </w:r>
      <w:r w:rsidR="003D6D80" w:rsidRPr="00D43E1F">
        <w:t>.</w:t>
      </w:r>
    </w:p>
    <w:p w14:paraId="7902FA35" w14:textId="581B44E2" w:rsidR="001520FE" w:rsidRPr="00D43E1F" w:rsidRDefault="00D67CC0" w:rsidP="00072A3C">
      <w:pPr>
        <w:pStyle w:val="NoSpacing"/>
      </w:pPr>
      <w:r w:rsidRPr="00D43E1F">
        <w:t xml:space="preserve">Mr. </w:t>
      </w:r>
      <w:r w:rsidR="005966C1" w:rsidRPr="00D43E1F">
        <w:t xml:space="preserve">Tremblay </w:t>
      </w:r>
      <w:r w:rsidR="001520FE" w:rsidRPr="00D43E1F">
        <w:t xml:space="preserve">is exercising the Public Service Commission’s (PSC) authority for the </w:t>
      </w:r>
      <w:r w:rsidR="0010202F" w:rsidRPr="00D43E1F">
        <w:t>fourth</w:t>
      </w:r>
      <w:r w:rsidR="001520FE" w:rsidRPr="00D43E1F">
        <w:t xml:space="preserve"> time as Deputy Head</w:t>
      </w:r>
      <w:r w:rsidR="00530A59" w:rsidRPr="00D43E1F">
        <w:t xml:space="preserve"> (DH)</w:t>
      </w:r>
      <w:r w:rsidR="001520FE" w:rsidRPr="00D43E1F">
        <w:t xml:space="preserve">. </w:t>
      </w:r>
      <w:r w:rsidR="006A45E1" w:rsidRPr="00D43E1F">
        <w:t>Therefore</w:t>
      </w:r>
      <w:r w:rsidR="00893E1D" w:rsidRPr="00D43E1F">
        <w:t>, it</w:t>
      </w:r>
      <w:r w:rsidR="001520FE" w:rsidRPr="00D43E1F">
        <w:t xml:space="preserve"> is suggested that the New Direction in Staffing (NDS) highlights for DHs be shared with </w:t>
      </w:r>
      <w:r w:rsidR="00204B8C" w:rsidRPr="00D43E1F">
        <w:t>him</w:t>
      </w:r>
      <w:r w:rsidR="001520FE" w:rsidRPr="00D43E1F">
        <w:t xml:space="preserve">. A copy of this document is attached as </w:t>
      </w:r>
      <w:hyperlink w:anchor="Annex_A" w:history="1">
        <w:r w:rsidR="001520FE" w:rsidRPr="00BE7145">
          <w:rPr>
            <w:rStyle w:val="Hyperlink"/>
          </w:rPr>
          <w:t xml:space="preserve">Annex </w:t>
        </w:r>
        <w:r w:rsidR="00204B8C" w:rsidRPr="00BE7145">
          <w:rPr>
            <w:rStyle w:val="Hyperlink"/>
          </w:rPr>
          <w:t>A</w:t>
        </w:r>
        <w:r w:rsidR="001520FE" w:rsidRPr="00BE7145">
          <w:rPr>
            <w:rStyle w:val="Hyperlink"/>
          </w:rPr>
          <w:t>.</w:t>
        </w:r>
      </w:hyperlink>
    </w:p>
    <w:p w14:paraId="49D28C64" w14:textId="77777777" w:rsidR="00600B94" w:rsidRPr="008B0074" w:rsidRDefault="00600B94" w:rsidP="004B2F46">
      <w:pPr>
        <w:pStyle w:val="Heading3"/>
        <w:rPr>
          <w:rFonts w:ascii="Segoe UI" w:hAnsi="Segoe UI" w:cs="Segoe UI"/>
          <w:b/>
          <w:bCs/>
          <w:lang w:val="en-US"/>
        </w:rPr>
      </w:pPr>
      <w:r w:rsidRPr="008B0074">
        <w:rPr>
          <w:rFonts w:ascii="Segoe UI" w:hAnsi="Segoe UI" w:cs="Segoe UI"/>
          <w:b/>
          <w:bCs/>
          <w:lang w:val="en-US"/>
        </w:rPr>
        <w:t>Deputy Minister University Champion</w:t>
      </w:r>
    </w:p>
    <w:p w14:paraId="71B42363" w14:textId="3030152A" w:rsidR="00972F32" w:rsidRPr="00D43E1F" w:rsidRDefault="00600B94" w:rsidP="00072A3C">
      <w:pPr>
        <w:pStyle w:val="NoSpacing"/>
      </w:pPr>
      <w:r w:rsidRPr="00D43E1F">
        <w:t>As a Deputy Minister University Champion</w:t>
      </w:r>
      <w:r w:rsidR="008D0CAB" w:rsidRPr="00D43E1F">
        <w:t xml:space="preserve"> (DMUC)</w:t>
      </w:r>
      <w:r w:rsidRPr="00D43E1F">
        <w:t xml:space="preserve">, </w:t>
      </w:r>
      <w:r w:rsidR="005966C1" w:rsidRPr="00D43E1F">
        <w:t xml:space="preserve">Mr. Tremblay </w:t>
      </w:r>
      <w:r w:rsidRPr="00D43E1F">
        <w:t xml:space="preserve">plays a key role in Public Service Renewal by building relations between the </w:t>
      </w:r>
      <w:r w:rsidR="00725F5E" w:rsidRPr="00D43E1F">
        <w:t>PSC</w:t>
      </w:r>
      <w:r w:rsidRPr="00D43E1F">
        <w:t xml:space="preserve"> and</w:t>
      </w:r>
      <w:r w:rsidR="00CA6A76" w:rsidRPr="00D43E1F">
        <w:t xml:space="preserve"> </w:t>
      </w:r>
      <w:r w:rsidR="005966C1" w:rsidRPr="00F41208">
        <w:rPr>
          <w:lang w:val="fr-CA"/>
        </w:rPr>
        <w:t>Université Laval</w:t>
      </w:r>
      <w:r w:rsidR="005966C1" w:rsidRPr="00D43E1F">
        <w:t>.</w:t>
      </w:r>
    </w:p>
    <w:p w14:paraId="773A7C5D" w14:textId="687F97BF" w:rsidR="00461BC6" w:rsidRPr="00D43E1F" w:rsidRDefault="00C07F74" w:rsidP="008B0074">
      <w:pPr>
        <w:pStyle w:val="NoSpacing"/>
        <w:spacing w:after="0"/>
      </w:pPr>
      <w:r w:rsidRPr="00D43E1F">
        <w:t>T</w:t>
      </w:r>
      <w:r w:rsidR="00C1596D" w:rsidRPr="00D43E1F">
        <w:t>he PSC</w:t>
      </w:r>
      <w:r w:rsidR="00461BC6" w:rsidRPr="00D43E1F">
        <w:t xml:space="preserve"> </w:t>
      </w:r>
      <w:r w:rsidRPr="00D43E1F">
        <w:t xml:space="preserve">supported various </w:t>
      </w:r>
      <w:r w:rsidR="00461BC6" w:rsidRPr="00D43E1F">
        <w:t>events at this University</w:t>
      </w:r>
      <w:r w:rsidRPr="00D43E1F">
        <w:t>,</w:t>
      </w:r>
      <w:r w:rsidR="00461BC6" w:rsidRPr="00D43E1F">
        <w:t xml:space="preserve"> includ</w:t>
      </w:r>
      <w:r w:rsidRPr="00D43E1F">
        <w:t>ing</w:t>
      </w:r>
      <w:r w:rsidR="00461BC6" w:rsidRPr="00D43E1F">
        <w:t>:</w:t>
      </w:r>
    </w:p>
    <w:p w14:paraId="19C20282" w14:textId="0E316848" w:rsidR="00461BC6" w:rsidRPr="00D43E1F" w:rsidRDefault="00461BC6" w:rsidP="0074458B">
      <w:pPr>
        <w:pStyle w:val="NoSpacing"/>
        <w:numPr>
          <w:ilvl w:val="0"/>
          <w:numId w:val="16"/>
        </w:numPr>
        <w:spacing w:after="0"/>
        <w:ind w:hanging="357"/>
      </w:pPr>
      <w:r w:rsidRPr="00D43E1F">
        <w:t>In November 2019, the PSC Quebec regional office participated in</w:t>
      </w:r>
      <w:r w:rsidR="00DC1044" w:rsidRPr="00D43E1F">
        <w:t>:</w:t>
      </w:r>
    </w:p>
    <w:p w14:paraId="42E6FF7B" w14:textId="194FE60F" w:rsidR="00461BC6" w:rsidRPr="00D43E1F" w:rsidRDefault="00DC1044" w:rsidP="0074458B">
      <w:pPr>
        <w:pStyle w:val="NoSpacing"/>
        <w:numPr>
          <w:ilvl w:val="1"/>
          <w:numId w:val="16"/>
        </w:numPr>
        <w:spacing w:after="0"/>
        <w:ind w:hanging="357"/>
      </w:pPr>
      <w:r w:rsidRPr="00F41208">
        <w:rPr>
          <w:lang w:val="fr-CA"/>
        </w:rPr>
        <w:t xml:space="preserve">Université </w:t>
      </w:r>
      <w:r w:rsidRPr="00D732DE">
        <w:t>Laval’s</w:t>
      </w:r>
      <w:r w:rsidRPr="00D43E1F">
        <w:t xml:space="preserve"> </w:t>
      </w:r>
      <w:r w:rsidR="00461BC6" w:rsidRPr="00D43E1F">
        <w:t xml:space="preserve">Public Service Week, an annual event that includes career fairs and presentations </w:t>
      </w:r>
      <w:r w:rsidR="00C1596D" w:rsidRPr="00D43E1F">
        <w:t xml:space="preserve">from all levels of government. </w:t>
      </w:r>
    </w:p>
    <w:p w14:paraId="32E3EBC0" w14:textId="7B6F7987" w:rsidR="00461BC6" w:rsidRPr="00D43E1F" w:rsidRDefault="00DC1044" w:rsidP="0074458B">
      <w:pPr>
        <w:pStyle w:val="NoSpacing"/>
        <w:numPr>
          <w:ilvl w:val="1"/>
          <w:numId w:val="16"/>
        </w:numPr>
        <w:spacing w:after="0"/>
        <w:ind w:hanging="357"/>
      </w:pPr>
      <w:r w:rsidRPr="00F41208">
        <w:rPr>
          <w:lang w:val="fr-CA"/>
        </w:rPr>
        <w:t xml:space="preserve">Université </w:t>
      </w:r>
      <w:r w:rsidRPr="00D732DE">
        <w:t>Laval’s</w:t>
      </w:r>
      <w:r w:rsidRPr="00D43E1F">
        <w:t xml:space="preserve"> </w:t>
      </w:r>
      <w:r w:rsidR="00C41DDE" w:rsidRPr="00D43E1F">
        <w:t>Mini Career F</w:t>
      </w:r>
      <w:r w:rsidR="00461BC6" w:rsidRPr="00D43E1F">
        <w:t>air</w:t>
      </w:r>
      <w:r w:rsidR="00C07F74" w:rsidRPr="00D43E1F">
        <w:t xml:space="preserve">, aimed at </w:t>
      </w:r>
      <w:r w:rsidR="00461BC6" w:rsidRPr="00D43E1F">
        <w:t>promot</w:t>
      </w:r>
      <w:r w:rsidR="00C07F74" w:rsidRPr="00D43E1F">
        <w:t xml:space="preserve">ing </w:t>
      </w:r>
      <w:r w:rsidR="00461BC6" w:rsidRPr="00D43E1F">
        <w:t>Government of Canada jobs to Indigenous students.</w:t>
      </w:r>
    </w:p>
    <w:p w14:paraId="6CD7E4F6" w14:textId="3FA8C53C" w:rsidR="00461BC6" w:rsidRPr="00D43E1F" w:rsidRDefault="00461BC6" w:rsidP="0074458B">
      <w:pPr>
        <w:pStyle w:val="NoSpacing"/>
        <w:numPr>
          <w:ilvl w:val="0"/>
          <w:numId w:val="16"/>
        </w:numPr>
        <w:ind w:hanging="357"/>
      </w:pPr>
      <w:r w:rsidRPr="00D43E1F">
        <w:t>PSC</w:t>
      </w:r>
      <w:r w:rsidR="006A45E1" w:rsidRPr="00D43E1F">
        <w:t>’s</w:t>
      </w:r>
      <w:r w:rsidRPr="00D43E1F">
        <w:t xml:space="preserve"> Quebec regional office </w:t>
      </w:r>
      <w:r w:rsidR="00BD384B" w:rsidRPr="00D43E1F">
        <w:t xml:space="preserve">also </w:t>
      </w:r>
      <w:r w:rsidR="000D4E10" w:rsidRPr="00D43E1F">
        <w:t>participated</w:t>
      </w:r>
      <w:r w:rsidRPr="00D43E1F">
        <w:t xml:space="preserve"> in a virtual career fair a</w:t>
      </w:r>
      <w:r w:rsidR="00CC0EC1" w:rsidRPr="00D43E1F">
        <w:t xml:space="preserve">t </w:t>
      </w:r>
      <w:r w:rsidR="000D4E10" w:rsidRPr="00F41208">
        <w:rPr>
          <w:lang w:val="fr-CA"/>
        </w:rPr>
        <w:t>Université Laval</w:t>
      </w:r>
      <w:r w:rsidR="000D4E10" w:rsidRPr="00D43E1F">
        <w:t xml:space="preserve"> on October </w:t>
      </w:r>
      <w:r w:rsidRPr="00D43E1F">
        <w:t>6,</w:t>
      </w:r>
      <w:r w:rsidR="000D4E10" w:rsidRPr="00D43E1F">
        <w:t> </w:t>
      </w:r>
      <w:r w:rsidRPr="00D43E1F">
        <w:t>2020.</w:t>
      </w:r>
    </w:p>
    <w:p w14:paraId="7750B3E7" w14:textId="77777777" w:rsidR="008B0074" w:rsidRDefault="00461BC6" w:rsidP="00072A3C">
      <w:pPr>
        <w:pStyle w:val="NoSpacing"/>
        <w:sectPr w:rsidR="008B0074" w:rsidSect="00BE71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284" w:gutter="0"/>
          <w:cols w:space="708"/>
          <w:titlePg/>
          <w:docGrid w:linePitch="360"/>
        </w:sectPr>
      </w:pPr>
      <w:r w:rsidRPr="00D43E1F">
        <w:t>A working</w:t>
      </w:r>
      <w:r w:rsidR="00BD384B" w:rsidRPr="00D43E1F">
        <w:t>-level</w:t>
      </w:r>
      <w:r w:rsidRPr="00D43E1F">
        <w:t xml:space="preserve"> committee comprised of DMUC</w:t>
      </w:r>
      <w:r w:rsidR="00BD384B" w:rsidRPr="00D43E1F">
        <w:t xml:space="preserve"> designated representatives from Universities across the </w:t>
      </w:r>
      <w:r w:rsidRPr="00D43E1F">
        <w:t>Quebec</w:t>
      </w:r>
      <w:r w:rsidR="00BD384B" w:rsidRPr="00D43E1F">
        <w:t xml:space="preserve"> region</w:t>
      </w:r>
      <w:r w:rsidRPr="00D43E1F">
        <w:t xml:space="preserve"> was formed prior to the </w:t>
      </w:r>
      <w:r w:rsidR="006A45E1" w:rsidRPr="00D43E1F">
        <w:t xml:space="preserve">COVID-19 </w:t>
      </w:r>
      <w:r w:rsidRPr="00D43E1F">
        <w:t>pandemic. Its objective was to connect representatives, share information</w:t>
      </w:r>
      <w:r w:rsidR="00BD384B" w:rsidRPr="00D43E1F">
        <w:t xml:space="preserve"> and </w:t>
      </w:r>
      <w:r w:rsidRPr="00D43E1F">
        <w:t>best practices</w:t>
      </w:r>
      <w:r w:rsidR="00BD384B" w:rsidRPr="00D43E1F">
        <w:t>,</w:t>
      </w:r>
      <w:r w:rsidRPr="00D43E1F">
        <w:t xml:space="preserve"> and</w:t>
      </w:r>
      <w:r w:rsidR="00BD384B" w:rsidRPr="00D43E1F">
        <w:t xml:space="preserve"> </w:t>
      </w:r>
      <w:r w:rsidRPr="00D43E1F">
        <w:t xml:space="preserve">to identify opportunities to </w:t>
      </w:r>
      <w:r w:rsidR="00BD384B" w:rsidRPr="00D43E1F">
        <w:t xml:space="preserve">collaborate together on initiatives with the </w:t>
      </w:r>
      <w:r w:rsidRPr="00D43E1F">
        <w:t>PSC. M</w:t>
      </w:r>
      <w:r w:rsidR="00834053" w:rsidRPr="00D43E1F">
        <w:t>r</w:t>
      </w:r>
      <w:r w:rsidRPr="00D43E1F">
        <w:t>.</w:t>
      </w:r>
      <w:r w:rsidR="00B328D3" w:rsidRPr="00D43E1F">
        <w:t xml:space="preserve"> </w:t>
      </w:r>
      <w:r w:rsidRPr="00D43E1F">
        <w:t>Tremblay</w:t>
      </w:r>
      <w:r w:rsidR="006A45E1" w:rsidRPr="00D43E1F">
        <w:t xml:space="preserve"> has a </w:t>
      </w:r>
      <w:r w:rsidRPr="00D43E1F">
        <w:t xml:space="preserve">representative participating </w:t>
      </w:r>
      <w:r w:rsidR="00CA6A76" w:rsidRPr="00D43E1F">
        <w:t>in</w:t>
      </w:r>
      <w:r w:rsidR="00BD384B" w:rsidRPr="00D43E1F">
        <w:t xml:space="preserve"> this committee </w:t>
      </w:r>
      <w:r w:rsidR="00CA6A76" w:rsidRPr="00D43E1F">
        <w:t>which</w:t>
      </w:r>
      <w:r w:rsidRPr="00D43E1F">
        <w:t xml:space="preserve"> </w:t>
      </w:r>
      <w:r w:rsidR="00BD384B" w:rsidRPr="00D43E1F">
        <w:t xml:space="preserve">is scheduled to </w:t>
      </w:r>
      <w:r w:rsidRPr="00D43E1F">
        <w:t>reconvene in the coming weeks.</w:t>
      </w:r>
    </w:p>
    <w:p w14:paraId="4F9A30C7" w14:textId="77777777" w:rsidR="007378D3" w:rsidRPr="008B0074" w:rsidRDefault="006B3DDE" w:rsidP="004B2F46">
      <w:pPr>
        <w:pStyle w:val="Heading1"/>
        <w:rPr>
          <w:rFonts w:cstheme="majorHAnsi"/>
        </w:rPr>
      </w:pPr>
      <w:r w:rsidRPr="008B0074">
        <w:lastRenderedPageBreak/>
        <w:t>Organization</w:t>
      </w:r>
      <w:r w:rsidR="00C73191" w:rsidRPr="008B0074">
        <w:t>al C</w:t>
      </w:r>
      <w:r w:rsidR="007378D3" w:rsidRPr="008B0074">
        <w:t>ontext</w:t>
      </w:r>
    </w:p>
    <w:p w14:paraId="3E48DFDD" w14:textId="77777777" w:rsidR="004B2F46" w:rsidRPr="00D43E1F" w:rsidRDefault="00AE71A6" w:rsidP="008B0074">
      <w:pPr>
        <w:pStyle w:val="Heading2"/>
        <w:spacing w:before="40"/>
        <w:rPr>
          <w:u w:val="single"/>
          <w:lang w:val="en-CA"/>
        </w:rPr>
      </w:pPr>
      <w:r w:rsidRPr="00D43E1F">
        <w:rPr>
          <w:lang w:val="en-CA"/>
        </w:rPr>
        <w:t>Mandate</w:t>
      </w:r>
    </w:p>
    <w:p w14:paraId="60154AAE" w14:textId="2F251FFC" w:rsidR="00AE71A6" w:rsidRPr="00D43E1F" w:rsidRDefault="009C285D" w:rsidP="00072A3C">
      <w:pPr>
        <w:pStyle w:val="NoSpacing"/>
      </w:pPr>
      <w:r w:rsidRPr="00D43E1F">
        <w:rPr>
          <w:lang w:eastAsia="en-CA"/>
        </w:rPr>
        <w:t>NRCan</w:t>
      </w:r>
      <w:r w:rsidR="008F0DCE" w:rsidRPr="00D43E1F">
        <w:t xml:space="preserve"> develops policies and programs that enhance the contribution of the natural resources sector to the economy, improve the quality of life for all Canadians and conduct innovative science in facilities across Canada to generate ideas and transfer technologies. It also represents Canada at the international level to meet the country's global commitments related to the sustainable development of natural resources.</w:t>
      </w:r>
    </w:p>
    <w:p w14:paraId="4D192097" w14:textId="77777777" w:rsidR="004B2F46" w:rsidRPr="00D43E1F" w:rsidRDefault="00AE71A6" w:rsidP="008B0074">
      <w:pPr>
        <w:pStyle w:val="Heading2"/>
        <w:spacing w:before="40"/>
      </w:pPr>
      <w:r w:rsidRPr="00D43E1F">
        <w:t>Challenges</w:t>
      </w:r>
    </w:p>
    <w:p w14:paraId="35A1D0F0" w14:textId="479C2A8C" w:rsidR="009C285D" w:rsidRPr="00D43E1F" w:rsidRDefault="00586E1D" w:rsidP="00072A3C">
      <w:pPr>
        <w:pStyle w:val="NoSpacing"/>
      </w:pPr>
      <w:r w:rsidRPr="00D43E1F">
        <w:t>The</w:t>
      </w:r>
      <w:r w:rsidR="009C285D" w:rsidRPr="00D43E1F">
        <w:t xml:space="preserve"> </w:t>
      </w:r>
      <w:r w:rsidRPr="00D43E1F">
        <w:rPr>
          <w:lang w:eastAsia="fr-CA"/>
        </w:rPr>
        <w:t>highly specialized scientific workforce of NRCan brings some challenges when staffing and recruiting.</w:t>
      </w:r>
      <w:r w:rsidRPr="00D43E1F">
        <w:t xml:space="preserve"> The organization often </w:t>
      </w:r>
      <w:r w:rsidR="00481404" w:rsidRPr="00D43E1F">
        <w:t>hires</w:t>
      </w:r>
      <w:r w:rsidR="009C285D" w:rsidRPr="00D43E1F">
        <w:t xml:space="preserve"> scientists who come from other countries</w:t>
      </w:r>
      <w:r w:rsidRPr="00D43E1F">
        <w:t xml:space="preserve"> which </w:t>
      </w:r>
      <w:r w:rsidR="00FA6951" w:rsidRPr="00D43E1F">
        <w:t xml:space="preserve">can </w:t>
      </w:r>
      <w:r w:rsidRPr="00D43E1F">
        <w:t xml:space="preserve">create </w:t>
      </w:r>
      <w:r w:rsidR="00C408E8" w:rsidRPr="00D43E1F">
        <w:t xml:space="preserve">delays </w:t>
      </w:r>
      <w:r w:rsidR="00FA6951" w:rsidRPr="00D43E1F">
        <w:t>when recruiting</w:t>
      </w:r>
      <w:r w:rsidR="00481404" w:rsidRPr="00D43E1F">
        <w:t xml:space="preserve"> scientists </w:t>
      </w:r>
      <w:r w:rsidR="00FA6951" w:rsidRPr="00D43E1F">
        <w:t xml:space="preserve">with foreign credentials </w:t>
      </w:r>
      <w:r w:rsidRPr="00D43E1F">
        <w:t xml:space="preserve">that </w:t>
      </w:r>
      <w:r w:rsidR="00FA6951" w:rsidRPr="00D43E1F">
        <w:t>may also n</w:t>
      </w:r>
      <w:r w:rsidR="00481404" w:rsidRPr="00D43E1F">
        <w:t>eed to</w:t>
      </w:r>
      <w:r w:rsidR="00FA6951" w:rsidRPr="00D43E1F">
        <w:t xml:space="preserve"> obtain</w:t>
      </w:r>
      <w:r w:rsidR="00481404" w:rsidRPr="00D43E1F">
        <w:t xml:space="preserve"> a </w:t>
      </w:r>
      <w:r w:rsidR="00246364" w:rsidRPr="00D43E1F">
        <w:t>work permit</w:t>
      </w:r>
      <w:r w:rsidR="00FA6951" w:rsidRPr="00D43E1F">
        <w:t xml:space="preserve">. </w:t>
      </w:r>
      <w:r w:rsidR="00246364" w:rsidRPr="00D43E1F">
        <w:t xml:space="preserve"> </w:t>
      </w:r>
    </w:p>
    <w:p w14:paraId="3CBC047B" w14:textId="77777777" w:rsidR="00AE71A6" w:rsidRPr="00D43E1F" w:rsidRDefault="00AE71A6" w:rsidP="008B0074">
      <w:pPr>
        <w:pStyle w:val="Heading2"/>
        <w:spacing w:before="40"/>
        <w:rPr>
          <w:u w:val="single"/>
          <w:lang w:val="en-CA"/>
        </w:rPr>
      </w:pPr>
      <w:r w:rsidRPr="00D43E1F">
        <w:rPr>
          <w:lang w:val="en-CA"/>
        </w:rPr>
        <w:t>Experimentation</w:t>
      </w:r>
    </w:p>
    <w:p w14:paraId="613011CF" w14:textId="67C05318" w:rsidR="004A550B" w:rsidRPr="00D43E1F" w:rsidRDefault="004A550B" w:rsidP="008B0074">
      <w:pPr>
        <w:pStyle w:val="NoSpacing"/>
        <w:spacing w:after="0"/>
      </w:pPr>
      <w:r w:rsidRPr="00D43E1F">
        <w:t>NRCan served as the home department for the first hub of Canada’s Free Agents. Other hubs are now in place at Treasury Board Secretariat, Transport Canada, and the Canada School of Public Service.</w:t>
      </w:r>
    </w:p>
    <w:p w14:paraId="1A14151B" w14:textId="77777777" w:rsidR="004A550B" w:rsidRPr="00D43E1F" w:rsidRDefault="004A550B" w:rsidP="0074458B">
      <w:pPr>
        <w:pStyle w:val="NoSpacing"/>
        <w:numPr>
          <w:ilvl w:val="0"/>
          <w:numId w:val="15"/>
        </w:numPr>
        <w:spacing w:after="0"/>
        <w:ind w:left="714" w:hanging="357"/>
      </w:pPr>
      <w:r w:rsidRPr="00D43E1F">
        <w:t>Canada’s Free Agents is a new model for workforce mobility launched in 2016, inspired by a 2012 report by Deloitte - GovCloud: the Future of Government Work;</w:t>
      </w:r>
    </w:p>
    <w:p w14:paraId="2E503E4B" w14:textId="77777777" w:rsidR="004A550B" w:rsidRPr="00D43E1F" w:rsidRDefault="004A550B" w:rsidP="0074458B">
      <w:pPr>
        <w:pStyle w:val="NoSpacing"/>
        <w:numPr>
          <w:ilvl w:val="0"/>
          <w:numId w:val="15"/>
        </w:numPr>
        <w:spacing w:after="0"/>
        <w:ind w:left="714" w:hanging="357"/>
      </w:pPr>
      <w:r w:rsidRPr="00D43E1F">
        <w:t>Free Agents are hired through at-level deployments and are placed in a hub in a home department;</w:t>
      </w:r>
    </w:p>
    <w:p w14:paraId="5A7EC78E" w14:textId="77777777" w:rsidR="004A550B" w:rsidRPr="00D43E1F" w:rsidRDefault="004A550B" w:rsidP="0074458B">
      <w:pPr>
        <w:pStyle w:val="NoSpacing"/>
        <w:numPr>
          <w:ilvl w:val="0"/>
          <w:numId w:val="15"/>
        </w:numPr>
        <w:spacing w:after="0"/>
        <w:ind w:left="714" w:hanging="357"/>
      </w:pPr>
      <w:r w:rsidRPr="00D43E1F">
        <w:t>Free Agents are then drawn from the hub for project-based assignments in host departments;</w:t>
      </w:r>
    </w:p>
    <w:p w14:paraId="662329FD" w14:textId="74C9EDA0" w:rsidR="004A550B" w:rsidRPr="00D43E1F" w:rsidRDefault="004A550B" w:rsidP="0074458B">
      <w:pPr>
        <w:pStyle w:val="NoSpacing"/>
        <w:numPr>
          <w:ilvl w:val="0"/>
          <w:numId w:val="15"/>
        </w:numPr>
      </w:pPr>
      <w:r w:rsidRPr="00D43E1F">
        <w:t>The hub manages the HR processes and recovers an administration fee from home organizations.</w:t>
      </w:r>
    </w:p>
    <w:p w14:paraId="706ED812" w14:textId="77777777" w:rsidR="00C82E11" w:rsidRPr="008B0074" w:rsidRDefault="00C82E11" w:rsidP="00072A3C">
      <w:pPr>
        <w:pStyle w:val="Heading1"/>
      </w:pPr>
      <w:r w:rsidRPr="008B0074">
        <w:t>Population and Staffing Activities</w:t>
      </w:r>
    </w:p>
    <w:p w14:paraId="05D76EA8" w14:textId="77777777" w:rsidR="00C82E11" w:rsidRPr="00D43E1F" w:rsidRDefault="00C82E11" w:rsidP="008B0074">
      <w:pPr>
        <w:pStyle w:val="Heading2"/>
        <w:spacing w:before="40"/>
        <w:rPr>
          <w:u w:val="single"/>
          <w:lang w:val="en-CA"/>
        </w:rPr>
      </w:pPr>
      <w:r w:rsidRPr="00D43E1F">
        <w:rPr>
          <w:lang w:val="en-CA"/>
        </w:rPr>
        <w:t>Population</w:t>
      </w:r>
    </w:p>
    <w:p w14:paraId="4D4CD614" w14:textId="2CC776C4" w:rsidR="007378D3" w:rsidRPr="00D43E1F" w:rsidRDefault="009C285D" w:rsidP="00072A3C">
      <w:pPr>
        <w:pStyle w:val="NoSpacing"/>
      </w:pPr>
      <w:r w:rsidRPr="00D43E1F">
        <w:rPr>
          <w:lang w:eastAsia="en-CA"/>
        </w:rPr>
        <w:t>NRCan</w:t>
      </w:r>
      <w:r w:rsidR="007378D3" w:rsidRPr="00D43E1F">
        <w:t xml:space="preserve"> is a large organization that has a population of </w:t>
      </w:r>
      <w:r w:rsidR="00CF4572" w:rsidRPr="00D43E1F">
        <w:t>4,701</w:t>
      </w:r>
      <w:r w:rsidR="007378D3" w:rsidRPr="00D43E1F">
        <w:t xml:space="preserve"> employees (as of March 31, </w:t>
      </w:r>
      <w:r w:rsidR="00CF4572" w:rsidRPr="00D43E1F">
        <w:t>2020</w:t>
      </w:r>
      <w:r w:rsidR="007378D3" w:rsidRPr="00D43E1F">
        <w:t xml:space="preserve">). In the </w:t>
      </w:r>
      <w:r w:rsidR="00956646" w:rsidRPr="00D43E1F">
        <w:t>2019</w:t>
      </w:r>
      <w:r w:rsidR="00956646" w:rsidRPr="00D43E1F">
        <w:noBreakHyphen/>
      </w:r>
      <w:r w:rsidR="00CF4572" w:rsidRPr="00D43E1F">
        <w:t>2020</w:t>
      </w:r>
      <w:r w:rsidR="007378D3" w:rsidRPr="00D43E1F">
        <w:t xml:space="preserve"> fiscal year, it performed </w:t>
      </w:r>
      <w:r w:rsidR="00CF4572" w:rsidRPr="00D43E1F">
        <w:t>2,741</w:t>
      </w:r>
      <w:r w:rsidR="007378D3" w:rsidRPr="00D43E1F">
        <w:t xml:space="preserve"> </w:t>
      </w:r>
      <w:r w:rsidR="00B11FA2" w:rsidRPr="00D43E1F">
        <w:t>staffing actions.</w:t>
      </w:r>
      <w:r w:rsidR="00CF4572" w:rsidRPr="00D43E1F">
        <w:t xml:space="preserve"> </w:t>
      </w:r>
    </w:p>
    <w:p w14:paraId="5D976CC8" w14:textId="77777777" w:rsidR="00C82E11" w:rsidRPr="00D43E1F" w:rsidRDefault="00C82E11" w:rsidP="008B0074">
      <w:pPr>
        <w:keepNext/>
        <w:spacing w:before="40" w:after="120"/>
        <w:outlineLvl w:val="1"/>
        <w:rPr>
          <w:rFonts w:ascii="Arial" w:eastAsiaTheme="majorEastAsia" w:hAnsi="Arial" w:cs="Arial"/>
          <w:b/>
          <w:color w:val="5B315E" w:themeColor="accent2"/>
          <w:sz w:val="32"/>
          <w:szCs w:val="32"/>
          <w:u w:val="single"/>
          <w:lang w:val="en-CA"/>
        </w:rPr>
      </w:pPr>
      <w:r w:rsidRPr="00D43E1F">
        <w:rPr>
          <w:rFonts w:ascii="Arial" w:eastAsiaTheme="majorEastAsia" w:hAnsi="Arial" w:cs="Arial"/>
          <w:b/>
          <w:color w:val="5B315E" w:themeColor="accent2"/>
          <w:sz w:val="32"/>
          <w:szCs w:val="32"/>
          <w:lang w:val="en-CA"/>
        </w:rPr>
        <w:t>Staffing Activities</w:t>
      </w:r>
    </w:p>
    <w:p w14:paraId="3462174B" w14:textId="77777777" w:rsidR="007378D3" w:rsidRPr="00D43E1F" w:rsidRDefault="007378D3" w:rsidP="008B0074">
      <w:pPr>
        <w:pStyle w:val="NoSpacing"/>
        <w:spacing w:after="0"/>
      </w:pPr>
      <w:r w:rsidRPr="00D43E1F">
        <w:t>In 20</w:t>
      </w:r>
      <w:r w:rsidR="0076524A" w:rsidRPr="00D43E1F">
        <w:t>19</w:t>
      </w:r>
      <w:r w:rsidRPr="00D43E1F">
        <w:t>-20</w:t>
      </w:r>
      <w:r w:rsidR="0076524A" w:rsidRPr="00D43E1F">
        <w:t>20</w:t>
      </w:r>
      <w:r w:rsidRPr="00D43E1F">
        <w:t xml:space="preserve">, </w:t>
      </w:r>
      <w:r w:rsidR="009C285D" w:rsidRPr="00D43E1F">
        <w:rPr>
          <w:lang w:eastAsia="en-CA"/>
        </w:rPr>
        <w:t>NRCan</w:t>
      </w:r>
      <w:r w:rsidR="0010202F" w:rsidRPr="00D43E1F">
        <w:t xml:space="preserve"> </w:t>
      </w:r>
      <w:r w:rsidRPr="00D43E1F">
        <w:t xml:space="preserve">proceeded with a total of </w:t>
      </w:r>
      <w:r w:rsidR="0076524A" w:rsidRPr="00D43E1F">
        <w:t>2,741</w:t>
      </w:r>
      <w:r w:rsidR="00B11FA2" w:rsidRPr="00D43E1F">
        <w:t xml:space="preserve"> staffing activities:</w:t>
      </w:r>
    </w:p>
    <w:p w14:paraId="322473CF" w14:textId="77777777" w:rsidR="007378D3" w:rsidRPr="00D43E1F" w:rsidRDefault="0076524A" w:rsidP="0074458B">
      <w:pPr>
        <w:pStyle w:val="NoSpacing"/>
        <w:numPr>
          <w:ilvl w:val="0"/>
          <w:numId w:val="14"/>
        </w:numPr>
        <w:spacing w:after="0"/>
        <w:ind w:left="714" w:hanging="357"/>
      </w:pPr>
      <w:r w:rsidRPr="00D43E1F">
        <w:t>550</w:t>
      </w:r>
      <w:r w:rsidR="007378D3" w:rsidRPr="00D43E1F">
        <w:t xml:space="preserve"> appo</w:t>
      </w:r>
      <w:r w:rsidR="00B11FA2" w:rsidRPr="00D43E1F">
        <w:t>intments to the public service;</w:t>
      </w:r>
    </w:p>
    <w:p w14:paraId="3B7BA4B1" w14:textId="77777777" w:rsidR="007378D3" w:rsidRPr="00D43E1F" w:rsidRDefault="0076524A" w:rsidP="0074458B">
      <w:pPr>
        <w:pStyle w:val="NoSpacing"/>
        <w:numPr>
          <w:ilvl w:val="0"/>
          <w:numId w:val="14"/>
        </w:numPr>
        <w:spacing w:after="0"/>
        <w:ind w:left="714" w:hanging="357"/>
      </w:pPr>
      <w:r w:rsidRPr="00D43E1F">
        <w:t>567</w:t>
      </w:r>
      <w:r w:rsidR="007378D3" w:rsidRPr="00D43E1F">
        <w:t xml:space="preserve"> promotions;</w:t>
      </w:r>
    </w:p>
    <w:p w14:paraId="1169E1A3" w14:textId="77777777" w:rsidR="007378D3" w:rsidRPr="00D43E1F" w:rsidRDefault="0076524A" w:rsidP="0074458B">
      <w:pPr>
        <w:pStyle w:val="NoSpacing"/>
        <w:numPr>
          <w:ilvl w:val="0"/>
          <w:numId w:val="14"/>
        </w:numPr>
        <w:spacing w:after="0"/>
        <w:ind w:left="714" w:hanging="357"/>
      </w:pPr>
      <w:r w:rsidRPr="00D43E1F">
        <w:t>188</w:t>
      </w:r>
      <w:r w:rsidR="00B11FA2" w:rsidRPr="00D43E1F">
        <w:t xml:space="preserve"> acting appointments;</w:t>
      </w:r>
    </w:p>
    <w:p w14:paraId="2601DAB2" w14:textId="77777777" w:rsidR="007378D3" w:rsidRPr="00D43E1F" w:rsidRDefault="0076524A" w:rsidP="0074458B">
      <w:pPr>
        <w:pStyle w:val="NoSpacing"/>
        <w:numPr>
          <w:ilvl w:val="0"/>
          <w:numId w:val="14"/>
        </w:numPr>
        <w:spacing w:after="0"/>
        <w:ind w:left="714" w:hanging="357"/>
      </w:pPr>
      <w:r w:rsidRPr="00D43E1F">
        <w:t>569</w:t>
      </w:r>
      <w:r w:rsidR="007378D3" w:rsidRPr="00D43E1F">
        <w:t xml:space="preserve"> </w:t>
      </w:r>
      <w:r w:rsidRPr="00D43E1F">
        <w:t>casuals;</w:t>
      </w:r>
    </w:p>
    <w:p w14:paraId="302FA626" w14:textId="77777777" w:rsidR="007378D3" w:rsidRPr="00D43E1F" w:rsidRDefault="0076524A" w:rsidP="0074458B">
      <w:pPr>
        <w:pStyle w:val="NoSpacing"/>
        <w:numPr>
          <w:ilvl w:val="0"/>
          <w:numId w:val="14"/>
        </w:numPr>
        <w:spacing w:after="0"/>
        <w:ind w:left="714" w:hanging="357"/>
      </w:pPr>
      <w:r w:rsidRPr="00D43E1F">
        <w:lastRenderedPageBreak/>
        <w:t>505</w:t>
      </w:r>
      <w:r w:rsidR="00B11FA2" w:rsidRPr="00D43E1F">
        <w:t xml:space="preserve"> </w:t>
      </w:r>
      <w:r w:rsidRPr="00D43E1F">
        <w:t>students; and</w:t>
      </w:r>
    </w:p>
    <w:p w14:paraId="2F05BE39" w14:textId="7B7D53F3" w:rsidR="007378D3" w:rsidRPr="00D43E1F" w:rsidRDefault="0076524A" w:rsidP="0074458B">
      <w:pPr>
        <w:pStyle w:val="NoSpacing"/>
        <w:numPr>
          <w:ilvl w:val="0"/>
          <w:numId w:val="14"/>
        </w:numPr>
      </w:pPr>
      <w:r w:rsidRPr="00D43E1F">
        <w:t>362</w:t>
      </w:r>
      <w:r w:rsidR="007378D3" w:rsidRPr="00D43E1F">
        <w:t xml:space="preserve"> </w:t>
      </w:r>
      <w:r w:rsidR="00B11FA2" w:rsidRPr="00D43E1F">
        <w:t>lateral and downward movements</w:t>
      </w:r>
      <w:r w:rsidR="00E2539D" w:rsidRPr="00D43E1F">
        <w:t>.</w:t>
      </w:r>
    </w:p>
    <w:p w14:paraId="15708D41" w14:textId="07157096" w:rsidR="004A00BC" w:rsidRPr="00BE7145" w:rsidRDefault="004A00BC" w:rsidP="00072A3C">
      <w:pPr>
        <w:pStyle w:val="NoSpacing"/>
        <w:rPr>
          <w:color w:val="000000"/>
        </w:rPr>
      </w:pPr>
      <w:r w:rsidRPr="00BE7145">
        <w:rPr>
          <w:lang w:eastAsia="en-CA"/>
        </w:rPr>
        <w:t xml:space="preserve">Please refer to </w:t>
      </w:r>
      <w:hyperlink w:anchor="Annex_B" w:history="1">
        <w:r w:rsidRPr="00BE7145">
          <w:rPr>
            <w:rStyle w:val="Hyperlink"/>
            <w:lang w:eastAsia="en-CA"/>
          </w:rPr>
          <w:t>Annex</w:t>
        </w:r>
        <w:r w:rsidRPr="00BE7145">
          <w:rPr>
            <w:rStyle w:val="Hyperlink"/>
            <w:b/>
            <w:i/>
            <w:lang w:eastAsia="en-CA"/>
          </w:rPr>
          <w:t xml:space="preserve"> </w:t>
        </w:r>
        <w:r w:rsidRPr="00BE7145">
          <w:rPr>
            <w:rStyle w:val="Hyperlink"/>
            <w:lang w:eastAsia="en-CA"/>
          </w:rPr>
          <w:t>B</w:t>
        </w:r>
      </w:hyperlink>
      <w:r w:rsidRPr="00BE7145">
        <w:rPr>
          <w:lang w:eastAsia="en-CA"/>
        </w:rPr>
        <w:t xml:space="preserve"> for additional details</w:t>
      </w:r>
      <w:r w:rsidR="008B0074" w:rsidRPr="00BE7145">
        <w:rPr>
          <w:lang w:eastAsia="en-CA"/>
        </w:rPr>
        <w:t xml:space="preserve"> on staffing activities</w:t>
      </w:r>
      <w:r w:rsidRPr="00BE7145">
        <w:rPr>
          <w:lang w:eastAsia="en-CA"/>
        </w:rPr>
        <w:t>.</w:t>
      </w:r>
    </w:p>
    <w:p w14:paraId="46F34658" w14:textId="77777777" w:rsidR="004A00BC" w:rsidRPr="00BE7145" w:rsidRDefault="004A00BC" w:rsidP="00072A3C">
      <w:pPr>
        <w:pStyle w:val="NoSpacing"/>
        <w:rPr>
          <w:i/>
        </w:rPr>
      </w:pPr>
      <w:r w:rsidRPr="00BE7145">
        <w:t>NRCan is also one of the few departments with research scientists promoted through an incumbent-based process that reviews scientific publications as part of their career progression framework.</w:t>
      </w:r>
    </w:p>
    <w:p w14:paraId="791373B2" w14:textId="01BD921B" w:rsidR="00916961" w:rsidRPr="00BE7145" w:rsidRDefault="007632B1" w:rsidP="00072A3C">
      <w:pPr>
        <w:pStyle w:val="NoSpacing"/>
      </w:pPr>
      <w:r w:rsidRPr="00BE7145">
        <w:t xml:space="preserve">In addition, as a science-based department, the majority of NRCan’s summer students are hired to perform fieldwork. Because of COVID and the limitations to perform field work, it was anticipated that student hiring would decrease. In response to that, the </w:t>
      </w:r>
      <w:r w:rsidRPr="00BE7145">
        <w:rPr>
          <w:rStyle w:val="Emphasis"/>
        </w:rPr>
        <w:t>Student Hiring Challenge</w:t>
      </w:r>
      <w:r w:rsidRPr="00BE7145">
        <w:t xml:space="preserve"> was launched and managers were encouraged to continue hiring students despite the pandemic, by exploring different ways of working. Incentives were </w:t>
      </w:r>
      <w:r w:rsidR="00205526" w:rsidRPr="00BE7145">
        <w:t xml:space="preserve">made </w:t>
      </w:r>
      <w:r w:rsidRPr="00BE7145">
        <w:t xml:space="preserve">available to managers whose students worked on projects that helped NRCan adapt to the post-pandemic workplace. The </w:t>
      </w:r>
      <w:r w:rsidRPr="00BE7145">
        <w:rPr>
          <w:rStyle w:val="Emphasis"/>
        </w:rPr>
        <w:t>Student Hiring Challenge</w:t>
      </w:r>
      <w:r w:rsidRPr="00BE7145">
        <w:t xml:space="preserve"> resulted in additional hires. NRCan </w:t>
      </w:r>
      <w:r w:rsidR="00DF5B08" w:rsidRPr="00BE7145">
        <w:t xml:space="preserve">also </w:t>
      </w:r>
      <w:r w:rsidRPr="00BE7145">
        <w:t>continues to promote the PSC’s student recruitment programs</w:t>
      </w:r>
      <w:r w:rsidR="00707AFE" w:rsidRPr="00BE7145">
        <w:t>.</w:t>
      </w:r>
    </w:p>
    <w:p w14:paraId="63D8785A" w14:textId="77777777" w:rsidR="00C82E11" w:rsidRPr="008B0074" w:rsidRDefault="00FD71E0" w:rsidP="00072A3C">
      <w:pPr>
        <w:pStyle w:val="Heading1"/>
      </w:pPr>
      <w:r w:rsidRPr="008B0074">
        <w:t>T</w:t>
      </w:r>
      <w:r w:rsidR="00C82E11" w:rsidRPr="008B0074">
        <w:t>ime to Staff</w:t>
      </w:r>
    </w:p>
    <w:p w14:paraId="1B49A0D5" w14:textId="77777777" w:rsidR="00C82E11" w:rsidRPr="00D43E1F" w:rsidRDefault="009C285D" w:rsidP="00072A3C">
      <w:pPr>
        <w:pStyle w:val="NoSpacing"/>
      </w:pPr>
      <w:r w:rsidRPr="00D43E1F">
        <w:rPr>
          <w:lang w:eastAsia="en-CA"/>
        </w:rPr>
        <w:t>NRCan</w:t>
      </w:r>
      <w:r w:rsidR="0010202F" w:rsidRPr="00D43E1F">
        <w:rPr>
          <w:color w:val="FF0000"/>
        </w:rPr>
        <w:t xml:space="preserve"> </w:t>
      </w:r>
      <w:r w:rsidR="00C82E11" w:rsidRPr="00D43E1F">
        <w:rPr>
          <w:color w:val="222222"/>
        </w:rPr>
        <w:t xml:space="preserve">has a </w:t>
      </w:r>
      <w:r w:rsidR="00C82E11" w:rsidRPr="00D43E1F">
        <w:t xml:space="preserve">median time of </w:t>
      </w:r>
      <w:r w:rsidR="0076524A" w:rsidRPr="00D43E1F">
        <w:t>201</w:t>
      </w:r>
      <w:r w:rsidR="00C82E11" w:rsidRPr="00D43E1F">
        <w:t xml:space="preserve"> days for internal appointments, which is higher than the median of the public service</w:t>
      </w:r>
      <w:r w:rsidR="0076524A" w:rsidRPr="00D43E1F">
        <w:t xml:space="preserve"> of</w:t>
      </w:r>
      <w:r w:rsidR="00C82E11" w:rsidRPr="00D43E1F">
        <w:t xml:space="preserve"> 17</w:t>
      </w:r>
      <w:r w:rsidR="0076524A" w:rsidRPr="00D43E1F">
        <w:t>5</w:t>
      </w:r>
      <w:r w:rsidR="00C82E11" w:rsidRPr="00D43E1F">
        <w:t xml:space="preserve"> days. </w:t>
      </w:r>
    </w:p>
    <w:p w14:paraId="40E86A31" w14:textId="77777777" w:rsidR="003D6D80" w:rsidRPr="00D43E1F" w:rsidRDefault="009C285D" w:rsidP="00072A3C">
      <w:pPr>
        <w:pStyle w:val="NoSpacing"/>
      </w:pPr>
      <w:r w:rsidRPr="00D43E1F">
        <w:rPr>
          <w:lang w:eastAsia="en-CA"/>
        </w:rPr>
        <w:t>NRCan</w:t>
      </w:r>
      <w:r w:rsidR="0010202F" w:rsidRPr="00D43E1F">
        <w:t xml:space="preserve"> </w:t>
      </w:r>
      <w:r w:rsidR="00C82E11" w:rsidRPr="00D43E1F">
        <w:t xml:space="preserve">has a median time of </w:t>
      </w:r>
      <w:r w:rsidR="0076524A" w:rsidRPr="00D43E1F">
        <w:t>205</w:t>
      </w:r>
      <w:r w:rsidR="00C82E11" w:rsidRPr="00D43E1F">
        <w:rPr>
          <w:b/>
        </w:rPr>
        <w:t xml:space="preserve"> </w:t>
      </w:r>
      <w:r w:rsidR="00C82E11" w:rsidRPr="00D43E1F">
        <w:t xml:space="preserve">days for external appointments, which is </w:t>
      </w:r>
      <w:r w:rsidR="0076524A" w:rsidRPr="00D43E1F">
        <w:t xml:space="preserve">slightly </w:t>
      </w:r>
      <w:r w:rsidR="00C82E11" w:rsidRPr="00D43E1F">
        <w:t xml:space="preserve">higher than the median of </w:t>
      </w:r>
      <w:r w:rsidR="0076524A" w:rsidRPr="00D43E1F">
        <w:t>the public service of 203</w:t>
      </w:r>
      <w:r w:rsidR="00C82E11" w:rsidRPr="00D43E1F">
        <w:t xml:space="preserve"> days.</w:t>
      </w:r>
    </w:p>
    <w:p w14:paraId="267EA03D" w14:textId="77777777" w:rsidR="00052FE3" w:rsidRPr="008B0074" w:rsidRDefault="00052FE3" w:rsidP="00072A3C">
      <w:pPr>
        <w:pStyle w:val="Heading1"/>
      </w:pPr>
      <w:r w:rsidRPr="008B0074">
        <w:t>Staffing Framework</w:t>
      </w:r>
    </w:p>
    <w:p w14:paraId="4897D6B6" w14:textId="77777777" w:rsidR="00052FE3" w:rsidRPr="00D43E1F" w:rsidRDefault="00052FE3" w:rsidP="008B0074">
      <w:pPr>
        <w:pStyle w:val="Heading2"/>
        <w:spacing w:before="40"/>
        <w:rPr>
          <w:lang w:val="en-CA"/>
        </w:rPr>
      </w:pPr>
      <w:r w:rsidRPr="00D43E1F">
        <w:rPr>
          <w:lang w:val="en-CA"/>
        </w:rPr>
        <w:t>New Direction in Staffing Implementation</w:t>
      </w:r>
    </w:p>
    <w:p w14:paraId="2E40A0F0" w14:textId="7DB091DB" w:rsidR="00AA03F8" w:rsidRPr="00D43E1F" w:rsidRDefault="00171E20" w:rsidP="00072A3C">
      <w:pPr>
        <w:pStyle w:val="NoSpacing"/>
      </w:pPr>
      <w:r w:rsidRPr="00D43E1F">
        <w:t xml:space="preserve">NRCan </w:t>
      </w:r>
      <w:r w:rsidR="00561166" w:rsidRPr="00D43E1F">
        <w:t>shared</w:t>
      </w:r>
      <w:r w:rsidRPr="00D43E1F">
        <w:t xml:space="preserve"> their policies and staffing framework</w:t>
      </w:r>
      <w:r w:rsidR="00561166" w:rsidRPr="00D43E1F">
        <w:t xml:space="preserve"> with the PSC</w:t>
      </w:r>
      <w:r w:rsidRPr="00D43E1F">
        <w:t>.</w:t>
      </w:r>
      <w:r w:rsidR="00163622" w:rsidRPr="00D43E1F">
        <w:t xml:space="preserve"> The</w:t>
      </w:r>
      <w:r w:rsidRPr="00D43E1F">
        <w:t xml:space="preserve"> </w:t>
      </w:r>
      <w:r w:rsidR="003D6D80" w:rsidRPr="00D43E1F">
        <w:t>organization is</w:t>
      </w:r>
      <w:r w:rsidRPr="00D43E1F">
        <w:t xml:space="preserve"> currently looking at ways to improve flexibilities within their framework.</w:t>
      </w:r>
      <w:r w:rsidR="00561166" w:rsidRPr="00D43E1F">
        <w:t xml:space="preserve"> In support of that objective, t</w:t>
      </w:r>
      <w:r w:rsidRPr="00D43E1F">
        <w:t xml:space="preserve">he </w:t>
      </w:r>
      <w:r w:rsidR="00A06F93" w:rsidRPr="00D43E1F">
        <w:t>Staffing Support Advisor (</w:t>
      </w:r>
      <w:r w:rsidRPr="00D43E1F">
        <w:t>SSA</w:t>
      </w:r>
      <w:r w:rsidR="00A06F93" w:rsidRPr="00D43E1F">
        <w:t>)</w:t>
      </w:r>
      <w:r w:rsidRPr="00D43E1F">
        <w:t xml:space="preserve"> </w:t>
      </w:r>
      <w:r w:rsidR="00C408E8" w:rsidRPr="00D43E1F">
        <w:t>delivered</w:t>
      </w:r>
      <w:r w:rsidR="00B328FB" w:rsidRPr="00D43E1F">
        <w:t xml:space="preserve"> </w:t>
      </w:r>
      <w:r w:rsidRPr="00D43E1F">
        <w:t xml:space="preserve">presentations to hiring managers and </w:t>
      </w:r>
      <w:r w:rsidR="00A01BC7" w:rsidRPr="00D43E1F">
        <w:t>human resources (</w:t>
      </w:r>
      <w:r w:rsidRPr="00D43E1F">
        <w:t>HR</w:t>
      </w:r>
      <w:r w:rsidR="00A01BC7" w:rsidRPr="00D43E1F">
        <w:t>)</w:t>
      </w:r>
      <w:r w:rsidRPr="00D43E1F">
        <w:t xml:space="preserve"> staff highlight</w:t>
      </w:r>
      <w:r w:rsidR="00561166" w:rsidRPr="00D43E1F">
        <w:t xml:space="preserve">ing various scenarios that foster </w:t>
      </w:r>
      <w:r w:rsidRPr="00D43E1F">
        <w:t>flexibilities</w:t>
      </w:r>
      <w:r w:rsidR="00561166" w:rsidRPr="00D43E1F">
        <w:t xml:space="preserve"> in staffing practices</w:t>
      </w:r>
      <w:r w:rsidR="00163622" w:rsidRPr="00D43E1F">
        <w:t>. F</w:t>
      </w:r>
      <w:r w:rsidR="00037889" w:rsidRPr="00D43E1F">
        <w:t xml:space="preserve">or example, three sessions </w:t>
      </w:r>
      <w:r w:rsidR="00956953" w:rsidRPr="00D43E1F">
        <w:t>were held in</w:t>
      </w:r>
      <w:r w:rsidR="00037889" w:rsidRPr="00D43E1F">
        <w:t xml:space="preserve"> 2019-2020</w:t>
      </w:r>
      <w:r w:rsidR="00561166" w:rsidRPr="00D43E1F">
        <w:t xml:space="preserve"> on </w:t>
      </w:r>
      <w:r w:rsidR="005C4788" w:rsidRPr="00D43E1F">
        <w:t xml:space="preserve">topics </w:t>
      </w:r>
      <w:r w:rsidR="00561166" w:rsidRPr="00D43E1F">
        <w:t xml:space="preserve">covering available options </w:t>
      </w:r>
      <w:r w:rsidR="00DC1044" w:rsidRPr="00D43E1F">
        <w:t>during the assessment and appointment</w:t>
      </w:r>
      <w:r w:rsidR="00561166" w:rsidRPr="00D43E1F">
        <w:t xml:space="preserve"> phase</w:t>
      </w:r>
      <w:r w:rsidR="00DC1044" w:rsidRPr="00D43E1F">
        <w:t>.</w:t>
      </w:r>
    </w:p>
    <w:p w14:paraId="1FBF0176" w14:textId="77777777" w:rsidR="00C73AFF" w:rsidRPr="008B0074" w:rsidRDefault="00C73AFF" w:rsidP="00072A3C">
      <w:pPr>
        <w:pStyle w:val="Heading1"/>
      </w:pPr>
      <w:r w:rsidRPr="008B0074">
        <w:lastRenderedPageBreak/>
        <w:t>Appointment Delegation and Accountability Instrument Annex D Reporting</w:t>
      </w:r>
    </w:p>
    <w:p w14:paraId="2A10915D" w14:textId="7E03791E" w:rsidR="00C73AFF" w:rsidRPr="00D43E1F" w:rsidRDefault="00C73AFF" w:rsidP="008B0074">
      <w:pPr>
        <w:pStyle w:val="Heading2"/>
        <w:spacing w:before="40"/>
        <w:rPr>
          <w:lang w:val="en-CA"/>
        </w:rPr>
      </w:pPr>
      <w:r w:rsidRPr="00D43E1F">
        <w:rPr>
          <w:lang w:val="en-CA"/>
        </w:rPr>
        <w:t xml:space="preserve">Use of the </w:t>
      </w:r>
      <w:r w:rsidRPr="008B0074">
        <w:rPr>
          <w:rStyle w:val="Emphasis"/>
        </w:rPr>
        <w:t>Public Service Official Languages Exclusion Approval Order</w:t>
      </w:r>
      <w:r w:rsidRPr="00D43E1F">
        <w:rPr>
          <w:lang w:val="en-CA"/>
        </w:rPr>
        <w:t xml:space="preserve"> </w:t>
      </w:r>
      <w:r w:rsidR="00072A3C" w:rsidRPr="00D43E1F">
        <w:rPr>
          <w:lang w:val="en-CA"/>
        </w:rPr>
        <w:t xml:space="preserve">(PSOLEAO) </w:t>
      </w:r>
      <w:r w:rsidRPr="00D43E1F">
        <w:rPr>
          <w:lang w:val="en-CA"/>
        </w:rPr>
        <w:t xml:space="preserve">and the </w:t>
      </w:r>
      <w:r w:rsidRPr="008B0074">
        <w:rPr>
          <w:rStyle w:val="Emphasis"/>
        </w:rPr>
        <w:t>Public Service Official Languages Appointment Regulations</w:t>
      </w:r>
      <w:r w:rsidR="00051433" w:rsidRPr="00D43E1F">
        <w:rPr>
          <w:lang w:val="en-CA"/>
        </w:rPr>
        <w:t xml:space="preserve"> </w:t>
      </w:r>
      <w:r w:rsidR="00072A3C" w:rsidRPr="00D43E1F">
        <w:rPr>
          <w:lang w:val="en-CA"/>
        </w:rPr>
        <w:t>(PSOLAR)</w:t>
      </w:r>
    </w:p>
    <w:p w14:paraId="3FAEB10C" w14:textId="60B7D519" w:rsidR="008F5203" w:rsidRPr="00D43E1F" w:rsidRDefault="008F5203" w:rsidP="00072A3C">
      <w:pPr>
        <w:pStyle w:val="NoSpacing"/>
      </w:pPr>
      <w:r w:rsidRPr="00D43E1F">
        <w:rPr>
          <w:lang w:eastAsia="en-CA"/>
        </w:rPr>
        <w:t>NRCan</w:t>
      </w:r>
      <w:r w:rsidRPr="00D43E1F">
        <w:t xml:space="preserve"> </w:t>
      </w:r>
      <w:r w:rsidR="00A015FD" w:rsidRPr="00D43E1F">
        <w:t xml:space="preserve">has </w:t>
      </w:r>
      <w:r w:rsidRPr="00D43E1F">
        <w:t xml:space="preserve">reported that the organization made use of the </w:t>
      </w:r>
      <w:r w:rsidR="000C2D2F" w:rsidRPr="008B0074">
        <w:rPr>
          <w:rStyle w:val="Emphasis"/>
        </w:rPr>
        <w:t>Public Service Official Languages Exclusion Approval Order</w:t>
      </w:r>
      <w:r w:rsidRPr="00D43E1F">
        <w:t xml:space="preserve"> </w:t>
      </w:r>
      <w:r w:rsidR="00BF575E" w:rsidRPr="00D43E1F">
        <w:t xml:space="preserve">on seven occasions </w:t>
      </w:r>
      <w:r w:rsidRPr="00D43E1F">
        <w:t>and</w:t>
      </w:r>
      <w:r w:rsidR="00BF575E" w:rsidRPr="00D43E1F">
        <w:t xml:space="preserve"> </w:t>
      </w:r>
      <w:r w:rsidRPr="00D43E1F">
        <w:t xml:space="preserve">the </w:t>
      </w:r>
      <w:r w:rsidR="000C2D2F" w:rsidRPr="008B0074">
        <w:rPr>
          <w:rStyle w:val="Emphasis"/>
        </w:rPr>
        <w:t>Public Service Official Languages Appointment Regulations</w:t>
      </w:r>
      <w:r w:rsidRPr="00D43E1F">
        <w:t xml:space="preserve"> </w:t>
      </w:r>
      <w:r w:rsidR="00A015FD" w:rsidRPr="00D43E1F">
        <w:t xml:space="preserve">once for the </w:t>
      </w:r>
      <w:r w:rsidRPr="00D43E1F">
        <w:t>period of April </w:t>
      </w:r>
      <w:r w:rsidR="000C2D2F" w:rsidRPr="00D43E1F">
        <w:t>1</w:t>
      </w:r>
      <w:r w:rsidRPr="00D43E1F">
        <w:t xml:space="preserve">, 2019 to March 31, 2020. </w:t>
      </w:r>
    </w:p>
    <w:p w14:paraId="1F50666D" w14:textId="7797AE8E" w:rsidR="00AE4D3A" w:rsidRPr="00D43E1F" w:rsidRDefault="00D349E3" w:rsidP="00072A3C">
      <w:pPr>
        <w:pStyle w:val="NoSpacing"/>
        <w:rPr>
          <w:rFonts w:eastAsiaTheme="majorEastAsia"/>
          <w:b/>
          <w:color w:val="5B315E" w:themeColor="accent2"/>
        </w:rPr>
      </w:pPr>
      <w:r w:rsidRPr="00D43E1F">
        <w:rPr>
          <w:lang w:eastAsia="en-CA"/>
        </w:rPr>
        <w:t>NRCan</w:t>
      </w:r>
      <w:r w:rsidRPr="00D43E1F">
        <w:rPr>
          <w:color w:val="FF0000"/>
        </w:rPr>
        <w:t xml:space="preserve"> </w:t>
      </w:r>
      <w:r w:rsidRPr="00D43E1F">
        <w:rPr>
          <w:lang w:eastAsia="en-CA"/>
        </w:rPr>
        <w:t>ha</w:t>
      </w:r>
      <w:r w:rsidR="008F5203" w:rsidRPr="00D43E1F">
        <w:rPr>
          <w:lang w:eastAsia="en-CA"/>
        </w:rPr>
        <w:t>s</w:t>
      </w:r>
      <w:r w:rsidRPr="00D43E1F">
        <w:rPr>
          <w:lang w:eastAsia="en-CA"/>
        </w:rPr>
        <w:t xml:space="preserve"> one </w:t>
      </w:r>
      <w:r w:rsidR="008F5203" w:rsidRPr="00D43E1F">
        <w:rPr>
          <w:lang w:eastAsia="en-CA"/>
        </w:rPr>
        <w:t>situation</w:t>
      </w:r>
      <w:r w:rsidRPr="00D43E1F">
        <w:rPr>
          <w:lang w:eastAsia="en-CA"/>
        </w:rPr>
        <w:t xml:space="preserve"> that exceed</w:t>
      </w:r>
      <w:r w:rsidR="00DD66EE" w:rsidRPr="00D43E1F">
        <w:rPr>
          <w:lang w:eastAsia="en-CA"/>
        </w:rPr>
        <w:t>s</w:t>
      </w:r>
      <w:r w:rsidRPr="00D43E1F">
        <w:rPr>
          <w:lang w:eastAsia="en-CA"/>
        </w:rPr>
        <w:t xml:space="preserve"> the maximum period of time to become bilingual under the PSOLEAO and the PSOLAR. </w:t>
      </w:r>
      <w:r w:rsidR="00A015FD" w:rsidRPr="00D43E1F">
        <w:rPr>
          <w:lang w:eastAsia="en-CA"/>
        </w:rPr>
        <w:t>T</w:t>
      </w:r>
      <w:r w:rsidRPr="00D43E1F">
        <w:rPr>
          <w:lang w:eastAsia="en-CA"/>
        </w:rPr>
        <w:t xml:space="preserve">he </w:t>
      </w:r>
      <w:r w:rsidR="00BF575E" w:rsidRPr="00D43E1F">
        <w:rPr>
          <w:lang w:eastAsia="en-CA"/>
        </w:rPr>
        <w:t xml:space="preserve">organization has confirmed that the </w:t>
      </w:r>
      <w:r w:rsidR="00A015FD" w:rsidRPr="00D43E1F">
        <w:rPr>
          <w:lang w:eastAsia="en-CA"/>
        </w:rPr>
        <w:t xml:space="preserve">situation will be resolved in the coming weeks once the </w:t>
      </w:r>
      <w:r w:rsidR="00BF575E" w:rsidRPr="00D43E1F">
        <w:rPr>
          <w:lang w:eastAsia="en-CA"/>
        </w:rPr>
        <w:t xml:space="preserve">employee </w:t>
      </w:r>
      <w:r w:rsidR="00A015FD" w:rsidRPr="00D43E1F">
        <w:rPr>
          <w:lang w:eastAsia="en-CA"/>
        </w:rPr>
        <w:t>is</w:t>
      </w:r>
      <w:r w:rsidR="00BF575E" w:rsidRPr="00D43E1F">
        <w:rPr>
          <w:lang w:eastAsia="en-CA"/>
        </w:rPr>
        <w:t xml:space="preserve"> </w:t>
      </w:r>
      <w:r w:rsidRPr="00D43E1F">
        <w:rPr>
          <w:lang w:eastAsia="en-CA"/>
        </w:rPr>
        <w:t xml:space="preserve">deployed </w:t>
      </w:r>
      <w:r w:rsidR="00967AF5" w:rsidRPr="00D43E1F">
        <w:rPr>
          <w:lang w:eastAsia="en-CA"/>
        </w:rPr>
        <w:t>to another position within NRCan</w:t>
      </w:r>
      <w:r w:rsidRPr="00D43E1F">
        <w:t>.</w:t>
      </w:r>
      <w:r w:rsidR="0015465D" w:rsidRPr="00D43E1F">
        <w:t xml:space="preserve"> </w:t>
      </w:r>
    </w:p>
    <w:p w14:paraId="6A76247C" w14:textId="43AF1456" w:rsidR="004D54D0" w:rsidRPr="00D43E1F" w:rsidRDefault="004D54D0" w:rsidP="008B0074">
      <w:pPr>
        <w:pStyle w:val="Heading2"/>
        <w:spacing w:before="40"/>
        <w:rPr>
          <w:lang w:val="en-CA"/>
        </w:rPr>
      </w:pPr>
      <w:r w:rsidRPr="00D43E1F">
        <w:rPr>
          <w:lang w:val="en-CA"/>
        </w:rPr>
        <w:t>Approved Deputy Head Exceptions to the N</w:t>
      </w:r>
      <w:r w:rsidR="008B5F70" w:rsidRPr="00D43E1F">
        <w:rPr>
          <w:lang w:val="en-CA"/>
        </w:rPr>
        <w:t>ational Area of Selection</w:t>
      </w:r>
      <w:r w:rsidRPr="00D43E1F">
        <w:rPr>
          <w:lang w:val="en-CA"/>
        </w:rPr>
        <w:t xml:space="preserve"> Requirements for an External Advertised Appointment Process</w:t>
      </w:r>
    </w:p>
    <w:p w14:paraId="0918657B" w14:textId="54516487" w:rsidR="00BF575E" w:rsidRPr="00D43E1F" w:rsidRDefault="001E0786" w:rsidP="00072A3C">
      <w:pPr>
        <w:pStyle w:val="NoSpacing"/>
      </w:pPr>
      <w:r w:rsidRPr="00D43E1F">
        <w:t>NRCan</w:t>
      </w:r>
      <w:r w:rsidR="007378D3" w:rsidRPr="00D43E1F">
        <w:rPr>
          <w:color w:val="222222"/>
        </w:rPr>
        <w:t xml:space="preserve"> </w:t>
      </w:r>
      <w:r w:rsidR="00BF575E" w:rsidRPr="00D43E1F">
        <w:rPr>
          <w:color w:val="222222"/>
        </w:rPr>
        <w:t xml:space="preserve">did not </w:t>
      </w:r>
      <w:r w:rsidR="007378D3" w:rsidRPr="00D43E1F">
        <w:rPr>
          <w:color w:val="222222"/>
        </w:rPr>
        <w:t>repor</w:t>
      </w:r>
      <w:r w:rsidR="00BF575E" w:rsidRPr="00D43E1F">
        <w:rPr>
          <w:color w:val="222222"/>
        </w:rPr>
        <w:t xml:space="preserve">t any deputy head exceptions to the </w:t>
      </w:r>
      <w:r w:rsidR="007378D3" w:rsidRPr="00D43E1F">
        <w:t>N</w:t>
      </w:r>
      <w:r w:rsidR="00FB1D2D" w:rsidRPr="00D43E1F">
        <w:t xml:space="preserve">ational </w:t>
      </w:r>
      <w:r w:rsidR="007378D3" w:rsidRPr="00D43E1F">
        <w:t>A</w:t>
      </w:r>
      <w:r w:rsidR="00FB1D2D" w:rsidRPr="00D43E1F">
        <w:t xml:space="preserve">rea of </w:t>
      </w:r>
      <w:r w:rsidR="007378D3" w:rsidRPr="00D43E1F">
        <w:t>S</w:t>
      </w:r>
      <w:r w:rsidR="00FB1D2D" w:rsidRPr="00D43E1F">
        <w:t>election</w:t>
      </w:r>
      <w:r w:rsidR="00BF575E" w:rsidRPr="00D43E1F">
        <w:t xml:space="preserve"> between April 1, 2019 and March 31, 2020.</w:t>
      </w:r>
    </w:p>
    <w:p w14:paraId="613BDA0D" w14:textId="77777777" w:rsidR="000E70A9" w:rsidRPr="00D43E1F" w:rsidRDefault="000E70A9" w:rsidP="008B0074">
      <w:pPr>
        <w:pStyle w:val="Heading2"/>
        <w:spacing w:before="40"/>
        <w:rPr>
          <w:lang w:val="en-CA"/>
        </w:rPr>
      </w:pPr>
      <w:r w:rsidRPr="00D43E1F">
        <w:rPr>
          <w:lang w:val="en-CA"/>
        </w:rPr>
        <w:t>Results of Organizational Cyclical Assessment</w:t>
      </w:r>
    </w:p>
    <w:p w14:paraId="7CB3C57A" w14:textId="609AB6ED" w:rsidR="00AF0484" w:rsidRPr="00D43E1F" w:rsidRDefault="00AC4983" w:rsidP="00072A3C">
      <w:pPr>
        <w:pStyle w:val="NoSpacing"/>
      </w:pPr>
      <w:r w:rsidRPr="00D43E1F">
        <w:t xml:space="preserve">On March 31, 2018, </w:t>
      </w:r>
      <w:r w:rsidR="009C285D" w:rsidRPr="00D43E1F">
        <w:rPr>
          <w:lang w:eastAsia="en-CA"/>
        </w:rPr>
        <w:t>NRCan</w:t>
      </w:r>
      <w:r w:rsidR="0010202F" w:rsidRPr="00D43E1F">
        <w:rPr>
          <w:color w:val="FF0000"/>
        </w:rPr>
        <w:t xml:space="preserve"> </w:t>
      </w:r>
      <w:r w:rsidR="000E70A9" w:rsidRPr="00D43E1F">
        <w:t xml:space="preserve">has </w:t>
      </w:r>
      <w:r w:rsidR="00304BC2" w:rsidRPr="00D43E1F">
        <w:t xml:space="preserve">submitted </w:t>
      </w:r>
      <w:r w:rsidR="000E70A9" w:rsidRPr="00D43E1F">
        <w:t xml:space="preserve">a cyclical assessment for the period of April </w:t>
      </w:r>
      <w:r w:rsidR="0005342F" w:rsidRPr="00D43E1F">
        <w:t>1</w:t>
      </w:r>
      <w:r w:rsidR="000E70A9" w:rsidRPr="00D43E1F">
        <w:t xml:space="preserve">, </w:t>
      </w:r>
      <w:r w:rsidR="00E8066F" w:rsidRPr="00D43E1F">
        <w:t>2017</w:t>
      </w:r>
      <w:r w:rsidR="00930175" w:rsidRPr="00D43E1F">
        <w:t>,</w:t>
      </w:r>
      <w:r w:rsidR="000E70A9" w:rsidRPr="00D43E1F">
        <w:t xml:space="preserve"> </w:t>
      </w:r>
      <w:r w:rsidR="00E8066F" w:rsidRPr="00D43E1F">
        <w:t>to</w:t>
      </w:r>
      <w:r w:rsidR="000E70A9" w:rsidRPr="00D43E1F">
        <w:t xml:space="preserve"> March 31, </w:t>
      </w:r>
      <w:r w:rsidR="00E8066F" w:rsidRPr="00D43E1F">
        <w:t>2018</w:t>
      </w:r>
      <w:r w:rsidR="000E70A9" w:rsidRPr="00D43E1F">
        <w:t>.</w:t>
      </w:r>
      <w:r w:rsidR="00131781" w:rsidRPr="00D43E1F">
        <w:t xml:space="preserve"> The organization has tailored its staffing monitoring activities to its context, business needs, and staffing framework. </w:t>
      </w:r>
    </w:p>
    <w:p w14:paraId="2C809ED8" w14:textId="77777777" w:rsidR="000E70A9" w:rsidRPr="00D43E1F" w:rsidRDefault="000E70A9" w:rsidP="008B0074">
      <w:pPr>
        <w:pStyle w:val="Heading2"/>
        <w:spacing w:before="40"/>
        <w:rPr>
          <w:lang w:val="en-CA"/>
        </w:rPr>
      </w:pPr>
      <w:r w:rsidRPr="00D43E1F">
        <w:rPr>
          <w:lang w:val="en-CA"/>
        </w:rPr>
        <w:t>Inquiries and Trends</w:t>
      </w:r>
    </w:p>
    <w:p w14:paraId="17C35793" w14:textId="68F16C2C" w:rsidR="00F74124" w:rsidRPr="00D43E1F" w:rsidRDefault="00C41BF4" w:rsidP="00072A3C">
      <w:pPr>
        <w:pStyle w:val="NoSpacing"/>
        <w:rPr>
          <w:i/>
          <w:color w:val="000000"/>
        </w:rPr>
      </w:pPr>
      <w:r w:rsidRPr="00D43E1F">
        <w:rPr>
          <w:color w:val="000000"/>
        </w:rPr>
        <w:t xml:space="preserve">Since October 2019, NRCan has </w:t>
      </w:r>
      <w:r w:rsidR="00BF575E" w:rsidRPr="00D43E1F">
        <w:rPr>
          <w:color w:val="000000"/>
        </w:rPr>
        <w:t xml:space="preserve">submitted </w:t>
      </w:r>
      <w:r w:rsidRPr="00D43E1F">
        <w:rPr>
          <w:color w:val="000000"/>
        </w:rPr>
        <w:t xml:space="preserve">57 </w:t>
      </w:r>
      <w:r w:rsidR="00BF575E" w:rsidRPr="00D43E1F">
        <w:rPr>
          <w:color w:val="000000"/>
        </w:rPr>
        <w:t>inquiries to the SSA</w:t>
      </w:r>
      <w:r w:rsidRPr="00D43E1F">
        <w:rPr>
          <w:color w:val="000000"/>
        </w:rPr>
        <w:t>.</w:t>
      </w:r>
      <w:r w:rsidR="003971A4" w:rsidRPr="00D43E1F">
        <w:t xml:space="preserve"> Many of the organization’s questions were related to COVID-19 (60%) and the temporary measures put in place by the PSC for second language evaluations and interim PSC testing. </w:t>
      </w:r>
      <w:r w:rsidR="00C3275A" w:rsidRPr="00D43E1F">
        <w:rPr>
          <w:color w:val="000000"/>
        </w:rPr>
        <w:t>A</w:t>
      </w:r>
      <w:r w:rsidR="00F74124" w:rsidRPr="00D43E1F">
        <w:rPr>
          <w:color w:val="000000"/>
        </w:rPr>
        <w:t xml:space="preserve"> higher percentage of all inquiries </w:t>
      </w:r>
      <w:r w:rsidR="00D26C85" w:rsidRPr="00D43E1F">
        <w:rPr>
          <w:color w:val="000000"/>
        </w:rPr>
        <w:t xml:space="preserve">were </w:t>
      </w:r>
      <w:r w:rsidR="00F74124" w:rsidRPr="00D43E1F">
        <w:rPr>
          <w:color w:val="000000"/>
        </w:rPr>
        <w:t>related to the Appointment policy, more specifically on the topic of assessments (65%). Th</w:t>
      </w:r>
      <w:r w:rsidR="00D26C85" w:rsidRPr="00D43E1F">
        <w:rPr>
          <w:color w:val="000000"/>
        </w:rPr>
        <w:t xml:space="preserve">ese are </w:t>
      </w:r>
      <w:r w:rsidR="00F74124" w:rsidRPr="00D43E1F">
        <w:rPr>
          <w:color w:val="000000"/>
        </w:rPr>
        <w:t>also reflected in the Covid-19 related questions.</w:t>
      </w:r>
    </w:p>
    <w:p w14:paraId="47912B81" w14:textId="77777777" w:rsidR="001679B0" w:rsidRPr="00D43E1F" w:rsidRDefault="001679B0" w:rsidP="00072A3C">
      <w:pPr>
        <w:pStyle w:val="Heading1"/>
      </w:pPr>
      <w:r w:rsidRPr="00D43E1F">
        <w:t>Oversight</w:t>
      </w:r>
    </w:p>
    <w:p w14:paraId="300A1CB1" w14:textId="77777777" w:rsidR="001679B0" w:rsidRPr="00D43E1F" w:rsidRDefault="001679B0" w:rsidP="008B0074">
      <w:pPr>
        <w:pStyle w:val="Heading2"/>
        <w:spacing w:before="40"/>
        <w:rPr>
          <w:u w:val="single"/>
          <w:lang w:val="en-CA"/>
        </w:rPr>
      </w:pPr>
      <w:r w:rsidRPr="00D43E1F">
        <w:rPr>
          <w:lang w:val="en-CA"/>
        </w:rPr>
        <w:t>Audits</w:t>
      </w:r>
    </w:p>
    <w:p w14:paraId="113C55FB" w14:textId="7B23F9E4" w:rsidR="00CC5803" w:rsidRPr="00D43E1F" w:rsidRDefault="00CC5803" w:rsidP="00072A3C">
      <w:pPr>
        <w:pStyle w:val="NoSpacing"/>
      </w:pPr>
      <w:r w:rsidRPr="00D43E1F">
        <w:t xml:space="preserve">NRCan is not included in any </w:t>
      </w:r>
      <w:r w:rsidR="00CF23B7" w:rsidRPr="00D43E1F">
        <w:t xml:space="preserve">of the </w:t>
      </w:r>
      <w:r w:rsidRPr="00D43E1F">
        <w:t xml:space="preserve">PSC audits that are currently underway. </w:t>
      </w:r>
      <w:r w:rsidR="00CF23B7" w:rsidRPr="00D43E1F">
        <w:t xml:space="preserve">However, the organization was </w:t>
      </w:r>
      <w:r w:rsidRPr="00D43E1F">
        <w:t xml:space="preserve">included in two horizontal audits that were recently completed, including the </w:t>
      </w:r>
      <w:r w:rsidRPr="00D43E1F">
        <w:lastRenderedPageBreak/>
        <w:t xml:space="preserve">Pilot System-Wide Staffing Audit (SWSA) that was published in 2018 and the Horizontal Audit on Credential Validation (HACV) that was published in 2019. </w:t>
      </w:r>
    </w:p>
    <w:p w14:paraId="73C5F98C" w14:textId="165CC569" w:rsidR="00CC5803" w:rsidRPr="00D43E1F" w:rsidRDefault="00CC5803" w:rsidP="00072A3C">
      <w:pPr>
        <w:pStyle w:val="NoSpacing"/>
      </w:pPr>
      <w:r w:rsidRPr="00D43E1F">
        <w:t xml:space="preserve">SWSA was a review of system-wide compliance in staffing. In all, 25 departments and agencies participated in the audit, providing a sample of 386 appointments. Twenty of these appointments were from NRCan. </w:t>
      </w:r>
    </w:p>
    <w:p w14:paraId="54E51E70" w14:textId="77777777" w:rsidR="005E6F92" w:rsidRDefault="00E246BC" w:rsidP="008B0074">
      <w:pPr>
        <w:pStyle w:val="NoSpacing"/>
      </w:pPr>
      <w:r w:rsidRPr="00D43E1F">
        <w:t xml:space="preserve">The </w:t>
      </w:r>
      <w:r w:rsidR="00CC5803" w:rsidRPr="00D43E1F">
        <w:t xml:space="preserve">HACV explored whether public servants had obtained the necessary level of education for their position when they were hired. The audit examined a representative sample of 278 external appointments across 15 departments and agencies. Twenty-three of the appointments </w:t>
      </w:r>
      <w:r w:rsidR="001A2BA0" w:rsidRPr="00D43E1F">
        <w:t xml:space="preserve">from </w:t>
      </w:r>
      <w:r w:rsidR="00CC5803" w:rsidRPr="00D43E1F">
        <w:t>th</w:t>
      </w:r>
      <w:r w:rsidR="001A2BA0" w:rsidRPr="00D43E1F">
        <w:t>is</w:t>
      </w:r>
      <w:r w:rsidR="00CC5803" w:rsidRPr="00D43E1F">
        <w:t xml:space="preserve"> sample were from NRCan.</w:t>
      </w:r>
    </w:p>
    <w:p w14:paraId="580F19F0" w14:textId="77777777" w:rsidR="009F5000" w:rsidRPr="00D43E1F" w:rsidRDefault="009F5000" w:rsidP="008B0074">
      <w:pPr>
        <w:pStyle w:val="Heading2"/>
        <w:spacing w:before="40"/>
        <w:rPr>
          <w:u w:val="single"/>
          <w:lang w:val="en-CA"/>
        </w:rPr>
      </w:pPr>
      <w:r w:rsidRPr="00D43E1F">
        <w:rPr>
          <w:lang w:val="en-CA"/>
        </w:rPr>
        <w:t>Investigations</w:t>
      </w:r>
    </w:p>
    <w:p w14:paraId="302B72F5" w14:textId="4F8B2BFF" w:rsidR="00037889" w:rsidRDefault="00A15A6D" w:rsidP="00072A3C">
      <w:pPr>
        <w:pStyle w:val="NoSpacing"/>
      </w:pPr>
      <w:r w:rsidRPr="00D43E1F">
        <w:t>Two</w:t>
      </w:r>
      <w:r w:rsidR="00A33E1E" w:rsidRPr="00D43E1F">
        <w:t xml:space="preserve"> </w:t>
      </w:r>
      <w:r w:rsidRPr="00D43E1F">
        <w:t xml:space="preserve">investigations were </w:t>
      </w:r>
      <w:r w:rsidR="008B7C1E" w:rsidRPr="00D43E1F">
        <w:t>founded</w:t>
      </w:r>
      <w:r w:rsidRPr="00D43E1F">
        <w:t xml:space="preserve"> following allegations of fraud</w:t>
      </w:r>
      <w:r w:rsidR="00D72D5E" w:rsidRPr="00D43E1F">
        <w:t xml:space="preserve">: one from a </w:t>
      </w:r>
      <w:r w:rsidR="008B7C1E" w:rsidRPr="00D43E1F">
        <w:t xml:space="preserve">2015 </w:t>
      </w:r>
      <w:r w:rsidRPr="00D43E1F">
        <w:t>external advertised appointment process intended to staff an Administrative Assistant position at</w:t>
      </w:r>
      <w:r w:rsidR="00D72D5E" w:rsidRPr="00D43E1F">
        <w:t xml:space="preserve"> the AS-1 group and level; the other </w:t>
      </w:r>
      <w:r w:rsidR="008B7C1E" w:rsidRPr="00D43E1F">
        <w:t xml:space="preserve">from a </w:t>
      </w:r>
      <w:r w:rsidRPr="00D43E1F">
        <w:t xml:space="preserve">2016 internal advertised process to staff a Finance and Procurement Officer </w:t>
      </w:r>
      <w:r w:rsidR="00D72D5E" w:rsidRPr="00D43E1F">
        <w:t>p</w:t>
      </w:r>
      <w:r w:rsidRPr="00D43E1F">
        <w:t xml:space="preserve">osition at the AS-2 group and level. </w:t>
      </w:r>
    </w:p>
    <w:p w14:paraId="0C0AA15C" w14:textId="651E60FD" w:rsidR="00EE25D1" w:rsidRPr="00BE7145" w:rsidRDefault="00EE25D1" w:rsidP="00EE25D1">
      <w:pPr>
        <w:pStyle w:val="Caption"/>
        <w:keepNext/>
        <w:spacing w:after="0"/>
        <w:rPr>
          <w:rFonts w:asciiTheme="minorHAnsi" w:hAnsiTheme="minorHAnsi" w:cstheme="minorHAnsi"/>
          <w:i w:val="0"/>
          <w:iCs w:val="0"/>
          <w:color w:val="auto"/>
        </w:rPr>
      </w:pPr>
      <w:r w:rsidRPr="00BE7145">
        <w:rPr>
          <w:rFonts w:asciiTheme="minorHAnsi" w:hAnsiTheme="minorHAnsi" w:cstheme="minorHAnsi"/>
          <w:i w:val="0"/>
          <w:iCs w:val="0"/>
          <w:color w:val="auto"/>
        </w:rPr>
        <w:t xml:space="preserve">Table </w:t>
      </w:r>
      <w:r w:rsidRPr="00BE7145">
        <w:rPr>
          <w:rFonts w:asciiTheme="minorHAnsi" w:hAnsiTheme="minorHAnsi" w:cstheme="minorHAnsi"/>
          <w:i w:val="0"/>
          <w:iCs w:val="0"/>
          <w:color w:val="auto"/>
        </w:rPr>
        <w:fldChar w:fldCharType="begin"/>
      </w:r>
      <w:r w:rsidRPr="00BE7145">
        <w:rPr>
          <w:rFonts w:asciiTheme="minorHAnsi" w:hAnsiTheme="minorHAnsi" w:cstheme="minorHAnsi"/>
          <w:i w:val="0"/>
          <w:iCs w:val="0"/>
          <w:color w:val="auto"/>
        </w:rPr>
        <w:instrText xml:space="preserve"> SEQ Table \* ARABIC </w:instrText>
      </w:r>
      <w:r w:rsidRPr="00BE7145">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1</w:t>
      </w:r>
      <w:r w:rsidRPr="00BE7145">
        <w:rPr>
          <w:rFonts w:asciiTheme="minorHAnsi" w:hAnsiTheme="minorHAnsi" w:cstheme="minorHAnsi"/>
          <w:i w:val="0"/>
          <w:iCs w:val="0"/>
          <w:color w:val="auto"/>
        </w:rPr>
        <w:fldChar w:fldCharType="end"/>
      </w:r>
      <w:r w:rsidRPr="00BE7145">
        <w:rPr>
          <w:rFonts w:asciiTheme="minorHAnsi" w:hAnsiTheme="minorHAnsi" w:cstheme="minorHAnsi"/>
          <w:i w:val="0"/>
          <w:iCs w:val="0"/>
          <w:color w:val="auto"/>
        </w:rPr>
        <w:t xml:space="preserve"> - Investigations</w:t>
      </w:r>
    </w:p>
    <w:tbl>
      <w:tblPr>
        <w:tblStyle w:val="TableGrid"/>
        <w:tblW w:w="5000" w:type="pct"/>
        <w:jc w:val="center"/>
        <w:tblLook w:val="04A0" w:firstRow="1" w:lastRow="0" w:firstColumn="1" w:lastColumn="0" w:noHBand="0" w:noVBand="1"/>
        <w:tblDescription w:val="Investigations"/>
      </w:tblPr>
      <w:tblGrid>
        <w:gridCol w:w="1827"/>
        <w:gridCol w:w="1109"/>
        <w:gridCol w:w="1511"/>
        <w:gridCol w:w="1149"/>
        <w:gridCol w:w="1346"/>
        <w:gridCol w:w="1315"/>
        <w:gridCol w:w="1093"/>
      </w:tblGrid>
      <w:tr w:rsidR="00EE25D1" w:rsidRPr="0026373F" w14:paraId="1567EE00" w14:textId="77777777" w:rsidTr="00BE7145">
        <w:trPr>
          <w:cantSplit/>
          <w:tblHeader/>
          <w:jc w:val="center"/>
        </w:trPr>
        <w:tc>
          <w:tcPr>
            <w:tcW w:w="977" w:type="pct"/>
            <w:shd w:val="clear" w:color="auto" w:fill="54575A" w:themeFill="text1"/>
          </w:tcPr>
          <w:p w14:paraId="353BF7B5" w14:textId="77777777" w:rsidR="00EE25D1" w:rsidRPr="0026373F" w:rsidRDefault="00EE25D1" w:rsidP="009A3C90">
            <w:pPr>
              <w:pStyle w:val="TableTitle"/>
              <w:rPr>
                <w:rFonts w:cs="Segoe UI Semibold"/>
                <w:color w:val="FFFFFF" w:themeColor="background1"/>
                <w:sz w:val="22"/>
                <w:szCs w:val="22"/>
                <w:lang w:val="en-CA" w:eastAsia="en-CA"/>
              </w:rPr>
            </w:pPr>
            <w:r w:rsidRPr="0026373F">
              <w:rPr>
                <w:rFonts w:cs="Segoe UI Semibold"/>
                <w:color w:val="FFFFFF" w:themeColor="background1"/>
                <w:sz w:val="22"/>
                <w:szCs w:val="22"/>
                <w:lang w:val="en-CA" w:eastAsia="en-CA"/>
              </w:rPr>
              <w:t>Nature of Issue</w:t>
            </w:r>
          </w:p>
        </w:tc>
        <w:tc>
          <w:tcPr>
            <w:tcW w:w="593" w:type="pct"/>
            <w:shd w:val="clear" w:color="auto" w:fill="54575A" w:themeFill="text1"/>
          </w:tcPr>
          <w:p w14:paraId="589AA681" w14:textId="77777777" w:rsidR="00EE25D1" w:rsidRPr="0026373F" w:rsidRDefault="00EE25D1" w:rsidP="009A3C90">
            <w:pPr>
              <w:pStyle w:val="TableTitle"/>
              <w:jc w:val="center"/>
              <w:rPr>
                <w:rFonts w:cs="Segoe UI Semibold"/>
                <w:color w:val="FFFFFF" w:themeColor="background1"/>
                <w:sz w:val="22"/>
                <w:szCs w:val="22"/>
                <w:lang w:val="en-CA" w:eastAsia="en-CA"/>
              </w:rPr>
            </w:pPr>
            <w:r w:rsidRPr="0026373F">
              <w:rPr>
                <w:rFonts w:cs="Segoe UI Semibold"/>
                <w:color w:val="FFFFFF" w:themeColor="background1"/>
                <w:sz w:val="22"/>
                <w:szCs w:val="22"/>
                <w:lang w:val="en-CA" w:eastAsia="en-CA"/>
              </w:rPr>
              <w:t>Cases Received</w:t>
            </w:r>
          </w:p>
        </w:tc>
        <w:tc>
          <w:tcPr>
            <w:tcW w:w="808" w:type="pct"/>
            <w:shd w:val="clear" w:color="auto" w:fill="54575A" w:themeFill="text1"/>
          </w:tcPr>
          <w:p w14:paraId="3FF29534" w14:textId="77777777" w:rsidR="00EE25D1" w:rsidRPr="0026373F" w:rsidRDefault="00EE25D1" w:rsidP="009A3C90">
            <w:pPr>
              <w:pStyle w:val="TableTitle"/>
              <w:jc w:val="center"/>
              <w:rPr>
                <w:rFonts w:cs="Segoe UI Semibold"/>
                <w:color w:val="FFFFFF" w:themeColor="background1"/>
                <w:sz w:val="22"/>
                <w:szCs w:val="22"/>
                <w:lang w:val="en-CA" w:eastAsia="en-CA"/>
              </w:rPr>
            </w:pPr>
            <w:r w:rsidRPr="0026373F">
              <w:rPr>
                <w:rFonts w:cs="Segoe UI Semibold"/>
                <w:color w:val="FFFFFF" w:themeColor="background1"/>
                <w:sz w:val="22"/>
                <w:szCs w:val="22"/>
                <w:lang w:val="en-CA" w:eastAsia="en-CA"/>
              </w:rPr>
              <w:t>Cases Referred by Organization</w:t>
            </w:r>
          </w:p>
        </w:tc>
        <w:tc>
          <w:tcPr>
            <w:tcW w:w="614" w:type="pct"/>
            <w:shd w:val="clear" w:color="auto" w:fill="54575A" w:themeFill="text1"/>
          </w:tcPr>
          <w:p w14:paraId="5852CCC6" w14:textId="77777777" w:rsidR="00EE25D1" w:rsidRPr="0026373F" w:rsidRDefault="00EE25D1" w:rsidP="009A3C90">
            <w:pPr>
              <w:pStyle w:val="TableTitle"/>
              <w:jc w:val="center"/>
              <w:rPr>
                <w:rFonts w:cs="Segoe UI Semibold"/>
                <w:color w:val="FFFFFF" w:themeColor="background1"/>
                <w:sz w:val="22"/>
                <w:szCs w:val="22"/>
                <w:lang w:val="en-CA" w:eastAsia="en-CA"/>
              </w:rPr>
            </w:pPr>
            <w:r w:rsidRPr="0026373F">
              <w:rPr>
                <w:rFonts w:cs="Segoe UI Semibold"/>
                <w:color w:val="FFFFFF" w:themeColor="background1"/>
                <w:sz w:val="22"/>
                <w:szCs w:val="22"/>
                <w:lang w:val="en-CA" w:eastAsia="en-CA"/>
              </w:rPr>
              <w:t>Closed – Not Accepted</w:t>
            </w:r>
          </w:p>
        </w:tc>
        <w:tc>
          <w:tcPr>
            <w:tcW w:w="720" w:type="pct"/>
            <w:shd w:val="clear" w:color="auto" w:fill="54575A" w:themeFill="text1"/>
          </w:tcPr>
          <w:p w14:paraId="7B869C72" w14:textId="77777777" w:rsidR="00EE25D1" w:rsidRPr="0026373F" w:rsidRDefault="00EE25D1" w:rsidP="009A3C90">
            <w:pPr>
              <w:pStyle w:val="TableTitle"/>
              <w:jc w:val="center"/>
              <w:rPr>
                <w:rFonts w:cs="Segoe UI Semibold"/>
                <w:color w:val="FFFFFF" w:themeColor="background1"/>
                <w:sz w:val="22"/>
                <w:szCs w:val="22"/>
                <w:lang w:val="en-CA" w:eastAsia="en-CA"/>
              </w:rPr>
            </w:pPr>
            <w:r w:rsidRPr="0026373F">
              <w:rPr>
                <w:rFonts w:cs="Segoe UI Semibold"/>
                <w:color w:val="FFFFFF" w:themeColor="background1"/>
                <w:sz w:val="22"/>
                <w:szCs w:val="22"/>
                <w:lang w:val="en-CA" w:eastAsia="en-CA"/>
              </w:rPr>
              <w:t>Completed Unfounded</w:t>
            </w:r>
          </w:p>
        </w:tc>
        <w:tc>
          <w:tcPr>
            <w:tcW w:w="703" w:type="pct"/>
            <w:shd w:val="clear" w:color="auto" w:fill="54575A" w:themeFill="text1"/>
          </w:tcPr>
          <w:p w14:paraId="762CBD6B" w14:textId="77777777" w:rsidR="00EE25D1" w:rsidRPr="0026373F" w:rsidRDefault="00EE25D1" w:rsidP="009A3C90">
            <w:pPr>
              <w:pStyle w:val="TableTitle"/>
              <w:jc w:val="center"/>
              <w:rPr>
                <w:rFonts w:cs="Segoe UI Semibold"/>
                <w:color w:val="FFFFFF" w:themeColor="background1"/>
                <w:sz w:val="22"/>
                <w:szCs w:val="22"/>
                <w:lang w:val="en-CA" w:eastAsia="en-CA"/>
              </w:rPr>
            </w:pPr>
            <w:r w:rsidRPr="0026373F">
              <w:rPr>
                <w:rFonts w:cs="Segoe UI Semibold"/>
                <w:color w:val="FFFFFF" w:themeColor="background1"/>
                <w:sz w:val="22"/>
                <w:szCs w:val="22"/>
                <w:lang w:val="en-CA" w:eastAsia="en-CA"/>
              </w:rPr>
              <w:t>Completed Founded</w:t>
            </w:r>
          </w:p>
        </w:tc>
        <w:tc>
          <w:tcPr>
            <w:tcW w:w="584" w:type="pct"/>
            <w:shd w:val="clear" w:color="auto" w:fill="54575A" w:themeFill="text1"/>
          </w:tcPr>
          <w:p w14:paraId="2D6BA364" w14:textId="77777777" w:rsidR="00EE25D1" w:rsidRPr="0026373F" w:rsidRDefault="00EE25D1" w:rsidP="009A3C90">
            <w:pPr>
              <w:pStyle w:val="TableTitle"/>
              <w:jc w:val="center"/>
              <w:rPr>
                <w:rFonts w:cs="Segoe UI Semibold"/>
                <w:color w:val="FFFFFF" w:themeColor="background1"/>
                <w:sz w:val="22"/>
                <w:szCs w:val="22"/>
                <w:lang w:val="en-CA" w:eastAsia="en-CA"/>
              </w:rPr>
            </w:pPr>
            <w:r w:rsidRPr="0026373F">
              <w:rPr>
                <w:rFonts w:cs="Segoe UI Semibold"/>
                <w:color w:val="FFFFFF" w:themeColor="background1"/>
                <w:sz w:val="22"/>
                <w:szCs w:val="22"/>
                <w:lang w:val="en-CA" w:eastAsia="en-CA"/>
              </w:rPr>
              <w:t>Ongoing</w:t>
            </w:r>
          </w:p>
        </w:tc>
      </w:tr>
      <w:tr w:rsidR="00BE7145" w:rsidRPr="00096BD2" w14:paraId="3E21BC5A" w14:textId="77777777" w:rsidTr="00BE7145">
        <w:trPr>
          <w:cantSplit/>
          <w:tblHeader/>
          <w:jc w:val="center"/>
        </w:trPr>
        <w:tc>
          <w:tcPr>
            <w:tcW w:w="977" w:type="pct"/>
            <w:shd w:val="clear" w:color="auto" w:fill="54575A" w:themeFill="text1"/>
          </w:tcPr>
          <w:p w14:paraId="4F223218" w14:textId="77777777" w:rsidR="00EE25D1" w:rsidRPr="00096BD2" w:rsidRDefault="00EE25D1" w:rsidP="009A3C90">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s.66 External Appointments (Merit, Error, Omission, Improper Conduct</w:t>
            </w:r>
          </w:p>
        </w:tc>
        <w:tc>
          <w:tcPr>
            <w:tcW w:w="593" w:type="pct"/>
          </w:tcPr>
          <w:p w14:paraId="6DE8901E" w14:textId="1D0DA3FF"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7</w:t>
            </w:r>
          </w:p>
        </w:tc>
        <w:tc>
          <w:tcPr>
            <w:tcW w:w="808" w:type="pct"/>
          </w:tcPr>
          <w:p w14:paraId="0DEDC118" w14:textId="0C63242A"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2</w:t>
            </w:r>
          </w:p>
        </w:tc>
        <w:tc>
          <w:tcPr>
            <w:tcW w:w="614" w:type="pct"/>
          </w:tcPr>
          <w:p w14:paraId="7515624C" w14:textId="0979701F"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6</w:t>
            </w:r>
          </w:p>
        </w:tc>
        <w:tc>
          <w:tcPr>
            <w:tcW w:w="720" w:type="pct"/>
          </w:tcPr>
          <w:p w14:paraId="506900BC" w14:textId="2A27BC80"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1</w:t>
            </w:r>
          </w:p>
        </w:tc>
        <w:tc>
          <w:tcPr>
            <w:tcW w:w="703" w:type="pct"/>
          </w:tcPr>
          <w:p w14:paraId="674E0157" w14:textId="77777777" w:rsidR="00EE25D1" w:rsidRPr="00096BD2" w:rsidRDefault="00EE25D1" w:rsidP="009A3C90">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584" w:type="pct"/>
          </w:tcPr>
          <w:p w14:paraId="369646AA" w14:textId="77777777" w:rsidR="00EE25D1" w:rsidRPr="00096BD2" w:rsidRDefault="00EE25D1" w:rsidP="009A3C90">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r>
      <w:tr w:rsidR="00BE7145" w:rsidRPr="00096BD2" w14:paraId="3BA10DAB" w14:textId="77777777" w:rsidTr="00BE7145">
        <w:trPr>
          <w:cantSplit/>
          <w:tblHeader/>
          <w:jc w:val="center"/>
        </w:trPr>
        <w:tc>
          <w:tcPr>
            <w:tcW w:w="977" w:type="pct"/>
            <w:shd w:val="clear" w:color="auto" w:fill="54575A" w:themeFill="text1"/>
          </w:tcPr>
          <w:p w14:paraId="21609E42" w14:textId="77777777" w:rsidR="00EE25D1" w:rsidRPr="00096BD2" w:rsidRDefault="00EE25D1" w:rsidP="009A3C90">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s.69 Fraud</w:t>
            </w:r>
          </w:p>
        </w:tc>
        <w:tc>
          <w:tcPr>
            <w:tcW w:w="593" w:type="pct"/>
          </w:tcPr>
          <w:p w14:paraId="12A3FFDA" w14:textId="77777777" w:rsidR="00EE25D1" w:rsidRPr="00096BD2" w:rsidRDefault="00EE25D1" w:rsidP="009A3C90">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c>
          <w:tcPr>
            <w:tcW w:w="808" w:type="pct"/>
          </w:tcPr>
          <w:p w14:paraId="389B18AD" w14:textId="77777777" w:rsidR="00EE25D1" w:rsidRPr="00096BD2" w:rsidRDefault="00EE25D1" w:rsidP="009A3C90">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c>
          <w:tcPr>
            <w:tcW w:w="614" w:type="pct"/>
          </w:tcPr>
          <w:p w14:paraId="310E6D74" w14:textId="668FE5F2"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0</w:t>
            </w:r>
          </w:p>
        </w:tc>
        <w:tc>
          <w:tcPr>
            <w:tcW w:w="720" w:type="pct"/>
          </w:tcPr>
          <w:p w14:paraId="1189D55C" w14:textId="64F92CAC"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2</w:t>
            </w:r>
          </w:p>
        </w:tc>
        <w:tc>
          <w:tcPr>
            <w:tcW w:w="703" w:type="pct"/>
          </w:tcPr>
          <w:p w14:paraId="6FCAD235" w14:textId="78F7868E"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2</w:t>
            </w:r>
          </w:p>
        </w:tc>
        <w:tc>
          <w:tcPr>
            <w:tcW w:w="584" w:type="pct"/>
          </w:tcPr>
          <w:p w14:paraId="52EF2667" w14:textId="3FFED1AA"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1</w:t>
            </w:r>
          </w:p>
        </w:tc>
      </w:tr>
      <w:tr w:rsidR="00BE7145" w:rsidRPr="00096BD2" w14:paraId="04FAC935" w14:textId="77777777" w:rsidTr="00BE7145">
        <w:trPr>
          <w:cantSplit/>
          <w:tblHeader/>
          <w:jc w:val="center"/>
        </w:trPr>
        <w:tc>
          <w:tcPr>
            <w:tcW w:w="977" w:type="pct"/>
            <w:shd w:val="clear" w:color="auto" w:fill="54575A" w:themeFill="text1"/>
          </w:tcPr>
          <w:p w14:paraId="2DA67A6C" w14:textId="77777777" w:rsidR="00EE25D1" w:rsidRPr="00096BD2" w:rsidRDefault="00EE25D1" w:rsidP="009A3C90">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Total</w:t>
            </w:r>
          </w:p>
        </w:tc>
        <w:tc>
          <w:tcPr>
            <w:tcW w:w="593" w:type="pct"/>
          </w:tcPr>
          <w:p w14:paraId="66B33D06" w14:textId="06B89F45"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8</w:t>
            </w:r>
          </w:p>
        </w:tc>
        <w:tc>
          <w:tcPr>
            <w:tcW w:w="808" w:type="pct"/>
          </w:tcPr>
          <w:p w14:paraId="05390D70" w14:textId="1193B359"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3</w:t>
            </w:r>
          </w:p>
        </w:tc>
        <w:tc>
          <w:tcPr>
            <w:tcW w:w="614" w:type="pct"/>
          </w:tcPr>
          <w:p w14:paraId="78C537A2" w14:textId="34A5B76D"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6</w:t>
            </w:r>
          </w:p>
        </w:tc>
        <w:tc>
          <w:tcPr>
            <w:tcW w:w="720" w:type="pct"/>
          </w:tcPr>
          <w:p w14:paraId="40F439AA" w14:textId="7F682DAF"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3</w:t>
            </w:r>
          </w:p>
        </w:tc>
        <w:tc>
          <w:tcPr>
            <w:tcW w:w="703" w:type="pct"/>
          </w:tcPr>
          <w:p w14:paraId="7454F350" w14:textId="521814B1" w:rsidR="00EE25D1" w:rsidRPr="00096BD2" w:rsidRDefault="00EE25D1" w:rsidP="009A3C90">
            <w:pPr>
              <w:pStyle w:val="TableTitle"/>
              <w:jc w:val="center"/>
              <w:rPr>
                <w:rFonts w:asciiTheme="minorHAnsi" w:hAnsiTheme="minorHAnsi" w:cstheme="minorHAnsi"/>
                <w:color w:val="auto"/>
                <w:sz w:val="22"/>
                <w:szCs w:val="22"/>
                <w:lang w:val="en-CA" w:eastAsia="en-CA"/>
              </w:rPr>
            </w:pPr>
            <w:r>
              <w:rPr>
                <w:rFonts w:asciiTheme="minorHAnsi" w:hAnsiTheme="minorHAnsi" w:cstheme="minorHAnsi"/>
                <w:color w:val="auto"/>
                <w:sz w:val="22"/>
                <w:szCs w:val="22"/>
                <w:lang w:val="en-CA" w:eastAsia="en-CA"/>
              </w:rPr>
              <w:t>2</w:t>
            </w:r>
          </w:p>
        </w:tc>
        <w:tc>
          <w:tcPr>
            <w:tcW w:w="584" w:type="pct"/>
          </w:tcPr>
          <w:p w14:paraId="7A074BFB" w14:textId="77777777" w:rsidR="00EE25D1" w:rsidRPr="00096BD2" w:rsidRDefault="00EE25D1" w:rsidP="009A3C90">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r>
    </w:tbl>
    <w:p w14:paraId="2923B552" w14:textId="001E39DE" w:rsidR="00EE25D1" w:rsidRDefault="00EE25D1" w:rsidP="00072A3C">
      <w:pPr>
        <w:pStyle w:val="NoSpacing"/>
      </w:pPr>
      <w:r w:rsidRPr="00EE25D1">
        <w:rPr>
          <w:lang w:eastAsia="en-CA"/>
        </w:rPr>
        <w:t>Note: The numbers may not add up as discontinued cases and cases resolved via early intervention are not included in this table.</w:t>
      </w:r>
    </w:p>
    <w:p w14:paraId="33524615" w14:textId="6966B253" w:rsidR="00EE25D1" w:rsidRPr="00D43E1F" w:rsidRDefault="00EE25D1" w:rsidP="00072A3C">
      <w:pPr>
        <w:pStyle w:val="NoSpacing"/>
      </w:pPr>
      <w:r w:rsidRPr="00EE25D1">
        <w:rPr>
          <w:lang w:eastAsia="en-CA"/>
        </w:rPr>
        <w:t>Note: Each column is an independent calculation of the others. Cases received are cases received in the time period, cases completed are those completed in the period, not necessarily cases completed out of those received.</w:t>
      </w:r>
    </w:p>
    <w:p w14:paraId="3B9724AB" w14:textId="77777777" w:rsidR="00C14ACA" w:rsidRPr="00D43E1F" w:rsidRDefault="00C14ACA" w:rsidP="00EE25D1">
      <w:pPr>
        <w:pStyle w:val="Heading2"/>
        <w:spacing w:before="40"/>
        <w:rPr>
          <w:u w:val="single"/>
          <w:lang w:val="en-CA"/>
        </w:rPr>
      </w:pPr>
      <w:r w:rsidRPr="00D43E1F">
        <w:rPr>
          <w:lang w:val="en-CA"/>
        </w:rPr>
        <w:t>Staffing and Non-Partisanship Survey Results</w:t>
      </w:r>
    </w:p>
    <w:p w14:paraId="47B1FE2D" w14:textId="77777777" w:rsidR="00380BDE" w:rsidRPr="00D43E1F" w:rsidRDefault="00380BDE" w:rsidP="002D3DA7">
      <w:pPr>
        <w:pStyle w:val="NoSpacing"/>
      </w:pPr>
      <w:r w:rsidRPr="00D43E1F">
        <w:t>Overall, NRCan’s Staffing and Non-Partisanship Survey (SNPS) results are similar in comparison with other large organizations and the public service.</w:t>
      </w:r>
    </w:p>
    <w:p w14:paraId="23483099" w14:textId="188DEA9C" w:rsidR="00304BC2" w:rsidRPr="00D43E1F" w:rsidRDefault="009850B7" w:rsidP="002D3DA7">
      <w:pPr>
        <w:pStyle w:val="NoSpacing"/>
      </w:pPr>
      <w:r w:rsidRPr="00D43E1F">
        <w:t>44.3</w:t>
      </w:r>
      <w:r w:rsidR="00304BC2" w:rsidRPr="00D43E1F">
        <w:t>% of NRCan employees completed the 2018 SN</w:t>
      </w:r>
      <w:r w:rsidRPr="00D43E1F">
        <w:t>PS, compared to 47.6 % for the public s</w:t>
      </w:r>
      <w:r w:rsidR="00304BC2" w:rsidRPr="00D43E1F">
        <w:t>ervice in general.</w:t>
      </w:r>
    </w:p>
    <w:p w14:paraId="3081DF17" w14:textId="5BB954E5" w:rsidR="00380BDE" w:rsidRPr="00D43E1F" w:rsidRDefault="007378D3" w:rsidP="00EE25D1">
      <w:pPr>
        <w:pStyle w:val="NoSpacing"/>
        <w:spacing w:after="0"/>
      </w:pPr>
      <w:r w:rsidRPr="00D43E1F">
        <w:t xml:space="preserve">Below are key findings from </w:t>
      </w:r>
      <w:r w:rsidR="009C285D" w:rsidRPr="00D43E1F">
        <w:t>NRCan</w:t>
      </w:r>
      <w:r w:rsidR="0010202F" w:rsidRPr="00D43E1F">
        <w:t>’</w:t>
      </w:r>
      <w:r w:rsidRPr="00D43E1F">
        <w:t xml:space="preserve">s 2018 </w:t>
      </w:r>
      <w:r w:rsidR="00DC0DFE" w:rsidRPr="00D43E1F">
        <w:t>SNPS results:</w:t>
      </w:r>
    </w:p>
    <w:p w14:paraId="1B534332" w14:textId="1A4F31F1" w:rsidR="00DC0DFE" w:rsidRPr="00D43E1F" w:rsidRDefault="00DC0DFE" w:rsidP="0074458B">
      <w:pPr>
        <w:pStyle w:val="NoSpacing"/>
        <w:numPr>
          <w:ilvl w:val="0"/>
          <w:numId w:val="17"/>
        </w:numPr>
        <w:spacing w:after="0"/>
        <w:ind w:left="714" w:hanging="357"/>
      </w:pPr>
      <w:r w:rsidRPr="00D43E1F">
        <w:lastRenderedPageBreak/>
        <w:t xml:space="preserve">64.6% of </w:t>
      </w:r>
      <w:r w:rsidRPr="00B77BEE">
        <w:rPr>
          <w:rStyle w:val="Strong"/>
        </w:rPr>
        <w:t>employees</w:t>
      </w:r>
      <w:r w:rsidRPr="00D43E1F">
        <w:t xml:space="preserve"> agreed that people hired can do the job, compared to 52.3% in organizations of similar size, and 53.8% in the federal public service</w:t>
      </w:r>
      <w:r w:rsidR="00DA5149" w:rsidRPr="00D43E1F">
        <w:t>.</w:t>
      </w:r>
    </w:p>
    <w:p w14:paraId="5EBF5D66" w14:textId="1EC60BA5" w:rsidR="00DC0DFE" w:rsidRPr="00D43E1F" w:rsidRDefault="00DC0DFE" w:rsidP="0074458B">
      <w:pPr>
        <w:pStyle w:val="NoSpacing"/>
        <w:numPr>
          <w:ilvl w:val="0"/>
          <w:numId w:val="17"/>
        </w:numPr>
        <w:spacing w:after="0"/>
        <w:ind w:left="714" w:hanging="357"/>
      </w:pPr>
      <w:r w:rsidRPr="00D43E1F">
        <w:t xml:space="preserve">55.5% of </w:t>
      </w:r>
      <w:r w:rsidRPr="00B77BEE">
        <w:rPr>
          <w:rStyle w:val="Strong"/>
        </w:rPr>
        <w:t>managers</w:t>
      </w:r>
      <w:r w:rsidRPr="00D43E1F">
        <w:t xml:space="preserve"> agreed that the </w:t>
      </w:r>
      <w:r w:rsidR="00AE4739" w:rsidRPr="00D43E1F">
        <w:t>NDS</w:t>
      </w:r>
      <w:r w:rsidRPr="00D43E1F">
        <w:t xml:space="preserve"> has improved the way they hire and appoint persons to and within their organization, compared to 54.4% in organizations of similar size, and 56.1% in the federal public service</w:t>
      </w:r>
      <w:r w:rsidR="00DA5149" w:rsidRPr="00D43E1F">
        <w:t>.</w:t>
      </w:r>
    </w:p>
    <w:p w14:paraId="6471E8CD" w14:textId="77777777" w:rsidR="005E6F92" w:rsidRDefault="00DC0DFE" w:rsidP="00EE25D1">
      <w:pPr>
        <w:pStyle w:val="NoSpacing"/>
        <w:numPr>
          <w:ilvl w:val="0"/>
          <w:numId w:val="17"/>
        </w:numPr>
      </w:pPr>
      <w:r w:rsidRPr="00D43E1F">
        <w:t xml:space="preserve">89.1% of </w:t>
      </w:r>
      <w:r w:rsidRPr="00B77BEE">
        <w:rPr>
          <w:rStyle w:val="Strong"/>
        </w:rPr>
        <w:t>managers</w:t>
      </w:r>
      <w:r w:rsidRPr="00D43E1F">
        <w:t xml:space="preserve"> agreed that within their organization, the administrative process to staff a position is burdensome, compared to 88.6% in organizations of similar size, and 87.9% in the federal public service</w:t>
      </w:r>
      <w:r w:rsidR="00DA5149" w:rsidRPr="00D43E1F">
        <w:t>.</w:t>
      </w:r>
    </w:p>
    <w:p w14:paraId="1FC8D986" w14:textId="77777777" w:rsidR="00C14ACA" w:rsidRPr="00EE25D1" w:rsidRDefault="00C14ACA" w:rsidP="002D3DA7">
      <w:pPr>
        <w:pStyle w:val="Heading1"/>
      </w:pPr>
      <w:r w:rsidRPr="00EE25D1">
        <w:t>Diversity Profile</w:t>
      </w:r>
    </w:p>
    <w:p w14:paraId="5E0EC729" w14:textId="11F33F5C" w:rsidR="000465B2" w:rsidRPr="00D43E1F" w:rsidRDefault="00C75177" w:rsidP="00EE25D1">
      <w:pPr>
        <w:pStyle w:val="NoSpacing"/>
        <w:spacing w:after="0"/>
        <w:rPr>
          <w:rStyle w:val="Style3"/>
          <w:rFonts w:asciiTheme="minorHAnsi" w:hAnsiTheme="minorHAnsi"/>
        </w:rPr>
      </w:pPr>
      <w:r w:rsidRPr="00D43E1F">
        <w:t>NRCan</w:t>
      </w:r>
      <w:r w:rsidR="000465B2" w:rsidRPr="00D43E1F">
        <w:t xml:space="preserve"> is slightly above the representation for members of visible minorities</w:t>
      </w:r>
      <w:r w:rsidRPr="00D43E1F">
        <w:t xml:space="preserve">, but </w:t>
      </w:r>
      <w:r w:rsidR="000465B2" w:rsidRPr="00D43E1F">
        <w:rPr>
          <w:rStyle w:val="Style3"/>
          <w:rFonts w:asciiTheme="minorHAnsi" w:hAnsiTheme="minorHAnsi"/>
        </w:rPr>
        <w:t xml:space="preserve">is below workforce availability </w:t>
      </w:r>
      <w:r w:rsidRPr="00D43E1F">
        <w:rPr>
          <w:rStyle w:val="Style3"/>
          <w:rFonts w:asciiTheme="minorHAnsi" w:hAnsiTheme="minorHAnsi"/>
        </w:rPr>
        <w:t xml:space="preserve">(WFA) </w:t>
      </w:r>
      <w:r w:rsidR="000465B2" w:rsidRPr="00D43E1F">
        <w:rPr>
          <w:rStyle w:val="Style3"/>
          <w:rFonts w:asciiTheme="minorHAnsi" w:hAnsiTheme="minorHAnsi"/>
        </w:rPr>
        <w:t>for:</w:t>
      </w:r>
    </w:p>
    <w:p w14:paraId="77FB61DB" w14:textId="54796E2F" w:rsidR="000465B2" w:rsidRPr="00D43E1F" w:rsidRDefault="00BC2499" w:rsidP="0074458B">
      <w:pPr>
        <w:pStyle w:val="NoSpacing"/>
        <w:numPr>
          <w:ilvl w:val="0"/>
          <w:numId w:val="18"/>
        </w:numPr>
        <w:spacing w:after="0"/>
      </w:pPr>
      <w:r w:rsidRPr="00D43E1F">
        <w:t>W</w:t>
      </w:r>
      <w:r w:rsidR="000465B2" w:rsidRPr="00D43E1F">
        <w:t>omen, who represent 46.5% or its workforce, while the WFA is 52.7%;</w:t>
      </w:r>
    </w:p>
    <w:p w14:paraId="01E61954" w14:textId="77777777" w:rsidR="000465B2" w:rsidRPr="00D43E1F" w:rsidRDefault="000465B2" w:rsidP="0074458B">
      <w:pPr>
        <w:pStyle w:val="NoSpacing"/>
        <w:numPr>
          <w:ilvl w:val="0"/>
          <w:numId w:val="18"/>
        </w:numPr>
        <w:spacing w:after="0"/>
      </w:pPr>
      <w:r w:rsidRPr="00D43E1F">
        <w:t>Aboriginal peoples, who represent 2.6% of its workforce, while the WFA is 4.0%;</w:t>
      </w:r>
    </w:p>
    <w:p w14:paraId="73666E46" w14:textId="77777777" w:rsidR="000465B2" w:rsidRPr="00D43E1F" w:rsidRDefault="000465B2" w:rsidP="0074458B">
      <w:pPr>
        <w:pStyle w:val="NoSpacing"/>
        <w:numPr>
          <w:ilvl w:val="0"/>
          <w:numId w:val="18"/>
        </w:numPr>
        <w:rPr>
          <w:rStyle w:val="Style3"/>
          <w:rFonts w:asciiTheme="minorHAnsi" w:hAnsiTheme="minorHAnsi"/>
        </w:rPr>
      </w:pPr>
      <w:r w:rsidRPr="00D43E1F">
        <w:t>Persons</w:t>
      </w:r>
      <w:r w:rsidRPr="00D43E1F">
        <w:rPr>
          <w:rStyle w:val="Style3"/>
          <w:rFonts w:asciiTheme="minorHAnsi" w:hAnsiTheme="minorHAnsi"/>
        </w:rPr>
        <w:t xml:space="preserve"> with disabilities, who represent 4.5% of its workforce, while the WFA is 9.0%.</w:t>
      </w:r>
    </w:p>
    <w:p w14:paraId="3BA16D91" w14:textId="77777777" w:rsidR="000465B2" w:rsidRPr="00D43E1F" w:rsidRDefault="000465B2" w:rsidP="002D3DA7">
      <w:pPr>
        <w:pStyle w:val="NoSpacing"/>
      </w:pPr>
      <w:r w:rsidRPr="00D43E1F">
        <w:t>The organization should take action to close the gap for women, Aboriginal peoples and persons with disabilities and continue to make merit-based appointments of members of the designated groups when required to ensure ongoing representativeness of its workforce.</w:t>
      </w:r>
    </w:p>
    <w:p w14:paraId="67E7E023" w14:textId="31F6AF3D" w:rsidR="00BE7145" w:rsidRPr="00BE7145" w:rsidRDefault="00BE7145" w:rsidP="00BE7145">
      <w:pPr>
        <w:pStyle w:val="Caption"/>
        <w:keepNext/>
        <w:spacing w:after="0"/>
        <w:rPr>
          <w:rFonts w:asciiTheme="minorHAnsi" w:hAnsiTheme="minorHAnsi" w:cstheme="minorHAnsi"/>
          <w:i w:val="0"/>
          <w:iCs w:val="0"/>
          <w:color w:val="auto"/>
        </w:rPr>
      </w:pPr>
      <w:r w:rsidRPr="00BE7145">
        <w:rPr>
          <w:rFonts w:asciiTheme="minorHAnsi" w:hAnsiTheme="minorHAnsi" w:cstheme="minorHAnsi"/>
          <w:i w:val="0"/>
          <w:iCs w:val="0"/>
          <w:color w:val="auto"/>
        </w:rPr>
        <w:t xml:space="preserve">Table </w:t>
      </w:r>
      <w:r w:rsidRPr="00BE7145">
        <w:rPr>
          <w:rFonts w:asciiTheme="minorHAnsi" w:hAnsiTheme="minorHAnsi" w:cstheme="minorHAnsi"/>
          <w:i w:val="0"/>
          <w:iCs w:val="0"/>
          <w:color w:val="auto"/>
        </w:rPr>
        <w:fldChar w:fldCharType="begin"/>
      </w:r>
      <w:r w:rsidRPr="00BE7145">
        <w:rPr>
          <w:rFonts w:asciiTheme="minorHAnsi" w:hAnsiTheme="minorHAnsi" w:cstheme="minorHAnsi"/>
          <w:i w:val="0"/>
          <w:iCs w:val="0"/>
          <w:color w:val="auto"/>
        </w:rPr>
        <w:instrText xml:space="preserve"> SEQ Table \* ARABIC </w:instrText>
      </w:r>
      <w:r w:rsidRPr="00BE7145">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2</w:t>
      </w:r>
      <w:r w:rsidRPr="00BE7145">
        <w:rPr>
          <w:rFonts w:asciiTheme="minorHAnsi" w:hAnsiTheme="minorHAnsi" w:cstheme="minorHAnsi"/>
          <w:i w:val="0"/>
          <w:iCs w:val="0"/>
          <w:color w:val="auto"/>
        </w:rPr>
        <w:fldChar w:fldCharType="end"/>
      </w:r>
      <w:r w:rsidRPr="00BE7145">
        <w:rPr>
          <w:rFonts w:asciiTheme="minorHAnsi" w:hAnsiTheme="minorHAnsi" w:cstheme="minorHAnsi"/>
          <w:i w:val="0"/>
          <w:iCs w:val="0"/>
          <w:color w:val="auto"/>
        </w:rPr>
        <w:t xml:space="preserve"> - Diversity Profile</w:t>
      </w:r>
    </w:p>
    <w:tbl>
      <w:tblPr>
        <w:tblStyle w:val="Grilledutableau1"/>
        <w:tblW w:w="5000" w:type="pct"/>
        <w:tblLook w:val="04A0" w:firstRow="1" w:lastRow="0" w:firstColumn="1" w:lastColumn="0" w:noHBand="0" w:noVBand="1"/>
        <w:tblCaption w:val="Diversity Profile"/>
      </w:tblPr>
      <w:tblGrid>
        <w:gridCol w:w="2337"/>
        <w:gridCol w:w="2337"/>
        <w:gridCol w:w="2338"/>
        <w:gridCol w:w="2338"/>
      </w:tblGrid>
      <w:tr w:rsidR="002676D9" w:rsidRPr="002676D9" w14:paraId="0307C3D8" w14:textId="77777777" w:rsidTr="0096103C">
        <w:trPr>
          <w:trHeight w:val="759"/>
        </w:trPr>
        <w:tc>
          <w:tcPr>
            <w:tcW w:w="1250" w:type="pct"/>
            <w:shd w:val="clear" w:color="auto" w:fill="54575A" w:themeFill="text1"/>
            <w:hideMark/>
          </w:tcPr>
          <w:p w14:paraId="5304383B" w14:textId="77777777" w:rsidR="002D3DA7" w:rsidRPr="002676D9" w:rsidRDefault="002D3DA7" w:rsidP="002676D9">
            <w:pPr>
              <w:pStyle w:val="TableTitle"/>
              <w:rPr>
                <w:rFonts w:cs="Segoe UI Semibold"/>
                <w:color w:val="FFFFFF" w:themeColor="background1"/>
                <w:sz w:val="22"/>
                <w:szCs w:val="22"/>
                <w:lang w:val="en-CA"/>
              </w:rPr>
            </w:pPr>
            <w:r w:rsidRPr="002676D9">
              <w:rPr>
                <w:rFonts w:cs="Segoe UI Semibold"/>
                <w:color w:val="FFFFFF" w:themeColor="background1"/>
                <w:sz w:val="22"/>
                <w:szCs w:val="22"/>
                <w:lang w:val="en-CA"/>
              </w:rPr>
              <w:t>Designated Group</w:t>
            </w:r>
          </w:p>
        </w:tc>
        <w:tc>
          <w:tcPr>
            <w:tcW w:w="1250" w:type="pct"/>
            <w:shd w:val="clear" w:color="auto" w:fill="54575A" w:themeFill="text1"/>
            <w:hideMark/>
          </w:tcPr>
          <w:p w14:paraId="63EE1542" w14:textId="77777777" w:rsidR="002D3DA7" w:rsidRPr="002676D9" w:rsidRDefault="002D3DA7" w:rsidP="002676D9">
            <w:pPr>
              <w:pStyle w:val="TableTitle"/>
              <w:rPr>
                <w:rFonts w:cs="Segoe UI Semibold"/>
                <w:color w:val="FFFFFF" w:themeColor="background1"/>
                <w:sz w:val="22"/>
                <w:szCs w:val="22"/>
                <w:lang w:val="en-CA"/>
              </w:rPr>
            </w:pPr>
            <w:r w:rsidRPr="002676D9">
              <w:rPr>
                <w:rFonts w:cs="Segoe UI Semibold"/>
                <w:color w:val="FFFFFF" w:themeColor="background1"/>
                <w:sz w:val="22"/>
                <w:szCs w:val="22"/>
                <w:lang w:val="en-CA"/>
              </w:rPr>
              <w:t>Public Service</w:t>
            </w:r>
          </w:p>
          <w:p w14:paraId="3FB27F69" w14:textId="77777777" w:rsidR="002D3DA7" w:rsidRPr="002676D9" w:rsidRDefault="002D3DA7" w:rsidP="002676D9">
            <w:pPr>
              <w:pStyle w:val="TableTitle"/>
              <w:rPr>
                <w:rFonts w:cs="Segoe UI Semibold"/>
                <w:color w:val="FFFFFF" w:themeColor="background1"/>
                <w:sz w:val="22"/>
                <w:szCs w:val="22"/>
                <w:lang w:val="en-CA"/>
              </w:rPr>
            </w:pPr>
            <w:r w:rsidRPr="002676D9">
              <w:rPr>
                <w:rFonts w:cs="Segoe UI Semibold"/>
                <w:color w:val="FFFFFF" w:themeColor="background1"/>
                <w:sz w:val="22"/>
                <w:szCs w:val="22"/>
                <w:lang w:val="en-CA"/>
              </w:rPr>
              <w:t>Work Force Availability (WFA)</w:t>
            </w:r>
          </w:p>
        </w:tc>
        <w:tc>
          <w:tcPr>
            <w:tcW w:w="1250" w:type="pct"/>
            <w:shd w:val="clear" w:color="auto" w:fill="BF3C00"/>
            <w:hideMark/>
          </w:tcPr>
          <w:p w14:paraId="3DCEB157" w14:textId="77777777" w:rsidR="002D3DA7" w:rsidRPr="002676D9" w:rsidRDefault="002D3DA7" w:rsidP="002676D9">
            <w:pPr>
              <w:pStyle w:val="TableTitle"/>
              <w:rPr>
                <w:rFonts w:cs="Segoe UI Semibold"/>
                <w:color w:val="FFFFFF" w:themeColor="background1"/>
                <w:sz w:val="22"/>
                <w:szCs w:val="22"/>
                <w:lang w:val="en-CA"/>
              </w:rPr>
            </w:pPr>
            <w:r w:rsidRPr="002676D9">
              <w:rPr>
                <w:rFonts w:cs="Segoe UI Semibold"/>
                <w:color w:val="FFFFFF" w:themeColor="background1"/>
                <w:sz w:val="22"/>
                <w:szCs w:val="22"/>
                <w:lang w:val="en-CA"/>
              </w:rPr>
              <w:t>Natural Resources Canada</w:t>
            </w:r>
          </w:p>
        </w:tc>
        <w:tc>
          <w:tcPr>
            <w:tcW w:w="1250" w:type="pct"/>
            <w:shd w:val="clear" w:color="auto" w:fill="54575A" w:themeFill="text1"/>
            <w:hideMark/>
          </w:tcPr>
          <w:p w14:paraId="7BABA5E2" w14:textId="12ED9216" w:rsidR="002D3DA7" w:rsidRPr="002676D9" w:rsidRDefault="002D3DA7" w:rsidP="005E6F92">
            <w:pPr>
              <w:pStyle w:val="TableTitle"/>
              <w:rPr>
                <w:rFonts w:cs="Segoe UI Semibold"/>
                <w:color w:val="FFFFFF" w:themeColor="background1"/>
                <w:sz w:val="22"/>
                <w:szCs w:val="22"/>
                <w:lang w:val="en-CA"/>
              </w:rPr>
            </w:pPr>
            <w:r w:rsidRPr="002676D9">
              <w:rPr>
                <w:rFonts w:cs="Segoe UI Semibold"/>
                <w:color w:val="FFFFFF" w:themeColor="background1"/>
                <w:sz w:val="22"/>
                <w:szCs w:val="22"/>
                <w:lang w:val="en-CA"/>
              </w:rPr>
              <w:t>Representation across the  Public Service of Canada</w:t>
            </w:r>
          </w:p>
        </w:tc>
      </w:tr>
      <w:tr w:rsidR="002D3DA7" w:rsidRPr="005E6F92" w14:paraId="236CD6B4" w14:textId="77777777" w:rsidTr="0096103C">
        <w:tc>
          <w:tcPr>
            <w:tcW w:w="1250" w:type="pct"/>
            <w:shd w:val="clear" w:color="auto" w:fill="54575A" w:themeFill="text1"/>
            <w:hideMark/>
          </w:tcPr>
          <w:p w14:paraId="5BF0E8F1" w14:textId="77777777" w:rsidR="002D3DA7" w:rsidRPr="005E6F92" w:rsidRDefault="002D3DA7" w:rsidP="009A3C90">
            <w:pPr>
              <w:spacing w:before="120"/>
              <w:rPr>
                <w:rFonts w:asciiTheme="minorHAnsi" w:hAnsiTheme="minorHAnsi" w:cstheme="minorHAnsi"/>
                <w:color w:val="FFFFFF" w:themeColor="background1"/>
                <w:sz w:val="22"/>
                <w:szCs w:val="22"/>
                <w:lang w:val="en-CA"/>
              </w:rPr>
            </w:pPr>
            <w:r w:rsidRPr="005E6F92">
              <w:rPr>
                <w:rFonts w:asciiTheme="minorHAnsi" w:hAnsiTheme="minorHAnsi" w:cstheme="minorHAnsi"/>
                <w:color w:val="FFFFFF" w:themeColor="background1"/>
                <w:sz w:val="22"/>
                <w:szCs w:val="22"/>
                <w:lang w:val="en-CA"/>
              </w:rPr>
              <w:t>Women</w:t>
            </w:r>
          </w:p>
        </w:tc>
        <w:tc>
          <w:tcPr>
            <w:tcW w:w="1250" w:type="pct"/>
            <w:hideMark/>
          </w:tcPr>
          <w:p w14:paraId="44255D97" w14:textId="77777777" w:rsidR="002D3DA7" w:rsidRPr="005E6F92" w:rsidRDefault="002D3DA7" w:rsidP="009A3C90">
            <w:pPr>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52.7%</w:t>
            </w:r>
          </w:p>
        </w:tc>
        <w:tc>
          <w:tcPr>
            <w:tcW w:w="1250" w:type="pct"/>
          </w:tcPr>
          <w:p w14:paraId="688433E2" w14:textId="77777777" w:rsidR="002D3DA7" w:rsidRPr="005E6F92" w:rsidRDefault="002D3DA7" w:rsidP="009A3C90">
            <w:pPr>
              <w:autoSpaceDE w:val="0"/>
              <w:autoSpaceDN w:val="0"/>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sym w:font="Symbol" w:char="F0AF"/>
            </w:r>
            <w:r w:rsidRPr="005E6F92">
              <w:rPr>
                <w:rFonts w:asciiTheme="minorHAnsi" w:hAnsiTheme="minorHAnsi" w:cstheme="minorHAnsi"/>
                <w:sz w:val="22"/>
                <w:szCs w:val="22"/>
                <w:lang w:val="en-CA"/>
              </w:rPr>
              <w:t xml:space="preserve">  46.5%</w:t>
            </w:r>
          </w:p>
        </w:tc>
        <w:tc>
          <w:tcPr>
            <w:tcW w:w="1250" w:type="pct"/>
            <w:hideMark/>
          </w:tcPr>
          <w:p w14:paraId="32C750A0" w14:textId="77777777" w:rsidR="002D3DA7" w:rsidRPr="005E6F92" w:rsidRDefault="002D3DA7" w:rsidP="009A3C90">
            <w:pPr>
              <w:autoSpaceDE w:val="0"/>
              <w:autoSpaceDN w:val="0"/>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54.8%</w:t>
            </w:r>
          </w:p>
        </w:tc>
      </w:tr>
      <w:tr w:rsidR="002D3DA7" w:rsidRPr="005E6F92" w14:paraId="3AC2223C" w14:textId="77777777" w:rsidTr="0096103C">
        <w:tc>
          <w:tcPr>
            <w:tcW w:w="1250" w:type="pct"/>
            <w:shd w:val="clear" w:color="auto" w:fill="54575A" w:themeFill="text1"/>
            <w:hideMark/>
          </w:tcPr>
          <w:p w14:paraId="2175834C" w14:textId="77777777" w:rsidR="002D3DA7" w:rsidRPr="005E6F92" w:rsidRDefault="002D3DA7" w:rsidP="009A3C90">
            <w:pPr>
              <w:spacing w:before="120"/>
              <w:rPr>
                <w:rFonts w:asciiTheme="minorHAnsi" w:hAnsiTheme="minorHAnsi" w:cstheme="minorHAnsi"/>
                <w:color w:val="FFFFFF" w:themeColor="background1"/>
                <w:sz w:val="22"/>
                <w:szCs w:val="22"/>
                <w:lang w:val="en-CA"/>
              </w:rPr>
            </w:pPr>
            <w:r w:rsidRPr="005E6F92">
              <w:rPr>
                <w:rFonts w:asciiTheme="minorHAnsi" w:hAnsiTheme="minorHAnsi" w:cstheme="minorHAnsi"/>
                <w:color w:val="FFFFFF" w:themeColor="background1"/>
                <w:sz w:val="22"/>
                <w:szCs w:val="22"/>
                <w:lang w:val="en-CA"/>
              </w:rPr>
              <w:t>Aboriginal Peoples</w:t>
            </w:r>
          </w:p>
        </w:tc>
        <w:tc>
          <w:tcPr>
            <w:tcW w:w="1250" w:type="pct"/>
            <w:hideMark/>
          </w:tcPr>
          <w:p w14:paraId="343AAE29" w14:textId="77777777" w:rsidR="002D3DA7" w:rsidRPr="005E6F92" w:rsidRDefault="002D3DA7" w:rsidP="009A3C90">
            <w:pPr>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4.0%</w:t>
            </w:r>
          </w:p>
        </w:tc>
        <w:tc>
          <w:tcPr>
            <w:tcW w:w="1250" w:type="pct"/>
          </w:tcPr>
          <w:p w14:paraId="4A383389" w14:textId="77777777" w:rsidR="002D3DA7" w:rsidRPr="005E6F92" w:rsidRDefault="002D3DA7" w:rsidP="009A3C90">
            <w:pPr>
              <w:autoSpaceDE w:val="0"/>
              <w:autoSpaceDN w:val="0"/>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sym w:font="Symbol" w:char="F0AF"/>
            </w:r>
            <w:r w:rsidRPr="005E6F92">
              <w:rPr>
                <w:rFonts w:asciiTheme="minorHAnsi" w:hAnsiTheme="minorHAnsi" w:cstheme="minorHAnsi"/>
                <w:sz w:val="22"/>
                <w:szCs w:val="22"/>
                <w:lang w:val="en-CA"/>
              </w:rPr>
              <w:t xml:space="preserve">   2.6%</w:t>
            </w:r>
          </w:p>
        </w:tc>
        <w:tc>
          <w:tcPr>
            <w:tcW w:w="1250" w:type="pct"/>
            <w:hideMark/>
          </w:tcPr>
          <w:p w14:paraId="691DE409" w14:textId="77777777" w:rsidR="002D3DA7" w:rsidRPr="005E6F92" w:rsidRDefault="002D3DA7" w:rsidP="009A3C90">
            <w:pPr>
              <w:autoSpaceDE w:val="0"/>
              <w:autoSpaceDN w:val="0"/>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5.1%</w:t>
            </w:r>
          </w:p>
        </w:tc>
      </w:tr>
      <w:tr w:rsidR="002D3DA7" w:rsidRPr="005E6F92" w14:paraId="11D7C186" w14:textId="77777777" w:rsidTr="0096103C">
        <w:trPr>
          <w:trHeight w:val="598"/>
        </w:trPr>
        <w:tc>
          <w:tcPr>
            <w:tcW w:w="1250" w:type="pct"/>
            <w:shd w:val="clear" w:color="auto" w:fill="54575A" w:themeFill="text1"/>
            <w:hideMark/>
          </w:tcPr>
          <w:p w14:paraId="44A82007" w14:textId="77777777" w:rsidR="002D3DA7" w:rsidRPr="005E6F92" w:rsidRDefault="002D3DA7" w:rsidP="009A3C90">
            <w:pPr>
              <w:spacing w:before="120"/>
              <w:rPr>
                <w:rFonts w:asciiTheme="minorHAnsi" w:hAnsiTheme="minorHAnsi" w:cstheme="minorHAnsi"/>
                <w:color w:val="FFFFFF" w:themeColor="background1"/>
                <w:sz w:val="22"/>
                <w:szCs w:val="22"/>
                <w:lang w:val="en-CA"/>
              </w:rPr>
            </w:pPr>
            <w:r w:rsidRPr="005E6F92">
              <w:rPr>
                <w:rFonts w:asciiTheme="minorHAnsi" w:hAnsiTheme="minorHAnsi" w:cstheme="minorHAnsi"/>
                <w:color w:val="FFFFFF" w:themeColor="background1"/>
                <w:sz w:val="22"/>
                <w:szCs w:val="22"/>
                <w:lang w:val="en-CA"/>
              </w:rPr>
              <w:t>Persons with Disabilities</w:t>
            </w:r>
          </w:p>
        </w:tc>
        <w:tc>
          <w:tcPr>
            <w:tcW w:w="1250" w:type="pct"/>
            <w:hideMark/>
          </w:tcPr>
          <w:p w14:paraId="00E18A48" w14:textId="77777777" w:rsidR="002D3DA7" w:rsidRPr="005E6F92" w:rsidRDefault="002D3DA7" w:rsidP="009A3C90">
            <w:pPr>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9.0%</w:t>
            </w:r>
          </w:p>
        </w:tc>
        <w:tc>
          <w:tcPr>
            <w:tcW w:w="1250" w:type="pct"/>
          </w:tcPr>
          <w:p w14:paraId="6782A88C" w14:textId="77777777" w:rsidR="002D3DA7" w:rsidRPr="005E6F92" w:rsidRDefault="002D3DA7" w:rsidP="009A3C90">
            <w:pPr>
              <w:autoSpaceDE w:val="0"/>
              <w:autoSpaceDN w:val="0"/>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sym w:font="Symbol" w:char="F0AF"/>
            </w:r>
            <w:r w:rsidRPr="005E6F92">
              <w:rPr>
                <w:rFonts w:asciiTheme="minorHAnsi" w:hAnsiTheme="minorHAnsi" w:cstheme="minorHAnsi"/>
                <w:sz w:val="22"/>
                <w:szCs w:val="22"/>
                <w:lang w:val="en-CA"/>
              </w:rPr>
              <w:t xml:space="preserve">   4.5%</w:t>
            </w:r>
          </w:p>
        </w:tc>
        <w:tc>
          <w:tcPr>
            <w:tcW w:w="1250" w:type="pct"/>
            <w:hideMark/>
          </w:tcPr>
          <w:p w14:paraId="1A88EC23" w14:textId="77777777" w:rsidR="002D3DA7" w:rsidRPr="005E6F92" w:rsidRDefault="002D3DA7" w:rsidP="009A3C90">
            <w:pPr>
              <w:autoSpaceDE w:val="0"/>
              <w:autoSpaceDN w:val="0"/>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5.2%</w:t>
            </w:r>
          </w:p>
        </w:tc>
      </w:tr>
      <w:tr w:rsidR="002D3DA7" w:rsidRPr="005E6F92" w14:paraId="1351A23C" w14:textId="77777777" w:rsidTr="0096103C">
        <w:tc>
          <w:tcPr>
            <w:tcW w:w="1250" w:type="pct"/>
            <w:shd w:val="clear" w:color="auto" w:fill="54575A" w:themeFill="text1"/>
            <w:hideMark/>
          </w:tcPr>
          <w:p w14:paraId="1D27FE1C" w14:textId="77777777" w:rsidR="002D3DA7" w:rsidRPr="005E6F92" w:rsidRDefault="002D3DA7" w:rsidP="009A3C90">
            <w:pPr>
              <w:spacing w:before="120"/>
              <w:rPr>
                <w:rFonts w:asciiTheme="minorHAnsi" w:hAnsiTheme="minorHAnsi" w:cstheme="minorHAnsi"/>
                <w:color w:val="FFFFFF" w:themeColor="background1"/>
                <w:sz w:val="22"/>
                <w:szCs w:val="22"/>
                <w:lang w:val="en-CA"/>
              </w:rPr>
            </w:pPr>
            <w:r w:rsidRPr="005E6F92">
              <w:rPr>
                <w:rFonts w:asciiTheme="minorHAnsi" w:hAnsiTheme="minorHAnsi" w:cstheme="minorHAnsi"/>
                <w:color w:val="FFFFFF" w:themeColor="background1"/>
                <w:sz w:val="22"/>
                <w:szCs w:val="22"/>
                <w:lang w:val="en-CA"/>
              </w:rPr>
              <w:t>Members of Visible Minorities</w:t>
            </w:r>
          </w:p>
        </w:tc>
        <w:tc>
          <w:tcPr>
            <w:tcW w:w="1250" w:type="pct"/>
            <w:hideMark/>
          </w:tcPr>
          <w:p w14:paraId="224C3624" w14:textId="77777777" w:rsidR="002D3DA7" w:rsidRPr="005E6F92" w:rsidRDefault="002D3DA7" w:rsidP="009A3C90">
            <w:pPr>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15.3%</w:t>
            </w:r>
          </w:p>
        </w:tc>
        <w:tc>
          <w:tcPr>
            <w:tcW w:w="1250" w:type="pct"/>
          </w:tcPr>
          <w:p w14:paraId="60C5BEDF" w14:textId="77777777" w:rsidR="002D3DA7" w:rsidRPr="005E6F92" w:rsidRDefault="002D3DA7" w:rsidP="009A3C90">
            <w:pPr>
              <w:autoSpaceDE w:val="0"/>
              <w:autoSpaceDN w:val="0"/>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sym w:font="Symbol" w:char="F0AD"/>
            </w:r>
            <w:r w:rsidRPr="005E6F92">
              <w:rPr>
                <w:rFonts w:asciiTheme="minorHAnsi" w:hAnsiTheme="minorHAnsi" w:cstheme="minorHAnsi"/>
                <w:sz w:val="22"/>
                <w:szCs w:val="22"/>
                <w:lang w:val="en-CA"/>
              </w:rPr>
              <w:t xml:space="preserve">  15.7%</w:t>
            </w:r>
          </w:p>
        </w:tc>
        <w:tc>
          <w:tcPr>
            <w:tcW w:w="1250" w:type="pct"/>
            <w:hideMark/>
          </w:tcPr>
          <w:p w14:paraId="1D3848E8" w14:textId="77777777" w:rsidR="002D3DA7" w:rsidRPr="005E6F92" w:rsidRDefault="002D3DA7" w:rsidP="009A3C90">
            <w:pPr>
              <w:autoSpaceDE w:val="0"/>
              <w:autoSpaceDN w:val="0"/>
              <w:spacing w:before="120"/>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16.7%</w:t>
            </w:r>
          </w:p>
        </w:tc>
      </w:tr>
    </w:tbl>
    <w:p w14:paraId="76AEDC95" w14:textId="3EBAA361" w:rsidR="002D3DA7" w:rsidRPr="002676D9" w:rsidRDefault="002D3DA7" w:rsidP="002D3DA7">
      <w:pPr>
        <w:rPr>
          <w:rFonts w:asciiTheme="minorHAnsi" w:hAnsiTheme="minorHAnsi" w:cstheme="minorHAnsi"/>
          <w:sz w:val="22"/>
          <w:szCs w:val="22"/>
          <w:lang w:val="en-CA"/>
        </w:rPr>
      </w:pPr>
      <w:r w:rsidRPr="002676D9">
        <w:rPr>
          <w:rFonts w:asciiTheme="minorHAnsi" w:hAnsiTheme="minorHAnsi" w:cstheme="minorHAnsi"/>
          <w:sz w:val="22"/>
          <w:szCs w:val="22"/>
          <w:lang w:val="en-CA"/>
        </w:rPr>
        <w:t>Source:</w:t>
      </w:r>
      <w:r w:rsidRPr="002676D9">
        <w:rPr>
          <w:rStyle w:val="Hyperlink"/>
          <w:rFonts w:asciiTheme="minorHAnsi" w:hAnsiTheme="minorHAnsi" w:cstheme="minorHAnsi"/>
          <w:sz w:val="22"/>
          <w:szCs w:val="22"/>
          <w:lang w:val="en-CA"/>
        </w:rPr>
        <w:t xml:space="preserve"> </w:t>
      </w:r>
      <w:hyperlink r:id="rId14" w:history="1">
        <w:r w:rsidRPr="002676D9">
          <w:rPr>
            <w:rStyle w:val="Hyperlink"/>
            <w:rFonts w:asciiTheme="minorHAnsi" w:hAnsiTheme="minorHAnsi" w:cstheme="minorHAnsi"/>
            <w:sz w:val="22"/>
            <w:szCs w:val="22"/>
            <w:lang w:val="en-CA"/>
          </w:rPr>
          <w:t>Employment Equity in the Public Service of Canada 2018-2019</w:t>
        </w:r>
      </w:hyperlink>
      <w:r w:rsidR="002676D9" w:rsidRPr="002676D9">
        <w:rPr>
          <w:rStyle w:val="Hyperlink"/>
          <w:rFonts w:asciiTheme="minorHAnsi" w:hAnsiTheme="minorHAnsi" w:cstheme="minorHAnsi"/>
          <w:sz w:val="22"/>
          <w:szCs w:val="22"/>
          <w:lang w:val="en-CA"/>
        </w:rPr>
        <w:t xml:space="preserve"> </w:t>
      </w:r>
      <w:r w:rsidRPr="002676D9">
        <w:rPr>
          <w:rFonts w:asciiTheme="minorHAnsi" w:hAnsiTheme="minorHAnsi" w:cstheme="minorHAnsi"/>
          <w:sz w:val="22"/>
          <w:szCs w:val="22"/>
          <w:lang w:val="en-CA"/>
        </w:rPr>
        <w:t>Treasury Board of Canada Secretariat</w:t>
      </w:r>
    </w:p>
    <w:p w14:paraId="4B96F04D" w14:textId="77777777" w:rsidR="00467596" w:rsidRPr="002676D9" w:rsidRDefault="00467596" w:rsidP="002A76BE">
      <w:pPr>
        <w:pStyle w:val="Heading1"/>
      </w:pPr>
      <w:r w:rsidRPr="002676D9">
        <w:t>Priority Entitlements and Veterans</w:t>
      </w:r>
    </w:p>
    <w:p w14:paraId="2E3931CB" w14:textId="4304B9F3" w:rsidR="00467596" w:rsidRPr="00D43E1F" w:rsidRDefault="00467596" w:rsidP="002676D9">
      <w:pPr>
        <w:pStyle w:val="Heading2"/>
        <w:spacing w:before="40"/>
        <w:rPr>
          <w:rFonts w:eastAsia="Calibri"/>
          <w:lang w:val="en-CA"/>
        </w:rPr>
      </w:pPr>
      <w:r w:rsidRPr="00D43E1F">
        <w:rPr>
          <w:rFonts w:eastAsia="Calibri"/>
          <w:lang w:val="en-CA"/>
        </w:rPr>
        <w:t xml:space="preserve">Appointments of Persons with a Priority Entitlement </w:t>
      </w:r>
    </w:p>
    <w:p w14:paraId="013011E5" w14:textId="7A45D262" w:rsidR="00382F5B" w:rsidRPr="00D43E1F" w:rsidRDefault="00467596" w:rsidP="002676D9">
      <w:pPr>
        <w:pStyle w:val="NoSpacing"/>
        <w:rPr>
          <w:rFonts w:eastAsia="Calibri"/>
        </w:rPr>
      </w:pPr>
      <w:r w:rsidRPr="00D43E1F">
        <w:rPr>
          <w:rFonts w:eastAsia="Calibri"/>
        </w:rPr>
        <w:t xml:space="preserve">From April 1, 2019 to </w:t>
      </w:r>
      <w:r w:rsidR="001D5EDB" w:rsidRPr="00D43E1F">
        <w:rPr>
          <w:rFonts w:eastAsia="Calibri"/>
        </w:rPr>
        <w:t>September</w:t>
      </w:r>
      <w:r w:rsidRPr="00D43E1F">
        <w:rPr>
          <w:rFonts w:eastAsia="Calibri"/>
        </w:rPr>
        <w:t xml:space="preserve"> 2</w:t>
      </w:r>
      <w:r w:rsidR="001D5EDB" w:rsidRPr="00D43E1F">
        <w:rPr>
          <w:rFonts w:eastAsia="Calibri"/>
        </w:rPr>
        <w:t>5</w:t>
      </w:r>
      <w:r w:rsidRPr="00D43E1F">
        <w:rPr>
          <w:rFonts w:eastAsia="Calibri"/>
        </w:rPr>
        <w:t xml:space="preserve">, 2020, </w:t>
      </w:r>
      <w:r w:rsidR="0010202F" w:rsidRPr="00D43E1F">
        <w:t>NRC</w:t>
      </w:r>
      <w:r w:rsidR="009C285D" w:rsidRPr="00D43E1F">
        <w:t>an</w:t>
      </w:r>
      <w:r w:rsidR="0010202F" w:rsidRPr="00D43E1F">
        <w:t xml:space="preserve"> </w:t>
      </w:r>
      <w:r w:rsidRPr="00D43E1F">
        <w:rPr>
          <w:rFonts w:eastAsia="Calibri"/>
        </w:rPr>
        <w:t xml:space="preserve">has appointed </w:t>
      </w:r>
      <w:r w:rsidR="001D5EDB" w:rsidRPr="00D43E1F">
        <w:rPr>
          <w:rFonts w:eastAsia="Calibri"/>
        </w:rPr>
        <w:t>five</w:t>
      </w:r>
      <w:r w:rsidR="005B3CFC" w:rsidRPr="00D43E1F">
        <w:rPr>
          <w:rFonts w:eastAsia="Calibri"/>
        </w:rPr>
        <w:t xml:space="preserve"> </w:t>
      </w:r>
      <w:r w:rsidR="00DC1AD6" w:rsidRPr="00D43E1F">
        <w:rPr>
          <w:rFonts w:eastAsia="Calibri"/>
        </w:rPr>
        <w:t>persons with a priority entitlement (</w:t>
      </w:r>
      <w:r w:rsidRPr="00D43E1F">
        <w:rPr>
          <w:rFonts w:eastAsia="Calibri"/>
        </w:rPr>
        <w:t>PPE</w:t>
      </w:r>
      <w:r w:rsidR="00DC1AD6" w:rsidRPr="00D43E1F">
        <w:rPr>
          <w:rFonts w:eastAsia="Calibri"/>
        </w:rPr>
        <w:t>)</w:t>
      </w:r>
      <w:r w:rsidRPr="00D43E1F">
        <w:rPr>
          <w:rFonts w:eastAsia="Calibri"/>
        </w:rPr>
        <w:t xml:space="preserve"> indeterminately.</w:t>
      </w:r>
      <w:r w:rsidR="00382F5B" w:rsidRPr="00D43E1F">
        <w:rPr>
          <w:rFonts w:eastAsia="Calibri"/>
        </w:rPr>
        <w:br w:type="page"/>
      </w:r>
    </w:p>
    <w:p w14:paraId="2814FD1F" w14:textId="23192449" w:rsidR="00467596" w:rsidRPr="00D43E1F" w:rsidRDefault="00467596" w:rsidP="002676D9">
      <w:pPr>
        <w:pStyle w:val="Heading2"/>
        <w:spacing w:before="40"/>
        <w:rPr>
          <w:rFonts w:eastAsia="Calibri"/>
          <w:lang w:val="en-CA"/>
        </w:rPr>
      </w:pPr>
      <w:r w:rsidRPr="00D43E1F">
        <w:rPr>
          <w:rFonts w:eastAsia="Calibri"/>
          <w:lang w:val="en-CA"/>
        </w:rPr>
        <w:lastRenderedPageBreak/>
        <w:t>Appointments of Persons wi</w:t>
      </w:r>
      <w:r w:rsidR="00146540" w:rsidRPr="00D43E1F">
        <w:rPr>
          <w:rFonts w:eastAsia="Calibri"/>
          <w:lang w:val="en-CA"/>
        </w:rPr>
        <w:t>th a Canadian Armed Forces</w:t>
      </w:r>
      <w:r w:rsidRPr="00D43E1F">
        <w:rPr>
          <w:rFonts w:eastAsia="Calibri"/>
          <w:lang w:val="en-CA"/>
        </w:rPr>
        <w:t xml:space="preserve"> Priority Entitlement</w:t>
      </w:r>
    </w:p>
    <w:p w14:paraId="0AE4A279" w14:textId="7CCD974E" w:rsidR="00D26C85" w:rsidRPr="00D43E1F" w:rsidRDefault="00467596" w:rsidP="002A76BE">
      <w:pPr>
        <w:pStyle w:val="NoSpacing"/>
        <w:rPr>
          <w:rFonts w:eastAsia="Calibri"/>
        </w:rPr>
      </w:pPr>
      <w:r w:rsidRPr="00D43E1F">
        <w:rPr>
          <w:rFonts w:eastAsia="Calibri"/>
        </w:rPr>
        <w:t xml:space="preserve">Since the coming into force of the </w:t>
      </w:r>
      <w:r w:rsidRPr="002676D9">
        <w:rPr>
          <w:rStyle w:val="Emphasis"/>
          <w:rFonts w:eastAsia="Calibri"/>
        </w:rPr>
        <w:t>Veterans Hiring Act</w:t>
      </w:r>
      <w:r w:rsidR="001D5EDB" w:rsidRPr="00D43E1F">
        <w:rPr>
          <w:rFonts w:eastAsia="Calibri"/>
        </w:rPr>
        <w:t xml:space="preserve"> on July 1, 2015 until August 31</w:t>
      </w:r>
      <w:r w:rsidRPr="00D43E1F">
        <w:rPr>
          <w:rFonts w:eastAsia="Calibri"/>
        </w:rPr>
        <w:t xml:space="preserve">, 2020, </w:t>
      </w:r>
      <w:r w:rsidR="009C285D" w:rsidRPr="00D43E1F">
        <w:t>NRCan</w:t>
      </w:r>
      <w:r w:rsidR="0010202F" w:rsidRPr="00D43E1F">
        <w:rPr>
          <w:color w:val="FF0000"/>
        </w:rPr>
        <w:t xml:space="preserve"> </w:t>
      </w:r>
      <w:r w:rsidRPr="00D43E1F">
        <w:rPr>
          <w:rFonts w:eastAsia="Calibri"/>
        </w:rPr>
        <w:t xml:space="preserve">has </w:t>
      </w:r>
      <w:r w:rsidR="001D5EDB" w:rsidRPr="00D43E1F">
        <w:rPr>
          <w:rFonts w:eastAsia="Calibri"/>
        </w:rPr>
        <w:t xml:space="preserve">appointed </w:t>
      </w:r>
      <w:r w:rsidR="005B3CFC" w:rsidRPr="00D43E1F">
        <w:rPr>
          <w:rFonts w:eastAsia="Calibri"/>
        </w:rPr>
        <w:t>one</w:t>
      </w:r>
      <w:r w:rsidR="001D5EDB" w:rsidRPr="00D43E1F">
        <w:rPr>
          <w:rFonts w:eastAsia="Calibri"/>
        </w:rPr>
        <w:t xml:space="preserve"> person with a statutory </w:t>
      </w:r>
      <w:r w:rsidR="00146540" w:rsidRPr="00D43E1F">
        <w:rPr>
          <w:rFonts w:eastAsia="Calibri"/>
        </w:rPr>
        <w:t xml:space="preserve">Canadian Armed Forces </w:t>
      </w:r>
      <w:r w:rsidR="001D5EDB" w:rsidRPr="00D43E1F">
        <w:rPr>
          <w:rFonts w:eastAsia="Calibri"/>
        </w:rPr>
        <w:t>Priority Entitlement</w:t>
      </w:r>
      <w:r w:rsidRPr="00D43E1F">
        <w:rPr>
          <w:rFonts w:eastAsia="Calibri"/>
        </w:rPr>
        <w:t>.</w:t>
      </w:r>
      <w:r w:rsidR="000C7E04" w:rsidRPr="00D43E1F">
        <w:rPr>
          <w:rFonts w:eastAsia="Calibri"/>
        </w:rPr>
        <w:t xml:space="preserve"> </w:t>
      </w:r>
    </w:p>
    <w:p w14:paraId="43099273" w14:textId="2B7C6738" w:rsidR="002676D9" w:rsidRPr="00BE7145" w:rsidRDefault="002676D9" w:rsidP="002676D9">
      <w:pPr>
        <w:pStyle w:val="Caption"/>
        <w:keepNext/>
        <w:spacing w:after="0"/>
        <w:rPr>
          <w:rFonts w:asciiTheme="minorHAnsi" w:hAnsiTheme="minorHAnsi" w:cstheme="minorHAnsi"/>
          <w:i w:val="0"/>
          <w:iCs w:val="0"/>
          <w:color w:val="auto"/>
        </w:rPr>
      </w:pPr>
      <w:r w:rsidRPr="00BE7145">
        <w:rPr>
          <w:rFonts w:asciiTheme="minorHAnsi" w:hAnsiTheme="minorHAnsi" w:cstheme="minorHAnsi"/>
          <w:i w:val="0"/>
          <w:iCs w:val="0"/>
          <w:color w:val="auto"/>
        </w:rPr>
        <w:t xml:space="preserve">Table </w:t>
      </w:r>
      <w:r w:rsidRPr="00BE7145">
        <w:rPr>
          <w:rFonts w:asciiTheme="minorHAnsi" w:hAnsiTheme="minorHAnsi" w:cstheme="minorHAnsi"/>
          <w:i w:val="0"/>
          <w:iCs w:val="0"/>
          <w:color w:val="auto"/>
        </w:rPr>
        <w:fldChar w:fldCharType="begin"/>
      </w:r>
      <w:r w:rsidRPr="00BE7145">
        <w:rPr>
          <w:rFonts w:asciiTheme="minorHAnsi" w:hAnsiTheme="minorHAnsi" w:cstheme="minorHAnsi"/>
          <w:i w:val="0"/>
          <w:iCs w:val="0"/>
          <w:color w:val="auto"/>
        </w:rPr>
        <w:instrText xml:space="preserve"> SEQ Table \* ARABIC </w:instrText>
      </w:r>
      <w:r w:rsidRPr="00BE7145">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3</w:t>
      </w:r>
      <w:r w:rsidRPr="00BE7145">
        <w:rPr>
          <w:rFonts w:asciiTheme="minorHAnsi" w:hAnsiTheme="minorHAnsi" w:cstheme="minorHAnsi"/>
          <w:i w:val="0"/>
          <w:iCs w:val="0"/>
          <w:color w:val="auto"/>
        </w:rPr>
        <w:fldChar w:fldCharType="end"/>
      </w:r>
      <w:r w:rsidRPr="00BE7145">
        <w:rPr>
          <w:rFonts w:asciiTheme="minorHAnsi" w:hAnsiTheme="minorHAnsi" w:cstheme="minorHAnsi"/>
          <w:i w:val="0"/>
          <w:iCs w:val="0"/>
          <w:color w:val="auto"/>
        </w:rPr>
        <w:t xml:space="preserve"> - Priority Entitlements and Veterans</w:t>
      </w:r>
    </w:p>
    <w:tbl>
      <w:tblPr>
        <w:tblStyle w:val="TableGrid"/>
        <w:tblW w:w="5000" w:type="pct"/>
        <w:jc w:val="center"/>
        <w:tblLook w:val="04A0" w:firstRow="1" w:lastRow="0" w:firstColumn="1" w:lastColumn="0" w:noHBand="0" w:noVBand="1"/>
        <w:tblCaption w:val="PSC Priority Appointment Data Medically Released Military Members"/>
        <w:tblDescription w:val="Priority Entitlements and Veterans"/>
      </w:tblPr>
      <w:tblGrid>
        <w:gridCol w:w="2294"/>
        <w:gridCol w:w="2476"/>
        <w:gridCol w:w="2938"/>
        <w:gridCol w:w="1642"/>
      </w:tblGrid>
      <w:tr w:rsidR="002676D9" w:rsidRPr="005E6F92" w14:paraId="04F83B2E" w14:textId="77777777" w:rsidTr="00BE7145">
        <w:trPr>
          <w:cantSplit/>
          <w:tblHeader/>
          <w:jc w:val="center"/>
        </w:trPr>
        <w:tc>
          <w:tcPr>
            <w:tcW w:w="1227" w:type="pct"/>
            <w:shd w:val="clear" w:color="auto" w:fill="0070C0"/>
            <w:vAlign w:val="center"/>
          </w:tcPr>
          <w:p w14:paraId="73365F5B" w14:textId="3D992EAF" w:rsidR="002A76BE" w:rsidRPr="005E6F92" w:rsidRDefault="002A76BE" w:rsidP="002676D9">
            <w:pPr>
              <w:pStyle w:val="TableTitle"/>
              <w:rPr>
                <w:rFonts w:cs="Segoe UI Semibold"/>
                <w:color w:val="FFFFFF" w:themeColor="background1"/>
                <w:sz w:val="22"/>
                <w:szCs w:val="22"/>
                <w:lang w:val="en-CA"/>
              </w:rPr>
            </w:pPr>
            <w:r w:rsidRPr="005E6F92">
              <w:rPr>
                <w:rFonts w:cs="Segoe UI Semibold"/>
                <w:color w:val="FFFFFF" w:themeColor="background1"/>
                <w:sz w:val="22"/>
                <w:szCs w:val="22"/>
                <w:lang w:val="en-CA"/>
              </w:rPr>
              <w:t>F</w:t>
            </w:r>
            <w:r w:rsidR="002676D9" w:rsidRPr="005E6F92">
              <w:rPr>
                <w:rFonts w:cs="Segoe UI Semibold"/>
                <w:color w:val="FFFFFF" w:themeColor="background1"/>
                <w:sz w:val="22"/>
                <w:szCs w:val="22"/>
                <w:lang w:val="en-CA"/>
              </w:rPr>
              <w:t>iscal Year</w:t>
            </w:r>
          </w:p>
        </w:tc>
        <w:tc>
          <w:tcPr>
            <w:tcW w:w="1324" w:type="pct"/>
            <w:shd w:val="clear" w:color="auto" w:fill="0070C0"/>
            <w:vAlign w:val="center"/>
          </w:tcPr>
          <w:p w14:paraId="07F525AA" w14:textId="1F95D089" w:rsidR="002A76BE" w:rsidRPr="005E6F92" w:rsidRDefault="002676D9" w:rsidP="00C82357">
            <w:pPr>
              <w:pStyle w:val="TableTitle"/>
              <w:jc w:val="center"/>
              <w:rPr>
                <w:rFonts w:cs="Segoe UI Semibold"/>
                <w:color w:val="FFFFFF" w:themeColor="background1"/>
                <w:sz w:val="22"/>
                <w:szCs w:val="22"/>
                <w:lang w:val="en-CA"/>
              </w:rPr>
            </w:pPr>
            <w:r w:rsidRPr="005E6F92">
              <w:rPr>
                <w:rFonts w:cs="Segoe UI Semibold"/>
                <w:color w:val="FFFFFF" w:themeColor="background1"/>
                <w:sz w:val="22"/>
                <w:szCs w:val="22"/>
                <w:lang w:val="en-CA"/>
              </w:rPr>
              <w:t>A</w:t>
            </w:r>
            <w:r w:rsidR="002A76BE" w:rsidRPr="005E6F92">
              <w:rPr>
                <w:rFonts w:cs="Segoe UI Semibold"/>
                <w:color w:val="FFFFFF" w:themeColor="background1"/>
                <w:sz w:val="22"/>
                <w:szCs w:val="22"/>
                <w:lang w:val="en-CA"/>
              </w:rPr>
              <w:t xml:space="preserve">ttributable </w:t>
            </w:r>
            <w:r w:rsidRPr="005E6F92">
              <w:rPr>
                <w:rFonts w:cs="Segoe UI Semibold"/>
                <w:color w:val="FFFFFF" w:themeColor="background1"/>
                <w:sz w:val="22"/>
                <w:szCs w:val="22"/>
                <w:lang w:val="en-CA"/>
              </w:rPr>
              <w:t>T</w:t>
            </w:r>
            <w:r w:rsidR="002A76BE" w:rsidRPr="005E6F92">
              <w:rPr>
                <w:rFonts w:cs="Segoe UI Semibold"/>
                <w:color w:val="FFFFFF" w:themeColor="background1"/>
                <w:sz w:val="22"/>
                <w:szCs w:val="22"/>
                <w:lang w:val="en-CA"/>
              </w:rPr>
              <w:t xml:space="preserve">o </w:t>
            </w:r>
            <w:r w:rsidRPr="005E6F92">
              <w:rPr>
                <w:rFonts w:cs="Segoe UI Semibold"/>
                <w:color w:val="FFFFFF" w:themeColor="background1"/>
                <w:sz w:val="22"/>
                <w:szCs w:val="22"/>
                <w:lang w:val="en-CA"/>
              </w:rPr>
              <w:t>S</w:t>
            </w:r>
            <w:r w:rsidR="002A76BE" w:rsidRPr="005E6F92">
              <w:rPr>
                <w:rFonts w:cs="Segoe UI Semibold"/>
                <w:color w:val="FFFFFF" w:themeColor="background1"/>
                <w:sz w:val="22"/>
                <w:szCs w:val="22"/>
                <w:lang w:val="en-CA"/>
              </w:rPr>
              <w:t>ervice (</w:t>
            </w:r>
            <w:r w:rsidRPr="005E6F92">
              <w:rPr>
                <w:rFonts w:cs="Segoe UI Semibold"/>
                <w:color w:val="FFFFFF" w:themeColor="background1"/>
                <w:sz w:val="22"/>
                <w:szCs w:val="22"/>
                <w:lang w:val="en-CA"/>
              </w:rPr>
              <w:t>S</w:t>
            </w:r>
            <w:r w:rsidR="002A76BE" w:rsidRPr="005E6F92">
              <w:rPr>
                <w:rFonts w:cs="Segoe UI Semibold"/>
                <w:color w:val="FFFFFF" w:themeColor="background1"/>
                <w:sz w:val="22"/>
                <w:szCs w:val="22"/>
                <w:lang w:val="en-CA"/>
              </w:rPr>
              <w:t>tatutory)</w:t>
            </w:r>
          </w:p>
        </w:tc>
        <w:tc>
          <w:tcPr>
            <w:tcW w:w="1571" w:type="pct"/>
            <w:shd w:val="clear" w:color="auto" w:fill="0070C0"/>
            <w:vAlign w:val="center"/>
          </w:tcPr>
          <w:p w14:paraId="62B2AB1F" w14:textId="7C0F8213" w:rsidR="002A76BE" w:rsidRPr="005E6F92" w:rsidRDefault="002676D9" w:rsidP="00C82357">
            <w:pPr>
              <w:pStyle w:val="TableTitle"/>
              <w:jc w:val="center"/>
              <w:rPr>
                <w:rFonts w:cs="Segoe UI Semibold"/>
                <w:color w:val="FFFFFF" w:themeColor="background1"/>
                <w:sz w:val="22"/>
                <w:szCs w:val="22"/>
                <w:lang w:val="en-CA"/>
              </w:rPr>
            </w:pPr>
            <w:r w:rsidRPr="005E6F92">
              <w:rPr>
                <w:rFonts w:cs="Segoe UI Semibold"/>
                <w:color w:val="FFFFFF" w:themeColor="background1"/>
                <w:sz w:val="22"/>
                <w:szCs w:val="22"/>
                <w:lang w:val="en-CA"/>
              </w:rPr>
              <w:t>N</w:t>
            </w:r>
            <w:r w:rsidR="002A76BE" w:rsidRPr="005E6F92">
              <w:rPr>
                <w:rFonts w:cs="Segoe UI Semibold"/>
                <w:color w:val="FFFFFF" w:themeColor="background1"/>
                <w:sz w:val="22"/>
                <w:szCs w:val="22"/>
                <w:lang w:val="en-CA"/>
              </w:rPr>
              <w:t xml:space="preserve">ot </w:t>
            </w:r>
            <w:r w:rsidRPr="005E6F92">
              <w:rPr>
                <w:rFonts w:cs="Segoe UI Semibold"/>
                <w:color w:val="FFFFFF" w:themeColor="background1"/>
                <w:sz w:val="22"/>
                <w:szCs w:val="22"/>
                <w:lang w:val="en-CA"/>
              </w:rPr>
              <w:t>A</w:t>
            </w:r>
            <w:r w:rsidR="002A76BE" w:rsidRPr="005E6F92">
              <w:rPr>
                <w:rFonts w:cs="Segoe UI Semibold"/>
                <w:color w:val="FFFFFF" w:themeColor="background1"/>
                <w:sz w:val="22"/>
                <w:szCs w:val="22"/>
                <w:lang w:val="en-CA"/>
              </w:rPr>
              <w:t xml:space="preserve">ttributable </w:t>
            </w:r>
            <w:r w:rsidRPr="005E6F92">
              <w:rPr>
                <w:rFonts w:cs="Segoe UI Semibold"/>
                <w:color w:val="FFFFFF" w:themeColor="background1"/>
                <w:sz w:val="22"/>
                <w:szCs w:val="22"/>
                <w:lang w:val="en-CA"/>
              </w:rPr>
              <w:t>T</w:t>
            </w:r>
            <w:r w:rsidR="002A76BE" w:rsidRPr="005E6F92">
              <w:rPr>
                <w:rFonts w:cs="Segoe UI Semibold"/>
                <w:color w:val="FFFFFF" w:themeColor="background1"/>
                <w:sz w:val="22"/>
                <w:szCs w:val="22"/>
                <w:lang w:val="en-CA"/>
              </w:rPr>
              <w:t xml:space="preserve">o </w:t>
            </w:r>
            <w:r w:rsidRPr="005E6F92">
              <w:rPr>
                <w:rFonts w:cs="Segoe UI Semibold"/>
                <w:color w:val="FFFFFF" w:themeColor="background1"/>
                <w:sz w:val="22"/>
                <w:szCs w:val="22"/>
                <w:lang w:val="en-CA"/>
              </w:rPr>
              <w:t>S</w:t>
            </w:r>
            <w:r w:rsidR="002A76BE" w:rsidRPr="005E6F92">
              <w:rPr>
                <w:rFonts w:cs="Segoe UI Semibold"/>
                <w:color w:val="FFFFFF" w:themeColor="background1"/>
                <w:sz w:val="22"/>
                <w:szCs w:val="22"/>
                <w:lang w:val="en-CA"/>
              </w:rPr>
              <w:t>ervice (</w:t>
            </w:r>
            <w:r w:rsidRPr="005E6F92">
              <w:rPr>
                <w:rFonts w:cs="Segoe UI Semibold"/>
                <w:color w:val="FFFFFF" w:themeColor="background1"/>
                <w:sz w:val="22"/>
                <w:szCs w:val="22"/>
                <w:lang w:val="en-CA"/>
              </w:rPr>
              <w:t>R</w:t>
            </w:r>
            <w:r w:rsidR="002A76BE" w:rsidRPr="005E6F92">
              <w:rPr>
                <w:rFonts w:cs="Segoe UI Semibold"/>
                <w:color w:val="FFFFFF" w:themeColor="background1"/>
                <w:sz w:val="22"/>
                <w:szCs w:val="22"/>
                <w:lang w:val="en-CA"/>
              </w:rPr>
              <w:t>egulatory)</w:t>
            </w:r>
          </w:p>
        </w:tc>
        <w:tc>
          <w:tcPr>
            <w:tcW w:w="879" w:type="pct"/>
            <w:shd w:val="clear" w:color="auto" w:fill="0070C0"/>
            <w:vAlign w:val="center"/>
          </w:tcPr>
          <w:p w14:paraId="7B5B9F39" w14:textId="60804B25" w:rsidR="002A76BE" w:rsidRPr="005E6F92" w:rsidRDefault="002676D9" w:rsidP="00C82357">
            <w:pPr>
              <w:pStyle w:val="TableTitle"/>
              <w:jc w:val="center"/>
              <w:rPr>
                <w:rFonts w:cs="Segoe UI Semibold"/>
                <w:color w:val="FFFFFF" w:themeColor="background1"/>
                <w:sz w:val="22"/>
                <w:szCs w:val="22"/>
                <w:lang w:val="en-CA"/>
              </w:rPr>
            </w:pPr>
            <w:r w:rsidRPr="005E6F92">
              <w:rPr>
                <w:rFonts w:cs="Segoe UI Semibold"/>
                <w:color w:val="FFFFFF" w:themeColor="background1"/>
                <w:sz w:val="22"/>
                <w:szCs w:val="22"/>
                <w:lang w:val="en-CA"/>
              </w:rPr>
              <w:t>T</w:t>
            </w:r>
            <w:r w:rsidR="002A76BE" w:rsidRPr="005E6F92">
              <w:rPr>
                <w:rFonts w:cs="Segoe UI Semibold"/>
                <w:color w:val="FFFFFF" w:themeColor="background1"/>
                <w:sz w:val="22"/>
                <w:szCs w:val="22"/>
                <w:lang w:val="en-CA"/>
              </w:rPr>
              <w:t>otal</w:t>
            </w:r>
          </w:p>
        </w:tc>
      </w:tr>
      <w:tr w:rsidR="00BE7145" w:rsidRPr="002676D9" w14:paraId="4094B279" w14:textId="77777777" w:rsidTr="00BE7145">
        <w:trPr>
          <w:cantSplit/>
          <w:tblHeader/>
          <w:jc w:val="center"/>
        </w:trPr>
        <w:tc>
          <w:tcPr>
            <w:tcW w:w="1227" w:type="pct"/>
            <w:shd w:val="clear" w:color="auto" w:fill="0070C0"/>
            <w:vAlign w:val="center"/>
          </w:tcPr>
          <w:p w14:paraId="420315B9" w14:textId="77777777" w:rsidR="002A76BE" w:rsidRPr="002676D9" w:rsidRDefault="002A76BE" w:rsidP="00F940FA">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2676D9">
              <w:rPr>
                <w:rFonts w:asciiTheme="minorHAnsi" w:hAnsiTheme="minorHAnsi" w:cstheme="minorHAnsi"/>
                <w:color w:val="FFFFFF" w:themeColor="background1"/>
                <w:sz w:val="22"/>
                <w:szCs w:val="22"/>
                <w:lang w:val="en-CA"/>
              </w:rPr>
              <w:t>2015 (July 1) - 2016</w:t>
            </w:r>
          </w:p>
        </w:tc>
        <w:tc>
          <w:tcPr>
            <w:tcW w:w="1324" w:type="pct"/>
            <w:shd w:val="clear" w:color="auto" w:fill="auto"/>
            <w:vAlign w:val="center"/>
          </w:tcPr>
          <w:p w14:paraId="0B653506"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1571" w:type="pct"/>
            <w:shd w:val="clear" w:color="auto" w:fill="auto"/>
            <w:vAlign w:val="center"/>
          </w:tcPr>
          <w:p w14:paraId="44AFE05A"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879" w:type="pct"/>
            <w:shd w:val="clear" w:color="auto" w:fill="auto"/>
            <w:vAlign w:val="center"/>
          </w:tcPr>
          <w:p w14:paraId="2A3EA6E0"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r>
      <w:tr w:rsidR="00BE7145" w:rsidRPr="002676D9" w14:paraId="457E4B58" w14:textId="77777777" w:rsidTr="00F940FA">
        <w:trPr>
          <w:cantSplit/>
          <w:trHeight w:val="189"/>
          <w:tblHeader/>
          <w:jc w:val="center"/>
        </w:trPr>
        <w:tc>
          <w:tcPr>
            <w:tcW w:w="1227" w:type="pct"/>
            <w:shd w:val="clear" w:color="auto" w:fill="0070C0"/>
            <w:vAlign w:val="center"/>
          </w:tcPr>
          <w:p w14:paraId="238F904B" w14:textId="77777777" w:rsidR="002A76BE" w:rsidRPr="002676D9" w:rsidRDefault="002A76BE" w:rsidP="00F940FA">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2676D9">
              <w:rPr>
                <w:rFonts w:asciiTheme="minorHAnsi" w:hAnsiTheme="minorHAnsi" w:cstheme="minorHAnsi"/>
                <w:color w:val="FFFFFF" w:themeColor="background1"/>
                <w:sz w:val="22"/>
                <w:szCs w:val="22"/>
                <w:lang w:val="en-CA"/>
              </w:rPr>
              <w:t>2016 - 2017</w:t>
            </w:r>
          </w:p>
        </w:tc>
        <w:tc>
          <w:tcPr>
            <w:tcW w:w="1324" w:type="pct"/>
            <w:shd w:val="clear" w:color="auto" w:fill="auto"/>
            <w:vAlign w:val="center"/>
          </w:tcPr>
          <w:p w14:paraId="559F59E6"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1571" w:type="pct"/>
            <w:shd w:val="clear" w:color="auto" w:fill="auto"/>
            <w:vAlign w:val="center"/>
          </w:tcPr>
          <w:p w14:paraId="5D489F6D"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879" w:type="pct"/>
            <w:shd w:val="clear" w:color="auto" w:fill="auto"/>
            <w:vAlign w:val="center"/>
          </w:tcPr>
          <w:p w14:paraId="4618EE64"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r>
      <w:tr w:rsidR="00BE7145" w:rsidRPr="002676D9" w14:paraId="070D2CD9" w14:textId="77777777" w:rsidTr="00BE7145">
        <w:trPr>
          <w:cantSplit/>
          <w:tblHeader/>
          <w:jc w:val="center"/>
        </w:trPr>
        <w:tc>
          <w:tcPr>
            <w:tcW w:w="1227" w:type="pct"/>
            <w:shd w:val="clear" w:color="auto" w:fill="0070C0"/>
            <w:vAlign w:val="center"/>
          </w:tcPr>
          <w:p w14:paraId="191D40B8" w14:textId="77777777" w:rsidR="002A76BE" w:rsidRPr="002676D9" w:rsidRDefault="002A76BE" w:rsidP="00F940FA">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2676D9">
              <w:rPr>
                <w:rFonts w:asciiTheme="minorHAnsi" w:hAnsiTheme="minorHAnsi" w:cstheme="minorHAnsi"/>
                <w:color w:val="FFFFFF" w:themeColor="background1"/>
                <w:sz w:val="22"/>
                <w:szCs w:val="22"/>
                <w:lang w:val="en-CA"/>
              </w:rPr>
              <w:t>2017 - 2018</w:t>
            </w:r>
          </w:p>
        </w:tc>
        <w:tc>
          <w:tcPr>
            <w:tcW w:w="1324" w:type="pct"/>
            <w:shd w:val="clear" w:color="auto" w:fill="auto"/>
            <w:vAlign w:val="center"/>
          </w:tcPr>
          <w:p w14:paraId="12488CD7"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1571" w:type="pct"/>
            <w:shd w:val="clear" w:color="auto" w:fill="auto"/>
            <w:vAlign w:val="center"/>
          </w:tcPr>
          <w:p w14:paraId="044FDE37"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879" w:type="pct"/>
            <w:shd w:val="clear" w:color="auto" w:fill="auto"/>
            <w:vAlign w:val="center"/>
          </w:tcPr>
          <w:p w14:paraId="070C89C0"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r>
      <w:tr w:rsidR="00BE7145" w:rsidRPr="002676D9" w14:paraId="07108669" w14:textId="77777777" w:rsidTr="00BE7145">
        <w:trPr>
          <w:cantSplit/>
          <w:tblHeader/>
          <w:jc w:val="center"/>
        </w:trPr>
        <w:tc>
          <w:tcPr>
            <w:tcW w:w="1227" w:type="pct"/>
            <w:shd w:val="clear" w:color="auto" w:fill="0070C0"/>
            <w:vAlign w:val="center"/>
          </w:tcPr>
          <w:p w14:paraId="1F7E26C0" w14:textId="77777777" w:rsidR="002A76BE" w:rsidRPr="002676D9" w:rsidRDefault="002A76BE" w:rsidP="00F940FA">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2676D9">
              <w:rPr>
                <w:rFonts w:asciiTheme="minorHAnsi" w:hAnsiTheme="minorHAnsi" w:cstheme="minorHAnsi"/>
                <w:color w:val="FFFFFF" w:themeColor="background1"/>
                <w:sz w:val="22"/>
                <w:szCs w:val="22"/>
                <w:lang w:val="en-CA"/>
              </w:rPr>
              <w:t>2018 - 2019</w:t>
            </w:r>
          </w:p>
        </w:tc>
        <w:tc>
          <w:tcPr>
            <w:tcW w:w="1324" w:type="pct"/>
            <w:shd w:val="clear" w:color="auto" w:fill="auto"/>
            <w:vAlign w:val="center"/>
          </w:tcPr>
          <w:p w14:paraId="45A143C7"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1571" w:type="pct"/>
            <w:shd w:val="clear" w:color="auto" w:fill="auto"/>
            <w:vAlign w:val="center"/>
          </w:tcPr>
          <w:p w14:paraId="56B213B1"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879" w:type="pct"/>
            <w:shd w:val="clear" w:color="auto" w:fill="auto"/>
            <w:vAlign w:val="center"/>
          </w:tcPr>
          <w:p w14:paraId="08AA4472"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r>
      <w:tr w:rsidR="00BE7145" w:rsidRPr="002676D9" w14:paraId="350A3534" w14:textId="77777777" w:rsidTr="00BE7145">
        <w:trPr>
          <w:cantSplit/>
          <w:tblHeader/>
          <w:jc w:val="center"/>
        </w:trPr>
        <w:tc>
          <w:tcPr>
            <w:tcW w:w="1227" w:type="pct"/>
            <w:shd w:val="clear" w:color="auto" w:fill="0070C0"/>
            <w:vAlign w:val="center"/>
          </w:tcPr>
          <w:p w14:paraId="20011814" w14:textId="77777777" w:rsidR="002A76BE" w:rsidRPr="002676D9" w:rsidRDefault="002A76BE" w:rsidP="00F940FA">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2676D9">
              <w:rPr>
                <w:rFonts w:asciiTheme="minorHAnsi" w:hAnsiTheme="minorHAnsi" w:cstheme="minorHAnsi"/>
                <w:color w:val="FFFFFF" w:themeColor="background1"/>
                <w:sz w:val="22"/>
                <w:szCs w:val="22"/>
                <w:lang w:val="en-CA"/>
              </w:rPr>
              <w:t>2019 - 2020</w:t>
            </w:r>
          </w:p>
        </w:tc>
        <w:tc>
          <w:tcPr>
            <w:tcW w:w="1324" w:type="pct"/>
            <w:shd w:val="clear" w:color="auto" w:fill="auto"/>
            <w:vAlign w:val="center"/>
          </w:tcPr>
          <w:p w14:paraId="65057800"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1</w:t>
            </w:r>
          </w:p>
        </w:tc>
        <w:tc>
          <w:tcPr>
            <w:tcW w:w="1571" w:type="pct"/>
            <w:shd w:val="clear" w:color="auto" w:fill="auto"/>
            <w:vAlign w:val="center"/>
          </w:tcPr>
          <w:p w14:paraId="1DD995CF"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879" w:type="pct"/>
            <w:shd w:val="clear" w:color="auto" w:fill="auto"/>
            <w:vAlign w:val="center"/>
          </w:tcPr>
          <w:p w14:paraId="3F54D8B4"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1</w:t>
            </w:r>
          </w:p>
        </w:tc>
      </w:tr>
      <w:tr w:rsidR="00BE7145" w:rsidRPr="002676D9" w14:paraId="7ECC1821" w14:textId="77777777" w:rsidTr="00BE7145">
        <w:trPr>
          <w:cantSplit/>
          <w:tblHeader/>
          <w:jc w:val="center"/>
        </w:trPr>
        <w:tc>
          <w:tcPr>
            <w:tcW w:w="1227" w:type="pct"/>
            <w:shd w:val="clear" w:color="auto" w:fill="0070C0"/>
            <w:vAlign w:val="center"/>
          </w:tcPr>
          <w:p w14:paraId="63A7CE20" w14:textId="77777777" w:rsidR="002A76BE" w:rsidRPr="002676D9" w:rsidRDefault="002A76BE" w:rsidP="00F940FA">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2676D9">
              <w:rPr>
                <w:rFonts w:asciiTheme="minorHAnsi" w:hAnsiTheme="minorHAnsi" w:cstheme="minorHAnsi"/>
                <w:color w:val="FFFFFF" w:themeColor="background1"/>
                <w:sz w:val="22"/>
                <w:szCs w:val="22"/>
                <w:lang w:val="en-CA"/>
              </w:rPr>
              <w:t>2020 – September 30</w:t>
            </w:r>
          </w:p>
        </w:tc>
        <w:tc>
          <w:tcPr>
            <w:tcW w:w="1324" w:type="pct"/>
            <w:shd w:val="clear" w:color="auto" w:fill="auto"/>
            <w:vAlign w:val="center"/>
          </w:tcPr>
          <w:p w14:paraId="379B9158"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1571" w:type="pct"/>
            <w:shd w:val="clear" w:color="auto" w:fill="auto"/>
            <w:vAlign w:val="center"/>
          </w:tcPr>
          <w:p w14:paraId="6623B023"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c>
          <w:tcPr>
            <w:tcW w:w="879" w:type="pct"/>
            <w:shd w:val="clear" w:color="auto" w:fill="auto"/>
            <w:vAlign w:val="center"/>
          </w:tcPr>
          <w:p w14:paraId="02292063"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2676D9">
              <w:rPr>
                <w:rFonts w:asciiTheme="minorHAnsi" w:hAnsiTheme="minorHAnsi" w:cstheme="minorHAnsi"/>
                <w:sz w:val="22"/>
                <w:szCs w:val="22"/>
                <w:lang w:val="en-CA"/>
              </w:rPr>
              <w:t>0</w:t>
            </w:r>
          </w:p>
        </w:tc>
      </w:tr>
      <w:tr w:rsidR="00BE7145" w:rsidRPr="002676D9" w14:paraId="191F875F" w14:textId="77777777" w:rsidTr="00C82357">
        <w:trPr>
          <w:cantSplit/>
          <w:tblHeader/>
          <w:jc w:val="center"/>
        </w:trPr>
        <w:tc>
          <w:tcPr>
            <w:tcW w:w="1227" w:type="pct"/>
            <w:shd w:val="clear" w:color="auto" w:fill="BAF8FF" w:themeFill="accent3" w:themeFillTint="33"/>
            <w:vAlign w:val="center"/>
          </w:tcPr>
          <w:p w14:paraId="76C6A399" w14:textId="3D448AC1" w:rsidR="002A76BE" w:rsidRPr="002676D9" w:rsidRDefault="002A76BE" w:rsidP="002676D9">
            <w:pPr>
              <w:pStyle w:val="Level1"/>
              <w:tabs>
                <w:tab w:val="left" w:pos="-1440"/>
              </w:tabs>
              <w:autoSpaceDE w:val="0"/>
              <w:autoSpaceDN w:val="0"/>
              <w:adjustRightInd w:val="0"/>
              <w:spacing w:after="120" w:line="20" w:lineRule="atLeast"/>
              <w:rPr>
                <w:rFonts w:asciiTheme="minorHAnsi" w:hAnsiTheme="minorHAnsi" w:cstheme="minorHAnsi"/>
                <w:bCs/>
                <w:sz w:val="22"/>
                <w:szCs w:val="22"/>
                <w:lang w:val="en-CA"/>
              </w:rPr>
            </w:pPr>
            <w:r w:rsidRPr="002676D9">
              <w:rPr>
                <w:rFonts w:asciiTheme="minorHAnsi" w:hAnsiTheme="minorHAnsi" w:cstheme="minorHAnsi"/>
                <w:bCs/>
                <w:sz w:val="22"/>
                <w:szCs w:val="22"/>
                <w:lang w:val="en-CA"/>
              </w:rPr>
              <w:t>T</w:t>
            </w:r>
            <w:r w:rsidR="002676D9">
              <w:rPr>
                <w:rFonts w:asciiTheme="minorHAnsi" w:hAnsiTheme="minorHAnsi" w:cstheme="minorHAnsi"/>
                <w:bCs/>
                <w:sz w:val="22"/>
                <w:szCs w:val="22"/>
                <w:lang w:val="en-CA"/>
              </w:rPr>
              <w:t>otal</w:t>
            </w:r>
          </w:p>
        </w:tc>
        <w:tc>
          <w:tcPr>
            <w:tcW w:w="1324" w:type="pct"/>
            <w:shd w:val="clear" w:color="auto" w:fill="BAF8FF" w:themeFill="accent3" w:themeFillTint="33"/>
            <w:vAlign w:val="center"/>
          </w:tcPr>
          <w:p w14:paraId="3D7F0DDB"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lang w:val="en-CA"/>
              </w:rPr>
            </w:pPr>
            <w:r w:rsidRPr="002676D9">
              <w:rPr>
                <w:rFonts w:asciiTheme="minorHAnsi" w:hAnsiTheme="minorHAnsi" w:cstheme="minorHAnsi"/>
                <w:bCs/>
                <w:sz w:val="22"/>
                <w:szCs w:val="22"/>
                <w:lang w:val="en-CA"/>
              </w:rPr>
              <w:t>1</w:t>
            </w:r>
          </w:p>
        </w:tc>
        <w:tc>
          <w:tcPr>
            <w:tcW w:w="1571" w:type="pct"/>
            <w:shd w:val="clear" w:color="auto" w:fill="BAF8FF" w:themeFill="accent3" w:themeFillTint="33"/>
            <w:vAlign w:val="center"/>
          </w:tcPr>
          <w:p w14:paraId="4E436C57"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lang w:val="en-CA"/>
              </w:rPr>
            </w:pPr>
            <w:r w:rsidRPr="002676D9">
              <w:rPr>
                <w:rFonts w:asciiTheme="minorHAnsi" w:hAnsiTheme="minorHAnsi" w:cstheme="minorHAnsi"/>
                <w:bCs/>
                <w:sz w:val="22"/>
                <w:szCs w:val="22"/>
                <w:lang w:val="en-CA"/>
              </w:rPr>
              <w:t>0</w:t>
            </w:r>
          </w:p>
        </w:tc>
        <w:tc>
          <w:tcPr>
            <w:tcW w:w="879" w:type="pct"/>
            <w:shd w:val="clear" w:color="auto" w:fill="BAF8FF" w:themeFill="accent3" w:themeFillTint="33"/>
            <w:vAlign w:val="center"/>
          </w:tcPr>
          <w:p w14:paraId="0BA02106" w14:textId="77777777" w:rsidR="002A76BE" w:rsidRPr="002676D9" w:rsidRDefault="002A76BE" w:rsidP="009A3C90">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lang w:val="en-CA"/>
              </w:rPr>
            </w:pPr>
            <w:r w:rsidRPr="002676D9">
              <w:rPr>
                <w:rFonts w:asciiTheme="minorHAnsi" w:hAnsiTheme="minorHAnsi" w:cstheme="minorHAnsi"/>
                <w:bCs/>
                <w:sz w:val="22"/>
                <w:szCs w:val="22"/>
                <w:lang w:val="en-CA"/>
              </w:rPr>
              <w:t>1</w:t>
            </w:r>
          </w:p>
        </w:tc>
      </w:tr>
    </w:tbl>
    <w:p w14:paraId="489941B3" w14:textId="77777777" w:rsidR="00223C23" w:rsidRDefault="002A76BE" w:rsidP="002A76BE">
      <w:pPr>
        <w:spacing w:after="120"/>
        <w:rPr>
          <w:rFonts w:asciiTheme="minorHAnsi" w:eastAsia="Calibri" w:hAnsiTheme="minorHAnsi" w:cstheme="minorHAnsi"/>
          <w:sz w:val="22"/>
          <w:szCs w:val="22"/>
          <w:lang w:val="en-CA"/>
        </w:rPr>
      </w:pPr>
      <w:r w:rsidRPr="00D43E1F">
        <w:rPr>
          <w:rFonts w:asciiTheme="minorHAnsi" w:eastAsia="Calibri" w:hAnsiTheme="minorHAnsi" w:cstheme="minorHAnsi"/>
          <w:sz w:val="22"/>
          <w:szCs w:val="22"/>
          <w:lang w:val="en-CA"/>
        </w:rPr>
        <w:t>Source: Priority Information Management System</w:t>
      </w:r>
    </w:p>
    <w:p w14:paraId="4EDE3714" w14:textId="2A0623D4" w:rsidR="005E6F92" w:rsidRDefault="005E6F92" w:rsidP="002A76BE">
      <w:pPr>
        <w:spacing w:after="120"/>
        <w:rPr>
          <w:rFonts w:asciiTheme="minorHAnsi" w:eastAsia="Calibri" w:hAnsiTheme="minorHAnsi" w:cstheme="minorHAnsi"/>
          <w:sz w:val="22"/>
          <w:szCs w:val="22"/>
          <w:lang w:val="en-CA"/>
        </w:rPr>
        <w:sectPr w:rsidR="005E6F92" w:rsidSect="00BE7145">
          <w:pgSz w:w="12240" w:h="15840"/>
          <w:pgMar w:top="1440" w:right="1440" w:bottom="1440" w:left="1440" w:header="709" w:footer="284" w:gutter="0"/>
          <w:cols w:space="708"/>
          <w:titlePg/>
          <w:docGrid w:linePitch="360"/>
        </w:sectPr>
      </w:pPr>
    </w:p>
    <w:p w14:paraId="3355133E" w14:textId="77777777" w:rsidR="00467596" w:rsidRPr="00D43E1F" w:rsidRDefault="00467596" w:rsidP="005E6F92">
      <w:pPr>
        <w:pStyle w:val="Heading2"/>
        <w:spacing w:before="40"/>
        <w:rPr>
          <w:rFonts w:eastAsia="Calibri"/>
          <w:lang w:val="en-CA"/>
        </w:rPr>
      </w:pPr>
      <w:r w:rsidRPr="00D43E1F">
        <w:rPr>
          <w:rFonts w:eastAsia="Calibri"/>
          <w:lang w:val="en-CA"/>
        </w:rPr>
        <w:lastRenderedPageBreak/>
        <w:t>Priority Clearance Requests</w:t>
      </w:r>
    </w:p>
    <w:p w14:paraId="03E970A0" w14:textId="21C8637D" w:rsidR="00467596" w:rsidRPr="00223C23" w:rsidRDefault="00467596" w:rsidP="002A76BE">
      <w:pPr>
        <w:pStyle w:val="NoSpacing"/>
        <w:rPr>
          <w:rFonts w:eastAsia="Calibri"/>
        </w:rPr>
      </w:pPr>
      <w:r w:rsidRPr="00223C23">
        <w:rPr>
          <w:rFonts w:eastAsia="Calibri"/>
        </w:rPr>
        <w:t xml:space="preserve">From April 1, 2019 to </w:t>
      </w:r>
      <w:r w:rsidR="00C03650" w:rsidRPr="00223C23">
        <w:rPr>
          <w:rFonts w:eastAsia="Calibri"/>
        </w:rPr>
        <w:t>September 25</w:t>
      </w:r>
      <w:r w:rsidRPr="00223C23">
        <w:rPr>
          <w:rFonts w:eastAsia="Calibri"/>
        </w:rPr>
        <w:t xml:space="preserve">, 2020, </w:t>
      </w:r>
      <w:r w:rsidR="009C285D" w:rsidRPr="00223C23">
        <w:t>NRCan</w:t>
      </w:r>
      <w:r w:rsidR="0010202F" w:rsidRPr="00223C23">
        <w:t xml:space="preserve"> </w:t>
      </w:r>
      <w:r w:rsidRPr="00223C23">
        <w:rPr>
          <w:rFonts w:eastAsia="Calibri"/>
        </w:rPr>
        <w:t xml:space="preserve">submitted </w:t>
      </w:r>
      <w:r w:rsidR="00C03650" w:rsidRPr="00223C23">
        <w:rPr>
          <w:rFonts w:eastAsia="Calibri"/>
        </w:rPr>
        <w:t>1</w:t>
      </w:r>
      <w:r w:rsidR="005B3CFC" w:rsidRPr="00223C23">
        <w:rPr>
          <w:rFonts w:eastAsia="Calibri"/>
        </w:rPr>
        <w:t>,</w:t>
      </w:r>
      <w:r w:rsidR="00C03650" w:rsidRPr="00223C23">
        <w:rPr>
          <w:rFonts w:eastAsia="Calibri"/>
        </w:rPr>
        <w:t xml:space="preserve">368 </w:t>
      </w:r>
      <w:r w:rsidRPr="00223C23">
        <w:rPr>
          <w:rFonts w:eastAsia="Calibri"/>
        </w:rPr>
        <w:t xml:space="preserve">priority clearance requests. </w:t>
      </w:r>
    </w:p>
    <w:p w14:paraId="0D309032" w14:textId="4897E951" w:rsidR="00223C23" w:rsidRPr="005E6F92" w:rsidRDefault="00223C23" w:rsidP="00223C23">
      <w:pPr>
        <w:pStyle w:val="Caption"/>
        <w:keepNext/>
        <w:spacing w:after="0"/>
        <w:rPr>
          <w:rFonts w:asciiTheme="minorHAnsi" w:hAnsiTheme="minorHAnsi" w:cstheme="minorHAnsi"/>
          <w:i w:val="0"/>
          <w:iCs w:val="0"/>
          <w:color w:val="auto"/>
        </w:rPr>
      </w:pPr>
      <w:r w:rsidRPr="005E6F92">
        <w:rPr>
          <w:rFonts w:asciiTheme="minorHAnsi" w:hAnsiTheme="minorHAnsi" w:cstheme="minorHAnsi"/>
          <w:i w:val="0"/>
          <w:iCs w:val="0"/>
          <w:color w:val="auto"/>
        </w:rPr>
        <w:t xml:space="preserve">Table </w:t>
      </w:r>
      <w:r w:rsidRPr="005E6F92">
        <w:rPr>
          <w:rFonts w:asciiTheme="minorHAnsi" w:hAnsiTheme="minorHAnsi" w:cstheme="minorHAnsi"/>
          <w:i w:val="0"/>
          <w:iCs w:val="0"/>
          <w:color w:val="auto"/>
        </w:rPr>
        <w:fldChar w:fldCharType="begin"/>
      </w:r>
      <w:r w:rsidRPr="005E6F92">
        <w:rPr>
          <w:rFonts w:asciiTheme="minorHAnsi" w:hAnsiTheme="minorHAnsi" w:cstheme="minorHAnsi"/>
          <w:i w:val="0"/>
          <w:iCs w:val="0"/>
          <w:color w:val="auto"/>
        </w:rPr>
        <w:instrText xml:space="preserve"> SEQ Table \* ARABIC </w:instrText>
      </w:r>
      <w:r w:rsidRPr="005E6F92">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4</w:t>
      </w:r>
      <w:r w:rsidRPr="005E6F92">
        <w:rPr>
          <w:rFonts w:asciiTheme="minorHAnsi" w:hAnsiTheme="minorHAnsi" w:cstheme="minorHAnsi"/>
          <w:i w:val="0"/>
          <w:iCs w:val="0"/>
          <w:color w:val="auto"/>
        </w:rPr>
        <w:fldChar w:fldCharType="end"/>
      </w:r>
      <w:r w:rsidRPr="005E6F92">
        <w:rPr>
          <w:rFonts w:asciiTheme="minorHAnsi" w:hAnsiTheme="minorHAnsi" w:cstheme="minorHAnsi"/>
          <w:i w:val="0"/>
          <w:iCs w:val="0"/>
          <w:color w:val="auto"/>
        </w:rPr>
        <w:t xml:space="preserve"> - Priority Clearance </w:t>
      </w:r>
      <w:r w:rsidR="005E6F92">
        <w:rPr>
          <w:rFonts w:asciiTheme="minorHAnsi" w:hAnsiTheme="minorHAnsi" w:cstheme="minorHAnsi"/>
          <w:i w:val="0"/>
          <w:iCs w:val="0"/>
          <w:color w:val="auto"/>
        </w:rPr>
        <w:t>Type</w:t>
      </w:r>
    </w:p>
    <w:tbl>
      <w:tblPr>
        <w:tblStyle w:val="Grilledutableau1"/>
        <w:tblW w:w="5000" w:type="pct"/>
        <w:jc w:val="center"/>
        <w:tblLook w:val="04A0" w:firstRow="1" w:lastRow="0" w:firstColumn="1" w:lastColumn="0" w:noHBand="0" w:noVBand="1"/>
        <w:tblDescription w:val="Priority Clearance Type"/>
      </w:tblPr>
      <w:tblGrid>
        <w:gridCol w:w="6987"/>
        <w:gridCol w:w="1027"/>
        <w:gridCol w:w="1336"/>
      </w:tblGrid>
      <w:tr w:rsidR="00223C23" w:rsidRPr="005E6F92" w14:paraId="2A69B1BE" w14:textId="77777777" w:rsidTr="00C93FE1">
        <w:trPr>
          <w:cantSplit/>
          <w:tblHeader/>
          <w:jc w:val="center"/>
        </w:trPr>
        <w:tc>
          <w:tcPr>
            <w:tcW w:w="3736" w:type="pct"/>
          </w:tcPr>
          <w:p w14:paraId="741983A7" w14:textId="77777777" w:rsidR="002A76BE" w:rsidRPr="005E6F92" w:rsidRDefault="002A76BE" w:rsidP="00223C23">
            <w:pPr>
              <w:pStyle w:val="TableTitle"/>
              <w:rPr>
                <w:rFonts w:cs="Segoe UI Semibold"/>
                <w:color w:val="auto"/>
                <w:sz w:val="22"/>
                <w:szCs w:val="22"/>
                <w:lang w:val="en-CA"/>
              </w:rPr>
            </w:pPr>
            <w:r w:rsidRPr="005E6F92">
              <w:rPr>
                <w:rFonts w:cs="Segoe UI Semibold"/>
                <w:color w:val="auto"/>
                <w:sz w:val="22"/>
                <w:szCs w:val="22"/>
                <w:lang w:val="en-CA"/>
              </w:rPr>
              <w:t>Priority Clearance Type</w:t>
            </w:r>
          </w:p>
        </w:tc>
        <w:tc>
          <w:tcPr>
            <w:tcW w:w="549" w:type="pct"/>
          </w:tcPr>
          <w:p w14:paraId="11DC87EB" w14:textId="77777777" w:rsidR="002A76BE" w:rsidRPr="005E6F92" w:rsidRDefault="002A76BE" w:rsidP="00223C23">
            <w:pPr>
              <w:pStyle w:val="TableTitle"/>
              <w:rPr>
                <w:rFonts w:cs="Segoe UI Semibold"/>
                <w:color w:val="auto"/>
                <w:sz w:val="22"/>
                <w:szCs w:val="22"/>
                <w:lang w:val="en-CA"/>
              </w:rPr>
            </w:pPr>
            <w:r w:rsidRPr="005E6F92">
              <w:rPr>
                <w:rFonts w:cs="Segoe UI Semibold"/>
                <w:color w:val="auto"/>
                <w:sz w:val="22"/>
                <w:szCs w:val="22"/>
                <w:lang w:val="en-CA"/>
              </w:rPr>
              <w:t>Amount</w:t>
            </w:r>
          </w:p>
        </w:tc>
        <w:tc>
          <w:tcPr>
            <w:tcW w:w="714" w:type="pct"/>
          </w:tcPr>
          <w:p w14:paraId="54570BBA" w14:textId="77777777" w:rsidR="002A76BE" w:rsidRPr="005E6F92" w:rsidRDefault="002A76BE" w:rsidP="00223C23">
            <w:pPr>
              <w:pStyle w:val="TableTitle"/>
              <w:rPr>
                <w:rFonts w:cs="Segoe UI Semibold"/>
                <w:color w:val="auto"/>
                <w:sz w:val="22"/>
                <w:szCs w:val="22"/>
                <w:lang w:val="en-CA"/>
              </w:rPr>
            </w:pPr>
            <w:r w:rsidRPr="005E6F92">
              <w:rPr>
                <w:rFonts w:cs="Segoe UI Semibold"/>
                <w:color w:val="auto"/>
                <w:sz w:val="22"/>
                <w:szCs w:val="22"/>
                <w:lang w:val="en-CA"/>
              </w:rPr>
              <w:t>Percentage</w:t>
            </w:r>
          </w:p>
        </w:tc>
      </w:tr>
      <w:tr w:rsidR="00223C23" w:rsidRPr="005E6F92" w14:paraId="64DDE710" w14:textId="77777777" w:rsidTr="00C93FE1">
        <w:trPr>
          <w:cantSplit/>
          <w:trHeight w:val="1237"/>
          <w:tblHeader/>
          <w:jc w:val="center"/>
        </w:trPr>
        <w:tc>
          <w:tcPr>
            <w:tcW w:w="3736" w:type="pct"/>
          </w:tcPr>
          <w:p w14:paraId="33D49154" w14:textId="77777777" w:rsidR="002A76BE" w:rsidRPr="005E6F92" w:rsidRDefault="002A76BE" w:rsidP="009A3C90">
            <w:pPr>
              <w:rPr>
                <w:rFonts w:asciiTheme="minorHAnsi" w:hAnsiTheme="minorHAnsi" w:cstheme="minorHAnsi"/>
                <w:sz w:val="22"/>
                <w:szCs w:val="22"/>
                <w:lang w:val="en-CA"/>
              </w:rPr>
            </w:pPr>
            <w:r w:rsidRPr="005E6F92">
              <w:rPr>
                <w:rFonts w:asciiTheme="minorHAnsi" w:hAnsiTheme="minorHAnsi" w:cstheme="minorHAnsi"/>
                <w:sz w:val="22"/>
                <w:szCs w:val="22"/>
                <w:lang w:val="en-CA"/>
              </w:rPr>
              <w:t>Internal advertised processes</w:t>
            </w:r>
          </w:p>
          <w:p w14:paraId="7CD80C0B"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Internal advertised (</w:t>
            </w:r>
            <w:r w:rsidRPr="005E6F92">
              <w:rPr>
                <w:rFonts w:asciiTheme="minorHAnsi" w:hAnsiTheme="minorHAnsi" w:cstheme="minorHAnsi"/>
                <w:sz w:val="22"/>
                <w:szCs w:val="22"/>
              </w:rPr>
              <w:t>109</w:t>
            </w:r>
            <w:r w:rsidRPr="005E6F92">
              <w:rPr>
                <w:rFonts w:asciiTheme="minorHAnsi" w:hAnsiTheme="minorHAnsi" w:cstheme="minorHAnsi"/>
                <w:sz w:val="22"/>
                <w:szCs w:val="22"/>
                <w:lang w:val="en-CA"/>
              </w:rPr>
              <w:t>)</w:t>
            </w:r>
          </w:p>
          <w:p w14:paraId="0752FB9C"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Appointment from a previously established pool (</w:t>
            </w:r>
            <w:r w:rsidRPr="005E6F92">
              <w:rPr>
                <w:rFonts w:asciiTheme="minorHAnsi" w:hAnsiTheme="minorHAnsi" w:cstheme="minorHAnsi"/>
                <w:sz w:val="22"/>
                <w:szCs w:val="22"/>
              </w:rPr>
              <w:t>83</w:t>
            </w:r>
            <w:r w:rsidRPr="005E6F92">
              <w:rPr>
                <w:rFonts w:asciiTheme="minorHAnsi" w:hAnsiTheme="minorHAnsi" w:cstheme="minorHAnsi"/>
                <w:sz w:val="22"/>
                <w:szCs w:val="22"/>
                <w:lang w:val="en-CA"/>
              </w:rPr>
              <w:t>)</w:t>
            </w:r>
          </w:p>
          <w:p w14:paraId="158B3BA8"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Employment Equity (EE) process (2)</w:t>
            </w:r>
          </w:p>
        </w:tc>
        <w:tc>
          <w:tcPr>
            <w:tcW w:w="549" w:type="pct"/>
            <w:shd w:val="clear" w:color="auto" w:fill="auto"/>
          </w:tcPr>
          <w:p w14:paraId="197C6769"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194</w:t>
            </w:r>
          </w:p>
        </w:tc>
        <w:tc>
          <w:tcPr>
            <w:tcW w:w="714" w:type="pct"/>
            <w:shd w:val="clear" w:color="auto" w:fill="auto"/>
          </w:tcPr>
          <w:p w14:paraId="5497F6A4"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14%</w:t>
            </w:r>
          </w:p>
        </w:tc>
      </w:tr>
      <w:tr w:rsidR="00223C23" w:rsidRPr="005E6F92" w14:paraId="631633DE" w14:textId="77777777" w:rsidTr="00C93FE1">
        <w:trPr>
          <w:cantSplit/>
          <w:tblHeader/>
          <w:jc w:val="center"/>
        </w:trPr>
        <w:tc>
          <w:tcPr>
            <w:tcW w:w="3736" w:type="pct"/>
          </w:tcPr>
          <w:p w14:paraId="2FF649D3" w14:textId="77777777" w:rsidR="002A76BE" w:rsidRPr="005E6F92" w:rsidRDefault="002A76BE" w:rsidP="009A3C90">
            <w:pPr>
              <w:rPr>
                <w:rFonts w:asciiTheme="minorHAnsi" w:hAnsiTheme="minorHAnsi" w:cstheme="minorHAnsi"/>
                <w:sz w:val="22"/>
                <w:szCs w:val="22"/>
                <w:lang w:val="en-CA"/>
              </w:rPr>
            </w:pPr>
            <w:r w:rsidRPr="005E6F92">
              <w:rPr>
                <w:rFonts w:asciiTheme="minorHAnsi" w:hAnsiTheme="minorHAnsi" w:cstheme="minorHAnsi"/>
                <w:sz w:val="22"/>
                <w:szCs w:val="22"/>
                <w:lang w:val="en-CA"/>
              </w:rPr>
              <w:t>Internal non-advertised processes</w:t>
            </w:r>
          </w:p>
          <w:p w14:paraId="167AE48B"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Appointment outside intended use of advertised process (4)</w:t>
            </w:r>
          </w:p>
          <w:p w14:paraId="039E6784"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Non-promotional appointment where deployment is not possible (5)</w:t>
            </w:r>
          </w:p>
          <w:p w14:paraId="6EF5DD36"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Shortage group (11)</w:t>
            </w:r>
          </w:p>
          <w:p w14:paraId="69344B8A"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Position historically difficult to staff (10)</w:t>
            </w:r>
          </w:p>
          <w:p w14:paraId="1642CEC4"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Term to indeterminate appointment (not a conversion) (62)</w:t>
            </w:r>
          </w:p>
          <w:p w14:paraId="1C0302AE"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Highly specialized skills (72)</w:t>
            </w:r>
          </w:p>
          <w:p w14:paraId="3A8AA002" w14:textId="77777777" w:rsidR="002A76BE" w:rsidRPr="005E6F92" w:rsidRDefault="002A76BE" w:rsidP="0074458B">
            <w:pPr>
              <w:numPr>
                <w:ilvl w:val="0"/>
                <w:numId w:val="10"/>
              </w:numPr>
              <w:rPr>
                <w:rFonts w:asciiTheme="minorHAnsi" w:hAnsiTheme="minorHAnsi" w:cstheme="minorHAnsi"/>
                <w:sz w:val="22"/>
                <w:szCs w:val="22"/>
                <w:lang w:val="en-CA"/>
              </w:rPr>
            </w:pPr>
            <w:r w:rsidRPr="005E6F92">
              <w:rPr>
                <w:rFonts w:asciiTheme="minorHAnsi" w:hAnsiTheme="minorHAnsi" w:cstheme="minorHAnsi"/>
                <w:sz w:val="22"/>
                <w:szCs w:val="22"/>
                <w:lang w:val="en-CA"/>
              </w:rPr>
              <w:t>Other reasons (286)</w:t>
            </w:r>
          </w:p>
        </w:tc>
        <w:tc>
          <w:tcPr>
            <w:tcW w:w="549" w:type="pct"/>
            <w:shd w:val="clear" w:color="auto" w:fill="auto"/>
          </w:tcPr>
          <w:p w14:paraId="73293B8C"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rPr>
              <w:t>450</w:t>
            </w:r>
          </w:p>
        </w:tc>
        <w:tc>
          <w:tcPr>
            <w:tcW w:w="714" w:type="pct"/>
            <w:shd w:val="clear" w:color="auto" w:fill="auto"/>
          </w:tcPr>
          <w:p w14:paraId="0FDE6D5D"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33%</w:t>
            </w:r>
          </w:p>
        </w:tc>
      </w:tr>
      <w:tr w:rsidR="00223C23" w:rsidRPr="005E6F92" w14:paraId="60726ECE" w14:textId="77777777" w:rsidTr="00C93FE1">
        <w:trPr>
          <w:cantSplit/>
          <w:trHeight w:val="1202"/>
          <w:tblHeader/>
          <w:jc w:val="center"/>
        </w:trPr>
        <w:tc>
          <w:tcPr>
            <w:tcW w:w="3736" w:type="pct"/>
          </w:tcPr>
          <w:p w14:paraId="65D0B67F" w14:textId="77777777" w:rsidR="002A76BE" w:rsidRPr="005E6F92" w:rsidRDefault="002A76BE" w:rsidP="009A3C90">
            <w:pPr>
              <w:rPr>
                <w:rFonts w:asciiTheme="minorHAnsi" w:hAnsiTheme="minorHAnsi" w:cstheme="minorHAnsi"/>
                <w:sz w:val="22"/>
                <w:szCs w:val="22"/>
                <w:lang w:val="en-CA"/>
              </w:rPr>
            </w:pPr>
            <w:r w:rsidRPr="005E6F92">
              <w:rPr>
                <w:rFonts w:asciiTheme="minorHAnsi" w:hAnsiTheme="minorHAnsi" w:cstheme="minorHAnsi"/>
                <w:sz w:val="22"/>
                <w:szCs w:val="22"/>
                <w:lang w:val="en-CA"/>
              </w:rPr>
              <w:t>External advertised processes</w:t>
            </w:r>
          </w:p>
          <w:p w14:paraId="12F600BA" w14:textId="77777777" w:rsidR="002A76BE" w:rsidRPr="005E6F92" w:rsidRDefault="002A76BE" w:rsidP="0074458B">
            <w:pPr>
              <w:numPr>
                <w:ilvl w:val="0"/>
                <w:numId w:val="11"/>
              </w:numPr>
              <w:rPr>
                <w:rFonts w:asciiTheme="minorHAnsi" w:hAnsiTheme="minorHAnsi" w:cstheme="minorHAnsi"/>
                <w:sz w:val="22"/>
                <w:szCs w:val="22"/>
                <w:lang w:val="en-CA"/>
              </w:rPr>
            </w:pPr>
            <w:r w:rsidRPr="005E6F92">
              <w:rPr>
                <w:rFonts w:asciiTheme="minorHAnsi" w:hAnsiTheme="minorHAnsi" w:cstheme="minorHAnsi"/>
                <w:sz w:val="22"/>
                <w:szCs w:val="22"/>
                <w:lang w:val="en-CA"/>
              </w:rPr>
              <w:t>External advertised (163)</w:t>
            </w:r>
          </w:p>
          <w:p w14:paraId="0286AA34" w14:textId="77777777" w:rsidR="002A76BE" w:rsidRPr="005E6F92" w:rsidRDefault="002A76BE" w:rsidP="0074458B">
            <w:pPr>
              <w:numPr>
                <w:ilvl w:val="0"/>
                <w:numId w:val="11"/>
              </w:numPr>
              <w:rPr>
                <w:rFonts w:asciiTheme="minorHAnsi" w:hAnsiTheme="minorHAnsi" w:cstheme="minorHAnsi"/>
                <w:sz w:val="22"/>
                <w:szCs w:val="22"/>
                <w:lang w:val="en-CA"/>
              </w:rPr>
            </w:pPr>
            <w:r w:rsidRPr="005E6F92">
              <w:rPr>
                <w:rFonts w:asciiTheme="minorHAnsi" w:hAnsiTheme="minorHAnsi" w:cstheme="minorHAnsi"/>
                <w:sz w:val="22"/>
                <w:szCs w:val="22"/>
                <w:lang w:val="en-CA"/>
              </w:rPr>
              <w:t>Appointment from a previously established pool (</w:t>
            </w:r>
            <w:r w:rsidRPr="005E6F92">
              <w:rPr>
                <w:rFonts w:asciiTheme="minorHAnsi" w:hAnsiTheme="minorHAnsi" w:cstheme="minorHAnsi"/>
                <w:sz w:val="22"/>
                <w:szCs w:val="22"/>
              </w:rPr>
              <w:t>151</w:t>
            </w:r>
            <w:r w:rsidRPr="005E6F92">
              <w:rPr>
                <w:rFonts w:asciiTheme="minorHAnsi" w:hAnsiTheme="minorHAnsi" w:cstheme="minorHAnsi"/>
                <w:sz w:val="22"/>
                <w:szCs w:val="22"/>
                <w:lang w:val="en-CA"/>
              </w:rPr>
              <w:t>)</w:t>
            </w:r>
          </w:p>
          <w:p w14:paraId="033C3D13" w14:textId="77777777" w:rsidR="002A76BE" w:rsidRPr="005E6F92" w:rsidRDefault="002A76BE" w:rsidP="0074458B">
            <w:pPr>
              <w:numPr>
                <w:ilvl w:val="0"/>
                <w:numId w:val="11"/>
              </w:numPr>
              <w:rPr>
                <w:rFonts w:asciiTheme="minorHAnsi" w:hAnsiTheme="minorHAnsi" w:cstheme="minorHAnsi"/>
                <w:sz w:val="22"/>
                <w:szCs w:val="22"/>
                <w:lang w:val="en-CA"/>
              </w:rPr>
            </w:pPr>
            <w:r w:rsidRPr="005E6F92">
              <w:rPr>
                <w:rFonts w:asciiTheme="minorHAnsi" w:hAnsiTheme="minorHAnsi" w:cstheme="minorHAnsi"/>
                <w:sz w:val="22"/>
                <w:szCs w:val="22"/>
                <w:lang w:val="en-CA"/>
              </w:rPr>
              <w:t>EE process (1)</w:t>
            </w:r>
          </w:p>
        </w:tc>
        <w:tc>
          <w:tcPr>
            <w:tcW w:w="549" w:type="pct"/>
            <w:shd w:val="clear" w:color="auto" w:fill="auto"/>
          </w:tcPr>
          <w:p w14:paraId="38FFAD84"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315</w:t>
            </w:r>
          </w:p>
        </w:tc>
        <w:tc>
          <w:tcPr>
            <w:tcW w:w="714" w:type="pct"/>
            <w:shd w:val="clear" w:color="auto" w:fill="auto"/>
          </w:tcPr>
          <w:p w14:paraId="43B0607D"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23%</w:t>
            </w:r>
          </w:p>
        </w:tc>
      </w:tr>
      <w:tr w:rsidR="00223C23" w:rsidRPr="005E6F92" w14:paraId="43A13B8F" w14:textId="77777777" w:rsidTr="00C93FE1">
        <w:trPr>
          <w:cantSplit/>
          <w:tblHeader/>
          <w:jc w:val="center"/>
        </w:trPr>
        <w:tc>
          <w:tcPr>
            <w:tcW w:w="3736" w:type="pct"/>
          </w:tcPr>
          <w:p w14:paraId="2111B50C" w14:textId="77777777" w:rsidR="002A76BE" w:rsidRPr="005E6F92" w:rsidRDefault="002A76BE" w:rsidP="009A3C90">
            <w:pPr>
              <w:rPr>
                <w:rFonts w:asciiTheme="minorHAnsi" w:hAnsiTheme="minorHAnsi" w:cstheme="minorHAnsi"/>
                <w:sz w:val="22"/>
                <w:szCs w:val="22"/>
                <w:lang w:val="en-CA"/>
              </w:rPr>
            </w:pPr>
            <w:r w:rsidRPr="005E6F92">
              <w:rPr>
                <w:rFonts w:asciiTheme="minorHAnsi" w:hAnsiTheme="minorHAnsi" w:cstheme="minorHAnsi"/>
                <w:sz w:val="22"/>
                <w:szCs w:val="22"/>
                <w:lang w:val="en-CA"/>
              </w:rPr>
              <w:t>External non-advertised processes</w:t>
            </w:r>
          </w:p>
          <w:p w14:paraId="3F5B4987" w14:textId="77777777" w:rsidR="002A76BE" w:rsidRPr="005E6F92" w:rsidRDefault="002A76BE" w:rsidP="0074458B">
            <w:pPr>
              <w:numPr>
                <w:ilvl w:val="0"/>
                <w:numId w:val="11"/>
              </w:numPr>
              <w:rPr>
                <w:rFonts w:asciiTheme="minorHAnsi" w:hAnsiTheme="minorHAnsi" w:cstheme="minorHAnsi"/>
                <w:sz w:val="22"/>
                <w:szCs w:val="22"/>
                <w:lang w:val="en-CA"/>
              </w:rPr>
            </w:pPr>
            <w:r w:rsidRPr="005E6F92">
              <w:rPr>
                <w:rFonts w:asciiTheme="minorHAnsi" w:hAnsiTheme="minorHAnsi" w:cstheme="minorHAnsi"/>
                <w:sz w:val="22"/>
                <w:szCs w:val="22"/>
                <w:lang w:val="en-CA"/>
              </w:rPr>
              <w:t>Remote Location (1)</w:t>
            </w:r>
          </w:p>
          <w:p w14:paraId="2C20946A" w14:textId="77777777" w:rsidR="002A76BE" w:rsidRPr="005E6F92" w:rsidRDefault="002A76BE" w:rsidP="0074458B">
            <w:pPr>
              <w:numPr>
                <w:ilvl w:val="0"/>
                <w:numId w:val="11"/>
              </w:numPr>
              <w:rPr>
                <w:rFonts w:asciiTheme="minorHAnsi" w:hAnsiTheme="minorHAnsi" w:cstheme="minorHAnsi"/>
                <w:sz w:val="22"/>
                <w:szCs w:val="22"/>
                <w:lang w:val="en-CA"/>
              </w:rPr>
            </w:pPr>
            <w:r w:rsidRPr="005E6F92">
              <w:rPr>
                <w:rFonts w:asciiTheme="minorHAnsi" w:hAnsiTheme="minorHAnsi" w:cstheme="minorHAnsi"/>
                <w:sz w:val="22"/>
                <w:szCs w:val="22"/>
                <w:lang w:val="en-CA"/>
              </w:rPr>
              <w:t>Appointment outside intended use of advertised process (2)</w:t>
            </w:r>
          </w:p>
          <w:p w14:paraId="78EA6E36" w14:textId="77777777" w:rsidR="002A76BE" w:rsidRPr="005E6F92" w:rsidRDefault="002A76BE" w:rsidP="0074458B">
            <w:pPr>
              <w:numPr>
                <w:ilvl w:val="0"/>
                <w:numId w:val="11"/>
              </w:numPr>
              <w:rPr>
                <w:rFonts w:asciiTheme="minorHAnsi" w:hAnsiTheme="minorHAnsi" w:cstheme="minorHAnsi"/>
                <w:sz w:val="22"/>
                <w:szCs w:val="22"/>
                <w:lang w:val="en-CA"/>
              </w:rPr>
            </w:pPr>
            <w:r w:rsidRPr="005E6F92">
              <w:rPr>
                <w:rFonts w:asciiTheme="minorHAnsi" w:hAnsiTheme="minorHAnsi" w:cstheme="minorHAnsi"/>
                <w:sz w:val="22"/>
                <w:szCs w:val="22"/>
                <w:lang w:val="en-CA"/>
              </w:rPr>
              <w:t>Position historically proven difficult to staff (8)</w:t>
            </w:r>
          </w:p>
          <w:p w14:paraId="5493074D" w14:textId="77777777" w:rsidR="002A76BE" w:rsidRPr="005E6F92" w:rsidRDefault="002A76BE" w:rsidP="0074458B">
            <w:pPr>
              <w:numPr>
                <w:ilvl w:val="0"/>
                <w:numId w:val="11"/>
              </w:numPr>
              <w:rPr>
                <w:rFonts w:asciiTheme="minorHAnsi" w:hAnsiTheme="minorHAnsi" w:cstheme="minorHAnsi"/>
                <w:sz w:val="22"/>
                <w:szCs w:val="22"/>
                <w:lang w:val="en-CA"/>
              </w:rPr>
            </w:pPr>
            <w:r w:rsidRPr="005E6F92">
              <w:rPr>
                <w:rFonts w:asciiTheme="minorHAnsi" w:hAnsiTheme="minorHAnsi" w:cstheme="minorHAnsi"/>
                <w:sz w:val="22"/>
                <w:szCs w:val="22"/>
                <w:lang w:val="en-CA"/>
              </w:rPr>
              <w:t>Shortage group (13)</w:t>
            </w:r>
          </w:p>
          <w:p w14:paraId="278BEE37" w14:textId="77777777" w:rsidR="002A76BE" w:rsidRPr="005E6F92" w:rsidRDefault="002A76BE" w:rsidP="0074458B">
            <w:pPr>
              <w:numPr>
                <w:ilvl w:val="0"/>
                <w:numId w:val="11"/>
              </w:numPr>
              <w:rPr>
                <w:rFonts w:asciiTheme="minorHAnsi" w:hAnsiTheme="minorHAnsi" w:cstheme="minorHAnsi"/>
                <w:sz w:val="22"/>
                <w:szCs w:val="22"/>
                <w:lang w:val="en-CA"/>
              </w:rPr>
            </w:pPr>
            <w:r w:rsidRPr="005E6F92">
              <w:rPr>
                <w:rFonts w:asciiTheme="minorHAnsi" w:hAnsiTheme="minorHAnsi" w:cstheme="minorHAnsi"/>
                <w:sz w:val="22"/>
                <w:szCs w:val="22"/>
                <w:lang w:val="en-CA"/>
              </w:rPr>
              <w:t>Highly specialized skills (65)</w:t>
            </w:r>
          </w:p>
          <w:p w14:paraId="3E3E7445" w14:textId="77777777" w:rsidR="002A76BE" w:rsidRPr="005E6F92" w:rsidRDefault="002A76BE" w:rsidP="0074458B">
            <w:pPr>
              <w:numPr>
                <w:ilvl w:val="0"/>
                <w:numId w:val="11"/>
              </w:numPr>
              <w:rPr>
                <w:rFonts w:asciiTheme="minorHAnsi" w:hAnsiTheme="minorHAnsi" w:cstheme="minorHAnsi"/>
                <w:sz w:val="22"/>
                <w:szCs w:val="22"/>
                <w:lang w:val="en-CA"/>
              </w:rPr>
            </w:pPr>
            <w:r w:rsidRPr="005E6F92">
              <w:rPr>
                <w:rFonts w:asciiTheme="minorHAnsi" w:hAnsiTheme="minorHAnsi" w:cstheme="minorHAnsi"/>
                <w:sz w:val="22"/>
                <w:szCs w:val="22"/>
                <w:lang w:val="en-CA"/>
              </w:rPr>
              <w:t>Other reasons (249)</w:t>
            </w:r>
          </w:p>
        </w:tc>
        <w:tc>
          <w:tcPr>
            <w:tcW w:w="549" w:type="pct"/>
            <w:shd w:val="clear" w:color="auto" w:fill="auto"/>
          </w:tcPr>
          <w:p w14:paraId="7CFF4F0F"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338</w:t>
            </w:r>
          </w:p>
        </w:tc>
        <w:tc>
          <w:tcPr>
            <w:tcW w:w="714" w:type="pct"/>
            <w:shd w:val="clear" w:color="auto" w:fill="auto"/>
          </w:tcPr>
          <w:p w14:paraId="6988E40A"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25%</w:t>
            </w:r>
          </w:p>
        </w:tc>
      </w:tr>
      <w:tr w:rsidR="00223C23" w:rsidRPr="005E6F92" w14:paraId="51F446DA" w14:textId="77777777" w:rsidTr="00C93FE1">
        <w:trPr>
          <w:cantSplit/>
          <w:tblHeader/>
          <w:jc w:val="center"/>
        </w:trPr>
        <w:tc>
          <w:tcPr>
            <w:tcW w:w="3736" w:type="pct"/>
          </w:tcPr>
          <w:p w14:paraId="1B76B451" w14:textId="77777777" w:rsidR="002A76BE" w:rsidRPr="005E6F92" w:rsidRDefault="002A76BE" w:rsidP="009A3C90">
            <w:pPr>
              <w:rPr>
                <w:rFonts w:asciiTheme="minorHAnsi" w:hAnsiTheme="minorHAnsi" w:cstheme="minorHAnsi"/>
                <w:sz w:val="22"/>
                <w:szCs w:val="22"/>
                <w:lang w:val="en-CA"/>
              </w:rPr>
            </w:pPr>
            <w:r w:rsidRPr="005E6F92">
              <w:rPr>
                <w:rFonts w:asciiTheme="minorHAnsi" w:hAnsiTheme="minorHAnsi" w:cstheme="minorHAnsi"/>
                <w:sz w:val="22"/>
                <w:szCs w:val="22"/>
                <w:lang w:val="en-CA"/>
              </w:rPr>
              <w:t>Simultaneous internal and external advertised process</w:t>
            </w:r>
          </w:p>
        </w:tc>
        <w:tc>
          <w:tcPr>
            <w:tcW w:w="549" w:type="pct"/>
            <w:shd w:val="clear" w:color="auto" w:fill="auto"/>
          </w:tcPr>
          <w:p w14:paraId="33F05953"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rPr>
              <w:t>1</w:t>
            </w:r>
          </w:p>
        </w:tc>
        <w:tc>
          <w:tcPr>
            <w:tcW w:w="714" w:type="pct"/>
            <w:shd w:val="clear" w:color="auto" w:fill="auto"/>
          </w:tcPr>
          <w:p w14:paraId="269F8D16"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0%</w:t>
            </w:r>
          </w:p>
        </w:tc>
      </w:tr>
      <w:tr w:rsidR="00223C23" w:rsidRPr="005E6F92" w14:paraId="4F103783" w14:textId="77777777" w:rsidTr="00C93FE1">
        <w:trPr>
          <w:cantSplit/>
          <w:tblHeader/>
          <w:jc w:val="center"/>
        </w:trPr>
        <w:tc>
          <w:tcPr>
            <w:tcW w:w="3736" w:type="pct"/>
          </w:tcPr>
          <w:p w14:paraId="234F0C70" w14:textId="77777777" w:rsidR="002A76BE" w:rsidRPr="005E6F92" w:rsidRDefault="002A76BE" w:rsidP="009A3C90">
            <w:pPr>
              <w:rPr>
                <w:rFonts w:asciiTheme="minorHAnsi" w:hAnsiTheme="minorHAnsi" w:cstheme="minorHAnsi"/>
                <w:sz w:val="22"/>
                <w:szCs w:val="22"/>
                <w:lang w:val="en-CA"/>
              </w:rPr>
            </w:pPr>
            <w:r w:rsidRPr="005E6F92">
              <w:rPr>
                <w:rFonts w:asciiTheme="minorHAnsi" w:hAnsiTheme="minorHAnsi" w:cstheme="minorHAnsi"/>
                <w:sz w:val="22"/>
                <w:szCs w:val="22"/>
                <w:lang w:val="en-CA"/>
              </w:rPr>
              <w:t>Appointment of persons with a priority entitlement (includes term and indeterminate appointments)</w:t>
            </w:r>
          </w:p>
        </w:tc>
        <w:tc>
          <w:tcPr>
            <w:tcW w:w="549" w:type="pct"/>
            <w:shd w:val="clear" w:color="auto" w:fill="auto"/>
          </w:tcPr>
          <w:p w14:paraId="2A9CE61A"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rPr>
              <w:t>7</w:t>
            </w:r>
          </w:p>
        </w:tc>
        <w:tc>
          <w:tcPr>
            <w:tcW w:w="714" w:type="pct"/>
            <w:shd w:val="clear" w:color="auto" w:fill="auto"/>
          </w:tcPr>
          <w:p w14:paraId="60343CE0"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1%</w:t>
            </w:r>
          </w:p>
        </w:tc>
      </w:tr>
      <w:tr w:rsidR="00223C23" w:rsidRPr="005E6F92" w14:paraId="77ABE113" w14:textId="77777777" w:rsidTr="00C93FE1">
        <w:trPr>
          <w:cantSplit/>
          <w:tblHeader/>
          <w:jc w:val="center"/>
        </w:trPr>
        <w:tc>
          <w:tcPr>
            <w:tcW w:w="3736" w:type="pct"/>
          </w:tcPr>
          <w:p w14:paraId="3C2E8A23" w14:textId="77777777" w:rsidR="002A76BE" w:rsidRPr="005E6F92" w:rsidRDefault="002A76BE" w:rsidP="009A3C90">
            <w:pPr>
              <w:rPr>
                <w:rFonts w:asciiTheme="minorHAnsi" w:hAnsiTheme="minorHAnsi" w:cstheme="minorHAnsi"/>
                <w:sz w:val="22"/>
                <w:szCs w:val="22"/>
                <w:lang w:val="en-CA"/>
              </w:rPr>
            </w:pPr>
            <w:r w:rsidRPr="005E6F92">
              <w:rPr>
                <w:rFonts w:asciiTheme="minorHAnsi" w:hAnsiTheme="minorHAnsi" w:cstheme="minorHAnsi"/>
                <w:sz w:val="22"/>
                <w:szCs w:val="22"/>
                <w:lang w:val="en-CA"/>
              </w:rPr>
              <w:t>Student bridging</w:t>
            </w:r>
          </w:p>
        </w:tc>
        <w:tc>
          <w:tcPr>
            <w:tcW w:w="549" w:type="pct"/>
            <w:shd w:val="clear" w:color="auto" w:fill="auto"/>
          </w:tcPr>
          <w:p w14:paraId="6076299E"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rPr>
              <w:t>63</w:t>
            </w:r>
          </w:p>
        </w:tc>
        <w:tc>
          <w:tcPr>
            <w:tcW w:w="714" w:type="pct"/>
            <w:shd w:val="clear" w:color="auto" w:fill="auto"/>
          </w:tcPr>
          <w:p w14:paraId="3027887D"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5%</w:t>
            </w:r>
          </w:p>
        </w:tc>
      </w:tr>
      <w:tr w:rsidR="00223C23" w:rsidRPr="005E6F92" w14:paraId="6EF350FC" w14:textId="77777777" w:rsidTr="00C93FE1">
        <w:trPr>
          <w:cantSplit/>
          <w:tblHeader/>
          <w:jc w:val="center"/>
        </w:trPr>
        <w:tc>
          <w:tcPr>
            <w:tcW w:w="3736" w:type="pct"/>
          </w:tcPr>
          <w:p w14:paraId="17E6828D" w14:textId="77777777" w:rsidR="002A76BE" w:rsidRPr="005E6F92" w:rsidRDefault="002A76BE" w:rsidP="009A3C90">
            <w:pPr>
              <w:rPr>
                <w:rFonts w:asciiTheme="minorHAnsi" w:hAnsiTheme="minorHAnsi" w:cstheme="minorHAnsi"/>
                <w:sz w:val="22"/>
                <w:szCs w:val="22"/>
                <w:lang w:val="en-CA"/>
              </w:rPr>
            </w:pPr>
            <w:r w:rsidRPr="005E6F92">
              <w:rPr>
                <w:rFonts w:asciiTheme="minorHAnsi" w:hAnsiTheme="minorHAnsi" w:cstheme="minorHAnsi"/>
                <w:sz w:val="22"/>
                <w:szCs w:val="22"/>
                <w:lang w:val="en-CA"/>
              </w:rPr>
              <w:t>Section 43</w:t>
            </w:r>
          </w:p>
        </w:tc>
        <w:tc>
          <w:tcPr>
            <w:tcW w:w="549" w:type="pct"/>
            <w:shd w:val="clear" w:color="auto" w:fill="auto"/>
          </w:tcPr>
          <w:p w14:paraId="012B1D63"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0</w:t>
            </w:r>
          </w:p>
        </w:tc>
        <w:tc>
          <w:tcPr>
            <w:tcW w:w="714" w:type="pct"/>
            <w:shd w:val="clear" w:color="auto" w:fill="auto"/>
          </w:tcPr>
          <w:p w14:paraId="6E132159" w14:textId="77777777" w:rsidR="002A76BE" w:rsidRPr="005E6F92" w:rsidRDefault="002A76BE" w:rsidP="009A3C90">
            <w:pPr>
              <w:jc w:val="center"/>
              <w:rPr>
                <w:rFonts w:asciiTheme="minorHAnsi" w:hAnsiTheme="minorHAnsi" w:cstheme="minorHAnsi"/>
                <w:sz w:val="22"/>
                <w:szCs w:val="22"/>
                <w:lang w:val="en-CA"/>
              </w:rPr>
            </w:pPr>
            <w:r w:rsidRPr="005E6F92">
              <w:rPr>
                <w:rFonts w:asciiTheme="minorHAnsi" w:hAnsiTheme="minorHAnsi" w:cstheme="minorHAnsi"/>
                <w:sz w:val="22"/>
                <w:szCs w:val="22"/>
                <w:lang w:val="en-CA"/>
              </w:rPr>
              <w:t>0%</w:t>
            </w:r>
          </w:p>
        </w:tc>
      </w:tr>
      <w:tr w:rsidR="00223C23" w:rsidRPr="005E6F92" w14:paraId="3555FF78" w14:textId="77777777" w:rsidTr="00C93FE1">
        <w:trPr>
          <w:cantSplit/>
          <w:tblHeader/>
          <w:jc w:val="center"/>
        </w:trPr>
        <w:tc>
          <w:tcPr>
            <w:tcW w:w="3736" w:type="pct"/>
          </w:tcPr>
          <w:p w14:paraId="0776D075" w14:textId="77777777" w:rsidR="002A76BE" w:rsidRPr="005E6F92" w:rsidRDefault="002A76BE" w:rsidP="009A3C90">
            <w:pPr>
              <w:rPr>
                <w:rFonts w:asciiTheme="minorHAnsi" w:hAnsiTheme="minorHAnsi" w:cstheme="minorHAnsi"/>
                <w:bCs/>
                <w:sz w:val="22"/>
                <w:szCs w:val="22"/>
                <w:lang w:val="en-CA"/>
              </w:rPr>
            </w:pPr>
            <w:r w:rsidRPr="005E6F92">
              <w:rPr>
                <w:rFonts w:asciiTheme="minorHAnsi" w:hAnsiTheme="minorHAnsi" w:cstheme="minorHAnsi"/>
                <w:bCs/>
                <w:sz w:val="22"/>
                <w:szCs w:val="22"/>
                <w:lang w:val="en-CA"/>
              </w:rPr>
              <w:t>Total</w:t>
            </w:r>
          </w:p>
        </w:tc>
        <w:tc>
          <w:tcPr>
            <w:tcW w:w="549" w:type="pct"/>
            <w:shd w:val="clear" w:color="auto" w:fill="auto"/>
          </w:tcPr>
          <w:p w14:paraId="7427C42F" w14:textId="77777777" w:rsidR="002A76BE" w:rsidRPr="005E6F92" w:rsidRDefault="002A76BE" w:rsidP="009A3C90">
            <w:pPr>
              <w:jc w:val="center"/>
              <w:rPr>
                <w:rFonts w:asciiTheme="minorHAnsi" w:hAnsiTheme="minorHAnsi" w:cstheme="minorHAnsi"/>
                <w:bCs/>
                <w:sz w:val="22"/>
                <w:szCs w:val="22"/>
                <w:lang w:val="en-CA"/>
              </w:rPr>
            </w:pPr>
            <w:r w:rsidRPr="005E6F92">
              <w:rPr>
                <w:rFonts w:asciiTheme="minorHAnsi" w:hAnsiTheme="minorHAnsi" w:cstheme="minorHAnsi"/>
                <w:bCs/>
                <w:sz w:val="22"/>
                <w:szCs w:val="22"/>
                <w:lang w:val="en-CA"/>
              </w:rPr>
              <w:t>1,368</w:t>
            </w:r>
          </w:p>
        </w:tc>
        <w:tc>
          <w:tcPr>
            <w:tcW w:w="714" w:type="pct"/>
            <w:shd w:val="clear" w:color="auto" w:fill="auto"/>
          </w:tcPr>
          <w:p w14:paraId="349E3B4E" w14:textId="77777777" w:rsidR="002A76BE" w:rsidRPr="005E6F92" w:rsidRDefault="002A76BE" w:rsidP="009A3C90">
            <w:pPr>
              <w:jc w:val="center"/>
              <w:rPr>
                <w:rFonts w:asciiTheme="minorHAnsi" w:hAnsiTheme="minorHAnsi" w:cstheme="minorHAnsi"/>
                <w:bCs/>
                <w:sz w:val="22"/>
                <w:szCs w:val="22"/>
                <w:lang w:val="en-CA"/>
              </w:rPr>
            </w:pPr>
            <w:r w:rsidRPr="005E6F92">
              <w:rPr>
                <w:rFonts w:asciiTheme="minorHAnsi" w:hAnsiTheme="minorHAnsi" w:cstheme="minorHAnsi"/>
                <w:bCs/>
                <w:sz w:val="22"/>
                <w:szCs w:val="22"/>
                <w:lang w:val="en-CA"/>
              </w:rPr>
              <w:t>100%</w:t>
            </w:r>
          </w:p>
        </w:tc>
      </w:tr>
    </w:tbl>
    <w:p w14:paraId="4F7E8372" w14:textId="77777777" w:rsidR="00223C23" w:rsidRDefault="002A76BE" w:rsidP="002A76BE">
      <w:pPr>
        <w:spacing w:after="120"/>
        <w:rPr>
          <w:rFonts w:asciiTheme="minorHAnsi" w:eastAsia="Calibri" w:hAnsiTheme="minorHAnsi" w:cstheme="minorHAnsi"/>
          <w:sz w:val="22"/>
          <w:szCs w:val="22"/>
          <w:lang w:val="en-CA"/>
        </w:rPr>
        <w:sectPr w:rsidR="00223C23" w:rsidSect="00BE7145">
          <w:pgSz w:w="12240" w:h="15840"/>
          <w:pgMar w:top="1440" w:right="1440" w:bottom="1440" w:left="1440" w:header="709" w:footer="284" w:gutter="0"/>
          <w:cols w:space="708"/>
          <w:titlePg/>
          <w:docGrid w:linePitch="360"/>
        </w:sectPr>
      </w:pPr>
      <w:r w:rsidRPr="00D43E1F">
        <w:rPr>
          <w:rFonts w:asciiTheme="minorHAnsi" w:eastAsia="Calibri" w:hAnsiTheme="minorHAnsi" w:cstheme="minorHAnsi"/>
          <w:sz w:val="22"/>
          <w:szCs w:val="22"/>
          <w:lang w:val="en-CA"/>
        </w:rPr>
        <w:t>Source: Priority Information Management System</w:t>
      </w:r>
    </w:p>
    <w:p w14:paraId="76267271" w14:textId="3C01519C" w:rsidR="002A76BE" w:rsidRPr="00D43E1F" w:rsidRDefault="002A76BE" w:rsidP="00223C23">
      <w:pPr>
        <w:pStyle w:val="Heading2"/>
        <w:spacing w:before="40"/>
        <w:rPr>
          <w:lang w:val="en-CA"/>
        </w:rPr>
      </w:pPr>
      <w:r w:rsidRPr="00D43E1F">
        <w:rPr>
          <w:lang w:val="en-CA"/>
        </w:rPr>
        <w:lastRenderedPageBreak/>
        <w:t>COVID-19 Related Priority Clearance Requests</w:t>
      </w:r>
    </w:p>
    <w:p w14:paraId="19A4B18E" w14:textId="41378118" w:rsidR="002A76BE" w:rsidRPr="00223C23" w:rsidRDefault="002A76BE" w:rsidP="002A76BE">
      <w:pPr>
        <w:pStyle w:val="NoSpacing"/>
        <w:rPr>
          <w:rFonts w:eastAsia="Calibri"/>
        </w:rPr>
      </w:pPr>
      <w:r w:rsidRPr="00223C23">
        <w:t>Since the Priority Entitlements Policy Division began monitoring priority entitlement clearances related to COVID-19, NRCan has submitted a total of five requests to staff six positions specifically linked to the pandemic.</w:t>
      </w:r>
    </w:p>
    <w:p w14:paraId="6947EB57" w14:textId="66B9C785" w:rsidR="002A76BE" w:rsidRPr="00D43E1F" w:rsidRDefault="00467596" w:rsidP="00223C23">
      <w:pPr>
        <w:pStyle w:val="Heading2"/>
        <w:spacing w:before="40"/>
        <w:rPr>
          <w:rFonts w:eastAsia="Calibri"/>
          <w:lang w:val="en-CA"/>
        </w:rPr>
      </w:pPr>
      <w:r w:rsidRPr="00D43E1F">
        <w:rPr>
          <w:rFonts w:eastAsia="Calibri"/>
          <w:lang w:val="en-CA"/>
        </w:rPr>
        <w:t>Persons with a Priority Entitlement</w:t>
      </w:r>
    </w:p>
    <w:p w14:paraId="2C8EE106" w14:textId="19694A22" w:rsidR="00467596" w:rsidRPr="00223C23" w:rsidRDefault="00467596" w:rsidP="00223C23">
      <w:pPr>
        <w:spacing w:after="120"/>
        <w:contextualSpacing/>
        <w:rPr>
          <w:rStyle w:val="Style11"/>
          <w:rFonts w:asciiTheme="minorHAnsi" w:eastAsia="Calibri" w:hAnsiTheme="minorHAnsi" w:cstheme="minorHAnsi"/>
          <w:color w:val="auto"/>
        </w:rPr>
      </w:pPr>
      <w:r w:rsidRPr="00223C23">
        <w:rPr>
          <w:rStyle w:val="Style11"/>
          <w:rFonts w:asciiTheme="minorHAnsi" w:eastAsia="Calibri" w:hAnsiTheme="minorHAnsi" w:cstheme="minorHAnsi"/>
          <w:color w:val="auto"/>
        </w:rPr>
        <w:t xml:space="preserve">As of </w:t>
      </w:r>
      <w:r w:rsidR="005B3CFC" w:rsidRPr="00223C23">
        <w:rPr>
          <w:rStyle w:val="Style11"/>
          <w:rFonts w:asciiTheme="minorHAnsi" w:eastAsia="Calibri" w:hAnsiTheme="minorHAnsi" w:cstheme="minorHAnsi"/>
          <w:color w:val="auto"/>
        </w:rPr>
        <w:t>September 29</w:t>
      </w:r>
      <w:r w:rsidRPr="00223C23">
        <w:rPr>
          <w:rStyle w:val="Style11"/>
          <w:rFonts w:asciiTheme="minorHAnsi" w:eastAsia="Calibri" w:hAnsiTheme="minorHAnsi" w:cstheme="minorHAnsi"/>
          <w:color w:val="auto"/>
        </w:rPr>
        <w:t xml:space="preserve">, 2020, </w:t>
      </w:r>
      <w:r w:rsidR="009C285D" w:rsidRPr="00223C23">
        <w:rPr>
          <w:rStyle w:val="Style11"/>
          <w:rFonts w:asciiTheme="minorHAnsi" w:hAnsiTheme="minorHAnsi" w:cstheme="minorHAnsi"/>
          <w:color w:val="auto"/>
        </w:rPr>
        <w:t>NRCan</w:t>
      </w:r>
      <w:r w:rsidR="0010202F" w:rsidRPr="00223C23">
        <w:rPr>
          <w:rStyle w:val="Style11"/>
          <w:rFonts w:asciiTheme="minorHAnsi" w:hAnsiTheme="minorHAnsi" w:cstheme="minorHAnsi"/>
          <w:color w:val="auto"/>
        </w:rPr>
        <w:t xml:space="preserve"> </w:t>
      </w:r>
      <w:r w:rsidRPr="00223C23">
        <w:rPr>
          <w:rStyle w:val="Style11"/>
          <w:rFonts w:asciiTheme="minorHAnsi" w:eastAsia="Calibri" w:hAnsiTheme="minorHAnsi" w:cstheme="minorHAnsi"/>
          <w:color w:val="auto"/>
        </w:rPr>
        <w:t xml:space="preserve">had </w:t>
      </w:r>
      <w:r w:rsidR="005B3CFC" w:rsidRPr="00223C23">
        <w:rPr>
          <w:rStyle w:val="Style11"/>
          <w:rFonts w:asciiTheme="minorHAnsi" w:eastAsia="Calibri" w:hAnsiTheme="minorHAnsi" w:cstheme="minorHAnsi"/>
          <w:color w:val="auto"/>
        </w:rPr>
        <w:t>7</w:t>
      </w:r>
      <w:r w:rsidRPr="00223C23">
        <w:rPr>
          <w:rStyle w:val="Style11"/>
          <w:rFonts w:asciiTheme="minorHAnsi" w:eastAsia="Calibri" w:hAnsiTheme="minorHAnsi" w:cstheme="minorHAnsi"/>
          <w:color w:val="auto"/>
        </w:rPr>
        <w:t xml:space="preserve"> </w:t>
      </w:r>
      <w:r w:rsidR="005B3CFC" w:rsidRPr="00223C23">
        <w:rPr>
          <w:rStyle w:val="Style11"/>
          <w:rFonts w:asciiTheme="minorHAnsi" w:eastAsia="Calibri" w:hAnsiTheme="minorHAnsi" w:cstheme="minorHAnsi"/>
          <w:color w:val="auto"/>
        </w:rPr>
        <w:t xml:space="preserve">PPEs </w:t>
      </w:r>
      <w:r w:rsidRPr="00223C23">
        <w:rPr>
          <w:rStyle w:val="Style11"/>
          <w:rFonts w:asciiTheme="minorHAnsi" w:eastAsia="Calibri" w:hAnsiTheme="minorHAnsi" w:cstheme="minorHAnsi"/>
          <w:color w:val="auto"/>
        </w:rPr>
        <w:t>activated in the Priority</w:t>
      </w:r>
      <w:r w:rsidR="005B3CFC" w:rsidRPr="00223C23">
        <w:rPr>
          <w:rStyle w:val="Style11"/>
          <w:rFonts w:asciiTheme="minorHAnsi" w:eastAsia="Calibri" w:hAnsiTheme="minorHAnsi" w:cstheme="minorHAnsi"/>
          <w:color w:val="auto"/>
        </w:rPr>
        <w:t xml:space="preserve"> Information Management System</w:t>
      </w:r>
      <w:r w:rsidR="00B0227B" w:rsidRPr="00223C23">
        <w:rPr>
          <w:rStyle w:val="Style11"/>
          <w:rFonts w:asciiTheme="minorHAnsi" w:eastAsia="Calibri" w:hAnsiTheme="minorHAnsi" w:cstheme="minorHAnsi"/>
          <w:color w:val="auto"/>
        </w:rPr>
        <w:t>.</w:t>
      </w:r>
    </w:p>
    <w:p w14:paraId="7526B6E1" w14:textId="77777777" w:rsidR="00B132A9" w:rsidRPr="00223C23" w:rsidRDefault="00B132A9" w:rsidP="002A76BE">
      <w:pPr>
        <w:pStyle w:val="Heading1"/>
        <w:contextualSpacing/>
      </w:pPr>
      <w:r w:rsidRPr="00223C23">
        <w:t>Non-Partisanship in the Public Service</w:t>
      </w:r>
    </w:p>
    <w:p w14:paraId="1189E313" w14:textId="4C6D9E1A" w:rsidR="00BD0485" w:rsidRPr="00223C23" w:rsidRDefault="00BD0485" w:rsidP="00223C23">
      <w:pPr>
        <w:pStyle w:val="NoSpacing"/>
        <w:spacing w:after="0"/>
      </w:pPr>
      <w:r w:rsidRPr="00223C23">
        <w:t>Since</w:t>
      </w:r>
      <w:r w:rsidR="00EA3E69" w:rsidRPr="00223C23">
        <w:t xml:space="preserve"> fiscal year</w:t>
      </w:r>
      <w:r w:rsidRPr="00223C23">
        <w:t xml:space="preserve"> 2006-</w:t>
      </w:r>
      <w:r w:rsidR="00EA3E69" w:rsidRPr="00223C23">
        <w:t>20</w:t>
      </w:r>
      <w:r w:rsidRPr="00223C23">
        <w:t xml:space="preserve">07, the PSC granted in total 23 permissions to seek nomination, and be, a candidate in an election from </w:t>
      </w:r>
      <w:r w:rsidR="00037889" w:rsidRPr="00223C23">
        <w:t xml:space="preserve">NRCan </w:t>
      </w:r>
      <w:r w:rsidRPr="00223C23">
        <w:t>employees:</w:t>
      </w:r>
    </w:p>
    <w:p w14:paraId="2E0A2A69" w14:textId="5CEB4B08" w:rsidR="00BD0485" w:rsidRPr="00223C23" w:rsidRDefault="00BD0485" w:rsidP="00223C23">
      <w:pPr>
        <w:pStyle w:val="ListParagraph"/>
        <w:numPr>
          <w:ilvl w:val="0"/>
          <w:numId w:val="2"/>
        </w:numPr>
        <w:spacing w:after="0"/>
        <w:rPr>
          <w:rFonts w:asciiTheme="minorHAnsi" w:hAnsiTheme="minorHAnsi" w:cstheme="minorHAnsi"/>
          <w:sz w:val="22"/>
          <w:szCs w:val="22"/>
          <w:lang w:val="en-CA"/>
        </w:rPr>
      </w:pPr>
      <w:r w:rsidRPr="00223C23">
        <w:rPr>
          <w:rFonts w:asciiTheme="minorHAnsi" w:hAnsiTheme="minorHAnsi" w:cstheme="minorHAnsi"/>
          <w:sz w:val="22"/>
          <w:szCs w:val="22"/>
          <w:lang w:val="en-CA"/>
        </w:rPr>
        <w:t>7 at the federal level</w:t>
      </w:r>
      <w:r w:rsidR="001B355D" w:rsidRPr="00223C23">
        <w:rPr>
          <w:rFonts w:asciiTheme="minorHAnsi" w:hAnsiTheme="minorHAnsi" w:cstheme="minorHAnsi"/>
          <w:sz w:val="22"/>
          <w:szCs w:val="22"/>
          <w:lang w:val="en-CA"/>
        </w:rPr>
        <w:t>;</w:t>
      </w:r>
    </w:p>
    <w:p w14:paraId="5709CEB1" w14:textId="49AA545D" w:rsidR="00BD0485" w:rsidRPr="00223C23" w:rsidRDefault="00BD0485" w:rsidP="00223C23">
      <w:pPr>
        <w:pStyle w:val="ListParagraph"/>
        <w:numPr>
          <w:ilvl w:val="0"/>
          <w:numId w:val="2"/>
        </w:numPr>
        <w:spacing w:after="0"/>
        <w:rPr>
          <w:rFonts w:asciiTheme="minorHAnsi" w:hAnsiTheme="minorHAnsi" w:cstheme="minorHAnsi"/>
          <w:sz w:val="22"/>
          <w:szCs w:val="22"/>
          <w:lang w:val="en-CA"/>
        </w:rPr>
      </w:pPr>
      <w:r w:rsidRPr="00223C23">
        <w:rPr>
          <w:rFonts w:asciiTheme="minorHAnsi" w:hAnsiTheme="minorHAnsi" w:cstheme="minorHAnsi"/>
          <w:sz w:val="22"/>
          <w:szCs w:val="22"/>
          <w:lang w:val="en-CA"/>
        </w:rPr>
        <w:t>1 at the provincial level</w:t>
      </w:r>
      <w:r w:rsidR="001B355D" w:rsidRPr="00223C23">
        <w:rPr>
          <w:rFonts w:asciiTheme="minorHAnsi" w:hAnsiTheme="minorHAnsi" w:cstheme="minorHAnsi"/>
          <w:sz w:val="22"/>
          <w:szCs w:val="22"/>
          <w:lang w:val="en-CA"/>
        </w:rPr>
        <w:t>;</w:t>
      </w:r>
    </w:p>
    <w:p w14:paraId="2E4B4042" w14:textId="2E989A44" w:rsidR="00BD0485" w:rsidRPr="00223C23" w:rsidRDefault="00BD0485" w:rsidP="00223C23">
      <w:pPr>
        <w:pStyle w:val="ListParagraph"/>
        <w:numPr>
          <w:ilvl w:val="0"/>
          <w:numId w:val="2"/>
        </w:numPr>
        <w:spacing w:after="0"/>
        <w:rPr>
          <w:rFonts w:asciiTheme="minorHAnsi" w:hAnsiTheme="minorHAnsi" w:cstheme="minorHAnsi"/>
          <w:sz w:val="22"/>
          <w:szCs w:val="22"/>
          <w:lang w:val="en-CA"/>
        </w:rPr>
      </w:pPr>
      <w:r w:rsidRPr="00223C23">
        <w:rPr>
          <w:rFonts w:asciiTheme="minorHAnsi" w:hAnsiTheme="minorHAnsi" w:cstheme="minorHAnsi"/>
          <w:sz w:val="22"/>
          <w:szCs w:val="22"/>
          <w:lang w:val="en-CA"/>
        </w:rPr>
        <w:t>3 at the territorial level</w:t>
      </w:r>
      <w:r w:rsidR="001B355D" w:rsidRPr="00223C23">
        <w:rPr>
          <w:rFonts w:asciiTheme="minorHAnsi" w:hAnsiTheme="minorHAnsi" w:cstheme="minorHAnsi"/>
          <w:sz w:val="22"/>
          <w:szCs w:val="22"/>
          <w:lang w:val="en-CA"/>
        </w:rPr>
        <w:t>; and</w:t>
      </w:r>
    </w:p>
    <w:p w14:paraId="17ECE34B" w14:textId="2F62F5A6" w:rsidR="00BD0485" w:rsidRPr="00223C23" w:rsidRDefault="00BD0485" w:rsidP="00223C23">
      <w:pPr>
        <w:pStyle w:val="ListParagraph"/>
        <w:numPr>
          <w:ilvl w:val="0"/>
          <w:numId w:val="2"/>
        </w:numPr>
        <w:spacing w:after="120"/>
        <w:rPr>
          <w:rFonts w:asciiTheme="minorHAnsi" w:hAnsiTheme="minorHAnsi" w:cstheme="minorHAnsi"/>
          <w:sz w:val="22"/>
          <w:szCs w:val="22"/>
          <w:lang w:val="en-CA"/>
        </w:rPr>
      </w:pPr>
      <w:r w:rsidRPr="00223C23">
        <w:rPr>
          <w:rFonts w:asciiTheme="minorHAnsi" w:hAnsiTheme="minorHAnsi" w:cstheme="minorHAnsi"/>
          <w:sz w:val="22"/>
          <w:szCs w:val="22"/>
          <w:lang w:val="en-CA"/>
        </w:rPr>
        <w:t>12 at the municipal level</w:t>
      </w:r>
      <w:r w:rsidR="001B355D" w:rsidRPr="00223C23">
        <w:rPr>
          <w:rFonts w:asciiTheme="minorHAnsi" w:hAnsiTheme="minorHAnsi" w:cstheme="minorHAnsi"/>
          <w:sz w:val="22"/>
          <w:szCs w:val="22"/>
          <w:lang w:val="en-CA"/>
        </w:rPr>
        <w:t>.</w:t>
      </w:r>
    </w:p>
    <w:p w14:paraId="4244A540" w14:textId="5B3B1644" w:rsidR="007378D3" w:rsidRPr="00223C23" w:rsidRDefault="00BD0485" w:rsidP="00072A3C">
      <w:pPr>
        <w:pStyle w:val="NoSpacing"/>
      </w:pPr>
      <w:r w:rsidRPr="00223C23">
        <w:t xml:space="preserve">Currently, there are no </w:t>
      </w:r>
      <w:r w:rsidR="00037889" w:rsidRPr="00223C23">
        <w:t xml:space="preserve">NRCan </w:t>
      </w:r>
      <w:r w:rsidRPr="00223C23">
        <w:t>employees elected at the municipal level, and there were no requests for permission for the 2019 federal election.</w:t>
      </w:r>
    </w:p>
    <w:p w14:paraId="3D960517" w14:textId="79CD2A16" w:rsidR="00304BC2" w:rsidRPr="00223C23" w:rsidRDefault="00304BC2" w:rsidP="00223C23">
      <w:pPr>
        <w:pStyle w:val="NoSpacing"/>
        <w:spacing w:after="0"/>
      </w:pPr>
      <w:r w:rsidRPr="00223C23">
        <w:t>According to the SNPS:</w:t>
      </w:r>
    </w:p>
    <w:p w14:paraId="704E1DDC" w14:textId="2EA981AF" w:rsidR="00304BC2" w:rsidRPr="00223C23" w:rsidRDefault="00443566" w:rsidP="00223C23">
      <w:pPr>
        <w:pStyle w:val="ListParagraph"/>
        <w:numPr>
          <w:ilvl w:val="0"/>
          <w:numId w:val="2"/>
        </w:numPr>
        <w:spacing w:after="120"/>
        <w:rPr>
          <w:rFonts w:asciiTheme="minorHAnsi" w:hAnsiTheme="minorHAnsi" w:cstheme="minorHAnsi"/>
          <w:sz w:val="22"/>
          <w:szCs w:val="22"/>
          <w:lang w:val="en-CA"/>
        </w:rPr>
      </w:pPr>
      <w:r w:rsidRPr="00223C23">
        <w:rPr>
          <w:rFonts w:asciiTheme="minorHAnsi" w:hAnsiTheme="minorHAnsi" w:cstheme="minorHAnsi"/>
          <w:sz w:val="22"/>
          <w:szCs w:val="22"/>
        </w:rPr>
        <w:t>80.4</w:t>
      </w:r>
      <w:r w:rsidR="00304BC2" w:rsidRPr="00223C23">
        <w:rPr>
          <w:rFonts w:asciiTheme="minorHAnsi" w:hAnsiTheme="minorHAnsi" w:cstheme="minorHAnsi"/>
          <w:sz w:val="22"/>
          <w:szCs w:val="22"/>
        </w:rPr>
        <w:t>% of the respondents indicated that they are aware of their rights and obligations for engaging in political activities to a moderate and great extent, which is similar to the Publi</w:t>
      </w:r>
      <w:r w:rsidRPr="00223C23">
        <w:rPr>
          <w:rFonts w:asciiTheme="minorHAnsi" w:hAnsiTheme="minorHAnsi" w:cstheme="minorHAnsi"/>
          <w:sz w:val="22"/>
          <w:szCs w:val="22"/>
        </w:rPr>
        <w:t>c Service in general, with 80.1</w:t>
      </w:r>
      <w:r w:rsidR="00304BC2" w:rsidRPr="00223C23">
        <w:rPr>
          <w:rFonts w:asciiTheme="minorHAnsi" w:hAnsiTheme="minorHAnsi" w:cstheme="minorHAnsi"/>
          <w:sz w:val="22"/>
          <w:szCs w:val="22"/>
        </w:rPr>
        <w:t>%.</w:t>
      </w:r>
    </w:p>
    <w:p w14:paraId="7FDC768E" w14:textId="01AC4430" w:rsidR="00304BC2" w:rsidRPr="00223C23" w:rsidRDefault="00B76438" w:rsidP="00223C23">
      <w:pPr>
        <w:pStyle w:val="ListParagraph"/>
        <w:numPr>
          <w:ilvl w:val="0"/>
          <w:numId w:val="2"/>
        </w:numPr>
        <w:spacing w:after="120"/>
        <w:rPr>
          <w:rFonts w:asciiTheme="minorHAnsi" w:hAnsiTheme="minorHAnsi" w:cstheme="minorHAnsi"/>
          <w:sz w:val="22"/>
          <w:szCs w:val="22"/>
          <w:lang w:val="en-CA"/>
        </w:rPr>
      </w:pPr>
      <w:r w:rsidRPr="00223C23">
        <w:rPr>
          <w:rFonts w:asciiTheme="minorHAnsi" w:hAnsiTheme="minorHAnsi" w:cstheme="minorHAnsi"/>
          <w:sz w:val="22"/>
          <w:szCs w:val="22"/>
        </w:rPr>
        <w:t>2.8</w:t>
      </w:r>
      <w:r w:rsidR="00304BC2" w:rsidRPr="00223C23">
        <w:rPr>
          <w:rFonts w:asciiTheme="minorHAnsi" w:hAnsiTheme="minorHAnsi" w:cstheme="minorHAnsi"/>
          <w:sz w:val="22"/>
          <w:szCs w:val="22"/>
        </w:rPr>
        <w:t>% of the respondents indicated that they engaged in political activities, other than voting or seeking political candidacy, between January 1 and Dec</w:t>
      </w:r>
      <w:r w:rsidRPr="00223C23">
        <w:rPr>
          <w:rFonts w:asciiTheme="minorHAnsi" w:hAnsiTheme="minorHAnsi" w:cstheme="minorHAnsi"/>
          <w:sz w:val="22"/>
          <w:szCs w:val="22"/>
        </w:rPr>
        <w:t>ember 21, 2017, compared to 2.4% in the public s</w:t>
      </w:r>
      <w:r w:rsidR="00304BC2" w:rsidRPr="00223C23">
        <w:rPr>
          <w:rFonts w:asciiTheme="minorHAnsi" w:hAnsiTheme="minorHAnsi" w:cstheme="minorHAnsi"/>
          <w:sz w:val="22"/>
          <w:szCs w:val="22"/>
        </w:rPr>
        <w:t>ervice in general.</w:t>
      </w:r>
    </w:p>
    <w:p w14:paraId="361181A5" w14:textId="4AF95556" w:rsidR="00B132A9" w:rsidRPr="00223C23" w:rsidRDefault="00B132A9" w:rsidP="002A76BE">
      <w:pPr>
        <w:pStyle w:val="Heading1"/>
      </w:pPr>
      <w:r w:rsidRPr="00223C23">
        <w:t>P</w:t>
      </w:r>
      <w:r w:rsidR="00C27518" w:rsidRPr="00223C23">
        <w:t xml:space="preserve">ublic </w:t>
      </w:r>
      <w:r w:rsidRPr="00223C23">
        <w:t>S</w:t>
      </w:r>
      <w:r w:rsidR="00C27518" w:rsidRPr="00223C23">
        <w:t xml:space="preserve">ervice </w:t>
      </w:r>
      <w:r w:rsidRPr="00223C23">
        <w:t>C</w:t>
      </w:r>
      <w:r w:rsidR="00C27518" w:rsidRPr="00223C23">
        <w:t>ommission</w:t>
      </w:r>
      <w:r w:rsidRPr="00223C23">
        <w:t xml:space="preserve"> Initiatives</w:t>
      </w:r>
    </w:p>
    <w:p w14:paraId="2E1E9E36" w14:textId="0ED98FAA" w:rsidR="00F836C6" w:rsidRPr="00223C23" w:rsidRDefault="00F836C6" w:rsidP="00072A3C">
      <w:pPr>
        <w:pStyle w:val="NoSpacing"/>
      </w:pPr>
      <w:r w:rsidRPr="00223C23">
        <w:t xml:space="preserve">The PSC is reviewing the </w:t>
      </w:r>
      <w:r w:rsidRPr="009C38A1">
        <w:rPr>
          <w:rStyle w:val="Emphasis"/>
        </w:rPr>
        <w:t>Public Service Employment Regulations</w:t>
      </w:r>
      <w:r w:rsidRPr="00223C23">
        <w:t xml:space="preserve"> - a key instrument in support of the </w:t>
      </w:r>
      <w:r w:rsidRPr="009C38A1">
        <w:rPr>
          <w:rStyle w:val="Emphasis"/>
        </w:rPr>
        <w:t>Public Service Employment Act</w:t>
      </w:r>
      <w:r w:rsidRPr="00223C23">
        <w:t>. The objective</w:t>
      </w:r>
      <w:r w:rsidR="00463875" w:rsidRPr="00223C23">
        <w:t>s</w:t>
      </w:r>
      <w:r w:rsidRPr="00223C23">
        <w:t xml:space="preserve"> of the review are to address the current and emerging needs of hiring organizations and eliminate any unnecessary requirements.</w:t>
      </w:r>
    </w:p>
    <w:p w14:paraId="4190B41C" w14:textId="6E4F3A60" w:rsidR="00F836C6" w:rsidRPr="00223C23" w:rsidRDefault="00F836C6" w:rsidP="00072A3C">
      <w:pPr>
        <w:pStyle w:val="NoSpacing"/>
      </w:pPr>
      <w:r w:rsidRPr="00223C23">
        <w:t xml:space="preserve">The PSC engaged with stakeholders, including NRCan, to seek out views on the application of the regulations, and consulted them on a proposed model. The PSC is currently analyzing feedback from all stakeholders and refining the model, as needed. </w:t>
      </w:r>
    </w:p>
    <w:p w14:paraId="3F8D6C6D" w14:textId="77777777" w:rsidR="00B132A9" w:rsidRPr="00D43E1F" w:rsidRDefault="00B132A9" w:rsidP="002A76BE">
      <w:pPr>
        <w:pStyle w:val="Heading1"/>
      </w:pPr>
      <w:r w:rsidRPr="00D43E1F">
        <w:lastRenderedPageBreak/>
        <w:t>Recruitment Programs</w:t>
      </w:r>
    </w:p>
    <w:p w14:paraId="2162B59A" w14:textId="5FB880EE" w:rsidR="007F1D49" w:rsidRPr="00D43E1F" w:rsidRDefault="007F1D49" w:rsidP="009C38A1">
      <w:pPr>
        <w:pStyle w:val="Heading2"/>
        <w:spacing w:before="40"/>
      </w:pPr>
      <w:r w:rsidRPr="00D43E1F">
        <w:t>Federal Internship Program for Can</w:t>
      </w:r>
      <w:r w:rsidR="007E61DE" w:rsidRPr="00D43E1F">
        <w:t xml:space="preserve">adians with Disabilities </w:t>
      </w:r>
    </w:p>
    <w:p w14:paraId="102A9929" w14:textId="55DC8573" w:rsidR="00AA03F8" w:rsidRPr="00D43E1F" w:rsidRDefault="00F83089" w:rsidP="002A76BE">
      <w:pPr>
        <w:pStyle w:val="NoSpacing"/>
      </w:pPr>
      <w:r w:rsidRPr="00D43E1F">
        <w:t xml:space="preserve">Although NRCan is not </w:t>
      </w:r>
      <w:r w:rsidR="00BF28EE" w:rsidRPr="00D43E1F">
        <w:t xml:space="preserve">currently </w:t>
      </w:r>
      <w:r w:rsidRPr="00D43E1F">
        <w:t xml:space="preserve">participating in the </w:t>
      </w:r>
      <w:r w:rsidR="007E61DE" w:rsidRPr="00D43E1F">
        <w:t>Federal Internship Program for Canadian with Disabilities (</w:t>
      </w:r>
      <w:r w:rsidRPr="00D43E1F">
        <w:t>FIPCD</w:t>
      </w:r>
      <w:r w:rsidR="007E61DE" w:rsidRPr="00D43E1F">
        <w:t>)</w:t>
      </w:r>
      <w:r w:rsidRPr="00D43E1F">
        <w:t xml:space="preserve">, </w:t>
      </w:r>
      <w:r w:rsidR="00BF28EE" w:rsidRPr="00D43E1F">
        <w:t>this program is a great initiative to contribute to the Government of Canada’s Accessibility Strateg</w:t>
      </w:r>
      <w:r w:rsidR="00AB740B" w:rsidRPr="00D43E1F">
        <w:t xml:space="preserve">y. </w:t>
      </w:r>
      <w:r w:rsidR="007F1D49" w:rsidRPr="00D43E1F">
        <w:t xml:space="preserve">The program offers for a 50% salary reimbursement to hiring departments for the duration of the internship period. </w:t>
      </w:r>
    </w:p>
    <w:p w14:paraId="6359C0F8" w14:textId="7701F507" w:rsidR="00AB740B" w:rsidRPr="00D43E1F" w:rsidRDefault="00AB740B" w:rsidP="002A76BE">
      <w:pPr>
        <w:pStyle w:val="NoSpacing"/>
      </w:pPr>
      <w:r w:rsidRPr="00D43E1F">
        <w:t>In addition, the program provides managers and interns with career coaching services and tools to support the interns’ development such as recommended training offered by the Canada School of Public Service.</w:t>
      </w:r>
    </w:p>
    <w:p w14:paraId="4D427024" w14:textId="1F9FB568" w:rsidR="007F1D49" w:rsidRPr="00D43E1F" w:rsidRDefault="007F1D49" w:rsidP="009C38A1">
      <w:pPr>
        <w:pStyle w:val="Heading2"/>
        <w:spacing w:before="40"/>
        <w:rPr>
          <w:lang w:val="en-CA"/>
        </w:rPr>
      </w:pPr>
      <w:r w:rsidRPr="00D43E1F">
        <w:rPr>
          <w:lang w:val="en-CA"/>
        </w:rPr>
        <w:t xml:space="preserve">Employment Opportunity for </w:t>
      </w:r>
      <w:r w:rsidR="00157E41" w:rsidRPr="00D43E1F">
        <w:rPr>
          <w:lang w:val="en-CA"/>
        </w:rPr>
        <w:t>Students with Disabilities</w:t>
      </w:r>
      <w:r w:rsidRPr="00D43E1F">
        <w:rPr>
          <w:lang w:val="en-CA"/>
        </w:rPr>
        <w:t>/ Indigenous Stude</w:t>
      </w:r>
      <w:r w:rsidR="00157E41" w:rsidRPr="00D43E1F">
        <w:rPr>
          <w:lang w:val="en-CA"/>
        </w:rPr>
        <w:t xml:space="preserve">nt Employment Opportunity </w:t>
      </w:r>
    </w:p>
    <w:p w14:paraId="4233C273" w14:textId="42A005AE" w:rsidR="00726417" w:rsidRPr="009C38A1" w:rsidRDefault="00AB740B" w:rsidP="002A76BE">
      <w:pPr>
        <w:pStyle w:val="NoSpacing"/>
      </w:pPr>
      <w:r w:rsidRPr="009C38A1">
        <w:t xml:space="preserve">While </w:t>
      </w:r>
      <w:r w:rsidR="00590A8C" w:rsidRPr="009C38A1">
        <w:t xml:space="preserve">NRCan has not </w:t>
      </w:r>
      <w:r w:rsidRPr="009C38A1">
        <w:t xml:space="preserve">currently </w:t>
      </w:r>
      <w:r w:rsidR="00590A8C" w:rsidRPr="009C38A1">
        <w:t>s</w:t>
      </w:r>
      <w:r w:rsidRPr="009C38A1">
        <w:t>ubmitted requests for referrals, t</w:t>
      </w:r>
      <w:r w:rsidR="007F1D49" w:rsidRPr="009C38A1">
        <w:t xml:space="preserve">he </w:t>
      </w:r>
      <w:r w:rsidR="00157E41" w:rsidRPr="009C38A1">
        <w:t xml:space="preserve">Employment Opportunity for Students with </w:t>
      </w:r>
      <w:r w:rsidR="00157E41" w:rsidRPr="0054669B">
        <w:t>Disabilities (</w:t>
      </w:r>
      <w:r w:rsidR="007F1D49" w:rsidRPr="0054669B">
        <w:t>EOSD</w:t>
      </w:r>
      <w:r w:rsidR="00157E41" w:rsidRPr="0054669B">
        <w:t>)</w:t>
      </w:r>
      <w:r w:rsidR="00157E41" w:rsidRPr="009C38A1">
        <w:t xml:space="preserve"> </w:t>
      </w:r>
      <w:r w:rsidR="007F1D49" w:rsidRPr="009C38A1">
        <w:t>and</w:t>
      </w:r>
      <w:r w:rsidR="00157E41" w:rsidRPr="009C38A1">
        <w:t xml:space="preserve"> Indigenous Student Employment Oppor</w:t>
      </w:r>
      <w:r w:rsidR="00157E41" w:rsidRPr="0054669B">
        <w:t>tunity</w:t>
      </w:r>
      <w:r w:rsidR="007F1D49" w:rsidRPr="0054669B">
        <w:t xml:space="preserve"> </w:t>
      </w:r>
      <w:r w:rsidR="00157E41" w:rsidRPr="0054669B">
        <w:t>(</w:t>
      </w:r>
      <w:r w:rsidR="007F1D49" w:rsidRPr="0054669B">
        <w:t>ISEO</w:t>
      </w:r>
      <w:r w:rsidR="00157E41" w:rsidRPr="0054669B">
        <w:t>)</w:t>
      </w:r>
      <w:r w:rsidR="007F1D49" w:rsidRPr="0054669B">
        <w:t xml:space="preserve"> are</w:t>
      </w:r>
      <w:r w:rsidR="007F1D49" w:rsidRPr="009C38A1">
        <w:t xml:space="preserve"> excellent recruitment options to increase diversity in the workplace by hiring students living with disabilities or indigenous students. Managers and students are provided with resources, such as onboarding tools, training, and networking events. </w:t>
      </w:r>
    </w:p>
    <w:p w14:paraId="6EC9DD6A" w14:textId="56B7928A" w:rsidR="007F1D49" w:rsidRPr="009C38A1" w:rsidRDefault="007F1D49" w:rsidP="009C38A1">
      <w:pPr>
        <w:pStyle w:val="NoSpacing"/>
        <w:spacing w:after="0"/>
      </w:pPr>
      <w:r w:rsidRPr="009C38A1">
        <w:t xml:space="preserve">The candidates from both these initiatives are available year-round in the </w:t>
      </w:r>
      <w:r w:rsidR="00252A8D" w:rsidRPr="009C38A1">
        <w:t>Federal Student Work Experience Program (</w:t>
      </w:r>
      <w:r w:rsidRPr="009C38A1">
        <w:t>FSWEP</w:t>
      </w:r>
      <w:r w:rsidR="00252A8D" w:rsidRPr="009C38A1">
        <w:t>)</w:t>
      </w:r>
      <w:r w:rsidRPr="009C38A1">
        <w:t xml:space="preserve"> ongoing inventory.</w:t>
      </w:r>
    </w:p>
    <w:p w14:paraId="51402DF5" w14:textId="25547402" w:rsidR="007F1D49" w:rsidRPr="009C38A1" w:rsidRDefault="007F1D49" w:rsidP="009C38A1">
      <w:pPr>
        <w:pStyle w:val="NoSpacing"/>
        <w:numPr>
          <w:ilvl w:val="0"/>
          <w:numId w:val="19"/>
        </w:numPr>
        <w:spacing w:after="0"/>
      </w:pPr>
      <w:r w:rsidRPr="009C38A1">
        <w:t>Number of available students in EOSD</w:t>
      </w:r>
      <w:r w:rsidRPr="009C38A1">
        <w:rPr>
          <w:vertAlign w:val="superscript"/>
        </w:rPr>
        <w:footnoteReference w:id="1"/>
      </w:r>
      <w:r w:rsidRPr="009C38A1">
        <w:t xml:space="preserve">: </w:t>
      </w:r>
      <w:r w:rsidR="00590A8C" w:rsidRPr="009C38A1">
        <w:t>3,714</w:t>
      </w:r>
    </w:p>
    <w:p w14:paraId="262FF2FC" w14:textId="6AB1B65F" w:rsidR="007F1D49" w:rsidRPr="009C38A1" w:rsidRDefault="007F1D49" w:rsidP="0074458B">
      <w:pPr>
        <w:pStyle w:val="NoSpacing"/>
        <w:numPr>
          <w:ilvl w:val="0"/>
          <w:numId w:val="19"/>
        </w:numPr>
      </w:pPr>
      <w:r w:rsidRPr="009C38A1">
        <w:t>Number of available students in ISEO</w:t>
      </w:r>
      <w:r w:rsidRPr="009C38A1">
        <w:rPr>
          <w:vertAlign w:val="superscript"/>
        </w:rPr>
        <w:footnoteReference w:id="2"/>
      </w:r>
      <w:r w:rsidRPr="009C38A1">
        <w:t xml:space="preserve">: </w:t>
      </w:r>
      <w:r w:rsidR="00590A8C" w:rsidRPr="009C38A1">
        <w:t>2,263</w:t>
      </w:r>
    </w:p>
    <w:p w14:paraId="6ECE1620" w14:textId="3409F3E1" w:rsidR="007F1D49" w:rsidRPr="00D43E1F" w:rsidRDefault="007F1D49" w:rsidP="0074458B">
      <w:pPr>
        <w:pStyle w:val="Heading2"/>
        <w:rPr>
          <w:lang w:val="en-CA"/>
        </w:rPr>
      </w:pPr>
      <w:r w:rsidRPr="00D43E1F">
        <w:rPr>
          <w:lang w:val="en-CA"/>
        </w:rPr>
        <w:t xml:space="preserve">Federal Student </w:t>
      </w:r>
      <w:r w:rsidR="00D8567D" w:rsidRPr="00D43E1F">
        <w:rPr>
          <w:lang w:val="en-CA"/>
        </w:rPr>
        <w:t xml:space="preserve">Work </w:t>
      </w:r>
      <w:r w:rsidR="00D8567D" w:rsidRPr="00D43E1F">
        <w:t>Experience</w:t>
      </w:r>
      <w:r w:rsidR="00D8567D" w:rsidRPr="00D43E1F">
        <w:rPr>
          <w:lang w:val="en-CA"/>
        </w:rPr>
        <w:t xml:space="preserve"> Program </w:t>
      </w:r>
      <w:r w:rsidR="0074458B" w:rsidRPr="00D43E1F">
        <w:rPr>
          <w:lang w:val="en-CA"/>
        </w:rPr>
        <w:t>(FSWEP)</w:t>
      </w:r>
    </w:p>
    <w:p w14:paraId="37D0B198" w14:textId="77777777" w:rsidR="00726417" w:rsidRPr="00D43E1F" w:rsidRDefault="009C285D" w:rsidP="0074458B">
      <w:pPr>
        <w:pStyle w:val="NoSpacing"/>
      </w:pPr>
      <w:r w:rsidRPr="00D43E1F">
        <w:t>NRCan</w:t>
      </w:r>
      <w:r w:rsidR="0010202F" w:rsidRPr="00D43E1F">
        <w:t xml:space="preserve"> </w:t>
      </w:r>
      <w:r w:rsidR="007F1D49" w:rsidRPr="00D43E1F">
        <w:t xml:space="preserve">has submitted </w:t>
      </w:r>
      <w:r w:rsidR="009D293F" w:rsidRPr="00D43E1F">
        <w:t>114</w:t>
      </w:r>
      <w:r w:rsidR="007F1D49" w:rsidRPr="00D43E1F">
        <w:rPr>
          <w:color w:val="FF0000"/>
        </w:rPr>
        <w:t xml:space="preserve"> </w:t>
      </w:r>
      <w:r w:rsidR="007F1D49" w:rsidRPr="00D43E1F">
        <w:t xml:space="preserve">requests for referrals from </w:t>
      </w:r>
      <w:hyperlink r:id="rId15" w:history="1">
        <w:r w:rsidR="007F1D49" w:rsidRPr="00D43E1F">
          <w:t>FSWEP</w:t>
        </w:r>
      </w:hyperlink>
      <w:r w:rsidR="007F1D49" w:rsidRPr="00D43E1F">
        <w:t xml:space="preserve"> in 2020. This program remains an excellent way for an organization to renew its workforce and bring new energy, ideas and approaches to its workplace. </w:t>
      </w:r>
    </w:p>
    <w:p w14:paraId="7333C58E" w14:textId="5C39F028" w:rsidR="007F1D49" w:rsidRPr="00D43E1F" w:rsidRDefault="007F1D49" w:rsidP="0074458B">
      <w:pPr>
        <w:pStyle w:val="NoSpacing"/>
      </w:pPr>
      <w:r w:rsidRPr="00D43E1F">
        <w:t xml:space="preserve">The number of available students in this program is </w:t>
      </w:r>
      <w:r w:rsidR="009D293F" w:rsidRPr="00D43E1F">
        <w:t>74,468</w:t>
      </w:r>
      <w:r w:rsidRPr="00D43E1F">
        <w:rPr>
          <w:vertAlign w:val="superscript"/>
        </w:rPr>
        <w:footnoteReference w:id="3"/>
      </w:r>
      <w:r w:rsidRPr="00D43E1F">
        <w:t xml:space="preserve">. For reference, please visit the </w:t>
      </w:r>
      <w:hyperlink r:id="rId16" w:history="1">
        <w:r w:rsidRPr="00D43E1F">
          <w:t>Monthly FSWEP Dashboards</w:t>
        </w:r>
      </w:hyperlink>
      <w:r w:rsidRPr="00D43E1F">
        <w:t>.</w:t>
      </w:r>
    </w:p>
    <w:p w14:paraId="3103B460" w14:textId="4FC01B52" w:rsidR="007F1D49" w:rsidRPr="00D43E1F" w:rsidRDefault="00D8567D" w:rsidP="009C38A1">
      <w:pPr>
        <w:pStyle w:val="Heading2"/>
        <w:spacing w:before="40"/>
        <w:rPr>
          <w:lang w:val="en-CA"/>
        </w:rPr>
      </w:pPr>
      <w:r w:rsidRPr="00D43E1F">
        <w:rPr>
          <w:lang w:val="en-CA"/>
        </w:rPr>
        <w:t xml:space="preserve">Post-Secondary Recruitment </w:t>
      </w:r>
    </w:p>
    <w:p w14:paraId="7BF61E96" w14:textId="3BA26785" w:rsidR="00726417" w:rsidRPr="00D43E1F" w:rsidRDefault="009C285D" w:rsidP="0074458B">
      <w:pPr>
        <w:pStyle w:val="NoSpacing"/>
      </w:pPr>
      <w:r w:rsidRPr="00D43E1F">
        <w:t xml:space="preserve">NRCan </w:t>
      </w:r>
      <w:r w:rsidR="007F1D49" w:rsidRPr="00D43E1F">
        <w:t xml:space="preserve">has submitted </w:t>
      </w:r>
      <w:r w:rsidR="00DA0C0E" w:rsidRPr="00D43E1F">
        <w:t>one</w:t>
      </w:r>
      <w:r w:rsidR="007F1D49" w:rsidRPr="00D43E1F">
        <w:t xml:space="preserve"> req</w:t>
      </w:r>
      <w:r w:rsidR="00D8567D" w:rsidRPr="00D43E1F">
        <w:t>uest for referrals from the Post-Secondary Recruitment</w:t>
      </w:r>
      <w:r w:rsidR="007F1D49" w:rsidRPr="00D43E1F">
        <w:t xml:space="preserve"> inventories</w:t>
      </w:r>
      <w:r w:rsidR="00DA0C0E" w:rsidRPr="00D43E1F">
        <w:t xml:space="preserve"> to staff an EC-03 position</w:t>
      </w:r>
      <w:r w:rsidR="007F1D49" w:rsidRPr="00D43E1F">
        <w:t xml:space="preserve">. These </w:t>
      </w:r>
      <w:r w:rsidR="00DA0C0E" w:rsidRPr="00D43E1F">
        <w:t xml:space="preserve">inventories </w:t>
      </w:r>
      <w:r w:rsidR="007F1D49" w:rsidRPr="00D43E1F">
        <w:t xml:space="preserve">were </w:t>
      </w:r>
      <w:r w:rsidR="00AB740B" w:rsidRPr="00D43E1F">
        <w:t xml:space="preserve">established </w:t>
      </w:r>
      <w:r w:rsidR="007F1D49" w:rsidRPr="00D43E1F">
        <w:t xml:space="preserve">to </w:t>
      </w:r>
      <w:r w:rsidR="00AB740B" w:rsidRPr="00D43E1F">
        <w:t xml:space="preserve">help </w:t>
      </w:r>
      <w:r w:rsidR="007F1D49" w:rsidRPr="00D43E1F">
        <w:t xml:space="preserve">staff positions </w:t>
      </w:r>
      <w:r w:rsidR="00AB740B" w:rsidRPr="00D43E1F">
        <w:t xml:space="preserve">in </w:t>
      </w:r>
      <w:r w:rsidR="007F1D49" w:rsidRPr="00D43E1F">
        <w:t xml:space="preserve">the AS, CS, EC, EN, IS and PM classifications. </w:t>
      </w:r>
    </w:p>
    <w:p w14:paraId="387713FE" w14:textId="54EB20D2" w:rsidR="007F1D49" w:rsidRPr="00D43E1F" w:rsidRDefault="007F1D49" w:rsidP="009C38A1">
      <w:pPr>
        <w:pStyle w:val="Heading2"/>
        <w:spacing w:before="40"/>
        <w:rPr>
          <w:lang w:val="en-CA"/>
        </w:rPr>
      </w:pPr>
      <w:r w:rsidRPr="00D43E1F">
        <w:rPr>
          <w:lang w:val="en-CA"/>
        </w:rPr>
        <w:lastRenderedPageBreak/>
        <w:t>Participation in initia</w:t>
      </w:r>
      <w:r w:rsidR="00926382" w:rsidRPr="00D43E1F">
        <w:rPr>
          <w:lang w:val="en-CA"/>
        </w:rPr>
        <w:t>tives related to the hiring of Indigenous P</w:t>
      </w:r>
      <w:r w:rsidRPr="00D43E1F">
        <w:rPr>
          <w:lang w:val="en-CA"/>
        </w:rPr>
        <w:t>eoples</w:t>
      </w:r>
    </w:p>
    <w:p w14:paraId="56F77C09" w14:textId="0617B1A6" w:rsidR="00726417" w:rsidRPr="009C38A1" w:rsidRDefault="00BC56F3" w:rsidP="0074458B">
      <w:pPr>
        <w:pStyle w:val="NoSpacing"/>
      </w:pPr>
      <w:r w:rsidRPr="009C38A1">
        <w:t>Although N</w:t>
      </w:r>
      <w:r w:rsidR="0098248A" w:rsidRPr="009C38A1">
        <w:t xml:space="preserve">RCan </w:t>
      </w:r>
      <w:r w:rsidRPr="009C38A1">
        <w:t>has not</w:t>
      </w:r>
      <w:r w:rsidR="008D32C9" w:rsidRPr="009C38A1">
        <w:t xml:space="preserve"> yet</w:t>
      </w:r>
      <w:r w:rsidRPr="009C38A1">
        <w:t xml:space="preserve"> consulted the PSC’s Aboriginal Centre of Expertise (ACE) regarding Indigenous recruitment, </w:t>
      </w:r>
      <w:r w:rsidR="008D32C9" w:rsidRPr="009C38A1">
        <w:t xml:space="preserve">the </w:t>
      </w:r>
      <w:r w:rsidRPr="009C38A1">
        <w:t>ACE and the Office of the</w:t>
      </w:r>
      <w:r w:rsidR="00DC61CA" w:rsidRPr="009C38A1">
        <w:t xml:space="preserve"> Chief Human Resources Officer </w:t>
      </w:r>
      <w:r w:rsidRPr="009C38A1">
        <w:t>have developed</w:t>
      </w:r>
      <w:r w:rsidR="00DC61CA" w:rsidRPr="009C38A1">
        <w:t xml:space="preserve"> an Indigenous Career Pathways</w:t>
      </w:r>
      <w:r w:rsidRPr="009C38A1">
        <w:t xml:space="preserve"> </w:t>
      </w:r>
      <w:r w:rsidR="0098248A" w:rsidRPr="009C38A1">
        <w:t>(IPC) i</w:t>
      </w:r>
      <w:r w:rsidRPr="009C38A1">
        <w:t xml:space="preserve">nitiative that may be of interest to </w:t>
      </w:r>
      <w:r w:rsidR="0098248A" w:rsidRPr="009C38A1">
        <w:t xml:space="preserve">support Indigenous hiring </w:t>
      </w:r>
      <w:r w:rsidR="008D32C9" w:rsidRPr="009C38A1">
        <w:t>objectives</w:t>
      </w:r>
      <w:r w:rsidRPr="009C38A1">
        <w:t>.</w:t>
      </w:r>
      <w:r w:rsidR="007F1D49" w:rsidRPr="009C38A1">
        <w:t xml:space="preserve"> </w:t>
      </w:r>
    </w:p>
    <w:p w14:paraId="4B46D5C2" w14:textId="72348711" w:rsidR="007F1D49" w:rsidRPr="009C38A1" w:rsidRDefault="0098248A" w:rsidP="0074458B">
      <w:pPr>
        <w:pStyle w:val="NoSpacing"/>
      </w:pPr>
      <w:r w:rsidRPr="009C38A1">
        <w:t xml:space="preserve">IPC </w:t>
      </w:r>
      <w:r w:rsidR="007F1D49" w:rsidRPr="009C38A1">
        <w:t xml:space="preserve">provides information on </w:t>
      </w:r>
      <w:r w:rsidRPr="009C38A1">
        <w:t>I</w:t>
      </w:r>
      <w:r w:rsidR="007F1D49" w:rsidRPr="009C38A1">
        <w:t>ndigenous recruitment, career progression</w:t>
      </w:r>
      <w:r w:rsidRPr="009C38A1">
        <w:t xml:space="preserve">/development and </w:t>
      </w:r>
      <w:r w:rsidR="007F1D49" w:rsidRPr="009C38A1">
        <w:t>retention:</w:t>
      </w:r>
    </w:p>
    <w:p w14:paraId="77834F30" w14:textId="14AA496E" w:rsidR="007F1D49" w:rsidRPr="009C38A1" w:rsidRDefault="007F1D49" w:rsidP="0074458B">
      <w:pPr>
        <w:pStyle w:val="NoSpacing"/>
      </w:pPr>
      <w:r w:rsidRPr="009C38A1">
        <w:t xml:space="preserve">The </w:t>
      </w:r>
      <w:r w:rsidRPr="00C82357">
        <w:t>Inventory of Indigenous Applicants</w:t>
      </w:r>
      <w:r w:rsidRPr="00347D9F">
        <w:t xml:space="preserve"> </w:t>
      </w:r>
      <w:r w:rsidRPr="009C38A1">
        <w:t xml:space="preserve">facilitates the matching between hiring managers and candidates by sourcing indigenous talents from existing inventories of the Public Service Commission and proactively promoting their profiles to federal organizations. </w:t>
      </w:r>
    </w:p>
    <w:p w14:paraId="2208DDDC" w14:textId="714960FC" w:rsidR="007F1D49" w:rsidRPr="009C38A1" w:rsidRDefault="007F1D49" w:rsidP="009C38A1">
      <w:pPr>
        <w:pStyle w:val="NoSpacing"/>
        <w:spacing w:before="240"/>
        <w:rPr>
          <w:rStyle w:val="Heading1Char"/>
        </w:rPr>
      </w:pPr>
      <w:r w:rsidRPr="009C38A1">
        <w:t>The</w:t>
      </w:r>
      <w:r w:rsidR="0098248A" w:rsidRPr="009C38A1">
        <w:t xml:space="preserve"> </w:t>
      </w:r>
      <w:r w:rsidR="00DC61CA" w:rsidRPr="009833F7">
        <w:t>Indigenous Recruitment Toolbox</w:t>
      </w:r>
      <w:r w:rsidR="00DC61CA" w:rsidRPr="009C38A1">
        <w:rPr>
          <w:rStyle w:val="Hyperlink"/>
          <w:b/>
        </w:rPr>
        <w:t xml:space="preserve"> </w:t>
      </w:r>
      <w:r w:rsidRPr="009C38A1">
        <w:t>provide</w:t>
      </w:r>
      <w:r w:rsidR="00DC61CA" w:rsidRPr="009C38A1">
        <w:t>s</w:t>
      </w:r>
      <w:r w:rsidRPr="009C38A1">
        <w:t xml:space="preserve"> tools, </w:t>
      </w:r>
      <w:r w:rsidR="00DC61CA" w:rsidRPr="009C38A1">
        <w:t xml:space="preserve">resources and advice on Indigenous recruitment, outreach and share initiatives that PSC and other departments offer. The toolbox will be updated and accessible to hiring managers and HR advisors </w:t>
      </w:r>
      <w:r w:rsidR="00726417" w:rsidRPr="009C38A1">
        <w:t>on GCintranet at the end of 2020.</w:t>
      </w:r>
      <w:r w:rsidR="00AE4D3A" w:rsidRPr="00D43E1F">
        <w:br w:type="page"/>
      </w:r>
      <w:r w:rsidRPr="009C38A1">
        <w:rPr>
          <w:rStyle w:val="Heading1Char"/>
        </w:rPr>
        <w:lastRenderedPageBreak/>
        <w:t>Staffing Support</w:t>
      </w:r>
    </w:p>
    <w:p w14:paraId="6AFFAA08" w14:textId="77777777" w:rsidR="007F1D49" w:rsidRPr="00D43E1F" w:rsidRDefault="007F1D49" w:rsidP="009C38A1">
      <w:pPr>
        <w:pStyle w:val="Heading2"/>
        <w:spacing w:before="40"/>
        <w:rPr>
          <w:u w:val="single"/>
          <w:lang w:val="en-CA"/>
        </w:rPr>
      </w:pPr>
      <w:r w:rsidRPr="00D43E1F">
        <w:rPr>
          <w:lang w:val="en-CA"/>
        </w:rPr>
        <w:t>Public Service of Commission Representatives and Organizational Contacts</w:t>
      </w:r>
    </w:p>
    <w:p w14:paraId="22E4D21D" w14:textId="37978577" w:rsidR="00C262BB" w:rsidRPr="00D43E1F" w:rsidRDefault="007378D3" w:rsidP="00C066B6">
      <w:pPr>
        <w:pStyle w:val="NoSpacing"/>
        <w:spacing w:after="360"/>
      </w:pPr>
      <w:r w:rsidRPr="00D43E1F">
        <w:t xml:space="preserve">The </w:t>
      </w:r>
      <w:r w:rsidR="00C41BF4" w:rsidRPr="00D43E1F">
        <w:t>SSA</w:t>
      </w:r>
      <w:r w:rsidRPr="00D43E1F">
        <w:t xml:space="preserve"> assigned to this organization is </w:t>
      </w:r>
      <w:r w:rsidR="0054266A" w:rsidRPr="00D43E1F">
        <w:t>Véronique Geoffroy</w:t>
      </w:r>
      <w:r w:rsidR="006C300F" w:rsidRPr="00D43E1F">
        <w:t xml:space="preserve">, </w:t>
      </w:r>
      <w:r w:rsidRPr="00D43E1F">
        <w:t>th</w:t>
      </w:r>
      <w:r w:rsidR="00755A01" w:rsidRPr="00D43E1F">
        <w:t>e primary organizational contact</w:t>
      </w:r>
      <w:r w:rsidRPr="00D43E1F">
        <w:t xml:space="preserve"> is </w:t>
      </w:r>
      <w:sdt>
        <w:sdtPr>
          <w:id w:val="766050407"/>
          <w:placeholder>
            <w:docPart w:val="70C390C1927A45F4A866C797C77019EB"/>
          </w:placeholder>
          <w15:appearance w15:val="hidden"/>
          <w:text w:multiLine="1"/>
        </w:sdtPr>
        <w:sdtEndPr/>
        <w:sdtContent>
          <w:r w:rsidR="0098248A" w:rsidRPr="00D43E1F">
            <w:t>Christine Tanious</w:t>
          </w:r>
        </w:sdtContent>
      </w:sdt>
      <w:r w:rsidRPr="00D43E1F">
        <w:t xml:space="preserve">, </w:t>
      </w:r>
      <w:r w:rsidR="00580FEF" w:rsidRPr="00D43E1F">
        <w:t>M</w:t>
      </w:r>
      <w:r w:rsidR="00755A01" w:rsidRPr="00D43E1F">
        <w:t xml:space="preserve">anager, </w:t>
      </w:r>
      <w:r w:rsidR="000A021D" w:rsidRPr="00D43E1F">
        <w:t>Corporate Staffing</w:t>
      </w:r>
      <w:r w:rsidR="006C300F" w:rsidRPr="00D43E1F">
        <w:t>. Th</w:t>
      </w:r>
      <w:r w:rsidRPr="00D43E1F">
        <w:t xml:space="preserve">e Head of HR is </w:t>
      </w:r>
      <w:r w:rsidR="000A021D" w:rsidRPr="00D43E1F">
        <w:t xml:space="preserve">Anne </w:t>
      </w:r>
      <w:r w:rsidR="00C62C32" w:rsidRPr="00D43E1F">
        <w:t>Casault</w:t>
      </w:r>
      <w:r w:rsidR="00580FEF" w:rsidRPr="00D43E1F">
        <w:t>, D</w:t>
      </w:r>
      <w:r w:rsidR="00755A01" w:rsidRPr="00D43E1F">
        <w:t>irector General and Chief Human Resources Officer</w:t>
      </w:r>
      <w:r w:rsidRPr="00D43E1F">
        <w:t>.</w:t>
      </w:r>
    </w:p>
    <w:p w14:paraId="7B773A39" w14:textId="3F0C2918" w:rsidR="007378D3" w:rsidRPr="00D43E1F" w:rsidRDefault="007378D3" w:rsidP="009C38A1">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22"/>
          <w:szCs w:val="22"/>
          <w:lang w:val="en-CA"/>
        </w:rPr>
      </w:pPr>
      <w:r w:rsidRPr="009C38A1">
        <w:rPr>
          <w:rStyle w:val="Strong"/>
          <w:rFonts w:asciiTheme="minorHAnsi" w:hAnsiTheme="minorHAnsi" w:cstheme="minorHAnsi"/>
          <w:szCs w:val="18"/>
        </w:rPr>
        <w:t>PREPARED BY</w:t>
      </w:r>
      <w:r w:rsidRPr="00D43E1F">
        <w:rPr>
          <w:rFonts w:asciiTheme="minorHAnsi" w:hAnsiTheme="minorHAnsi" w:cstheme="minorHAnsi"/>
          <w:b/>
          <w:bCs/>
          <w:sz w:val="22"/>
          <w:szCs w:val="22"/>
          <w:lang w:val="en-CA"/>
        </w:rPr>
        <w:t>:</w:t>
      </w:r>
    </w:p>
    <w:p w14:paraId="6057EF1D" w14:textId="77777777" w:rsidR="007378D3" w:rsidRPr="00D43E1F" w:rsidRDefault="0054266A" w:rsidP="00972F32">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en-CA"/>
        </w:rPr>
      </w:pPr>
      <w:r w:rsidRPr="00D43E1F">
        <w:rPr>
          <w:rFonts w:asciiTheme="minorHAnsi" w:hAnsiTheme="minorHAnsi" w:cstheme="minorHAnsi"/>
          <w:sz w:val="22"/>
          <w:szCs w:val="22"/>
          <w:lang w:val="en-CA"/>
        </w:rPr>
        <w:t>Véronique Geoffroy</w:t>
      </w:r>
      <w:r w:rsidR="007378D3" w:rsidRPr="00D43E1F">
        <w:rPr>
          <w:rFonts w:asciiTheme="minorHAnsi" w:hAnsiTheme="minorHAnsi" w:cstheme="minorHAnsi"/>
          <w:sz w:val="22"/>
          <w:szCs w:val="22"/>
          <w:lang w:val="en-CA"/>
        </w:rPr>
        <w:t xml:space="preserve">, </w:t>
      </w:r>
    </w:p>
    <w:p w14:paraId="287D2260" w14:textId="078E1515" w:rsidR="001456F7" w:rsidRDefault="001456F7" w:rsidP="009C38A1">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hAnsiTheme="minorHAnsi" w:cstheme="minorHAnsi"/>
          <w:sz w:val="22"/>
          <w:szCs w:val="22"/>
          <w:lang w:val="en-CA"/>
        </w:rPr>
      </w:pPr>
      <w:r w:rsidRPr="00D43E1F">
        <w:rPr>
          <w:rFonts w:asciiTheme="minorHAnsi" w:hAnsiTheme="minorHAnsi" w:cstheme="minorHAnsi"/>
          <w:sz w:val="22"/>
          <w:szCs w:val="22"/>
          <w:lang w:val="en-CA"/>
        </w:rPr>
        <w:t>Staffing Support Advisor</w:t>
      </w:r>
    </w:p>
    <w:p w14:paraId="399752C6" w14:textId="77777777" w:rsidR="005136A3" w:rsidRDefault="005136A3" w:rsidP="005136A3">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lang w:val="en-CA"/>
        </w:rPr>
      </w:pPr>
      <w:r w:rsidRPr="00AA03F8">
        <w:rPr>
          <w:rFonts w:ascii="Arial" w:hAnsi="Arial" w:cs="Arial"/>
          <w:b/>
          <w:sz w:val="22"/>
          <w:szCs w:val="22"/>
          <w:lang w:val="en-CA"/>
        </w:rPr>
        <w:t>APPROVED BY:</w:t>
      </w:r>
    </w:p>
    <w:p w14:paraId="65389B4F" w14:textId="77777777" w:rsidR="005136A3" w:rsidRPr="005136A3" w:rsidRDefault="005136A3" w:rsidP="005136A3">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lang w:val="en-CA"/>
        </w:rPr>
      </w:pPr>
      <w:r w:rsidRPr="005136A3">
        <w:rPr>
          <w:rFonts w:ascii="Arial" w:hAnsi="Arial" w:cs="Arial"/>
          <w:b/>
          <w:noProof/>
          <w:sz w:val="22"/>
          <w:szCs w:val="22"/>
          <w:lang w:val="en-CA" w:eastAsia="en-CA"/>
        </w:rPr>
        <w:drawing>
          <wp:inline distT="0" distB="0" distL="0" distR="0" wp14:anchorId="4201A350" wp14:editId="247B4F6D">
            <wp:extent cx="1676400" cy="681318"/>
            <wp:effectExtent l="0" t="0" r="0" b="5080"/>
            <wp:docPr id="4" name="Picture 4" descr="Approved by Lynn Brault, Director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pproved by Lynn Brault, Director Gener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7986" cy="681963"/>
                    </a:xfrm>
                    <a:prstGeom prst="rect">
                      <a:avLst/>
                    </a:prstGeom>
                    <a:noFill/>
                    <a:ln>
                      <a:noFill/>
                    </a:ln>
                  </pic:spPr>
                </pic:pic>
              </a:graphicData>
            </a:graphic>
          </wp:inline>
        </w:drawing>
      </w:r>
    </w:p>
    <w:p w14:paraId="47AB0622" w14:textId="77777777" w:rsidR="005136A3" w:rsidRPr="005136A3" w:rsidRDefault="005136A3" w:rsidP="005136A3">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5136A3">
        <w:rPr>
          <w:rFonts w:ascii="Arial" w:hAnsi="Arial" w:cs="Arial"/>
          <w:sz w:val="22"/>
          <w:szCs w:val="22"/>
          <w:lang w:val="en-CA"/>
        </w:rPr>
        <w:t>_______________________</w:t>
      </w:r>
    </w:p>
    <w:p w14:paraId="0717176E" w14:textId="77777777" w:rsidR="005136A3" w:rsidRPr="005136A3" w:rsidRDefault="005136A3" w:rsidP="005136A3">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5136A3">
        <w:rPr>
          <w:rFonts w:ascii="Arial" w:hAnsi="Arial" w:cs="Arial"/>
          <w:sz w:val="22"/>
          <w:szCs w:val="22"/>
          <w:lang w:val="en-CA" w:eastAsia="en-CA"/>
        </w:rPr>
        <w:t xml:space="preserve">Approved by </w:t>
      </w:r>
      <w:r w:rsidRPr="005136A3">
        <w:rPr>
          <w:rFonts w:ascii="Arial" w:hAnsi="Arial" w:cs="Arial"/>
          <w:sz w:val="22"/>
          <w:szCs w:val="22"/>
          <w:lang w:val="en-CA"/>
        </w:rPr>
        <w:t>Lynn Brault</w:t>
      </w:r>
    </w:p>
    <w:p w14:paraId="1BEA789B" w14:textId="0CCF1B10" w:rsidR="005136A3" w:rsidRPr="005136A3" w:rsidRDefault="005136A3" w:rsidP="005136A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5136A3">
        <w:rPr>
          <w:rFonts w:ascii="Arial" w:hAnsi="Arial" w:cs="Arial"/>
          <w:sz w:val="22"/>
          <w:szCs w:val="22"/>
          <w:lang w:val="en-CA"/>
        </w:rPr>
        <w:t>Director General, Staffing Support, Priorities and Political Activities</w:t>
      </w:r>
    </w:p>
    <w:p w14:paraId="0D219B24" w14:textId="77777777" w:rsidR="005136A3" w:rsidRPr="005136A3" w:rsidRDefault="005136A3" w:rsidP="005136A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5136A3">
        <w:rPr>
          <w:rFonts w:ascii="Arial" w:hAnsi="Arial" w:cs="Arial"/>
          <w:sz w:val="22"/>
          <w:szCs w:val="22"/>
          <w:lang w:val="en-CA"/>
        </w:rPr>
        <w:t>Policy and Communications Sector</w:t>
      </w:r>
    </w:p>
    <w:p w14:paraId="6746DF87" w14:textId="77777777" w:rsidR="005136A3" w:rsidRPr="005136A3" w:rsidRDefault="005136A3" w:rsidP="005136A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5136A3">
        <w:rPr>
          <w:rFonts w:ascii="Arial" w:hAnsi="Arial" w:cs="Arial"/>
          <w:b/>
          <w:noProof/>
          <w:sz w:val="22"/>
          <w:szCs w:val="22"/>
          <w:lang w:val="en-CA" w:eastAsia="en-CA"/>
        </w:rPr>
        <w:drawing>
          <wp:inline distT="0" distB="0" distL="0" distR="0" wp14:anchorId="48542BB2" wp14:editId="0E59DAA6">
            <wp:extent cx="1676400" cy="681318"/>
            <wp:effectExtent l="0" t="0" r="0" b="5080"/>
            <wp:docPr id="14" name="Picture 14" descr="Approved by Lynn Brault, Director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pproved by Lynn Brault, Director Gener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7986" cy="681963"/>
                    </a:xfrm>
                    <a:prstGeom prst="rect">
                      <a:avLst/>
                    </a:prstGeom>
                    <a:noFill/>
                    <a:ln>
                      <a:noFill/>
                    </a:ln>
                  </pic:spPr>
                </pic:pic>
              </a:graphicData>
            </a:graphic>
          </wp:inline>
        </w:drawing>
      </w:r>
    </w:p>
    <w:p w14:paraId="24FA2A51" w14:textId="77777777" w:rsidR="005136A3" w:rsidRPr="005136A3" w:rsidRDefault="005136A3" w:rsidP="005136A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5136A3">
        <w:rPr>
          <w:rFonts w:ascii="Arial" w:hAnsi="Arial" w:cs="Arial"/>
          <w:sz w:val="22"/>
          <w:szCs w:val="22"/>
          <w:lang w:val="en-CA"/>
        </w:rPr>
        <w:t>_______________________</w:t>
      </w:r>
    </w:p>
    <w:p w14:paraId="2C362AF6" w14:textId="77777777" w:rsidR="005136A3" w:rsidRPr="005136A3" w:rsidRDefault="005136A3" w:rsidP="005136A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5136A3">
        <w:rPr>
          <w:rFonts w:ascii="Arial" w:hAnsi="Arial" w:cs="Arial"/>
          <w:sz w:val="22"/>
          <w:szCs w:val="22"/>
          <w:lang w:val="en-CA"/>
        </w:rPr>
        <w:t>For/Approved by Patricia Jaton</w:t>
      </w:r>
    </w:p>
    <w:p w14:paraId="351AE86C" w14:textId="77777777" w:rsidR="005136A3" w:rsidRPr="005136A3" w:rsidRDefault="005136A3" w:rsidP="006307D0">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hAnsi="Arial" w:cs="Arial"/>
          <w:sz w:val="22"/>
          <w:szCs w:val="22"/>
          <w:lang w:val="en-CA"/>
        </w:rPr>
      </w:pPr>
      <w:r w:rsidRPr="005136A3">
        <w:rPr>
          <w:rFonts w:ascii="Arial" w:hAnsi="Arial" w:cs="Arial"/>
          <w:sz w:val="22"/>
          <w:szCs w:val="22"/>
          <w:lang w:val="en-CA"/>
        </w:rPr>
        <w:t>Vice-President, Policy and Communications Sector</w:t>
      </w:r>
      <w:r w:rsidRPr="005136A3">
        <w:rPr>
          <w:rFonts w:ascii="Arial" w:hAnsi="Arial" w:cs="Arial"/>
          <w:sz w:val="22"/>
          <w:szCs w:val="22"/>
          <w:lang w:val="en-CA"/>
        </w:rPr>
        <w:tab/>
      </w:r>
    </w:p>
    <w:p w14:paraId="6BECB0FA" w14:textId="2BF98749" w:rsidR="005136A3" w:rsidRPr="005136A3" w:rsidRDefault="005136A3" w:rsidP="005136A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5136A3">
        <w:rPr>
          <w:rFonts w:ascii="Arial" w:hAnsi="Arial" w:cs="Arial"/>
          <w:sz w:val="22"/>
          <w:szCs w:val="22"/>
          <w:lang w:val="en-CA"/>
        </w:rPr>
        <w:t>13 November 2020_______</w:t>
      </w:r>
    </w:p>
    <w:p w14:paraId="724E5436" w14:textId="77777777" w:rsidR="005136A3" w:rsidRPr="005136A3" w:rsidRDefault="005136A3" w:rsidP="005136A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5136A3">
        <w:rPr>
          <w:rFonts w:ascii="Arial" w:hAnsi="Arial" w:cs="Arial"/>
          <w:sz w:val="22"/>
          <w:szCs w:val="22"/>
          <w:lang w:val="en-CA"/>
        </w:rPr>
        <w:t>Date</w:t>
      </w:r>
    </w:p>
    <w:p w14:paraId="510EC006" w14:textId="77777777" w:rsidR="007378D3" w:rsidRPr="00D43E1F" w:rsidRDefault="001456F7" w:rsidP="009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sz w:val="22"/>
          <w:szCs w:val="22"/>
          <w:lang w:val="en-CA"/>
        </w:rPr>
      </w:pPr>
      <w:r w:rsidRPr="00D43E1F">
        <w:rPr>
          <w:rFonts w:asciiTheme="minorHAnsi" w:hAnsiTheme="minorHAnsi" w:cstheme="minorHAnsi"/>
          <w:sz w:val="22"/>
          <w:szCs w:val="22"/>
          <w:lang w:val="en-CA"/>
        </w:rPr>
        <w:t>Annexes:</w:t>
      </w:r>
    </w:p>
    <w:p w14:paraId="4328C2BF" w14:textId="1F57485A" w:rsidR="00CA12D3" w:rsidRPr="009C38A1" w:rsidRDefault="00DE4896" w:rsidP="005E6F92">
      <w:pPr>
        <w:numPr>
          <w:ilvl w:val="0"/>
          <w:numId w:val="1"/>
        </w:numPr>
        <w:spacing w:after="120"/>
        <w:rPr>
          <w:rFonts w:asciiTheme="minorHAnsi" w:hAnsiTheme="minorHAnsi" w:cstheme="minorHAnsi"/>
          <w:bCs/>
          <w:sz w:val="22"/>
          <w:szCs w:val="22"/>
          <w:lang w:val="en-CA"/>
        </w:rPr>
      </w:pPr>
      <w:hyperlink w:anchor="Annex_A" w:history="1">
        <w:r w:rsidR="007378D3" w:rsidRPr="009C38A1">
          <w:rPr>
            <w:rStyle w:val="Hyperlink"/>
            <w:rFonts w:asciiTheme="minorHAnsi" w:hAnsiTheme="minorHAnsi" w:cstheme="minorHAnsi"/>
            <w:sz w:val="22"/>
            <w:szCs w:val="22"/>
            <w:lang w:val="en-CA"/>
          </w:rPr>
          <w:t xml:space="preserve">Annex </w:t>
        </w:r>
        <w:r w:rsidR="00C367A6" w:rsidRPr="009C38A1">
          <w:rPr>
            <w:rStyle w:val="Hyperlink"/>
            <w:rFonts w:asciiTheme="minorHAnsi" w:hAnsiTheme="minorHAnsi" w:cstheme="minorHAnsi"/>
            <w:sz w:val="22"/>
            <w:szCs w:val="22"/>
            <w:lang w:val="en-CA"/>
          </w:rPr>
          <w:t>A</w:t>
        </w:r>
        <w:r w:rsidR="007378D3" w:rsidRPr="009C38A1">
          <w:rPr>
            <w:rStyle w:val="Hyperlink"/>
            <w:rFonts w:asciiTheme="minorHAnsi" w:hAnsiTheme="minorHAnsi" w:cstheme="minorHAnsi"/>
            <w:sz w:val="22"/>
            <w:szCs w:val="22"/>
            <w:lang w:val="en-CA"/>
          </w:rPr>
          <w:t xml:space="preserve"> – A New Direction in Staffing, highlights for deputy heads Placemat</w:t>
        </w:r>
      </w:hyperlink>
    </w:p>
    <w:p w14:paraId="39143A0D" w14:textId="3E1F9473" w:rsidR="007378D3" w:rsidRPr="009C38A1" w:rsidRDefault="00DE4896" w:rsidP="009C38A1">
      <w:pPr>
        <w:numPr>
          <w:ilvl w:val="0"/>
          <w:numId w:val="1"/>
        </w:numPr>
        <w:rPr>
          <w:rFonts w:asciiTheme="minorHAnsi" w:hAnsiTheme="minorHAnsi" w:cstheme="minorHAnsi"/>
          <w:bCs/>
          <w:sz w:val="22"/>
          <w:szCs w:val="22"/>
          <w:lang w:val="en-CA"/>
        </w:rPr>
      </w:pPr>
      <w:hyperlink w:anchor="Annex_B" w:history="1">
        <w:r w:rsidR="007378D3" w:rsidRPr="009C38A1">
          <w:rPr>
            <w:rStyle w:val="Hyperlink"/>
            <w:rFonts w:asciiTheme="minorHAnsi" w:hAnsiTheme="minorHAnsi" w:cstheme="minorHAnsi"/>
            <w:sz w:val="22"/>
            <w:szCs w:val="22"/>
            <w:lang w:val="en-CA"/>
          </w:rPr>
          <w:t xml:space="preserve">Annex </w:t>
        </w:r>
        <w:r w:rsidR="00CF4572" w:rsidRPr="009C38A1">
          <w:rPr>
            <w:rStyle w:val="Hyperlink"/>
            <w:rFonts w:asciiTheme="minorHAnsi" w:hAnsiTheme="minorHAnsi" w:cstheme="minorHAnsi"/>
            <w:sz w:val="22"/>
            <w:szCs w:val="22"/>
            <w:lang w:val="en-CA"/>
          </w:rPr>
          <w:t>B</w:t>
        </w:r>
        <w:r w:rsidR="00CA12D3" w:rsidRPr="009C38A1">
          <w:rPr>
            <w:rStyle w:val="Hyperlink"/>
            <w:rFonts w:asciiTheme="minorHAnsi" w:hAnsiTheme="minorHAnsi" w:cstheme="minorHAnsi"/>
            <w:sz w:val="22"/>
            <w:szCs w:val="22"/>
            <w:lang w:val="en-CA"/>
          </w:rPr>
          <w:t xml:space="preserve"> – </w:t>
        </w:r>
        <w:r w:rsidR="007378D3" w:rsidRPr="009C38A1">
          <w:rPr>
            <w:rStyle w:val="Hyperlink"/>
            <w:rFonts w:asciiTheme="minorHAnsi" w:hAnsiTheme="minorHAnsi" w:cstheme="minorHAnsi"/>
            <w:sz w:val="22"/>
            <w:szCs w:val="22"/>
            <w:lang w:val="en-CA"/>
          </w:rPr>
          <w:t>Data on Population and Staffing Activities</w:t>
        </w:r>
      </w:hyperlink>
    </w:p>
    <w:p w14:paraId="5803D485" w14:textId="66D4E03A" w:rsidR="005136A3" w:rsidRPr="00D43E1F" w:rsidRDefault="005136A3" w:rsidP="009800DD">
      <w:pPr>
        <w:pStyle w:val="DataText"/>
        <w:rPr>
          <w:rFonts w:ascii="Arial" w:hAnsi="Arial" w:cs="Arial"/>
          <w:b/>
          <w:sz w:val="22"/>
          <w:szCs w:val="22"/>
          <w:lang w:val="en-CA"/>
        </w:rPr>
        <w:sectPr w:rsidR="005136A3" w:rsidRPr="00D43E1F" w:rsidSect="00BE7145">
          <w:pgSz w:w="12240" w:h="15840"/>
          <w:pgMar w:top="1440" w:right="1440" w:bottom="1440" w:left="1440" w:header="709" w:footer="284" w:gutter="0"/>
          <w:cols w:space="708"/>
          <w:titlePg/>
          <w:docGrid w:linePitch="360"/>
        </w:sectPr>
      </w:pPr>
    </w:p>
    <w:p w14:paraId="30A177F8" w14:textId="357E20DA" w:rsidR="0074458B" w:rsidRDefault="0074458B" w:rsidP="0074458B">
      <w:pPr>
        <w:pStyle w:val="Heading3"/>
        <w:jc w:val="right"/>
        <w:rPr>
          <w:rFonts w:ascii="Segoe UI" w:hAnsi="Segoe UI" w:cs="Segoe UI"/>
          <w:b/>
          <w:bCs/>
          <w:sz w:val="22"/>
          <w:szCs w:val="20"/>
        </w:rPr>
      </w:pPr>
      <w:bookmarkStart w:id="1" w:name="Annex_A"/>
      <w:r w:rsidRPr="005E6F92">
        <w:rPr>
          <w:rFonts w:ascii="Segoe UI" w:hAnsi="Segoe UI" w:cs="Segoe UI"/>
          <w:b/>
          <w:bCs/>
          <w:sz w:val="22"/>
          <w:szCs w:val="20"/>
        </w:rPr>
        <w:lastRenderedPageBreak/>
        <w:t>Annex A</w:t>
      </w:r>
    </w:p>
    <w:p w14:paraId="42BF130D" w14:textId="4FA5ABDE" w:rsidR="00BA4794" w:rsidRPr="00C82357" w:rsidRDefault="00BA4794" w:rsidP="00C82357">
      <w:pPr>
        <w:pStyle w:val="Heading3"/>
        <w:rPr>
          <w:rFonts w:eastAsiaTheme="minorHAnsi"/>
        </w:rPr>
      </w:pPr>
      <w:r w:rsidRPr="00C82357">
        <w:rPr>
          <w:rFonts w:eastAsiaTheme="minorHAnsi"/>
        </w:rPr>
        <w:t xml:space="preserve">Highlights for </w:t>
      </w:r>
      <w:r w:rsidR="00347D9F">
        <w:rPr>
          <w:rFonts w:eastAsiaTheme="minorHAnsi"/>
        </w:rPr>
        <w:t>D</w:t>
      </w:r>
      <w:r w:rsidRPr="00C82357">
        <w:rPr>
          <w:rFonts w:eastAsiaTheme="minorHAnsi"/>
        </w:rPr>
        <w:t xml:space="preserve">eputy </w:t>
      </w:r>
      <w:r w:rsidR="00347D9F">
        <w:rPr>
          <w:rFonts w:eastAsiaTheme="minorHAnsi"/>
        </w:rPr>
        <w:t>H</w:t>
      </w:r>
      <w:r w:rsidRPr="00C82357">
        <w:rPr>
          <w:rFonts w:eastAsiaTheme="minorHAnsi"/>
        </w:rPr>
        <w:t>eads</w:t>
      </w:r>
    </w:p>
    <w:bookmarkEnd w:id="1"/>
    <w:p w14:paraId="1532CB37" w14:textId="77777777" w:rsidR="0074458B" w:rsidRPr="009C38A1" w:rsidRDefault="0074458B" w:rsidP="0074458B">
      <w:pPr>
        <w:keepNext/>
        <w:keepLines/>
        <w:spacing w:before="40" w:after="120" w:line="259" w:lineRule="auto"/>
        <w:jc w:val="center"/>
        <w:outlineLvl w:val="1"/>
        <w:rPr>
          <w:rFonts w:ascii="Segoe UI" w:eastAsiaTheme="majorEastAsia" w:hAnsi="Segoe UI" w:cs="Segoe UI"/>
          <w:b/>
          <w:color w:val="5B315E" w:themeColor="accent2"/>
          <w:sz w:val="32"/>
          <w:szCs w:val="28"/>
          <w:lang w:val="en-CA"/>
        </w:rPr>
      </w:pPr>
      <w:r w:rsidRPr="009C38A1">
        <w:rPr>
          <w:rFonts w:ascii="Segoe UI" w:eastAsiaTheme="majorEastAsia" w:hAnsi="Segoe UI" w:cs="Segoe UI"/>
          <w:b/>
          <w:color w:val="5B315E" w:themeColor="accent2"/>
          <w:sz w:val="32"/>
          <w:szCs w:val="28"/>
          <w:lang w:val="en-CA"/>
        </w:rPr>
        <w:t>A New Direction in Staffing – A Merit-Based System That is Effective, Efficient and Fair</w:t>
      </w:r>
    </w:p>
    <w:p w14:paraId="58AAB9D2" w14:textId="77777777" w:rsidR="0074458B" w:rsidRPr="009C38A1" w:rsidRDefault="0074458B" w:rsidP="0074458B">
      <w:pPr>
        <w:pStyle w:val="Heading3"/>
        <w:rPr>
          <w:szCs w:val="22"/>
        </w:rPr>
      </w:pPr>
      <w:r w:rsidRPr="009C38A1">
        <w:rPr>
          <w:szCs w:val="22"/>
        </w:rPr>
        <w:t>Appointment Policy</w:t>
      </w:r>
    </w:p>
    <w:p w14:paraId="28A79A03" w14:textId="77777777" w:rsidR="0074458B" w:rsidRPr="00D43E1F" w:rsidRDefault="0074458B" w:rsidP="0074458B">
      <w:pPr>
        <w:keepLines/>
        <w:tabs>
          <w:tab w:val="center" w:pos="4680"/>
          <w:tab w:val="right" w:pos="9360"/>
        </w:tabs>
        <w:rPr>
          <w:rFonts w:asciiTheme="minorHAnsi" w:eastAsiaTheme="minorHAnsi" w:hAnsiTheme="minorHAnsi" w:cstheme="minorHAnsi"/>
          <w:noProof/>
          <w:sz w:val="22"/>
          <w:lang w:val="en-CA" w:eastAsia="en-CA"/>
        </w:rPr>
      </w:pPr>
      <w:r w:rsidRPr="00D43E1F">
        <w:rPr>
          <w:rStyle w:val="Strong"/>
          <w:rFonts w:asciiTheme="minorHAnsi" w:eastAsiaTheme="minorHAnsi" w:hAnsiTheme="minorHAnsi" w:cstheme="minorHAnsi"/>
          <w:lang w:val="en-CA"/>
        </w:rPr>
        <w:t>New focus on core requirements</w:t>
      </w:r>
      <w:r w:rsidRPr="00D43E1F">
        <w:rPr>
          <w:rFonts w:asciiTheme="minorHAnsi" w:eastAsiaTheme="minorHAnsi" w:hAnsiTheme="minorHAnsi" w:cstheme="minorHAnsi"/>
          <w:noProof/>
          <w:sz w:val="22"/>
          <w:lang w:val="en-CA" w:eastAsia="en-CA"/>
        </w:rPr>
        <w:t xml:space="preserve"> to provide sub-delegated persons with greater discretion in making an appointment</w:t>
      </w:r>
    </w:p>
    <w:p w14:paraId="40CC2E12" w14:textId="77777777" w:rsidR="0074458B" w:rsidRPr="00D43E1F" w:rsidRDefault="0074458B" w:rsidP="0074458B">
      <w:pPr>
        <w:keepLines/>
        <w:numPr>
          <w:ilvl w:val="0"/>
          <w:numId w:val="3"/>
        </w:numPr>
        <w:tabs>
          <w:tab w:val="center" w:pos="4680"/>
          <w:tab w:val="right" w:pos="9360"/>
        </w:tabs>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One Appointment Policy</w:t>
      </w:r>
      <w:r w:rsidRPr="00D43E1F">
        <w:rPr>
          <w:rFonts w:asciiTheme="minorHAnsi" w:eastAsiaTheme="minorHAnsi" w:hAnsiTheme="minorHAnsi" w:cstheme="minorHAnsi"/>
          <w:sz w:val="22"/>
          <w:lang w:val="en-CA"/>
        </w:rPr>
        <w:t>, no duplication of legal requirements</w:t>
      </w:r>
    </w:p>
    <w:p w14:paraId="74103F3A" w14:textId="77777777" w:rsidR="0074458B" w:rsidRPr="00D43E1F" w:rsidRDefault="0074458B" w:rsidP="0074458B">
      <w:pPr>
        <w:keepLines/>
        <w:numPr>
          <w:ilvl w:val="0"/>
          <w:numId w:val="3"/>
        </w:numPr>
        <w:tabs>
          <w:tab w:val="center" w:pos="4680"/>
          <w:tab w:val="right" w:pos="9360"/>
        </w:tabs>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Broader focus on values-based system</w:t>
      </w:r>
      <w:r w:rsidRPr="00D43E1F">
        <w:rPr>
          <w:rFonts w:asciiTheme="minorHAnsi" w:eastAsiaTheme="minorHAnsi" w:hAnsiTheme="minorHAnsi" w:cstheme="minorHAnsi"/>
          <w:bCs/>
          <w:sz w:val="22"/>
          <w:lang w:val="en-CA"/>
        </w:rPr>
        <w:t>,</w:t>
      </w:r>
      <w:r w:rsidRPr="00D43E1F">
        <w:rPr>
          <w:rFonts w:asciiTheme="minorHAnsi" w:eastAsiaTheme="minorHAnsi" w:hAnsiTheme="minorHAnsi" w:cstheme="minorHAnsi"/>
          <w:sz w:val="22"/>
          <w:lang w:val="en-CA"/>
        </w:rPr>
        <w:t xml:space="preserve"> away from rules-based system</w:t>
      </w:r>
    </w:p>
    <w:p w14:paraId="2E569A58" w14:textId="77777777" w:rsidR="0074458B" w:rsidRPr="00D43E1F" w:rsidRDefault="0074458B" w:rsidP="0074458B">
      <w:pPr>
        <w:keepLines/>
        <w:numPr>
          <w:ilvl w:val="0"/>
          <w:numId w:val="3"/>
        </w:numPr>
        <w:tabs>
          <w:tab w:val="center" w:pos="4680"/>
          <w:tab w:val="right" w:pos="9360"/>
        </w:tabs>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 xml:space="preserve">Appointment Policy supported by </w:t>
      </w:r>
      <w:r w:rsidRPr="00D43E1F">
        <w:rPr>
          <w:rStyle w:val="Strong"/>
          <w:rFonts w:asciiTheme="minorHAnsi" w:eastAsiaTheme="minorHAnsi" w:hAnsiTheme="minorHAnsi" w:cstheme="minorHAnsi"/>
          <w:lang w:val="en-CA"/>
        </w:rPr>
        <w:t>streamlined guidance:</w:t>
      </w:r>
    </w:p>
    <w:p w14:paraId="4B6BE8A0" w14:textId="77777777" w:rsidR="0074458B" w:rsidRPr="00D43E1F" w:rsidRDefault="0074458B" w:rsidP="0074458B">
      <w:pPr>
        <w:keepLines/>
        <w:numPr>
          <w:ilvl w:val="1"/>
          <w:numId w:val="21"/>
        </w:numPr>
        <w:tabs>
          <w:tab w:val="center" w:pos="4680"/>
          <w:tab w:val="right" w:pos="9360"/>
        </w:tabs>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 xml:space="preserve">A roadmap to the legislative, regulatory and policy requirements </w:t>
      </w:r>
    </w:p>
    <w:p w14:paraId="05C826FB" w14:textId="77777777" w:rsidR="0074458B" w:rsidRPr="00D43E1F" w:rsidRDefault="0074458B" w:rsidP="0074458B">
      <w:pPr>
        <w:keepLines/>
        <w:numPr>
          <w:ilvl w:val="1"/>
          <w:numId w:val="21"/>
        </w:numPr>
        <w:tabs>
          <w:tab w:val="center" w:pos="4680"/>
          <w:tab w:val="right" w:pos="9360"/>
        </w:tabs>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Options and considerations for decision making where there is discretion</w:t>
      </w:r>
    </w:p>
    <w:p w14:paraId="6A8C3164" w14:textId="77777777" w:rsidR="0074458B" w:rsidRPr="00D43E1F" w:rsidRDefault="0074458B" w:rsidP="0074458B">
      <w:pPr>
        <w:keepLines/>
        <w:numPr>
          <w:ilvl w:val="0"/>
          <w:numId w:val="4"/>
        </w:numPr>
        <w:tabs>
          <w:tab w:val="center" w:pos="4680"/>
          <w:tab w:val="right" w:pos="9360"/>
        </w:tabs>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Clear expectations</w:t>
      </w:r>
      <w:r w:rsidRPr="00D43E1F">
        <w:rPr>
          <w:rFonts w:asciiTheme="minorHAnsi" w:eastAsiaTheme="minorHAnsi" w:hAnsiTheme="minorHAnsi" w:cstheme="minorHAnsi"/>
          <w:sz w:val="22"/>
          <w:lang w:val="en-CA"/>
        </w:rPr>
        <w:t xml:space="preserve"> for priority entitlements</w:t>
      </w:r>
    </w:p>
    <w:p w14:paraId="1F4FAABD" w14:textId="77777777" w:rsidR="0074458B" w:rsidRPr="00D43E1F" w:rsidRDefault="0074458B" w:rsidP="0074458B">
      <w:pPr>
        <w:keepLines/>
        <w:numPr>
          <w:ilvl w:val="0"/>
          <w:numId w:val="4"/>
        </w:numPr>
        <w:tabs>
          <w:tab w:val="center" w:pos="4680"/>
          <w:tab w:val="right" w:pos="9360"/>
        </w:tabs>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No restrictions on assessment methods for EX appointments</w:t>
      </w:r>
    </w:p>
    <w:p w14:paraId="4E55CD3B" w14:textId="77777777" w:rsidR="0074458B" w:rsidRPr="00D43E1F" w:rsidRDefault="0074458B" w:rsidP="0074458B">
      <w:pPr>
        <w:keepLines/>
        <w:numPr>
          <w:ilvl w:val="0"/>
          <w:numId w:val="4"/>
        </w:numPr>
        <w:tabs>
          <w:tab w:val="center" w:pos="4680"/>
          <w:tab w:val="right" w:pos="9360"/>
        </w:tabs>
        <w:spacing w:after="240"/>
        <w:ind w:left="714" w:hanging="357"/>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Exceptions to National Area of Selection approved by deputy head</w:t>
      </w:r>
    </w:p>
    <w:p w14:paraId="4CAF2F98" w14:textId="77777777" w:rsidR="0074458B" w:rsidRPr="00BE7145" w:rsidRDefault="0074458B" w:rsidP="0074458B">
      <w:pPr>
        <w:pStyle w:val="Heading3"/>
        <w:rPr>
          <w:szCs w:val="22"/>
        </w:rPr>
      </w:pPr>
      <w:r w:rsidRPr="00BE7145">
        <w:rPr>
          <w:szCs w:val="22"/>
        </w:rPr>
        <w:t>Delegation</w:t>
      </w:r>
    </w:p>
    <w:p w14:paraId="77C1A7EB" w14:textId="77777777" w:rsidR="0074458B" w:rsidRPr="00D43E1F" w:rsidRDefault="0074458B" w:rsidP="0074458B">
      <w:pPr>
        <w:keepLines/>
        <w:numPr>
          <w:ilvl w:val="0"/>
          <w:numId w:val="6"/>
        </w:numPr>
        <w:spacing w:after="320" w:line="259" w:lineRule="auto"/>
        <w:contextualSpacing/>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New ability to customize organizational staffing system</w:t>
      </w:r>
      <w:r w:rsidRPr="00D43E1F">
        <w:rPr>
          <w:rFonts w:asciiTheme="minorHAnsi" w:eastAsiaTheme="minorHAnsi" w:hAnsiTheme="minorHAnsi" w:cstheme="minorHAnsi"/>
          <w:sz w:val="22"/>
          <w:lang w:val="en-CA"/>
        </w:rPr>
        <w:t xml:space="preserve"> based on unique context and evolving business needs</w:t>
      </w:r>
    </w:p>
    <w:p w14:paraId="5B53CA12" w14:textId="77777777" w:rsidR="0074458B" w:rsidRPr="00D43E1F" w:rsidRDefault="0074458B" w:rsidP="0074458B">
      <w:pPr>
        <w:keepLines/>
        <w:numPr>
          <w:ilvl w:val="0"/>
          <w:numId w:val="5"/>
        </w:numPr>
        <w:spacing w:after="320" w:line="259" w:lineRule="auto"/>
        <w:contextualSpacing/>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 xml:space="preserve">Deputy heads establish a direction on the </w:t>
      </w:r>
      <w:r w:rsidRPr="00D43E1F">
        <w:rPr>
          <w:rStyle w:val="Strong"/>
          <w:rFonts w:asciiTheme="minorHAnsi" w:eastAsiaTheme="minorHAnsi" w:hAnsiTheme="minorHAnsi" w:cstheme="minorHAnsi"/>
          <w:lang w:val="en-CA"/>
        </w:rPr>
        <w:t>use of advertised and non-advertised</w:t>
      </w:r>
      <w:r w:rsidRPr="00D43E1F">
        <w:rPr>
          <w:rFonts w:asciiTheme="minorHAnsi" w:eastAsiaTheme="minorHAnsi" w:hAnsiTheme="minorHAnsi" w:cstheme="minorHAnsi"/>
          <w:sz w:val="22"/>
          <w:lang w:val="en-CA"/>
        </w:rPr>
        <w:t xml:space="preserve"> appointment processes</w:t>
      </w:r>
    </w:p>
    <w:p w14:paraId="387BFD5D" w14:textId="77777777" w:rsidR="0074458B" w:rsidRPr="00D43E1F" w:rsidRDefault="0074458B" w:rsidP="0074458B">
      <w:pPr>
        <w:keepLines/>
        <w:numPr>
          <w:ilvl w:val="0"/>
          <w:numId w:val="5"/>
        </w:numPr>
        <w:spacing w:after="320" w:line="259" w:lineRule="auto"/>
        <w:contextualSpacing/>
        <w:rPr>
          <w:rStyle w:val="Strong"/>
          <w:rFonts w:asciiTheme="minorHAnsi" w:eastAsiaTheme="minorHAnsi" w:hAnsiTheme="minorHAnsi" w:cstheme="minorHAnsi"/>
          <w:lang w:val="en-CA"/>
        </w:rPr>
      </w:pPr>
      <w:r w:rsidRPr="00D43E1F">
        <w:rPr>
          <w:rFonts w:asciiTheme="minorHAnsi" w:eastAsiaTheme="minorHAnsi" w:hAnsiTheme="minorHAnsi" w:cstheme="minorHAnsi"/>
          <w:sz w:val="22"/>
          <w:lang w:val="en-CA"/>
        </w:rPr>
        <w:t xml:space="preserve">Deputy heads to establish requirement(s) for sub-delegated persons to </w:t>
      </w:r>
      <w:r w:rsidRPr="00D43E1F">
        <w:rPr>
          <w:rStyle w:val="Strong"/>
          <w:rFonts w:asciiTheme="minorHAnsi" w:eastAsiaTheme="minorHAnsi" w:hAnsiTheme="minorHAnsi" w:cstheme="minorHAnsi"/>
          <w:lang w:val="en-CA"/>
        </w:rPr>
        <w:t>articulate, in writing, their selection decision</w:t>
      </w:r>
    </w:p>
    <w:p w14:paraId="07B3B70C" w14:textId="77777777" w:rsidR="0074458B" w:rsidRPr="00D43E1F" w:rsidRDefault="0074458B" w:rsidP="0074458B">
      <w:pPr>
        <w:keepLines/>
        <w:numPr>
          <w:ilvl w:val="0"/>
          <w:numId w:val="5"/>
        </w:numPr>
        <w:spacing w:after="320" w:line="259" w:lineRule="auto"/>
        <w:contextualSpacing/>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Clarity on requirements related to investigations</w:t>
      </w:r>
    </w:p>
    <w:p w14:paraId="14820E2B" w14:textId="77777777" w:rsidR="0074458B" w:rsidRPr="00D43E1F" w:rsidRDefault="0074458B" w:rsidP="0074458B">
      <w:pPr>
        <w:keepLines/>
        <w:numPr>
          <w:ilvl w:val="0"/>
          <w:numId w:val="5"/>
        </w:numPr>
        <w:spacing w:after="320" w:line="259" w:lineRule="auto"/>
        <w:contextualSpacing/>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Attestation form</w:t>
      </w:r>
      <w:r w:rsidRPr="00D43E1F">
        <w:rPr>
          <w:rFonts w:asciiTheme="minorHAnsi" w:eastAsiaTheme="minorHAnsi" w:hAnsiTheme="minorHAnsi" w:cstheme="minorHAnsi"/>
          <w:sz w:val="22"/>
          <w:lang w:val="en-CA"/>
        </w:rPr>
        <w:t xml:space="preserve"> to reinforce the accountabilities of sub-delegated persons</w:t>
      </w:r>
    </w:p>
    <w:p w14:paraId="5C66540C" w14:textId="77777777" w:rsidR="0074458B" w:rsidRPr="00D43E1F" w:rsidRDefault="0074458B" w:rsidP="0074458B">
      <w:pPr>
        <w:keepLines/>
        <w:spacing w:after="360" w:line="259" w:lineRule="auto"/>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All PSC monitoring and reporting requirements now found in the Appointment Delegation and Accountability Instrument</w:t>
      </w:r>
    </w:p>
    <w:p w14:paraId="5CB334B0" w14:textId="77777777" w:rsidR="0074458B" w:rsidRPr="00BE7145" w:rsidRDefault="0074458B" w:rsidP="0074458B">
      <w:pPr>
        <w:pStyle w:val="Heading3"/>
        <w:rPr>
          <w:szCs w:val="22"/>
        </w:rPr>
      </w:pPr>
      <w:r w:rsidRPr="00BE7145">
        <w:rPr>
          <w:szCs w:val="22"/>
        </w:rPr>
        <w:t>Monitoring and Reporting</w:t>
      </w:r>
    </w:p>
    <w:p w14:paraId="61F92618" w14:textId="77777777" w:rsidR="0074458B" w:rsidRPr="00D43E1F" w:rsidRDefault="0074458B" w:rsidP="0074458B">
      <w:pPr>
        <w:keepLines/>
        <w:spacing w:after="120" w:line="259" w:lineRule="auto"/>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Monitoring built by organizations</w:t>
      </w:r>
      <w:r w:rsidRPr="00D43E1F">
        <w:rPr>
          <w:rFonts w:asciiTheme="minorHAnsi" w:eastAsiaTheme="minorHAnsi" w:hAnsiTheme="minorHAnsi" w:cstheme="minorHAnsi"/>
          <w:sz w:val="22"/>
          <w:lang w:val="en-CA"/>
        </w:rPr>
        <w:t>, targeted to their needs</w:t>
      </w:r>
    </w:p>
    <w:p w14:paraId="2E373E9C" w14:textId="77777777" w:rsidR="0074458B" w:rsidRPr="00D43E1F" w:rsidRDefault="0074458B" w:rsidP="0074458B">
      <w:pPr>
        <w:keepLines/>
        <w:numPr>
          <w:ilvl w:val="0"/>
          <w:numId w:val="7"/>
        </w:numPr>
        <w:spacing w:after="320" w:line="259" w:lineRule="auto"/>
        <w:contextualSpacing/>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Annual Departmental Staffing Accountability Report no longer required</w:t>
      </w:r>
    </w:p>
    <w:p w14:paraId="1869C2FC" w14:textId="77777777" w:rsidR="0074458B" w:rsidRPr="00D43E1F" w:rsidRDefault="0074458B" w:rsidP="0074458B">
      <w:pPr>
        <w:keepLines/>
        <w:numPr>
          <w:ilvl w:val="0"/>
          <w:numId w:val="7"/>
        </w:numPr>
        <w:spacing w:after="320" w:line="259" w:lineRule="auto"/>
        <w:contextualSpacing/>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Annual reporting to the PSC limited</w:t>
      </w:r>
      <w:r w:rsidRPr="00D43E1F">
        <w:rPr>
          <w:rFonts w:asciiTheme="minorHAnsi" w:eastAsiaTheme="minorHAnsi" w:hAnsiTheme="minorHAnsi" w:cstheme="minorHAnsi"/>
          <w:sz w:val="22"/>
          <w:lang w:val="en-CA"/>
        </w:rPr>
        <w:t xml:space="preserve"> to:</w:t>
      </w:r>
    </w:p>
    <w:p w14:paraId="2C6A0EFF" w14:textId="77777777" w:rsidR="0074458B" w:rsidRPr="00D43E1F" w:rsidRDefault="0074458B" w:rsidP="00C82357">
      <w:pPr>
        <w:keepLines/>
        <w:numPr>
          <w:ilvl w:val="0"/>
          <w:numId w:val="29"/>
        </w:numPr>
        <w:spacing w:after="320" w:line="259" w:lineRule="auto"/>
        <w:contextualSpacing/>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Use of Public Service Official Language Exclusion Approval Order</w:t>
      </w:r>
    </w:p>
    <w:p w14:paraId="7BCE111E" w14:textId="77777777" w:rsidR="0074458B" w:rsidRPr="00D43E1F" w:rsidRDefault="0074458B" w:rsidP="00C82357">
      <w:pPr>
        <w:keepLines/>
        <w:numPr>
          <w:ilvl w:val="0"/>
          <w:numId w:val="29"/>
        </w:numPr>
        <w:spacing w:after="320" w:line="259" w:lineRule="auto"/>
        <w:contextualSpacing/>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Exceptions to the National Area of Selection approved by the deputy head</w:t>
      </w:r>
    </w:p>
    <w:p w14:paraId="2B73ACDA" w14:textId="77777777" w:rsidR="0074458B" w:rsidRPr="00D43E1F" w:rsidRDefault="0074458B" w:rsidP="00C82357">
      <w:pPr>
        <w:keepLines/>
        <w:numPr>
          <w:ilvl w:val="0"/>
          <w:numId w:val="29"/>
        </w:numPr>
        <w:spacing w:after="320" w:line="259" w:lineRule="auto"/>
        <w:contextualSpacing/>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Results of any internal investigations</w:t>
      </w:r>
    </w:p>
    <w:p w14:paraId="0FBAF1E7" w14:textId="77777777" w:rsidR="0074458B" w:rsidRPr="00D43E1F" w:rsidRDefault="0074458B" w:rsidP="00C82357">
      <w:pPr>
        <w:keepLines/>
        <w:numPr>
          <w:ilvl w:val="0"/>
          <w:numId w:val="29"/>
        </w:numPr>
        <w:spacing w:after="320" w:line="259" w:lineRule="auto"/>
        <w:contextualSpacing/>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Actions taken following any PSC investigations or audits.</w:t>
      </w:r>
    </w:p>
    <w:p w14:paraId="11DEE211" w14:textId="77777777" w:rsidR="0074458B" w:rsidRPr="00D43E1F" w:rsidRDefault="0074458B" w:rsidP="0074458B">
      <w:pPr>
        <w:keepLines/>
        <w:numPr>
          <w:ilvl w:val="0"/>
          <w:numId w:val="8"/>
        </w:numPr>
        <w:spacing w:after="320" w:line="259" w:lineRule="auto"/>
        <w:contextualSpacing/>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 xml:space="preserve">Deputy head responsible for </w:t>
      </w:r>
      <w:r w:rsidRPr="00D43E1F">
        <w:rPr>
          <w:rStyle w:val="Strong"/>
          <w:rFonts w:asciiTheme="minorHAnsi" w:eastAsiaTheme="minorHAnsi" w:hAnsiTheme="minorHAnsi" w:cstheme="minorHAnsi"/>
          <w:lang w:val="en-CA"/>
        </w:rPr>
        <w:t>ongoing monitoring of organizational staffing system</w:t>
      </w:r>
      <w:r w:rsidRPr="00D43E1F">
        <w:rPr>
          <w:rFonts w:asciiTheme="minorHAnsi" w:eastAsiaTheme="minorHAnsi" w:hAnsiTheme="minorHAnsi" w:cstheme="minorHAnsi"/>
          <w:sz w:val="22"/>
          <w:lang w:val="en-CA"/>
        </w:rPr>
        <w:t xml:space="preserve"> based on the organization’s unique context</w:t>
      </w:r>
    </w:p>
    <w:p w14:paraId="2951ABEC" w14:textId="1BF82217" w:rsidR="0074458B" w:rsidRPr="006A1065" w:rsidRDefault="0074458B" w:rsidP="00C82357">
      <w:pPr>
        <w:keepLines/>
        <w:numPr>
          <w:ilvl w:val="1"/>
          <w:numId w:val="8"/>
        </w:numPr>
        <w:spacing w:after="160" w:line="259" w:lineRule="auto"/>
        <w:contextualSpacing/>
        <w:rPr>
          <w:rFonts w:asciiTheme="minorHAnsi" w:eastAsiaTheme="minorHAnsi" w:hAnsiTheme="minorHAnsi" w:cstheme="minorHAnsi"/>
          <w:sz w:val="22"/>
          <w:lang w:val="en-CA"/>
        </w:rPr>
      </w:pPr>
      <w:r w:rsidRPr="006A1065">
        <w:rPr>
          <w:rStyle w:val="Strong"/>
          <w:rFonts w:asciiTheme="minorHAnsi" w:eastAsiaTheme="minorHAnsi" w:hAnsiTheme="minorHAnsi" w:cstheme="minorHAnsi"/>
          <w:lang w:val="en-CA"/>
        </w:rPr>
        <w:t>Assessment of adherence to requirements</w:t>
      </w:r>
      <w:r w:rsidRPr="006A1065">
        <w:rPr>
          <w:rFonts w:asciiTheme="minorHAnsi" w:eastAsiaTheme="minorHAnsi" w:hAnsiTheme="minorHAnsi" w:cstheme="minorHAnsi"/>
          <w:sz w:val="22"/>
          <w:lang w:val="en-CA"/>
        </w:rPr>
        <w:t>, based on organization’s own risks, every five years, at a minimum.</w:t>
      </w:r>
      <w:r w:rsidRPr="006A1065">
        <w:rPr>
          <w:rFonts w:asciiTheme="minorHAnsi" w:eastAsiaTheme="minorHAnsi" w:hAnsiTheme="minorHAnsi" w:cstheme="minorHAnsi"/>
          <w:sz w:val="22"/>
          <w:lang w:val="en-CA"/>
        </w:rPr>
        <w:br w:type="page"/>
      </w:r>
    </w:p>
    <w:p w14:paraId="69D6FFD1" w14:textId="77777777" w:rsidR="0074458B" w:rsidRPr="00BE7145" w:rsidRDefault="0074458B" w:rsidP="0074458B">
      <w:pPr>
        <w:pStyle w:val="Heading3"/>
        <w:rPr>
          <w:szCs w:val="22"/>
        </w:rPr>
      </w:pPr>
      <w:r w:rsidRPr="00BE7145">
        <w:rPr>
          <w:szCs w:val="22"/>
        </w:rPr>
        <w:lastRenderedPageBreak/>
        <w:t>PSC Oversight</w:t>
      </w:r>
    </w:p>
    <w:p w14:paraId="7820D581" w14:textId="77777777" w:rsidR="0074458B" w:rsidRPr="00D43E1F" w:rsidRDefault="0074458B" w:rsidP="0074458B">
      <w:pPr>
        <w:keepLines/>
        <w:spacing w:after="120" w:line="259" w:lineRule="auto"/>
        <w:rPr>
          <w:rFonts w:asciiTheme="minorHAnsi" w:eastAsiaTheme="minorHAnsi" w:hAnsiTheme="minorHAnsi" w:cstheme="minorHAnsi"/>
          <w:sz w:val="22"/>
          <w:lang w:val="en-CA"/>
        </w:rPr>
      </w:pPr>
      <w:r w:rsidRPr="00D43E1F">
        <w:rPr>
          <w:rFonts w:asciiTheme="minorHAnsi" w:eastAsiaTheme="minorHAnsi" w:hAnsiTheme="minorHAnsi" w:cstheme="minorHAnsi"/>
          <w:sz w:val="22"/>
          <w:lang w:val="en-CA"/>
        </w:rPr>
        <w:t>System-wide focus</w:t>
      </w:r>
    </w:p>
    <w:p w14:paraId="1EABBB3D" w14:textId="77777777" w:rsidR="0074458B" w:rsidRPr="00D43E1F" w:rsidRDefault="0074458B" w:rsidP="0074458B">
      <w:pPr>
        <w:keepLines/>
        <w:numPr>
          <w:ilvl w:val="0"/>
          <w:numId w:val="9"/>
        </w:numPr>
        <w:spacing w:line="259" w:lineRule="auto"/>
        <w:rPr>
          <w:rStyle w:val="Strong"/>
          <w:rFonts w:asciiTheme="minorHAnsi" w:eastAsiaTheme="minorHAnsi" w:hAnsiTheme="minorHAnsi" w:cstheme="minorHAnsi"/>
          <w:lang w:val="en-CA"/>
        </w:rPr>
      </w:pPr>
      <w:r w:rsidRPr="00D43E1F">
        <w:rPr>
          <w:rStyle w:val="Strong"/>
          <w:rFonts w:asciiTheme="minorHAnsi" w:eastAsiaTheme="minorHAnsi" w:hAnsiTheme="minorHAnsi" w:cstheme="minorHAnsi"/>
          <w:lang w:val="en-CA"/>
        </w:rPr>
        <w:t>Government-wide compliance audit every two years</w:t>
      </w:r>
    </w:p>
    <w:p w14:paraId="3D3AD2ED" w14:textId="77777777" w:rsidR="0074458B" w:rsidRPr="00D43E1F" w:rsidRDefault="0074458B" w:rsidP="0074458B">
      <w:pPr>
        <w:keepLines/>
        <w:numPr>
          <w:ilvl w:val="0"/>
          <w:numId w:val="9"/>
        </w:numPr>
        <w:spacing w:line="259" w:lineRule="auto"/>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Renewed Survey of Staffing</w:t>
      </w:r>
      <w:r w:rsidRPr="00D43E1F">
        <w:rPr>
          <w:rFonts w:asciiTheme="minorHAnsi" w:eastAsiaTheme="minorHAnsi" w:hAnsiTheme="minorHAnsi" w:cstheme="minorHAnsi"/>
          <w:sz w:val="22"/>
          <w:lang w:val="en-CA"/>
        </w:rPr>
        <w:t xml:space="preserve"> administered in alternating years with government-wide audit</w:t>
      </w:r>
    </w:p>
    <w:p w14:paraId="14BA97AE" w14:textId="77777777" w:rsidR="0074458B" w:rsidRPr="00D43E1F" w:rsidRDefault="0074458B" w:rsidP="0074458B">
      <w:pPr>
        <w:keepLines/>
        <w:numPr>
          <w:ilvl w:val="0"/>
          <w:numId w:val="9"/>
        </w:numPr>
        <w:spacing w:line="259" w:lineRule="auto"/>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System-wide effectiveness and efficiency reviews</w:t>
      </w:r>
      <w:r w:rsidRPr="00D43E1F">
        <w:rPr>
          <w:rFonts w:asciiTheme="minorHAnsi" w:eastAsiaTheme="minorHAnsi" w:hAnsiTheme="minorHAnsi" w:cstheme="minorHAnsi"/>
          <w:sz w:val="22"/>
          <w:lang w:val="en-CA"/>
        </w:rPr>
        <w:t xml:space="preserve"> to support continuous improvement</w:t>
      </w:r>
    </w:p>
    <w:p w14:paraId="5559AFEC" w14:textId="77777777" w:rsidR="0074458B" w:rsidRPr="00D43E1F" w:rsidRDefault="0074458B" w:rsidP="0074458B">
      <w:pPr>
        <w:keepLines/>
        <w:numPr>
          <w:ilvl w:val="0"/>
          <w:numId w:val="9"/>
        </w:numPr>
        <w:spacing w:line="259" w:lineRule="auto"/>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Targeted PSC audits</w:t>
      </w:r>
      <w:r w:rsidRPr="00D43E1F">
        <w:rPr>
          <w:rFonts w:asciiTheme="minorHAnsi" w:eastAsiaTheme="minorHAnsi" w:hAnsiTheme="minorHAnsi" w:cstheme="minorHAnsi"/>
          <w:sz w:val="22"/>
          <w:lang w:val="en-CA"/>
        </w:rPr>
        <w:t xml:space="preserve"> as a result of identified system-wide or organizational risks or at the request of deputy head </w:t>
      </w:r>
    </w:p>
    <w:p w14:paraId="6CBED609" w14:textId="77777777" w:rsidR="0074458B" w:rsidRPr="00D43E1F" w:rsidRDefault="0074458B" w:rsidP="0074458B">
      <w:pPr>
        <w:keepLines/>
        <w:numPr>
          <w:ilvl w:val="0"/>
          <w:numId w:val="9"/>
        </w:numPr>
        <w:spacing w:after="320" w:line="259" w:lineRule="auto"/>
        <w:rPr>
          <w:rFonts w:asciiTheme="minorHAnsi" w:eastAsiaTheme="minorHAnsi" w:hAnsiTheme="minorHAnsi" w:cstheme="minorHAnsi"/>
          <w:sz w:val="22"/>
          <w:lang w:val="en-CA"/>
        </w:rPr>
      </w:pPr>
      <w:r w:rsidRPr="00D43E1F">
        <w:rPr>
          <w:rStyle w:val="Strong"/>
          <w:rFonts w:asciiTheme="minorHAnsi" w:eastAsiaTheme="minorHAnsi" w:hAnsiTheme="minorHAnsi" w:cstheme="minorHAnsi"/>
          <w:lang w:val="en-CA"/>
        </w:rPr>
        <w:t>Investigations conducted</w:t>
      </w:r>
      <w:r w:rsidRPr="00D43E1F">
        <w:rPr>
          <w:rFonts w:asciiTheme="minorHAnsi" w:eastAsiaTheme="minorHAnsi" w:hAnsiTheme="minorHAnsi" w:cstheme="minorHAnsi"/>
          <w:sz w:val="22"/>
          <w:lang w:val="en-CA"/>
        </w:rPr>
        <w:t xml:space="preserve"> when there is reason to believe there was political influence, fraud or improper conduct in an appointment process</w:t>
      </w:r>
    </w:p>
    <w:p w14:paraId="69A1C938" w14:textId="70260749" w:rsidR="00CF4572" w:rsidRPr="00D43E1F" w:rsidRDefault="0074458B" w:rsidP="0074458B">
      <w:pPr>
        <w:pStyle w:val="Level1"/>
        <w:tabs>
          <w:tab w:val="left" w:pos="-1440"/>
        </w:tabs>
        <w:autoSpaceDE w:val="0"/>
        <w:autoSpaceDN w:val="0"/>
        <w:adjustRightInd w:val="0"/>
        <w:rPr>
          <w:rFonts w:ascii="Arial" w:hAnsi="Arial" w:cs="Arial"/>
          <w:sz w:val="22"/>
          <w:szCs w:val="22"/>
          <w:lang w:val="en-CA"/>
        </w:rPr>
        <w:sectPr w:rsidR="00CF4572" w:rsidRPr="00D43E1F" w:rsidSect="009C38A1">
          <w:pgSz w:w="12240" w:h="15840"/>
          <w:pgMar w:top="709" w:right="1304" w:bottom="1304" w:left="1304" w:header="709" w:footer="284" w:gutter="0"/>
          <w:cols w:space="708"/>
          <w:titlePg/>
          <w:docGrid w:linePitch="360"/>
        </w:sectPr>
      </w:pPr>
      <w:r w:rsidRPr="00D43E1F">
        <w:rPr>
          <w:rStyle w:val="Strong"/>
          <w:rFonts w:asciiTheme="minorHAnsi" w:eastAsiaTheme="minorHAnsi" w:hAnsiTheme="minorHAnsi" w:cstheme="minorHAnsi"/>
          <w:b w:val="0"/>
          <w:lang w:val="en-CA"/>
        </w:rPr>
        <w:t xml:space="preserve">This document should be read in conjunction with the </w:t>
      </w:r>
      <w:r w:rsidRPr="00D43E1F">
        <w:rPr>
          <w:rStyle w:val="Emphasis"/>
          <w:rFonts w:asciiTheme="minorHAnsi" w:eastAsiaTheme="minorHAnsi" w:hAnsiTheme="minorHAnsi" w:cstheme="minorHAnsi"/>
          <w:sz w:val="22"/>
        </w:rPr>
        <w:t>Public Service Employment Act</w:t>
      </w:r>
      <w:r w:rsidRPr="00D43E1F">
        <w:rPr>
          <w:rStyle w:val="Strong"/>
          <w:rFonts w:asciiTheme="minorHAnsi" w:eastAsiaTheme="minorHAnsi" w:hAnsiTheme="minorHAnsi" w:cstheme="minorHAnsi"/>
          <w:b w:val="0"/>
          <w:lang w:val="en-CA"/>
        </w:rPr>
        <w:t xml:space="preserve">, the </w:t>
      </w:r>
      <w:r w:rsidRPr="00D43E1F">
        <w:rPr>
          <w:rStyle w:val="Emphasis"/>
          <w:rFonts w:asciiTheme="minorHAnsi" w:eastAsiaTheme="minorHAnsi" w:hAnsiTheme="minorHAnsi" w:cstheme="minorHAnsi"/>
          <w:sz w:val="22"/>
        </w:rPr>
        <w:t>Public Service Employment Regulations</w:t>
      </w:r>
      <w:r w:rsidRPr="00D43E1F">
        <w:rPr>
          <w:rStyle w:val="Strong"/>
          <w:rFonts w:asciiTheme="minorHAnsi" w:eastAsiaTheme="minorHAnsi" w:hAnsiTheme="minorHAnsi" w:cstheme="minorHAnsi"/>
          <w:b w:val="0"/>
          <w:lang w:val="en-CA"/>
        </w:rPr>
        <w:t xml:space="preserve">, the </w:t>
      </w:r>
      <w:r w:rsidRPr="00D43E1F">
        <w:rPr>
          <w:rStyle w:val="Emphasis"/>
          <w:rFonts w:asciiTheme="minorHAnsi" w:eastAsiaTheme="minorHAnsi" w:hAnsiTheme="minorHAnsi" w:cstheme="minorHAnsi"/>
          <w:sz w:val="22"/>
        </w:rPr>
        <w:t>PSC Appointment Policy</w:t>
      </w:r>
      <w:r w:rsidRPr="00D43E1F">
        <w:rPr>
          <w:rStyle w:val="Strong"/>
          <w:rFonts w:asciiTheme="minorHAnsi" w:eastAsiaTheme="minorHAnsi" w:hAnsiTheme="minorHAnsi" w:cstheme="minorHAnsi"/>
          <w:b w:val="0"/>
          <w:sz w:val="20"/>
          <w:lang w:val="en-CA"/>
        </w:rPr>
        <w:t xml:space="preserve"> </w:t>
      </w:r>
      <w:r w:rsidRPr="00D43E1F">
        <w:rPr>
          <w:rStyle w:val="Strong"/>
          <w:rFonts w:asciiTheme="minorHAnsi" w:eastAsiaTheme="minorHAnsi" w:hAnsiTheme="minorHAnsi" w:cstheme="minorHAnsi"/>
          <w:b w:val="0"/>
          <w:lang w:val="en-CA"/>
        </w:rPr>
        <w:t>and the PSC Appointment Delegation and Accountability Instrument.</w:t>
      </w:r>
    </w:p>
    <w:p w14:paraId="7EB14DD2" w14:textId="77777777" w:rsidR="007378D3" w:rsidRPr="00D43E1F" w:rsidRDefault="007378D3" w:rsidP="00BE7145">
      <w:pPr>
        <w:pStyle w:val="Heading3"/>
        <w:jc w:val="right"/>
      </w:pPr>
      <w:bookmarkStart w:id="2" w:name="Annex_B"/>
      <w:r w:rsidRPr="00D43E1F">
        <w:lastRenderedPageBreak/>
        <w:t>Annex</w:t>
      </w:r>
      <w:r w:rsidR="00CF4572" w:rsidRPr="00D43E1F">
        <w:t xml:space="preserve"> B</w:t>
      </w:r>
    </w:p>
    <w:bookmarkEnd w:id="2"/>
    <w:p w14:paraId="41AAF18C" w14:textId="77777777" w:rsidR="005E6F92" w:rsidRPr="005E6F92" w:rsidRDefault="005E6F92" w:rsidP="005E6F92">
      <w:pPr>
        <w:pStyle w:val="Heading1"/>
        <w:spacing w:before="120"/>
        <w:rPr>
          <w:noProof/>
          <w:sz w:val="40"/>
          <w:szCs w:val="40"/>
          <w:lang w:eastAsia="en-CA"/>
        </w:rPr>
      </w:pPr>
      <w:r w:rsidRPr="005E6F92">
        <w:rPr>
          <w:rFonts w:eastAsia="Times New Roman"/>
          <w:noProof/>
          <w:sz w:val="40"/>
          <w:szCs w:val="40"/>
          <w:lang w:eastAsia="en-CA"/>
        </w:rPr>
        <w:t>Population by tenure as of March 31, 2020</w:t>
      </w:r>
    </w:p>
    <w:p w14:paraId="315E37FD" w14:textId="77777777" w:rsidR="005E6F92" w:rsidRDefault="00CF4572" w:rsidP="005E6F92">
      <w:pPr>
        <w:keepNext/>
        <w:tabs>
          <w:tab w:val="left" w:pos="7839"/>
        </w:tabs>
        <w:jc w:val="center"/>
      </w:pPr>
      <w:r w:rsidRPr="00D43E1F">
        <w:rPr>
          <w:noProof/>
          <w:lang w:val="en-CA" w:eastAsia="en-CA"/>
        </w:rPr>
        <w:drawing>
          <wp:inline distT="0" distB="0" distL="0" distR="0" wp14:anchorId="6B2D82C9" wp14:editId="73C222AD">
            <wp:extent cx="5648400" cy="3049200"/>
            <wp:effectExtent l="0" t="0" r="9525" b="18415"/>
            <wp:docPr id="13" name="Chart 13" descr="Population by tenure as of March 31,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BF9A88" w14:textId="250E2DF6" w:rsidR="00BE7145" w:rsidRPr="00C066B6" w:rsidRDefault="005E6F92" w:rsidP="00C066B6">
      <w:pPr>
        <w:pStyle w:val="Caption"/>
        <w:spacing w:after="0"/>
        <w:jc w:val="center"/>
        <w:rPr>
          <w:rFonts w:asciiTheme="minorHAnsi" w:hAnsiTheme="minorHAnsi" w:cstheme="minorHAnsi"/>
          <w:i w:val="0"/>
          <w:iCs w:val="0"/>
          <w:noProof/>
          <w:color w:val="auto"/>
          <w:lang w:eastAsia="en-CA"/>
        </w:rPr>
      </w:pPr>
      <w:r w:rsidRPr="00C066B6">
        <w:rPr>
          <w:rFonts w:asciiTheme="minorHAnsi" w:hAnsiTheme="minorHAnsi" w:cstheme="minorHAnsi"/>
          <w:i w:val="0"/>
          <w:iCs w:val="0"/>
          <w:color w:val="auto"/>
        </w:rPr>
        <w:t xml:space="preserve">Figure </w:t>
      </w:r>
      <w:r w:rsidRPr="00C066B6">
        <w:rPr>
          <w:rFonts w:asciiTheme="minorHAnsi" w:hAnsiTheme="minorHAnsi" w:cstheme="minorHAnsi"/>
          <w:i w:val="0"/>
          <w:iCs w:val="0"/>
          <w:color w:val="auto"/>
        </w:rPr>
        <w:fldChar w:fldCharType="begin"/>
      </w:r>
      <w:r w:rsidRPr="00C066B6">
        <w:rPr>
          <w:rFonts w:asciiTheme="minorHAnsi" w:hAnsiTheme="minorHAnsi" w:cstheme="minorHAnsi"/>
          <w:i w:val="0"/>
          <w:iCs w:val="0"/>
          <w:color w:val="auto"/>
        </w:rPr>
        <w:instrText xml:space="preserve"> SEQ Figure \* ARABIC </w:instrText>
      </w:r>
      <w:r w:rsidRPr="00C066B6">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1</w:t>
      </w:r>
      <w:r w:rsidRPr="00C066B6">
        <w:rPr>
          <w:rFonts w:asciiTheme="minorHAnsi" w:hAnsiTheme="minorHAnsi" w:cstheme="minorHAnsi"/>
          <w:i w:val="0"/>
          <w:iCs w:val="0"/>
          <w:color w:val="auto"/>
        </w:rPr>
        <w:fldChar w:fldCharType="end"/>
      </w:r>
      <w:r w:rsidRPr="00C066B6">
        <w:rPr>
          <w:rFonts w:asciiTheme="minorHAnsi" w:hAnsiTheme="minorHAnsi" w:cstheme="minorHAnsi"/>
          <w:i w:val="0"/>
          <w:iCs w:val="0"/>
          <w:color w:val="auto"/>
        </w:rPr>
        <w:t xml:space="preserve"> - Population by tenure as of March 31, 2020</w:t>
      </w:r>
    </w:p>
    <w:p w14:paraId="4156AD45" w14:textId="1295D24E" w:rsidR="00C066B6" w:rsidRPr="00C066B6" w:rsidRDefault="00C066B6" w:rsidP="00C066B6">
      <w:pPr>
        <w:pStyle w:val="Caption"/>
        <w:keepNext/>
        <w:spacing w:before="240" w:after="0"/>
        <w:jc w:val="center"/>
        <w:rPr>
          <w:rFonts w:asciiTheme="minorHAnsi" w:hAnsiTheme="minorHAnsi" w:cstheme="minorHAnsi"/>
          <w:i w:val="0"/>
          <w:iCs w:val="0"/>
          <w:color w:val="auto"/>
        </w:rPr>
      </w:pPr>
      <w:r w:rsidRPr="00C066B6">
        <w:rPr>
          <w:rFonts w:asciiTheme="minorHAnsi" w:hAnsiTheme="minorHAnsi" w:cstheme="minorHAnsi"/>
          <w:i w:val="0"/>
          <w:iCs w:val="0"/>
          <w:color w:val="auto"/>
        </w:rPr>
        <w:t xml:space="preserve">Table </w:t>
      </w:r>
      <w:r w:rsidRPr="00C066B6">
        <w:rPr>
          <w:rFonts w:asciiTheme="minorHAnsi" w:hAnsiTheme="minorHAnsi" w:cstheme="minorHAnsi"/>
          <w:i w:val="0"/>
          <w:iCs w:val="0"/>
          <w:color w:val="auto"/>
        </w:rPr>
        <w:fldChar w:fldCharType="begin"/>
      </w:r>
      <w:r w:rsidRPr="00C066B6">
        <w:rPr>
          <w:rFonts w:asciiTheme="minorHAnsi" w:hAnsiTheme="minorHAnsi" w:cstheme="minorHAnsi"/>
          <w:i w:val="0"/>
          <w:iCs w:val="0"/>
          <w:color w:val="auto"/>
        </w:rPr>
        <w:instrText xml:space="preserve"> SEQ Table \* ARABIC </w:instrText>
      </w:r>
      <w:r w:rsidRPr="00C066B6">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5</w:t>
      </w:r>
      <w:r w:rsidRPr="00C066B6">
        <w:rPr>
          <w:rFonts w:asciiTheme="minorHAnsi" w:hAnsiTheme="minorHAnsi" w:cstheme="minorHAnsi"/>
          <w:i w:val="0"/>
          <w:iCs w:val="0"/>
          <w:color w:val="auto"/>
        </w:rPr>
        <w:fldChar w:fldCharType="end"/>
      </w:r>
      <w:r w:rsidRPr="00C066B6">
        <w:rPr>
          <w:rFonts w:asciiTheme="minorHAnsi" w:hAnsiTheme="minorHAnsi" w:cstheme="minorHAnsi"/>
          <w:i w:val="0"/>
          <w:iCs w:val="0"/>
          <w:color w:val="auto"/>
        </w:rPr>
        <w:t xml:space="preserve"> - Public Service Employment Act population by tenure as of March 31</w:t>
      </w:r>
    </w:p>
    <w:tbl>
      <w:tblPr>
        <w:tblStyle w:val="TableGrid"/>
        <w:tblW w:w="5000" w:type="pct"/>
        <w:jc w:val="center"/>
        <w:tblLook w:val="0020" w:firstRow="1" w:lastRow="0" w:firstColumn="0" w:lastColumn="0" w:noHBand="0" w:noVBand="0"/>
        <w:tblDescription w:val="Population by tenure as of March 31 from 2015 to 2020"/>
      </w:tblPr>
      <w:tblGrid>
        <w:gridCol w:w="2405"/>
        <w:gridCol w:w="2835"/>
        <w:gridCol w:w="2127"/>
        <w:gridCol w:w="2694"/>
        <w:gridCol w:w="2248"/>
        <w:gridCol w:w="2081"/>
      </w:tblGrid>
      <w:tr w:rsidR="00C066B6" w:rsidRPr="00C066B6" w14:paraId="1181B590" w14:textId="77777777" w:rsidTr="005A204A">
        <w:trPr>
          <w:cantSplit/>
          <w:trHeight w:val="290"/>
          <w:tblHeader/>
          <w:jc w:val="center"/>
        </w:trPr>
        <w:tc>
          <w:tcPr>
            <w:tcW w:w="836" w:type="pct"/>
          </w:tcPr>
          <w:p w14:paraId="296970CB" w14:textId="77777777" w:rsidR="009A3C90" w:rsidRPr="00C066B6" w:rsidRDefault="009A3C90" w:rsidP="00C066B6">
            <w:pPr>
              <w:pStyle w:val="TableTitle"/>
              <w:rPr>
                <w:rFonts w:cs="Segoe UI Semibold"/>
                <w:color w:val="auto"/>
                <w:sz w:val="22"/>
                <w:szCs w:val="22"/>
              </w:rPr>
            </w:pPr>
            <w:r w:rsidRPr="00C066B6">
              <w:rPr>
                <w:rFonts w:cs="Segoe UI Semibold"/>
                <w:color w:val="auto"/>
                <w:sz w:val="22"/>
                <w:szCs w:val="22"/>
              </w:rPr>
              <w:t xml:space="preserve"> Year</w:t>
            </w:r>
          </w:p>
        </w:tc>
        <w:tc>
          <w:tcPr>
            <w:tcW w:w="985" w:type="pct"/>
          </w:tcPr>
          <w:p w14:paraId="4E847057" w14:textId="307347D6" w:rsidR="009A3C90" w:rsidRPr="00C066B6" w:rsidRDefault="009A3C90" w:rsidP="00C066B6">
            <w:pPr>
              <w:pStyle w:val="TableTitle"/>
              <w:rPr>
                <w:rFonts w:cs="Segoe UI Semibold"/>
                <w:color w:val="auto"/>
                <w:sz w:val="22"/>
                <w:szCs w:val="22"/>
              </w:rPr>
            </w:pPr>
            <w:r w:rsidRPr="00C066B6">
              <w:rPr>
                <w:rFonts w:cs="Segoe UI Semibold"/>
                <w:color w:val="auto"/>
                <w:sz w:val="22"/>
                <w:szCs w:val="22"/>
              </w:rPr>
              <w:t>Indeterminate</w:t>
            </w:r>
            <w:r w:rsidR="00C066B6">
              <w:rPr>
                <w:rFonts w:cs="Segoe UI Semibold"/>
                <w:color w:val="auto"/>
                <w:sz w:val="22"/>
                <w:szCs w:val="22"/>
              </w:rPr>
              <w:t xml:space="preserve"> </w:t>
            </w:r>
            <w:r w:rsidRPr="00C066B6">
              <w:rPr>
                <w:rFonts w:cs="Segoe UI Semibold"/>
                <w:color w:val="auto"/>
                <w:sz w:val="22"/>
                <w:szCs w:val="22"/>
              </w:rPr>
              <w:t>population</w:t>
            </w:r>
          </w:p>
        </w:tc>
        <w:tc>
          <w:tcPr>
            <w:tcW w:w="739" w:type="pct"/>
          </w:tcPr>
          <w:p w14:paraId="49140061" w14:textId="4130A73C" w:rsidR="009A3C90" w:rsidRPr="00C066B6" w:rsidRDefault="009A3C90" w:rsidP="00C066B6">
            <w:pPr>
              <w:pStyle w:val="TableTitle"/>
              <w:rPr>
                <w:rFonts w:cs="Segoe UI Semibold"/>
                <w:color w:val="auto"/>
                <w:sz w:val="22"/>
                <w:szCs w:val="22"/>
              </w:rPr>
            </w:pPr>
            <w:r w:rsidRPr="00C066B6">
              <w:rPr>
                <w:rFonts w:cs="Segoe UI Semibold"/>
                <w:color w:val="auto"/>
                <w:sz w:val="22"/>
                <w:szCs w:val="22"/>
              </w:rPr>
              <w:t>Term</w:t>
            </w:r>
            <w:r w:rsidR="00C066B6">
              <w:rPr>
                <w:rFonts w:cs="Segoe UI Semibold"/>
                <w:color w:val="auto"/>
                <w:sz w:val="22"/>
                <w:szCs w:val="22"/>
              </w:rPr>
              <w:t xml:space="preserve"> </w:t>
            </w:r>
            <w:r w:rsidRPr="00C066B6">
              <w:rPr>
                <w:rFonts w:cs="Segoe UI Semibold"/>
                <w:color w:val="auto"/>
                <w:sz w:val="22"/>
                <w:szCs w:val="22"/>
              </w:rPr>
              <w:t xml:space="preserve">population </w:t>
            </w:r>
          </w:p>
        </w:tc>
        <w:tc>
          <w:tcPr>
            <w:tcW w:w="936" w:type="pct"/>
          </w:tcPr>
          <w:p w14:paraId="271E6252" w14:textId="65E95CF3" w:rsidR="009A3C90" w:rsidRPr="00C066B6" w:rsidRDefault="009A3C90" w:rsidP="00C066B6">
            <w:pPr>
              <w:pStyle w:val="TableTitle"/>
              <w:rPr>
                <w:rFonts w:cs="Segoe UI Semibold"/>
                <w:color w:val="auto"/>
                <w:sz w:val="22"/>
                <w:szCs w:val="22"/>
              </w:rPr>
            </w:pPr>
            <w:r w:rsidRPr="00C066B6">
              <w:rPr>
                <w:rFonts w:cs="Segoe UI Semibold"/>
                <w:color w:val="auto"/>
                <w:sz w:val="22"/>
                <w:szCs w:val="22"/>
              </w:rPr>
              <w:t>Casual</w:t>
            </w:r>
            <w:r w:rsidR="00C066B6">
              <w:rPr>
                <w:rFonts w:cs="Segoe UI Semibold"/>
                <w:color w:val="auto"/>
                <w:sz w:val="22"/>
                <w:szCs w:val="22"/>
              </w:rPr>
              <w:t xml:space="preserve"> </w:t>
            </w:r>
            <w:r w:rsidRPr="00C066B6">
              <w:rPr>
                <w:rFonts w:cs="Segoe UI Semibold"/>
                <w:color w:val="auto"/>
                <w:sz w:val="22"/>
                <w:szCs w:val="22"/>
              </w:rPr>
              <w:t>population</w:t>
            </w:r>
          </w:p>
        </w:tc>
        <w:tc>
          <w:tcPr>
            <w:tcW w:w="781" w:type="pct"/>
          </w:tcPr>
          <w:p w14:paraId="711DE1A0" w14:textId="348412B9" w:rsidR="009A3C90" w:rsidRPr="00C066B6" w:rsidRDefault="009A3C90" w:rsidP="00C066B6">
            <w:pPr>
              <w:pStyle w:val="TableTitle"/>
              <w:rPr>
                <w:rFonts w:cs="Segoe UI Semibold"/>
                <w:color w:val="auto"/>
                <w:sz w:val="22"/>
                <w:szCs w:val="22"/>
              </w:rPr>
            </w:pPr>
            <w:r w:rsidRPr="00C066B6">
              <w:rPr>
                <w:rFonts w:cs="Segoe UI Semibold"/>
                <w:color w:val="auto"/>
                <w:sz w:val="22"/>
                <w:szCs w:val="22"/>
              </w:rPr>
              <w:t>Student</w:t>
            </w:r>
            <w:r w:rsidR="00C066B6">
              <w:rPr>
                <w:rFonts w:cs="Segoe UI Semibold"/>
                <w:color w:val="auto"/>
                <w:sz w:val="22"/>
                <w:szCs w:val="22"/>
              </w:rPr>
              <w:t xml:space="preserve"> </w:t>
            </w:r>
            <w:r w:rsidRPr="00C066B6">
              <w:rPr>
                <w:rFonts w:cs="Segoe UI Semibold"/>
                <w:color w:val="auto"/>
                <w:sz w:val="22"/>
                <w:szCs w:val="22"/>
              </w:rPr>
              <w:t>population</w:t>
            </w:r>
          </w:p>
        </w:tc>
        <w:tc>
          <w:tcPr>
            <w:tcW w:w="723" w:type="pct"/>
          </w:tcPr>
          <w:p w14:paraId="2F880DAF" w14:textId="29102D3E" w:rsidR="009A3C90" w:rsidRPr="00C066B6" w:rsidRDefault="009A3C90" w:rsidP="00C066B6">
            <w:pPr>
              <w:pStyle w:val="TableTitle"/>
              <w:rPr>
                <w:rFonts w:cs="Segoe UI Semibold"/>
                <w:color w:val="auto"/>
                <w:sz w:val="22"/>
                <w:szCs w:val="22"/>
              </w:rPr>
            </w:pPr>
            <w:r w:rsidRPr="00C066B6">
              <w:rPr>
                <w:rFonts w:cs="Segoe UI Semibold"/>
                <w:color w:val="auto"/>
                <w:sz w:val="22"/>
                <w:szCs w:val="22"/>
              </w:rPr>
              <w:t>Total</w:t>
            </w:r>
            <w:r w:rsidR="00C066B6">
              <w:rPr>
                <w:rFonts w:cs="Segoe UI Semibold"/>
                <w:color w:val="auto"/>
                <w:sz w:val="22"/>
                <w:szCs w:val="22"/>
              </w:rPr>
              <w:t xml:space="preserve"> </w:t>
            </w:r>
            <w:r w:rsidRPr="00C066B6">
              <w:rPr>
                <w:rFonts w:cs="Segoe UI Semibold"/>
                <w:color w:val="auto"/>
                <w:sz w:val="22"/>
                <w:szCs w:val="22"/>
              </w:rPr>
              <w:t>population</w:t>
            </w:r>
          </w:p>
        </w:tc>
      </w:tr>
      <w:tr w:rsidR="00C066B6" w:rsidRPr="00C066B6" w14:paraId="19008281" w14:textId="77777777" w:rsidTr="005A204A">
        <w:trPr>
          <w:cantSplit/>
          <w:trHeight w:val="290"/>
          <w:tblHeader/>
          <w:jc w:val="center"/>
        </w:trPr>
        <w:tc>
          <w:tcPr>
            <w:tcW w:w="836" w:type="pct"/>
          </w:tcPr>
          <w:p w14:paraId="381F17A0" w14:textId="77777777" w:rsidR="009A3C90" w:rsidRPr="00C066B6" w:rsidRDefault="009A3C90" w:rsidP="00C066B6">
            <w:pPr>
              <w:autoSpaceDE w:val="0"/>
              <w:autoSpaceDN w:val="0"/>
              <w:adjustRightInd w:val="0"/>
              <w:rPr>
                <w:rFonts w:asciiTheme="minorHAnsi" w:hAnsiTheme="minorHAnsi" w:cstheme="minorHAnsi"/>
                <w:sz w:val="22"/>
                <w:szCs w:val="22"/>
              </w:rPr>
            </w:pPr>
            <w:r w:rsidRPr="00C066B6">
              <w:rPr>
                <w:rFonts w:asciiTheme="minorHAnsi" w:hAnsiTheme="minorHAnsi" w:cstheme="minorHAnsi"/>
                <w:sz w:val="22"/>
                <w:szCs w:val="22"/>
              </w:rPr>
              <w:t>As of March 31, 2015</w:t>
            </w:r>
          </w:p>
        </w:tc>
        <w:tc>
          <w:tcPr>
            <w:tcW w:w="985" w:type="pct"/>
          </w:tcPr>
          <w:p w14:paraId="1BDA2573"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3 507</w:t>
            </w:r>
          </w:p>
        </w:tc>
        <w:tc>
          <w:tcPr>
            <w:tcW w:w="739" w:type="pct"/>
          </w:tcPr>
          <w:p w14:paraId="1ADB7BD4"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176</w:t>
            </w:r>
          </w:p>
        </w:tc>
        <w:tc>
          <w:tcPr>
            <w:tcW w:w="936" w:type="pct"/>
          </w:tcPr>
          <w:p w14:paraId="712A3FB1"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298</w:t>
            </w:r>
          </w:p>
        </w:tc>
        <w:tc>
          <w:tcPr>
            <w:tcW w:w="781" w:type="pct"/>
          </w:tcPr>
          <w:p w14:paraId="7CDA54AB"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166</w:t>
            </w:r>
          </w:p>
        </w:tc>
        <w:tc>
          <w:tcPr>
            <w:tcW w:w="723" w:type="pct"/>
          </w:tcPr>
          <w:p w14:paraId="5EEF2F90"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4 147</w:t>
            </w:r>
          </w:p>
        </w:tc>
      </w:tr>
      <w:tr w:rsidR="00C066B6" w:rsidRPr="00C066B6" w14:paraId="286FF739" w14:textId="77777777" w:rsidTr="005A204A">
        <w:trPr>
          <w:cantSplit/>
          <w:trHeight w:val="290"/>
          <w:tblHeader/>
          <w:jc w:val="center"/>
        </w:trPr>
        <w:tc>
          <w:tcPr>
            <w:tcW w:w="836" w:type="pct"/>
          </w:tcPr>
          <w:p w14:paraId="439B4483" w14:textId="77777777" w:rsidR="009A3C90" w:rsidRPr="00C066B6" w:rsidRDefault="009A3C90" w:rsidP="00C066B6">
            <w:pPr>
              <w:autoSpaceDE w:val="0"/>
              <w:autoSpaceDN w:val="0"/>
              <w:adjustRightInd w:val="0"/>
              <w:rPr>
                <w:rFonts w:asciiTheme="minorHAnsi" w:hAnsiTheme="minorHAnsi" w:cstheme="minorHAnsi"/>
                <w:sz w:val="22"/>
                <w:szCs w:val="22"/>
              </w:rPr>
            </w:pPr>
            <w:r w:rsidRPr="00C066B6">
              <w:rPr>
                <w:rFonts w:asciiTheme="minorHAnsi" w:hAnsiTheme="minorHAnsi" w:cstheme="minorHAnsi"/>
                <w:sz w:val="22"/>
                <w:szCs w:val="22"/>
              </w:rPr>
              <w:t>As of March 31, 2016</w:t>
            </w:r>
          </w:p>
        </w:tc>
        <w:tc>
          <w:tcPr>
            <w:tcW w:w="985" w:type="pct"/>
          </w:tcPr>
          <w:p w14:paraId="36A03187"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3 505</w:t>
            </w:r>
          </w:p>
        </w:tc>
        <w:tc>
          <w:tcPr>
            <w:tcW w:w="739" w:type="pct"/>
          </w:tcPr>
          <w:p w14:paraId="3A98DD03"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214</w:t>
            </w:r>
          </w:p>
        </w:tc>
        <w:tc>
          <w:tcPr>
            <w:tcW w:w="936" w:type="pct"/>
          </w:tcPr>
          <w:p w14:paraId="1563952F"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302</w:t>
            </w:r>
          </w:p>
        </w:tc>
        <w:tc>
          <w:tcPr>
            <w:tcW w:w="781" w:type="pct"/>
          </w:tcPr>
          <w:p w14:paraId="285EDE6E"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170</w:t>
            </w:r>
          </w:p>
        </w:tc>
        <w:tc>
          <w:tcPr>
            <w:tcW w:w="723" w:type="pct"/>
          </w:tcPr>
          <w:p w14:paraId="5A87D7D5"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4 191</w:t>
            </w:r>
          </w:p>
        </w:tc>
      </w:tr>
      <w:tr w:rsidR="00C066B6" w:rsidRPr="00C066B6" w14:paraId="491E1943" w14:textId="77777777" w:rsidTr="005A204A">
        <w:trPr>
          <w:cantSplit/>
          <w:trHeight w:val="290"/>
          <w:tblHeader/>
          <w:jc w:val="center"/>
        </w:trPr>
        <w:tc>
          <w:tcPr>
            <w:tcW w:w="836" w:type="pct"/>
          </w:tcPr>
          <w:p w14:paraId="6A6C0E4F" w14:textId="77777777" w:rsidR="009A3C90" w:rsidRPr="00C066B6" w:rsidRDefault="009A3C90" w:rsidP="00C066B6">
            <w:pPr>
              <w:autoSpaceDE w:val="0"/>
              <w:autoSpaceDN w:val="0"/>
              <w:adjustRightInd w:val="0"/>
              <w:rPr>
                <w:rFonts w:asciiTheme="minorHAnsi" w:hAnsiTheme="minorHAnsi" w:cstheme="minorHAnsi"/>
                <w:sz w:val="22"/>
                <w:szCs w:val="22"/>
              </w:rPr>
            </w:pPr>
            <w:r w:rsidRPr="00C066B6">
              <w:rPr>
                <w:rFonts w:asciiTheme="minorHAnsi" w:hAnsiTheme="minorHAnsi" w:cstheme="minorHAnsi"/>
                <w:sz w:val="22"/>
                <w:szCs w:val="22"/>
              </w:rPr>
              <w:t>As of March 31, 2017</w:t>
            </w:r>
          </w:p>
        </w:tc>
        <w:tc>
          <w:tcPr>
            <w:tcW w:w="985" w:type="pct"/>
          </w:tcPr>
          <w:p w14:paraId="4E6DED47"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3 629</w:t>
            </w:r>
          </w:p>
        </w:tc>
        <w:tc>
          <w:tcPr>
            <w:tcW w:w="739" w:type="pct"/>
          </w:tcPr>
          <w:p w14:paraId="6A348AF1"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295</w:t>
            </w:r>
          </w:p>
        </w:tc>
        <w:tc>
          <w:tcPr>
            <w:tcW w:w="936" w:type="pct"/>
          </w:tcPr>
          <w:p w14:paraId="7CC32AB2"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363</w:t>
            </w:r>
          </w:p>
        </w:tc>
        <w:tc>
          <w:tcPr>
            <w:tcW w:w="781" w:type="pct"/>
          </w:tcPr>
          <w:p w14:paraId="6649E520"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164</w:t>
            </w:r>
          </w:p>
        </w:tc>
        <w:tc>
          <w:tcPr>
            <w:tcW w:w="723" w:type="pct"/>
          </w:tcPr>
          <w:p w14:paraId="3BE7DD35"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4 451</w:t>
            </w:r>
          </w:p>
        </w:tc>
      </w:tr>
      <w:tr w:rsidR="00C066B6" w:rsidRPr="00C066B6" w14:paraId="40D4D712" w14:textId="77777777" w:rsidTr="005A204A">
        <w:trPr>
          <w:cantSplit/>
          <w:trHeight w:val="290"/>
          <w:tblHeader/>
          <w:jc w:val="center"/>
        </w:trPr>
        <w:tc>
          <w:tcPr>
            <w:tcW w:w="836" w:type="pct"/>
          </w:tcPr>
          <w:p w14:paraId="22BC0578" w14:textId="77777777" w:rsidR="009A3C90" w:rsidRPr="00C066B6" w:rsidRDefault="009A3C90" w:rsidP="00C066B6">
            <w:pPr>
              <w:autoSpaceDE w:val="0"/>
              <w:autoSpaceDN w:val="0"/>
              <w:adjustRightInd w:val="0"/>
              <w:rPr>
                <w:rFonts w:asciiTheme="minorHAnsi" w:hAnsiTheme="minorHAnsi" w:cstheme="minorHAnsi"/>
                <w:sz w:val="22"/>
                <w:szCs w:val="22"/>
              </w:rPr>
            </w:pPr>
            <w:r w:rsidRPr="00C066B6">
              <w:rPr>
                <w:rFonts w:asciiTheme="minorHAnsi" w:hAnsiTheme="minorHAnsi" w:cstheme="minorHAnsi"/>
                <w:sz w:val="22"/>
                <w:szCs w:val="22"/>
              </w:rPr>
              <w:t>As of March 31, 2018</w:t>
            </w:r>
          </w:p>
        </w:tc>
        <w:tc>
          <w:tcPr>
            <w:tcW w:w="985" w:type="pct"/>
          </w:tcPr>
          <w:p w14:paraId="222A962D"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3 597</w:t>
            </w:r>
          </w:p>
        </w:tc>
        <w:tc>
          <w:tcPr>
            <w:tcW w:w="739" w:type="pct"/>
          </w:tcPr>
          <w:p w14:paraId="56CFFE0F"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365</w:t>
            </w:r>
          </w:p>
        </w:tc>
        <w:tc>
          <w:tcPr>
            <w:tcW w:w="936" w:type="pct"/>
          </w:tcPr>
          <w:p w14:paraId="04526AC2"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384</w:t>
            </w:r>
          </w:p>
        </w:tc>
        <w:tc>
          <w:tcPr>
            <w:tcW w:w="781" w:type="pct"/>
          </w:tcPr>
          <w:p w14:paraId="68D637C4"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191</w:t>
            </w:r>
          </w:p>
        </w:tc>
        <w:tc>
          <w:tcPr>
            <w:tcW w:w="723" w:type="pct"/>
          </w:tcPr>
          <w:p w14:paraId="7D26493E"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4 537</w:t>
            </w:r>
          </w:p>
        </w:tc>
      </w:tr>
      <w:tr w:rsidR="00C066B6" w:rsidRPr="00C066B6" w14:paraId="122443F0" w14:textId="77777777" w:rsidTr="005A204A">
        <w:trPr>
          <w:cantSplit/>
          <w:trHeight w:val="290"/>
          <w:tblHeader/>
          <w:jc w:val="center"/>
        </w:trPr>
        <w:tc>
          <w:tcPr>
            <w:tcW w:w="836" w:type="pct"/>
          </w:tcPr>
          <w:p w14:paraId="404B97A5" w14:textId="77777777" w:rsidR="009A3C90" w:rsidRPr="00C066B6" w:rsidRDefault="009A3C90" w:rsidP="00C066B6">
            <w:pPr>
              <w:autoSpaceDE w:val="0"/>
              <w:autoSpaceDN w:val="0"/>
              <w:adjustRightInd w:val="0"/>
              <w:rPr>
                <w:rFonts w:asciiTheme="minorHAnsi" w:hAnsiTheme="minorHAnsi" w:cstheme="minorHAnsi"/>
                <w:sz w:val="22"/>
                <w:szCs w:val="22"/>
              </w:rPr>
            </w:pPr>
            <w:r w:rsidRPr="00C066B6">
              <w:rPr>
                <w:rFonts w:asciiTheme="minorHAnsi" w:hAnsiTheme="minorHAnsi" w:cstheme="minorHAnsi"/>
                <w:sz w:val="22"/>
                <w:szCs w:val="22"/>
              </w:rPr>
              <w:t>As of March 31, 2019</w:t>
            </w:r>
          </w:p>
        </w:tc>
        <w:tc>
          <w:tcPr>
            <w:tcW w:w="985" w:type="pct"/>
          </w:tcPr>
          <w:p w14:paraId="2F056112"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3 707</w:t>
            </w:r>
          </w:p>
        </w:tc>
        <w:tc>
          <w:tcPr>
            <w:tcW w:w="739" w:type="pct"/>
          </w:tcPr>
          <w:p w14:paraId="7C69B7FE"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406</w:t>
            </w:r>
          </w:p>
        </w:tc>
        <w:tc>
          <w:tcPr>
            <w:tcW w:w="936" w:type="pct"/>
          </w:tcPr>
          <w:p w14:paraId="7EC47DE9"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294</w:t>
            </w:r>
          </w:p>
        </w:tc>
        <w:tc>
          <w:tcPr>
            <w:tcW w:w="781" w:type="pct"/>
          </w:tcPr>
          <w:p w14:paraId="531F508D"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164</w:t>
            </w:r>
          </w:p>
        </w:tc>
        <w:tc>
          <w:tcPr>
            <w:tcW w:w="723" w:type="pct"/>
          </w:tcPr>
          <w:p w14:paraId="73620344"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4 571</w:t>
            </w:r>
          </w:p>
        </w:tc>
      </w:tr>
      <w:tr w:rsidR="00C066B6" w:rsidRPr="00C066B6" w14:paraId="11055ED3" w14:textId="77777777" w:rsidTr="005A204A">
        <w:trPr>
          <w:cantSplit/>
          <w:trHeight w:val="290"/>
          <w:tblHeader/>
          <w:jc w:val="center"/>
        </w:trPr>
        <w:tc>
          <w:tcPr>
            <w:tcW w:w="836" w:type="pct"/>
          </w:tcPr>
          <w:p w14:paraId="144F07F6" w14:textId="77777777" w:rsidR="009A3C90" w:rsidRPr="00C066B6" w:rsidRDefault="009A3C90" w:rsidP="00C066B6">
            <w:pPr>
              <w:autoSpaceDE w:val="0"/>
              <w:autoSpaceDN w:val="0"/>
              <w:adjustRightInd w:val="0"/>
              <w:rPr>
                <w:rFonts w:asciiTheme="minorHAnsi" w:hAnsiTheme="minorHAnsi" w:cstheme="minorHAnsi"/>
                <w:sz w:val="22"/>
                <w:szCs w:val="22"/>
              </w:rPr>
            </w:pPr>
            <w:r w:rsidRPr="00C066B6">
              <w:rPr>
                <w:rFonts w:asciiTheme="minorHAnsi" w:hAnsiTheme="minorHAnsi" w:cstheme="minorHAnsi"/>
                <w:sz w:val="22"/>
                <w:szCs w:val="22"/>
              </w:rPr>
              <w:t>As of March 31, 2020</w:t>
            </w:r>
          </w:p>
        </w:tc>
        <w:tc>
          <w:tcPr>
            <w:tcW w:w="985" w:type="pct"/>
          </w:tcPr>
          <w:p w14:paraId="36F11D91"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3 841</w:t>
            </w:r>
          </w:p>
        </w:tc>
        <w:tc>
          <w:tcPr>
            <w:tcW w:w="739" w:type="pct"/>
          </w:tcPr>
          <w:p w14:paraId="5B081C2A"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413</w:t>
            </w:r>
          </w:p>
        </w:tc>
        <w:tc>
          <w:tcPr>
            <w:tcW w:w="936" w:type="pct"/>
          </w:tcPr>
          <w:p w14:paraId="612D64F3"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286</w:t>
            </w:r>
          </w:p>
        </w:tc>
        <w:tc>
          <w:tcPr>
            <w:tcW w:w="781" w:type="pct"/>
          </w:tcPr>
          <w:p w14:paraId="2586BB7C"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161</w:t>
            </w:r>
          </w:p>
        </w:tc>
        <w:tc>
          <w:tcPr>
            <w:tcW w:w="723" w:type="pct"/>
          </w:tcPr>
          <w:p w14:paraId="3CD34B87" w14:textId="77777777" w:rsidR="009A3C90" w:rsidRPr="00C066B6" w:rsidRDefault="009A3C90" w:rsidP="009A3C90">
            <w:pPr>
              <w:autoSpaceDE w:val="0"/>
              <w:autoSpaceDN w:val="0"/>
              <w:adjustRightInd w:val="0"/>
              <w:jc w:val="center"/>
              <w:rPr>
                <w:rFonts w:asciiTheme="minorHAnsi" w:hAnsiTheme="minorHAnsi" w:cstheme="minorHAnsi"/>
                <w:sz w:val="22"/>
                <w:szCs w:val="22"/>
              </w:rPr>
            </w:pPr>
            <w:r w:rsidRPr="00C066B6">
              <w:rPr>
                <w:rFonts w:asciiTheme="minorHAnsi" w:hAnsiTheme="minorHAnsi" w:cstheme="minorHAnsi"/>
                <w:sz w:val="22"/>
                <w:szCs w:val="22"/>
              </w:rPr>
              <w:t>4 701</w:t>
            </w:r>
          </w:p>
        </w:tc>
      </w:tr>
    </w:tbl>
    <w:p w14:paraId="6395E8D7" w14:textId="09127226" w:rsidR="00BE7145" w:rsidRDefault="00BE7145" w:rsidP="00CF4572">
      <w:pPr>
        <w:tabs>
          <w:tab w:val="left" w:pos="7839"/>
        </w:tabs>
        <w:rPr>
          <w:noProof/>
          <w:lang w:eastAsia="en-CA"/>
        </w:rPr>
      </w:pPr>
    </w:p>
    <w:p w14:paraId="2AEC3CC5" w14:textId="77777777" w:rsidR="00BE7145" w:rsidRDefault="00BE7145" w:rsidP="00CF4572">
      <w:pPr>
        <w:tabs>
          <w:tab w:val="left" w:pos="7839"/>
        </w:tabs>
        <w:rPr>
          <w:noProof/>
          <w:lang w:eastAsia="en-CA"/>
        </w:rPr>
        <w:sectPr w:rsidR="00BE7145" w:rsidSect="00CF4572">
          <w:headerReference w:type="default" r:id="rId19"/>
          <w:footerReference w:type="even" r:id="rId20"/>
          <w:headerReference w:type="first" r:id="rId21"/>
          <w:footerReference w:type="first" r:id="rId22"/>
          <w:pgSz w:w="15840" w:h="12240" w:orient="landscape"/>
          <w:pgMar w:top="1025" w:right="720" w:bottom="720" w:left="720" w:header="708" w:footer="708" w:gutter="0"/>
          <w:cols w:space="708"/>
          <w:titlePg/>
          <w:docGrid w:linePitch="360"/>
        </w:sectPr>
      </w:pPr>
    </w:p>
    <w:p w14:paraId="3A0B15C7" w14:textId="77777777" w:rsidR="00C066B6" w:rsidRPr="00C066B6" w:rsidRDefault="00C066B6" w:rsidP="00C066B6">
      <w:pPr>
        <w:pStyle w:val="Heading1"/>
        <w:spacing w:before="120"/>
        <w:rPr>
          <w:noProof/>
          <w:sz w:val="40"/>
          <w:szCs w:val="40"/>
          <w:lang w:eastAsia="en-CA"/>
        </w:rPr>
      </w:pPr>
      <w:r w:rsidRPr="00C066B6">
        <w:rPr>
          <w:rFonts w:eastAsia="Times New Roman"/>
          <w:noProof/>
          <w:sz w:val="40"/>
          <w:szCs w:val="40"/>
          <w:lang w:eastAsia="en-CA"/>
        </w:rPr>
        <w:lastRenderedPageBreak/>
        <w:t xml:space="preserve">Population by language requirements as of March 31, 2020 </w:t>
      </w:r>
    </w:p>
    <w:p w14:paraId="2DA666D6" w14:textId="77777777" w:rsidR="00C066B6" w:rsidRDefault="00BE7145" w:rsidP="00C066B6">
      <w:pPr>
        <w:keepNext/>
        <w:tabs>
          <w:tab w:val="left" w:pos="7839"/>
        </w:tabs>
        <w:jc w:val="center"/>
      </w:pPr>
      <w:r w:rsidRPr="00D43E1F">
        <w:rPr>
          <w:noProof/>
          <w:lang w:val="en-CA" w:eastAsia="en-CA"/>
        </w:rPr>
        <w:drawing>
          <wp:inline distT="0" distB="0" distL="0" distR="0" wp14:anchorId="6C1AFBB3" wp14:editId="400068D6">
            <wp:extent cx="1980000" cy="3020400"/>
            <wp:effectExtent l="0" t="0" r="1270" b="8890"/>
            <wp:docPr id="8" name="Chart 8" descr="Population by language requirements as of March 31, 2020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46CD96" w14:textId="5CD027B7" w:rsidR="00BE7145" w:rsidRPr="00C066B6" w:rsidRDefault="00C066B6" w:rsidP="00C066B6">
      <w:pPr>
        <w:pStyle w:val="Caption"/>
        <w:spacing w:after="0"/>
        <w:jc w:val="center"/>
        <w:rPr>
          <w:rFonts w:asciiTheme="minorHAnsi" w:hAnsiTheme="minorHAnsi" w:cstheme="minorHAnsi"/>
          <w:i w:val="0"/>
          <w:iCs w:val="0"/>
          <w:noProof/>
          <w:color w:val="auto"/>
          <w:lang w:eastAsia="en-CA"/>
        </w:rPr>
      </w:pPr>
      <w:r w:rsidRPr="00C066B6">
        <w:rPr>
          <w:rFonts w:asciiTheme="minorHAnsi" w:hAnsiTheme="minorHAnsi" w:cstheme="minorHAnsi"/>
          <w:i w:val="0"/>
          <w:iCs w:val="0"/>
          <w:color w:val="auto"/>
        </w:rPr>
        <w:t xml:space="preserve">Figure </w:t>
      </w:r>
      <w:r w:rsidRPr="00C066B6">
        <w:rPr>
          <w:rFonts w:asciiTheme="minorHAnsi" w:hAnsiTheme="minorHAnsi" w:cstheme="minorHAnsi"/>
          <w:i w:val="0"/>
          <w:iCs w:val="0"/>
          <w:color w:val="auto"/>
        </w:rPr>
        <w:fldChar w:fldCharType="begin"/>
      </w:r>
      <w:r w:rsidRPr="00C066B6">
        <w:rPr>
          <w:rFonts w:asciiTheme="minorHAnsi" w:hAnsiTheme="minorHAnsi" w:cstheme="minorHAnsi"/>
          <w:i w:val="0"/>
          <w:iCs w:val="0"/>
          <w:color w:val="auto"/>
        </w:rPr>
        <w:instrText xml:space="preserve"> SEQ Figure \* ARABIC </w:instrText>
      </w:r>
      <w:r w:rsidRPr="00C066B6">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2</w:t>
      </w:r>
      <w:r w:rsidRPr="00C066B6">
        <w:rPr>
          <w:rFonts w:asciiTheme="minorHAnsi" w:hAnsiTheme="minorHAnsi" w:cstheme="minorHAnsi"/>
          <w:i w:val="0"/>
          <w:iCs w:val="0"/>
          <w:color w:val="auto"/>
        </w:rPr>
        <w:fldChar w:fldCharType="end"/>
      </w:r>
      <w:r w:rsidRPr="00C066B6">
        <w:rPr>
          <w:rFonts w:asciiTheme="minorHAnsi" w:hAnsiTheme="minorHAnsi" w:cstheme="minorHAnsi"/>
          <w:i w:val="0"/>
          <w:iCs w:val="0"/>
          <w:color w:val="auto"/>
        </w:rPr>
        <w:t xml:space="preserve"> - Population by language requirements as of March 31, 2020</w:t>
      </w:r>
    </w:p>
    <w:p w14:paraId="5B417FE5" w14:textId="19409B2F" w:rsidR="00C066B6" w:rsidRPr="00C066B6" w:rsidRDefault="00C066B6" w:rsidP="00C066B6">
      <w:pPr>
        <w:pStyle w:val="Caption"/>
        <w:keepNext/>
        <w:spacing w:before="240" w:after="0"/>
        <w:jc w:val="center"/>
        <w:rPr>
          <w:rFonts w:asciiTheme="minorHAnsi" w:hAnsiTheme="minorHAnsi" w:cstheme="minorHAnsi"/>
          <w:i w:val="0"/>
          <w:iCs w:val="0"/>
          <w:color w:val="auto"/>
        </w:rPr>
      </w:pPr>
      <w:r w:rsidRPr="00C066B6">
        <w:rPr>
          <w:rFonts w:asciiTheme="minorHAnsi" w:hAnsiTheme="minorHAnsi" w:cstheme="minorHAnsi"/>
          <w:i w:val="0"/>
          <w:iCs w:val="0"/>
          <w:color w:val="auto"/>
        </w:rPr>
        <w:t xml:space="preserve">Table </w:t>
      </w:r>
      <w:r w:rsidRPr="00C066B6">
        <w:rPr>
          <w:rFonts w:asciiTheme="minorHAnsi" w:hAnsiTheme="minorHAnsi" w:cstheme="minorHAnsi"/>
          <w:i w:val="0"/>
          <w:iCs w:val="0"/>
          <w:color w:val="auto"/>
        </w:rPr>
        <w:fldChar w:fldCharType="begin"/>
      </w:r>
      <w:r w:rsidRPr="00C066B6">
        <w:rPr>
          <w:rFonts w:asciiTheme="minorHAnsi" w:hAnsiTheme="minorHAnsi" w:cstheme="minorHAnsi"/>
          <w:i w:val="0"/>
          <w:iCs w:val="0"/>
          <w:color w:val="auto"/>
        </w:rPr>
        <w:instrText xml:space="preserve"> SEQ Table \* ARABIC </w:instrText>
      </w:r>
      <w:r w:rsidRPr="00C066B6">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6</w:t>
      </w:r>
      <w:r w:rsidRPr="00C066B6">
        <w:rPr>
          <w:rFonts w:asciiTheme="minorHAnsi" w:hAnsiTheme="minorHAnsi" w:cstheme="minorHAnsi"/>
          <w:i w:val="0"/>
          <w:iCs w:val="0"/>
          <w:color w:val="auto"/>
        </w:rPr>
        <w:fldChar w:fldCharType="end"/>
      </w:r>
      <w:r w:rsidRPr="00C066B6">
        <w:rPr>
          <w:rFonts w:asciiTheme="minorHAnsi" w:hAnsiTheme="minorHAnsi" w:cstheme="minorHAnsi"/>
          <w:i w:val="0"/>
          <w:iCs w:val="0"/>
          <w:color w:val="auto"/>
        </w:rPr>
        <w:t xml:space="preserve"> - </w:t>
      </w:r>
      <w:r w:rsidRPr="00C82357">
        <w:rPr>
          <w:rFonts w:asciiTheme="minorHAnsi" w:hAnsiTheme="minorHAnsi" w:cstheme="minorHAnsi"/>
          <w:color w:val="auto"/>
        </w:rPr>
        <w:t>Public Service Employment Act</w:t>
      </w:r>
      <w:r w:rsidRPr="00C066B6">
        <w:rPr>
          <w:rFonts w:asciiTheme="minorHAnsi" w:hAnsiTheme="minorHAnsi" w:cstheme="minorHAnsi"/>
          <w:i w:val="0"/>
          <w:iCs w:val="0"/>
          <w:color w:val="auto"/>
        </w:rPr>
        <w:t xml:space="preserve"> population by language requirements </w:t>
      </w:r>
      <w:r w:rsidR="006A1065">
        <w:rPr>
          <w:rFonts w:asciiTheme="minorHAnsi" w:hAnsiTheme="minorHAnsi" w:cstheme="minorHAnsi"/>
          <w:i w:val="0"/>
          <w:iCs w:val="0"/>
          <w:color w:val="auto"/>
        </w:rPr>
        <w:t>as of March 31, 2020</w:t>
      </w:r>
    </w:p>
    <w:tbl>
      <w:tblPr>
        <w:tblStyle w:val="TableGrid"/>
        <w:tblW w:w="5000" w:type="pct"/>
        <w:jc w:val="center"/>
        <w:tblLook w:val="0020" w:firstRow="1" w:lastRow="0" w:firstColumn="0" w:lastColumn="0" w:noHBand="0" w:noVBand="0"/>
        <w:tblDescription w:val="Population by language requirements as of March 31, 2020"/>
      </w:tblPr>
      <w:tblGrid>
        <w:gridCol w:w="4754"/>
        <w:gridCol w:w="3972"/>
        <w:gridCol w:w="5664"/>
      </w:tblGrid>
      <w:tr w:rsidR="00C066B6" w:rsidRPr="00C066B6" w14:paraId="72A93D69" w14:textId="77777777" w:rsidTr="005A204A">
        <w:trPr>
          <w:cantSplit/>
          <w:trHeight w:val="290"/>
          <w:tblHeader/>
          <w:jc w:val="center"/>
        </w:trPr>
        <w:tc>
          <w:tcPr>
            <w:tcW w:w="1652" w:type="pct"/>
          </w:tcPr>
          <w:p w14:paraId="59867FF1" w14:textId="77777777" w:rsidR="009A3C90" w:rsidRPr="00C066B6" w:rsidRDefault="009A3C90" w:rsidP="00C066B6">
            <w:pPr>
              <w:pStyle w:val="TableTitle"/>
              <w:rPr>
                <w:color w:val="auto"/>
                <w:sz w:val="22"/>
                <w:szCs w:val="22"/>
              </w:rPr>
            </w:pPr>
            <w:r w:rsidRPr="00C066B6">
              <w:rPr>
                <w:color w:val="auto"/>
                <w:sz w:val="22"/>
                <w:szCs w:val="22"/>
              </w:rPr>
              <w:t>Linguistic requirements of the position</w:t>
            </w:r>
          </w:p>
        </w:tc>
        <w:tc>
          <w:tcPr>
            <w:tcW w:w="1380" w:type="pct"/>
          </w:tcPr>
          <w:p w14:paraId="17E72974" w14:textId="77777777" w:rsidR="009A3C90" w:rsidRPr="00C066B6" w:rsidRDefault="009A3C90" w:rsidP="00C066B6">
            <w:pPr>
              <w:pStyle w:val="TableTitle"/>
              <w:rPr>
                <w:color w:val="auto"/>
                <w:sz w:val="22"/>
                <w:szCs w:val="22"/>
              </w:rPr>
            </w:pPr>
            <w:r w:rsidRPr="00C066B6">
              <w:rPr>
                <w:color w:val="auto"/>
                <w:sz w:val="22"/>
                <w:szCs w:val="22"/>
              </w:rPr>
              <w:t>Population as of March 31, 2020</w:t>
            </w:r>
          </w:p>
        </w:tc>
        <w:tc>
          <w:tcPr>
            <w:tcW w:w="1968" w:type="pct"/>
          </w:tcPr>
          <w:p w14:paraId="1A2E0602" w14:textId="77777777" w:rsidR="009A3C90" w:rsidRPr="00C066B6" w:rsidRDefault="009A3C90" w:rsidP="00C066B6">
            <w:pPr>
              <w:pStyle w:val="TableTitle"/>
              <w:rPr>
                <w:color w:val="auto"/>
                <w:sz w:val="22"/>
                <w:szCs w:val="22"/>
              </w:rPr>
            </w:pPr>
            <w:r w:rsidRPr="00C066B6">
              <w:rPr>
                <w:color w:val="auto"/>
                <w:sz w:val="22"/>
                <w:szCs w:val="22"/>
              </w:rPr>
              <w:t>Percentage of population as of March 31, 2020</w:t>
            </w:r>
          </w:p>
        </w:tc>
      </w:tr>
      <w:tr w:rsidR="009A3C90" w:rsidRPr="00C066B6" w14:paraId="3E5B24F3" w14:textId="77777777" w:rsidTr="005A204A">
        <w:trPr>
          <w:cantSplit/>
          <w:trHeight w:val="290"/>
          <w:tblHeader/>
          <w:jc w:val="center"/>
        </w:trPr>
        <w:tc>
          <w:tcPr>
            <w:tcW w:w="1652" w:type="pct"/>
          </w:tcPr>
          <w:p w14:paraId="61A5D84F" w14:textId="77777777" w:rsidR="009A3C90" w:rsidRPr="00C066B6" w:rsidRDefault="009A3C90" w:rsidP="009A3C90">
            <w:pPr>
              <w:autoSpaceDE w:val="0"/>
              <w:autoSpaceDN w:val="0"/>
              <w:adjustRightInd w:val="0"/>
              <w:rPr>
                <w:rFonts w:asciiTheme="minorHAnsi" w:hAnsiTheme="minorHAnsi" w:cstheme="minorHAnsi"/>
                <w:color w:val="000000"/>
                <w:sz w:val="22"/>
                <w:szCs w:val="22"/>
              </w:rPr>
            </w:pPr>
            <w:r w:rsidRPr="00C066B6">
              <w:rPr>
                <w:rFonts w:asciiTheme="minorHAnsi" w:hAnsiTheme="minorHAnsi" w:cstheme="minorHAnsi"/>
                <w:color w:val="000000"/>
                <w:sz w:val="22"/>
                <w:szCs w:val="22"/>
              </w:rPr>
              <w:t xml:space="preserve">Bilingual </w:t>
            </w:r>
          </w:p>
        </w:tc>
        <w:tc>
          <w:tcPr>
            <w:tcW w:w="1380" w:type="pct"/>
          </w:tcPr>
          <w:p w14:paraId="32682F95" w14:textId="77777777" w:rsidR="009A3C90" w:rsidRPr="00C066B6" w:rsidRDefault="009A3C90" w:rsidP="009A3C90">
            <w:pPr>
              <w:autoSpaceDE w:val="0"/>
              <w:autoSpaceDN w:val="0"/>
              <w:adjustRightInd w:val="0"/>
              <w:jc w:val="center"/>
              <w:rPr>
                <w:rFonts w:asciiTheme="minorHAnsi" w:hAnsiTheme="minorHAnsi" w:cstheme="minorHAnsi"/>
                <w:color w:val="000000"/>
                <w:sz w:val="22"/>
                <w:szCs w:val="22"/>
              </w:rPr>
            </w:pPr>
            <w:r w:rsidRPr="00C066B6">
              <w:rPr>
                <w:rFonts w:asciiTheme="minorHAnsi" w:hAnsiTheme="minorHAnsi" w:cstheme="minorHAnsi"/>
                <w:color w:val="000000"/>
                <w:sz w:val="22"/>
                <w:szCs w:val="22"/>
              </w:rPr>
              <w:t>1 139</w:t>
            </w:r>
          </w:p>
        </w:tc>
        <w:tc>
          <w:tcPr>
            <w:tcW w:w="1968" w:type="pct"/>
            <w:shd w:val="clear" w:color="auto" w:fill="auto"/>
          </w:tcPr>
          <w:p w14:paraId="61F63BA5" w14:textId="77777777" w:rsidR="009A3C90" w:rsidRPr="00C066B6" w:rsidRDefault="009A3C90" w:rsidP="009A3C90">
            <w:pPr>
              <w:autoSpaceDE w:val="0"/>
              <w:autoSpaceDN w:val="0"/>
              <w:adjustRightInd w:val="0"/>
              <w:jc w:val="center"/>
              <w:rPr>
                <w:rFonts w:asciiTheme="minorHAnsi" w:hAnsiTheme="minorHAnsi" w:cstheme="minorHAnsi"/>
                <w:color w:val="000000"/>
                <w:sz w:val="22"/>
                <w:szCs w:val="22"/>
              </w:rPr>
            </w:pPr>
            <w:r w:rsidRPr="00C066B6">
              <w:rPr>
                <w:rFonts w:asciiTheme="minorHAnsi" w:hAnsiTheme="minorHAnsi" w:cstheme="minorHAnsi"/>
                <w:color w:val="000000"/>
                <w:sz w:val="22"/>
                <w:szCs w:val="22"/>
              </w:rPr>
              <w:t>39%</w:t>
            </w:r>
          </w:p>
        </w:tc>
      </w:tr>
      <w:tr w:rsidR="009A3C90" w:rsidRPr="00C066B6" w14:paraId="723FAC3D" w14:textId="77777777" w:rsidTr="005A204A">
        <w:trPr>
          <w:cantSplit/>
          <w:trHeight w:val="290"/>
          <w:tblHeader/>
          <w:jc w:val="center"/>
        </w:trPr>
        <w:tc>
          <w:tcPr>
            <w:tcW w:w="1652" w:type="pct"/>
          </w:tcPr>
          <w:p w14:paraId="49A5495B" w14:textId="77777777" w:rsidR="009A3C90" w:rsidRPr="00C066B6" w:rsidRDefault="009A3C90" w:rsidP="009A3C90">
            <w:pPr>
              <w:autoSpaceDE w:val="0"/>
              <w:autoSpaceDN w:val="0"/>
              <w:adjustRightInd w:val="0"/>
              <w:rPr>
                <w:rFonts w:asciiTheme="minorHAnsi" w:hAnsiTheme="minorHAnsi" w:cstheme="minorHAnsi"/>
                <w:color w:val="000000"/>
                <w:sz w:val="22"/>
                <w:szCs w:val="22"/>
              </w:rPr>
            </w:pPr>
            <w:r w:rsidRPr="00C066B6">
              <w:rPr>
                <w:rFonts w:asciiTheme="minorHAnsi" w:hAnsiTheme="minorHAnsi" w:cstheme="minorHAnsi"/>
                <w:color w:val="000000"/>
                <w:sz w:val="22"/>
                <w:szCs w:val="22"/>
              </w:rPr>
              <w:t>Unilingual</w:t>
            </w:r>
          </w:p>
        </w:tc>
        <w:tc>
          <w:tcPr>
            <w:tcW w:w="1380" w:type="pct"/>
          </w:tcPr>
          <w:p w14:paraId="64FC020C" w14:textId="77777777" w:rsidR="009A3C90" w:rsidRPr="00C066B6" w:rsidRDefault="009A3C90" w:rsidP="009A3C90">
            <w:pPr>
              <w:autoSpaceDE w:val="0"/>
              <w:autoSpaceDN w:val="0"/>
              <w:adjustRightInd w:val="0"/>
              <w:jc w:val="center"/>
              <w:rPr>
                <w:rFonts w:asciiTheme="minorHAnsi" w:hAnsiTheme="minorHAnsi" w:cstheme="minorHAnsi"/>
                <w:color w:val="000000"/>
                <w:sz w:val="22"/>
                <w:szCs w:val="22"/>
              </w:rPr>
            </w:pPr>
            <w:r w:rsidRPr="00C066B6">
              <w:rPr>
                <w:rFonts w:asciiTheme="minorHAnsi" w:hAnsiTheme="minorHAnsi" w:cstheme="minorHAnsi"/>
                <w:color w:val="000000"/>
                <w:sz w:val="22"/>
                <w:szCs w:val="22"/>
              </w:rPr>
              <w:t>1 786</w:t>
            </w:r>
          </w:p>
        </w:tc>
        <w:tc>
          <w:tcPr>
            <w:tcW w:w="1968" w:type="pct"/>
            <w:shd w:val="clear" w:color="auto" w:fill="auto"/>
          </w:tcPr>
          <w:p w14:paraId="32E765F8" w14:textId="77777777" w:rsidR="009A3C90" w:rsidRPr="00C066B6" w:rsidRDefault="009A3C90" w:rsidP="009A3C90">
            <w:pPr>
              <w:autoSpaceDE w:val="0"/>
              <w:autoSpaceDN w:val="0"/>
              <w:adjustRightInd w:val="0"/>
              <w:jc w:val="center"/>
              <w:rPr>
                <w:rFonts w:asciiTheme="minorHAnsi" w:hAnsiTheme="minorHAnsi" w:cstheme="minorHAnsi"/>
                <w:color w:val="000000"/>
                <w:sz w:val="22"/>
                <w:szCs w:val="22"/>
              </w:rPr>
            </w:pPr>
            <w:r w:rsidRPr="00C066B6">
              <w:rPr>
                <w:rFonts w:asciiTheme="minorHAnsi" w:hAnsiTheme="minorHAnsi" w:cstheme="minorHAnsi"/>
                <w:color w:val="000000"/>
                <w:sz w:val="22"/>
                <w:szCs w:val="22"/>
              </w:rPr>
              <w:t>61%</w:t>
            </w:r>
          </w:p>
        </w:tc>
      </w:tr>
      <w:tr w:rsidR="009A3C90" w:rsidRPr="00C066B6" w14:paraId="612E6BCC" w14:textId="77777777" w:rsidTr="005A204A">
        <w:trPr>
          <w:cantSplit/>
          <w:trHeight w:val="290"/>
          <w:tblHeader/>
          <w:jc w:val="center"/>
        </w:trPr>
        <w:tc>
          <w:tcPr>
            <w:tcW w:w="1652" w:type="pct"/>
          </w:tcPr>
          <w:p w14:paraId="0FBF9580" w14:textId="77777777" w:rsidR="009A3C90" w:rsidRPr="00C066B6" w:rsidRDefault="009A3C90" w:rsidP="009A3C90">
            <w:pPr>
              <w:autoSpaceDE w:val="0"/>
              <w:autoSpaceDN w:val="0"/>
              <w:adjustRightInd w:val="0"/>
              <w:rPr>
                <w:rFonts w:asciiTheme="minorHAnsi" w:hAnsiTheme="minorHAnsi" w:cstheme="minorHAnsi"/>
                <w:color w:val="000000"/>
                <w:sz w:val="22"/>
                <w:szCs w:val="22"/>
              </w:rPr>
            </w:pPr>
            <w:r w:rsidRPr="00C066B6">
              <w:rPr>
                <w:rFonts w:asciiTheme="minorHAnsi" w:hAnsiTheme="minorHAnsi" w:cstheme="minorHAnsi"/>
                <w:color w:val="000000"/>
                <w:sz w:val="22"/>
                <w:szCs w:val="22"/>
              </w:rPr>
              <w:t>Unknown</w:t>
            </w:r>
          </w:p>
        </w:tc>
        <w:tc>
          <w:tcPr>
            <w:tcW w:w="1380" w:type="pct"/>
          </w:tcPr>
          <w:p w14:paraId="43D7145C" w14:textId="77777777" w:rsidR="009A3C90" w:rsidRPr="00C066B6" w:rsidRDefault="009A3C90" w:rsidP="009A3C90">
            <w:pPr>
              <w:autoSpaceDE w:val="0"/>
              <w:autoSpaceDN w:val="0"/>
              <w:adjustRightInd w:val="0"/>
              <w:jc w:val="center"/>
              <w:rPr>
                <w:rFonts w:asciiTheme="minorHAnsi" w:hAnsiTheme="minorHAnsi" w:cstheme="minorHAnsi"/>
                <w:color w:val="000000"/>
                <w:sz w:val="22"/>
                <w:szCs w:val="22"/>
              </w:rPr>
            </w:pPr>
            <w:r w:rsidRPr="00C066B6">
              <w:rPr>
                <w:rFonts w:asciiTheme="minorHAnsi" w:hAnsiTheme="minorHAnsi" w:cstheme="minorHAnsi"/>
                <w:color w:val="000000"/>
                <w:sz w:val="22"/>
                <w:szCs w:val="22"/>
              </w:rPr>
              <w:t>1 776</w:t>
            </w:r>
          </w:p>
        </w:tc>
        <w:tc>
          <w:tcPr>
            <w:tcW w:w="1968" w:type="pct"/>
            <w:shd w:val="clear" w:color="auto" w:fill="auto"/>
          </w:tcPr>
          <w:p w14:paraId="2D34E47D" w14:textId="4C01F07B" w:rsidR="009A3C90" w:rsidRPr="00C066B6" w:rsidRDefault="00C066B6" w:rsidP="009A3C90">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bl>
    <w:p w14:paraId="41E5719C" w14:textId="1A444710" w:rsidR="00BE7145" w:rsidRDefault="00BE7145" w:rsidP="00CF4572">
      <w:pPr>
        <w:tabs>
          <w:tab w:val="left" w:pos="7839"/>
        </w:tabs>
        <w:rPr>
          <w:noProof/>
          <w:lang w:eastAsia="en-CA"/>
        </w:rPr>
      </w:pPr>
    </w:p>
    <w:p w14:paraId="329017F1" w14:textId="77777777" w:rsidR="00BE7145" w:rsidRDefault="00BE7145" w:rsidP="00CF4572">
      <w:pPr>
        <w:tabs>
          <w:tab w:val="left" w:pos="7839"/>
        </w:tabs>
        <w:rPr>
          <w:noProof/>
          <w:lang w:eastAsia="en-CA"/>
        </w:rPr>
        <w:sectPr w:rsidR="00BE7145" w:rsidSect="00CF4572">
          <w:pgSz w:w="15840" w:h="12240" w:orient="landscape"/>
          <w:pgMar w:top="1025" w:right="720" w:bottom="720" w:left="720" w:header="708" w:footer="708" w:gutter="0"/>
          <w:cols w:space="708"/>
          <w:titlePg/>
          <w:docGrid w:linePitch="360"/>
        </w:sectPr>
      </w:pPr>
    </w:p>
    <w:p w14:paraId="168DE506" w14:textId="77777777" w:rsidR="004D4A21" w:rsidRPr="004D4A21" w:rsidRDefault="004D4A21" w:rsidP="004D4A21">
      <w:pPr>
        <w:pStyle w:val="Heading1"/>
        <w:spacing w:before="120"/>
        <w:rPr>
          <w:noProof/>
          <w:sz w:val="40"/>
          <w:szCs w:val="40"/>
          <w:lang w:eastAsia="en-CA"/>
        </w:rPr>
      </w:pPr>
      <w:r w:rsidRPr="004D4A21">
        <w:rPr>
          <w:rFonts w:eastAsia="Times New Roman"/>
          <w:noProof/>
          <w:sz w:val="40"/>
          <w:szCs w:val="40"/>
          <w:lang w:eastAsia="en-CA"/>
        </w:rPr>
        <w:lastRenderedPageBreak/>
        <w:t>Population by occupational group as of March 31, 2020</w:t>
      </w:r>
    </w:p>
    <w:p w14:paraId="3FEFCEFE" w14:textId="77777777" w:rsidR="004D4A21" w:rsidRDefault="00BE7145" w:rsidP="004D4A21">
      <w:pPr>
        <w:keepNext/>
        <w:tabs>
          <w:tab w:val="left" w:pos="7839"/>
        </w:tabs>
        <w:jc w:val="center"/>
      </w:pPr>
      <w:r w:rsidRPr="00D43E1F">
        <w:rPr>
          <w:noProof/>
          <w:lang w:val="en-CA" w:eastAsia="en-CA"/>
        </w:rPr>
        <w:drawing>
          <wp:inline distT="0" distB="0" distL="0" distR="0" wp14:anchorId="39ED7C73" wp14:editId="6246F8BE">
            <wp:extent cx="1980000" cy="3020400"/>
            <wp:effectExtent l="0" t="0" r="1270" b="8890"/>
            <wp:docPr id="5" name="Chart 5" descr="Population by occupational group as of March 31,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5427AD" w14:textId="65167FC9" w:rsidR="00BE7145" w:rsidRPr="004D4A21" w:rsidRDefault="004D4A21" w:rsidP="004D4A21">
      <w:pPr>
        <w:pStyle w:val="Caption"/>
        <w:spacing w:after="0"/>
        <w:jc w:val="center"/>
        <w:rPr>
          <w:rFonts w:asciiTheme="minorHAnsi" w:hAnsiTheme="minorHAnsi" w:cstheme="minorHAnsi"/>
          <w:i w:val="0"/>
          <w:iCs w:val="0"/>
          <w:noProof/>
          <w:color w:val="auto"/>
          <w:lang w:eastAsia="en-CA"/>
        </w:rPr>
      </w:pPr>
      <w:r w:rsidRPr="004D4A21">
        <w:rPr>
          <w:rFonts w:asciiTheme="minorHAnsi" w:hAnsiTheme="minorHAnsi" w:cstheme="minorHAnsi"/>
          <w:i w:val="0"/>
          <w:iCs w:val="0"/>
          <w:color w:val="auto"/>
        </w:rPr>
        <w:t xml:space="preserve">Figure </w:t>
      </w:r>
      <w:r w:rsidRPr="004D4A21">
        <w:rPr>
          <w:rFonts w:asciiTheme="minorHAnsi" w:hAnsiTheme="minorHAnsi" w:cstheme="minorHAnsi"/>
          <w:i w:val="0"/>
          <w:iCs w:val="0"/>
          <w:color w:val="auto"/>
        </w:rPr>
        <w:fldChar w:fldCharType="begin"/>
      </w:r>
      <w:r w:rsidRPr="004D4A21">
        <w:rPr>
          <w:rFonts w:asciiTheme="minorHAnsi" w:hAnsiTheme="minorHAnsi" w:cstheme="minorHAnsi"/>
          <w:i w:val="0"/>
          <w:iCs w:val="0"/>
          <w:color w:val="auto"/>
        </w:rPr>
        <w:instrText xml:space="preserve"> SEQ Figure \* ARABIC </w:instrText>
      </w:r>
      <w:r w:rsidRPr="004D4A21">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3</w:t>
      </w:r>
      <w:r w:rsidRPr="004D4A21">
        <w:rPr>
          <w:rFonts w:asciiTheme="minorHAnsi" w:hAnsiTheme="minorHAnsi" w:cstheme="minorHAnsi"/>
          <w:i w:val="0"/>
          <w:iCs w:val="0"/>
          <w:color w:val="auto"/>
        </w:rPr>
        <w:fldChar w:fldCharType="end"/>
      </w:r>
      <w:r w:rsidRPr="004D4A21">
        <w:rPr>
          <w:rFonts w:asciiTheme="minorHAnsi" w:hAnsiTheme="minorHAnsi" w:cstheme="minorHAnsi"/>
          <w:i w:val="0"/>
          <w:iCs w:val="0"/>
          <w:color w:val="auto"/>
        </w:rPr>
        <w:t xml:space="preserve"> - Population by occupational group as of March 31, 2020</w:t>
      </w:r>
    </w:p>
    <w:p w14:paraId="16D85DEA" w14:textId="0B292635" w:rsidR="004D4A21" w:rsidRPr="004D4A21" w:rsidRDefault="004D4A21" w:rsidP="004D4A21">
      <w:pPr>
        <w:pStyle w:val="Caption"/>
        <w:keepNext/>
        <w:spacing w:before="240" w:after="0"/>
        <w:jc w:val="center"/>
        <w:rPr>
          <w:rFonts w:asciiTheme="minorHAnsi" w:hAnsiTheme="minorHAnsi" w:cstheme="minorHAnsi"/>
          <w:i w:val="0"/>
          <w:iCs w:val="0"/>
          <w:color w:val="auto"/>
        </w:rPr>
      </w:pPr>
      <w:r w:rsidRPr="004D4A21">
        <w:rPr>
          <w:rFonts w:asciiTheme="minorHAnsi" w:hAnsiTheme="minorHAnsi" w:cstheme="minorHAnsi"/>
          <w:i w:val="0"/>
          <w:iCs w:val="0"/>
          <w:color w:val="auto"/>
        </w:rPr>
        <w:t xml:space="preserve">Table </w:t>
      </w:r>
      <w:r w:rsidRPr="004D4A21">
        <w:rPr>
          <w:rFonts w:asciiTheme="minorHAnsi" w:hAnsiTheme="minorHAnsi" w:cstheme="minorHAnsi"/>
          <w:i w:val="0"/>
          <w:iCs w:val="0"/>
          <w:color w:val="auto"/>
        </w:rPr>
        <w:fldChar w:fldCharType="begin"/>
      </w:r>
      <w:r w:rsidRPr="004D4A21">
        <w:rPr>
          <w:rFonts w:asciiTheme="minorHAnsi" w:hAnsiTheme="minorHAnsi" w:cstheme="minorHAnsi"/>
          <w:i w:val="0"/>
          <w:iCs w:val="0"/>
          <w:color w:val="auto"/>
        </w:rPr>
        <w:instrText xml:space="preserve"> SEQ Table \* ARABIC </w:instrText>
      </w:r>
      <w:r w:rsidRPr="004D4A21">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7</w:t>
      </w:r>
      <w:r w:rsidRPr="004D4A21">
        <w:rPr>
          <w:rFonts w:asciiTheme="minorHAnsi" w:hAnsiTheme="minorHAnsi" w:cstheme="minorHAnsi"/>
          <w:i w:val="0"/>
          <w:iCs w:val="0"/>
          <w:color w:val="auto"/>
        </w:rPr>
        <w:fldChar w:fldCharType="end"/>
      </w:r>
      <w:r w:rsidRPr="004D4A21">
        <w:rPr>
          <w:rFonts w:asciiTheme="minorHAnsi" w:hAnsiTheme="minorHAnsi" w:cstheme="minorHAnsi"/>
          <w:i w:val="0"/>
          <w:iCs w:val="0"/>
          <w:color w:val="auto"/>
        </w:rPr>
        <w:t xml:space="preserve"> - Top occupational groups, as a percentage of the </w:t>
      </w:r>
      <w:r w:rsidRPr="00C82357">
        <w:rPr>
          <w:rFonts w:asciiTheme="minorHAnsi" w:hAnsiTheme="minorHAnsi" w:cstheme="minorHAnsi"/>
          <w:color w:val="auto"/>
        </w:rPr>
        <w:t>Public Service Employment Act</w:t>
      </w:r>
      <w:r w:rsidRPr="004D4A21">
        <w:rPr>
          <w:rFonts w:asciiTheme="minorHAnsi" w:hAnsiTheme="minorHAnsi" w:cstheme="minorHAnsi"/>
          <w:i w:val="0"/>
          <w:iCs w:val="0"/>
          <w:color w:val="auto"/>
        </w:rPr>
        <w:t xml:space="preserve"> population </w:t>
      </w:r>
      <w:r w:rsidR="006A1065">
        <w:rPr>
          <w:rFonts w:asciiTheme="minorHAnsi" w:hAnsiTheme="minorHAnsi" w:cstheme="minorHAnsi"/>
          <w:i w:val="0"/>
          <w:iCs w:val="0"/>
          <w:color w:val="auto"/>
        </w:rPr>
        <w:t>as of March 31, 2020</w:t>
      </w:r>
    </w:p>
    <w:tbl>
      <w:tblPr>
        <w:tblStyle w:val="TableGrid"/>
        <w:tblW w:w="5000" w:type="pct"/>
        <w:jc w:val="center"/>
        <w:tblLook w:val="0020" w:firstRow="1" w:lastRow="0" w:firstColumn="0" w:lastColumn="0" w:noHBand="0" w:noVBand="0"/>
        <w:tblDescription w:val="Population by occupational group as of March 31, 2020"/>
      </w:tblPr>
      <w:tblGrid>
        <w:gridCol w:w="4530"/>
        <w:gridCol w:w="4821"/>
        <w:gridCol w:w="5039"/>
      </w:tblGrid>
      <w:tr w:rsidR="004D4A21" w:rsidRPr="004D4A21" w14:paraId="768073A5" w14:textId="77777777" w:rsidTr="005A204A">
        <w:trPr>
          <w:cantSplit/>
          <w:trHeight w:val="290"/>
          <w:tblHeader/>
          <w:jc w:val="center"/>
        </w:trPr>
        <w:tc>
          <w:tcPr>
            <w:tcW w:w="1574" w:type="pct"/>
          </w:tcPr>
          <w:p w14:paraId="3C78A225" w14:textId="77777777" w:rsidR="009A3C90" w:rsidRPr="004D4A21" w:rsidRDefault="009A3C90" w:rsidP="004D4A21">
            <w:pPr>
              <w:pStyle w:val="TableTitle"/>
              <w:rPr>
                <w:rFonts w:cs="Segoe UI Semibold"/>
                <w:color w:val="auto"/>
                <w:sz w:val="22"/>
                <w:szCs w:val="22"/>
              </w:rPr>
            </w:pPr>
            <w:r w:rsidRPr="004D4A21">
              <w:rPr>
                <w:rFonts w:cs="Segoe UI Semibold"/>
                <w:color w:val="auto"/>
                <w:sz w:val="22"/>
                <w:szCs w:val="22"/>
              </w:rPr>
              <w:t>Occupational group</w:t>
            </w:r>
          </w:p>
        </w:tc>
        <w:tc>
          <w:tcPr>
            <w:tcW w:w="1675" w:type="pct"/>
          </w:tcPr>
          <w:p w14:paraId="7AF13383" w14:textId="77777777" w:rsidR="009A3C90" w:rsidRPr="004D4A21" w:rsidRDefault="009A3C90" w:rsidP="004D4A21">
            <w:pPr>
              <w:pStyle w:val="TableTitle"/>
              <w:rPr>
                <w:rFonts w:cs="Segoe UI Semibold"/>
                <w:color w:val="auto"/>
                <w:sz w:val="22"/>
                <w:szCs w:val="22"/>
              </w:rPr>
            </w:pPr>
            <w:r w:rsidRPr="004D4A21">
              <w:rPr>
                <w:rFonts w:cs="Segoe UI Semibold"/>
                <w:color w:val="auto"/>
                <w:sz w:val="22"/>
                <w:szCs w:val="22"/>
              </w:rPr>
              <w:t>Population as of March 31, 2020</w:t>
            </w:r>
          </w:p>
        </w:tc>
        <w:tc>
          <w:tcPr>
            <w:tcW w:w="1751" w:type="pct"/>
          </w:tcPr>
          <w:p w14:paraId="12523323" w14:textId="77777777" w:rsidR="009A3C90" w:rsidRPr="004D4A21" w:rsidRDefault="009A3C90" w:rsidP="004D4A21">
            <w:pPr>
              <w:pStyle w:val="TableTitle"/>
              <w:rPr>
                <w:rFonts w:cs="Segoe UI Semibold"/>
                <w:color w:val="auto"/>
                <w:sz w:val="22"/>
                <w:szCs w:val="22"/>
              </w:rPr>
            </w:pPr>
            <w:r w:rsidRPr="004D4A21">
              <w:rPr>
                <w:rFonts w:cs="Segoe UI Semibold"/>
                <w:color w:val="auto"/>
                <w:sz w:val="22"/>
                <w:szCs w:val="22"/>
              </w:rPr>
              <w:t>Percentage of population as of March 31, 2020</w:t>
            </w:r>
          </w:p>
        </w:tc>
      </w:tr>
      <w:tr w:rsidR="009A3C90" w:rsidRPr="004D4A21" w14:paraId="7C1BB565" w14:textId="77777777" w:rsidTr="005A204A">
        <w:trPr>
          <w:cantSplit/>
          <w:trHeight w:val="290"/>
          <w:tblHeader/>
          <w:jc w:val="center"/>
        </w:trPr>
        <w:tc>
          <w:tcPr>
            <w:tcW w:w="1574" w:type="pct"/>
          </w:tcPr>
          <w:p w14:paraId="38E1680B" w14:textId="77777777" w:rsidR="009A3C90" w:rsidRPr="004D4A21" w:rsidRDefault="009A3C90" w:rsidP="009A3C90">
            <w:pPr>
              <w:autoSpaceDE w:val="0"/>
              <w:autoSpaceDN w:val="0"/>
              <w:adjustRightInd w:val="0"/>
              <w:rPr>
                <w:rFonts w:asciiTheme="minorHAnsi" w:hAnsiTheme="minorHAnsi" w:cstheme="minorHAnsi"/>
                <w:color w:val="000000"/>
                <w:sz w:val="22"/>
                <w:szCs w:val="22"/>
              </w:rPr>
            </w:pPr>
            <w:r w:rsidRPr="004D4A21">
              <w:rPr>
                <w:rFonts w:asciiTheme="minorHAnsi" w:hAnsiTheme="minorHAnsi" w:cstheme="minorHAnsi"/>
                <w:color w:val="000000"/>
                <w:sz w:val="22"/>
                <w:szCs w:val="22"/>
              </w:rPr>
              <w:t>EC – Economics and Social Science Services</w:t>
            </w:r>
          </w:p>
        </w:tc>
        <w:tc>
          <w:tcPr>
            <w:tcW w:w="1675" w:type="pct"/>
          </w:tcPr>
          <w:p w14:paraId="3A614570"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748</w:t>
            </w:r>
          </w:p>
        </w:tc>
        <w:tc>
          <w:tcPr>
            <w:tcW w:w="1751" w:type="pct"/>
          </w:tcPr>
          <w:p w14:paraId="40B1B28E"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17%</w:t>
            </w:r>
          </w:p>
        </w:tc>
      </w:tr>
      <w:tr w:rsidR="009A3C90" w:rsidRPr="004D4A21" w14:paraId="6146E733" w14:textId="77777777" w:rsidTr="005A204A">
        <w:trPr>
          <w:cantSplit/>
          <w:trHeight w:val="290"/>
          <w:tblHeader/>
          <w:jc w:val="center"/>
        </w:trPr>
        <w:tc>
          <w:tcPr>
            <w:tcW w:w="1574" w:type="pct"/>
          </w:tcPr>
          <w:p w14:paraId="4E0ACC4A" w14:textId="77777777" w:rsidR="009A3C90" w:rsidRPr="004D4A21" w:rsidRDefault="009A3C90" w:rsidP="009A3C90">
            <w:pPr>
              <w:autoSpaceDE w:val="0"/>
              <w:autoSpaceDN w:val="0"/>
              <w:adjustRightInd w:val="0"/>
              <w:rPr>
                <w:rFonts w:asciiTheme="minorHAnsi" w:hAnsiTheme="minorHAnsi" w:cstheme="minorHAnsi"/>
                <w:color w:val="000000"/>
                <w:sz w:val="22"/>
                <w:szCs w:val="22"/>
              </w:rPr>
            </w:pPr>
            <w:r w:rsidRPr="004D4A21">
              <w:rPr>
                <w:rFonts w:asciiTheme="minorHAnsi" w:hAnsiTheme="minorHAnsi" w:cstheme="minorHAnsi"/>
                <w:color w:val="000000"/>
                <w:sz w:val="22"/>
                <w:szCs w:val="22"/>
              </w:rPr>
              <w:t>AS – Administrative Services</w:t>
            </w:r>
          </w:p>
        </w:tc>
        <w:tc>
          <w:tcPr>
            <w:tcW w:w="1675" w:type="pct"/>
          </w:tcPr>
          <w:p w14:paraId="0F4C229B"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613</w:t>
            </w:r>
          </w:p>
        </w:tc>
        <w:tc>
          <w:tcPr>
            <w:tcW w:w="1751" w:type="pct"/>
          </w:tcPr>
          <w:p w14:paraId="76D8411D"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14%</w:t>
            </w:r>
          </w:p>
        </w:tc>
      </w:tr>
      <w:tr w:rsidR="009A3C90" w:rsidRPr="004D4A21" w14:paraId="63AB139D" w14:textId="77777777" w:rsidTr="005A204A">
        <w:trPr>
          <w:cantSplit/>
          <w:trHeight w:val="290"/>
          <w:tblHeader/>
          <w:jc w:val="center"/>
        </w:trPr>
        <w:tc>
          <w:tcPr>
            <w:tcW w:w="1574" w:type="pct"/>
          </w:tcPr>
          <w:p w14:paraId="78207E7E" w14:textId="77777777" w:rsidR="009A3C90" w:rsidRPr="004D4A21" w:rsidRDefault="009A3C90" w:rsidP="009A3C90">
            <w:pPr>
              <w:autoSpaceDE w:val="0"/>
              <w:autoSpaceDN w:val="0"/>
              <w:adjustRightInd w:val="0"/>
              <w:rPr>
                <w:rFonts w:asciiTheme="minorHAnsi" w:hAnsiTheme="minorHAnsi" w:cstheme="minorHAnsi"/>
                <w:color w:val="000000"/>
                <w:sz w:val="22"/>
                <w:szCs w:val="22"/>
              </w:rPr>
            </w:pPr>
            <w:r w:rsidRPr="004D4A21">
              <w:rPr>
                <w:rFonts w:asciiTheme="minorHAnsi" w:hAnsiTheme="minorHAnsi" w:cstheme="minorHAnsi"/>
                <w:color w:val="000000"/>
                <w:sz w:val="22"/>
                <w:szCs w:val="22"/>
              </w:rPr>
              <w:t>SE – Scientific Research</w:t>
            </w:r>
          </w:p>
        </w:tc>
        <w:tc>
          <w:tcPr>
            <w:tcW w:w="1675" w:type="pct"/>
          </w:tcPr>
          <w:p w14:paraId="11A1A85B"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533</w:t>
            </w:r>
          </w:p>
        </w:tc>
        <w:tc>
          <w:tcPr>
            <w:tcW w:w="1751" w:type="pct"/>
          </w:tcPr>
          <w:p w14:paraId="01C452DA"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12%</w:t>
            </w:r>
          </w:p>
        </w:tc>
      </w:tr>
      <w:tr w:rsidR="009A3C90" w:rsidRPr="004D4A21" w14:paraId="5FD24CDD" w14:textId="77777777" w:rsidTr="005A204A">
        <w:trPr>
          <w:cantSplit/>
          <w:trHeight w:val="290"/>
          <w:tblHeader/>
          <w:jc w:val="center"/>
        </w:trPr>
        <w:tc>
          <w:tcPr>
            <w:tcW w:w="1574" w:type="pct"/>
          </w:tcPr>
          <w:p w14:paraId="351C6480" w14:textId="77777777" w:rsidR="009A3C90" w:rsidRPr="004D4A21" w:rsidRDefault="009A3C90" w:rsidP="009A3C90">
            <w:pPr>
              <w:autoSpaceDE w:val="0"/>
              <w:autoSpaceDN w:val="0"/>
              <w:adjustRightInd w:val="0"/>
              <w:rPr>
                <w:rFonts w:asciiTheme="minorHAnsi" w:hAnsiTheme="minorHAnsi" w:cstheme="minorHAnsi"/>
                <w:color w:val="000000"/>
                <w:sz w:val="22"/>
                <w:szCs w:val="22"/>
              </w:rPr>
            </w:pPr>
            <w:r w:rsidRPr="004D4A21">
              <w:rPr>
                <w:rFonts w:asciiTheme="minorHAnsi" w:hAnsiTheme="minorHAnsi" w:cstheme="minorHAnsi"/>
                <w:color w:val="000000"/>
                <w:sz w:val="22"/>
                <w:szCs w:val="22"/>
              </w:rPr>
              <w:t>EG – Engineering and Scientific Support</w:t>
            </w:r>
          </w:p>
        </w:tc>
        <w:tc>
          <w:tcPr>
            <w:tcW w:w="1675" w:type="pct"/>
          </w:tcPr>
          <w:p w14:paraId="1D4853A6"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459</w:t>
            </w:r>
          </w:p>
        </w:tc>
        <w:tc>
          <w:tcPr>
            <w:tcW w:w="1751" w:type="pct"/>
          </w:tcPr>
          <w:p w14:paraId="7ABDD647"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10%</w:t>
            </w:r>
          </w:p>
        </w:tc>
      </w:tr>
      <w:tr w:rsidR="009A3C90" w:rsidRPr="004D4A21" w14:paraId="5E02FB07" w14:textId="77777777" w:rsidTr="005A204A">
        <w:trPr>
          <w:cantSplit/>
          <w:trHeight w:val="290"/>
          <w:tblHeader/>
          <w:jc w:val="center"/>
        </w:trPr>
        <w:tc>
          <w:tcPr>
            <w:tcW w:w="1574" w:type="pct"/>
          </w:tcPr>
          <w:p w14:paraId="21DBA9DB" w14:textId="77777777" w:rsidR="009A3C90" w:rsidRPr="004D4A21" w:rsidRDefault="009A3C90" w:rsidP="009A3C90">
            <w:pPr>
              <w:autoSpaceDE w:val="0"/>
              <w:autoSpaceDN w:val="0"/>
              <w:adjustRightInd w:val="0"/>
              <w:rPr>
                <w:rFonts w:asciiTheme="minorHAnsi" w:hAnsiTheme="minorHAnsi" w:cstheme="minorHAnsi"/>
                <w:color w:val="000000"/>
                <w:sz w:val="22"/>
                <w:szCs w:val="22"/>
              </w:rPr>
            </w:pPr>
            <w:r w:rsidRPr="004D4A21">
              <w:rPr>
                <w:rFonts w:asciiTheme="minorHAnsi" w:hAnsiTheme="minorHAnsi" w:cstheme="minorHAnsi"/>
                <w:color w:val="000000"/>
                <w:sz w:val="22"/>
                <w:szCs w:val="22"/>
              </w:rPr>
              <w:t>EN – Engineering and Land Survey</w:t>
            </w:r>
          </w:p>
        </w:tc>
        <w:tc>
          <w:tcPr>
            <w:tcW w:w="1675" w:type="pct"/>
          </w:tcPr>
          <w:p w14:paraId="030FFBCC"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433</w:t>
            </w:r>
          </w:p>
        </w:tc>
        <w:tc>
          <w:tcPr>
            <w:tcW w:w="1751" w:type="pct"/>
          </w:tcPr>
          <w:p w14:paraId="173B6E4B"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10%</w:t>
            </w:r>
          </w:p>
        </w:tc>
      </w:tr>
      <w:tr w:rsidR="009A3C90" w:rsidRPr="004D4A21" w14:paraId="0FEF45FC" w14:textId="77777777" w:rsidTr="005A204A">
        <w:trPr>
          <w:cantSplit/>
          <w:trHeight w:val="290"/>
          <w:tblHeader/>
          <w:jc w:val="center"/>
        </w:trPr>
        <w:tc>
          <w:tcPr>
            <w:tcW w:w="1574" w:type="pct"/>
          </w:tcPr>
          <w:p w14:paraId="33652CD6" w14:textId="77777777" w:rsidR="009A3C90" w:rsidRPr="004D4A21" w:rsidRDefault="009A3C90" w:rsidP="009A3C90">
            <w:pPr>
              <w:autoSpaceDE w:val="0"/>
              <w:autoSpaceDN w:val="0"/>
              <w:adjustRightInd w:val="0"/>
              <w:rPr>
                <w:rFonts w:asciiTheme="minorHAnsi" w:hAnsiTheme="minorHAnsi" w:cstheme="minorHAnsi"/>
                <w:color w:val="000000"/>
                <w:sz w:val="22"/>
                <w:szCs w:val="22"/>
              </w:rPr>
            </w:pPr>
            <w:r w:rsidRPr="004D4A21">
              <w:rPr>
                <w:rFonts w:asciiTheme="minorHAnsi" w:hAnsiTheme="minorHAnsi" w:cstheme="minorHAnsi"/>
                <w:color w:val="000000"/>
                <w:sz w:val="22"/>
                <w:szCs w:val="22"/>
              </w:rPr>
              <w:t>Other</w:t>
            </w:r>
          </w:p>
        </w:tc>
        <w:tc>
          <w:tcPr>
            <w:tcW w:w="1675" w:type="pct"/>
          </w:tcPr>
          <w:p w14:paraId="4B75D9CB"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1 754</w:t>
            </w:r>
          </w:p>
        </w:tc>
        <w:tc>
          <w:tcPr>
            <w:tcW w:w="1751" w:type="pct"/>
          </w:tcPr>
          <w:p w14:paraId="0331289A" w14:textId="77777777" w:rsidR="009A3C90" w:rsidRPr="004D4A21" w:rsidRDefault="009A3C90" w:rsidP="009A3C90">
            <w:pPr>
              <w:autoSpaceDE w:val="0"/>
              <w:autoSpaceDN w:val="0"/>
              <w:adjustRightInd w:val="0"/>
              <w:jc w:val="center"/>
              <w:rPr>
                <w:rFonts w:asciiTheme="minorHAnsi" w:hAnsiTheme="minorHAnsi" w:cstheme="minorHAnsi"/>
                <w:color w:val="000000"/>
                <w:sz w:val="22"/>
                <w:szCs w:val="22"/>
              </w:rPr>
            </w:pPr>
            <w:r w:rsidRPr="004D4A21">
              <w:rPr>
                <w:rFonts w:asciiTheme="minorHAnsi" w:hAnsiTheme="minorHAnsi" w:cstheme="minorHAnsi"/>
                <w:color w:val="000000"/>
                <w:sz w:val="22"/>
                <w:szCs w:val="22"/>
              </w:rPr>
              <w:t>39%</w:t>
            </w:r>
          </w:p>
        </w:tc>
      </w:tr>
    </w:tbl>
    <w:p w14:paraId="256632BC" w14:textId="5CB521C0" w:rsidR="00BE7145" w:rsidRDefault="00BE7145" w:rsidP="00CF4572">
      <w:pPr>
        <w:tabs>
          <w:tab w:val="left" w:pos="7839"/>
        </w:tabs>
        <w:rPr>
          <w:noProof/>
          <w:lang w:eastAsia="en-CA"/>
        </w:rPr>
      </w:pPr>
    </w:p>
    <w:p w14:paraId="496059C9" w14:textId="77777777" w:rsidR="00BE7145" w:rsidRDefault="00BE7145" w:rsidP="00CF4572">
      <w:pPr>
        <w:tabs>
          <w:tab w:val="left" w:pos="7839"/>
        </w:tabs>
        <w:rPr>
          <w:noProof/>
          <w:lang w:eastAsia="en-CA"/>
        </w:rPr>
        <w:sectPr w:rsidR="00BE7145" w:rsidSect="00CF4572">
          <w:pgSz w:w="15840" w:h="12240" w:orient="landscape"/>
          <w:pgMar w:top="1025" w:right="720" w:bottom="720" w:left="720" w:header="708" w:footer="708" w:gutter="0"/>
          <w:cols w:space="708"/>
          <w:titlePg/>
          <w:docGrid w:linePitch="360"/>
        </w:sectPr>
      </w:pPr>
    </w:p>
    <w:p w14:paraId="2BDCB039" w14:textId="5CF22A75" w:rsidR="00BE7145" w:rsidRPr="004D4A21" w:rsidRDefault="004D4A21" w:rsidP="004D4A21">
      <w:pPr>
        <w:pStyle w:val="Heading1"/>
        <w:spacing w:before="120"/>
        <w:rPr>
          <w:noProof/>
          <w:sz w:val="40"/>
          <w:szCs w:val="40"/>
          <w:lang w:eastAsia="en-CA"/>
        </w:rPr>
      </w:pPr>
      <w:r w:rsidRPr="004D4A21">
        <w:rPr>
          <w:noProof/>
          <w:sz w:val="40"/>
          <w:szCs w:val="40"/>
          <w:lang w:eastAsia="en-CA"/>
        </w:rPr>
        <w:lastRenderedPageBreak/>
        <w:t>Population by region as of March 31, 2020</w:t>
      </w:r>
    </w:p>
    <w:p w14:paraId="60F226E8" w14:textId="77777777" w:rsidR="004D4A21" w:rsidRDefault="00BE7145" w:rsidP="004D4A21">
      <w:pPr>
        <w:keepNext/>
        <w:tabs>
          <w:tab w:val="left" w:pos="7839"/>
        </w:tabs>
        <w:jc w:val="center"/>
      </w:pPr>
      <w:r w:rsidRPr="00D43E1F">
        <w:rPr>
          <w:noProof/>
          <w:lang w:val="en-CA" w:eastAsia="en-CA"/>
        </w:rPr>
        <w:drawing>
          <wp:inline distT="0" distB="0" distL="0" distR="0" wp14:anchorId="7C344D5F" wp14:editId="11587839">
            <wp:extent cx="1980000" cy="3020400"/>
            <wp:effectExtent l="0" t="0" r="1270" b="8890"/>
            <wp:docPr id="12" name="Chart 12" descr="Population by region as of March 31, 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CB560F" w14:textId="00DC08FC" w:rsidR="00BE7145" w:rsidRPr="004D4A21" w:rsidRDefault="004D4A21" w:rsidP="004D4A21">
      <w:pPr>
        <w:pStyle w:val="Caption"/>
        <w:spacing w:after="0"/>
        <w:jc w:val="center"/>
        <w:rPr>
          <w:rFonts w:asciiTheme="minorHAnsi" w:hAnsiTheme="minorHAnsi" w:cstheme="minorHAnsi"/>
          <w:i w:val="0"/>
          <w:iCs w:val="0"/>
          <w:noProof/>
          <w:color w:val="auto"/>
          <w:lang w:eastAsia="en-CA"/>
        </w:rPr>
      </w:pPr>
      <w:r w:rsidRPr="004D4A21">
        <w:rPr>
          <w:rFonts w:asciiTheme="minorHAnsi" w:hAnsiTheme="minorHAnsi" w:cstheme="minorHAnsi"/>
          <w:i w:val="0"/>
          <w:iCs w:val="0"/>
          <w:color w:val="auto"/>
        </w:rPr>
        <w:t xml:space="preserve">Figure </w:t>
      </w:r>
      <w:r w:rsidRPr="004D4A21">
        <w:rPr>
          <w:rFonts w:asciiTheme="minorHAnsi" w:hAnsiTheme="minorHAnsi" w:cstheme="minorHAnsi"/>
          <w:i w:val="0"/>
          <w:iCs w:val="0"/>
          <w:color w:val="auto"/>
        </w:rPr>
        <w:fldChar w:fldCharType="begin"/>
      </w:r>
      <w:r w:rsidRPr="004D4A21">
        <w:rPr>
          <w:rFonts w:asciiTheme="minorHAnsi" w:hAnsiTheme="minorHAnsi" w:cstheme="minorHAnsi"/>
          <w:i w:val="0"/>
          <w:iCs w:val="0"/>
          <w:color w:val="auto"/>
        </w:rPr>
        <w:instrText xml:space="preserve"> SEQ Figure \* ARABIC </w:instrText>
      </w:r>
      <w:r w:rsidRPr="004D4A21">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4</w:t>
      </w:r>
      <w:r w:rsidRPr="004D4A21">
        <w:rPr>
          <w:rFonts w:asciiTheme="minorHAnsi" w:hAnsiTheme="minorHAnsi" w:cstheme="minorHAnsi"/>
          <w:i w:val="0"/>
          <w:iCs w:val="0"/>
          <w:color w:val="auto"/>
        </w:rPr>
        <w:fldChar w:fldCharType="end"/>
      </w:r>
      <w:r w:rsidRPr="004D4A21">
        <w:rPr>
          <w:rFonts w:asciiTheme="minorHAnsi" w:hAnsiTheme="minorHAnsi" w:cstheme="minorHAnsi"/>
          <w:i w:val="0"/>
          <w:iCs w:val="0"/>
          <w:color w:val="auto"/>
        </w:rPr>
        <w:t xml:space="preserve"> - Population by region as of March 31, 2020</w:t>
      </w:r>
    </w:p>
    <w:p w14:paraId="680006EF" w14:textId="44AB7CC5" w:rsidR="004D4A21" w:rsidRPr="004D4A21" w:rsidRDefault="004D4A21" w:rsidP="004D4A21">
      <w:pPr>
        <w:pStyle w:val="Caption"/>
        <w:keepNext/>
        <w:spacing w:before="240" w:after="0"/>
        <w:jc w:val="center"/>
        <w:rPr>
          <w:rFonts w:asciiTheme="minorHAnsi" w:hAnsiTheme="minorHAnsi" w:cstheme="minorHAnsi"/>
          <w:i w:val="0"/>
          <w:iCs w:val="0"/>
          <w:color w:val="auto"/>
        </w:rPr>
      </w:pPr>
      <w:r w:rsidRPr="004D4A21">
        <w:rPr>
          <w:rFonts w:asciiTheme="minorHAnsi" w:hAnsiTheme="minorHAnsi" w:cstheme="minorHAnsi"/>
          <w:i w:val="0"/>
          <w:iCs w:val="0"/>
          <w:color w:val="auto"/>
        </w:rPr>
        <w:t xml:space="preserve">Table </w:t>
      </w:r>
      <w:r w:rsidRPr="004D4A21">
        <w:rPr>
          <w:rFonts w:asciiTheme="minorHAnsi" w:hAnsiTheme="minorHAnsi" w:cstheme="minorHAnsi"/>
          <w:i w:val="0"/>
          <w:iCs w:val="0"/>
          <w:color w:val="auto"/>
        </w:rPr>
        <w:fldChar w:fldCharType="begin"/>
      </w:r>
      <w:r w:rsidRPr="004D4A21">
        <w:rPr>
          <w:rFonts w:asciiTheme="minorHAnsi" w:hAnsiTheme="minorHAnsi" w:cstheme="minorHAnsi"/>
          <w:i w:val="0"/>
          <w:iCs w:val="0"/>
          <w:color w:val="auto"/>
        </w:rPr>
        <w:instrText xml:space="preserve"> SEQ Table \* ARABIC </w:instrText>
      </w:r>
      <w:r w:rsidRPr="004D4A21">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8</w:t>
      </w:r>
      <w:r w:rsidRPr="004D4A21">
        <w:rPr>
          <w:rFonts w:asciiTheme="minorHAnsi" w:hAnsiTheme="minorHAnsi" w:cstheme="minorHAnsi"/>
          <w:i w:val="0"/>
          <w:iCs w:val="0"/>
          <w:color w:val="auto"/>
        </w:rPr>
        <w:fldChar w:fldCharType="end"/>
      </w:r>
      <w:r w:rsidRPr="004D4A21">
        <w:rPr>
          <w:rFonts w:asciiTheme="minorHAnsi" w:hAnsiTheme="minorHAnsi" w:cstheme="minorHAnsi"/>
          <w:i w:val="0"/>
          <w:iCs w:val="0"/>
          <w:color w:val="auto"/>
        </w:rPr>
        <w:t xml:space="preserve"> - Distribution by region, as a percentage of the </w:t>
      </w:r>
      <w:r w:rsidRPr="00C82357">
        <w:rPr>
          <w:rFonts w:asciiTheme="minorHAnsi" w:hAnsiTheme="minorHAnsi" w:cstheme="minorHAnsi"/>
          <w:color w:val="auto"/>
        </w:rPr>
        <w:t>Public Service Employment Act</w:t>
      </w:r>
      <w:r w:rsidRPr="004D4A21">
        <w:rPr>
          <w:rFonts w:asciiTheme="minorHAnsi" w:hAnsiTheme="minorHAnsi" w:cstheme="minorHAnsi"/>
          <w:i w:val="0"/>
          <w:iCs w:val="0"/>
          <w:color w:val="auto"/>
        </w:rPr>
        <w:t xml:space="preserve"> population </w:t>
      </w:r>
      <w:r w:rsidR="00F81029">
        <w:rPr>
          <w:rFonts w:asciiTheme="minorHAnsi" w:hAnsiTheme="minorHAnsi" w:cstheme="minorHAnsi"/>
          <w:i w:val="0"/>
          <w:iCs w:val="0"/>
          <w:color w:val="auto"/>
        </w:rPr>
        <w:t>as of March 31, 2020</w:t>
      </w:r>
    </w:p>
    <w:tbl>
      <w:tblPr>
        <w:tblStyle w:val="TableGrid"/>
        <w:tblW w:w="5000" w:type="pct"/>
        <w:jc w:val="center"/>
        <w:tblLook w:val="0020" w:firstRow="1" w:lastRow="0" w:firstColumn="0" w:lastColumn="0" w:noHBand="0" w:noVBand="0"/>
        <w:tblDescription w:val="Population by region as of March 31, 2020"/>
      </w:tblPr>
      <w:tblGrid>
        <w:gridCol w:w="3681"/>
        <w:gridCol w:w="5385"/>
        <w:gridCol w:w="5324"/>
      </w:tblGrid>
      <w:tr w:rsidR="004D4A21" w:rsidRPr="004D4A21" w14:paraId="2D6281E9" w14:textId="77777777" w:rsidTr="005A204A">
        <w:trPr>
          <w:cantSplit/>
          <w:trHeight w:val="290"/>
          <w:tblHeader/>
          <w:jc w:val="center"/>
        </w:trPr>
        <w:tc>
          <w:tcPr>
            <w:tcW w:w="1279" w:type="pct"/>
          </w:tcPr>
          <w:p w14:paraId="4CA9C72B" w14:textId="77777777" w:rsidR="009A3C90" w:rsidRPr="004D4A21" w:rsidRDefault="009A3C90" w:rsidP="004D4A21">
            <w:pPr>
              <w:pStyle w:val="TableTitle"/>
              <w:rPr>
                <w:color w:val="auto"/>
                <w:sz w:val="22"/>
                <w:szCs w:val="22"/>
              </w:rPr>
            </w:pPr>
            <w:r w:rsidRPr="004D4A21">
              <w:rPr>
                <w:color w:val="auto"/>
                <w:sz w:val="22"/>
                <w:szCs w:val="22"/>
              </w:rPr>
              <w:t>Region</w:t>
            </w:r>
          </w:p>
        </w:tc>
        <w:tc>
          <w:tcPr>
            <w:tcW w:w="1871" w:type="pct"/>
          </w:tcPr>
          <w:p w14:paraId="284A8F58" w14:textId="77777777" w:rsidR="009A3C90" w:rsidRPr="004D4A21" w:rsidRDefault="009A3C90" w:rsidP="004D4A21">
            <w:pPr>
              <w:pStyle w:val="TableTitle"/>
              <w:rPr>
                <w:color w:val="auto"/>
                <w:sz w:val="22"/>
                <w:szCs w:val="22"/>
              </w:rPr>
            </w:pPr>
            <w:r w:rsidRPr="004D4A21">
              <w:rPr>
                <w:color w:val="auto"/>
                <w:sz w:val="22"/>
                <w:szCs w:val="22"/>
              </w:rPr>
              <w:t>Population as of March 31, 2020</w:t>
            </w:r>
          </w:p>
        </w:tc>
        <w:tc>
          <w:tcPr>
            <w:tcW w:w="1850" w:type="pct"/>
          </w:tcPr>
          <w:p w14:paraId="4F69EAD3" w14:textId="77777777" w:rsidR="009A3C90" w:rsidRPr="004D4A21" w:rsidRDefault="009A3C90" w:rsidP="004D4A21">
            <w:pPr>
              <w:pStyle w:val="TableTitle"/>
              <w:rPr>
                <w:color w:val="auto"/>
                <w:sz w:val="22"/>
                <w:szCs w:val="22"/>
              </w:rPr>
            </w:pPr>
            <w:r w:rsidRPr="004D4A21">
              <w:rPr>
                <w:color w:val="auto"/>
                <w:sz w:val="22"/>
                <w:szCs w:val="22"/>
              </w:rPr>
              <w:t>Percentage of population as of March 31, 2020</w:t>
            </w:r>
          </w:p>
        </w:tc>
      </w:tr>
      <w:tr w:rsidR="004D4A21" w:rsidRPr="004D4A21" w14:paraId="3BF64B19" w14:textId="77777777" w:rsidTr="005A204A">
        <w:trPr>
          <w:cantSplit/>
          <w:trHeight w:val="290"/>
          <w:tblHeader/>
          <w:jc w:val="center"/>
        </w:trPr>
        <w:tc>
          <w:tcPr>
            <w:tcW w:w="1279" w:type="pct"/>
          </w:tcPr>
          <w:p w14:paraId="371E98A5" w14:textId="77777777" w:rsidR="009A3C90" w:rsidRPr="004D4A21" w:rsidRDefault="009A3C90" w:rsidP="009A3C90">
            <w:pPr>
              <w:autoSpaceDE w:val="0"/>
              <w:autoSpaceDN w:val="0"/>
              <w:adjustRightInd w:val="0"/>
              <w:rPr>
                <w:rFonts w:asciiTheme="majorHAnsi" w:hAnsiTheme="majorHAnsi" w:cstheme="majorHAnsi"/>
                <w:sz w:val="22"/>
                <w:szCs w:val="22"/>
              </w:rPr>
            </w:pPr>
            <w:r w:rsidRPr="004D4A21">
              <w:rPr>
                <w:rFonts w:asciiTheme="majorHAnsi" w:hAnsiTheme="majorHAnsi" w:cstheme="majorHAnsi"/>
                <w:sz w:val="22"/>
                <w:szCs w:val="22"/>
              </w:rPr>
              <w:t>National Capital Region (NCR)</w:t>
            </w:r>
          </w:p>
        </w:tc>
        <w:tc>
          <w:tcPr>
            <w:tcW w:w="1871" w:type="pct"/>
          </w:tcPr>
          <w:p w14:paraId="2BD2B2FB" w14:textId="77777777" w:rsidR="009A3C90" w:rsidRPr="004D4A21" w:rsidRDefault="009A3C90" w:rsidP="009A3C90">
            <w:pPr>
              <w:autoSpaceDE w:val="0"/>
              <w:autoSpaceDN w:val="0"/>
              <w:adjustRightInd w:val="0"/>
              <w:jc w:val="center"/>
              <w:rPr>
                <w:rFonts w:asciiTheme="majorHAnsi" w:hAnsiTheme="majorHAnsi" w:cstheme="majorHAnsi"/>
                <w:sz w:val="22"/>
                <w:szCs w:val="22"/>
              </w:rPr>
            </w:pPr>
            <w:r w:rsidRPr="004D4A21">
              <w:rPr>
                <w:rFonts w:asciiTheme="majorHAnsi" w:hAnsiTheme="majorHAnsi" w:cstheme="majorHAnsi"/>
                <w:sz w:val="22"/>
                <w:szCs w:val="22"/>
              </w:rPr>
              <w:t>2 794</w:t>
            </w:r>
          </w:p>
        </w:tc>
        <w:tc>
          <w:tcPr>
            <w:tcW w:w="1850" w:type="pct"/>
          </w:tcPr>
          <w:p w14:paraId="4D291422" w14:textId="77777777" w:rsidR="009A3C90" w:rsidRPr="004D4A21" w:rsidRDefault="009A3C90" w:rsidP="009A3C90">
            <w:pPr>
              <w:autoSpaceDE w:val="0"/>
              <w:autoSpaceDN w:val="0"/>
              <w:adjustRightInd w:val="0"/>
              <w:jc w:val="center"/>
              <w:rPr>
                <w:rFonts w:asciiTheme="majorHAnsi" w:hAnsiTheme="majorHAnsi" w:cstheme="majorHAnsi"/>
                <w:sz w:val="22"/>
                <w:szCs w:val="22"/>
              </w:rPr>
            </w:pPr>
            <w:r w:rsidRPr="004D4A21">
              <w:rPr>
                <w:rFonts w:asciiTheme="majorHAnsi" w:hAnsiTheme="majorHAnsi" w:cstheme="majorHAnsi"/>
                <w:sz w:val="22"/>
                <w:szCs w:val="22"/>
              </w:rPr>
              <w:t>66%</w:t>
            </w:r>
          </w:p>
        </w:tc>
      </w:tr>
      <w:tr w:rsidR="004D4A21" w:rsidRPr="004D4A21" w14:paraId="540EFBA7" w14:textId="77777777" w:rsidTr="005A204A">
        <w:trPr>
          <w:cantSplit/>
          <w:trHeight w:val="290"/>
          <w:tblHeader/>
          <w:jc w:val="center"/>
        </w:trPr>
        <w:tc>
          <w:tcPr>
            <w:tcW w:w="1279" w:type="pct"/>
          </w:tcPr>
          <w:p w14:paraId="72ABC363" w14:textId="77777777" w:rsidR="009A3C90" w:rsidRPr="004D4A21" w:rsidRDefault="009A3C90" w:rsidP="009A3C90">
            <w:pPr>
              <w:autoSpaceDE w:val="0"/>
              <w:autoSpaceDN w:val="0"/>
              <w:adjustRightInd w:val="0"/>
              <w:rPr>
                <w:rFonts w:asciiTheme="majorHAnsi" w:hAnsiTheme="majorHAnsi" w:cstheme="majorHAnsi"/>
                <w:sz w:val="22"/>
                <w:szCs w:val="22"/>
              </w:rPr>
            </w:pPr>
            <w:r w:rsidRPr="004D4A21">
              <w:rPr>
                <w:rFonts w:asciiTheme="majorHAnsi" w:hAnsiTheme="majorHAnsi" w:cstheme="majorHAnsi"/>
                <w:sz w:val="22"/>
                <w:szCs w:val="22"/>
              </w:rPr>
              <w:t>Non-NCR</w:t>
            </w:r>
          </w:p>
        </w:tc>
        <w:tc>
          <w:tcPr>
            <w:tcW w:w="1871" w:type="pct"/>
          </w:tcPr>
          <w:p w14:paraId="4273ADD7" w14:textId="77777777" w:rsidR="009A3C90" w:rsidRPr="004D4A21" w:rsidRDefault="009A3C90" w:rsidP="009A3C90">
            <w:pPr>
              <w:autoSpaceDE w:val="0"/>
              <w:autoSpaceDN w:val="0"/>
              <w:adjustRightInd w:val="0"/>
              <w:jc w:val="center"/>
              <w:rPr>
                <w:rFonts w:asciiTheme="majorHAnsi" w:hAnsiTheme="majorHAnsi" w:cstheme="majorHAnsi"/>
                <w:sz w:val="22"/>
                <w:szCs w:val="22"/>
              </w:rPr>
            </w:pPr>
            <w:r w:rsidRPr="004D4A21">
              <w:rPr>
                <w:rFonts w:asciiTheme="majorHAnsi" w:hAnsiTheme="majorHAnsi" w:cstheme="majorHAnsi"/>
                <w:sz w:val="22"/>
                <w:szCs w:val="22"/>
              </w:rPr>
              <w:t>1 437</w:t>
            </w:r>
          </w:p>
        </w:tc>
        <w:tc>
          <w:tcPr>
            <w:tcW w:w="1850" w:type="pct"/>
          </w:tcPr>
          <w:p w14:paraId="6AE0FB20" w14:textId="77777777" w:rsidR="009A3C90" w:rsidRPr="004D4A21" w:rsidRDefault="009A3C90" w:rsidP="009A3C90">
            <w:pPr>
              <w:autoSpaceDE w:val="0"/>
              <w:autoSpaceDN w:val="0"/>
              <w:adjustRightInd w:val="0"/>
              <w:jc w:val="center"/>
              <w:rPr>
                <w:rFonts w:asciiTheme="majorHAnsi" w:hAnsiTheme="majorHAnsi" w:cstheme="majorHAnsi"/>
                <w:sz w:val="22"/>
                <w:szCs w:val="22"/>
              </w:rPr>
            </w:pPr>
            <w:r w:rsidRPr="004D4A21">
              <w:rPr>
                <w:rFonts w:asciiTheme="majorHAnsi" w:hAnsiTheme="majorHAnsi" w:cstheme="majorHAnsi"/>
                <w:sz w:val="22"/>
                <w:szCs w:val="22"/>
              </w:rPr>
              <w:t>34%</w:t>
            </w:r>
          </w:p>
        </w:tc>
      </w:tr>
      <w:tr w:rsidR="004D4A21" w:rsidRPr="004D4A21" w14:paraId="3B7C433E" w14:textId="77777777" w:rsidTr="005A204A">
        <w:trPr>
          <w:cantSplit/>
          <w:trHeight w:val="290"/>
          <w:tblHeader/>
          <w:jc w:val="center"/>
        </w:trPr>
        <w:tc>
          <w:tcPr>
            <w:tcW w:w="1279" w:type="pct"/>
          </w:tcPr>
          <w:p w14:paraId="5DD9076A" w14:textId="77777777" w:rsidR="009A3C90" w:rsidRPr="004D4A21" w:rsidRDefault="009A3C90" w:rsidP="009A3C90">
            <w:pPr>
              <w:autoSpaceDE w:val="0"/>
              <w:autoSpaceDN w:val="0"/>
              <w:adjustRightInd w:val="0"/>
              <w:rPr>
                <w:rFonts w:asciiTheme="majorHAnsi" w:hAnsiTheme="majorHAnsi" w:cstheme="majorHAnsi"/>
                <w:sz w:val="22"/>
                <w:szCs w:val="22"/>
              </w:rPr>
            </w:pPr>
            <w:r w:rsidRPr="004D4A21">
              <w:rPr>
                <w:rFonts w:asciiTheme="majorHAnsi" w:hAnsiTheme="majorHAnsi" w:cstheme="majorHAnsi"/>
                <w:sz w:val="22"/>
                <w:szCs w:val="22"/>
              </w:rPr>
              <w:t>Unknown</w:t>
            </w:r>
          </w:p>
        </w:tc>
        <w:tc>
          <w:tcPr>
            <w:tcW w:w="1871" w:type="pct"/>
          </w:tcPr>
          <w:p w14:paraId="69FE4DDD" w14:textId="77777777" w:rsidR="009A3C90" w:rsidRPr="004D4A21" w:rsidRDefault="009A3C90" w:rsidP="009A3C90">
            <w:pPr>
              <w:autoSpaceDE w:val="0"/>
              <w:autoSpaceDN w:val="0"/>
              <w:adjustRightInd w:val="0"/>
              <w:jc w:val="center"/>
              <w:rPr>
                <w:rFonts w:asciiTheme="majorHAnsi" w:hAnsiTheme="majorHAnsi" w:cstheme="majorHAnsi"/>
                <w:sz w:val="22"/>
                <w:szCs w:val="22"/>
              </w:rPr>
            </w:pPr>
            <w:r w:rsidRPr="004D4A21">
              <w:rPr>
                <w:rFonts w:asciiTheme="majorHAnsi" w:hAnsiTheme="majorHAnsi" w:cstheme="majorHAnsi"/>
                <w:sz w:val="22"/>
                <w:szCs w:val="22"/>
              </w:rPr>
              <w:t>470</w:t>
            </w:r>
          </w:p>
        </w:tc>
        <w:tc>
          <w:tcPr>
            <w:tcW w:w="1850" w:type="pct"/>
          </w:tcPr>
          <w:p w14:paraId="5BFE07C0" w14:textId="2C2179CA" w:rsidR="009A3C90" w:rsidRPr="004D4A21" w:rsidRDefault="004D4A21" w:rsidP="009A3C90">
            <w:pPr>
              <w:autoSpaceDE w:val="0"/>
              <w:autoSpaceDN w:val="0"/>
              <w:adjustRightInd w:val="0"/>
              <w:jc w:val="center"/>
              <w:rPr>
                <w:rFonts w:asciiTheme="majorHAnsi" w:hAnsiTheme="majorHAnsi" w:cstheme="majorHAnsi"/>
                <w:sz w:val="22"/>
                <w:szCs w:val="22"/>
              </w:rPr>
            </w:pPr>
            <w:r>
              <w:rPr>
                <w:rFonts w:asciiTheme="majorHAnsi" w:hAnsiTheme="majorHAnsi" w:cstheme="majorHAnsi"/>
                <w:sz w:val="22"/>
                <w:szCs w:val="22"/>
              </w:rPr>
              <w:t>0%</w:t>
            </w:r>
          </w:p>
        </w:tc>
      </w:tr>
    </w:tbl>
    <w:p w14:paraId="7B96003B" w14:textId="4493E067" w:rsidR="00BE7145" w:rsidRDefault="00BE7145" w:rsidP="00CF4572">
      <w:pPr>
        <w:tabs>
          <w:tab w:val="left" w:pos="7839"/>
        </w:tabs>
        <w:rPr>
          <w:noProof/>
          <w:lang w:eastAsia="en-CA"/>
        </w:rPr>
      </w:pPr>
    </w:p>
    <w:p w14:paraId="0EC171A9" w14:textId="77777777" w:rsidR="00BE7145" w:rsidRDefault="00BE7145" w:rsidP="00CF4572">
      <w:pPr>
        <w:tabs>
          <w:tab w:val="left" w:pos="7839"/>
        </w:tabs>
        <w:rPr>
          <w:noProof/>
          <w:lang w:eastAsia="en-CA"/>
        </w:rPr>
        <w:sectPr w:rsidR="00BE7145" w:rsidSect="00CF4572">
          <w:pgSz w:w="15840" w:h="12240" w:orient="landscape"/>
          <w:pgMar w:top="1025" w:right="720" w:bottom="720" w:left="720" w:header="708" w:footer="708" w:gutter="0"/>
          <w:cols w:space="708"/>
          <w:titlePg/>
          <w:docGrid w:linePitch="360"/>
        </w:sectPr>
      </w:pPr>
    </w:p>
    <w:p w14:paraId="7814AAC1" w14:textId="0566B9D1" w:rsidR="00BE7145" w:rsidRPr="009A1A2B" w:rsidRDefault="009A1A2B" w:rsidP="009A1A2B">
      <w:pPr>
        <w:pStyle w:val="Heading1"/>
        <w:spacing w:before="120"/>
        <w:rPr>
          <w:noProof/>
          <w:sz w:val="40"/>
          <w:szCs w:val="40"/>
          <w:lang w:eastAsia="en-CA"/>
        </w:rPr>
      </w:pPr>
      <w:r w:rsidRPr="009A1A2B">
        <w:rPr>
          <w:rFonts w:eastAsia="Times New Roman"/>
          <w:noProof/>
          <w:sz w:val="40"/>
          <w:szCs w:val="40"/>
          <w:lang w:eastAsia="en-CA"/>
        </w:rPr>
        <w:lastRenderedPageBreak/>
        <w:t>External indeterminate hires by occupational group, 2019-20</w:t>
      </w:r>
      <w:r w:rsidRPr="009A1A2B">
        <w:rPr>
          <w:noProof/>
          <w:sz w:val="40"/>
          <w:szCs w:val="40"/>
          <w:lang w:eastAsia="en-CA"/>
        </w:rPr>
        <w:t>20</w:t>
      </w:r>
    </w:p>
    <w:p w14:paraId="31E44D96" w14:textId="77777777" w:rsidR="009A1A2B" w:rsidRDefault="00CF4572" w:rsidP="009A1A2B">
      <w:pPr>
        <w:keepNext/>
        <w:tabs>
          <w:tab w:val="left" w:pos="7839"/>
        </w:tabs>
        <w:jc w:val="center"/>
      </w:pPr>
      <w:r w:rsidRPr="00D43E1F">
        <w:rPr>
          <w:noProof/>
          <w:lang w:val="en-CA" w:eastAsia="en-CA"/>
        </w:rPr>
        <w:drawing>
          <wp:inline distT="0" distB="0" distL="0" distR="0" wp14:anchorId="0A2CBC6E" wp14:editId="57C176B3">
            <wp:extent cx="1980000" cy="3020400"/>
            <wp:effectExtent l="0" t="0" r="1270" b="8890"/>
            <wp:docPr id="7" name="Chart 7" descr="External indeterminate hires by &#10;occupational group, 2019-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3036161" w14:textId="27B5BED0" w:rsidR="00CF4572" w:rsidRPr="009A1A2B" w:rsidRDefault="009A1A2B" w:rsidP="009A1A2B">
      <w:pPr>
        <w:pStyle w:val="Caption"/>
        <w:spacing w:after="0"/>
        <w:jc w:val="center"/>
        <w:rPr>
          <w:rFonts w:asciiTheme="minorHAnsi" w:hAnsiTheme="minorHAnsi" w:cstheme="minorHAnsi"/>
          <w:i w:val="0"/>
          <w:iCs w:val="0"/>
          <w:noProof/>
          <w:color w:val="auto"/>
          <w:lang w:eastAsia="en-CA"/>
        </w:rPr>
      </w:pPr>
      <w:r w:rsidRPr="009A1A2B">
        <w:rPr>
          <w:rFonts w:asciiTheme="minorHAnsi" w:hAnsiTheme="minorHAnsi" w:cstheme="minorHAnsi"/>
          <w:i w:val="0"/>
          <w:iCs w:val="0"/>
          <w:color w:val="auto"/>
        </w:rPr>
        <w:t xml:space="preserve">Figure </w:t>
      </w:r>
      <w:r w:rsidRPr="009A1A2B">
        <w:rPr>
          <w:rFonts w:asciiTheme="minorHAnsi" w:hAnsiTheme="minorHAnsi" w:cstheme="minorHAnsi"/>
          <w:i w:val="0"/>
          <w:iCs w:val="0"/>
          <w:color w:val="auto"/>
        </w:rPr>
        <w:fldChar w:fldCharType="begin"/>
      </w:r>
      <w:r w:rsidRPr="009A1A2B">
        <w:rPr>
          <w:rFonts w:asciiTheme="minorHAnsi" w:hAnsiTheme="minorHAnsi" w:cstheme="minorHAnsi"/>
          <w:i w:val="0"/>
          <w:iCs w:val="0"/>
          <w:color w:val="auto"/>
        </w:rPr>
        <w:instrText xml:space="preserve"> SEQ Figure \* ARABIC </w:instrText>
      </w:r>
      <w:r w:rsidRPr="009A1A2B">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5</w:t>
      </w:r>
      <w:r w:rsidRPr="009A1A2B">
        <w:rPr>
          <w:rFonts w:asciiTheme="minorHAnsi" w:hAnsiTheme="minorHAnsi" w:cstheme="minorHAnsi"/>
          <w:i w:val="0"/>
          <w:iCs w:val="0"/>
          <w:color w:val="auto"/>
        </w:rPr>
        <w:fldChar w:fldCharType="end"/>
      </w:r>
      <w:r w:rsidRPr="009A1A2B">
        <w:rPr>
          <w:rFonts w:asciiTheme="minorHAnsi" w:hAnsiTheme="minorHAnsi" w:cstheme="minorHAnsi"/>
          <w:i w:val="0"/>
          <w:iCs w:val="0"/>
          <w:color w:val="auto"/>
        </w:rPr>
        <w:t xml:space="preserve"> - External indeterminate hires by occupational group, 2019-2020</w:t>
      </w:r>
    </w:p>
    <w:p w14:paraId="69911504" w14:textId="4C00DC1A" w:rsidR="009A1A2B" w:rsidRPr="009A1A2B" w:rsidRDefault="009A1A2B" w:rsidP="009A1A2B">
      <w:pPr>
        <w:pStyle w:val="Caption"/>
        <w:keepNext/>
        <w:spacing w:before="240" w:after="0"/>
        <w:jc w:val="center"/>
        <w:rPr>
          <w:rFonts w:asciiTheme="minorHAnsi" w:hAnsiTheme="minorHAnsi" w:cstheme="minorHAnsi"/>
          <w:i w:val="0"/>
          <w:iCs w:val="0"/>
          <w:color w:val="auto"/>
        </w:rPr>
      </w:pPr>
      <w:r w:rsidRPr="009A1A2B">
        <w:rPr>
          <w:rFonts w:asciiTheme="minorHAnsi" w:hAnsiTheme="minorHAnsi" w:cstheme="minorHAnsi"/>
          <w:i w:val="0"/>
          <w:iCs w:val="0"/>
          <w:color w:val="auto"/>
        </w:rPr>
        <w:t xml:space="preserve">Table </w:t>
      </w:r>
      <w:r w:rsidRPr="009A1A2B">
        <w:rPr>
          <w:rFonts w:asciiTheme="minorHAnsi" w:hAnsiTheme="minorHAnsi" w:cstheme="minorHAnsi"/>
          <w:i w:val="0"/>
          <w:iCs w:val="0"/>
          <w:color w:val="auto"/>
        </w:rPr>
        <w:fldChar w:fldCharType="begin"/>
      </w:r>
      <w:r w:rsidRPr="009A1A2B">
        <w:rPr>
          <w:rFonts w:asciiTheme="minorHAnsi" w:hAnsiTheme="minorHAnsi" w:cstheme="minorHAnsi"/>
          <w:i w:val="0"/>
          <w:iCs w:val="0"/>
          <w:color w:val="auto"/>
        </w:rPr>
        <w:instrText xml:space="preserve"> SEQ Table \* ARABIC </w:instrText>
      </w:r>
      <w:r w:rsidRPr="009A1A2B">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9</w:t>
      </w:r>
      <w:r w:rsidRPr="009A1A2B">
        <w:rPr>
          <w:rFonts w:asciiTheme="minorHAnsi" w:hAnsiTheme="minorHAnsi" w:cstheme="minorHAnsi"/>
          <w:i w:val="0"/>
          <w:iCs w:val="0"/>
          <w:color w:val="auto"/>
        </w:rPr>
        <w:fldChar w:fldCharType="end"/>
      </w:r>
      <w:r w:rsidRPr="009A1A2B">
        <w:rPr>
          <w:rFonts w:asciiTheme="minorHAnsi" w:hAnsiTheme="minorHAnsi" w:cstheme="minorHAnsi"/>
          <w:i w:val="0"/>
          <w:iCs w:val="0"/>
          <w:color w:val="auto"/>
        </w:rPr>
        <w:t xml:space="preserve"> - External indeterminate hires by top occupational groups, for fiscal year 2019 to 2020</w:t>
      </w:r>
    </w:p>
    <w:tbl>
      <w:tblPr>
        <w:tblStyle w:val="TableGrid"/>
        <w:tblW w:w="5000" w:type="pct"/>
        <w:jc w:val="center"/>
        <w:tblLook w:val="0020" w:firstRow="1" w:lastRow="0" w:firstColumn="0" w:lastColumn="0" w:noHBand="0" w:noVBand="0"/>
        <w:tblDescription w:val="External indeterminate hires by occupational group, 2019-2020"/>
      </w:tblPr>
      <w:tblGrid>
        <w:gridCol w:w="4389"/>
        <w:gridCol w:w="4677"/>
        <w:gridCol w:w="5324"/>
      </w:tblGrid>
      <w:tr w:rsidR="009A1A2B" w:rsidRPr="009A1A2B" w14:paraId="0E87A9AB" w14:textId="77777777" w:rsidTr="005A204A">
        <w:trPr>
          <w:cantSplit/>
          <w:trHeight w:val="290"/>
          <w:tblHeader/>
          <w:jc w:val="center"/>
        </w:trPr>
        <w:tc>
          <w:tcPr>
            <w:tcW w:w="1525" w:type="pct"/>
          </w:tcPr>
          <w:p w14:paraId="6D041EB0" w14:textId="77777777" w:rsidR="009A3C90" w:rsidRPr="009A1A2B" w:rsidRDefault="009A3C90" w:rsidP="009A1A2B">
            <w:pPr>
              <w:pStyle w:val="TableTitle"/>
              <w:rPr>
                <w:color w:val="auto"/>
                <w:sz w:val="22"/>
                <w:szCs w:val="22"/>
              </w:rPr>
            </w:pPr>
            <w:r w:rsidRPr="009A1A2B">
              <w:rPr>
                <w:color w:val="auto"/>
                <w:sz w:val="22"/>
                <w:szCs w:val="22"/>
              </w:rPr>
              <w:t>Occupational group</w:t>
            </w:r>
          </w:p>
        </w:tc>
        <w:tc>
          <w:tcPr>
            <w:tcW w:w="1625" w:type="pct"/>
          </w:tcPr>
          <w:p w14:paraId="521A2A31" w14:textId="77777777" w:rsidR="009A3C90" w:rsidRPr="009A1A2B" w:rsidRDefault="009A3C90" w:rsidP="009A1A2B">
            <w:pPr>
              <w:pStyle w:val="TableTitle"/>
              <w:rPr>
                <w:color w:val="auto"/>
                <w:sz w:val="22"/>
                <w:szCs w:val="22"/>
              </w:rPr>
            </w:pPr>
            <w:r w:rsidRPr="009A1A2B">
              <w:rPr>
                <w:color w:val="auto"/>
                <w:sz w:val="22"/>
                <w:szCs w:val="22"/>
              </w:rPr>
              <w:t xml:space="preserve">Number of indeterminate hiring activities </w:t>
            </w:r>
          </w:p>
        </w:tc>
        <w:tc>
          <w:tcPr>
            <w:tcW w:w="1850" w:type="pct"/>
          </w:tcPr>
          <w:p w14:paraId="50D17523" w14:textId="77777777" w:rsidR="009A3C90" w:rsidRPr="009A1A2B" w:rsidRDefault="009A3C90" w:rsidP="009A1A2B">
            <w:pPr>
              <w:pStyle w:val="TableTitle"/>
              <w:rPr>
                <w:color w:val="auto"/>
                <w:sz w:val="22"/>
                <w:szCs w:val="22"/>
              </w:rPr>
            </w:pPr>
            <w:r w:rsidRPr="009A1A2B">
              <w:rPr>
                <w:color w:val="auto"/>
                <w:sz w:val="22"/>
                <w:szCs w:val="22"/>
              </w:rPr>
              <w:t>Percentage of all indeterminate hiring activities</w:t>
            </w:r>
          </w:p>
        </w:tc>
      </w:tr>
      <w:tr w:rsidR="009A1A2B" w:rsidRPr="009A1A2B" w14:paraId="65A5ADF6" w14:textId="77777777" w:rsidTr="005A204A">
        <w:trPr>
          <w:cantSplit/>
          <w:trHeight w:val="290"/>
          <w:tblHeader/>
          <w:jc w:val="center"/>
        </w:trPr>
        <w:tc>
          <w:tcPr>
            <w:tcW w:w="1525" w:type="pct"/>
          </w:tcPr>
          <w:p w14:paraId="0584B275" w14:textId="77777777" w:rsidR="009A3C90" w:rsidRPr="009A1A2B" w:rsidRDefault="009A3C90" w:rsidP="009A3C90">
            <w:pPr>
              <w:autoSpaceDE w:val="0"/>
              <w:autoSpaceDN w:val="0"/>
              <w:adjustRightInd w:val="0"/>
              <w:rPr>
                <w:rFonts w:asciiTheme="minorHAnsi" w:hAnsiTheme="minorHAnsi" w:cstheme="minorHAnsi"/>
                <w:sz w:val="22"/>
                <w:szCs w:val="22"/>
                <w:highlight w:val="yellow"/>
              </w:rPr>
            </w:pPr>
            <w:r w:rsidRPr="009A1A2B">
              <w:rPr>
                <w:rFonts w:asciiTheme="minorHAnsi" w:hAnsiTheme="minorHAnsi" w:cstheme="minorHAnsi"/>
                <w:sz w:val="22"/>
                <w:szCs w:val="22"/>
              </w:rPr>
              <w:t>EC – Economics and Social Science Services</w:t>
            </w:r>
          </w:p>
        </w:tc>
        <w:tc>
          <w:tcPr>
            <w:tcW w:w="1625" w:type="pct"/>
          </w:tcPr>
          <w:p w14:paraId="4EBEE1DC"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87</w:t>
            </w:r>
          </w:p>
        </w:tc>
        <w:tc>
          <w:tcPr>
            <w:tcW w:w="1850" w:type="pct"/>
          </w:tcPr>
          <w:p w14:paraId="0BEB86F9"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37%</w:t>
            </w:r>
          </w:p>
        </w:tc>
      </w:tr>
      <w:tr w:rsidR="009A1A2B" w:rsidRPr="009A1A2B" w14:paraId="05452544" w14:textId="77777777" w:rsidTr="005A204A">
        <w:trPr>
          <w:cantSplit/>
          <w:trHeight w:val="290"/>
          <w:tblHeader/>
          <w:jc w:val="center"/>
        </w:trPr>
        <w:tc>
          <w:tcPr>
            <w:tcW w:w="1525" w:type="pct"/>
          </w:tcPr>
          <w:p w14:paraId="200F965A" w14:textId="77777777" w:rsidR="009A3C90" w:rsidRPr="009A1A2B" w:rsidRDefault="009A3C90" w:rsidP="009A3C90">
            <w:pPr>
              <w:autoSpaceDE w:val="0"/>
              <w:autoSpaceDN w:val="0"/>
              <w:adjustRightInd w:val="0"/>
              <w:rPr>
                <w:rFonts w:asciiTheme="minorHAnsi" w:hAnsiTheme="minorHAnsi" w:cstheme="minorHAnsi"/>
                <w:sz w:val="22"/>
                <w:szCs w:val="22"/>
              </w:rPr>
            </w:pPr>
            <w:r w:rsidRPr="009A1A2B">
              <w:rPr>
                <w:rFonts w:asciiTheme="minorHAnsi" w:hAnsiTheme="minorHAnsi" w:cstheme="minorHAnsi"/>
                <w:sz w:val="22"/>
                <w:szCs w:val="22"/>
              </w:rPr>
              <w:t>AS – Administrative Services</w:t>
            </w:r>
          </w:p>
        </w:tc>
        <w:tc>
          <w:tcPr>
            <w:tcW w:w="1625" w:type="pct"/>
          </w:tcPr>
          <w:p w14:paraId="1107C853"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43</w:t>
            </w:r>
          </w:p>
        </w:tc>
        <w:tc>
          <w:tcPr>
            <w:tcW w:w="1850" w:type="pct"/>
          </w:tcPr>
          <w:p w14:paraId="729CD285"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18%</w:t>
            </w:r>
          </w:p>
        </w:tc>
      </w:tr>
      <w:tr w:rsidR="009A1A2B" w:rsidRPr="009A1A2B" w14:paraId="71D560DA" w14:textId="77777777" w:rsidTr="005A204A">
        <w:trPr>
          <w:cantSplit/>
          <w:trHeight w:val="290"/>
          <w:tblHeader/>
          <w:jc w:val="center"/>
        </w:trPr>
        <w:tc>
          <w:tcPr>
            <w:tcW w:w="1525" w:type="pct"/>
          </w:tcPr>
          <w:p w14:paraId="48B35960" w14:textId="77777777" w:rsidR="009A3C90" w:rsidRPr="009A1A2B" w:rsidRDefault="009A3C90" w:rsidP="009A3C90">
            <w:pPr>
              <w:autoSpaceDE w:val="0"/>
              <w:autoSpaceDN w:val="0"/>
              <w:adjustRightInd w:val="0"/>
              <w:rPr>
                <w:rFonts w:asciiTheme="minorHAnsi" w:hAnsiTheme="minorHAnsi" w:cstheme="minorHAnsi"/>
                <w:sz w:val="22"/>
                <w:szCs w:val="22"/>
              </w:rPr>
            </w:pPr>
            <w:r w:rsidRPr="009A1A2B">
              <w:rPr>
                <w:rFonts w:asciiTheme="minorHAnsi" w:hAnsiTheme="minorHAnsi" w:cstheme="minorHAnsi"/>
                <w:sz w:val="22"/>
                <w:szCs w:val="22"/>
              </w:rPr>
              <w:t>EN – Engineering and Land Survey</w:t>
            </w:r>
          </w:p>
        </w:tc>
        <w:tc>
          <w:tcPr>
            <w:tcW w:w="1625" w:type="pct"/>
          </w:tcPr>
          <w:p w14:paraId="23789025"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22</w:t>
            </w:r>
          </w:p>
        </w:tc>
        <w:tc>
          <w:tcPr>
            <w:tcW w:w="1850" w:type="pct"/>
          </w:tcPr>
          <w:p w14:paraId="633E8DDE"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9%</w:t>
            </w:r>
          </w:p>
        </w:tc>
      </w:tr>
      <w:tr w:rsidR="009A1A2B" w:rsidRPr="009A1A2B" w14:paraId="76A399C3" w14:textId="77777777" w:rsidTr="005A204A">
        <w:trPr>
          <w:cantSplit/>
          <w:trHeight w:val="70"/>
          <w:tblHeader/>
          <w:jc w:val="center"/>
        </w:trPr>
        <w:tc>
          <w:tcPr>
            <w:tcW w:w="1525" w:type="pct"/>
          </w:tcPr>
          <w:p w14:paraId="21F177EB" w14:textId="77777777" w:rsidR="009A3C90" w:rsidRPr="009A1A2B" w:rsidRDefault="009A3C90" w:rsidP="009A3C90">
            <w:pPr>
              <w:autoSpaceDE w:val="0"/>
              <w:autoSpaceDN w:val="0"/>
              <w:adjustRightInd w:val="0"/>
              <w:rPr>
                <w:rFonts w:asciiTheme="minorHAnsi" w:hAnsiTheme="minorHAnsi" w:cstheme="minorHAnsi"/>
                <w:sz w:val="22"/>
                <w:szCs w:val="22"/>
              </w:rPr>
            </w:pPr>
            <w:r w:rsidRPr="009A1A2B">
              <w:rPr>
                <w:rFonts w:asciiTheme="minorHAnsi" w:hAnsiTheme="minorHAnsi" w:cstheme="minorHAnsi"/>
                <w:sz w:val="22"/>
                <w:szCs w:val="22"/>
              </w:rPr>
              <w:t>Other</w:t>
            </w:r>
          </w:p>
        </w:tc>
        <w:tc>
          <w:tcPr>
            <w:tcW w:w="1625" w:type="pct"/>
          </w:tcPr>
          <w:p w14:paraId="47923B6D"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85</w:t>
            </w:r>
          </w:p>
        </w:tc>
        <w:tc>
          <w:tcPr>
            <w:tcW w:w="1850" w:type="pct"/>
          </w:tcPr>
          <w:p w14:paraId="4FFEA242"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36%</w:t>
            </w:r>
          </w:p>
        </w:tc>
      </w:tr>
      <w:tr w:rsidR="009A1A2B" w:rsidRPr="009A1A2B" w14:paraId="74F116CA" w14:textId="77777777" w:rsidTr="005A204A">
        <w:trPr>
          <w:cantSplit/>
          <w:trHeight w:val="290"/>
          <w:tblHeader/>
          <w:jc w:val="center"/>
        </w:trPr>
        <w:tc>
          <w:tcPr>
            <w:tcW w:w="1525" w:type="pct"/>
          </w:tcPr>
          <w:p w14:paraId="7D4EBB3B" w14:textId="77777777" w:rsidR="009A3C90" w:rsidRPr="009A1A2B" w:rsidRDefault="009A3C90" w:rsidP="009A3C90">
            <w:pPr>
              <w:autoSpaceDE w:val="0"/>
              <w:autoSpaceDN w:val="0"/>
              <w:adjustRightInd w:val="0"/>
              <w:rPr>
                <w:rFonts w:asciiTheme="minorHAnsi" w:hAnsiTheme="minorHAnsi" w:cstheme="minorHAnsi"/>
                <w:sz w:val="22"/>
                <w:szCs w:val="22"/>
              </w:rPr>
            </w:pPr>
            <w:r w:rsidRPr="009A1A2B">
              <w:rPr>
                <w:rFonts w:asciiTheme="minorHAnsi" w:hAnsiTheme="minorHAnsi" w:cstheme="minorHAnsi"/>
                <w:sz w:val="22"/>
                <w:szCs w:val="22"/>
              </w:rPr>
              <w:t>Total</w:t>
            </w:r>
          </w:p>
        </w:tc>
        <w:tc>
          <w:tcPr>
            <w:tcW w:w="1625" w:type="pct"/>
          </w:tcPr>
          <w:p w14:paraId="5071CE21"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237</w:t>
            </w:r>
          </w:p>
        </w:tc>
        <w:tc>
          <w:tcPr>
            <w:tcW w:w="1850" w:type="pct"/>
          </w:tcPr>
          <w:p w14:paraId="38FDA008" w14:textId="77777777" w:rsidR="009A3C90" w:rsidRPr="009A1A2B" w:rsidRDefault="009A3C90" w:rsidP="009A3C90">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100%</w:t>
            </w:r>
          </w:p>
        </w:tc>
      </w:tr>
    </w:tbl>
    <w:p w14:paraId="6187E184" w14:textId="34E37619" w:rsidR="00BE7145" w:rsidRDefault="00BE7145" w:rsidP="00CF4572">
      <w:pPr>
        <w:tabs>
          <w:tab w:val="left" w:pos="7839"/>
        </w:tabs>
        <w:rPr>
          <w:noProof/>
          <w:lang w:eastAsia="en-CA"/>
        </w:rPr>
      </w:pPr>
    </w:p>
    <w:p w14:paraId="1F9A1BB2" w14:textId="77777777" w:rsidR="00BE7145" w:rsidRDefault="00BE7145" w:rsidP="00CF4572">
      <w:pPr>
        <w:tabs>
          <w:tab w:val="left" w:pos="7839"/>
        </w:tabs>
        <w:rPr>
          <w:noProof/>
          <w:lang w:eastAsia="en-CA"/>
        </w:rPr>
        <w:sectPr w:rsidR="00BE7145" w:rsidSect="00CF4572">
          <w:pgSz w:w="15840" w:h="12240" w:orient="landscape"/>
          <w:pgMar w:top="1025" w:right="720" w:bottom="720" w:left="720" w:header="708" w:footer="708" w:gutter="0"/>
          <w:cols w:space="708"/>
          <w:titlePg/>
          <w:docGrid w:linePitch="360"/>
        </w:sectPr>
      </w:pPr>
    </w:p>
    <w:p w14:paraId="1E1CFB98" w14:textId="77777777" w:rsidR="009A1A2B" w:rsidRPr="009A1A2B" w:rsidRDefault="009A1A2B" w:rsidP="009A1A2B">
      <w:pPr>
        <w:pStyle w:val="Heading1"/>
        <w:spacing w:before="120"/>
        <w:rPr>
          <w:noProof/>
          <w:sz w:val="40"/>
          <w:szCs w:val="40"/>
          <w:lang w:val="fr-CA" w:eastAsia="en-CA"/>
        </w:rPr>
      </w:pPr>
      <w:r w:rsidRPr="009A1A2B">
        <w:rPr>
          <w:rFonts w:eastAsia="Times New Roman"/>
          <w:noProof/>
          <w:sz w:val="40"/>
          <w:szCs w:val="40"/>
          <w:lang w:eastAsia="en-CA"/>
        </w:rPr>
        <w:lastRenderedPageBreak/>
        <w:t>Staffing by region</w:t>
      </w:r>
    </w:p>
    <w:p w14:paraId="1C1BD99B" w14:textId="77777777" w:rsidR="009A1A2B" w:rsidRDefault="00BE7145" w:rsidP="009A1A2B">
      <w:pPr>
        <w:keepNext/>
        <w:tabs>
          <w:tab w:val="left" w:pos="7839"/>
        </w:tabs>
        <w:jc w:val="center"/>
      </w:pPr>
      <w:r w:rsidRPr="00D43E1F">
        <w:rPr>
          <w:noProof/>
          <w:lang w:val="en-CA" w:eastAsia="en-CA"/>
        </w:rPr>
        <w:drawing>
          <wp:inline distT="0" distB="0" distL="0" distR="0" wp14:anchorId="3BDCED6A" wp14:editId="52930A36">
            <wp:extent cx="5648400" cy="3049200"/>
            <wp:effectExtent l="0" t="0" r="9525" b="18415"/>
            <wp:docPr id="6" name="Chart 6" descr="Staffing by region&#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7B31CA1" w14:textId="64615D79" w:rsidR="00BE7145" w:rsidRPr="009A1A2B" w:rsidRDefault="009A1A2B" w:rsidP="009A1A2B">
      <w:pPr>
        <w:pStyle w:val="Caption"/>
        <w:spacing w:after="0"/>
        <w:jc w:val="center"/>
        <w:rPr>
          <w:rFonts w:asciiTheme="minorHAnsi" w:hAnsiTheme="minorHAnsi" w:cstheme="minorHAnsi"/>
          <w:i w:val="0"/>
          <w:iCs w:val="0"/>
          <w:noProof/>
          <w:color w:val="auto"/>
          <w:lang w:eastAsia="en-CA"/>
        </w:rPr>
      </w:pPr>
      <w:r w:rsidRPr="009A1A2B">
        <w:rPr>
          <w:rFonts w:asciiTheme="minorHAnsi" w:hAnsiTheme="minorHAnsi" w:cstheme="minorHAnsi"/>
          <w:i w:val="0"/>
          <w:iCs w:val="0"/>
          <w:color w:val="auto"/>
        </w:rPr>
        <w:t xml:space="preserve">Figure </w:t>
      </w:r>
      <w:r w:rsidRPr="009A1A2B">
        <w:rPr>
          <w:rFonts w:asciiTheme="minorHAnsi" w:hAnsiTheme="minorHAnsi" w:cstheme="minorHAnsi"/>
          <w:i w:val="0"/>
          <w:iCs w:val="0"/>
          <w:color w:val="auto"/>
        </w:rPr>
        <w:fldChar w:fldCharType="begin"/>
      </w:r>
      <w:r w:rsidRPr="009A1A2B">
        <w:rPr>
          <w:rFonts w:asciiTheme="minorHAnsi" w:hAnsiTheme="minorHAnsi" w:cstheme="minorHAnsi"/>
          <w:i w:val="0"/>
          <w:iCs w:val="0"/>
          <w:color w:val="auto"/>
        </w:rPr>
        <w:instrText xml:space="preserve"> SEQ Figure \* ARABIC </w:instrText>
      </w:r>
      <w:r w:rsidRPr="009A1A2B">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6</w:t>
      </w:r>
      <w:r w:rsidRPr="009A1A2B">
        <w:rPr>
          <w:rFonts w:asciiTheme="minorHAnsi" w:hAnsiTheme="minorHAnsi" w:cstheme="minorHAnsi"/>
          <w:i w:val="0"/>
          <w:iCs w:val="0"/>
          <w:color w:val="auto"/>
        </w:rPr>
        <w:fldChar w:fldCharType="end"/>
      </w:r>
      <w:r w:rsidRPr="009A1A2B">
        <w:rPr>
          <w:rFonts w:asciiTheme="minorHAnsi" w:hAnsiTheme="minorHAnsi" w:cstheme="minorHAnsi"/>
          <w:i w:val="0"/>
          <w:iCs w:val="0"/>
          <w:color w:val="auto"/>
        </w:rPr>
        <w:t xml:space="preserve"> - Staffing by region</w:t>
      </w:r>
    </w:p>
    <w:p w14:paraId="79C591AF" w14:textId="5FF8228D" w:rsidR="009A1A2B" w:rsidRPr="009A1A2B" w:rsidRDefault="009A1A2B" w:rsidP="009A1A2B">
      <w:pPr>
        <w:pStyle w:val="Caption"/>
        <w:keepNext/>
        <w:spacing w:before="240" w:after="0"/>
        <w:jc w:val="center"/>
        <w:rPr>
          <w:rFonts w:asciiTheme="minorHAnsi" w:hAnsiTheme="minorHAnsi" w:cstheme="minorHAnsi"/>
          <w:i w:val="0"/>
          <w:iCs w:val="0"/>
          <w:color w:val="auto"/>
        </w:rPr>
      </w:pPr>
      <w:r w:rsidRPr="009A1A2B">
        <w:rPr>
          <w:rFonts w:asciiTheme="minorHAnsi" w:hAnsiTheme="minorHAnsi" w:cstheme="minorHAnsi"/>
          <w:i w:val="0"/>
          <w:iCs w:val="0"/>
          <w:color w:val="auto"/>
        </w:rPr>
        <w:t xml:space="preserve">Table </w:t>
      </w:r>
      <w:r w:rsidRPr="009A1A2B">
        <w:rPr>
          <w:rFonts w:asciiTheme="minorHAnsi" w:hAnsiTheme="minorHAnsi" w:cstheme="minorHAnsi"/>
          <w:i w:val="0"/>
          <w:iCs w:val="0"/>
          <w:color w:val="auto"/>
        </w:rPr>
        <w:fldChar w:fldCharType="begin"/>
      </w:r>
      <w:r w:rsidRPr="009A1A2B">
        <w:rPr>
          <w:rFonts w:asciiTheme="minorHAnsi" w:hAnsiTheme="minorHAnsi" w:cstheme="minorHAnsi"/>
          <w:i w:val="0"/>
          <w:iCs w:val="0"/>
          <w:color w:val="auto"/>
        </w:rPr>
        <w:instrText xml:space="preserve"> SEQ Table \* ARABIC </w:instrText>
      </w:r>
      <w:r w:rsidRPr="009A1A2B">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10</w:t>
      </w:r>
      <w:r w:rsidRPr="009A1A2B">
        <w:rPr>
          <w:rFonts w:asciiTheme="minorHAnsi" w:hAnsiTheme="minorHAnsi" w:cstheme="minorHAnsi"/>
          <w:i w:val="0"/>
          <w:iCs w:val="0"/>
          <w:color w:val="auto"/>
        </w:rPr>
        <w:fldChar w:fldCharType="end"/>
      </w:r>
      <w:r w:rsidRPr="009A1A2B">
        <w:rPr>
          <w:rFonts w:asciiTheme="minorHAnsi" w:hAnsiTheme="minorHAnsi" w:cstheme="minorHAnsi"/>
          <w:i w:val="0"/>
          <w:iCs w:val="0"/>
          <w:color w:val="auto"/>
        </w:rPr>
        <w:t xml:space="preserve"> - Percentage of staffing activities in the National Capital Region compared with all other regions by fiscal year</w:t>
      </w:r>
    </w:p>
    <w:tbl>
      <w:tblPr>
        <w:tblStyle w:val="TableGrid"/>
        <w:tblW w:w="5000" w:type="pct"/>
        <w:jc w:val="center"/>
        <w:tblLook w:val="0020" w:firstRow="1" w:lastRow="0" w:firstColumn="0" w:lastColumn="0" w:noHBand="0" w:noVBand="0"/>
        <w:tblDescription w:val="Staffing by region from 2014 to 2019"/>
      </w:tblPr>
      <w:tblGrid>
        <w:gridCol w:w="3114"/>
        <w:gridCol w:w="5897"/>
        <w:gridCol w:w="5379"/>
      </w:tblGrid>
      <w:tr w:rsidR="009A1A2B" w:rsidRPr="009A1A2B" w14:paraId="43C185E3" w14:textId="77777777" w:rsidTr="005A204A">
        <w:trPr>
          <w:cantSplit/>
          <w:trHeight w:val="290"/>
          <w:tblHeader/>
          <w:jc w:val="center"/>
        </w:trPr>
        <w:tc>
          <w:tcPr>
            <w:tcW w:w="1082" w:type="pct"/>
          </w:tcPr>
          <w:p w14:paraId="567AFBB5" w14:textId="77777777" w:rsidR="00A572F6" w:rsidRPr="009A1A2B" w:rsidRDefault="00A572F6" w:rsidP="009A1A2B">
            <w:pPr>
              <w:pStyle w:val="TableTitle"/>
              <w:rPr>
                <w:color w:val="auto"/>
                <w:sz w:val="22"/>
                <w:szCs w:val="22"/>
              </w:rPr>
            </w:pPr>
            <w:r w:rsidRPr="009A1A2B">
              <w:rPr>
                <w:color w:val="auto"/>
                <w:sz w:val="22"/>
                <w:szCs w:val="22"/>
              </w:rPr>
              <w:t>Fiscal year</w:t>
            </w:r>
          </w:p>
        </w:tc>
        <w:tc>
          <w:tcPr>
            <w:tcW w:w="2049" w:type="pct"/>
          </w:tcPr>
          <w:p w14:paraId="4717401F" w14:textId="77777777" w:rsidR="00A572F6" w:rsidRPr="009A1A2B" w:rsidRDefault="00A572F6" w:rsidP="009A1A2B">
            <w:pPr>
              <w:pStyle w:val="TableTitle"/>
              <w:rPr>
                <w:color w:val="auto"/>
                <w:sz w:val="22"/>
                <w:szCs w:val="22"/>
              </w:rPr>
            </w:pPr>
            <w:r w:rsidRPr="009A1A2B">
              <w:rPr>
                <w:color w:val="auto"/>
                <w:sz w:val="22"/>
                <w:szCs w:val="22"/>
              </w:rPr>
              <w:t>Percentage of staffing activities in the National Capital Region (NCR)</w:t>
            </w:r>
          </w:p>
        </w:tc>
        <w:tc>
          <w:tcPr>
            <w:tcW w:w="1869" w:type="pct"/>
          </w:tcPr>
          <w:p w14:paraId="6203B848" w14:textId="77777777" w:rsidR="00A572F6" w:rsidRPr="009A1A2B" w:rsidRDefault="00A572F6" w:rsidP="009A1A2B">
            <w:pPr>
              <w:pStyle w:val="TableTitle"/>
              <w:rPr>
                <w:color w:val="auto"/>
                <w:sz w:val="22"/>
                <w:szCs w:val="22"/>
              </w:rPr>
            </w:pPr>
            <w:r w:rsidRPr="009A1A2B">
              <w:rPr>
                <w:color w:val="auto"/>
                <w:sz w:val="22"/>
                <w:szCs w:val="22"/>
              </w:rPr>
              <w:t>Percentage of staffing activities in all other regions (Non-NCR)</w:t>
            </w:r>
          </w:p>
        </w:tc>
      </w:tr>
      <w:tr w:rsidR="009A1A2B" w:rsidRPr="009A1A2B" w14:paraId="1C800F76" w14:textId="77777777" w:rsidTr="005A204A">
        <w:trPr>
          <w:cantSplit/>
          <w:trHeight w:val="290"/>
          <w:tblHeader/>
          <w:jc w:val="center"/>
        </w:trPr>
        <w:tc>
          <w:tcPr>
            <w:tcW w:w="1082" w:type="pct"/>
          </w:tcPr>
          <w:p w14:paraId="723A263C" w14:textId="77777777" w:rsidR="00A572F6" w:rsidRPr="009A1A2B" w:rsidRDefault="00A572F6" w:rsidP="004D4A21">
            <w:pPr>
              <w:autoSpaceDE w:val="0"/>
              <w:autoSpaceDN w:val="0"/>
              <w:adjustRightInd w:val="0"/>
              <w:rPr>
                <w:rFonts w:asciiTheme="minorHAnsi" w:hAnsiTheme="minorHAnsi" w:cstheme="minorHAnsi"/>
                <w:sz w:val="22"/>
                <w:szCs w:val="22"/>
              </w:rPr>
            </w:pPr>
            <w:r w:rsidRPr="009A1A2B">
              <w:rPr>
                <w:rFonts w:asciiTheme="minorHAnsi" w:hAnsiTheme="minorHAnsi" w:cstheme="minorHAnsi"/>
                <w:sz w:val="22"/>
                <w:szCs w:val="22"/>
              </w:rPr>
              <w:t>2015 to 2016</w:t>
            </w:r>
          </w:p>
        </w:tc>
        <w:tc>
          <w:tcPr>
            <w:tcW w:w="2049" w:type="pct"/>
          </w:tcPr>
          <w:p w14:paraId="3BD9C4A8"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64%</w:t>
            </w:r>
          </w:p>
        </w:tc>
        <w:tc>
          <w:tcPr>
            <w:tcW w:w="1869" w:type="pct"/>
          </w:tcPr>
          <w:p w14:paraId="2C5A3A6C"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36%</w:t>
            </w:r>
          </w:p>
        </w:tc>
      </w:tr>
      <w:tr w:rsidR="009A1A2B" w:rsidRPr="009A1A2B" w14:paraId="205267C2" w14:textId="77777777" w:rsidTr="005A204A">
        <w:trPr>
          <w:cantSplit/>
          <w:trHeight w:val="290"/>
          <w:tblHeader/>
          <w:jc w:val="center"/>
        </w:trPr>
        <w:tc>
          <w:tcPr>
            <w:tcW w:w="1082" w:type="pct"/>
          </w:tcPr>
          <w:p w14:paraId="77DDED9E" w14:textId="77777777" w:rsidR="00A572F6" w:rsidRPr="009A1A2B" w:rsidRDefault="00A572F6" w:rsidP="004D4A21">
            <w:pPr>
              <w:autoSpaceDE w:val="0"/>
              <w:autoSpaceDN w:val="0"/>
              <w:adjustRightInd w:val="0"/>
              <w:rPr>
                <w:rFonts w:asciiTheme="minorHAnsi" w:hAnsiTheme="minorHAnsi" w:cstheme="minorHAnsi"/>
                <w:sz w:val="22"/>
                <w:szCs w:val="22"/>
              </w:rPr>
            </w:pPr>
            <w:r w:rsidRPr="009A1A2B">
              <w:rPr>
                <w:rFonts w:asciiTheme="minorHAnsi" w:hAnsiTheme="minorHAnsi" w:cstheme="minorHAnsi"/>
                <w:sz w:val="22"/>
                <w:szCs w:val="22"/>
              </w:rPr>
              <w:t>2016 to 2017</w:t>
            </w:r>
          </w:p>
        </w:tc>
        <w:tc>
          <w:tcPr>
            <w:tcW w:w="2049" w:type="pct"/>
          </w:tcPr>
          <w:p w14:paraId="17F1B8BE"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77%</w:t>
            </w:r>
          </w:p>
        </w:tc>
        <w:tc>
          <w:tcPr>
            <w:tcW w:w="1869" w:type="pct"/>
          </w:tcPr>
          <w:p w14:paraId="2F490BB2"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23%</w:t>
            </w:r>
          </w:p>
        </w:tc>
      </w:tr>
      <w:tr w:rsidR="009A1A2B" w:rsidRPr="009A1A2B" w14:paraId="789C3685" w14:textId="77777777" w:rsidTr="005A204A">
        <w:trPr>
          <w:cantSplit/>
          <w:trHeight w:val="290"/>
          <w:tblHeader/>
          <w:jc w:val="center"/>
        </w:trPr>
        <w:tc>
          <w:tcPr>
            <w:tcW w:w="1082" w:type="pct"/>
          </w:tcPr>
          <w:p w14:paraId="14634AE1" w14:textId="77777777" w:rsidR="00A572F6" w:rsidRPr="009A1A2B" w:rsidRDefault="00A572F6" w:rsidP="004D4A21">
            <w:pPr>
              <w:autoSpaceDE w:val="0"/>
              <w:autoSpaceDN w:val="0"/>
              <w:adjustRightInd w:val="0"/>
              <w:rPr>
                <w:rFonts w:asciiTheme="minorHAnsi" w:hAnsiTheme="minorHAnsi" w:cstheme="minorHAnsi"/>
                <w:sz w:val="22"/>
                <w:szCs w:val="22"/>
              </w:rPr>
            </w:pPr>
            <w:r w:rsidRPr="009A1A2B">
              <w:rPr>
                <w:rFonts w:asciiTheme="minorHAnsi" w:hAnsiTheme="minorHAnsi" w:cstheme="minorHAnsi"/>
                <w:sz w:val="22"/>
                <w:szCs w:val="22"/>
              </w:rPr>
              <w:t>2017 to 2018</w:t>
            </w:r>
          </w:p>
        </w:tc>
        <w:tc>
          <w:tcPr>
            <w:tcW w:w="2049" w:type="pct"/>
          </w:tcPr>
          <w:p w14:paraId="403C6591"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77%</w:t>
            </w:r>
          </w:p>
        </w:tc>
        <w:tc>
          <w:tcPr>
            <w:tcW w:w="1869" w:type="pct"/>
          </w:tcPr>
          <w:p w14:paraId="68113E9F"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23%</w:t>
            </w:r>
          </w:p>
        </w:tc>
      </w:tr>
      <w:tr w:rsidR="009A1A2B" w:rsidRPr="009A1A2B" w14:paraId="11A49EB6" w14:textId="77777777" w:rsidTr="005A204A">
        <w:trPr>
          <w:cantSplit/>
          <w:trHeight w:val="290"/>
          <w:tblHeader/>
          <w:jc w:val="center"/>
        </w:trPr>
        <w:tc>
          <w:tcPr>
            <w:tcW w:w="1082" w:type="pct"/>
          </w:tcPr>
          <w:p w14:paraId="1BE48793" w14:textId="77777777" w:rsidR="00A572F6" w:rsidRPr="009A1A2B" w:rsidRDefault="00A572F6" w:rsidP="004D4A21">
            <w:pPr>
              <w:autoSpaceDE w:val="0"/>
              <w:autoSpaceDN w:val="0"/>
              <w:adjustRightInd w:val="0"/>
              <w:rPr>
                <w:rFonts w:asciiTheme="minorHAnsi" w:hAnsiTheme="minorHAnsi" w:cstheme="minorHAnsi"/>
                <w:sz w:val="22"/>
                <w:szCs w:val="22"/>
              </w:rPr>
            </w:pPr>
            <w:r w:rsidRPr="009A1A2B">
              <w:rPr>
                <w:rFonts w:asciiTheme="minorHAnsi" w:hAnsiTheme="minorHAnsi" w:cstheme="minorHAnsi"/>
                <w:sz w:val="22"/>
                <w:szCs w:val="22"/>
              </w:rPr>
              <w:t>2018 to 2019</w:t>
            </w:r>
          </w:p>
        </w:tc>
        <w:tc>
          <w:tcPr>
            <w:tcW w:w="2049" w:type="pct"/>
          </w:tcPr>
          <w:p w14:paraId="2931E49A"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79%</w:t>
            </w:r>
          </w:p>
        </w:tc>
        <w:tc>
          <w:tcPr>
            <w:tcW w:w="1869" w:type="pct"/>
          </w:tcPr>
          <w:p w14:paraId="7A1BA562"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21%</w:t>
            </w:r>
          </w:p>
        </w:tc>
      </w:tr>
      <w:tr w:rsidR="009A1A2B" w:rsidRPr="009A1A2B" w14:paraId="5EE8FA7D" w14:textId="77777777" w:rsidTr="005A204A">
        <w:trPr>
          <w:cantSplit/>
          <w:trHeight w:val="290"/>
          <w:tblHeader/>
          <w:jc w:val="center"/>
        </w:trPr>
        <w:tc>
          <w:tcPr>
            <w:tcW w:w="1082" w:type="pct"/>
          </w:tcPr>
          <w:p w14:paraId="73695433" w14:textId="77777777" w:rsidR="00A572F6" w:rsidRPr="009A1A2B" w:rsidRDefault="00A572F6" w:rsidP="004D4A21">
            <w:pPr>
              <w:autoSpaceDE w:val="0"/>
              <w:autoSpaceDN w:val="0"/>
              <w:adjustRightInd w:val="0"/>
              <w:rPr>
                <w:rFonts w:asciiTheme="minorHAnsi" w:hAnsiTheme="minorHAnsi" w:cstheme="minorHAnsi"/>
                <w:sz w:val="22"/>
                <w:szCs w:val="22"/>
              </w:rPr>
            </w:pPr>
            <w:r w:rsidRPr="009A1A2B">
              <w:rPr>
                <w:rFonts w:asciiTheme="minorHAnsi" w:hAnsiTheme="minorHAnsi" w:cstheme="minorHAnsi"/>
                <w:sz w:val="22"/>
                <w:szCs w:val="22"/>
              </w:rPr>
              <w:t>2019 to 2020</w:t>
            </w:r>
          </w:p>
        </w:tc>
        <w:tc>
          <w:tcPr>
            <w:tcW w:w="2049" w:type="pct"/>
          </w:tcPr>
          <w:p w14:paraId="2AD02F8D"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75%</w:t>
            </w:r>
          </w:p>
        </w:tc>
        <w:tc>
          <w:tcPr>
            <w:tcW w:w="1869" w:type="pct"/>
          </w:tcPr>
          <w:p w14:paraId="0FBCF3FD" w14:textId="77777777" w:rsidR="00A572F6" w:rsidRPr="009A1A2B" w:rsidRDefault="00A572F6" w:rsidP="004D4A21">
            <w:pPr>
              <w:autoSpaceDE w:val="0"/>
              <w:autoSpaceDN w:val="0"/>
              <w:adjustRightInd w:val="0"/>
              <w:jc w:val="center"/>
              <w:rPr>
                <w:rFonts w:asciiTheme="minorHAnsi" w:hAnsiTheme="minorHAnsi" w:cstheme="minorHAnsi"/>
                <w:sz w:val="22"/>
                <w:szCs w:val="22"/>
              </w:rPr>
            </w:pPr>
            <w:r w:rsidRPr="009A1A2B">
              <w:rPr>
                <w:rFonts w:asciiTheme="minorHAnsi" w:hAnsiTheme="minorHAnsi" w:cstheme="minorHAnsi"/>
                <w:sz w:val="22"/>
                <w:szCs w:val="22"/>
              </w:rPr>
              <w:t>25%</w:t>
            </w:r>
          </w:p>
        </w:tc>
      </w:tr>
    </w:tbl>
    <w:p w14:paraId="576124C1" w14:textId="30DE14BD" w:rsidR="00BE7145" w:rsidRPr="009A1A2B" w:rsidRDefault="00A572F6" w:rsidP="009A1A2B">
      <w:pPr>
        <w:pStyle w:val="ListParagraph"/>
        <w:numPr>
          <w:ilvl w:val="0"/>
          <w:numId w:val="22"/>
        </w:numPr>
        <w:spacing w:after="100" w:afterAutospacing="1"/>
        <w:contextualSpacing w:val="0"/>
        <w:rPr>
          <w:rFonts w:asciiTheme="minorHAnsi" w:hAnsiTheme="minorHAnsi" w:cstheme="minorHAnsi"/>
          <w:sz w:val="22"/>
          <w:szCs w:val="18"/>
        </w:rPr>
      </w:pPr>
      <w:r w:rsidRPr="009A1A2B">
        <w:rPr>
          <w:rFonts w:asciiTheme="minorHAnsi" w:hAnsiTheme="minorHAnsi" w:cstheme="minorHAnsi"/>
          <w:sz w:val="22"/>
          <w:szCs w:val="18"/>
        </w:rPr>
        <w:t>Regional distribution excludes unknowns</w:t>
      </w:r>
    </w:p>
    <w:p w14:paraId="18C9FDD4" w14:textId="77777777" w:rsidR="00BE7145" w:rsidRDefault="00BE7145" w:rsidP="00CF4572">
      <w:pPr>
        <w:tabs>
          <w:tab w:val="left" w:pos="7839"/>
        </w:tabs>
        <w:rPr>
          <w:noProof/>
          <w:lang w:eastAsia="en-CA"/>
        </w:rPr>
        <w:sectPr w:rsidR="00BE7145" w:rsidSect="00CF4572">
          <w:pgSz w:w="15840" w:h="12240" w:orient="landscape"/>
          <w:pgMar w:top="1025" w:right="720" w:bottom="720" w:left="720" w:header="708" w:footer="708" w:gutter="0"/>
          <w:cols w:space="708"/>
          <w:titlePg/>
          <w:docGrid w:linePitch="360"/>
        </w:sectPr>
      </w:pPr>
    </w:p>
    <w:p w14:paraId="2DE56831" w14:textId="77777777" w:rsidR="008156C3" w:rsidRPr="008156C3" w:rsidRDefault="008156C3" w:rsidP="008156C3">
      <w:pPr>
        <w:pStyle w:val="Heading1"/>
        <w:spacing w:before="120"/>
        <w:rPr>
          <w:noProof/>
          <w:sz w:val="40"/>
          <w:szCs w:val="40"/>
          <w:lang w:val="fr-CA" w:eastAsia="en-CA"/>
        </w:rPr>
      </w:pPr>
      <w:r w:rsidRPr="008156C3">
        <w:rPr>
          <w:rFonts w:eastAsia="Times New Roman"/>
          <w:noProof/>
          <w:sz w:val="40"/>
          <w:szCs w:val="40"/>
          <w:lang w:eastAsia="en-CA"/>
        </w:rPr>
        <w:lastRenderedPageBreak/>
        <w:t>Staffing by process type</w:t>
      </w:r>
    </w:p>
    <w:p w14:paraId="0EC70307" w14:textId="77777777" w:rsidR="008156C3" w:rsidRDefault="00BE7145" w:rsidP="008156C3">
      <w:pPr>
        <w:keepNext/>
        <w:tabs>
          <w:tab w:val="left" w:pos="7839"/>
        </w:tabs>
        <w:jc w:val="center"/>
      </w:pPr>
      <w:r w:rsidRPr="00D43E1F">
        <w:rPr>
          <w:noProof/>
          <w:lang w:val="en-CA" w:eastAsia="en-CA"/>
        </w:rPr>
        <w:drawing>
          <wp:inline distT="0" distB="0" distL="0" distR="0" wp14:anchorId="4902F321" wp14:editId="72F53BA0">
            <wp:extent cx="5648400" cy="3049200"/>
            <wp:effectExtent l="0" t="0" r="9525" b="18415"/>
            <wp:docPr id="1" name="Chart 1" descr="Staffing by process type&#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AD12D8" w14:textId="65DCD1AB" w:rsidR="00BE7145" w:rsidRPr="008156C3" w:rsidRDefault="008156C3" w:rsidP="008156C3">
      <w:pPr>
        <w:pStyle w:val="Caption"/>
        <w:spacing w:after="0"/>
        <w:jc w:val="center"/>
        <w:rPr>
          <w:rFonts w:asciiTheme="minorHAnsi" w:hAnsiTheme="minorHAnsi" w:cstheme="minorHAnsi"/>
          <w:i w:val="0"/>
          <w:iCs w:val="0"/>
          <w:color w:val="auto"/>
        </w:rPr>
      </w:pPr>
      <w:r w:rsidRPr="008156C3">
        <w:rPr>
          <w:rFonts w:asciiTheme="minorHAnsi" w:hAnsiTheme="minorHAnsi" w:cstheme="minorHAnsi"/>
          <w:i w:val="0"/>
          <w:iCs w:val="0"/>
          <w:color w:val="auto"/>
        </w:rPr>
        <w:t xml:space="preserve">Figure </w:t>
      </w:r>
      <w:r w:rsidRPr="008156C3">
        <w:rPr>
          <w:rFonts w:asciiTheme="minorHAnsi" w:hAnsiTheme="minorHAnsi" w:cstheme="minorHAnsi"/>
          <w:i w:val="0"/>
          <w:iCs w:val="0"/>
          <w:color w:val="auto"/>
        </w:rPr>
        <w:fldChar w:fldCharType="begin"/>
      </w:r>
      <w:r w:rsidRPr="008156C3">
        <w:rPr>
          <w:rFonts w:asciiTheme="minorHAnsi" w:hAnsiTheme="minorHAnsi" w:cstheme="minorHAnsi"/>
          <w:i w:val="0"/>
          <w:iCs w:val="0"/>
          <w:color w:val="auto"/>
        </w:rPr>
        <w:instrText xml:space="preserve"> SEQ Figure \* ARABIC </w:instrText>
      </w:r>
      <w:r w:rsidRPr="008156C3">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7</w:t>
      </w:r>
      <w:r w:rsidRPr="008156C3">
        <w:rPr>
          <w:rFonts w:asciiTheme="minorHAnsi" w:hAnsiTheme="minorHAnsi" w:cstheme="minorHAnsi"/>
          <w:i w:val="0"/>
          <w:iCs w:val="0"/>
          <w:color w:val="auto"/>
        </w:rPr>
        <w:fldChar w:fldCharType="end"/>
      </w:r>
      <w:r w:rsidRPr="008156C3">
        <w:rPr>
          <w:rFonts w:asciiTheme="minorHAnsi" w:hAnsiTheme="minorHAnsi" w:cstheme="minorHAnsi"/>
          <w:i w:val="0"/>
          <w:iCs w:val="0"/>
          <w:color w:val="auto"/>
        </w:rPr>
        <w:t xml:space="preserve"> - Staffing by process type</w:t>
      </w:r>
    </w:p>
    <w:p w14:paraId="76014802" w14:textId="513CB943" w:rsidR="008156C3" w:rsidRPr="008156C3" w:rsidRDefault="008156C3" w:rsidP="008156C3">
      <w:pPr>
        <w:pStyle w:val="Caption"/>
        <w:keepNext/>
        <w:spacing w:before="240" w:after="0"/>
        <w:jc w:val="center"/>
        <w:rPr>
          <w:rFonts w:asciiTheme="minorHAnsi" w:hAnsiTheme="minorHAnsi" w:cstheme="minorHAnsi"/>
          <w:i w:val="0"/>
          <w:iCs w:val="0"/>
          <w:color w:val="auto"/>
        </w:rPr>
      </w:pPr>
      <w:r w:rsidRPr="008156C3">
        <w:rPr>
          <w:rFonts w:asciiTheme="minorHAnsi" w:hAnsiTheme="minorHAnsi" w:cstheme="minorHAnsi"/>
          <w:i w:val="0"/>
          <w:iCs w:val="0"/>
          <w:color w:val="auto"/>
        </w:rPr>
        <w:t xml:space="preserve">Table </w:t>
      </w:r>
      <w:r w:rsidRPr="008156C3">
        <w:rPr>
          <w:rFonts w:asciiTheme="minorHAnsi" w:hAnsiTheme="minorHAnsi" w:cstheme="minorHAnsi"/>
          <w:i w:val="0"/>
          <w:iCs w:val="0"/>
          <w:color w:val="auto"/>
        </w:rPr>
        <w:fldChar w:fldCharType="begin"/>
      </w:r>
      <w:r w:rsidRPr="008156C3">
        <w:rPr>
          <w:rFonts w:asciiTheme="minorHAnsi" w:hAnsiTheme="minorHAnsi" w:cstheme="minorHAnsi"/>
          <w:i w:val="0"/>
          <w:iCs w:val="0"/>
          <w:color w:val="auto"/>
        </w:rPr>
        <w:instrText xml:space="preserve"> SEQ Table \* ARABIC </w:instrText>
      </w:r>
      <w:r w:rsidRPr="008156C3">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11</w:t>
      </w:r>
      <w:r w:rsidRPr="008156C3">
        <w:rPr>
          <w:rFonts w:asciiTheme="minorHAnsi" w:hAnsiTheme="minorHAnsi" w:cstheme="minorHAnsi"/>
          <w:i w:val="0"/>
          <w:iCs w:val="0"/>
          <w:color w:val="auto"/>
        </w:rPr>
        <w:fldChar w:fldCharType="end"/>
      </w:r>
      <w:r w:rsidRPr="008156C3">
        <w:rPr>
          <w:rFonts w:asciiTheme="minorHAnsi" w:hAnsiTheme="minorHAnsi" w:cstheme="minorHAnsi"/>
          <w:i w:val="0"/>
          <w:iCs w:val="0"/>
          <w:color w:val="auto"/>
        </w:rPr>
        <w:t xml:space="preserve"> - Number and percentage of staffing activities by type of process and fiscal year</w:t>
      </w:r>
    </w:p>
    <w:tbl>
      <w:tblPr>
        <w:tblStyle w:val="TableGrid"/>
        <w:tblW w:w="5000" w:type="pct"/>
        <w:jc w:val="center"/>
        <w:tblLook w:val="0020" w:firstRow="1" w:lastRow="0" w:firstColumn="0" w:lastColumn="0" w:noHBand="0" w:noVBand="0"/>
        <w:tblCaption w:val="Staffing by process type"/>
        <w:tblDescription w:val="Staffing by process type from 2015 to 2020"/>
      </w:tblPr>
      <w:tblGrid>
        <w:gridCol w:w="1839"/>
        <w:gridCol w:w="4959"/>
        <w:gridCol w:w="3828"/>
        <w:gridCol w:w="3764"/>
      </w:tblGrid>
      <w:tr w:rsidR="008156C3" w:rsidRPr="008156C3" w14:paraId="0E3E0379" w14:textId="77777777" w:rsidTr="005A204A">
        <w:trPr>
          <w:cantSplit/>
          <w:trHeight w:val="290"/>
          <w:tblHeader/>
          <w:jc w:val="center"/>
        </w:trPr>
        <w:tc>
          <w:tcPr>
            <w:tcW w:w="639" w:type="pct"/>
          </w:tcPr>
          <w:p w14:paraId="59FC3E07" w14:textId="77777777" w:rsidR="00A572F6" w:rsidRPr="008156C3" w:rsidRDefault="00A572F6" w:rsidP="008156C3">
            <w:pPr>
              <w:pStyle w:val="TableTitle"/>
              <w:rPr>
                <w:color w:val="auto"/>
                <w:sz w:val="22"/>
                <w:szCs w:val="22"/>
              </w:rPr>
            </w:pPr>
            <w:r w:rsidRPr="008156C3">
              <w:rPr>
                <w:color w:val="auto"/>
                <w:sz w:val="22"/>
                <w:szCs w:val="22"/>
              </w:rPr>
              <w:t>Fiscal year</w:t>
            </w:r>
          </w:p>
        </w:tc>
        <w:tc>
          <w:tcPr>
            <w:tcW w:w="1723" w:type="pct"/>
          </w:tcPr>
          <w:p w14:paraId="3CE475F9" w14:textId="77777777" w:rsidR="00A572F6" w:rsidRPr="008156C3" w:rsidRDefault="00A572F6" w:rsidP="008156C3">
            <w:pPr>
              <w:pStyle w:val="TableTitle"/>
              <w:rPr>
                <w:color w:val="auto"/>
                <w:sz w:val="22"/>
                <w:szCs w:val="22"/>
              </w:rPr>
            </w:pPr>
            <w:r w:rsidRPr="008156C3">
              <w:rPr>
                <w:color w:val="auto"/>
                <w:sz w:val="22"/>
                <w:szCs w:val="22"/>
              </w:rPr>
              <w:t>Non-advertised processes (excludes unknowns)</w:t>
            </w:r>
          </w:p>
        </w:tc>
        <w:tc>
          <w:tcPr>
            <w:tcW w:w="1330" w:type="pct"/>
          </w:tcPr>
          <w:p w14:paraId="238EACB9" w14:textId="77777777" w:rsidR="00A572F6" w:rsidRPr="008156C3" w:rsidRDefault="00A572F6" w:rsidP="008156C3">
            <w:pPr>
              <w:pStyle w:val="TableTitle"/>
              <w:rPr>
                <w:color w:val="auto"/>
                <w:sz w:val="22"/>
                <w:szCs w:val="22"/>
              </w:rPr>
            </w:pPr>
            <w:r w:rsidRPr="008156C3">
              <w:rPr>
                <w:color w:val="auto"/>
                <w:sz w:val="22"/>
                <w:szCs w:val="22"/>
              </w:rPr>
              <w:t>Advertised processes</w:t>
            </w:r>
          </w:p>
        </w:tc>
        <w:tc>
          <w:tcPr>
            <w:tcW w:w="1308" w:type="pct"/>
          </w:tcPr>
          <w:p w14:paraId="3384F1D3" w14:textId="77777777" w:rsidR="00A572F6" w:rsidRPr="008156C3" w:rsidRDefault="00A572F6" w:rsidP="008156C3">
            <w:pPr>
              <w:pStyle w:val="TableTitle"/>
              <w:rPr>
                <w:color w:val="auto"/>
                <w:sz w:val="22"/>
                <w:szCs w:val="22"/>
              </w:rPr>
            </w:pPr>
            <w:r w:rsidRPr="008156C3">
              <w:rPr>
                <w:color w:val="auto"/>
                <w:sz w:val="22"/>
                <w:szCs w:val="22"/>
              </w:rPr>
              <w:t>% of Non- advertised processes</w:t>
            </w:r>
          </w:p>
        </w:tc>
      </w:tr>
      <w:tr w:rsidR="00A572F6" w:rsidRPr="008156C3" w14:paraId="0C3757F7" w14:textId="77777777" w:rsidTr="005A204A">
        <w:trPr>
          <w:cantSplit/>
          <w:trHeight w:val="290"/>
          <w:tblHeader/>
          <w:jc w:val="center"/>
        </w:trPr>
        <w:tc>
          <w:tcPr>
            <w:tcW w:w="639" w:type="pct"/>
          </w:tcPr>
          <w:p w14:paraId="7C17E7EF" w14:textId="77777777" w:rsidR="00A572F6" w:rsidRPr="008156C3" w:rsidRDefault="00A572F6" w:rsidP="004D4A21">
            <w:pPr>
              <w:autoSpaceDE w:val="0"/>
              <w:autoSpaceDN w:val="0"/>
              <w:adjustRightInd w:val="0"/>
              <w:rPr>
                <w:rFonts w:asciiTheme="minorHAnsi" w:hAnsiTheme="minorHAnsi" w:cstheme="minorHAnsi"/>
                <w:color w:val="000000"/>
                <w:sz w:val="22"/>
                <w:szCs w:val="22"/>
              </w:rPr>
            </w:pPr>
            <w:r w:rsidRPr="008156C3">
              <w:rPr>
                <w:rFonts w:asciiTheme="minorHAnsi" w:hAnsiTheme="minorHAnsi" w:cstheme="minorHAnsi"/>
                <w:color w:val="000000"/>
                <w:sz w:val="22"/>
                <w:szCs w:val="22"/>
              </w:rPr>
              <w:t xml:space="preserve">2015 to 2016 </w:t>
            </w:r>
          </w:p>
        </w:tc>
        <w:tc>
          <w:tcPr>
            <w:tcW w:w="1723" w:type="pct"/>
          </w:tcPr>
          <w:p w14:paraId="3C29B7C2"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137</w:t>
            </w:r>
          </w:p>
        </w:tc>
        <w:tc>
          <w:tcPr>
            <w:tcW w:w="1330" w:type="pct"/>
          </w:tcPr>
          <w:p w14:paraId="277B51BD"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379</w:t>
            </w:r>
          </w:p>
        </w:tc>
        <w:tc>
          <w:tcPr>
            <w:tcW w:w="1308" w:type="pct"/>
          </w:tcPr>
          <w:p w14:paraId="40FB8558"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27%</w:t>
            </w:r>
          </w:p>
        </w:tc>
      </w:tr>
      <w:tr w:rsidR="00A572F6" w:rsidRPr="008156C3" w14:paraId="5BCF1C32" w14:textId="77777777" w:rsidTr="005A204A">
        <w:trPr>
          <w:cantSplit/>
          <w:trHeight w:val="290"/>
          <w:tblHeader/>
          <w:jc w:val="center"/>
        </w:trPr>
        <w:tc>
          <w:tcPr>
            <w:tcW w:w="639" w:type="pct"/>
          </w:tcPr>
          <w:p w14:paraId="42364DC9" w14:textId="77777777" w:rsidR="00A572F6" w:rsidRPr="008156C3" w:rsidRDefault="00A572F6" w:rsidP="004D4A21">
            <w:pPr>
              <w:autoSpaceDE w:val="0"/>
              <w:autoSpaceDN w:val="0"/>
              <w:adjustRightInd w:val="0"/>
              <w:rPr>
                <w:rFonts w:asciiTheme="minorHAnsi" w:hAnsiTheme="minorHAnsi" w:cstheme="minorHAnsi"/>
                <w:color w:val="000000"/>
                <w:sz w:val="22"/>
                <w:szCs w:val="22"/>
              </w:rPr>
            </w:pPr>
            <w:r w:rsidRPr="008156C3">
              <w:rPr>
                <w:rFonts w:asciiTheme="minorHAnsi" w:hAnsiTheme="minorHAnsi" w:cstheme="minorHAnsi"/>
                <w:color w:val="000000"/>
                <w:sz w:val="22"/>
                <w:szCs w:val="22"/>
              </w:rPr>
              <w:t>2016 to 2017</w:t>
            </w:r>
          </w:p>
        </w:tc>
        <w:tc>
          <w:tcPr>
            <w:tcW w:w="1723" w:type="pct"/>
          </w:tcPr>
          <w:p w14:paraId="3852F48F"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161</w:t>
            </w:r>
          </w:p>
        </w:tc>
        <w:tc>
          <w:tcPr>
            <w:tcW w:w="1330" w:type="pct"/>
          </w:tcPr>
          <w:p w14:paraId="617CD1F0"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396</w:t>
            </w:r>
          </w:p>
        </w:tc>
        <w:tc>
          <w:tcPr>
            <w:tcW w:w="1308" w:type="pct"/>
          </w:tcPr>
          <w:p w14:paraId="0C8EC2AD"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29%</w:t>
            </w:r>
          </w:p>
        </w:tc>
      </w:tr>
      <w:tr w:rsidR="00A572F6" w:rsidRPr="008156C3" w14:paraId="7CD2D081" w14:textId="77777777" w:rsidTr="005A204A">
        <w:trPr>
          <w:cantSplit/>
          <w:trHeight w:val="290"/>
          <w:tblHeader/>
          <w:jc w:val="center"/>
        </w:trPr>
        <w:tc>
          <w:tcPr>
            <w:tcW w:w="639" w:type="pct"/>
          </w:tcPr>
          <w:p w14:paraId="33799098" w14:textId="77777777" w:rsidR="00A572F6" w:rsidRPr="008156C3" w:rsidRDefault="00A572F6" w:rsidP="004D4A21">
            <w:pPr>
              <w:autoSpaceDE w:val="0"/>
              <w:autoSpaceDN w:val="0"/>
              <w:adjustRightInd w:val="0"/>
              <w:rPr>
                <w:rFonts w:asciiTheme="minorHAnsi" w:hAnsiTheme="minorHAnsi" w:cstheme="minorHAnsi"/>
                <w:color w:val="000000"/>
                <w:sz w:val="22"/>
                <w:szCs w:val="22"/>
              </w:rPr>
            </w:pPr>
            <w:r w:rsidRPr="008156C3">
              <w:rPr>
                <w:rFonts w:asciiTheme="minorHAnsi" w:hAnsiTheme="minorHAnsi" w:cstheme="minorHAnsi"/>
                <w:color w:val="000000"/>
                <w:sz w:val="22"/>
                <w:szCs w:val="22"/>
              </w:rPr>
              <w:t>2017 to 2018</w:t>
            </w:r>
          </w:p>
        </w:tc>
        <w:tc>
          <w:tcPr>
            <w:tcW w:w="1723" w:type="pct"/>
          </w:tcPr>
          <w:p w14:paraId="59ACD64F"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359</w:t>
            </w:r>
          </w:p>
        </w:tc>
        <w:tc>
          <w:tcPr>
            <w:tcW w:w="1330" w:type="pct"/>
          </w:tcPr>
          <w:p w14:paraId="56A66C4A"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374</w:t>
            </w:r>
          </w:p>
        </w:tc>
        <w:tc>
          <w:tcPr>
            <w:tcW w:w="1308" w:type="pct"/>
          </w:tcPr>
          <w:p w14:paraId="499539AF"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49%</w:t>
            </w:r>
          </w:p>
        </w:tc>
      </w:tr>
      <w:tr w:rsidR="00A572F6" w:rsidRPr="008156C3" w14:paraId="6B763183" w14:textId="77777777" w:rsidTr="005A204A">
        <w:trPr>
          <w:cantSplit/>
          <w:trHeight w:val="290"/>
          <w:tblHeader/>
          <w:jc w:val="center"/>
        </w:trPr>
        <w:tc>
          <w:tcPr>
            <w:tcW w:w="639" w:type="pct"/>
          </w:tcPr>
          <w:p w14:paraId="3E95CE36" w14:textId="77777777" w:rsidR="00A572F6" w:rsidRPr="008156C3" w:rsidRDefault="00A572F6" w:rsidP="004D4A21">
            <w:pPr>
              <w:autoSpaceDE w:val="0"/>
              <w:autoSpaceDN w:val="0"/>
              <w:adjustRightInd w:val="0"/>
              <w:rPr>
                <w:rFonts w:asciiTheme="minorHAnsi" w:hAnsiTheme="minorHAnsi" w:cstheme="minorHAnsi"/>
                <w:color w:val="000000"/>
                <w:sz w:val="22"/>
                <w:szCs w:val="22"/>
              </w:rPr>
            </w:pPr>
            <w:r w:rsidRPr="008156C3">
              <w:rPr>
                <w:rFonts w:asciiTheme="minorHAnsi" w:hAnsiTheme="minorHAnsi" w:cstheme="minorHAnsi"/>
                <w:color w:val="000000"/>
                <w:sz w:val="22"/>
                <w:szCs w:val="22"/>
              </w:rPr>
              <w:t>2018 to 2019</w:t>
            </w:r>
          </w:p>
        </w:tc>
        <w:tc>
          <w:tcPr>
            <w:tcW w:w="1723" w:type="pct"/>
          </w:tcPr>
          <w:p w14:paraId="1414D672"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431</w:t>
            </w:r>
          </w:p>
        </w:tc>
        <w:tc>
          <w:tcPr>
            <w:tcW w:w="1330" w:type="pct"/>
          </w:tcPr>
          <w:p w14:paraId="7E738B4F"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461</w:t>
            </w:r>
          </w:p>
        </w:tc>
        <w:tc>
          <w:tcPr>
            <w:tcW w:w="1308" w:type="pct"/>
          </w:tcPr>
          <w:p w14:paraId="31B442DF"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48%</w:t>
            </w:r>
          </w:p>
        </w:tc>
      </w:tr>
      <w:tr w:rsidR="00A572F6" w:rsidRPr="008156C3" w14:paraId="6B137738" w14:textId="77777777" w:rsidTr="005A204A">
        <w:trPr>
          <w:cantSplit/>
          <w:trHeight w:val="290"/>
          <w:tblHeader/>
          <w:jc w:val="center"/>
        </w:trPr>
        <w:tc>
          <w:tcPr>
            <w:tcW w:w="639" w:type="pct"/>
          </w:tcPr>
          <w:p w14:paraId="305659E3" w14:textId="77777777" w:rsidR="00A572F6" w:rsidRPr="008156C3" w:rsidRDefault="00A572F6" w:rsidP="004D4A21">
            <w:pPr>
              <w:autoSpaceDE w:val="0"/>
              <w:autoSpaceDN w:val="0"/>
              <w:adjustRightInd w:val="0"/>
              <w:rPr>
                <w:rFonts w:asciiTheme="minorHAnsi" w:hAnsiTheme="minorHAnsi" w:cstheme="minorHAnsi"/>
                <w:color w:val="000000"/>
                <w:sz w:val="22"/>
                <w:szCs w:val="22"/>
              </w:rPr>
            </w:pPr>
            <w:r w:rsidRPr="008156C3">
              <w:rPr>
                <w:rFonts w:asciiTheme="minorHAnsi" w:hAnsiTheme="minorHAnsi" w:cstheme="minorHAnsi"/>
                <w:color w:val="000000"/>
                <w:sz w:val="22"/>
                <w:szCs w:val="22"/>
              </w:rPr>
              <w:t>2019 to 2020</w:t>
            </w:r>
          </w:p>
        </w:tc>
        <w:tc>
          <w:tcPr>
            <w:tcW w:w="1723" w:type="pct"/>
          </w:tcPr>
          <w:p w14:paraId="7BC3377F"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388</w:t>
            </w:r>
          </w:p>
        </w:tc>
        <w:tc>
          <w:tcPr>
            <w:tcW w:w="1330" w:type="pct"/>
          </w:tcPr>
          <w:p w14:paraId="0B3501C5"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465</w:t>
            </w:r>
          </w:p>
        </w:tc>
        <w:tc>
          <w:tcPr>
            <w:tcW w:w="1308" w:type="pct"/>
          </w:tcPr>
          <w:p w14:paraId="0B919526" w14:textId="77777777" w:rsidR="00A572F6" w:rsidRPr="008156C3" w:rsidRDefault="00A572F6" w:rsidP="004D4A21">
            <w:pPr>
              <w:autoSpaceDE w:val="0"/>
              <w:autoSpaceDN w:val="0"/>
              <w:adjustRightInd w:val="0"/>
              <w:jc w:val="center"/>
              <w:rPr>
                <w:rFonts w:asciiTheme="minorHAnsi" w:hAnsiTheme="minorHAnsi" w:cstheme="minorHAnsi"/>
                <w:color w:val="000000"/>
                <w:sz w:val="22"/>
                <w:szCs w:val="22"/>
              </w:rPr>
            </w:pPr>
            <w:r w:rsidRPr="008156C3">
              <w:rPr>
                <w:rFonts w:asciiTheme="minorHAnsi" w:hAnsiTheme="minorHAnsi" w:cstheme="minorHAnsi"/>
                <w:color w:val="000000"/>
                <w:sz w:val="22"/>
                <w:szCs w:val="22"/>
              </w:rPr>
              <w:t>45%</w:t>
            </w:r>
          </w:p>
        </w:tc>
      </w:tr>
    </w:tbl>
    <w:p w14:paraId="64D183D2" w14:textId="77777777" w:rsidR="00A572F6" w:rsidRPr="008156C3" w:rsidRDefault="00A572F6" w:rsidP="00A572F6">
      <w:pPr>
        <w:pStyle w:val="ListParagraph"/>
        <w:numPr>
          <w:ilvl w:val="0"/>
          <w:numId w:val="23"/>
        </w:numPr>
        <w:spacing w:after="100" w:afterAutospacing="1"/>
        <w:contextualSpacing w:val="0"/>
        <w:rPr>
          <w:rFonts w:asciiTheme="minorHAnsi" w:hAnsiTheme="minorHAnsi" w:cstheme="minorHAnsi"/>
          <w:sz w:val="22"/>
          <w:szCs w:val="18"/>
        </w:rPr>
      </w:pPr>
      <w:r w:rsidRPr="008156C3">
        <w:rPr>
          <w:rFonts w:asciiTheme="minorHAnsi" w:hAnsiTheme="minorHAnsi" w:cstheme="minorHAnsi"/>
          <w:sz w:val="22"/>
          <w:szCs w:val="18"/>
        </w:rPr>
        <w:t>Includes indeterminate and specified term appointments</w:t>
      </w:r>
    </w:p>
    <w:p w14:paraId="54BAFF75" w14:textId="77777777" w:rsidR="00A572F6" w:rsidRPr="008156C3" w:rsidRDefault="00A572F6" w:rsidP="00A572F6">
      <w:pPr>
        <w:pStyle w:val="ListParagraph"/>
        <w:numPr>
          <w:ilvl w:val="0"/>
          <w:numId w:val="23"/>
        </w:numPr>
        <w:spacing w:before="100" w:beforeAutospacing="1" w:after="100" w:afterAutospacing="1"/>
        <w:contextualSpacing w:val="0"/>
        <w:rPr>
          <w:rFonts w:asciiTheme="minorHAnsi" w:hAnsiTheme="minorHAnsi" w:cstheme="minorHAnsi"/>
          <w:sz w:val="22"/>
          <w:szCs w:val="18"/>
        </w:rPr>
      </w:pPr>
      <w:r w:rsidRPr="008156C3">
        <w:rPr>
          <w:rFonts w:asciiTheme="minorHAnsi" w:hAnsiTheme="minorHAnsi" w:cstheme="minorHAnsi"/>
          <w:sz w:val="22"/>
          <w:szCs w:val="18"/>
        </w:rPr>
        <w:t>Excludes lateral and downward movements, deployments and acting appointments of less than 4 months</w:t>
      </w:r>
    </w:p>
    <w:p w14:paraId="01F26463" w14:textId="65FFC0E0" w:rsidR="00BE7145" w:rsidRPr="008156C3" w:rsidRDefault="00A572F6" w:rsidP="008156C3">
      <w:pPr>
        <w:pStyle w:val="ListParagraph"/>
        <w:numPr>
          <w:ilvl w:val="0"/>
          <w:numId w:val="23"/>
        </w:numPr>
        <w:spacing w:before="100" w:beforeAutospacing="1" w:after="100" w:afterAutospacing="1"/>
        <w:contextualSpacing w:val="0"/>
        <w:rPr>
          <w:rFonts w:asciiTheme="minorHAnsi" w:hAnsiTheme="minorHAnsi" w:cstheme="minorHAnsi"/>
          <w:sz w:val="22"/>
          <w:szCs w:val="18"/>
        </w:rPr>
      </w:pPr>
      <w:r w:rsidRPr="008156C3">
        <w:rPr>
          <w:rFonts w:asciiTheme="minorHAnsi" w:hAnsiTheme="minorHAnsi" w:cstheme="minorHAnsi"/>
          <w:sz w:val="22"/>
          <w:szCs w:val="18"/>
        </w:rPr>
        <w:t>Includes only appointments where the staffing process type is known (62% to 76% of appointments)</w:t>
      </w:r>
    </w:p>
    <w:p w14:paraId="11DFC6FF" w14:textId="77777777" w:rsidR="00BE7145" w:rsidRDefault="00BE7145" w:rsidP="00CF4572">
      <w:pPr>
        <w:tabs>
          <w:tab w:val="left" w:pos="7839"/>
        </w:tabs>
        <w:sectPr w:rsidR="00BE7145" w:rsidSect="00CF4572">
          <w:pgSz w:w="15840" w:h="12240" w:orient="landscape"/>
          <w:pgMar w:top="1025" w:right="720" w:bottom="720" w:left="720" w:header="708" w:footer="708" w:gutter="0"/>
          <w:cols w:space="708"/>
          <w:titlePg/>
          <w:docGrid w:linePitch="360"/>
        </w:sectPr>
      </w:pPr>
    </w:p>
    <w:p w14:paraId="11BA7312" w14:textId="77777777" w:rsidR="008156C3" w:rsidRPr="008156C3" w:rsidRDefault="008156C3" w:rsidP="008156C3">
      <w:pPr>
        <w:pStyle w:val="Heading1"/>
        <w:spacing w:before="120"/>
        <w:rPr>
          <w:sz w:val="40"/>
          <w:szCs w:val="40"/>
          <w:lang w:val="fr-CA"/>
        </w:rPr>
      </w:pPr>
      <w:r w:rsidRPr="008156C3">
        <w:rPr>
          <w:rFonts w:eastAsia="Times New Roman"/>
          <w:sz w:val="40"/>
          <w:szCs w:val="40"/>
        </w:rPr>
        <w:lastRenderedPageBreak/>
        <w:t>Staffing by appointment type</w:t>
      </w:r>
    </w:p>
    <w:p w14:paraId="4EEBC06F" w14:textId="77777777" w:rsidR="008156C3" w:rsidRDefault="00CF4572" w:rsidP="008156C3">
      <w:pPr>
        <w:keepNext/>
        <w:jc w:val="center"/>
      </w:pPr>
      <w:r w:rsidRPr="00D43E1F">
        <w:rPr>
          <w:noProof/>
          <w:lang w:val="en-CA" w:eastAsia="en-CA"/>
        </w:rPr>
        <w:drawing>
          <wp:inline distT="0" distB="0" distL="0" distR="0" wp14:anchorId="402E9868" wp14:editId="2BB0B4B1">
            <wp:extent cx="5648400" cy="3049200"/>
            <wp:effectExtent l="0" t="0" r="9525" b="18415"/>
            <wp:docPr id="9" name="Chart 9" descr="Staffing by appointment typ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3BBBC40" w14:textId="5E4BB275" w:rsidR="00CF4572" w:rsidRPr="008156C3" w:rsidRDefault="008156C3" w:rsidP="008156C3">
      <w:pPr>
        <w:pStyle w:val="Caption"/>
        <w:spacing w:after="0"/>
        <w:jc w:val="center"/>
        <w:rPr>
          <w:rFonts w:asciiTheme="minorHAnsi" w:hAnsiTheme="minorHAnsi" w:cstheme="minorHAnsi"/>
          <w:i w:val="0"/>
          <w:iCs w:val="0"/>
          <w:color w:val="auto"/>
        </w:rPr>
      </w:pPr>
      <w:r w:rsidRPr="008156C3">
        <w:rPr>
          <w:rFonts w:asciiTheme="minorHAnsi" w:hAnsiTheme="minorHAnsi" w:cstheme="minorHAnsi"/>
          <w:i w:val="0"/>
          <w:iCs w:val="0"/>
          <w:color w:val="auto"/>
        </w:rPr>
        <w:t xml:space="preserve">Figure </w:t>
      </w:r>
      <w:r w:rsidRPr="008156C3">
        <w:rPr>
          <w:rFonts w:asciiTheme="minorHAnsi" w:hAnsiTheme="minorHAnsi" w:cstheme="minorHAnsi"/>
          <w:i w:val="0"/>
          <w:iCs w:val="0"/>
          <w:color w:val="auto"/>
        </w:rPr>
        <w:fldChar w:fldCharType="begin"/>
      </w:r>
      <w:r w:rsidRPr="008156C3">
        <w:rPr>
          <w:rFonts w:asciiTheme="minorHAnsi" w:hAnsiTheme="minorHAnsi" w:cstheme="minorHAnsi"/>
          <w:i w:val="0"/>
          <w:iCs w:val="0"/>
          <w:color w:val="auto"/>
        </w:rPr>
        <w:instrText xml:space="preserve"> SEQ Figure \* ARABIC </w:instrText>
      </w:r>
      <w:r w:rsidRPr="008156C3">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8</w:t>
      </w:r>
      <w:r w:rsidRPr="008156C3">
        <w:rPr>
          <w:rFonts w:asciiTheme="minorHAnsi" w:hAnsiTheme="minorHAnsi" w:cstheme="minorHAnsi"/>
          <w:i w:val="0"/>
          <w:iCs w:val="0"/>
          <w:color w:val="auto"/>
        </w:rPr>
        <w:fldChar w:fldCharType="end"/>
      </w:r>
      <w:r w:rsidRPr="008156C3">
        <w:rPr>
          <w:rFonts w:asciiTheme="minorHAnsi" w:hAnsiTheme="minorHAnsi" w:cstheme="minorHAnsi"/>
          <w:i w:val="0"/>
          <w:iCs w:val="0"/>
          <w:color w:val="auto"/>
        </w:rPr>
        <w:t xml:space="preserve"> - Staffing by appointment type</w:t>
      </w:r>
    </w:p>
    <w:p w14:paraId="2017295F" w14:textId="0AB17B67" w:rsidR="008156C3" w:rsidRPr="008156C3" w:rsidRDefault="008156C3" w:rsidP="008156C3">
      <w:pPr>
        <w:pStyle w:val="Caption"/>
        <w:keepNext/>
        <w:spacing w:before="240" w:after="0"/>
        <w:jc w:val="center"/>
        <w:rPr>
          <w:rFonts w:asciiTheme="minorHAnsi" w:hAnsiTheme="minorHAnsi" w:cstheme="minorHAnsi"/>
          <w:i w:val="0"/>
          <w:iCs w:val="0"/>
          <w:color w:val="auto"/>
        </w:rPr>
      </w:pPr>
      <w:r w:rsidRPr="008156C3">
        <w:rPr>
          <w:rFonts w:asciiTheme="minorHAnsi" w:hAnsiTheme="minorHAnsi" w:cstheme="minorHAnsi"/>
          <w:i w:val="0"/>
          <w:iCs w:val="0"/>
          <w:color w:val="auto"/>
        </w:rPr>
        <w:t xml:space="preserve">Table </w:t>
      </w:r>
      <w:r w:rsidRPr="008156C3">
        <w:rPr>
          <w:rFonts w:asciiTheme="minorHAnsi" w:hAnsiTheme="minorHAnsi" w:cstheme="minorHAnsi"/>
          <w:i w:val="0"/>
          <w:iCs w:val="0"/>
          <w:color w:val="auto"/>
        </w:rPr>
        <w:fldChar w:fldCharType="begin"/>
      </w:r>
      <w:r w:rsidRPr="008156C3">
        <w:rPr>
          <w:rFonts w:asciiTheme="minorHAnsi" w:hAnsiTheme="minorHAnsi" w:cstheme="minorHAnsi"/>
          <w:i w:val="0"/>
          <w:iCs w:val="0"/>
          <w:color w:val="auto"/>
        </w:rPr>
        <w:instrText xml:space="preserve"> SEQ Table \* ARABIC </w:instrText>
      </w:r>
      <w:r w:rsidRPr="008156C3">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12</w:t>
      </w:r>
      <w:r w:rsidRPr="008156C3">
        <w:rPr>
          <w:rFonts w:asciiTheme="minorHAnsi" w:hAnsiTheme="minorHAnsi" w:cstheme="minorHAnsi"/>
          <w:i w:val="0"/>
          <w:iCs w:val="0"/>
          <w:color w:val="auto"/>
        </w:rPr>
        <w:fldChar w:fldCharType="end"/>
      </w:r>
      <w:r w:rsidRPr="008156C3">
        <w:rPr>
          <w:rFonts w:asciiTheme="minorHAnsi" w:hAnsiTheme="minorHAnsi" w:cstheme="minorHAnsi"/>
          <w:i w:val="0"/>
          <w:iCs w:val="0"/>
          <w:color w:val="auto"/>
        </w:rPr>
        <w:t xml:space="preserve"> - Staffing activities by appointment type and fiscal year</w:t>
      </w:r>
    </w:p>
    <w:tbl>
      <w:tblPr>
        <w:tblStyle w:val="TableGrid"/>
        <w:tblW w:w="5000" w:type="pct"/>
        <w:jc w:val="center"/>
        <w:tblLook w:val="0020" w:firstRow="1" w:lastRow="0" w:firstColumn="0" w:lastColumn="0" w:noHBand="0" w:noVBand="0"/>
        <w:tblDescription w:val="Staffing by appointment type from 2015 to 2020"/>
      </w:tblPr>
      <w:tblGrid>
        <w:gridCol w:w="1554"/>
        <w:gridCol w:w="1701"/>
        <w:gridCol w:w="2553"/>
        <w:gridCol w:w="3543"/>
        <w:gridCol w:w="3701"/>
        <w:gridCol w:w="1338"/>
      </w:tblGrid>
      <w:tr w:rsidR="008156C3" w:rsidRPr="008156C3" w14:paraId="1A43BEDA" w14:textId="77777777" w:rsidTr="005A204A">
        <w:trPr>
          <w:cantSplit/>
          <w:tblHeader/>
          <w:jc w:val="center"/>
        </w:trPr>
        <w:tc>
          <w:tcPr>
            <w:tcW w:w="540" w:type="pct"/>
          </w:tcPr>
          <w:p w14:paraId="45C17055" w14:textId="77777777" w:rsidR="00C066B6" w:rsidRPr="008156C3" w:rsidRDefault="00C066B6" w:rsidP="008156C3">
            <w:pPr>
              <w:pStyle w:val="TableTitle"/>
              <w:rPr>
                <w:color w:val="auto"/>
                <w:sz w:val="22"/>
                <w:szCs w:val="22"/>
              </w:rPr>
            </w:pPr>
            <w:r w:rsidRPr="008156C3">
              <w:rPr>
                <w:color w:val="auto"/>
                <w:sz w:val="22"/>
                <w:szCs w:val="22"/>
              </w:rPr>
              <w:t>Fiscal year</w:t>
            </w:r>
          </w:p>
        </w:tc>
        <w:tc>
          <w:tcPr>
            <w:tcW w:w="591" w:type="pct"/>
          </w:tcPr>
          <w:p w14:paraId="28FF49A4" w14:textId="77777777" w:rsidR="00C066B6" w:rsidRPr="008156C3" w:rsidRDefault="00C066B6" w:rsidP="008156C3">
            <w:pPr>
              <w:pStyle w:val="TableTitle"/>
              <w:rPr>
                <w:color w:val="auto"/>
                <w:sz w:val="22"/>
                <w:szCs w:val="22"/>
              </w:rPr>
            </w:pPr>
            <w:r w:rsidRPr="008156C3">
              <w:rPr>
                <w:color w:val="auto"/>
                <w:sz w:val="22"/>
                <w:szCs w:val="22"/>
              </w:rPr>
              <w:t>Promotions</w:t>
            </w:r>
          </w:p>
        </w:tc>
        <w:tc>
          <w:tcPr>
            <w:tcW w:w="887" w:type="pct"/>
          </w:tcPr>
          <w:p w14:paraId="64B8ED78" w14:textId="77777777" w:rsidR="00C066B6" w:rsidRPr="008156C3" w:rsidRDefault="00C066B6" w:rsidP="008156C3">
            <w:pPr>
              <w:pStyle w:val="TableTitle"/>
              <w:rPr>
                <w:color w:val="auto"/>
                <w:sz w:val="22"/>
                <w:szCs w:val="22"/>
              </w:rPr>
            </w:pPr>
            <w:r w:rsidRPr="008156C3">
              <w:rPr>
                <w:color w:val="auto"/>
                <w:sz w:val="22"/>
                <w:szCs w:val="22"/>
              </w:rPr>
              <w:t>Lateral and downward movements</w:t>
            </w:r>
          </w:p>
        </w:tc>
        <w:tc>
          <w:tcPr>
            <w:tcW w:w="1231" w:type="pct"/>
          </w:tcPr>
          <w:p w14:paraId="257B0D15" w14:textId="77777777" w:rsidR="00C066B6" w:rsidRPr="008156C3" w:rsidRDefault="00C066B6" w:rsidP="008156C3">
            <w:pPr>
              <w:pStyle w:val="TableTitle"/>
              <w:rPr>
                <w:color w:val="auto"/>
                <w:sz w:val="22"/>
                <w:szCs w:val="22"/>
              </w:rPr>
            </w:pPr>
            <w:r w:rsidRPr="008156C3">
              <w:rPr>
                <w:color w:val="auto"/>
                <w:sz w:val="22"/>
                <w:szCs w:val="22"/>
              </w:rPr>
              <w:t>Appointments to the public service (includes casuals and students)</w:t>
            </w:r>
          </w:p>
        </w:tc>
        <w:tc>
          <w:tcPr>
            <w:tcW w:w="1286" w:type="pct"/>
          </w:tcPr>
          <w:p w14:paraId="7CB19519" w14:textId="77777777" w:rsidR="00C066B6" w:rsidRPr="008156C3" w:rsidRDefault="00C066B6" w:rsidP="008156C3">
            <w:pPr>
              <w:pStyle w:val="TableTitle"/>
              <w:rPr>
                <w:color w:val="auto"/>
                <w:sz w:val="22"/>
                <w:szCs w:val="22"/>
              </w:rPr>
            </w:pPr>
            <w:r w:rsidRPr="008156C3">
              <w:rPr>
                <w:color w:val="auto"/>
                <w:sz w:val="22"/>
                <w:szCs w:val="22"/>
              </w:rPr>
              <w:t>Acting appointments (excludes appointments of less than 4 months)</w:t>
            </w:r>
          </w:p>
        </w:tc>
        <w:tc>
          <w:tcPr>
            <w:tcW w:w="465" w:type="pct"/>
          </w:tcPr>
          <w:p w14:paraId="43B1E24F" w14:textId="77777777" w:rsidR="00C066B6" w:rsidRPr="008156C3" w:rsidRDefault="00C066B6" w:rsidP="008156C3">
            <w:pPr>
              <w:pStyle w:val="TableTitle"/>
              <w:rPr>
                <w:color w:val="auto"/>
                <w:sz w:val="22"/>
                <w:szCs w:val="22"/>
              </w:rPr>
            </w:pPr>
            <w:r w:rsidRPr="008156C3">
              <w:rPr>
                <w:color w:val="auto"/>
                <w:sz w:val="22"/>
                <w:szCs w:val="22"/>
              </w:rPr>
              <w:t>Total</w:t>
            </w:r>
          </w:p>
        </w:tc>
      </w:tr>
      <w:tr w:rsidR="008156C3" w:rsidRPr="008156C3" w14:paraId="0E7300BA" w14:textId="77777777" w:rsidTr="005A204A">
        <w:trPr>
          <w:cantSplit/>
          <w:tblHeader/>
          <w:jc w:val="center"/>
        </w:trPr>
        <w:tc>
          <w:tcPr>
            <w:tcW w:w="540" w:type="pct"/>
          </w:tcPr>
          <w:p w14:paraId="33FD75FB"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2015 to 2016</w:t>
            </w:r>
          </w:p>
        </w:tc>
        <w:tc>
          <w:tcPr>
            <w:tcW w:w="591" w:type="pct"/>
          </w:tcPr>
          <w:p w14:paraId="1DA3EE49"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302</w:t>
            </w:r>
          </w:p>
        </w:tc>
        <w:tc>
          <w:tcPr>
            <w:tcW w:w="887" w:type="pct"/>
          </w:tcPr>
          <w:p w14:paraId="34F920AA"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233</w:t>
            </w:r>
          </w:p>
        </w:tc>
        <w:tc>
          <w:tcPr>
            <w:tcW w:w="1231" w:type="pct"/>
          </w:tcPr>
          <w:p w14:paraId="5466F1CC"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1 415</w:t>
            </w:r>
          </w:p>
        </w:tc>
        <w:tc>
          <w:tcPr>
            <w:tcW w:w="1286" w:type="pct"/>
          </w:tcPr>
          <w:p w14:paraId="0C57095C"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213</w:t>
            </w:r>
          </w:p>
        </w:tc>
        <w:tc>
          <w:tcPr>
            <w:tcW w:w="465" w:type="pct"/>
          </w:tcPr>
          <w:p w14:paraId="020ED7A2"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2 163</w:t>
            </w:r>
          </w:p>
        </w:tc>
      </w:tr>
      <w:tr w:rsidR="008156C3" w:rsidRPr="008156C3" w14:paraId="62622B16" w14:textId="77777777" w:rsidTr="005A204A">
        <w:trPr>
          <w:cantSplit/>
          <w:tblHeader/>
          <w:jc w:val="center"/>
        </w:trPr>
        <w:tc>
          <w:tcPr>
            <w:tcW w:w="540" w:type="pct"/>
          </w:tcPr>
          <w:p w14:paraId="6CEF8CC1"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 xml:space="preserve">2016 to 2017 </w:t>
            </w:r>
          </w:p>
        </w:tc>
        <w:tc>
          <w:tcPr>
            <w:tcW w:w="591" w:type="pct"/>
          </w:tcPr>
          <w:p w14:paraId="3CF7A6E6"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355</w:t>
            </w:r>
          </w:p>
        </w:tc>
        <w:tc>
          <w:tcPr>
            <w:tcW w:w="887" w:type="pct"/>
          </w:tcPr>
          <w:p w14:paraId="03CA96DB"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312</w:t>
            </w:r>
          </w:p>
        </w:tc>
        <w:tc>
          <w:tcPr>
            <w:tcW w:w="1231" w:type="pct"/>
          </w:tcPr>
          <w:p w14:paraId="0E0A061C"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1 385</w:t>
            </w:r>
          </w:p>
        </w:tc>
        <w:tc>
          <w:tcPr>
            <w:tcW w:w="1286" w:type="pct"/>
          </w:tcPr>
          <w:p w14:paraId="31991CA4"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184</w:t>
            </w:r>
          </w:p>
        </w:tc>
        <w:tc>
          <w:tcPr>
            <w:tcW w:w="465" w:type="pct"/>
          </w:tcPr>
          <w:p w14:paraId="59EC8975"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2 236</w:t>
            </w:r>
          </w:p>
        </w:tc>
      </w:tr>
      <w:tr w:rsidR="008156C3" w:rsidRPr="008156C3" w14:paraId="29D22D27" w14:textId="77777777" w:rsidTr="005A204A">
        <w:trPr>
          <w:cantSplit/>
          <w:tblHeader/>
          <w:jc w:val="center"/>
        </w:trPr>
        <w:tc>
          <w:tcPr>
            <w:tcW w:w="540" w:type="pct"/>
          </w:tcPr>
          <w:p w14:paraId="6B1BE62C"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2017 to 2018</w:t>
            </w:r>
          </w:p>
        </w:tc>
        <w:tc>
          <w:tcPr>
            <w:tcW w:w="591" w:type="pct"/>
          </w:tcPr>
          <w:p w14:paraId="285A1781"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404</w:t>
            </w:r>
          </w:p>
        </w:tc>
        <w:tc>
          <w:tcPr>
            <w:tcW w:w="887" w:type="pct"/>
          </w:tcPr>
          <w:p w14:paraId="23446A89"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304</w:t>
            </w:r>
          </w:p>
        </w:tc>
        <w:tc>
          <w:tcPr>
            <w:tcW w:w="1231" w:type="pct"/>
          </w:tcPr>
          <w:p w14:paraId="12B7C5DD"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1 550</w:t>
            </w:r>
          </w:p>
        </w:tc>
        <w:tc>
          <w:tcPr>
            <w:tcW w:w="1286" w:type="pct"/>
          </w:tcPr>
          <w:p w14:paraId="2F2E7CB0"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126</w:t>
            </w:r>
          </w:p>
        </w:tc>
        <w:tc>
          <w:tcPr>
            <w:tcW w:w="465" w:type="pct"/>
          </w:tcPr>
          <w:p w14:paraId="257237C4"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2 384</w:t>
            </w:r>
          </w:p>
        </w:tc>
      </w:tr>
      <w:tr w:rsidR="008156C3" w:rsidRPr="008156C3" w14:paraId="7BBC89C0" w14:textId="77777777" w:rsidTr="005A204A">
        <w:trPr>
          <w:cantSplit/>
          <w:tblHeader/>
          <w:jc w:val="center"/>
        </w:trPr>
        <w:tc>
          <w:tcPr>
            <w:tcW w:w="540" w:type="pct"/>
          </w:tcPr>
          <w:p w14:paraId="7F1AE790"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2018 to 2019</w:t>
            </w:r>
          </w:p>
        </w:tc>
        <w:tc>
          <w:tcPr>
            <w:tcW w:w="591" w:type="pct"/>
          </w:tcPr>
          <w:p w14:paraId="46327A92"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468</w:t>
            </w:r>
          </w:p>
        </w:tc>
        <w:tc>
          <w:tcPr>
            <w:tcW w:w="887" w:type="pct"/>
          </w:tcPr>
          <w:p w14:paraId="1995053D"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323</w:t>
            </w:r>
          </w:p>
        </w:tc>
        <w:tc>
          <w:tcPr>
            <w:tcW w:w="1231" w:type="pct"/>
          </w:tcPr>
          <w:p w14:paraId="04F6B29B"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1 730</w:t>
            </w:r>
          </w:p>
        </w:tc>
        <w:tc>
          <w:tcPr>
            <w:tcW w:w="1286" w:type="pct"/>
          </w:tcPr>
          <w:p w14:paraId="072E95B1"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177</w:t>
            </w:r>
          </w:p>
        </w:tc>
        <w:tc>
          <w:tcPr>
            <w:tcW w:w="465" w:type="pct"/>
          </w:tcPr>
          <w:p w14:paraId="21314F51"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2 698</w:t>
            </w:r>
          </w:p>
        </w:tc>
      </w:tr>
      <w:tr w:rsidR="008156C3" w:rsidRPr="008156C3" w14:paraId="0B566C83" w14:textId="77777777" w:rsidTr="005A204A">
        <w:trPr>
          <w:cantSplit/>
          <w:tblHeader/>
          <w:jc w:val="center"/>
        </w:trPr>
        <w:tc>
          <w:tcPr>
            <w:tcW w:w="540" w:type="pct"/>
          </w:tcPr>
          <w:p w14:paraId="0AFD74DA"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2019 to 2020</w:t>
            </w:r>
          </w:p>
        </w:tc>
        <w:tc>
          <w:tcPr>
            <w:tcW w:w="591" w:type="pct"/>
          </w:tcPr>
          <w:p w14:paraId="38788A77"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567</w:t>
            </w:r>
          </w:p>
        </w:tc>
        <w:tc>
          <w:tcPr>
            <w:tcW w:w="887" w:type="pct"/>
          </w:tcPr>
          <w:p w14:paraId="0364C4B6"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362</w:t>
            </w:r>
          </w:p>
        </w:tc>
        <w:tc>
          <w:tcPr>
            <w:tcW w:w="1231" w:type="pct"/>
          </w:tcPr>
          <w:p w14:paraId="4BDB268D"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1 624</w:t>
            </w:r>
          </w:p>
        </w:tc>
        <w:tc>
          <w:tcPr>
            <w:tcW w:w="1286" w:type="pct"/>
          </w:tcPr>
          <w:p w14:paraId="3162BE0C"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188</w:t>
            </w:r>
          </w:p>
        </w:tc>
        <w:tc>
          <w:tcPr>
            <w:tcW w:w="465" w:type="pct"/>
          </w:tcPr>
          <w:p w14:paraId="3421AF7F"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2 741</w:t>
            </w:r>
          </w:p>
        </w:tc>
      </w:tr>
    </w:tbl>
    <w:p w14:paraId="7E1C6E06" w14:textId="4E2CFAB5" w:rsidR="00BE7145" w:rsidRDefault="00BE7145" w:rsidP="00CF4572"/>
    <w:p w14:paraId="52E3F2F9" w14:textId="77777777" w:rsidR="00BE7145" w:rsidRDefault="00BE7145" w:rsidP="00CF4572">
      <w:pPr>
        <w:sectPr w:rsidR="00BE7145" w:rsidSect="00CF4572">
          <w:pgSz w:w="15840" w:h="12240" w:orient="landscape"/>
          <w:pgMar w:top="1025" w:right="720" w:bottom="720" w:left="720" w:header="708" w:footer="708" w:gutter="0"/>
          <w:cols w:space="708"/>
          <w:titlePg/>
          <w:docGrid w:linePitch="360"/>
        </w:sectPr>
      </w:pPr>
    </w:p>
    <w:p w14:paraId="61AD96C6" w14:textId="77777777" w:rsidR="008156C3" w:rsidRPr="008156C3" w:rsidRDefault="008156C3" w:rsidP="008156C3">
      <w:pPr>
        <w:pStyle w:val="Heading1"/>
        <w:spacing w:before="120"/>
        <w:rPr>
          <w:sz w:val="40"/>
          <w:szCs w:val="40"/>
          <w:lang w:val="fr-CA"/>
        </w:rPr>
      </w:pPr>
      <w:r w:rsidRPr="008156C3">
        <w:rPr>
          <w:rFonts w:eastAsia="Times New Roman"/>
          <w:sz w:val="40"/>
          <w:szCs w:val="40"/>
        </w:rPr>
        <w:lastRenderedPageBreak/>
        <w:t>Staffing by tenure</w:t>
      </w:r>
    </w:p>
    <w:p w14:paraId="389ABE3E" w14:textId="77777777" w:rsidR="008156C3" w:rsidRDefault="00BE7145" w:rsidP="008156C3">
      <w:pPr>
        <w:keepNext/>
        <w:jc w:val="center"/>
      </w:pPr>
      <w:r w:rsidRPr="00D43E1F">
        <w:rPr>
          <w:noProof/>
          <w:lang w:val="en-CA" w:eastAsia="en-CA"/>
        </w:rPr>
        <w:drawing>
          <wp:inline distT="0" distB="0" distL="0" distR="0" wp14:anchorId="226518DE" wp14:editId="3A4C141A">
            <wp:extent cx="5648400" cy="3049200"/>
            <wp:effectExtent l="0" t="0" r="9525" b="18415"/>
            <wp:docPr id="3" name="Chart 3" descr="Staffing by tenure&#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56E7CBA" w14:textId="3B2C0C0C" w:rsidR="00BE7145" w:rsidRPr="008156C3" w:rsidRDefault="008156C3" w:rsidP="008156C3">
      <w:pPr>
        <w:pStyle w:val="Caption"/>
        <w:spacing w:after="0"/>
        <w:jc w:val="center"/>
        <w:rPr>
          <w:rFonts w:asciiTheme="minorHAnsi" w:hAnsiTheme="minorHAnsi" w:cstheme="minorHAnsi"/>
          <w:i w:val="0"/>
          <w:iCs w:val="0"/>
          <w:color w:val="auto"/>
        </w:rPr>
      </w:pPr>
      <w:r w:rsidRPr="008156C3">
        <w:rPr>
          <w:rFonts w:asciiTheme="minorHAnsi" w:hAnsiTheme="minorHAnsi" w:cstheme="minorHAnsi"/>
          <w:i w:val="0"/>
          <w:iCs w:val="0"/>
          <w:color w:val="auto"/>
        </w:rPr>
        <w:t xml:space="preserve">Figure </w:t>
      </w:r>
      <w:r w:rsidRPr="008156C3">
        <w:rPr>
          <w:rFonts w:asciiTheme="minorHAnsi" w:hAnsiTheme="minorHAnsi" w:cstheme="minorHAnsi"/>
          <w:i w:val="0"/>
          <w:iCs w:val="0"/>
          <w:color w:val="auto"/>
        </w:rPr>
        <w:fldChar w:fldCharType="begin"/>
      </w:r>
      <w:r w:rsidRPr="008156C3">
        <w:rPr>
          <w:rFonts w:asciiTheme="minorHAnsi" w:hAnsiTheme="minorHAnsi" w:cstheme="minorHAnsi"/>
          <w:i w:val="0"/>
          <w:iCs w:val="0"/>
          <w:color w:val="auto"/>
        </w:rPr>
        <w:instrText xml:space="preserve"> SEQ Figure \* ARABIC </w:instrText>
      </w:r>
      <w:r w:rsidRPr="008156C3">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9</w:t>
      </w:r>
      <w:r w:rsidRPr="008156C3">
        <w:rPr>
          <w:rFonts w:asciiTheme="minorHAnsi" w:hAnsiTheme="minorHAnsi" w:cstheme="minorHAnsi"/>
          <w:i w:val="0"/>
          <w:iCs w:val="0"/>
          <w:color w:val="auto"/>
        </w:rPr>
        <w:fldChar w:fldCharType="end"/>
      </w:r>
      <w:r w:rsidRPr="008156C3">
        <w:rPr>
          <w:rFonts w:asciiTheme="minorHAnsi" w:hAnsiTheme="minorHAnsi" w:cstheme="minorHAnsi"/>
          <w:i w:val="0"/>
          <w:iCs w:val="0"/>
          <w:color w:val="auto"/>
        </w:rPr>
        <w:t xml:space="preserve"> - Staffing by tenure</w:t>
      </w:r>
    </w:p>
    <w:p w14:paraId="779D4C5D" w14:textId="00A61F20" w:rsidR="008156C3" w:rsidRPr="008156C3" w:rsidRDefault="008156C3" w:rsidP="008156C3">
      <w:pPr>
        <w:pStyle w:val="Caption"/>
        <w:keepNext/>
        <w:spacing w:before="240" w:after="0"/>
        <w:jc w:val="center"/>
        <w:rPr>
          <w:rFonts w:asciiTheme="minorHAnsi" w:hAnsiTheme="minorHAnsi" w:cstheme="minorHAnsi"/>
          <w:i w:val="0"/>
          <w:iCs w:val="0"/>
          <w:color w:val="auto"/>
        </w:rPr>
      </w:pPr>
      <w:r w:rsidRPr="008156C3">
        <w:rPr>
          <w:rFonts w:asciiTheme="minorHAnsi" w:hAnsiTheme="minorHAnsi" w:cstheme="minorHAnsi"/>
          <w:i w:val="0"/>
          <w:iCs w:val="0"/>
          <w:color w:val="auto"/>
        </w:rPr>
        <w:t xml:space="preserve">Table </w:t>
      </w:r>
      <w:r w:rsidRPr="008156C3">
        <w:rPr>
          <w:rFonts w:asciiTheme="minorHAnsi" w:hAnsiTheme="minorHAnsi" w:cstheme="minorHAnsi"/>
          <w:i w:val="0"/>
          <w:iCs w:val="0"/>
          <w:color w:val="auto"/>
        </w:rPr>
        <w:fldChar w:fldCharType="begin"/>
      </w:r>
      <w:r w:rsidRPr="008156C3">
        <w:rPr>
          <w:rFonts w:asciiTheme="minorHAnsi" w:hAnsiTheme="minorHAnsi" w:cstheme="minorHAnsi"/>
          <w:i w:val="0"/>
          <w:iCs w:val="0"/>
          <w:color w:val="auto"/>
        </w:rPr>
        <w:instrText xml:space="preserve"> SEQ Table \* ARABIC </w:instrText>
      </w:r>
      <w:r w:rsidRPr="008156C3">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13</w:t>
      </w:r>
      <w:r w:rsidRPr="008156C3">
        <w:rPr>
          <w:rFonts w:asciiTheme="minorHAnsi" w:hAnsiTheme="minorHAnsi" w:cstheme="minorHAnsi"/>
          <w:i w:val="0"/>
          <w:iCs w:val="0"/>
          <w:color w:val="auto"/>
        </w:rPr>
        <w:fldChar w:fldCharType="end"/>
      </w:r>
      <w:r w:rsidRPr="008156C3">
        <w:rPr>
          <w:rFonts w:asciiTheme="minorHAnsi" w:hAnsiTheme="minorHAnsi" w:cstheme="minorHAnsi"/>
          <w:i w:val="0"/>
          <w:iCs w:val="0"/>
          <w:color w:val="auto"/>
        </w:rPr>
        <w:t xml:space="preserve"> - Staffing activities by tenure and fiscal year</w:t>
      </w:r>
    </w:p>
    <w:tbl>
      <w:tblPr>
        <w:tblStyle w:val="TableGrid"/>
        <w:tblW w:w="5000" w:type="pct"/>
        <w:jc w:val="center"/>
        <w:tblLook w:val="0020" w:firstRow="1" w:lastRow="0" w:firstColumn="0" w:lastColumn="0" w:noHBand="0" w:noVBand="0"/>
        <w:tblCaption w:val="Staffing by tenure"/>
        <w:tblDescription w:val="Staffing by tenure from 2015 to 2020"/>
      </w:tblPr>
      <w:tblGrid>
        <w:gridCol w:w="1979"/>
        <w:gridCol w:w="2835"/>
        <w:gridCol w:w="2412"/>
        <w:gridCol w:w="2409"/>
        <w:gridCol w:w="2409"/>
        <w:gridCol w:w="2346"/>
      </w:tblGrid>
      <w:tr w:rsidR="008156C3" w:rsidRPr="008156C3" w14:paraId="00A5C90A" w14:textId="77777777" w:rsidTr="005A204A">
        <w:trPr>
          <w:cantSplit/>
          <w:tblHeader/>
          <w:jc w:val="center"/>
        </w:trPr>
        <w:tc>
          <w:tcPr>
            <w:tcW w:w="688" w:type="pct"/>
          </w:tcPr>
          <w:p w14:paraId="732EFFD7" w14:textId="77777777" w:rsidR="00C066B6" w:rsidRPr="008156C3" w:rsidRDefault="00C066B6" w:rsidP="008156C3">
            <w:pPr>
              <w:pStyle w:val="TableTitle"/>
              <w:rPr>
                <w:rFonts w:cs="Segoe UI Semibold"/>
                <w:color w:val="auto"/>
                <w:sz w:val="22"/>
                <w:szCs w:val="22"/>
              </w:rPr>
            </w:pPr>
            <w:r w:rsidRPr="008156C3">
              <w:rPr>
                <w:rFonts w:cs="Segoe UI Semibold"/>
                <w:color w:val="auto"/>
                <w:sz w:val="22"/>
                <w:szCs w:val="22"/>
              </w:rPr>
              <w:t>Fiscal year</w:t>
            </w:r>
          </w:p>
        </w:tc>
        <w:tc>
          <w:tcPr>
            <w:tcW w:w="985" w:type="pct"/>
          </w:tcPr>
          <w:p w14:paraId="6D19D4F0" w14:textId="77777777" w:rsidR="00C066B6" w:rsidRPr="008156C3" w:rsidRDefault="00C066B6" w:rsidP="008156C3">
            <w:pPr>
              <w:pStyle w:val="TableTitle"/>
              <w:rPr>
                <w:rFonts w:cs="Segoe UI Semibold"/>
                <w:color w:val="auto"/>
                <w:sz w:val="22"/>
                <w:szCs w:val="22"/>
              </w:rPr>
            </w:pPr>
            <w:r w:rsidRPr="008156C3">
              <w:rPr>
                <w:rFonts w:cs="Segoe UI Semibold"/>
                <w:color w:val="auto"/>
                <w:sz w:val="22"/>
                <w:szCs w:val="22"/>
              </w:rPr>
              <w:t>Indeterminate staffing activities</w:t>
            </w:r>
          </w:p>
        </w:tc>
        <w:tc>
          <w:tcPr>
            <w:tcW w:w="838" w:type="pct"/>
          </w:tcPr>
          <w:p w14:paraId="130AE284" w14:textId="77777777" w:rsidR="00C066B6" w:rsidRPr="008156C3" w:rsidRDefault="00C066B6" w:rsidP="008156C3">
            <w:pPr>
              <w:pStyle w:val="TableTitle"/>
              <w:rPr>
                <w:rFonts w:cs="Segoe UI Semibold"/>
                <w:color w:val="auto"/>
                <w:sz w:val="22"/>
                <w:szCs w:val="22"/>
              </w:rPr>
            </w:pPr>
            <w:r w:rsidRPr="008156C3">
              <w:rPr>
                <w:rFonts w:cs="Segoe UI Semibold"/>
                <w:color w:val="auto"/>
                <w:sz w:val="22"/>
                <w:szCs w:val="22"/>
              </w:rPr>
              <w:t>Term staffing activities</w:t>
            </w:r>
          </w:p>
        </w:tc>
        <w:tc>
          <w:tcPr>
            <w:tcW w:w="837" w:type="pct"/>
          </w:tcPr>
          <w:p w14:paraId="23A0A803" w14:textId="77777777" w:rsidR="00C066B6" w:rsidRPr="008156C3" w:rsidRDefault="00C066B6" w:rsidP="008156C3">
            <w:pPr>
              <w:pStyle w:val="TableTitle"/>
              <w:rPr>
                <w:rFonts w:cs="Segoe UI Semibold"/>
                <w:color w:val="auto"/>
                <w:sz w:val="22"/>
                <w:szCs w:val="22"/>
              </w:rPr>
            </w:pPr>
            <w:r w:rsidRPr="008156C3">
              <w:rPr>
                <w:rFonts w:cs="Segoe UI Semibold"/>
                <w:color w:val="auto"/>
                <w:sz w:val="22"/>
                <w:szCs w:val="22"/>
              </w:rPr>
              <w:t>Casual staffing activities</w:t>
            </w:r>
          </w:p>
        </w:tc>
        <w:tc>
          <w:tcPr>
            <w:tcW w:w="837" w:type="pct"/>
          </w:tcPr>
          <w:p w14:paraId="655A4E8F" w14:textId="77777777" w:rsidR="00C066B6" w:rsidRPr="008156C3" w:rsidRDefault="00C066B6" w:rsidP="008156C3">
            <w:pPr>
              <w:pStyle w:val="TableTitle"/>
              <w:rPr>
                <w:rFonts w:cs="Segoe UI Semibold"/>
                <w:color w:val="auto"/>
                <w:sz w:val="22"/>
                <w:szCs w:val="22"/>
              </w:rPr>
            </w:pPr>
            <w:r w:rsidRPr="008156C3">
              <w:rPr>
                <w:rFonts w:cs="Segoe UI Semibold"/>
                <w:color w:val="auto"/>
                <w:sz w:val="22"/>
                <w:szCs w:val="22"/>
              </w:rPr>
              <w:t>Student staffing activities</w:t>
            </w:r>
          </w:p>
        </w:tc>
        <w:tc>
          <w:tcPr>
            <w:tcW w:w="815" w:type="pct"/>
          </w:tcPr>
          <w:p w14:paraId="5484AB20" w14:textId="77777777" w:rsidR="00C066B6" w:rsidRPr="008156C3" w:rsidRDefault="00C066B6" w:rsidP="008156C3">
            <w:pPr>
              <w:pStyle w:val="TableTitle"/>
              <w:rPr>
                <w:rFonts w:cs="Segoe UI Semibold"/>
                <w:color w:val="auto"/>
                <w:sz w:val="22"/>
                <w:szCs w:val="22"/>
              </w:rPr>
            </w:pPr>
            <w:r w:rsidRPr="008156C3">
              <w:rPr>
                <w:rFonts w:cs="Segoe UI Semibold"/>
                <w:color w:val="auto"/>
                <w:sz w:val="22"/>
                <w:szCs w:val="22"/>
              </w:rPr>
              <w:t>Total staffing activities</w:t>
            </w:r>
          </w:p>
        </w:tc>
      </w:tr>
      <w:tr w:rsidR="008156C3" w:rsidRPr="008156C3" w14:paraId="3927C74E" w14:textId="77777777" w:rsidTr="005A204A">
        <w:trPr>
          <w:cantSplit/>
          <w:tblHeader/>
          <w:jc w:val="center"/>
        </w:trPr>
        <w:tc>
          <w:tcPr>
            <w:tcW w:w="688" w:type="pct"/>
          </w:tcPr>
          <w:p w14:paraId="731E3303"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2015 to 2016</w:t>
            </w:r>
          </w:p>
        </w:tc>
        <w:tc>
          <w:tcPr>
            <w:tcW w:w="985" w:type="pct"/>
          </w:tcPr>
          <w:p w14:paraId="6897E4A3"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838</w:t>
            </w:r>
          </w:p>
        </w:tc>
        <w:tc>
          <w:tcPr>
            <w:tcW w:w="838" w:type="pct"/>
          </w:tcPr>
          <w:p w14:paraId="262B31D5"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192</w:t>
            </w:r>
          </w:p>
        </w:tc>
        <w:tc>
          <w:tcPr>
            <w:tcW w:w="837" w:type="pct"/>
          </w:tcPr>
          <w:p w14:paraId="62239271"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626</w:t>
            </w:r>
          </w:p>
        </w:tc>
        <w:tc>
          <w:tcPr>
            <w:tcW w:w="837" w:type="pct"/>
          </w:tcPr>
          <w:p w14:paraId="09B5DFA2"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507</w:t>
            </w:r>
          </w:p>
        </w:tc>
        <w:tc>
          <w:tcPr>
            <w:tcW w:w="815" w:type="pct"/>
          </w:tcPr>
          <w:p w14:paraId="2150F084"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2 163</w:t>
            </w:r>
          </w:p>
        </w:tc>
      </w:tr>
      <w:tr w:rsidR="008156C3" w:rsidRPr="008156C3" w14:paraId="2FDF76D3" w14:textId="77777777" w:rsidTr="005A204A">
        <w:trPr>
          <w:cantSplit/>
          <w:tblHeader/>
          <w:jc w:val="center"/>
        </w:trPr>
        <w:tc>
          <w:tcPr>
            <w:tcW w:w="688" w:type="pct"/>
          </w:tcPr>
          <w:p w14:paraId="4615BC86"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2016 to 2017</w:t>
            </w:r>
          </w:p>
        </w:tc>
        <w:tc>
          <w:tcPr>
            <w:tcW w:w="985" w:type="pct"/>
          </w:tcPr>
          <w:p w14:paraId="4AEE3B91"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981</w:t>
            </w:r>
          </w:p>
        </w:tc>
        <w:tc>
          <w:tcPr>
            <w:tcW w:w="838" w:type="pct"/>
          </w:tcPr>
          <w:p w14:paraId="3070102E"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223</w:t>
            </w:r>
          </w:p>
        </w:tc>
        <w:tc>
          <w:tcPr>
            <w:tcW w:w="837" w:type="pct"/>
          </w:tcPr>
          <w:p w14:paraId="56297AC5"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609</w:t>
            </w:r>
          </w:p>
        </w:tc>
        <w:tc>
          <w:tcPr>
            <w:tcW w:w="837" w:type="pct"/>
          </w:tcPr>
          <w:p w14:paraId="1057AB0A"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423</w:t>
            </w:r>
          </w:p>
        </w:tc>
        <w:tc>
          <w:tcPr>
            <w:tcW w:w="815" w:type="pct"/>
          </w:tcPr>
          <w:p w14:paraId="0E495F73"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2 236</w:t>
            </w:r>
          </w:p>
        </w:tc>
      </w:tr>
      <w:tr w:rsidR="008156C3" w:rsidRPr="008156C3" w14:paraId="27C2D00D" w14:textId="77777777" w:rsidTr="005A204A">
        <w:trPr>
          <w:cantSplit/>
          <w:tblHeader/>
          <w:jc w:val="center"/>
        </w:trPr>
        <w:tc>
          <w:tcPr>
            <w:tcW w:w="688" w:type="pct"/>
          </w:tcPr>
          <w:p w14:paraId="2ADE5166"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2017 to 2018</w:t>
            </w:r>
          </w:p>
        </w:tc>
        <w:tc>
          <w:tcPr>
            <w:tcW w:w="985" w:type="pct"/>
          </w:tcPr>
          <w:p w14:paraId="2DE57A3E"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974</w:t>
            </w:r>
          </w:p>
        </w:tc>
        <w:tc>
          <w:tcPr>
            <w:tcW w:w="838" w:type="pct"/>
          </w:tcPr>
          <w:p w14:paraId="578F5B3D"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296</w:t>
            </w:r>
          </w:p>
        </w:tc>
        <w:tc>
          <w:tcPr>
            <w:tcW w:w="837" w:type="pct"/>
          </w:tcPr>
          <w:p w14:paraId="31AC0E46"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657</w:t>
            </w:r>
          </w:p>
        </w:tc>
        <w:tc>
          <w:tcPr>
            <w:tcW w:w="837" w:type="pct"/>
          </w:tcPr>
          <w:p w14:paraId="30AC6879"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457</w:t>
            </w:r>
          </w:p>
        </w:tc>
        <w:tc>
          <w:tcPr>
            <w:tcW w:w="815" w:type="pct"/>
          </w:tcPr>
          <w:p w14:paraId="6130CA03"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2 384</w:t>
            </w:r>
          </w:p>
        </w:tc>
      </w:tr>
      <w:tr w:rsidR="008156C3" w:rsidRPr="008156C3" w14:paraId="65956BC6" w14:textId="77777777" w:rsidTr="005A204A">
        <w:trPr>
          <w:cantSplit/>
          <w:tblHeader/>
          <w:jc w:val="center"/>
        </w:trPr>
        <w:tc>
          <w:tcPr>
            <w:tcW w:w="688" w:type="pct"/>
          </w:tcPr>
          <w:p w14:paraId="77B438F8"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2018 to 2019</w:t>
            </w:r>
          </w:p>
        </w:tc>
        <w:tc>
          <w:tcPr>
            <w:tcW w:w="985" w:type="pct"/>
          </w:tcPr>
          <w:p w14:paraId="57FA6F6A"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1 188</w:t>
            </w:r>
          </w:p>
        </w:tc>
        <w:tc>
          <w:tcPr>
            <w:tcW w:w="838" w:type="pct"/>
          </w:tcPr>
          <w:p w14:paraId="3D910FF2"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351</w:t>
            </w:r>
          </w:p>
        </w:tc>
        <w:tc>
          <w:tcPr>
            <w:tcW w:w="837" w:type="pct"/>
          </w:tcPr>
          <w:p w14:paraId="011D99F9"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674</w:t>
            </w:r>
          </w:p>
        </w:tc>
        <w:tc>
          <w:tcPr>
            <w:tcW w:w="837" w:type="pct"/>
          </w:tcPr>
          <w:p w14:paraId="67A89DE0"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485</w:t>
            </w:r>
          </w:p>
        </w:tc>
        <w:tc>
          <w:tcPr>
            <w:tcW w:w="815" w:type="pct"/>
          </w:tcPr>
          <w:p w14:paraId="4ABD91F6"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2 698</w:t>
            </w:r>
          </w:p>
        </w:tc>
      </w:tr>
      <w:tr w:rsidR="008156C3" w:rsidRPr="008156C3" w14:paraId="7DCCF9FC" w14:textId="77777777" w:rsidTr="005A204A">
        <w:trPr>
          <w:cantSplit/>
          <w:tblHeader/>
          <w:jc w:val="center"/>
        </w:trPr>
        <w:tc>
          <w:tcPr>
            <w:tcW w:w="688" w:type="pct"/>
          </w:tcPr>
          <w:p w14:paraId="305469DD" w14:textId="77777777" w:rsidR="00C066B6" w:rsidRPr="008156C3" w:rsidRDefault="00C066B6" w:rsidP="004D4A21">
            <w:pPr>
              <w:autoSpaceDE w:val="0"/>
              <w:autoSpaceDN w:val="0"/>
              <w:adjustRightInd w:val="0"/>
              <w:rPr>
                <w:rFonts w:asciiTheme="minorHAnsi" w:hAnsiTheme="minorHAnsi" w:cstheme="minorHAnsi"/>
                <w:sz w:val="22"/>
                <w:szCs w:val="22"/>
              </w:rPr>
            </w:pPr>
            <w:r w:rsidRPr="008156C3">
              <w:rPr>
                <w:rFonts w:asciiTheme="minorHAnsi" w:hAnsiTheme="minorHAnsi" w:cstheme="minorHAnsi"/>
                <w:sz w:val="22"/>
                <w:szCs w:val="22"/>
              </w:rPr>
              <w:t>2019 to 2020</w:t>
            </w:r>
          </w:p>
        </w:tc>
        <w:tc>
          <w:tcPr>
            <w:tcW w:w="985" w:type="pct"/>
          </w:tcPr>
          <w:p w14:paraId="316E2272"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1 300</w:t>
            </w:r>
          </w:p>
        </w:tc>
        <w:tc>
          <w:tcPr>
            <w:tcW w:w="838" w:type="pct"/>
          </w:tcPr>
          <w:p w14:paraId="692C3D1D"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367</w:t>
            </w:r>
          </w:p>
        </w:tc>
        <w:tc>
          <w:tcPr>
            <w:tcW w:w="837" w:type="pct"/>
          </w:tcPr>
          <w:p w14:paraId="6131693C"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569</w:t>
            </w:r>
          </w:p>
        </w:tc>
        <w:tc>
          <w:tcPr>
            <w:tcW w:w="837" w:type="pct"/>
          </w:tcPr>
          <w:p w14:paraId="3F9F0B9F"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505</w:t>
            </w:r>
          </w:p>
        </w:tc>
        <w:tc>
          <w:tcPr>
            <w:tcW w:w="815" w:type="pct"/>
          </w:tcPr>
          <w:p w14:paraId="538DB105" w14:textId="77777777" w:rsidR="00C066B6" w:rsidRPr="008156C3" w:rsidRDefault="00C066B6" w:rsidP="004D4A21">
            <w:pPr>
              <w:autoSpaceDE w:val="0"/>
              <w:autoSpaceDN w:val="0"/>
              <w:adjustRightInd w:val="0"/>
              <w:jc w:val="center"/>
              <w:rPr>
                <w:rFonts w:asciiTheme="minorHAnsi" w:hAnsiTheme="minorHAnsi" w:cstheme="minorHAnsi"/>
                <w:sz w:val="22"/>
                <w:szCs w:val="22"/>
              </w:rPr>
            </w:pPr>
            <w:r w:rsidRPr="008156C3">
              <w:rPr>
                <w:rFonts w:asciiTheme="minorHAnsi" w:hAnsiTheme="minorHAnsi" w:cstheme="minorHAnsi"/>
                <w:sz w:val="22"/>
                <w:szCs w:val="22"/>
              </w:rPr>
              <w:t>2 741</w:t>
            </w:r>
          </w:p>
        </w:tc>
      </w:tr>
    </w:tbl>
    <w:p w14:paraId="70112773" w14:textId="77777777" w:rsidR="00D5361C" w:rsidRDefault="00D5361C" w:rsidP="00C066B6">
      <w:pPr>
        <w:rPr>
          <w:rStyle w:val="Strong"/>
          <w:rFonts w:asciiTheme="minorHAnsi" w:hAnsiTheme="minorHAnsi" w:cstheme="minorHAnsi"/>
          <w:szCs w:val="18"/>
        </w:rPr>
        <w:sectPr w:rsidR="00D5361C" w:rsidSect="00CF4572">
          <w:pgSz w:w="15840" w:h="12240" w:orient="landscape"/>
          <w:pgMar w:top="1025" w:right="720" w:bottom="720" w:left="720" w:header="708" w:footer="708" w:gutter="0"/>
          <w:cols w:space="708"/>
          <w:titlePg/>
          <w:docGrid w:linePitch="360"/>
        </w:sectPr>
      </w:pPr>
    </w:p>
    <w:p w14:paraId="2EC1D132" w14:textId="1E7E5860" w:rsidR="00C066B6" w:rsidRPr="00E27E6D" w:rsidRDefault="00C066B6" w:rsidP="00C066B6">
      <w:pPr>
        <w:rPr>
          <w:rStyle w:val="Strong"/>
          <w:rFonts w:asciiTheme="minorHAnsi" w:hAnsiTheme="minorHAnsi" w:cstheme="minorHAnsi"/>
          <w:szCs w:val="18"/>
        </w:rPr>
      </w:pPr>
      <w:r w:rsidRPr="00E27E6D">
        <w:rPr>
          <w:rStyle w:val="Strong"/>
          <w:rFonts w:asciiTheme="minorHAnsi" w:hAnsiTheme="minorHAnsi" w:cstheme="minorHAnsi"/>
          <w:szCs w:val="18"/>
        </w:rPr>
        <w:lastRenderedPageBreak/>
        <w:t>Key findings - Staffing and non-partisanship survey (2018)</w:t>
      </w:r>
    </w:p>
    <w:p w14:paraId="5C83430E" w14:textId="77777777" w:rsidR="00C066B6" w:rsidRPr="00E27E6D" w:rsidRDefault="00C066B6" w:rsidP="00C066B6">
      <w:pPr>
        <w:pStyle w:val="ListParagraph"/>
        <w:numPr>
          <w:ilvl w:val="0"/>
          <w:numId w:val="24"/>
        </w:numPr>
        <w:spacing w:after="100" w:afterAutospacing="1"/>
        <w:contextualSpacing w:val="0"/>
        <w:rPr>
          <w:rFonts w:asciiTheme="minorHAnsi" w:hAnsiTheme="minorHAnsi" w:cstheme="minorHAnsi"/>
          <w:sz w:val="22"/>
          <w:szCs w:val="18"/>
        </w:rPr>
      </w:pPr>
      <w:r w:rsidRPr="00E27E6D">
        <w:rPr>
          <w:rFonts w:asciiTheme="minorHAnsi" w:hAnsiTheme="minorHAnsi" w:cstheme="minorHAnsi"/>
          <w:sz w:val="22"/>
          <w:szCs w:val="18"/>
        </w:rPr>
        <w:t xml:space="preserve">64.6% of </w:t>
      </w:r>
      <w:r w:rsidRPr="00E27E6D">
        <w:rPr>
          <w:rStyle w:val="Strong"/>
          <w:rFonts w:asciiTheme="minorHAnsi" w:hAnsiTheme="minorHAnsi" w:cstheme="minorHAnsi"/>
          <w:szCs w:val="18"/>
        </w:rPr>
        <w:t xml:space="preserve">employees </w:t>
      </w:r>
      <w:r w:rsidRPr="00E27E6D">
        <w:rPr>
          <w:rFonts w:asciiTheme="minorHAnsi" w:hAnsiTheme="minorHAnsi" w:cstheme="minorHAnsi"/>
          <w:sz w:val="22"/>
          <w:szCs w:val="18"/>
        </w:rPr>
        <w:t>agreed that people hired can do the job, compared to 52.3% in organizations of similar size, and 53.8% in the federal public service</w:t>
      </w:r>
    </w:p>
    <w:p w14:paraId="32B04C66" w14:textId="77777777" w:rsidR="00C066B6" w:rsidRPr="00E27E6D" w:rsidRDefault="00C066B6" w:rsidP="00C066B6">
      <w:pPr>
        <w:pStyle w:val="ListParagraph"/>
        <w:numPr>
          <w:ilvl w:val="0"/>
          <w:numId w:val="24"/>
        </w:numPr>
        <w:spacing w:after="100" w:afterAutospacing="1"/>
        <w:contextualSpacing w:val="0"/>
        <w:rPr>
          <w:rFonts w:asciiTheme="minorHAnsi" w:hAnsiTheme="minorHAnsi" w:cstheme="minorHAnsi"/>
          <w:sz w:val="22"/>
          <w:szCs w:val="18"/>
        </w:rPr>
      </w:pPr>
      <w:r w:rsidRPr="00E27E6D">
        <w:rPr>
          <w:rFonts w:asciiTheme="minorHAnsi" w:hAnsiTheme="minorHAnsi" w:cstheme="minorHAnsi"/>
          <w:sz w:val="22"/>
          <w:szCs w:val="18"/>
        </w:rPr>
        <w:t xml:space="preserve">55.5% of </w:t>
      </w:r>
      <w:r w:rsidRPr="00E27E6D">
        <w:rPr>
          <w:rStyle w:val="Strong"/>
          <w:rFonts w:asciiTheme="minorHAnsi" w:hAnsiTheme="minorHAnsi" w:cstheme="minorHAnsi"/>
          <w:szCs w:val="18"/>
        </w:rPr>
        <w:t xml:space="preserve">managers </w:t>
      </w:r>
      <w:r w:rsidRPr="00E27E6D">
        <w:rPr>
          <w:rFonts w:asciiTheme="minorHAnsi" w:hAnsiTheme="minorHAnsi" w:cstheme="minorHAnsi"/>
          <w:sz w:val="22"/>
          <w:szCs w:val="18"/>
        </w:rPr>
        <w:t>agreed that the New Direction in Staffing has improved the way they hire and appoint persons to and within their organization, compared to 54.4% in organizations of similar size, and 56.1% in the federal public service</w:t>
      </w:r>
    </w:p>
    <w:p w14:paraId="52477337" w14:textId="14AB3831" w:rsidR="00BE7145" w:rsidRPr="00E27E6D" w:rsidRDefault="00C066B6" w:rsidP="00CF4572">
      <w:pPr>
        <w:pStyle w:val="ListParagraph"/>
        <w:numPr>
          <w:ilvl w:val="0"/>
          <w:numId w:val="24"/>
        </w:numPr>
        <w:spacing w:after="100" w:afterAutospacing="1"/>
        <w:contextualSpacing w:val="0"/>
        <w:rPr>
          <w:rFonts w:asciiTheme="minorHAnsi" w:hAnsiTheme="minorHAnsi" w:cstheme="minorHAnsi"/>
          <w:sz w:val="22"/>
          <w:szCs w:val="18"/>
        </w:rPr>
      </w:pPr>
      <w:r w:rsidRPr="00E27E6D">
        <w:rPr>
          <w:rFonts w:asciiTheme="minorHAnsi" w:hAnsiTheme="minorHAnsi" w:cstheme="minorHAnsi"/>
          <w:sz w:val="22"/>
          <w:szCs w:val="18"/>
        </w:rPr>
        <w:t xml:space="preserve">89.1% of </w:t>
      </w:r>
      <w:r w:rsidRPr="00E27E6D">
        <w:rPr>
          <w:rStyle w:val="Strong"/>
          <w:rFonts w:asciiTheme="minorHAnsi" w:hAnsiTheme="minorHAnsi" w:cstheme="minorHAnsi"/>
          <w:szCs w:val="18"/>
        </w:rPr>
        <w:t>managers</w:t>
      </w:r>
      <w:r w:rsidRPr="00E27E6D">
        <w:rPr>
          <w:rFonts w:asciiTheme="minorHAnsi" w:hAnsiTheme="minorHAnsi" w:cstheme="minorHAnsi"/>
          <w:sz w:val="22"/>
          <w:szCs w:val="18"/>
        </w:rPr>
        <w:t xml:space="preserve"> agreed that within their organization, the administrative process to staff a position is </w:t>
      </w:r>
      <w:r w:rsidRPr="00E27E6D">
        <w:rPr>
          <w:rStyle w:val="Strong"/>
          <w:rFonts w:asciiTheme="minorHAnsi" w:hAnsiTheme="minorHAnsi" w:cstheme="minorHAnsi"/>
          <w:szCs w:val="18"/>
        </w:rPr>
        <w:t>burdensome</w:t>
      </w:r>
      <w:r w:rsidRPr="00E27E6D">
        <w:rPr>
          <w:rFonts w:asciiTheme="minorHAnsi" w:hAnsiTheme="minorHAnsi" w:cstheme="minorHAnsi"/>
          <w:sz w:val="22"/>
          <w:szCs w:val="18"/>
        </w:rPr>
        <w:t>, compared to 88.6% in organizations of similar size, and 87.9% in the federal public service</w:t>
      </w:r>
    </w:p>
    <w:p w14:paraId="226F65B9" w14:textId="77777777" w:rsidR="00BE7145" w:rsidRDefault="00BE7145" w:rsidP="00CF4572">
      <w:pPr>
        <w:sectPr w:rsidR="00BE7145" w:rsidSect="00D5361C">
          <w:pgSz w:w="15840" w:h="12240" w:orient="landscape"/>
          <w:pgMar w:top="1025" w:right="720" w:bottom="720" w:left="720" w:header="708" w:footer="708" w:gutter="0"/>
          <w:cols w:space="708"/>
          <w:titlePg/>
          <w:docGrid w:linePitch="360"/>
        </w:sectPr>
      </w:pPr>
    </w:p>
    <w:p w14:paraId="34BDE501" w14:textId="77777777" w:rsidR="00E27E6D" w:rsidRPr="00E27E6D" w:rsidRDefault="00E27E6D" w:rsidP="00E27E6D">
      <w:pPr>
        <w:pStyle w:val="Heading1"/>
        <w:spacing w:before="120"/>
        <w:rPr>
          <w:sz w:val="40"/>
          <w:szCs w:val="40"/>
          <w:lang w:val="fr-CA"/>
        </w:rPr>
      </w:pPr>
      <w:r w:rsidRPr="00E27E6D">
        <w:rPr>
          <w:rFonts w:eastAsia="Times New Roman"/>
          <w:sz w:val="40"/>
          <w:szCs w:val="40"/>
        </w:rPr>
        <w:lastRenderedPageBreak/>
        <w:t>Student program hires</w:t>
      </w:r>
    </w:p>
    <w:p w14:paraId="5B588C37" w14:textId="77777777" w:rsidR="00E27E6D" w:rsidRDefault="00CF4572" w:rsidP="00E27E6D">
      <w:pPr>
        <w:keepNext/>
        <w:jc w:val="center"/>
      </w:pPr>
      <w:r w:rsidRPr="00D43E1F">
        <w:rPr>
          <w:noProof/>
          <w:lang w:val="en-CA" w:eastAsia="en-CA"/>
        </w:rPr>
        <w:drawing>
          <wp:inline distT="0" distB="0" distL="0" distR="0" wp14:anchorId="25BE95AB" wp14:editId="1D0F472A">
            <wp:extent cx="5648400" cy="3049200"/>
            <wp:effectExtent l="0" t="0" r="9525" b="18415"/>
            <wp:docPr id="17" name="Chart 17" descr="Student program hires&#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431C063" w14:textId="668DF140" w:rsidR="00CF4572" w:rsidRPr="00E27E6D" w:rsidRDefault="00E27E6D" w:rsidP="00E27E6D">
      <w:pPr>
        <w:pStyle w:val="Caption"/>
        <w:spacing w:after="0"/>
        <w:jc w:val="center"/>
        <w:rPr>
          <w:rFonts w:asciiTheme="minorHAnsi" w:hAnsiTheme="minorHAnsi" w:cstheme="minorHAnsi"/>
          <w:i w:val="0"/>
          <w:iCs w:val="0"/>
          <w:color w:val="auto"/>
        </w:rPr>
      </w:pPr>
      <w:r w:rsidRPr="00E27E6D">
        <w:rPr>
          <w:rFonts w:asciiTheme="minorHAnsi" w:hAnsiTheme="minorHAnsi" w:cstheme="minorHAnsi"/>
          <w:i w:val="0"/>
          <w:iCs w:val="0"/>
          <w:color w:val="auto"/>
        </w:rPr>
        <w:t xml:space="preserve">Figure </w:t>
      </w:r>
      <w:r w:rsidRPr="00E27E6D">
        <w:rPr>
          <w:rFonts w:asciiTheme="minorHAnsi" w:hAnsiTheme="minorHAnsi" w:cstheme="minorHAnsi"/>
          <w:i w:val="0"/>
          <w:iCs w:val="0"/>
          <w:color w:val="auto"/>
        </w:rPr>
        <w:fldChar w:fldCharType="begin"/>
      </w:r>
      <w:r w:rsidRPr="00E27E6D">
        <w:rPr>
          <w:rFonts w:asciiTheme="minorHAnsi" w:hAnsiTheme="minorHAnsi" w:cstheme="minorHAnsi"/>
          <w:i w:val="0"/>
          <w:iCs w:val="0"/>
          <w:color w:val="auto"/>
        </w:rPr>
        <w:instrText xml:space="preserve"> SEQ Figure \* ARABIC </w:instrText>
      </w:r>
      <w:r w:rsidRPr="00E27E6D">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10</w:t>
      </w:r>
      <w:r w:rsidRPr="00E27E6D">
        <w:rPr>
          <w:rFonts w:asciiTheme="minorHAnsi" w:hAnsiTheme="minorHAnsi" w:cstheme="minorHAnsi"/>
          <w:i w:val="0"/>
          <w:iCs w:val="0"/>
          <w:color w:val="auto"/>
        </w:rPr>
        <w:fldChar w:fldCharType="end"/>
      </w:r>
      <w:r w:rsidRPr="00E27E6D">
        <w:rPr>
          <w:rFonts w:asciiTheme="minorHAnsi" w:hAnsiTheme="minorHAnsi" w:cstheme="minorHAnsi"/>
          <w:i w:val="0"/>
          <w:iCs w:val="0"/>
          <w:color w:val="auto"/>
        </w:rPr>
        <w:t xml:space="preserve"> - Student program hires</w:t>
      </w:r>
    </w:p>
    <w:p w14:paraId="78D22C0E" w14:textId="3B62A60E" w:rsidR="00E27E6D" w:rsidRPr="00E27E6D" w:rsidRDefault="00E27E6D" w:rsidP="00E27E6D">
      <w:pPr>
        <w:pStyle w:val="Caption"/>
        <w:keepNext/>
        <w:spacing w:before="240" w:after="0"/>
        <w:jc w:val="center"/>
        <w:rPr>
          <w:rFonts w:asciiTheme="minorHAnsi" w:hAnsiTheme="minorHAnsi" w:cstheme="minorHAnsi"/>
          <w:i w:val="0"/>
          <w:iCs w:val="0"/>
          <w:color w:val="auto"/>
        </w:rPr>
      </w:pPr>
      <w:r w:rsidRPr="00E27E6D">
        <w:rPr>
          <w:rFonts w:asciiTheme="minorHAnsi" w:hAnsiTheme="minorHAnsi" w:cstheme="minorHAnsi"/>
          <w:i w:val="0"/>
          <w:iCs w:val="0"/>
          <w:color w:val="auto"/>
        </w:rPr>
        <w:t xml:space="preserve">Table </w:t>
      </w:r>
      <w:r w:rsidRPr="00E27E6D">
        <w:rPr>
          <w:rFonts w:asciiTheme="minorHAnsi" w:hAnsiTheme="minorHAnsi" w:cstheme="minorHAnsi"/>
          <w:i w:val="0"/>
          <w:iCs w:val="0"/>
          <w:color w:val="auto"/>
        </w:rPr>
        <w:fldChar w:fldCharType="begin"/>
      </w:r>
      <w:r w:rsidRPr="00E27E6D">
        <w:rPr>
          <w:rFonts w:asciiTheme="minorHAnsi" w:hAnsiTheme="minorHAnsi" w:cstheme="minorHAnsi"/>
          <w:i w:val="0"/>
          <w:iCs w:val="0"/>
          <w:color w:val="auto"/>
        </w:rPr>
        <w:instrText xml:space="preserve"> SEQ Table \* ARABIC </w:instrText>
      </w:r>
      <w:r w:rsidRPr="00E27E6D">
        <w:rPr>
          <w:rFonts w:asciiTheme="minorHAnsi" w:hAnsiTheme="minorHAnsi" w:cstheme="minorHAnsi"/>
          <w:i w:val="0"/>
          <w:iCs w:val="0"/>
          <w:color w:val="auto"/>
        </w:rPr>
        <w:fldChar w:fldCharType="separate"/>
      </w:r>
      <w:r w:rsidR="00C47261">
        <w:rPr>
          <w:rFonts w:asciiTheme="minorHAnsi" w:hAnsiTheme="minorHAnsi" w:cstheme="minorHAnsi"/>
          <w:i w:val="0"/>
          <w:iCs w:val="0"/>
          <w:noProof/>
          <w:color w:val="auto"/>
        </w:rPr>
        <w:t>14</w:t>
      </w:r>
      <w:r w:rsidRPr="00E27E6D">
        <w:rPr>
          <w:rFonts w:asciiTheme="minorHAnsi" w:hAnsiTheme="minorHAnsi" w:cstheme="minorHAnsi"/>
          <w:i w:val="0"/>
          <w:iCs w:val="0"/>
          <w:color w:val="auto"/>
        </w:rPr>
        <w:fldChar w:fldCharType="end"/>
      </w:r>
      <w:r w:rsidRPr="00E27E6D">
        <w:rPr>
          <w:rFonts w:asciiTheme="minorHAnsi" w:hAnsiTheme="minorHAnsi" w:cstheme="minorHAnsi"/>
          <w:i w:val="0"/>
          <w:iCs w:val="0"/>
          <w:color w:val="auto"/>
        </w:rPr>
        <w:t xml:space="preserve"> - Student staffing activities by recruitment program and fiscal year</w:t>
      </w:r>
    </w:p>
    <w:tbl>
      <w:tblPr>
        <w:tblStyle w:val="TableGrid"/>
        <w:tblW w:w="5000" w:type="pct"/>
        <w:jc w:val="center"/>
        <w:tblLook w:val="0020" w:firstRow="1" w:lastRow="0" w:firstColumn="0" w:lastColumn="0" w:noHBand="0" w:noVBand="0"/>
        <w:tblCaption w:val="Student program hires"/>
        <w:tblDescription w:val="Student program hires from 2015 to 2020"/>
      </w:tblPr>
      <w:tblGrid>
        <w:gridCol w:w="1838"/>
        <w:gridCol w:w="3402"/>
        <w:gridCol w:w="3546"/>
        <w:gridCol w:w="3117"/>
        <w:gridCol w:w="2487"/>
      </w:tblGrid>
      <w:tr w:rsidR="00E27E6D" w:rsidRPr="00E27E6D" w14:paraId="7E9C688D" w14:textId="77777777" w:rsidTr="005A204A">
        <w:trPr>
          <w:cantSplit/>
          <w:tblHeader/>
          <w:jc w:val="center"/>
        </w:trPr>
        <w:tc>
          <w:tcPr>
            <w:tcW w:w="639" w:type="pct"/>
          </w:tcPr>
          <w:p w14:paraId="052F29AB" w14:textId="77777777" w:rsidR="00C066B6" w:rsidRPr="00E27E6D" w:rsidRDefault="00C066B6" w:rsidP="00E27E6D">
            <w:pPr>
              <w:pStyle w:val="TableTitle"/>
              <w:rPr>
                <w:color w:val="auto"/>
                <w:sz w:val="22"/>
                <w:szCs w:val="22"/>
              </w:rPr>
            </w:pPr>
            <w:r w:rsidRPr="00E27E6D">
              <w:rPr>
                <w:color w:val="auto"/>
                <w:sz w:val="22"/>
                <w:szCs w:val="22"/>
              </w:rPr>
              <w:t>Fiscal year</w:t>
            </w:r>
          </w:p>
        </w:tc>
        <w:tc>
          <w:tcPr>
            <w:tcW w:w="1182" w:type="pct"/>
          </w:tcPr>
          <w:p w14:paraId="7D5E3FB6" w14:textId="77777777" w:rsidR="00C066B6" w:rsidRPr="00E27E6D" w:rsidRDefault="00C066B6" w:rsidP="00E27E6D">
            <w:pPr>
              <w:pStyle w:val="TableTitle"/>
              <w:rPr>
                <w:color w:val="auto"/>
                <w:sz w:val="22"/>
                <w:szCs w:val="22"/>
              </w:rPr>
            </w:pPr>
            <w:r w:rsidRPr="00E27E6D">
              <w:rPr>
                <w:color w:val="auto"/>
                <w:sz w:val="22"/>
                <w:szCs w:val="22"/>
              </w:rPr>
              <w:t>Federal Student Work Experience Program</w:t>
            </w:r>
          </w:p>
        </w:tc>
        <w:tc>
          <w:tcPr>
            <w:tcW w:w="1232" w:type="pct"/>
          </w:tcPr>
          <w:p w14:paraId="23BF2AF8" w14:textId="77777777" w:rsidR="00C066B6" w:rsidRPr="00E27E6D" w:rsidRDefault="00C066B6" w:rsidP="00E27E6D">
            <w:pPr>
              <w:pStyle w:val="TableTitle"/>
              <w:rPr>
                <w:color w:val="auto"/>
                <w:sz w:val="22"/>
                <w:szCs w:val="22"/>
              </w:rPr>
            </w:pPr>
            <w:r w:rsidRPr="00E27E6D">
              <w:rPr>
                <w:color w:val="auto"/>
                <w:sz w:val="22"/>
                <w:szCs w:val="22"/>
              </w:rPr>
              <w:t>Post-Secondary Co-op/Internship Program</w:t>
            </w:r>
          </w:p>
        </w:tc>
        <w:tc>
          <w:tcPr>
            <w:tcW w:w="1083" w:type="pct"/>
          </w:tcPr>
          <w:p w14:paraId="77E03DB0" w14:textId="77777777" w:rsidR="00C066B6" w:rsidRPr="00E27E6D" w:rsidRDefault="00C066B6" w:rsidP="00E27E6D">
            <w:pPr>
              <w:pStyle w:val="TableTitle"/>
              <w:rPr>
                <w:color w:val="auto"/>
                <w:sz w:val="22"/>
                <w:szCs w:val="22"/>
              </w:rPr>
            </w:pPr>
            <w:r w:rsidRPr="00E27E6D">
              <w:rPr>
                <w:color w:val="auto"/>
                <w:sz w:val="22"/>
                <w:szCs w:val="22"/>
              </w:rPr>
              <w:t>Research Affiliate Program</w:t>
            </w:r>
          </w:p>
        </w:tc>
        <w:tc>
          <w:tcPr>
            <w:tcW w:w="864" w:type="pct"/>
          </w:tcPr>
          <w:p w14:paraId="70AB81B8" w14:textId="77777777" w:rsidR="00C066B6" w:rsidRPr="00E27E6D" w:rsidRDefault="00C066B6" w:rsidP="00E27E6D">
            <w:pPr>
              <w:pStyle w:val="TableTitle"/>
              <w:rPr>
                <w:color w:val="auto"/>
                <w:sz w:val="22"/>
                <w:szCs w:val="22"/>
              </w:rPr>
            </w:pPr>
            <w:r w:rsidRPr="00E27E6D">
              <w:rPr>
                <w:color w:val="auto"/>
                <w:sz w:val="22"/>
                <w:szCs w:val="22"/>
              </w:rPr>
              <w:t>Total</w:t>
            </w:r>
          </w:p>
        </w:tc>
      </w:tr>
      <w:tr w:rsidR="00E27E6D" w:rsidRPr="00E27E6D" w14:paraId="01D8982F" w14:textId="77777777" w:rsidTr="005A204A">
        <w:trPr>
          <w:cantSplit/>
          <w:tblHeader/>
          <w:jc w:val="center"/>
        </w:trPr>
        <w:tc>
          <w:tcPr>
            <w:tcW w:w="639" w:type="pct"/>
          </w:tcPr>
          <w:p w14:paraId="5163DB0A" w14:textId="77777777" w:rsidR="00C066B6" w:rsidRPr="00E27E6D" w:rsidRDefault="00C066B6" w:rsidP="004D4A21">
            <w:pPr>
              <w:autoSpaceDE w:val="0"/>
              <w:autoSpaceDN w:val="0"/>
              <w:adjustRightInd w:val="0"/>
              <w:rPr>
                <w:rFonts w:asciiTheme="minorHAnsi" w:hAnsiTheme="minorHAnsi" w:cstheme="minorHAnsi"/>
                <w:sz w:val="22"/>
                <w:szCs w:val="22"/>
              </w:rPr>
            </w:pPr>
            <w:r w:rsidRPr="00E27E6D">
              <w:rPr>
                <w:rFonts w:asciiTheme="minorHAnsi" w:hAnsiTheme="minorHAnsi" w:cstheme="minorHAnsi"/>
                <w:sz w:val="22"/>
                <w:szCs w:val="22"/>
              </w:rPr>
              <w:t>2015 to 2016</w:t>
            </w:r>
          </w:p>
        </w:tc>
        <w:tc>
          <w:tcPr>
            <w:tcW w:w="1182" w:type="pct"/>
          </w:tcPr>
          <w:p w14:paraId="7ED6E52C"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184</w:t>
            </w:r>
          </w:p>
        </w:tc>
        <w:tc>
          <w:tcPr>
            <w:tcW w:w="1232" w:type="pct"/>
          </w:tcPr>
          <w:p w14:paraId="1522C152"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278</w:t>
            </w:r>
          </w:p>
        </w:tc>
        <w:tc>
          <w:tcPr>
            <w:tcW w:w="1083" w:type="pct"/>
          </w:tcPr>
          <w:p w14:paraId="715F35D6"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45</w:t>
            </w:r>
          </w:p>
        </w:tc>
        <w:tc>
          <w:tcPr>
            <w:tcW w:w="864" w:type="pct"/>
          </w:tcPr>
          <w:p w14:paraId="6CA144C8"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507</w:t>
            </w:r>
          </w:p>
        </w:tc>
      </w:tr>
      <w:tr w:rsidR="00E27E6D" w:rsidRPr="00E27E6D" w14:paraId="12924076" w14:textId="77777777" w:rsidTr="005A204A">
        <w:trPr>
          <w:cantSplit/>
          <w:tblHeader/>
          <w:jc w:val="center"/>
        </w:trPr>
        <w:tc>
          <w:tcPr>
            <w:tcW w:w="639" w:type="pct"/>
          </w:tcPr>
          <w:p w14:paraId="6D52E95C" w14:textId="77777777" w:rsidR="00C066B6" w:rsidRPr="00E27E6D" w:rsidRDefault="00C066B6" w:rsidP="004D4A21">
            <w:pPr>
              <w:autoSpaceDE w:val="0"/>
              <w:autoSpaceDN w:val="0"/>
              <w:adjustRightInd w:val="0"/>
              <w:rPr>
                <w:rFonts w:asciiTheme="minorHAnsi" w:hAnsiTheme="minorHAnsi" w:cstheme="minorHAnsi"/>
                <w:sz w:val="22"/>
                <w:szCs w:val="22"/>
              </w:rPr>
            </w:pPr>
            <w:r w:rsidRPr="00E27E6D">
              <w:rPr>
                <w:rFonts w:asciiTheme="minorHAnsi" w:hAnsiTheme="minorHAnsi" w:cstheme="minorHAnsi"/>
                <w:sz w:val="22"/>
                <w:szCs w:val="22"/>
              </w:rPr>
              <w:t>2016 to 2017</w:t>
            </w:r>
          </w:p>
        </w:tc>
        <w:tc>
          <w:tcPr>
            <w:tcW w:w="1182" w:type="pct"/>
          </w:tcPr>
          <w:p w14:paraId="20CF67A9"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139</w:t>
            </w:r>
          </w:p>
        </w:tc>
        <w:tc>
          <w:tcPr>
            <w:tcW w:w="1232" w:type="pct"/>
          </w:tcPr>
          <w:p w14:paraId="4FC884E7"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242</w:t>
            </w:r>
          </w:p>
        </w:tc>
        <w:tc>
          <w:tcPr>
            <w:tcW w:w="1083" w:type="pct"/>
          </w:tcPr>
          <w:p w14:paraId="5A9F68D5"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42</w:t>
            </w:r>
          </w:p>
        </w:tc>
        <w:tc>
          <w:tcPr>
            <w:tcW w:w="864" w:type="pct"/>
          </w:tcPr>
          <w:p w14:paraId="3085A832"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423</w:t>
            </w:r>
          </w:p>
        </w:tc>
      </w:tr>
      <w:tr w:rsidR="00E27E6D" w:rsidRPr="00E27E6D" w14:paraId="2D843751" w14:textId="77777777" w:rsidTr="005A204A">
        <w:trPr>
          <w:cantSplit/>
          <w:tblHeader/>
          <w:jc w:val="center"/>
        </w:trPr>
        <w:tc>
          <w:tcPr>
            <w:tcW w:w="639" w:type="pct"/>
          </w:tcPr>
          <w:p w14:paraId="0FBFAE7C" w14:textId="77777777" w:rsidR="00C066B6" w:rsidRPr="00E27E6D" w:rsidRDefault="00C066B6" w:rsidP="004D4A21">
            <w:pPr>
              <w:autoSpaceDE w:val="0"/>
              <w:autoSpaceDN w:val="0"/>
              <w:adjustRightInd w:val="0"/>
              <w:rPr>
                <w:rFonts w:asciiTheme="minorHAnsi" w:hAnsiTheme="minorHAnsi" w:cstheme="minorHAnsi"/>
                <w:sz w:val="22"/>
                <w:szCs w:val="22"/>
              </w:rPr>
            </w:pPr>
            <w:r w:rsidRPr="00E27E6D">
              <w:rPr>
                <w:rFonts w:asciiTheme="minorHAnsi" w:hAnsiTheme="minorHAnsi" w:cstheme="minorHAnsi"/>
                <w:sz w:val="22"/>
                <w:szCs w:val="22"/>
              </w:rPr>
              <w:t>2017 to 2018</w:t>
            </w:r>
          </w:p>
        </w:tc>
        <w:tc>
          <w:tcPr>
            <w:tcW w:w="1182" w:type="pct"/>
          </w:tcPr>
          <w:p w14:paraId="479586B1"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168</w:t>
            </w:r>
          </w:p>
        </w:tc>
        <w:tc>
          <w:tcPr>
            <w:tcW w:w="1232" w:type="pct"/>
          </w:tcPr>
          <w:p w14:paraId="4E5CFE41"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251</w:t>
            </w:r>
          </w:p>
        </w:tc>
        <w:tc>
          <w:tcPr>
            <w:tcW w:w="1083" w:type="pct"/>
          </w:tcPr>
          <w:p w14:paraId="6092E82A"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38</w:t>
            </w:r>
          </w:p>
        </w:tc>
        <w:tc>
          <w:tcPr>
            <w:tcW w:w="864" w:type="pct"/>
          </w:tcPr>
          <w:p w14:paraId="7EE18A51"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457</w:t>
            </w:r>
          </w:p>
        </w:tc>
      </w:tr>
      <w:tr w:rsidR="00E27E6D" w:rsidRPr="00E27E6D" w14:paraId="3A7A4778" w14:textId="77777777" w:rsidTr="005A204A">
        <w:trPr>
          <w:cantSplit/>
          <w:tblHeader/>
          <w:jc w:val="center"/>
        </w:trPr>
        <w:tc>
          <w:tcPr>
            <w:tcW w:w="639" w:type="pct"/>
          </w:tcPr>
          <w:p w14:paraId="444AFBDD" w14:textId="77777777" w:rsidR="00C066B6" w:rsidRPr="00E27E6D" w:rsidRDefault="00C066B6" w:rsidP="004D4A21">
            <w:pPr>
              <w:autoSpaceDE w:val="0"/>
              <w:autoSpaceDN w:val="0"/>
              <w:adjustRightInd w:val="0"/>
              <w:rPr>
                <w:rFonts w:asciiTheme="minorHAnsi" w:hAnsiTheme="minorHAnsi" w:cstheme="minorHAnsi"/>
                <w:sz w:val="22"/>
                <w:szCs w:val="22"/>
              </w:rPr>
            </w:pPr>
            <w:r w:rsidRPr="00E27E6D">
              <w:rPr>
                <w:rFonts w:asciiTheme="minorHAnsi" w:hAnsiTheme="minorHAnsi" w:cstheme="minorHAnsi"/>
                <w:sz w:val="22"/>
                <w:szCs w:val="22"/>
              </w:rPr>
              <w:t>2018 to 2019</w:t>
            </w:r>
          </w:p>
        </w:tc>
        <w:tc>
          <w:tcPr>
            <w:tcW w:w="1182" w:type="pct"/>
          </w:tcPr>
          <w:p w14:paraId="0BAD142C"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175</w:t>
            </w:r>
          </w:p>
        </w:tc>
        <w:tc>
          <w:tcPr>
            <w:tcW w:w="1232" w:type="pct"/>
          </w:tcPr>
          <w:p w14:paraId="09EB8905"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281</w:t>
            </w:r>
          </w:p>
        </w:tc>
        <w:tc>
          <w:tcPr>
            <w:tcW w:w="1083" w:type="pct"/>
          </w:tcPr>
          <w:p w14:paraId="2BF43EAA"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29</w:t>
            </w:r>
          </w:p>
        </w:tc>
        <w:tc>
          <w:tcPr>
            <w:tcW w:w="864" w:type="pct"/>
          </w:tcPr>
          <w:p w14:paraId="5414BBED"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485</w:t>
            </w:r>
          </w:p>
        </w:tc>
      </w:tr>
      <w:tr w:rsidR="00E27E6D" w:rsidRPr="00E27E6D" w14:paraId="461C0882" w14:textId="77777777" w:rsidTr="005A204A">
        <w:trPr>
          <w:cantSplit/>
          <w:tblHeader/>
          <w:jc w:val="center"/>
        </w:trPr>
        <w:tc>
          <w:tcPr>
            <w:tcW w:w="639" w:type="pct"/>
          </w:tcPr>
          <w:p w14:paraId="00148E4E" w14:textId="77777777" w:rsidR="00C066B6" w:rsidRPr="00E27E6D" w:rsidRDefault="00C066B6" w:rsidP="004D4A21">
            <w:pPr>
              <w:autoSpaceDE w:val="0"/>
              <w:autoSpaceDN w:val="0"/>
              <w:adjustRightInd w:val="0"/>
              <w:rPr>
                <w:rFonts w:asciiTheme="minorHAnsi" w:hAnsiTheme="minorHAnsi" w:cstheme="minorHAnsi"/>
                <w:sz w:val="22"/>
                <w:szCs w:val="22"/>
              </w:rPr>
            </w:pPr>
            <w:r w:rsidRPr="00E27E6D">
              <w:rPr>
                <w:rFonts w:asciiTheme="minorHAnsi" w:hAnsiTheme="minorHAnsi" w:cstheme="minorHAnsi"/>
                <w:sz w:val="22"/>
                <w:szCs w:val="22"/>
              </w:rPr>
              <w:t>2019 to 2020</w:t>
            </w:r>
          </w:p>
        </w:tc>
        <w:tc>
          <w:tcPr>
            <w:tcW w:w="1182" w:type="pct"/>
          </w:tcPr>
          <w:p w14:paraId="2FA3F34B"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177</w:t>
            </w:r>
          </w:p>
        </w:tc>
        <w:tc>
          <w:tcPr>
            <w:tcW w:w="1232" w:type="pct"/>
          </w:tcPr>
          <w:p w14:paraId="3FB95D7D"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316</w:t>
            </w:r>
          </w:p>
        </w:tc>
        <w:tc>
          <w:tcPr>
            <w:tcW w:w="1083" w:type="pct"/>
          </w:tcPr>
          <w:p w14:paraId="45445256"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12</w:t>
            </w:r>
          </w:p>
        </w:tc>
        <w:tc>
          <w:tcPr>
            <w:tcW w:w="864" w:type="pct"/>
          </w:tcPr>
          <w:p w14:paraId="6917837C" w14:textId="77777777" w:rsidR="00C066B6" w:rsidRPr="00E27E6D" w:rsidRDefault="00C066B6" w:rsidP="004D4A21">
            <w:pPr>
              <w:autoSpaceDE w:val="0"/>
              <w:autoSpaceDN w:val="0"/>
              <w:adjustRightInd w:val="0"/>
              <w:jc w:val="center"/>
              <w:rPr>
                <w:rFonts w:asciiTheme="minorHAnsi" w:hAnsiTheme="minorHAnsi" w:cstheme="minorHAnsi"/>
                <w:sz w:val="22"/>
                <w:szCs w:val="22"/>
              </w:rPr>
            </w:pPr>
            <w:r w:rsidRPr="00E27E6D">
              <w:rPr>
                <w:rFonts w:asciiTheme="minorHAnsi" w:hAnsiTheme="minorHAnsi" w:cstheme="minorHAnsi"/>
                <w:sz w:val="22"/>
                <w:szCs w:val="22"/>
              </w:rPr>
              <w:t>505</w:t>
            </w:r>
          </w:p>
        </w:tc>
      </w:tr>
    </w:tbl>
    <w:p w14:paraId="5AB83338" w14:textId="77777777" w:rsidR="00C066B6" w:rsidRDefault="00C066B6" w:rsidP="00CF4572"/>
    <w:p w14:paraId="6042C293" w14:textId="77777777" w:rsidR="00BE7145" w:rsidRDefault="00BE7145" w:rsidP="00CF4572">
      <w:pPr>
        <w:sectPr w:rsidR="00BE7145" w:rsidSect="00CF4572">
          <w:pgSz w:w="15840" w:h="12240" w:orient="landscape"/>
          <w:pgMar w:top="1025" w:right="720" w:bottom="720" w:left="720" w:header="708" w:footer="708" w:gutter="0"/>
          <w:cols w:space="708"/>
          <w:titlePg/>
          <w:docGrid w:linePitch="360"/>
        </w:sectPr>
      </w:pPr>
    </w:p>
    <w:p w14:paraId="272E7A94" w14:textId="77777777" w:rsidR="00CA626E" w:rsidRPr="00CA626E" w:rsidRDefault="00CA626E" w:rsidP="00CA626E">
      <w:pPr>
        <w:pStyle w:val="Heading1"/>
        <w:spacing w:before="120"/>
        <w:rPr>
          <w:sz w:val="40"/>
          <w:szCs w:val="40"/>
        </w:rPr>
      </w:pPr>
      <w:r w:rsidRPr="00CA626E">
        <w:rPr>
          <w:rFonts w:eastAsia="Times New Roman"/>
          <w:sz w:val="40"/>
          <w:szCs w:val="40"/>
        </w:rPr>
        <w:lastRenderedPageBreak/>
        <w:t>External indeterminate and term hiring activities: Post-Secondary Recruitment Program and former student hires</w:t>
      </w:r>
    </w:p>
    <w:p w14:paraId="4D0029B2" w14:textId="77777777" w:rsidR="00CA626E" w:rsidRDefault="00BE7145" w:rsidP="00CA626E">
      <w:pPr>
        <w:keepNext/>
        <w:jc w:val="center"/>
      </w:pPr>
      <w:r w:rsidRPr="00D43E1F">
        <w:rPr>
          <w:noProof/>
          <w:lang w:val="en-CA" w:eastAsia="en-CA"/>
        </w:rPr>
        <w:drawing>
          <wp:inline distT="0" distB="0" distL="0" distR="0" wp14:anchorId="18415FAC" wp14:editId="7835C296">
            <wp:extent cx="5648400" cy="3049200"/>
            <wp:effectExtent l="0" t="0" r="9525" b="18415"/>
            <wp:docPr id="2" name="Chart 2" descr="External indeterminate and term hiring activities: Post-Secondary Recruitment Program and former student hires&#10;&#10;&#10;External indeterminate and term hiring activities for the Post-Secondary Recruitment Program and former students for the last five fiscal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3AE6756" w14:textId="6268FD41" w:rsidR="00CF4572" w:rsidRPr="00C47261" w:rsidRDefault="00CA626E" w:rsidP="00C47261">
      <w:pPr>
        <w:pStyle w:val="Caption"/>
        <w:spacing w:after="0"/>
        <w:jc w:val="center"/>
        <w:rPr>
          <w:rFonts w:asciiTheme="minorHAnsi" w:hAnsiTheme="minorHAnsi" w:cstheme="minorHAnsi"/>
          <w:i w:val="0"/>
          <w:iCs w:val="0"/>
          <w:color w:val="auto"/>
          <w:sz w:val="22"/>
          <w:szCs w:val="22"/>
          <w:u w:val="single"/>
          <w:lang w:val="en-CA"/>
        </w:rPr>
      </w:pPr>
      <w:r w:rsidRPr="00C47261">
        <w:rPr>
          <w:rFonts w:asciiTheme="minorHAnsi" w:hAnsiTheme="minorHAnsi" w:cstheme="minorHAnsi"/>
          <w:i w:val="0"/>
          <w:iCs w:val="0"/>
          <w:color w:val="auto"/>
        </w:rPr>
        <w:t xml:space="preserve">Figure </w:t>
      </w:r>
      <w:r w:rsidRPr="00C47261">
        <w:rPr>
          <w:rFonts w:asciiTheme="minorHAnsi" w:hAnsiTheme="minorHAnsi" w:cstheme="minorHAnsi"/>
          <w:i w:val="0"/>
          <w:iCs w:val="0"/>
          <w:color w:val="auto"/>
        </w:rPr>
        <w:fldChar w:fldCharType="begin"/>
      </w:r>
      <w:r w:rsidRPr="00C47261">
        <w:rPr>
          <w:rFonts w:asciiTheme="minorHAnsi" w:hAnsiTheme="minorHAnsi" w:cstheme="minorHAnsi"/>
          <w:i w:val="0"/>
          <w:iCs w:val="0"/>
          <w:color w:val="auto"/>
        </w:rPr>
        <w:instrText xml:space="preserve"> SEQ Figure \* ARABIC </w:instrText>
      </w:r>
      <w:r w:rsidRPr="00C47261">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11</w:t>
      </w:r>
      <w:r w:rsidRPr="00C47261">
        <w:rPr>
          <w:rFonts w:asciiTheme="minorHAnsi" w:hAnsiTheme="minorHAnsi" w:cstheme="minorHAnsi"/>
          <w:i w:val="0"/>
          <w:iCs w:val="0"/>
          <w:color w:val="auto"/>
        </w:rPr>
        <w:fldChar w:fldCharType="end"/>
      </w:r>
      <w:r w:rsidRPr="00C47261">
        <w:rPr>
          <w:rFonts w:asciiTheme="minorHAnsi" w:hAnsiTheme="minorHAnsi" w:cstheme="minorHAnsi"/>
          <w:i w:val="0"/>
          <w:iCs w:val="0"/>
          <w:color w:val="auto"/>
        </w:rPr>
        <w:t xml:space="preserve"> - External indeterminate and term hiring activities: Post-Secondary Recruitment Program and former student hires</w:t>
      </w:r>
    </w:p>
    <w:p w14:paraId="6615CD4C" w14:textId="79AC62A9" w:rsidR="00C47261" w:rsidRPr="00C47261" w:rsidRDefault="00C47261" w:rsidP="00C47261">
      <w:pPr>
        <w:pStyle w:val="Caption"/>
        <w:keepNext/>
        <w:spacing w:before="240" w:after="0"/>
        <w:jc w:val="center"/>
        <w:rPr>
          <w:rFonts w:asciiTheme="minorHAnsi" w:hAnsiTheme="minorHAnsi" w:cstheme="minorHAnsi"/>
          <w:i w:val="0"/>
          <w:iCs w:val="0"/>
          <w:color w:val="auto"/>
        </w:rPr>
      </w:pPr>
      <w:r w:rsidRPr="00C47261">
        <w:rPr>
          <w:rFonts w:asciiTheme="minorHAnsi" w:hAnsiTheme="minorHAnsi" w:cstheme="minorHAnsi"/>
          <w:i w:val="0"/>
          <w:iCs w:val="0"/>
          <w:color w:val="auto"/>
        </w:rPr>
        <w:t xml:space="preserve">Table </w:t>
      </w:r>
      <w:r w:rsidRPr="00C47261">
        <w:rPr>
          <w:rFonts w:asciiTheme="minorHAnsi" w:hAnsiTheme="minorHAnsi" w:cstheme="minorHAnsi"/>
          <w:i w:val="0"/>
          <w:iCs w:val="0"/>
          <w:color w:val="auto"/>
        </w:rPr>
        <w:fldChar w:fldCharType="begin"/>
      </w:r>
      <w:r w:rsidRPr="00C47261">
        <w:rPr>
          <w:rFonts w:asciiTheme="minorHAnsi" w:hAnsiTheme="minorHAnsi" w:cstheme="minorHAnsi"/>
          <w:i w:val="0"/>
          <w:iCs w:val="0"/>
          <w:color w:val="auto"/>
        </w:rPr>
        <w:instrText xml:space="preserve"> SEQ Table \* ARABIC </w:instrText>
      </w:r>
      <w:r w:rsidRPr="00C47261">
        <w:rPr>
          <w:rFonts w:asciiTheme="minorHAnsi" w:hAnsiTheme="minorHAnsi" w:cstheme="minorHAnsi"/>
          <w:i w:val="0"/>
          <w:iCs w:val="0"/>
          <w:color w:val="auto"/>
        </w:rPr>
        <w:fldChar w:fldCharType="separate"/>
      </w:r>
      <w:r w:rsidRPr="00C47261">
        <w:rPr>
          <w:rFonts w:asciiTheme="minorHAnsi" w:hAnsiTheme="minorHAnsi" w:cstheme="minorHAnsi"/>
          <w:i w:val="0"/>
          <w:iCs w:val="0"/>
          <w:noProof/>
          <w:color w:val="auto"/>
        </w:rPr>
        <w:t>15</w:t>
      </w:r>
      <w:r w:rsidRPr="00C47261">
        <w:rPr>
          <w:rFonts w:asciiTheme="minorHAnsi" w:hAnsiTheme="minorHAnsi" w:cstheme="minorHAnsi"/>
          <w:i w:val="0"/>
          <w:iCs w:val="0"/>
          <w:color w:val="auto"/>
        </w:rPr>
        <w:fldChar w:fldCharType="end"/>
      </w:r>
      <w:r w:rsidRPr="00C47261">
        <w:rPr>
          <w:rFonts w:asciiTheme="minorHAnsi" w:hAnsiTheme="minorHAnsi" w:cstheme="minorHAnsi"/>
          <w:i w:val="0"/>
          <w:iCs w:val="0"/>
          <w:color w:val="auto"/>
        </w:rPr>
        <w:t xml:space="preserve"> - External indeterminate and term hiring activities: Post-Secondary Recruitment Program and former student hires by fiscal year</w:t>
      </w:r>
    </w:p>
    <w:tbl>
      <w:tblPr>
        <w:tblStyle w:val="TableGrid"/>
        <w:tblW w:w="5000" w:type="pct"/>
        <w:jc w:val="center"/>
        <w:tblLook w:val="0020" w:firstRow="1" w:lastRow="0" w:firstColumn="0" w:lastColumn="0" w:noHBand="0" w:noVBand="0"/>
        <w:tblDescription w:val="External indeterminate and term hiring activities"/>
      </w:tblPr>
      <w:tblGrid>
        <w:gridCol w:w="3540"/>
        <w:gridCol w:w="5811"/>
        <w:gridCol w:w="5039"/>
      </w:tblGrid>
      <w:tr w:rsidR="00C47261" w:rsidRPr="00C47261" w14:paraId="29F3735B" w14:textId="77777777" w:rsidTr="005A204A">
        <w:trPr>
          <w:cantSplit/>
          <w:tblHeader/>
          <w:jc w:val="center"/>
        </w:trPr>
        <w:tc>
          <w:tcPr>
            <w:tcW w:w="1230" w:type="pct"/>
          </w:tcPr>
          <w:p w14:paraId="78A9C2C2" w14:textId="77777777" w:rsidR="00C066B6" w:rsidRPr="00C47261" w:rsidRDefault="00C066B6" w:rsidP="00C47261">
            <w:pPr>
              <w:pStyle w:val="TableTitle"/>
              <w:rPr>
                <w:color w:val="auto"/>
                <w:sz w:val="22"/>
                <w:szCs w:val="22"/>
              </w:rPr>
            </w:pPr>
            <w:r w:rsidRPr="00C47261">
              <w:rPr>
                <w:color w:val="auto"/>
                <w:sz w:val="22"/>
                <w:szCs w:val="22"/>
              </w:rPr>
              <w:t>Fiscal year</w:t>
            </w:r>
          </w:p>
        </w:tc>
        <w:tc>
          <w:tcPr>
            <w:tcW w:w="2019" w:type="pct"/>
          </w:tcPr>
          <w:p w14:paraId="23A17980" w14:textId="77777777" w:rsidR="00C066B6" w:rsidRPr="00C47261" w:rsidRDefault="00C066B6" w:rsidP="00C47261">
            <w:pPr>
              <w:pStyle w:val="TableTitle"/>
              <w:rPr>
                <w:color w:val="auto"/>
                <w:sz w:val="22"/>
                <w:szCs w:val="22"/>
              </w:rPr>
            </w:pPr>
            <w:r w:rsidRPr="00C47261">
              <w:rPr>
                <w:color w:val="auto"/>
                <w:sz w:val="22"/>
                <w:szCs w:val="22"/>
              </w:rPr>
              <w:t>Post-Secondary Recruitment Program hires</w:t>
            </w:r>
          </w:p>
        </w:tc>
        <w:tc>
          <w:tcPr>
            <w:tcW w:w="1751" w:type="pct"/>
          </w:tcPr>
          <w:p w14:paraId="04BEE212" w14:textId="77777777" w:rsidR="00C066B6" w:rsidRPr="00C47261" w:rsidRDefault="00C066B6" w:rsidP="00C47261">
            <w:pPr>
              <w:pStyle w:val="TableTitle"/>
              <w:rPr>
                <w:color w:val="auto"/>
                <w:sz w:val="22"/>
                <w:szCs w:val="22"/>
              </w:rPr>
            </w:pPr>
            <w:r w:rsidRPr="00C47261">
              <w:rPr>
                <w:color w:val="auto"/>
                <w:sz w:val="22"/>
                <w:szCs w:val="22"/>
              </w:rPr>
              <w:t>Hiring of former students</w:t>
            </w:r>
          </w:p>
        </w:tc>
      </w:tr>
      <w:tr w:rsidR="00C47261" w:rsidRPr="00C47261" w14:paraId="5AF3409A" w14:textId="77777777" w:rsidTr="005A204A">
        <w:trPr>
          <w:cantSplit/>
          <w:tblHeader/>
          <w:jc w:val="center"/>
        </w:trPr>
        <w:tc>
          <w:tcPr>
            <w:tcW w:w="1230" w:type="pct"/>
          </w:tcPr>
          <w:p w14:paraId="7B9D20FA" w14:textId="77777777" w:rsidR="00C066B6" w:rsidRPr="00C47261" w:rsidRDefault="00C066B6" w:rsidP="004D4A21">
            <w:pPr>
              <w:autoSpaceDE w:val="0"/>
              <w:autoSpaceDN w:val="0"/>
              <w:adjustRightInd w:val="0"/>
              <w:rPr>
                <w:rFonts w:asciiTheme="minorHAnsi" w:hAnsiTheme="minorHAnsi" w:cstheme="minorHAnsi"/>
                <w:sz w:val="22"/>
                <w:szCs w:val="22"/>
              </w:rPr>
            </w:pPr>
            <w:r w:rsidRPr="00C47261">
              <w:rPr>
                <w:rFonts w:asciiTheme="minorHAnsi" w:hAnsiTheme="minorHAnsi" w:cstheme="minorHAnsi"/>
                <w:sz w:val="22"/>
                <w:szCs w:val="22"/>
              </w:rPr>
              <w:t>2015 to 2016</w:t>
            </w:r>
          </w:p>
        </w:tc>
        <w:tc>
          <w:tcPr>
            <w:tcW w:w="2019" w:type="pct"/>
          </w:tcPr>
          <w:p w14:paraId="56071C7E"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14</w:t>
            </w:r>
          </w:p>
        </w:tc>
        <w:tc>
          <w:tcPr>
            <w:tcW w:w="1751" w:type="pct"/>
          </w:tcPr>
          <w:p w14:paraId="69DCE969"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65</w:t>
            </w:r>
          </w:p>
        </w:tc>
      </w:tr>
      <w:tr w:rsidR="00C47261" w:rsidRPr="00C47261" w14:paraId="2C41F31C" w14:textId="77777777" w:rsidTr="005A204A">
        <w:trPr>
          <w:cantSplit/>
          <w:tblHeader/>
          <w:jc w:val="center"/>
        </w:trPr>
        <w:tc>
          <w:tcPr>
            <w:tcW w:w="1230" w:type="pct"/>
          </w:tcPr>
          <w:p w14:paraId="41023D85" w14:textId="77777777" w:rsidR="00C066B6" w:rsidRPr="00C47261" w:rsidRDefault="00C066B6" w:rsidP="004D4A21">
            <w:pPr>
              <w:autoSpaceDE w:val="0"/>
              <w:autoSpaceDN w:val="0"/>
              <w:adjustRightInd w:val="0"/>
              <w:rPr>
                <w:rFonts w:asciiTheme="minorHAnsi" w:hAnsiTheme="minorHAnsi" w:cstheme="minorHAnsi"/>
                <w:sz w:val="22"/>
                <w:szCs w:val="22"/>
              </w:rPr>
            </w:pPr>
            <w:r w:rsidRPr="00C47261">
              <w:rPr>
                <w:rFonts w:asciiTheme="minorHAnsi" w:hAnsiTheme="minorHAnsi" w:cstheme="minorHAnsi"/>
                <w:sz w:val="22"/>
                <w:szCs w:val="22"/>
              </w:rPr>
              <w:t>2016 to 2017</w:t>
            </w:r>
          </w:p>
        </w:tc>
        <w:tc>
          <w:tcPr>
            <w:tcW w:w="2019" w:type="pct"/>
          </w:tcPr>
          <w:p w14:paraId="0DFEEE89"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13</w:t>
            </w:r>
          </w:p>
        </w:tc>
        <w:tc>
          <w:tcPr>
            <w:tcW w:w="1751" w:type="pct"/>
          </w:tcPr>
          <w:p w14:paraId="0811C1BC"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75</w:t>
            </w:r>
          </w:p>
        </w:tc>
      </w:tr>
      <w:tr w:rsidR="00C47261" w:rsidRPr="00C47261" w14:paraId="039ACFC0" w14:textId="77777777" w:rsidTr="005A204A">
        <w:trPr>
          <w:cantSplit/>
          <w:tblHeader/>
          <w:jc w:val="center"/>
        </w:trPr>
        <w:tc>
          <w:tcPr>
            <w:tcW w:w="1230" w:type="pct"/>
          </w:tcPr>
          <w:p w14:paraId="79183A48" w14:textId="77777777" w:rsidR="00C066B6" w:rsidRPr="00C47261" w:rsidRDefault="00C066B6" w:rsidP="004D4A21">
            <w:pPr>
              <w:autoSpaceDE w:val="0"/>
              <w:autoSpaceDN w:val="0"/>
              <w:adjustRightInd w:val="0"/>
              <w:rPr>
                <w:rFonts w:asciiTheme="minorHAnsi" w:hAnsiTheme="minorHAnsi" w:cstheme="minorHAnsi"/>
                <w:sz w:val="22"/>
                <w:szCs w:val="22"/>
              </w:rPr>
            </w:pPr>
            <w:r w:rsidRPr="00C47261">
              <w:rPr>
                <w:rFonts w:asciiTheme="minorHAnsi" w:hAnsiTheme="minorHAnsi" w:cstheme="minorHAnsi"/>
                <w:sz w:val="22"/>
                <w:szCs w:val="22"/>
              </w:rPr>
              <w:t>2017 to 2018</w:t>
            </w:r>
          </w:p>
        </w:tc>
        <w:tc>
          <w:tcPr>
            <w:tcW w:w="2019" w:type="pct"/>
          </w:tcPr>
          <w:p w14:paraId="3180D671"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5</w:t>
            </w:r>
          </w:p>
        </w:tc>
        <w:tc>
          <w:tcPr>
            <w:tcW w:w="1751" w:type="pct"/>
          </w:tcPr>
          <w:p w14:paraId="36AF7150"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93</w:t>
            </w:r>
          </w:p>
        </w:tc>
      </w:tr>
      <w:tr w:rsidR="00C47261" w:rsidRPr="00C47261" w14:paraId="04D80108" w14:textId="77777777" w:rsidTr="005A204A">
        <w:trPr>
          <w:cantSplit/>
          <w:tblHeader/>
          <w:jc w:val="center"/>
        </w:trPr>
        <w:tc>
          <w:tcPr>
            <w:tcW w:w="1230" w:type="pct"/>
          </w:tcPr>
          <w:p w14:paraId="6520A960" w14:textId="77777777" w:rsidR="00C066B6" w:rsidRPr="00C47261" w:rsidRDefault="00C066B6" w:rsidP="004D4A21">
            <w:pPr>
              <w:autoSpaceDE w:val="0"/>
              <w:autoSpaceDN w:val="0"/>
              <w:adjustRightInd w:val="0"/>
              <w:rPr>
                <w:rFonts w:asciiTheme="minorHAnsi" w:hAnsiTheme="minorHAnsi" w:cstheme="minorHAnsi"/>
                <w:sz w:val="22"/>
                <w:szCs w:val="22"/>
              </w:rPr>
            </w:pPr>
            <w:r w:rsidRPr="00C47261">
              <w:rPr>
                <w:rFonts w:asciiTheme="minorHAnsi" w:hAnsiTheme="minorHAnsi" w:cstheme="minorHAnsi"/>
                <w:sz w:val="22"/>
                <w:szCs w:val="22"/>
              </w:rPr>
              <w:t>2018 to 2019</w:t>
            </w:r>
          </w:p>
        </w:tc>
        <w:tc>
          <w:tcPr>
            <w:tcW w:w="2019" w:type="pct"/>
          </w:tcPr>
          <w:p w14:paraId="310EC3A8"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15</w:t>
            </w:r>
          </w:p>
        </w:tc>
        <w:tc>
          <w:tcPr>
            <w:tcW w:w="1751" w:type="pct"/>
          </w:tcPr>
          <w:p w14:paraId="1E74E092"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126</w:t>
            </w:r>
          </w:p>
        </w:tc>
      </w:tr>
      <w:tr w:rsidR="00C47261" w:rsidRPr="00C47261" w14:paraId="7D708915" w14:textId="77777777" w:rsidTr="005A204A">
        <w:trPr>
          <w:cantSplit/>
          <w:tblHeader/>
          <w:jc w:val="center"/>
        </w:trPr>
        <w:tc>
          <w:tcPr>
            <w:tcW w:w="1230" w:type="pct"/>
          </w:tcPr>
          <w:p w14:paraId="6DAC4806" w14:textId="77777777" w:rsidR="00C066B6" w:rsidRPr="00C47261" w:rsidRDefault="00C066B6" w:rsidP="004D4A21">
            <w:pPr>
              <w:autoSpaceDE w:val="0"/>
              <w:autoSpaceDN w:val="0"/>
              <w:adjustRightInd w:val="0"/>
              <w:rPr>
                <w:rFonts w:asciiTheme="minorHAnsi" w:hAnsiTheme="minorHAnsi" w:cstheme="minorHAnsi"/>
                <w:sz w:val="22"/>
                <w:szCs w:val="22"/>
              </w:rPr>
            </w:pPr>
            <w:r w:rsidRPr="00C47261">
              <w:rPr>
                <w:rFonts w:asciiTheme="minorHAnsi" w:hAnsiTheme="minorHAnsi" w:cstheme="minorHAnsi"/>
                <w:sz w:val="22"/>
                <w:szCs w:val="22"/>
              </w:rPr>
              <w:t>2019 to 2020</w:t>
            </w:r>
          </w:p>
        </w:tc>
        <w:tc>
          <w:tcPr>
            <w:tcW w:w="2019" w:type="pct"/>
          </w:tcPr>
          <w:p w14:paraId="05541042"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5</w:t>
            </w:r>
          </w:p>
        </w:tc>
        <w:tc>
          <w:tcPr>
            <w:tcW w:w="1751" w:type="pct"/>
          </w:tcPr>
          <w:p w14:paraId="0500740B" w14:textId="77777777" w:rsidR="00C066B6" w:rsidRPr="00C47261" w:rsidRDefault="00C066B6" w:rsidP="004D4A21">
            <w:pPr>
              <w:autoSpaceDE w:val="0"/>
              <w:autoSpaceDN w:val="0"/>
              <w:adjustRightInd w:val="0"/>
              <w:jc w:val="center"/>
              <w:rPr>
                <w:rFonts w:asciiTheme="minorHAnsi" w:hAnsiTheme="minorHAnsi" w:cstheme="minorHAnsi"/>
                <w:sz w:val="22"/>
                <w:szCs w:val="22"/>
              </w:rPr>
            </w:pPr>
            <w:r w:rsidRPr="00C47261">
              <w:rPr>
                <w:rFonts w:asciiTheme="minorHAnsi" w:hAnsiTheme="minorHAnsi" w:cstheme="minorHAnsi"/>
                <w:sz w:val="22"/>
                <w:szCs w:val="22"/>
              </w:rPr>
              <w:t>120</w:t>
            </w:r>
          </w:p>
        </w:tc>
      </w:tr>
    </w:tbl>
    <w:p w14:paraId="6147E895" w14:textId="77777777" w:rsidR="00C066B6" w:rsidRPr="00C47261" w:rsidRDefault="00C066B6" w:rsidP="00C066B6">
      <w:pPr>
        <w:rPr>
          <w:rFonts w:asciiTheme="minorHAnsi" w:hAnsiTheme="minorHAnsi" w:cstheme="minorHAnsi"/>
          <w:sz w:val="22"/>
          <w:szCs w:val="22"/>
        </w:rPr>
      </w:pPr>
      <w:r w:rsidRPr="00C47261">
        <w:rPr>
          <w:rFonts w:asciiTheme="minorHAnsi" w:hAnsiTheme="minorHAnsi" w:cstheme="minorHAnsi"/>
          <w:sz w:val="22"/>
          <w:szCs w:val="22"/>
        </w:rPr>
        <w:t>Hiring of former students includes indeterminate and term hires with experience in a federal student recruitment program within the last 10 years.</w:t>
      </w:r>
    </w:p>
    <w:p w14:paraId="786B8A16" w14:textId="60A6A7E2" w:rsidR="00C066B6" w:rsidRPr="00C066B6" w:rsidRDefault="00C066B6" w:rsidP="00720DED">
      <w:pPr>
        <w:rPr>
          <w:rFonts w:ascii="Arial" w:hAnsi="Arial" w:cs="Arial"/>
          <w:sz w:val="22"/>
          <w:szCs w:val="22"/>
          <w:u w:val="single"/>
        </w:rPr>
        <w:sectPr w:rsidR="00C066B6" w:rsidRPr="00C066B6" w:rsidSect="00CF4572">
          <w:pgSz w:w="15840" w:h="12240" w:orient="landscape"/>
          <w:pgMar w:top="1025" w:right="720" w:bottom="720" w:left="720" w:header="708" w:footer="708" w:gutter="0"/>
          <w:cols w:space="708"/>
          <w:titlePg/>
          <w:docGrid w:linePitch="360"/>
        </w:sectPr>
      </w:pPr>
    </w:p>
    <w:p w14:paraId="306FB704" w14:textId="606F5C1E" w:rsidR="00BE7145" w:rsidRPr="00C47261" w:rsidRDefault="00C47261" w:rsidP="00C47261">
      <w:pPr>
        <w:pStyle w:val="Heading1"/>
        <w:spacing w:before="120"/>
        <w:rPr>
          <w:sz w:val="40"/>
          <w:szCs w:val="40"/>
        </w:rPr>
      </w:pPr>
      <w:r w:rsidRPr="00C47261">
        <w:rPr>
          <w:sz w:val="40"/>
          <w:szCs w:val="40"/>
        </w:rPr>
        <w:lastRenderedPageBreak/>
        <w:t>Internal time to staff</w:t>
      </w:r>
    </w:p>
    <w:p w14:paraId="1E3BB8C0" w14:textId="77777777" w:rsidR="00AC4130" w:rsidRDefault="00054942" w:rsidP="00AC4130">
      <w:pPr>
        <w:keepNext/>
      </w:pPr>
      <w:r w:rsidRPr="00D43E1F">
        <w:rPr>
          <w:rFonts w:ascii="Arial" w:hAnsi="Arial" w:cs="Arial"/>
          <w:sz w:val="22"/>
          <w:szCs w:val="22"/>
          <w:u w:val="single"/>
          <w:lang w:val="en-CA"/>
        </w:rPr>
        <w:t>.</w:t>
      </w:r>
      <w:r w:rsidR="00CF4572" w:rsidRPr="00D43E1F">
        <w:rPr>
          <w:noProof/>
          <w:lang w:eastAsia="en-CA"/>
        </w:rPr>
        <w:t xml:space="preserve"> </w:t>
      </w:r>
      <w:r w:rsidR="00CF4572" w:rsidRPr="00D43E1F">
        <w:rPr>
          <w:noProof/>
          <w:lang w:val="en-CA" w:eastAsia="en-CA"/>
        </w:rPr>
        <w:drawing>
          <wp:inline distT="0" distB="0" distL="0" distR="0" wp14:anchorId="72E55934" wp14:editId="5E1A18EA">
            <wp:extent cx="5648400" cy="3049200"/>
            <wp:effectExtent l="0" t="0" r="9525" b="18415"/>
            <wp:docPr id="22" name="Chart 22" descr="Internal time to staff Public service median = 175 day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AC4130" w:rsidRPr="00D43E1F">
        <w:rPr>
          <w:noProof/>
          <w:lang w:val="en-CA" w:eastAsia="en-CA"/>
        </w:rPr>
        <w:drawing>
          <wp:inline distT="0" distB="0" distL="0" distR="0" wp14:anchorId="1EC4E285" wp14:editId="2817E962">
            <wp:extent cx="5648400" cy="3049200"/>
            <wp:effectExtent l="0" t="0" r="9525" b="18415"/>
            <wp:docPr id="10" name="Chart 10" descr="Internal time to staff Natural Resources median = 201 day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CFB8F6B" w14:textId="1B4852FA" w:rsidR="00AC4130" w:rsidRPr="003A7F94" w:rsidRDefault="00AC4130" w:rsidP="00744518">
      <w:pPr>
        <w:pStyle w:val="Caption"/>
        <w:tabs>
          <w:tab w:val="left" w:pos="8647"/>
          <w:tab w:val="left" w:pos="8930"/>
        </w:tabs>
        <w:spacing w:after="0"/>
        <w:rPr>
          <w:rFonts w:asciiTheme="minorHAnsi" w:hAnsiTheme="minorHAnsi" w:cstheme="minorHAnsi"/>
          <w:i w:val="0"/>
          <w:iCs w:val="0"/>
          <w:color w:val="auto"/>
        </w:rPr>
      </w:pPr>
      <w:r w:rsidRPr="003A7F94">
        <w:rPr>
          <w:rFonts w:asciiTheme="minorHAnsi" w:hAnsiTheme="minorHAnsi" w:cstheme="minorHAnsi"/>
          <w:i w:val="0"/>
          <w:iCs w:val="0"/>
          <w:color w:val="auto"/>
        </w:rPr>
        <w:t xml:space="preserve">Figure </w:t>
      </w:r>
      <w:r w:rsidRPr="003A7F94">
        <w:rPr>
          <w:rFonts w:asciiTheme="minorHAnsi" w:hAnsiTheme="minorHAnsi" w:cstheme="minorHAnsi"/>
          <w:i w:val="0"/>
          <w:iCs w:val="0"/>
          <w:color w:val="auto"/>
        </w:rPr>
        <w:fldChar w:fldCharType="begin"/>
      </w:r>
      <w:r w:rsidRPr="003A7F94">
        <w:rPr>
          <w:rFonts w:asciiTheme="minorHAnsi" w:hAnsiTheme="minorHAnsi" w:cstheme="minorHAnsi"/>
          <w:i w:val="0"/>
          <w:iCs w:val="0"/>
          <w:color w:val="auto"/>
        </w:rPr>
        <w:instrText xml:space="preserve"> SEQ Figure \* ARABIC </w:instrText>
      </w:r>
      <w:r w:rsidRPr="003A7F94">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12</w:t>
      </w:r>
      <w:r w:rsidRPr="003A7F94">
        <w:rPr>
          <w:rFonts w:asciiTheme="minorHAnsi" w:hAnsiTheme="minorHAnsi" w:cstheme="minorHAnsi"/>
          <w:i w:val="0"/>
          <w:iCs w:val="0"/>
          <w:color w:val="auto"/>
        </w:rPr>
        <w:fldChar w:fldCharType="end"/>
      </w:r>
      <w:r w:rsidRPr="003A7F94">
        <w:rPr>
          <w:rFonts w:asciiTheme="minorHAnsi" w:hAnsiTheme="minorHAnsi" w:cstheme="minorHAnsi"/>
          <w:i w:val="0"/>
          <w:iCs w:val="0"/>
          <w:color w:val="auto"/>
        </w:rPr>
        <w:t xml:space="preserve"> - Internal time to staff  Public service median = 175 days, 2019-2020</w:t>
      </w:r>
      <w:r w:rsidRPr="003A7F94">
        <w:rPr>
          <w:rFonts w:asciiTheme="minorHAnsi" w:hAnsiTheme="minorHAnsi" w:cstheme="minorHAnsi"/>
          <w:i w:val="0"/>
          <w:iCs w:val="0"/>
          <w:color w:val="auto"/>
        </w:rPr>
        <w:tab/>
      </w:r>
      <w:r w:rsidRPr="003A7F94">
        <w:rPr>
          <w:rFonts w:asciiTheme="minorHAnsi" w:hAnsiTheme="minorHAnsi" w:cstheme="minorHAnsi"/>
          <w:i w:val="0"/>
          <w:iCs w:val="0"/>
          <w:color w:val="auto"/>
        </w:rPr>
        <w:tab/>
      </w:r>
      <w:r w:rsidRPr="003A7F94">
        <w:rPr>
          <w:rFonts w:asciiTheme="minorHAnsi" w:hAnsiTheme="minorHAnsi" w:cstheme="minorHAnsi"/>
          <w:i w:val="0"/>
          <w:iCs w:val="0"/>
          <w:color w:val="auto"/>
        </w:rPr>
        <w:tab/>
        <w:t xml:space="preserve">Figure </w:t>
      </w:r>
      <w:r w:rsidRPr="003A7F94">
        <w:rPr>
          <w:rFonts w:asciiTheme="minorHAnsi" w:hAnsiTheme="minorHAnsi" w:cstheme="minorHAnsi"/>
          <w:i w:val="0"/>
          <w:iCs w:val="0"/>
          <w:color w:val="auto"/>
        </w:rPr>
        <w:fldChar w:fldCharType="begin"/>
      </w:r>
      <w:r w:rsidRPr="003A7F94">
        <w:rPr>
          <w:rFonts w:asciiTheme="minorHAnsi" w:hAnsiTheme="minorHAnsi" w:cstheme="minorHAnsi"/>
          <w:i w:val="0"/>
          <w:iCs w:val="0"/>
          <w:color w:val="auto"/>
        </w:rPr>
        <w:instrText xml:space="preserve"> SEQ Figure \* ARABIC </w:instrText>
      </w:r>
      <w:r w:rsidRPr="003A7F94">
        <w:rPr>
          <w:rFonts w:asciiTheme="minorHAnsi" w:hAnsiTheme="minorHAnsi" w:cstheme="minorHAnsi"/>
          <w:i w:val="0"/>
          <w:iCs w:val="0"/>
          <w:color w:val="auto"/>
        </w:rPr>
        <w:fldChar w:fldCharType="separate"/>
      </w:r>
      <w:r w:rsidR="003A7F94">
        <w:rPr>
          <w:rFonts w:asciiTheme="minorHAnsi" w:hAnsiTheme="minorHAnsi" w:cstheme="minorHAnsi"/>
          <w:i w:val="0"/>
          <w:iCs w:val="0"/>
          <w:noProof/>
          <w:color w:val="auto"/>
        </w:rPr>
        <w:t>13</w:t>
      </w:r>
      <w:r w:rsidRPr="003A7F94">
        <w:rPr>
          <w:rFonts w:asciiTheme="minorHAnsi" w:hAnsiTheme="minorHAnsi" w:cstheme="minorHAnsi"/>
          <w:i w:val="0"/>
          <w:iCs w:val="0"/>
          <w:color w:val="auto"/>
        </w:rPr>
        <w:fldChar w:fldCharType="end"/>
      </w:r>
      <w:r w:rsidRPr="003A7F94">
        <w:rPr>
          <w:rFonts w:asciiTheme="minorHAnsi" w:hAnsiTheme="minorHAnsi" w:cstheme="minorHAnsi"/>
          <w:i w:val="0"/>
          <w:iCs w:val="0"/>
          <w:color w:val="auto"/>
        </w:rPr>
        <w:t xml:space="preserve"> - Internal time to staff </w:t>
      </w:r>
      <w:r w:rsidR="003A7F94">
        <w:rPr>
          <w:rFonts w:asciiTheme="minorHAnsi" w:hAnsiTheme="minorHAnsi" w:cstheme="minorHAnsi"/>
          <w:i w:val="0"/>
          <w:iCs w:val="0"/>
          <w:color w:val="auto"/>
        </w:rPr>
        <w:t>Natural Resources median = 201 days, 2019-2020</w:t>
      </w:r>
    </w:p>
    <w:p w14:paraId="056D8525" w14:textId="21D2E878" w:rsidR="00AC4130" w:rsidRPr="00744518" w:rsidRDefault="00744518" w:rsidP="003A7F94">
      <w:pPr>
        <w:numPr>
          <w:ilvl w:val="1"/>
          <w:numId w:val="0"/>
        </w:numPr>
        <w:spacing w:before="240" w:after="120"/>
        <w:rPr>
          <w:rStyle w:val="Hyperlink"/>
          <w:rFonts w:asciiTheme="minorHAnsi" w:eastAsiaTheme="minorHAnsi" w:hAnsiTheme="minorHAnsi" w:cstheme="minorHAnsi"/>
          <w:sz w:val="22"/>
          <w:szCs w:val="22"/>
          <w:lang w:val="en-CA"/>
        </w:rPr>
      </w:pPr>
      <w:r>
        <w:rPr>
          <w:rFonts w:asciiTheme="minorHAnsi" w:eastAsiaTheme="minorHAnsi" w:hAnsiTheme="minorHAnsi" w:cstheme="minorHAnsi"/>
          <w:sz w:val="22"/>
          <w:szCs w:val="22"/>
          <w:lang w:val="en-CA"/>
        </w:rPr>
        <w:fldChar w:fldCharType="begin"/>
      </w:r>
      <w:r>
        <w:rPr>
          <w:rFonts w:asciiTheme="minorHAnsi" w:eastAsiaTheme="minorHAnsi" w:hAnsiTheme="minorHAnsi" w:cstheme="minorHAnsi"/>
          <w:sz w:val="22"/>
          <w:szCs w:val="22"/>
          <w:lang w:val="en-CA"/>
        </w:rPr>
        <w:instrText xml:space="preserve"> HYPERLINK  \l "Internal_time_to_staff" </w:instrText>
      </w:r>
      <w:r>
        <w:rPr>
          <w:rFonts w:asciiTheme="minorHAnsi" w:eastAsiaTheme="minorHAnsi" w:hAnsiTheme="minorHAnsi" w:cstheme="minorHAnsi"/>
          <w:sz w:val="22"/>
          <w:szCs w:val="22"/>
          <w:lang w:val="en-CA"/>
        </w:rPr>
        <w:fldChar w:fldCharType="separate"/>
      </w:r>
      <w:r w:rsidR="00AC4130" w:rsidRPr="00744518">
        <w:rPr>
          <w:rStyle w:val="Hyperlink"/>
          <w:rFonts w:asciiTheme="minorHAnsi" w:eastAsiaTheme="minorHAnsi" w:hAnsiTheme="minorHAnsi" w:cstheme="minorHAnsi"/>
          <w:sz w:val="22"/>
          <w:szCs w:val="22"/>
          <w:lang w:val="en-CA"/>
        </w:rPr>
        <w:t>Internal time to staff data table available here</w:t>
      </w:r>
    </w:p>
    <w:p w14:paraId="29EE6113" w14:textId="15C47187" w:rsidR="003A7F94" w:rsidRDefault="00744518" w:rsidP="004C602C">
      <w:pPr>
        <w:rPr>
          <w:rFonts w:asciiTheme="minorHAnsi" w:hAnsiTheme="minorHAnsi" w:cstheme="minorHAnsi"/>
          <w:sz w:val="22"/>
          <w:szCs w:val="22"/>
          <w:lang w:eastAsia="en-CA"/>
        </w:rPr>
        <w:sectPr w:rsidR="003A7F94" w:rsidSect="00BE7145">
          <w:pgSz w:w="20160" w:h="12240" w:orient="landscape" w:code="5"/>
          <w:pgMar w:top="1025" w:right="720" w:bottom="720" w:left="720" w:header="708" w:footer="708" w:gutter="0"/>
          <w:cols w:space="708"/>
          <w:titlePg/>
          <w:docGrid w:linePitch="360"/>
        </w:sectPr>
      </w:pPr>
      <w:r>
        <w:rPr>
          <w:rFonts w:asciiTheme="minorHAnsi" w:eastAsiaTheme="minorHAnsi" w:hAnsiTheme="minorHAnsi" w:cstheme="minorHAnsi"/>
          <w:sz w:val="22"/>
          <w:szCs w:val="22"/>
          <w:lang w:val="en-CA"/>
        </w:rPr>
        <w:fldChar w:fldCharType="end"/>
      </w:r>
    </w:p>
    <w:p w14:paraId="71EF12AD" w14:textId="402F15A2" w:rsidR="00BE7145" w:rsidRDefault="00BE7145" w:rsidP="0096103C">
      <w:pPr>
        <w:spacing w:after="120"/>
        <w:rPr>
          <w:rFonts w:asciiTheme="minorHAnsi" w:hAnsiTheme="minorHAnsi" w:cstheme="minorHAnsi"/>
          <w:sz w:val="22"/>
          <w:szCs w:val="22"/>
          <w:lang w:eastAsia="en-CA"/>
        </w:rPr>
      </w:pPr>
      <w:r w:rsidRPr="003A7F94">
        <w:rPr>
          <w:rFonts w:asciiTheme="minorHAnsi" w:hAnsiTheme="minorHAnsi" w:cstheme="minorHAnsi"/>
          <w:sz w:val="22"/>
          <w:szCs w:val="22"/>
          <w:lang w:eastAsia="en-CA"/>
        </w:rPr>
        <w:t>Internal time to staff is calculated as the number of calendar days between the opening date of the advertisement and the date of the first notification</w:t>
      </w:r>
    </w:p>
    <w:p w14:paraId="628578F5" w14:textId="77777777" w:rsidR="0096103C" w:rsidRPr="003A7F94" w:rsidRDefault="0096103C" w:rsidP="0096103C">
      <w:pPr>
        <w:spacing w:after="120"/>
        <w:rPr>
          <w:rFonts w:asciiTheme="minorHAnsi" w:hAnsiTheme="minorHAnsi" w:cstheme="minorHAnsi"/>
          <w:sz w:val="22"/>
          <w:szCs w:val="22"/>
        </w:rPr>
      </w:pPr>
      <w:r w:rsidRPr="003A7F94">
        <w:rPr>
          <w:rFonts w:asciiTheme="minorHAnsi" w:hAnsiTheme="minorHAnsi" w:cstheme="minorHAnsi"/>
          <w:sz w:val="22"/>
          <w:szCs w:val="22"/>
        </w:rPr>
        <w:t xml:space="preserve">The median internal time to staff for the public service (organizations subject to the </w:t>
      </w:r>
      <w:r w:rsidRPr="003A7F94">
        <w:rPr>
          <w:rStyle w:val="Emphasis"/>
          <w:rFonts w:asciiTheme="minorHAnsi" w:hAnsiTheme="minorHAnsi" w:cstheme="minorHAnsi"/>
          <w:sz w:val="22"/>
          <w:szCs w:val="18"/>
        </w:rPr>
        <w:t>Public Service Employment Act</w:t>
      </w:r>
      <w:r w:rsidRPr="003A7F94">
        <w:rPr>
          <w:rFonts w:asciiTheme="minorHAnsi" w:hAnsiTheme="minorHAnsi" w:cstheme="minorHAnsi"/>
          <w:sz w:val="22"/>
          <w:szCs w:val="22"/>
        </w:rPr>
        <w:t>) for fiscal year 2019 to 2020 is 175 days</w:t>
      </w:r>
    </w:p>
    <w:p w14:paraId="3D6F8376" w14:textId="040A3213" w:rsidR="00C47261" w:rsidRPr="0096103C" w:rsidRDefault="003A7F94" w:rsidP="003A7F94">
      <w:pPr>
        <w:spacing w:after="120"/>
        <w:rPr>
          <w:rStyle w:val="Strong"/>
          <w:rFonts w:asciiTheme="minorHAnsi" w:hAnsiTheme="minorHAnsi" w:cstheme="minorHAnsi"/>
          <w:szCs w:val="18"/>
        </w:rPr>
      </w:pPr>
      <w:r>
        <w:rPr>
          <w:rFonts w:asciiTheme="minorHAnsi" w:hAnsiTheme="minorHAnsi" w:cstheme="minorHAnsi"/>
          <w:b/>
          <w:sz w:val="22"/>
          <w:szCs w:val="22"/>
        </w:rPr>
        <w:br w:type="column"/>
      </w:r>
      <w:r w:rsidR="00C47261" w:rsidRPr="0096103C">
        <w:rPr>
          <w:rStyle w:val="Strong"/>
          <w:rFonts w:asciiTheme="minorHAnsi" w:hAnsiTheme="minorHAnsi" w:cstheme="minorHAnsi"/>
          <w:szCs w:val="18"/>
        </w:rPr>
        <w:t>Internal time to staff for fiscal year 2019 to 2020</w:t>
      </w:r>
    </w:p>
    <w:p w14:paraId="4B88EADB" w14:textId="77777777" w:rsidR="00C47261" w:rsidRPr="003A7F94" w:rsidRDefault="00C47261" w:rsidP="004D4A21">
      <w:pPr>
        <w:rPr>
          <w:rFonts w:asciiTheme="minorHAnsi" w:hAnsiTheme="minorHAnsi" w:cstheme="minorHAnsi"/>
          <w:sz w:val="22"/>
          <w:szCs w:val="22"/>
        </w:rPr>
      </w:pPr>
      <w:r w:rsidRPr="003A7F94">
        <w:rPr>
          <w:rFonts w:asciiTheme="minorHAnsi" w:hAnsiTheme="minorHAnsi" w:cstheme="minorHAnsi"/>
          <w:sz w:val="22"/>
          <w:szCs w:val="22"/>
        </w:rPr>
        <w:t>Natural Resources Canada’s median internal time to staff for fiscal year 2019 to 2020 is 201 days</w:t>
      </w:r>
    </w:p>
    <w:p w14:paraId="083C154F" w14:textId="77777777" w:rsidR="003A7F94" w:rsidRDefault="003A7F94" w:rsidP="00CF4572">
      <w:pPr>
        <w:rPr>
          <w:rFonts w:asciiTheme="minorHAnsi" w:hAnsiTheme="minorHAnsi" w:cstheme="minorHAnsi"/>
          <w:noProof/>
          <w:sz w:val="22"/>
          <w:szCs w:val="22"/>
          <w:lang w:eastAsia="en-CA"/>
        </w:rPr>
        <w:sectPr w:rsidR="003A7F94" w:rsidSect="003A7F94">
          <w:type w:val="continuous"/>
          <w:pgSz w:w="20160" w:h="12240" w:orient="landscape" w:code="5"/>
          <w:pgMar w:top="1025" w:right="720" w:bottom="720" w:left="720" w:header="708" w:footer="708" w:gutter="0"/>
          <w:cols w:num="2" w:space="708"/>
          <w:titlePg/>
          <w:docGrid w:linePitch="360"/>
        </w:sectPr>
      </w:pPr>
    </w:p>
    <w:p w14:paraId="5064E615" w14:textId="77777777" w:rsidR="00BE7145" w:rsidRDefault="00BE7145" w:rsidP="00CF4572">
      <w:pPr>
        <w:rPr>
          <w:noProof/>
          <w:lang w:eastAsia="en-CA"/>
        </w:rPr>
        <w:sectPr w:rsidR="00BE7145" w:rsidSect="003A7F94">
          <w:type w:val="continuous"/>
          <w:pgSz w:w="20160" w:h="12240" w:orient="landscape" w:code="5"/>
          <w:pgMar w:top="1025" w:right="720" w:bottom="720" w:left="720" w:header="708" w:footer="708" w:gutter="0"/>
          <w:cols w:space="708"/>
          <w:titlePg/>
          <w:docGrid w:linePitch="360"/>
        </w:sectPr>
      </w:pPr>
    </w:p>
    <w:p w14:paraId="4E3E5395" w14:textId="3E446A29" w:rsidR="00BE7145" w:rsidRPr="00C47261" w:rsidRDefault="00C47261" w:rsidP="00C47261">
      <w:pPr>
        <w:pStyle w:val="Heading1"/>
        <w:spacing w:before="120"/>
        <w:rPr>
          <w:noProof/>
          <w:sz w:val="40"/>
          <w:szCs w:val="40"/>
          <w:lang w:eastAsia="en-CA"/>
        </w:rPr>
      </w:pPr>
      <w:r w:rsidRPr="00C47261">
        <w:rPr>
          <w:noProof/>
          <w:sz w:val="40"/>
          <w:szCs w:val="40"/>
          <w:lang w:eastAsia="en-CA"/>
        </w:rPr>
        <w:lastRenderedPageBreak/>
        <w:t>Internal time to staff</w:t>
      </w:r>
    </w:p>
    <w:tbl>
      <w:tblPr>
        <w:tblStyle w:val="TableGrid"/>
        <w:tblW w:w="5071" w:type="pct"/>
        <w:jc w:val="center"/>
        <w:tblLook w:val="0020" w:firstRow="1" w:lastRow="0" w:firstColumn="0" w:lastColumn="0" w:noHBand="0" w:noVBand="0"/>
        <w:tblDescription w:val="Internal time to staff"/>
      </w:tblPr>
      <w:tblGrid>
        <w:gridCol w:w="2714"/>
        <w:gridCol w:w="3960"/>
        <w:gridCol w:w="3960"/>
      </w:tblGrid>
      <w:tr w:rsidR="003A7F94" w:rsidRPr="003A7F94" w14:paraId="28EF8BA1" w14:textId="77777777" w:rsidTr="005A204A">
        <w:trPr>
          <w:cantSplit/>
          <w:trHeight w:val="290"/>
          <w:tblHeader/>
          <w:jc w:val="center"/>
        </w:trPr>
        <w:tc>
          <w:tcPr>
            <w:tcW w:w="734" w:type="pct"/>
          </w:tcPr>
          <w:p w14:paraId="61F69647" w14:textId="77777777" w:rsidR="00C066B6" w:rsidRPr="003A7F94" w:rsidRDefault="00C066B6" w:rsidP="003A7F94">
            <w:pPr>
              <w:pStyle w:val="TableTitle"/>
              <w:rPr>
                <w:rFonts w:cs="Segoe UI Semibold"/>
                <w:color w:val="auto"/>
                <w:sz w:val="22"/>
                <w:szCs w:val="22"/>
              </w:rPr>
            </w:pPr>
            <w:bookmarkStart w:id="3" w:name="Internal_time_to_staff"/>
            <w:r w:rsidRPr="003A7F94">
              <w:rPr>
                <w:rFonts w:cs="Segoe UI Semibold"/>
                <w:color w:val="auto"/>
                <w:sz w:val="22"/>
                <w:szCs w:val="22"/>
              </w:rPr>
              <w:t>Number of calendar days</w:t>
            </w:r>
            <w:bookmarkEnd w:id="3"/>
          </w:p>
        </w:tc>
        <w:tc>
          <w:tcPr>
            <w:tcW w:w="1071" w:type="pct"/>
          </w:tcPr>
          <w:p w14:paraId="4BF00E70" w14:textId="12C5B9E9" w:rsidR="00C066B6" w:rsidRPr="003A7F94" w:rsidRDefault="00C066B6" w:rsidP="003A7F94">
            <w:pPr>
              <w:pStyle w:val="TableTitle"/>
              <w:rPr>
                <w:rFonts w:cs="Segoe UI Semibold"/>
                <w:color w:val="auto"/>
                <w:sz w:val="22"/>
                <w:szCs w:val="22"/>
              </w:rPr>
            </w:pPr>
            <w:r w:rsidRPr="003A7F94">
              <w:rPr>
                <w:rFonts w:cs="Segoe UI Semibold"/>
                <w:color w:val="auto"/>
                <w:sz w:val="22"/>
                <w:szCs w:val="22"/>
              </w:rPr>
              <w:t xml:space="preserve">The number of internal appointments for which the TTS-IA was within the specified number of calendar days for organizations subject to the </w:t>
            </w:r>
            <w:r w:rsidRPr="003A7F94">
              <w:rPr>
                <w:rStyle w:val="Emphasis"/>
                <w:rFonts w:cs="Segoe UI Semibold"/>
                <w:color w:val="auto"/>
                <w:sz w:val="22"/>
                <w:szCs w:val="22"/>
              </w:rPr>
              <w:t>Public Service Employment Act</w:t>
            </w:r>
          </w:p>
        </w:tc>
        <w:tc>
          <w:tcPr>
            <w:tcW w:w="1071" w:type="pct"/>
          </w:tcPr>
          <w:p w14:paraId="5366C710" w14:textId="77777777" w:rsidR="00C066B6" w:rsidRPr="003A7F94" w:rsidRDefault="00C066B6" w:rsidP="003A7F94">
            <w:pPr>
              <w:pStyle w:val="TableTitle"/>
              <w:rPr>
                <w:rFonts w:cs="Segoe UI Semibold"/>
                <w:color w:val="auto"/>
                <w:sz w:val="22"/>
                <w:szCs w:val="22"/>
              </w:rPr>
            </w:pPr>
            <w:r w:rsidRPr="003A7F94">
              <w:rPr>
                <w:rFonts w:cs="Segoe UI Semibold"/>
                <w:color w:val="auto"/>
                <w:sz w:val="22"/>
                <w:szCs w:val="22"/>
              </w:rPr>
              <w:t>The number of internal appointments for which the TTS-IA was within the specified number of calendar days for the specified organization</w:t>
            </w:r>
          </w:p>
        </w:tc>
      </w:tr>
      <w:tr w:rsidR="00C066B6" w:rsidRPr="00906821" w14:paraId="1338A1D6" w14:textId="77777777" w:rsidTr="005A204A">
        <w:trPr>
          <w:cantSplit/>
          <w:trHeight w:val="290"/>
          <w:tblHeader/>
          <w:jc w:val="center"/>
        </w:trPr>
        <w:tc>
          <w:tcPr>
            <w:tcW w:w="734" w:type="pct"/>
          </w:tcPr>
          <w:p w14:paraId="08CC58AA"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0 calendar days</w:t>
            </w:r>
          </w:p>
        </w:tc>
        <w:tc>
          <w:tcPr>
            <w:tcW w:w="1071" w:type="pct"/>
          </w:tcPr>
          <w:p w14:paraId="22721593"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c>
          <w:tcPr>
            <w:tcW w:w="1071" w:type="pct"/>
          </w:tcPr>
          <w:p w14:paraId="0DB27B80"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906821" w14:paraId="737A4A90" w14:textId="77777777" w:rsidTr="005A204A">
        <w:trPr>
          <w:cantSplit/>
          <w:trHeight w:val="290"/>
          <w:tblHeader/>
          <w:jc w:val="center"/>
        </w:trPr>
        <w:tc>
          <w:tcPr>
            <w:tcW w:w="734" w:type="pct"/>
          </w:tcPr>
          <w:p w14:paraId="7EA55B64"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0 to 29 calendar days</w:t>
            </w:r>
          </w:p>
        </w:tc>
        <w:tc>
          <w:tcPr>
            <w:tcW w:w="1071" w:type="pct"/>
          </w:tcPr>
          <w:p w14:paraId="28B00490"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13</w:t>
            </w:r>
          </w:p>
        </w:tc>
        <w:tc>
          <w:tcPr>
            <w:tcW w:w="1071" w:type="pct"/>
          </w:tcPr>
          <w:p w14:paraId="03ABDE42"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5493C9DD" w14:textId="77777777" w:rsidTr="005A204A">
        <w:trPr>
          <w:cantSplit/>
          <w:trHeight w:val="290"/>
          <w:tblHeader/>
          <w:jc w:val="center"/>
        </w:trPr>
        <w:tc>
          <w:tcPr>
            <w:tcW w:w="734" w:type="pct"/>
          </w:tcPr>
          <w:p w14:paraId="358B662E"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30 to 59 calendar days</w:t>
            </w:r>
          </w:p>
        </w:tc>
        <w:tc>
          <w:tcPr>
            <w:tcW w:w="1071" w:type="pct"/>
          </w:tcPr>
          <w:p w14:paraId="3FDBD3E5"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106</w:t>
            </w:r>
          </w:p>
        </w:tc>
        <w:tc>
          <w:tcPr>
            <w:tcW w:w="1071" w:type="pct"/>
          </w:tcPr>
          <w:p w14:paraId="6F5CC238"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w:t>
            </w:r>
          </w:p>
        </w:tc>
      </w:tr>
      <w:tr w:rsidR="00C066B6" w:rsidRPr="00BC3AD6" w14:paraId="40FB715B" w14:textId="77777777" w:rsidTr="005A204A">
        <w:trPr>
          <w:cantSplit/>
          <w:trHeight w:val="290"/>
          <w:tblHeader/>
          <w:jc w:val="center"/>
        </w:trPr>
        <w:tc>
          <w:tcPr>
            <w:tcW w:w="734" w:type="pct"/>
          </w:tcPr>
          <w:p w14:paraId="44B4164D"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60 to 89 calendar days</w:t>
            </w:r>
          </w:p>
        </w:tc>
        <w:tc>
          <w:tcPr>
            <w:tcW w:w="1071" w:type="pct"/>
          </w:tcPr>
          <w:p w14:paraId="4BC85AD8"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256</w:t>
            </w:r>
          </w:p>
        </w:tc>
        <w:tc>
          <w:tcPr>
            <w:tcW w:w="1071" w:type="pct"/>
          </w:tcPr>
          <w:p w14:paraId="6051E643"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4</w:t>
            </w:r>
          </w:p>
        </w:tc>
      </w:tr>
      <w:tr w:rsidR="00C066B6" w:rsidRPr="00BC3AD6" w14:paraId="3C63C732" w14:textId="77777777" w:rsidTr="005A204A">
        <w:trPr>
          <w:cantSplit/>
          <w:trHeight w:val="290"/>
          <w:tblHeader/>
          <w:jc w:val="center"/>
        </w:trPr>
        <w:tc>
          <w:tcPr>
            <w:tcW w:w="734" w:type="pct"/>
          </w:tcPr>
          <w:p w14:paraId="093881CF"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90 to 119 calendar days</w:t>
            </w:r>
          </w:p>
        </w:tc>
        <w:tc>
          <w:tcPr>
            <w:tcW w:w="1071" w:type="pct"/>
          </w:tcPr>
          <w:p w14:paraId="57D89C31"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331</w:t>
            </w:r>
          </w:p>
        </w:tc>
        <w:tc>
          <w:tcPr>
            <w:tcW w:w="1071" w:type="pct"/>
          </w:tcPr>
          <w:p w14:paraId="2BECF445"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9</w:t>
            </w:r>
          </w:p>
        </w:tc>
      </w:tr>
      <w:tr w:rsidR="00C066B6" w:rsidRPr="00BC3AD6" w14:paraId="2C848395" w14:textId="77777777" w:rsidTr="005A204A">
        <w:trPr>
          <w:cantSplit/>
          <w:trHeight w:val="290"/>
          <w:tblHeader/>
          <w:jc w:val="center"/>
        </w:trPr>
        <w:tc>
          <w:tcPr>
            <w:tcW w:w="734" w:type="pct"/>
          </w:tcPr>
          <w:p w14:paraId="5ADD919E"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120 to 149 calendar days</w:t>
            </w:r>
          </w:p>
        </w:tc>
        <w:tc>
          <w:tcPr>
            <w:tcW w:w="1071" w:type="pct"/>
          </w:tcPr>
          <w:p w14:paraId="01284D0B"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313</w:t>
            </w:r>
          </w:p>
        </w:tc>
        <w:tc>
          <w:tcPr>
            <w:tcW w:w="1071" w:type="pct"/>
          </w:tcPr>
          <w:p w14:paraId="02204F07"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2</w:t>
            </w:r>
          </w:p>
        </w:tc>
      </w:tr>
      <w:tr w:rsidR="00C066B6" w:rsidRPr="00BC3AD6" w14:paraId="528C8FD3" w14:textId="77777777" w:rsidTr="005A204A">
        <w:trPr>
          <w:cantSplit/>
          <w:trHeight w:val="290"/>
          <w:tblHeader/>
          <w:jc w:val="center"/>
        </w:trPr>
        <w:tc>
          <w:tcPr>
            <w:tcW w:w="734" w:type="pct"/>
          </w:tcPr>
          <w:p w14:paraId="72B8A767"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150 to 179 calendar days</w:t>
            </w:r>
          </w:p>
        </w:tc>
        <w:tc>
          <w:tcPr>
            <w:tcW w:w="1071" w:type="pct"/>
          </w:tcPr>
          <w:p w14:paraId="30FB1BC8"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314</w:t>
            </w:r>
          </w:p>
        </w:tc>
        <w:tc>
          <w:tcPr>
            <w:tcW w:w="1071" w:type="pct"/>
          </w:tcPr>
          <w:p w14:paraId="2C65A58B"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6</w:t>
            </w:r>
          </w:p>
        </w:tc>
      </w:tr>
      <w:tr w:rsidR="00C066B6" w:rsidRPr="00BC3AD6" w14:paraId="62F59844" w14:textId="77777777" w:rsidTr="005A204A">
        <w:trPr>
          <w:cantSplit/>
          <w:trHeight w:val="290"/>
          <w:tblHeader/>
          <w:jc w:val="center"/>
        </w:trPr>
        <w:tc>
          <w:tcPr>
            <w:tcW w:w="734" w:type="pct"/>
          </w:tcPr>
          <w:p w14:paraId="757672AE"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180 to 209 calendar days</w:t>
            </w:r>
          </w:p>
        </w:tc>
        <w:tc>
          <w:tcPr>
            <w:tcW w:w="1071" w:type="pct"/>
          </w:tcPr>
          <w:p w14:paraId="5C1A8607"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258</w:t>
            </w:r>
          </w:p>
        </w:tc>
        <w:tc>
          <w:tcPr>
            <w:tcW w:w="1071" w:type="pct"/>
          </w:tcPr>
          <w:p w14:paraId="0094AE76"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5</w:t>
            </w:r>
          </w:p>
        </w:tc>
      </w:tr>
      <w:tr w:rsidR="00C066B6" w:rsidRPr="00BC3AD6" w14:paraId="13959F73" w14:textId="77777777" w:rsidTr="005A204A">
        <w:trPr>
          <w:cantSplit/>
          <w:trHeight w:val="290"/>
          <w:tblHeader/>
          <w:jc w:val="center"/>
        </w:trPr>
        <w:tc>
          <w:tcPr>
            <w:tcW w:w="734" w:type="pct"/>
          </w:tcPr>
          <w:p w14:paraId="02DF59C6"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210 to 239 calendar days</w:t>
            </w:r>
          </w:p>
        </w:tc>
        <w:tc>
          <w:tcPr>
            <w:tcW w:w="1071" w:type="pct"/>
          </w:tcPr>
          <w:p w14:paraId="4D83C38A"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191</w:t>
            </w:r>
          </w:p>
        </w:tc>
        <w:tc>
          <w:tcPr>
            <w:tcW w:w="1071" w:type="pct"/>
          </w:tcPr>
          <w:p w14:paraId="52F17155"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5</w:t>
            </w:r>
          </w:p>
        </w:tc>
      </w:tr>
      <w:tr w:rsidR="00C066B6" w:rsidRPr="00BC3AD6" w14:paraId="6B8E0BE2" w14:textId="77777777" w:rsidTr="005A204A">
        <w:trPr>
          <w:cantSplit/>
          <w:trHeight w:val="290"/>
          <w:tblHeader/>
          <w:jc w:val="center"/>
        </w:trPr>
        <w:tc>
          <w:tcPr>
            <w:tcW w:w="734" w:type="pct"/>
          </w:tcPr>
          <w:p w14:paraId="6E12C2E2"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240 to 269 calendar days</w:t>
            </w:r>
          </w:p>
        </w:tc>
        <w:tc>
          <w:tcPr>
            <w:tcW w:w="1071" w:type="pct"/>
          </w:tcPr>
          <w:p w14:paraId="60CB5C93"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143</w:t>
            </w:r>
          </w:p>
        </w:tc>
        <w:tc>
          <w:tcPr>
            <w:tcW w:w="1071" w:type="pct"/>
          </w:tcPr>
          <w:p w14:paraId="74AB52A2"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5</w:t>
            </w:r>
          </w:p>
        </w:tc>
      </w:tr>
      <w:tr w:rsidR="00C066B6" w:rsidRPr="00BC3AD6" w14:paraId="3C71DB1D" w14:textId="77777777" w:rsidTr="005A204A">
        <w:trPr>
          <w:cantSplit/>
          <w:trHeight w:val="290"/>
          <w:tblHeader/>
          <w:jc w:val="center"/>
        </w:trPr>
        <w:tc>
          <w:tcPr>
            <w:tcW w:w="734" w:type="pct"/>
          </w:tcPr>
          <w:p w14:paraId="436AC0D5"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270 to 299 calendar days</w:t>
            </w:r>
          </w:p>
        </w:tc>
        <w:tc>
          <w:tcPr>
            <w:tcW w:w="1071" w:type="pct"/>
          </w:tcPr>
          <w:p w14:paraId="71747C39"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109</w:t>
            </w:r>
          </w:p>
        </w:tc>
        <w:tc>
          <w:tcPr>
            <w:tcW w:w="1071" w:type="pct"/>
          </w:tcPr>
          <w:p w14:paraId="1CCE968A"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3</w:t>
            </w:r>
          </w:p>
        </w:tc>
      </w:tr>
      <w:tr w:rsidR="00C066B6" w:rsidRPr="00BC3AD6" w14:paraId="1E1406CA" w14:textId="77777777" w:rsidTr="005A204A">
        <w:trPr>
          <w:cantSplit/>
          <w:trHeight w:val="290"/>
          <w:tblHeader/>
          <w:jc w:val="center"/>
        </w:trPr>
        <w:tc>
          <w:tcPr>
            <w:tcW w:w="734" w:type="pct"/>
          </w:tcPr>
          <w:p w14:paraId="76EFBD1A"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300 to 329 calendar days</w:t>
            </w:r>
          </w:p>
        </w:tc>
        <w:tc>
          <w:tcPr>
            <w:tcW w:w="1071" w:type="pct"/>
          </w:tcPr>
          <w:p w14:paraId="663678EB"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91</w:t>
            </w:r>
          </w:p>
        </w:tc>
        <w:tc>
          <w:tcPr>
            <w:tcW w:w="1071" w:type="pct"/>
          </w:tcPr>
          <w:p w14:paraId="52C9AD8E"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w:t>
            </w:r>
          </w:p>
        </w:tc>
      </w:tr>
      <w:tr w:rsidR="00C066B6" w:rsidRPr="00BC3AD6" w14:paraId="3A307809" w14:textId="77777777" w:rsidTr="005A204A">
        <w:trPr>
          <w:cantSplit/>
          <w:trHeight w:val="290"/>
          <w:tblHeader/>
          <w:jc w:val="center"/>
        </w:trPr>
        <w:tc>
          <w:tcPr>
            <w:tcW w:w="734" w:type="pct"/>
          </w:tcPr>
          <w:p w14:paraId="015543EF"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330 to 359 calendar days</w:t>
            </w:r>
          </w:p>
        </w:tc>
        <w:tc>
          <w:tcPr>
            <w:tcW w:w="1071" w:type="pct"/>
          </w:tcPr>
          <w:p w14:paraId="3F1BE56A"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70</w:t>
            </w:r>
          </w:p>
        </w:tc>
        <w:tc>
          <w:tcPr>
            <w:tcW w:w="1071" w:type="pct"/>
          </w:tcPr>
          <w:p w14:paraId="2C3CF930"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w:t>
            </w:r>
          </w:p>
        </w:tc>
      </w:tr>
      <w:tr w:rsidR="00C066B6" w:rsidRPr="00BC3AD6" w14:paraId="20CFEEF2" w14:textId="77777777" w:rsidTr="005A204A">
        <w:trPr>
          <w:cantSplit/>
          <w:trHeight w:val="290"/>
          <w:tblHeader/>
          <w:jc w:val="center"/>
        </w:trPr>
        <w:tc>
          <w:tcPr>
            <w:tcW w:w="734" w:type="pct"/>
          </w:tcPr>
          <w:p w14:paraId="7079C3B0"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360 to 389 calendar days</w:t>
            </w:r>
          </w:p>
        </w:tc>
        <w:tc>
          <w:tcPr>
            <w:tcW w:w="1071" w:type="pct"/>
          </w:tcPr>
          <w:p w14:paraId="0A552FA7"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49</w:t>
            </w:r>
          </w:p>
        </w:tc>
        <w:tc>
          <w:tcPr>
            <w:tcW w:w="1071" w:type="pct"/>
          </w:tcPr>
          <w:p w14:paraId="0111BEC3"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2</w:t>
            </w:r>
          </w:p>
        </w:tc>
      </w:tr>
      <w:tr w:rsidR="00C066B6" w:rsidRPr="00BC3AD6" w14:paraId="1428EC82" w14:textId="77777777" w:rsidTr="005A204A">
        <w:trPr>
          <w:cantSplit/>
          <w:trHeight w:val="290"/>
          <w:tblHeader/>
          <w:jc w:val="center"/>
        </w:trPr>
        <w:tc>
          <w:tcPr>
            <w:tcW w:w="734" w:type="pct"/>
          </w:tcPr>
          <w:p w14:paraId="640E84EB"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390 to 419 calendar days</w:t>
            </w:r>
          </w:p>
        </w:tc>
        <w:tc>
          <w:tcPr>
            <w:tcW w:w="1071" w:type="pct"/>
          </w:tcPr>
          <w:p w14:paraId="1C0E09E5"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43</w:t>
            </w:r>
          </w:p>
        </w:tc>
        <w:tc>
          <w:tcPr>
            <w:tcW w:w="1071" w:type="pct"/>
          </w:tcPr>
          <w:p w14:paraId="619E622B"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3</w:t>
            </w:r>
          </w:p>
        </w:tc>
      </w:tr>
      <w:tr w:rsidR="00C066B6" w:rsidRPr="00BC3AD6" w14:paraId="72D93E2E" w14:textId="77777777" w:rsidTr="005A204A">
        <w:trPr>
          <w:cantSplit/>
          <w:trHeight w:val="290"/>
          <w:tblHeader/>
          <w:jc w:val="center"/>
        </w:trPr>
        <w:tc>
          <w:tcPr>
            <w:tcW w:w="734" w:type="pct"/>
          </w:tcPr>
          <w:p w14:paraId="0105E563"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420 to 449 calendar days</w:t>
            </w:r>
          </w:p>
        </w:tc>
        <w:tc>
          <w:tcPr>
            <w:tcW w:w="1071" w:type="pct"/>
          </w:tcPr>
          <w:p w14:paraId="5A3DB63E"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41</w:t>
            </w:r>
          </w:p>
        </w:tc>
        <w:tc>
          <w:tcPr>
            <w:tcW w:w="1071" w:type="pct"/>
          </w:tcPr>
          <w:p w14:paraId="0C8559F8"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w:t>
            </w:r>
          </w:p>
        </w:tc>
      </w:tr>
      <w:tr w:rsidR="00C066B6" w:rsidRPr="00BC3AD6" w14:paraId="03E825FB" w14:textId="77777777" w:rsidTr="005A204A">
        <w:trPr>
          <w:cantSplit/>
          <w:trHeight w:val="290"/>
          <w:tblHeader/>
          <w:jc w:val="center"/>
        </w:trPr>
        <w:tc>
          <w:tcPr>
            <w:tcW w:w="734" w:type="pct"/>
          </w:tcPr>
          <w:p w14:paraId="133368AB"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450 to 479 calendar days</w:t>
            </w:r>
          </w:p>
        </w:tc>
        <w:tc>
          <w:tcPr>
            <w:tcW w:w="1071" w:type="pct"/>
          </w:tcPr>
          <w:p w14:paraId="364328A3"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36</w:t>
            </w:r>
          </w:p>
        </w:tc>
        <w:tc>
          <w:tcPr>
            <w:tcW w:w="1071" w:type="pct"/>
          </w:tcPr>
          <w:p w14:paraId="497AB7C0"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w:t>
            </w:r>
          </w:p>
        </w:tc>
      </w:tr>
      <w:tr w:rsidR="00C066B6" w:rsidRPr="00BC3AD6" w14:paraId="696784EE" w14:textId="77777777" w:rsidTr="005A204A">
        <w:trPr>
          <w:cantSplit/>
          <w:trHeight w:val="290"/>
          <w:tblHeader/>
          <w:jc w:val="center"/>
        </w:trPr>
        <w:tc>
          <w:tcPr>
            <w:tcW w:w="734" w:type="pct"/>
          </w:tcPr>
          <w:p w14:paraId="7C05D0DE"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480 to 509 calendar days</w:t>
            </w:r>
          </w:p>
        </w:tc>
        <w:tc>
          <w:tcPr>
            <w:tcW w:w="1071" w:type="pct"/>
          </w:tcPr>
          <w:p w14:paraId="062AC7D1"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20</w:t>
            </w:r>
          </w:p>
        </w:tc>
        <w:tc>
          <w:tcPr>
            <w:tcW w:w="1071" w:type="pct"/>
          </w:tcPr>
          <w:p w14:paraId="32405772"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00809992" w14:textId="77777777" w:rsidTr="005A204A">
        <w:trPr>
          <w:cantSplit/>
          <w:trHeight w:val="290"/>
          <w:tblHeader/>
          <w:jc w:val="center"/>
        </w:trPr>
        <w:tc>
          <w:tcPr>
            <w:tcW w:w="734" w:type="pct"/>
          </w:tcPr>
          <w:p w14:paraId="43639A78"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510 to 539 calendar days</w:t>
            </w:r>
          </w:p>
        </w:tc>
        <w:tc>
          <w:tcPr>
            <w:tcW w:w="1071" w:type="pct"/>
          </w:tcPr>
          <w:p w14:paraId="5F29B8AC"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15</w:t>
            </w:r>
          </w:p>
        </w:tc>
        <w:tc>
          <w:tcPr>
            <w:tcW w:w="1071" w:type="pct"/>
          </w:tcPr>
          <w:p w14:paraId="5E9E7879"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445C9FDF" w14:textId="77777777" w:rsidTr="005A204A">
        <w:trPr>
          <w:cantSplit/>
          <w:trHeight w:val="290"/>
          <w:tblHeader/>
          <w:jc w:val="center"/>
        </w:trPr>
        <w:tc>
          <w:tcPr>
            <w:tcW w:w="734" w:type="pct"/>
          </w:tcPr>
          <w:p w14:paraId="609020D2"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540 to 569 calendar days</w:t>
            </w:r>
          </w:p>
        </w:tc>
        <w:tc>
          <w:tcPr>
            <w:tcW w:w="1071" w:type="pct"/>
          </w:tcPr>
          <w:p w14:paraId="14480DA2"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23</w:t>
            </w:r>
          </w:p>
        </w:tc>
        <w:tc>
          <w:tcPr>
            <w:tcW w:w="1071" w:type="pct"/>
          </w:tcPr>
          <w:p w14:paraId="2B3FA9AA"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w:t>
            </w:r>
          </w:p>
        </w:tc>
      </w:tr>
      <w:tr w:rsidR="00C066B6" w:rsidRPr="00BC3AD6" w14:paraId="6A96F2D6" w14:textId="77777777" w:rsidTr="005A204A">
        <w:trPr>
          <w:cantSplit/>
          <w:trHeight w:val="290"/>
          <w:tblHeader/>
          <w:jc w:val="center"/>
        </w:trPr>
        <w:tc>
          <w:tcPr>
            <w:tcW w:w="734" w:type="pct"/>
          </w:tcPr>
          <w:p w14:paraId="306E01EF"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570 to 599 calendar days</w:t>
            </w:r>
          </w:p>
        </w:tc>
        <w:tc>
          <w:tcPr>
            <w:tcW w:w="1071" w:type="pct"/>
          </w:tcPr>
          <w:p w14:paraId="074CF216"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20</w:t>
            </w:r>
          </w:p>
        </w:tc>
        <w:tc>
          <w:tcPr>
            <w:tcW w:w="1071" w:type="pct"/>
          </w:tcPr>
          <w:p w14:paraId="2DEFFBAD"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748CBB5C" w14:textId="77777777" w:rsidTr="005A204A">
        <w:trPr>
          <w:cantSplit/>
          <w:trHeight w:val="290"/>
          <w:tblHeader/>
          <w:jc w:val="center"/>
        </w:trPr>
        <w:tc>
          <w:tcPr>
            <w:tcW w:w="734" w:type="pct"/>
          </w:tcPr>
          <w:p w14:paraId="3BEEF786"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600 to 629 calendar days</w:t>
            </w:r>
          </w:p>
        </w:tc>
        <w:tc>
          <w:tcPr>
            <w:tcW w:w="1071" w:type="pct"/>
          </w:tcPr>
          <w:p w14:paraId="599AAC37"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18</w:t>
            </w:r>
          </w:p>
        </w:tc>
        <w:tc>
          <w:tcPr>
            <w:tcW w:w="1071" w:type="pct"/>
          </w:tcPr>
          <w:p w14:paraId="1DCDA056"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72ADABCB" w14:textId="77777777" w:rsidTr="005A204A">
        <w:trPr>
          <w:cantSplit/>
          <w:trHeight w:val="290"/>
          <w:tblHeader/>
          <w:jc w:val="center"/>
        </w:trPr>
        <w:tc>
          <w:tcPr>
            <w:tcW w:w="734" w:type="pct"/>
          </w:tcPr>
          <w:p w14:paraId="55FCBA7F"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630 to 659 calendar days</w:t>
            </w:r>
          </w:p>
        </w:tc>
        <w:tc>
          <w:tcPr>
            <w:tcW w:w="1071" w:type="pct"/>
          </w:tcPr>
          <w:p w14:paraId="5B8B8090"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11</w:t>
            </w:r>
          </w:p>
        </w:tc>
        <w:tc>
          <w:tcPr>
            <w:tcW w:w="1071" w:type="pct"/>
          </w:tcPr>
          <w:p w14:paraId="11CFF9C5"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292C959C" w14:textId="77777777" w:rsidTr="005A204A">
        <w:trPr>
          <w:cantSplit/>
          <w:trHeight w:val="290"/>
          <w:tblHeader/>
          <w:jc w:val="center"/>
        </w:trPr>
        <w:tc>
          <w:tcPr>
            <w:tcW w:w="734" w:type="pct"/>
          </w:tcPr>
          <w:p w14:paraId="0BA4718D"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660 to 689 calendar days</w:t>
            </w:r>
          </w:p>
        </w:tc>
        <w:tc>
          <w:tcPr>
            <w:tcW w:w="1071" w:type="pct"/>
          </w:tcPr>
          <w:p w14:paraId="3EA4E9CB"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15</w:t>
            </w:r>
          </w:p>
        </w:tc>
        <w:tc>
          <w:tcPr>
            <w:tcW w:w="1071" w:type="pct"/>
          </w:tcPr>
          <w:p w14:paraId="57A9D3BB"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140E9369" w14:textId="77777777" w:rsidTr="005A204A">
        <w:trPr>
          <w:cantSplit/>
          <w:trHeight w:val="290"/>
          <w:tblHeader/>
          <w:jc w:val="center"/>
        </w:trPr>
        <w:tc>
          <w:tcPr>
            <w:tcW w:w="734" w:type="pct"/>
          </w:tcPr>
          <w:p w14:paraId="2E7451FF"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690 to 719 calendar days</w:t>
            </w:r>
          </w:p>
        </w:tc>
        <w:tc>
          <w:tcPr>
            <w:tcW w:w="1071" w:type="pct"/>
          </w:tcPr>
          <w:p w14:paraId="3F7A72B0"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6</w:t>
            </w:r>
          </w:p>
        </w:tc>
        <w:tc>
          <w:tcPr>
            <w:tcW w:w="1071" w:type="pct"/>
          </w:tcPr>
          <w:p w14:paraId="578E959D"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117252EC" w14:textId="77777777" w:rsidTr="005A204A">
        <w:trPr>
          <w:cantSplit/>
          <w:trHeight w:val="302"/>
          <w:tblHeader/>
          <w:jc w:val="center"/>
        </w:trPr>
        <w:tc>
          <w:tcPr>
            <w:tcW w:w="734" w:type="pct"/>
          </w:tcPr>
          <w:p w14:paraId="0E39E1CA"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720 to 749 calendar days</w:t>
            </w:r>
          </w:p>
        </w:tc>
        <w:tc>
          <w:tcPr>
            <w:tcW w:w="1071" w:type="pct"/>
          </w:tcPr>
          <w:p w14:paraId="5D97B02A"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11</w:t>
            </w:r>
          </w:p>
        </w:tc>
        <w:tc>
          <w:tcPr>
            <w:tcW w:w="1071" w:type="pct"/>
          </w:tcPr>
          <w:p w14:paraId="1F4E146D"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w:t>
            </w:r>
          </w:p>
        </w:tc>
      </w:tr>
      <w:tr w:rsidR="00C066B6" w:rsidRPr="00BC3AD6" w14:paraId="54897EFE" w14:textId="77777777" w:rsidTr="005A204A">
        <w:trPr>
          <w:cantSplit/>
          <w:trHeight w:val="290"/>
          <w:tblHeader/>
          <w:jc w:val="center"/>
        </w:trPr>
        <w:tc>
          <w:tcPr>
            <w:tcW w:w="734" w:type="pct"/>
          </w:tcPr>
          <w:p w14:paraId="69E3D97C"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750 to 779 calendar days</w:t>
            </w:r>
          </w:p>
        </w:tc>
        <w:tc>
          <w:tcPr>
            <w:tcW w:w="1071" w:type="pct"/>
          </w:tcPr>
          <w:p w14:paraId="651B5B43"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6</w:t>
            </w:r>
          </w:p>
        </w:tc>
        <w:tc>
          <w:tcPr>
            <w:tcW w:w="1071" w:type="pct"/>
          </w:tcPr>
          <w:p w14:paraId="658904C9"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5CDE49C1" w14:textId="77777777" w:rsidTr="005A204A">
        <w:trPr>
          <w:cantSplit/>
          <w:trHeight w:val="290"/>
          <w:tblHeader/>
          <w:jc w:val="center"/>
        </w:trPr>
        <w:tc>
          <w:tcPr>
            <w:tcW w:w="734" w:type="pct"/>
          </w:tcPr>
          <w:p w14:paraId="39D9A64C"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780 to 809 calendar days</w:t>
            </w:r>
          </w:p>
        </w:tc>
        <w:tc>
          <w:tcPr>
            <w:tcW w:w="1071" w:type="pct"/>
          </w:tcPr>
          <w:p w14:paraId="6DCD8B25"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5</w:t>
            </w:r>
          </w:p>
        </w:tc>
        <w:tc>
          <w:tcPr>
            <w:tcW w:w="1071" w:type="pct"/>
          </w:tcPr>
          <w:p w14:paraId="01600CF8"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05F60DDF" w14:textId="77777777" w:rsidTr="005A204A">
        <w:trPr>
          <w:cantSplit/>
          <w:trHeight w:val="290"/>
          <w:tblHeader/>
          <w:jc w:val="center"/>
        </w:trPr>
        <w:tc>
          <w:tcPr>
            <w:tcW w:w="734" w:type="pct"/>
          </w:tcPr>
          <w:p w14:paraId="56C04BC7"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810 to 839 calendar days</w:t>
            </w:r>
          </w:p>
        </w:tc>
        <w:tc>
          <w:tcPr>
            <w:tcW w:w="1071" w:type="pct"/>
          </w:tcPr>
          <w:p w14:paraId="2A27EE5B"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6</w:t>
            </w:r>
          </w:p>
        </w:tc>
        <w:tc>
          <w:tcPr>
            <w:tcW w:w="1071" w:type="pct"/>
          </w:tcPr>
          <w:p w14:paraId="58EFE376"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25EAE536" w14:textId="77777777" w:rsidTr="005A204A">
        <w:trPr>
          <w:cantSplit/>
          <w:trHeight w:val="290"/>
          <w:tblHeader/>
          <w:jc w:val="center"/>
        </w:trPr>
        <w:tc>
          <w:tcPr>
            <w:tcW w:w="734" w:type="pct"/>
          </w:tcPr>
          <w:p w14:paraId="4B7EDBFC"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840 to 869 calendar days</w:t>
            </w:r>
          </w:p>
        </w:tc>
        <w:tc>
          <w:tcPr>
            <w:tcW w:w="1071" w:type="pct"/>
          </w:tcPr>
          <w:p w14:paraId="5CCA2052"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10</w:t>
            </w:r>
          </w:p>
        </w:tc>
        <w:tc>
          <w:tcPr>
            <w:tcW w:w="1071" w:type="pct"/>
          </w:tcPr>
          <w:p w14:paraId="5146D875"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0B03F50D" w14:textId="77777777" w:rsidTr="005A204A">
        <w:trPr>
          <w:cantSplit/>
          <w:trHeight w:val="290"/>
          <w:tblHeader/>
          <w:jc w:val="center"/>
        </w:trPr>
        <w:tc>
          <w:tcPr>
            <w:tcW w:w="734" w:type="pct"/>
          </w:tcPr>
          <w:p w14:paraId="3F6800E4"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870 to 899 calendar days</w:t>
            </w:r>
          </w:p>
        </w:tc>
        <w:tc>
          <w:tcPr>
            <w:tcW w:w="1071" w:type="pct"/>
          </w:tcPr>
          <w:p w14:paraId="13F6EE1E"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1</w:t>
            </w:r>
          </w:p>
        </w:tc>
        <w:tc>
          <w:tcPr>
            <w:tcW w:w="1071" w:type="pct"/>
          </w:tcPr>
          <w:p w14:paraId="0319ACB9"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7CD709BE" w14:textId="77777777" w:rsidTr="005A204A">
        <w:trPr>
          <w:cantSplit/>
          <w:trHeight w:val="290"/>
          <w:tblHeader/>
          <w:jc w:val="center"/>
        </w:trPr>
        <w:tc>
          <w:tcPr>
            <w:tcW w:w="734" w:type="pct"/>
          </w:tcPr>
          <w:p w14:paraId="31DC9DE9"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900 to 929 calendar days</w:t>
            </w:r>
          </w:p>
        </w:tc>
        <w:tc>
          <w:tcPr>
            <w:tcW w:w="1071" w:type="pct"/>
          </w:tcPr>
          <w:p w14:paraId="77A2C83A"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4</w:t>
            </w:r>
          </w:p>
        </w:tc>
        <w:tc>
          <w:tcPr>
            <w:tcW w:w="1071" w:type="pct"/>
          </w:tcPr>
          <w:p w14:paraId="3AE84CCC"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4B9595B9" w14:textId="77777777" w:rsidTr="005A204A">
        <w:trPr>
          <w:cantSplit/>
          <w:trHeight w:val="290"/>
          <w:tblHeader/>
          <w:jc w:val="center"/>
        </w:trPr>
        <w:tc>
          <w:tcPr>
            <w:tcW w:w="734" w:type="pct"/>
          </w:tcPr>
          <w:p w14:paraId="609DC3D8"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930 to 959 calendar days</w:t>
            </w:r>
          </w:p>
        </w:tc>
        <w:tc>
          <w:tcPr>
            <w:tcW w:w="1071" w:type="pct"/>
          </w:tcPr>
          <w:p w14:paraId="1F6F1F32"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5</w:t>
            </w:r>
          </w:p>
        </w:tc>
        <w:tc>
          <w:tcPr>
            <w:tcW w:w="1071" w:type="pct"/>
          </w:tcPr>
          <w:p w14:paraId="050C7FF5"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4F55D7DB" w14:textId="77777777" w:rsidTr="005A204A">
        <w:trPr>
          <w:cantSplit/>
          <w:trHeight w:val="290"/>
          <w:tblHeader/>
          <w:jc w:val="center"/>
        </w:trPr>
        <w:tc>
          <w:tcPr>
            <w:tcW w:w="734" w:type="pct"/>
          </w:tcPr>
          <w:p w14:paraId="449DAB21"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960 to 989 calendar days</w:t>
            </w:r>
          </w:p>
        </w:tc>
        <w:tc>
          <w:tcPr>
            <w:tcW w:w="1071" w:type="pct"/>
          </w:tcPr>
          <w:p w14:paraId="6FBAF16B"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4</w:t>
            </w:r>
          </w:p>
        </w:tc>
        <w:tc>
          <w:tcPr>
            <w:tcW w:w="1071" w:type="pct"/>
          </w:tcPr>
          <w:p w14:paraId="71CC8D4E"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r w:rsidR="00C066B6" w:rsidRPr="00BC3AD6" w14:paraId="43B4437B" w14:textId="77777777" w:rsidTr="005A204A">
        <w:trPr>
          <w:cantSplit/>
          <w:trHeight w:val="290"/>
          <w:tblHeader/>
          <w:jc w:val="center"/>
        </w:trPr>
        <w:tc>
          <w:tcPr>
            <w:tcW w:w="734" w:type="pct"/>
          </w:tcPr>
          <w:p w14:paraId="2B46C367" w14:textId="77777777" w:rsidR="00C066B6" w:rsidRPr="003A7F94" w:rsidRDefault="00C066B6" w:rsidP="004D4A21">
            <w:pPr>
              <w:autoSpaceDE w:val="0"/>
              <w:autoSpaceDN w:val="0"/>
              <w:adjustRightInd w:val="0"/>
              <w:rPr>
                <w:rFonts w:asciiTheme="minorHAnsi" w:hAnsiTheme="minorHAnsi" w:cstheme="minorHAnsi"/>
                <w:sz w:val="22"/>
                <w:szCs w:val="22"/>
              </w:rPr>
            </w:pPr>
            <w:r w:rsidRPr="003A7F94">
              <w:rPr>
                <w:rFonts w:asciiTheme="minorHAnsi" w:hAnsiTheme="minorHAnsi" w:cstheme="minorHAnsi"/>
                <w:sz w:val="22"/>
                <w:szCs w:val="22"/>
              </w:rPr>
              <w:t>More than 990 calendar days</w:t>
            </w:r>
          </w:p>
        </w:tc>
        <w:tc>
          <w:tcPr>
            <w:tcW w:w="1071" w:type="pct"/>
          </w:tcPr>
          <w:p w14:paraId="54C30DE6"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43</w:t>
            </w:r>
          </w:p>
        </w:tc>
        <w:tc>
          <w:tcPr>
            <w:tcW w:w="1071" w:type="pct"/>
          </w:tcPr>
          <w:p w14:paraId="59F91555" w14:textId="77777777" w:rsidR="00C066B6" w:rsidRPr="003A7F94" w:rsidRDefault="00C066B6" w:rsidP="004D4A21">
            <w:pPr>
              <w:autoSpaceDE w:val="0"/>
              <w:autoSpaceDN w:val="0"/>
              <w:adjustRightInd w:val="0"/>
              <w:jc w:val="center"/>
              <w:rPr>
                <w:rFonts w:asciiTheme="minorHAnsi" w:hAnsiTheme="minorHAnsi" w:cstheme="minorHAnsi"/>
                <w:sz w:val="22"/>
                <w:szCs w:val="22"/>
              </w:rPr>
            </w:pPr>
            <w:r w:rsidRPr="003A7F94">
              <w:rPr>
                <w:rFonts w:asciiTheme="minorHAnsi" w:hAnsiTheme="minorHAnsi" w:cstheme="minorHAnsi"/>
                <w:sz w:val="22"/>
                <w:szCs w:val="22"/>
              </w:rPr>
              <w:t>0</w:t>
            </w:r>
          </w:p>
        </w:tc>
      </w:tr>
    </w:tbl>
    <w:p w14:paraId="18D59710" w14:textId="55110512" w:rsidR="00BE7145" w:rsidRDefault="00BE7145" w:rsidP="00CF4572">
      <w:pPr>
        <w:rPr>
          <w:noProof/>
          <w:lang w:eastAsia="en-CA"/>
        </w:rPr>
      </w:pPr>
    </w:p>
    <w:p w14:paraId="721FFE76" w14:textId="77777777" w:rsidR="00BE7145" w:rsidRDefault="00BE7145" w:rsidP="00CF4572">
      <w:pPr>
        <w:rPr>
          <w:noProof/>
          <w:lang w:eastAsia="en-CA"/>
        </w:rPr>
        <w:sectPr w:rsidR="00BE7145" w:rsidSect="003A7F94">
          <w:pgSz w:w="12240" w:h="15840" w:code="1"/>
          <w:pgMar w:top="720" w:right="720" w:bottom="720" w:left="1025" w:header="708" w:footer="708" w:gutter="0"/>
          <w:cols w:space="708"/>
          <w:titlePg/>
          <w:docGrid w:linePitch="360"/>
        </w:sectPr>
      </w:pPr>
    </w:p>
    <w:p w14:paraId="08FC6F97" w14:textId="786A250D" w:rsidR="00BE7145" w:rsidRPr="003A7F94" w:rsidRDefault="003A7F94" w:rsidP="003A7F94">
      <w:pPr>
        <w:pStyle w:val="Heading1"/>
        <w:spacing w:before="120"/>
        <w:rPr>
          <w:noProof/>
          <w:sz w:val="40"/>
          <w:szCs w:val="40"/>
          <w:lang w:eastAsia="en-CA"/>
        </w:rPr>
      </w:pPr>
      <w:r w:rsidRPr="003A7F94">
        <w:rPr>
          <w:noProof/>
          <w:sz w:val="40"/>
          <w:szCs w:val="40"/>
          <w:lang w:eastAsia="en-CA"/>
        </w:rPr>
        <w:lastRenderedPageBreak/>
        <w:t>External time to staff</w:t>
      </w:r>
    </w:p>
    <w:p w14:paraId="79E36A60" w14:textId="77777777" w:rsidR="003A7F94" w:rsidRDefault="00BE7145" w:rsidP="003A7F94">
      <w:pPr>
        <w:keepNext/>
      </w:pPr>
      <w:r w:rsidRPr="00D43E1F">
        <w:rPr>
          <w:noProof/>
          <w:lang w:val="en-CA" w:eastAsia="en-CA"/>
        </w:rPr>
        <w:drawing>
          <wp:inline distT="0" distB="0" distL="0" distR="0" wp14:anchorId="46015262" wp14:editId="595B195E">
            <wp:extent cx="5648400" cy="3049200"/>
            <wp:effectExtent l="0" t="0" r="9525" b="18415"/>
            <wp:docPr id="21" name="Chart 21" descr="External time to staff Public service median = 203 day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3A7F94" w:rsidRPr="00D43E1F">
        <w:rPr>
          <w:noProof/>
          <w:lang w:val="en-CA" w:eastAsia="en-CA"/>
        </w:rPr>
        <w:drawing>
          <wp:inline distT="0" distB="0" distL="0" distR="0" wp14:anchorId="5A24AE48" wp14:editId="2DCFC528">
            <wp:extent cx="5648400" cy="3049200"/>
            <wp:effectExtent l="0" t="0" r="9525" b="18415"/>
            <wp:docPr id="11" name="Chart 11" descr="External time to staff for the most recent fiscal year for the specified organization." title="External time to staff for fiscal year 2019 to 2020 for the specified organiz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481B423" w14:textId="2F14113C" w:rsidR="003A7F94" w:rsidRPr="00744518" w:rsidRDefault="003A7F94" w:rsidP="00744518">
      <w:pPr>
        <w:pStyle w:val="Caption"/>
        <w:tabs>
          <w:tab w:val="left" w:pos="8930"/>
        </w:tabs>
        <w:spacing w:after="0"/>
        <w:rPr>
          <w:rFonts w:asciiTheme="minorHAnsi" w:hAnsiTheme="minorHAnsi" w:cstheme="minorHAnsi"/>
          <w:i w:val="0"/>
          <w:iCs w:val="0"/>
          <w:color w:val="auto"/>
        </w:rPr>
      </w:pPr>
      <w:r w:rsidRPr="00744518">
        <w:rPr>
          <w:rFonts w:asciiTheme="minorHAnsi" w:hAnsiTheme="minorHAnsi" w:cstheme="minorHAnsi"/>
          <w:i w:val="0"/>
          <w:iCs w:val="0"/>
          <w:color w:val="auto"/>
        </w:rPr>
        <w:t xml:space="preserve">Figure </w:t>
      </w:r>
      <w:r w:rsidRPr="00744518">
        <w:rPr>
          <w:rFonts w:asciiTheme="minorHAnsi" w:hAnsiTheme="minorHAnsi" w:cstheme="minorHAnsi"/>
          <w:i w:val="0"/>
          <w:iCs w:val="0"/>
          <w:color w:val="auto"/>
        </w:rPr>
        <w:fldChar w:fldCharType="begin"/>
      </w:r>
      <w:r w:rsidRPr="00744518">
        <w:rPr>
          <w:rFonts w:asciiTheme="minorHAnsi" w:hAnsiTheme="minorHAnsi" w:cstheme="minorHAnsi"/>
          <w:i w:val="0"/>
          <w:iCs w:val="0"/>
          <w:color w:val="auto"/>
        </w:rPr>
        <w:instrText xml:space="preserve"> SEQ Figure \* ARABIC </w:instrText>
      </w:r>
      <w:r w:rsidRPr="00744518">
        <w:rPr>
          <w:rFonts w:asciiTheme="minorHAnsi" w:hAnsiTheme="minorHAnsi" w:cstheme="minorHAnsi"/>
          <w:i w:val="0"/>
          <w:iCs w:val="0"/>
          <w:color w:val="auto"/>
        </w:rPr>
        <w:fldChar w:fldCharType="separate"/>
      </w:r>
      <w:r w:rsidRPr="00744518">
        <w:rPr>
          <w:rFonts w:asciiTheme="minorHAnsi" w:hAnsiTheme="minorHAnsi" w:cstheme="minorHAnsi"/>
          <w:i w:val="0"/>
          <w:iCs w:val="0"/>
          <w:noProof/>
          <w:color w:val="auto"/>
        </w:rPr>
        <w:t>14</w:t>
      </w:r>
      <w:r w:rsidRPr="00744518">
        <w:rPr>
          <w:rFonts w:asciiTheme="minorHAnsi" w:hAnsiTheme="minorHAnsi" w:cstheme="minorHAnsi"/>
          <w:i w:val="0"/>
          <w:iCs w:val="0"/>
          <w:color w:val="auto"/>
        </w:rPr>
        <w:fldChar w:fldCharType="end"/>
      </w:r>
      <w:r w:rsidRPr="00744518">
        <w:rPr>
          <w:rFonts w:asciiTheme="minorHAnsi" w:hAnsiTheme="minorHAnsi" w:cstheme="minorHAnsi"/>
          <w:i w:val="0"/>
          <w:iCs w:val="0"/>
          <w:color w:val="auto"/>
        </w:rPr>
        <w:t xml:space="preserve"> - External time to staff </w:t>
      </w:r>
      <w:r w:rsidR="00744518" w:rsidRPr="00744518">
        <w:rPr>
          <w:rFonts w:asciiTheme="minorHAnsi" w:hAnsiTheme="minorHAnsi" w:cstheme="minorHAnsi"/>
          <w:i w:val="0"/>
          <w:iCs w:val="0"/>
          <w:color w:val="auto"/>
        </w:rPr>
        <w:t>Public service median = 203 days, 2019-2020</w:t>
      </w:r>
      <w:r w:rsidRPr="00744518">
        <w:rPr>
          <w:rFonts w:asciiTheme="minorHAnsi" w:hAnsiTheme="minorHAnsi" w:cstheme="minorHAnsi"/>
          <w:i w:val="0"/>
          <w:iCs w:val="0"/>
          <w:color w:val="auto"/>
        </w:rPr>
        <w:tab/>
        <w:t xml:space="preserve">Figure </w:t>
      </w:r>
      <w:r w:rsidRPr="00744518">
        <w:rPr>
          <w:rFonts w:asciiTheme="minorHAnsi" w:hAnsiTheme="minorHAnsi" w:cstheme="minorHAnsi"/>
          <w:i w:val="0"/>
          <w:iCs w:val="0"/>
          <w:color w:val="auto"/>
        </w:rPr>
        <w:fldChar w:fldCharType="begin"/>
      </w:r>
      <w:r w:rsidRPr="00744518">
        <w:rPr>
          <w:rFonts w:asciiTheme="minorHAnsi" w:hAnsiTheme="minorHAnsi" w:cstheme="minorHAnsi"/>
          <w:i w:val="0"/>
          <w:iCs w:val="0"/>
          <w:color w:val="auto"/>
        </w:rPr>
        <w:instrText xml:space="preserve"> SEQ Figure \* ARABIC </w:instrText>
      </w:r>
      <w:r w:rsidRPr="00744518">
        <w:rPr>
          <w:rFonts w:asciiTheme="minorHAnsi" w:hAnsiTheme="minorHAnsi" w:cstheme="minorHAnsi"/>
          <w:i w:val="0"/>
          <w:iCs w:val="0"/>
          <w:color w:val="auto"/>
        </w:rPr>
        <w:fldChar w:fldCharType="separate"/>
      </w:r>
      <w:r w:rsidRPr="00744518">
        <w:rPr>
          <w:rFonts w:asciiTheme="minorHAnsi" w:hAnsiTheme="minorHAnsi" w:cstheme="minorHAnsi"/>
          <w:i w:val="0"/>
          <w:iCs w:val="0"/>
          <w:noProof/>
          <w:color w:val="auto"/>
        </w:rPr>
        <w:t>15</w:t>
      </w:r>
      <w:r w:rsidRPr="00744518">
        <w:rPr>
          <w:rFonts w:asciiTheme="minorHAnsi" w:hAnsiTheme="minorHAnsi" w:cstheme="minorHAnsi"/>
          <w:i w:val="0"/>
          <w:iCs w:val="0"/>
          <w:color w:val="auto"/>
        </w:rPr>
        <w:fldChar w:fldCharType="end"/>
      </w:r>
      <w:r w:rsidRPr="00744518">
        <w:rPr>
          <w:rFonts w:asciiTheme="minorHAnsi" w:hAnsiTheme="minorHAnsi" w:cstheme="minorHAnsi"/>
          <w:i w:val="0"/>
          <w:iCs w:val="0"/>
          <w:color w:val="auto"/>
        </w:rPr>
        <w:t xml:space="preserve"> - External time to staff</w:t>
      </w:r>
      <w:r w:rsidR="00744518" w:rsidRPr="00744518">
        <w:rPr>
          <w:rFonts w:asciiTheme="minorHAnsi" w:hAnsiTheme="minorHAnsi" w:cstheme="minorHAnsi"/>
          <w:i w:val="0"/>
          <w:iCs w:val="0"/>
          <w:color w:val="auto"/>
        </w:rPr>
        <w:t xml:space="preserve"> Natural Resources median = 205 days, 2019-2020</w:t>
      </w:r>
    </w:p>
    <w:p w14:paraId="4D6AA158" w14:textId="77777777" w:rsidR="00744518" w:rsidRDefault="00744518" w:rsidP="00744518">
      <w:pPr>
        <w:numPr>
          <w:ilvl w:val="1"/>
          <w:numId w:val="0"/>
        </w:numPr>
        <w:spacing w:before="240" w:after="120"/>
        <w:rPr>
          <w:rFonts w:asciiTheme="minorHAnsi" w:eastAsiaTheme="minorHAnsi" w:hAnsiTheme="minorHAnsi" w:cstheme="minorHAnsi"/>
          <w:sz w:val="22"/>
          <w:szCs w:val="22"/>
        </w:rPr>
        <w:sectPr w:rsidR="00744518" w:rsidSect="00BE7145">
          <w:pgSz w:w="20160" w:h="12240" w:orient="landscape" w:code="5"/>
          <w:pgMar w:top="1025" w:right="720" w:bottom="720" w:left="720" w:header="708" w:footer="708" w:gutter="0"/>
          <w:cols w:space="708"/>
          <w:titlePg/>
          <w:docGrid w:linePitch="360"/>
        </w:sectPr>
      </w:pPr>
    </w:p>
    <w:p w14:paraId="2E25FB2D" w14:textId="77777777" w:rsidR="00744518" w:rsidRDefault="00744518" w:rsidP="00744518">
      <w:pPr>
        <w:numPr>
          <w:ilvl w:val="1"/>
          <w:numId w:val="0"/>
        </w:numPr>
        <w:spacing w:before="240" w:after="120"/>
        <w:rPr>
          <w:rStyle w:val="Hyperlink"/>
          <w:rFonts w:asciiTheme="minorHAnsi" w:eastAsiaTheme="minorHAnsi" w:hAnsiTheme="minorHAnsi" w:cstheme="minorHAnsi"/>
          <w:sz w:val="22"/>
          <w:szCs w:val="22"/>
          <w:lang w:val="en-CA"/>
        </w:rPr>
        <w:sectPr w:rsidR="00744518" w:rsidSect="00744518">
          <w:type w:val="continuous"/>
          <w:pgSz w:w="20160" w:h="12240" w:orient="landscape" w:code="5"/>
          <w:pgMar w:top="1025" w:right="720" w:bottom="720" w:left="720" w:header="708" w:footer="708" w:gutter="0"/>
          <w:cols w:num="2" w:space="708"/>
          <w:titlePg/>
          <w:docGrid w:linePitch="360"/>
        </w:sectPr>
      </w:pPr>
      <w:r w:rsidRPr="00744518">
        <w:rPr>
          <w:rFonts w:asciiTheme="minorHAnsi" w:eastAsiaTheme="minorHAnsi" w:hAnsiTheme="minorHAnsi" w:cstheme="minorHAnsi"/>
          <w:sz w:val="22"/>
          <w:szCs w:val="22"/>
        </w:rPr>
        <w:fldChar w:fldCharType="begin"/>
      </w:r>
      <w:r w:rsidRPr="00744518">
        <w:rPr>
          <w:rFonts w:asciiTheme="minorHAnsi" w:eastAsiaTheme="minorHAnsi" w:hAnsiTheme="minorHAnsi" w:cstheme="minorHAnsi"/>
          <w:sz w:val="22"/>
          <w:szCs w:val="22"/>
        </w:rPr>
        <w:instrText xml:space="preserve"> HYPERLINK  \l "External_time_to_staff" </w:instrText>
      </w:r>
      <w:r w:rsidRPr="00744518">
        <w:rPr>
          <w:rFonts w:asciiTheme="minorHAnsi" w:eastAsiaTheme="minorHAnsi" w:hAnsiTheme="minorHAnsi" w:cstheme="minorHAnsi"/>
          <w:sz w:val="22"/>
          <w:szCs w:val="22"/>
        </w:rPr>
        <w:fldChar w:fldCharType="separate"/>
      </w:r>
      <w:r w:rsidRPr="00744518">
        <w:rPr>
          <w:rStyle w:val="Hyperlink"/>
          <w:rFonts w:asciiTheme="minorHAnsi" w:eastAsiaTheme="minorHAnsi" w:hAnsiTheme="minorHAnsi" w:cstheme="minorHAnsi"/>
          <w:sz w:val="22"/>
          <w:szCs w:val="22"/>
        </w:rPr>
        <w:t>Ex</w:t>
      </w:r>
      <w:r w:rsidRPr="00744518">
        <w:rPr>
          <w:rStyle w:val="Hyperlink"/>
          <w:rFonts w:asciiTheme="minorHAnsi" w:eastAsiaTheme="minorHAnsi" w:hAnsiTheme="minorHAnsi" w:cstheme="minorHAnsi"/>
          <w:sz w:val="22"/>
          <w:szCs w:val="22"/>
          <w:lang w:val="en-CA"/>
        </w:rPr>
        <w:t>ternal time to staff data table available here</w:t>
      </w:r>
    </w:p>
    <w:p w14:paraId="1D0650CE" w14:textId="357E2E04" w:rsidR="004C602C" w:rsidRDefault="00744518" w:rsidP="00744518">
      <w:pPr>
        <w:spacing w:before="240" w:after="120"/>
        <w:rPr>
          <w:rFonts w:asciiTheme="minorHAnsi" w:hAnsiTheme="minorHAnsi" w:cstheme="minorHAnsi"/>
          <w:sz w:val="22"/>
          <w:szCs w:val="22"/>
          <w:lang w:eastAsia="en-CA"/>
        </w:rPr>
      </w:pPr>
      <w:r w:rsidRPr="00744518">
        <w:rPr>
          <w:rFonts w:asciiTheme="minorHAnsi" w:eastAsiaTheme="minorHAnsi" w:hAnsiTheme="minorHAnsi" w:cstheme="minorHAnsi"/>
          <w:sz w:val="22"/>
          <w:szCs w:val="22"/>
        </w:rPr>
        <w:fldChar w:fldCharType="end"/>
      </w:r>
      <w:r w:rsidR="004C602C" w:rsidRPr="00744518">
        <w:rPr>
          <w:rFonts w:asciiTheme="minorHAnsi" w:hAnsiTheme="minorHAnsi" w:cstheme="minorHAnsi"/>
          <w:sz w:val="22"/>
          <w:szCs w:val="22"/>
          <w:lang w:eastAsia="en-CA"/>
        </w:rPr>
        <w:t>External time to staff is calculated as the number of calendar days between the opening date of the advertisement and the date of the first estimated external hire</w:t>
      </w:r>
    </w:p>
    <w:p w14:paraId="69BCB33E" w14:textId="77777777" w:rsidR="0096103C" w:rsidRPr="00744518" w:rsidRDefault="0096103C" w:rsidP="0096103C">
      <w:pPr>
        <w:spacing w:after="120"/>
        <w:rPr>
          <w:rFonts w:asciiTheme="minorHAnsi" w:hAnsiTheme="minorHAnsi" w:cstheme="minorHAnsi"/>
          <w:sz w:val="22"/>
          <w:szCs w:val="22"/>
        </w:rPr>
      </w:pPr>
      <w:r w:rsidRPr="00744518">
        <w:rPr>
          <w:rFonts w:asciiTheme="minorHAnsi" w:hAnsiTheme="minorHAnsi" w:cstheme="minorHAnsi"/>
          <w:sz w:val="22"/>
          <w:szCs w:val="22"/>
        </w:rPr>
        <w:t xml:space="preserve">The median external time to staff for the public service (organizations subject to the </w:t>
      </w:r>
      <w:r w:rsidRPr="00744518">
        <w:rPr>
          <w:rStyle w:val="Emphasis"/>
          <w:rFonts w:asciiTheme="minorHAnsi" w:hAnsiTheme="minorHAnsi" w:cstheme="minorHAnsi"/>
          <w:sz w:val="22"/>
          <w:szCs w:val="18"/>
        </w:rPr>
        <w:t>Public Service Employment Act</w:t>
      </w:r>
      <w:r w:rsidRPr="00744518">
        <w:rPr>
          <w:rFonts w:asciiTheme="minorHAnsi" w:hAnsiTheme="minorHAnsi" w:cstheme="minorHAnsi"/>
          <w:sz w:val="22"/>
          <w:szCs w:val="22"/>
        </w:rPr>
        <w:t>) for fiscal year 2019 to 2020 is 203 days</w:t>
      </w:r>
    </w:p>
    <w:p w14:paraId="7984C71A" w14:textId="073538C7" w:rsidR="00744518" w:rsidRPr="0096103C" w:rsidRDefault="00744518" w:rsidP="0096103C">
      <w:pPr>
        <w:spacing w:after="120"/>
        <w:rPr>
          <w:rStyle w:val="Strong"/>
          <w:rFonts w:asciiTheme="minorHAnsi" w:hAnsiTheme="minorHAnsi" w:cstheme="minorHAnsi"/>
          <w:szCs w:val="18"/>
        </w:rPr>
      </w:pPr>
      <w:r w:rsidRPr="0096103C">
        <w:rPr>
          <w:rStyle w:val="Strong"/>
          <w:rFonts w:asciiTheme="minorHAnsi" w:hAnsiTheme="minorHAnsi" w:cstheme="minorHAnsi"/>
          <w:szCs w:val="18"/>
        </w:rPr>
        <w:t>External time to staff for fiscal year 2019 to 2020</w:t>
      </w:r>
    </w:p>
    <w:p w14:paraId="5BD0FDB5" w14:textId="77777777" w:rsidR="00744518" w:rsidRPr="00744518" w:rsidRDefault="00744518" w:rsidP="004D4A21">
      <w:pPr>
        <w:rPr>
          <w:rFonts w:asciiTheme="minorHAnsi" w:hAnsiTheme="minorHAnsi" w:cstheme="minorHAnsi"/>
          <w:sz w:val="22"/>
          <w:szCs w:val="22"/>
        </w:rPr>
      </w:pPr>
      <w:r w:rsidRPr="00744518">
        <w:rPr>
          <w:rFonts w:asciiTheme="minorHAnsi" w:hAnsiTheme="minorHAnsi" w:cstheme="minorHAnsi"/>
          <w:sz w:val="22"/>
          <w:szCs w:val="22"/>
        </w:rPr>
        <w:t>Natural Resources Canada’s median external time to staff for fiscal year 2019 to 2020 is 205 days</w:t>
      </w:r>
    </w:p>
    <w:p w14:paraId="7192449C" w14:textId="77777777" w:rsidR="00744518" w:rsidRDefault="00744518" w:rsidP="00CF4572">
      <w:pPr>
        <w:rPr>
          <w:noProof/>
          <w:lang w:eastAsia="en-CA"/>
        </w:rPr>
        <w:sectPr w:rsidR="00744518" w:rsidSect="00744518">
          <w:type w:val="continuous"/>
          <w:pgSz w:w="20160" w:h="12240" w:orient="landscape" w:code="5"/>
          <w:pgMar w:top="1025" w:right="720" w:bottom="720" w:left="720" w:header="708" w:footer="708" w:gutter="0"/>
          <w:cols w:num="2" w:space="708"/>
          <w:titlePg/>
          <w:docGrid w:linePitch="360"/>
        </w:sectPr>
      </w:pPr>
    </w:p>
    <w:p w14:paraId="7446C721" w14:textId="5A523AA4" w:rsidR="00C066B6" w:rsidRDefault="00C066B6" w:rsidP="00CF4572">
      <w:pPr>
        <w:rPr>
          <w:noProof/>
          <w:lang w:eastAsia="en-CA"/>
        </w:rPr>
      </w:pPr>
    </w:p>
    <w:p w14:paraId="131D788F" w14:textId="77777777" w:rsidR="00C066B6" w:rsidRDefault="00C066B6" w:rsidP="00CF4572">
      <w:pPr>
        <w:rPr>
          <w:noProof/>
          <w:lang w:eastAsia="en-CA"/>
        </w:rPr>
        <w:sectPr w:rsidR="00C066B6" w:rsidSect="00744518">
          <w:type w:val="continuous"/>
          <w:pgSz w:w="20160" w:h="12240" w:orient="landscape" w:code="5"/>
          <w:pgMar w:top="1025" w:right="720" w:bottom="720" w:left="720" w:header="708" w:footer="708" w:gutter="0"/>
          <w:cols w:space="708"/>
          <w:titlePg/>
          <w:docGrid w:linePitch="360"/>
        </w:sectPr>
      </w:pPr>
    </w:p>
    <w:p w14:paraId="1FA096F2" w14:textId="2D754A7B" w:rsidR="00C066B6" w:rsidRPr="00744518" w:rsidRDefault="00744518" w:rsidP="00744518">
      <w:pPr>
        <w:pStyle w:val="Heading1"/>
        <w:spacing w:before="120"/>
        <w:rPr>
          <w:noProof/>
          <w:sz w:val="40"/>
          <w:szCs w:val="40"/>
          <w:lang w:eastAsia="en-CA"/>
        </w:rPr>
      </w:pPr>
      <w:r w:rsidRPr="00744518">
        <w:rPr>
          <w:noProof/>
          <w:sz w:val="40"/>
          <w:szCs w:val="40"/>
          <w:lang w:eastAsia="en-CA"/>
        </w:rPr>
        <w:lastRenderedPageBreak/>
        <w:t>External time to staff</w:t>
      </w:r>
    </w:p>
    <w:tbl>
      <w:tblPr>
        <w:tblStyle w:val="TableGrid"/>
        <w:tblW w:w="5000" w:type="pct"/>
        <w:jc w:val="center"/>
        <w:tblLook w:val="0020" w:firstRow="1" w:lastRow="0" w:firstColumn="0" w:lastColumn="0" w:noHBand="0" w:noVBand="0"/>
        <w:tblDescription w:val="External time to staff"/>
      </w:tblPr>
      <w:tblGrid>
        <w:gridCol w:w="2693"/>
        <w:gridCol w:w="3896"/>
        <w:gridCol w:w="3896"/>
      </w:tblGrid>
      <w:tr w:rsidR="00744518" w:rsidRPr="00744518" w14:paraId="29D97587" w14:textId="77777777" w:rsidTr="00744518">
        <w:trPr>
          <w:cantSplit/>
          <w:trHeight w:val="290"/>
          <w:tblHeader/>
          <w:jc w:val="center"/>
        </w:trPr>
        <w:tc>
          <w:tcPr>
            <w:tcW w:w="1284" w:type="pct"/>
          </w:tcPr>
          <w:p w14:paraId="0C547973" w14:textId="77777777" w:rsidR="00C066B6" w:rsidRPr="00744518" w:rsidRDefault="00C066B6" w:rsidP="00744518">
            <w:pPr>
              <w:pStyle w:val="TableTitle"/>
              <w:rPr>
                <w:color w:val="auto"/>
                <w:sz w:val="22"/>
                <w:szCs w:val="22"/>
              </w:rPr>
            </w:pPr>
            <w:bookmarkStart w:id="4" w:name="External_time_to_staff"/>
            <w:r w:rsidRPr="00744518">
              <w:rPr>
                <w:color w:val="auto"/>
                <w:sz w:val="22"/>
                <w:szCs w:val="22"/>
              </w:rPr>
              <w:t>Number of calendar days</w:t>
            </w:r>
            <w:bookmarkEnd w:id="4"/>
          </w:p>
        </w:tc>
        <w:tc>
          <w:tcPr>
            <w:tcW w:w="1858" w:type="pct"/>
          </w:tcPr>
          <w:p w14:paraId="32A64C89" w14:textId="77777777" w:rsidR="00C066B6" w:rsidRPr="00744518" w:rsidRDefault="00C066B6" w:rsidP="00744518">
            <w:pPr>
              <w:pStyle w:val="TableTitle"/>
              <w:rPr>
                <w:color w:val="auto"/>
                <w:sz w:val="22"/>
                <w:szCs w:val="22"/>
              </w:rPr>
            </w:pPr>
            <w:r w:rsidRPr="00744518">
              <w:rPr>
                <w:color w:val="auto"/>
                <w:sz w:val="22"/>
                <w:szCs w:val="22"/>
              </w:rPr>
              <w:t xml:space="preserve">The number of external appointment processes for which the TTS-EA was within the specified number of calendar days for organizations subject to the </w:t>
            </w:r>
            <w:r w:rsidRPr="00744518">
              <w:rPr>
                <w:rStyle w:val="Emphasis"/>
                <w:color w:val="auto"/>
                <w:sz w:val="22"/>
                <w:szCs w:val="22"/>
              </w:rPr>
              <w:t>Public Service Employment Act</w:t>
            </w:r>
          </w:p>
        </w:tc>
        <w:tc>
          <w:tcPr>
            <w:tcW w:w="1858" w:type="pct"/>
          </w:tcPr>
          <w:p w14:paraId="30D300FB" w14:textId="77777777" w:rsidR="00C066B6" w:rsidRPr="00744518" w:rsidRDefault="00C066B6" w:rsidP="00744518">
            <w:pPr>
              <w:pStyle w:val="TableTitle"/>
              <w:rPr>
                <w:color w:val="auto"/>
                <w:sz w:val="22"/>
                <w:szCs w:val="22"/>
              </w:rPr>
            </w:pPr>
            <w:r w:rsidRPr="00744518">
              <w:rPr>
                <w:color w:val="auto"/>
                <w:sz w:val="22"/>
                <w:szCs w:val="22"/>
              </w:rPr>
              <w:t>The number of external appointment processes for which the TTS-EA was within the specified number of calendar days for the specified organization</w:t>
            </w:r>
          </w:p>
        </w:tc>
      </w:tr>
      <w:tr w:rsidR="00C066B6" w14:paraId="734384BD" w14:textId="77777777" w:rsidTr="00744518">
        <w:trPr>
          <w:cantSplit/>
          <w:trHeight w:val="290"/>
          <w:tblHeader/>
          <w:jc w:val="center"/>
        </w:trPr>
        <w:tc>
          <w:tcPr>
            <w:tcW w:w="1284" w:type="pct"/>
          </w:tcPr>
          <w:p w14:paraId="167E7571"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0 calendar days</w:t>
            </w:r>
          </w:p>
        </w:tc>
        <w:tc>
          <w:tcPr>
            <w:tcW w:w="1858" w:type="pct"/>
          </w:tcPr>
          <w:p w14:paraId="38F1113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c>
          <w:tcPr>
            <w:tcW w:w="1858" w:type="pct"/>
          </w:tcPr>
          <w:p w14:paraId="132E536F"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20B8C3A6" w14:textId="77777777" w:rsidTr="00744518">
        <w:trPr>
          <w:cantSplit/>
          <w:trHeight w:val="290"/>
          <w:tblHeader/>
          <w:jc w:val="center"/>
        </w:trPr>
        <w:tc>
          <w:tcPr>
            <w:tcW w:w="1284" w:type="pct"/>
          </w:tcPr>
          <w:p w14:paraId="00484871"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0 to 29 calendar days</w:t>
            </w:r>
          </w:p>
        </w:tc>
        <w:tc>
          <w:tcPr>
            <w:tcW w:w="1858" w:type="pct"/>
          </w:tcPr>
          <w:p w14:paraId="585CE88F"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55</w:t>
            </w:r>
          </w:p>
        </w:tc>
        <w:tc>
          <w:tcPr>
            <w:tcW w:w="1858" w:type="pct"/>
          </w:tcPr>
          <w:p w14:paraId="7F52A60A"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2</w:t>
            </w:r>
          </w:p>
        </w:tc>
      </w:tr>
      <w:tr w:rsidR="00C066B6" w14:paraId="6943D073" w14:textId="77777777" w:rsidTr="00744518">
        <w:trPr>
          <w:cantSplit/>
          <w:trHeight w:val="290"/>
          <w:tblHeader/>
          <w:jc w:val="center"/>
        </w:trPr>
        <w:tc>
          <w:tcPr>
            <w:tcW w:w="1284" w:type="pct"/>
          </w:tcPr>
          <w:p w14:paraId="6B366E13"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30 to 59 calendar days</w:t>
            </w:r>
          </w:p>
        </w:tc>
        <w:tc>
          <w:tcPr>
            <w:tcW w:w="1858" w:type="pct"/>
          </w:tcPr>
          <w:p w14:paraId="65A51A2B"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75</w:t>
            </w:r>
          </w:p>
        </w:tc>
        <w:tc>
          <w:tcPr>
            <w:tcW w:w="1858" w:type="pct"/>
          </w:tcPr>
          <w:p w14:paraId="09E9CC00"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2</w:t>
            </w:r>
          </w:p>
        </w:tc>
      </w:tr>
      <w:tr w:rsidR="00C066B6" w14:paraId="4E752D2B" w14:textId="77777777" w:rsidTr="00744518">
        <w:trPr>
          <w:cantSplit/>
          <w:trHeight w:val="290"/>
          <w:tblHeader/>
          <w:jc w:val="center"/>
        </w:trPr>
        <w:tc>
          <w:tcPr>
            <w:tcW w:w="1284" w:type="pct"/>
          </w:tcPr>
          <w:p w14:paraId="69A0AB4F"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60 to 89 calendar days</w:t>
            </w:r>
          </w:p>
        </w:tc>
        <w:tc>
          <w:tcPr>
            <w:tcW w:w="1858" w:type="pct"/>
          </w:tcPr>
          <w:p w14:paraId="4B95B719"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95</w:t>
            </w:r>
          </w:p>
        </w:tc>
        <w:tc>
          <w:tcPr>
            <w:tcW w:w="1858" w:type="pct"/>
          </w:tcPr>
          <w:p w14:paraId="499E06BC"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4</w:t>
            </w:r>
          </w:p>
        </w:tc>
      </w:tr>
      <w:tr w:rsidR="00C066B6" w14:paraId="765C9632" w14:textId="77777777" w:rsidTr="00744518">
        <w:trPr>
          <w:cantSplit/>
          <w:trHeight w:val="290"/>
          <w:tblHeader/>
          <w:jc w:val="center"/>
        </w:trPr>
        <w:tc>
          <w:tcPr>
            <w:tcW w:w="1284" w:type="pct"/>
          </w:tcPr>
          <w:p w14:paraId="0052A06B"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90 to 119 calendar days</w:t>
            </w:r>
          </w:p>
        </w:tc>
        <w:tc>
          <w:tcPr>
            <w:tcW w:w="1858" w:type="pct"/>
          </w:tcPr>
          <w:p w14:paraId="4B6FC56B"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108</w:t>
            </w:r>
          </w:p>
        </w:tc>
        <w:tc>
          <w:tcPr>
            <w:tcW w:w="1858" w:type="pct"/>
          </w:tcPr>
          <w:p w14:paraId="19F56627"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2</w:t>
            </w:r>
          </w:p>
        </w:tc>
      </w:tr>
      <w:tr w:rsidR="00C066B6" w14:paraId="28B29241" w14:textId="77777777" w:rsidTr="00744518">
        <w:trPr>
          <w:cantSplit/>
          <w:trHeight w:val="290"/>
          <w:tblHeader/>
          <w:jc w:val="center"/>
        </w:trPr>
        <w:tc>
          <w:tcPr>
            <w:tcW w:w="1284" w:type="pct"/>
          </w:tcPr>
          <w:p w14:paraId="58FAE690"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120 to 149 calendar days</w:t>
            </w:r>
          </w:p>
        </w:tc>
        <w:tc>
          <w:tcPr>
            <w:tcW w:w="1858" w:type="pct"/>
          </w:tcPr>
          <w:p w14:paraId="51F86E6E"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166</w:t>
            </w:r>
          </w:p>
        </w:tc>
        <w:tc>
          <w:tcPr>
            <w:tcW w:w="1858" w:type="pct"/>
          </w:tcPr>
          <w:p w14:paraId="42B15910"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3</w:t>
            </w:r>
          </w:p>
        </w:tc>
      </w:tr>
      <w:tr w:rsidR="00C066B6" w14:paraId="2A3637C3" w14:textId="77777777" w:rsidTr="00744518">
        <w:trPr>
          <w:cantSplit/>
          <w:trHeight w:val="290"/>
          <w:tblHeader/>
          <w:jc w:val="center"/>
        </w:trPr>
        <w:tc>
          <w:tcPr>
            <w:tcW w:w="1284" w:type="pct"/>
          </w:tcPr>
          <w:p w14:paraId="65A1A07A"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150 to 179 calendar days</w:t>
            </w:r>
          </w:p>
        </w:tc>
        <w:tc>
          <w:tcPr>
            <w:tcW w:w="1858" w:type="pct"/>
          </w:tcPr>
          <w:p w14:paraId="7033F03A"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164</w:t>
            </w:r>
          </w:p>
        </w:tc>
        <w:tc>
          <w:tcPr>
            <w:tcW w:w="1858" w:type="pct"/>
          </w:tcPr>
          <w:p w14:paraId="1393DA9B"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7</w:t>
            </w:r>
          </w:p>
        </w:tc>
      </w:tr>
      <w:tr w:rsidR="00C066B6" w14:paraId="3FDF5E65" w14:textId="77777777" w:rsidTr="00744518">
        <w:trPr>
          <w:cantSplit/>
          <w:trHeight w:val="290"/>
          <w:tblHeader/>
          <w:jc w:val="center"/>
        </w:trPr>
        <w:tc>
          <w:tcPr>
            <w:tcW w:w="1284" w:type="pct"/>
          </w:tcPr>
          <w:p w14:paraId="7D060A4E"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180 to 209 calendar days</w:t>
            </w:r>
          </w:p>
        </w:tc>
        <w:tc>
          <w:tcPr>
            <w:tcW w:w="1858" w:type="pct"/>
          </w:tcPr>
          <w:p w14:paraId="5BFE36D1"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160</w:t>
            </w:r>
          </w:p>
        </w:tc>
        <w:tc>
          <w:tcPr>
            <w:tcW w:w="1858" w:type="pct"/>
          </w:tcPr>
          <w:p w14:paraId="4289E9E9"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8</w:t>
            </w:r>
          </w:p>
        </w:tc>
      </w:tr>
      <w:tr w:rsidR="00C066B6" w14:paraId="67124EB2" w14:textId="77777777" w:rsidTr="00744518">
        <w:trPr>
          <w:cantSplit/>
          <w:trHeight w:val="290"/>
          <w:tblHeader/>
          <w:jc w:val="center"/>
        </w:trPr>
        <w:tc>
          <w:tcPr>
            <w:tcW w:w="1284" w:type="pct"/>
          </w:tcPr>
          <w:p w14:paraId="77351EDB"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210 to 239 calendar days</w:t>
            </w:r>
          </w:p>
        </w:tc>
        <w:tc>
          <w:tcPr>
            <w:tcW w:w="1858" w:type="pct"/>
          </w:tcPr>
          <w:p w14:paraId="61B0AE31"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133</w:t>
            </w:r>
          </w:p>
        </w:tc>
        <w:tc>
          <w:tcPr>
            <w:tcW w:w="1858" w:type="pct"/>
          </w:tcPr>
          <w:p w14:paraId="5217688A"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3</w:t>
            </w:r>
          </w:p>
        </w:tc>
      </w:tr>
      <w:tr w:rsidR="00C066B6" w14:paraId="57D9CED3" w14:textId="77777777" w:rsidTr="00744518">
        <w:trPr>
          <w:cantSplit/>
          <w:trHeight w:val="290"/>
          <w:tblHeader/>
          <w:jc w:val="center"/>
        </w:trPr>
        <w:tc>
          <w:tcPr>
            <w:tcW w:w="1284" w:type="pct"/>
          </w:tcPr>
          <w:p w14:paraId="4461F754"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240 to 269 calendar days</w:t>
            </w:r>
          </w:p>
        </w:tc>
        <w:tc>
          <w:tcPr>
            <w:tcW w:w="1858" w:type="pct"/>
          </w:tcPr>
          <w:p w14:paraId="07667ACA"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122</w:t>
            </w:r>
          </w:p>
        </w:tc>
        <w:tc>
          <w:tcPr>
            <w:tcW w:w="1858" w:type="pct"/>
          </w:tcPr>
          <w:p w14:paraId="018148FD"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5</w:t>
            </w:r>
          </w:p>
        </w:tc>
      </w:tr>
      <w:tr w:rsidR="00C066B6" w14:paraId="2B3E09D5" w14:textId="77777777" w:rsidTr="00744518">
        <w:trPr>
          <w:cantSplit/>
          <w:trHeight w:val="290"/>
          <w:tblHeader/>
          <w:jc w:val="center"/>
        </w:trPr>
        <w:tc>
          <w:tcPr>
            <w:tcW w:w="1284" w:type="pct"/>
          </w:tcPr>
          <w:p w14:paraId="59E06857"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270 to 299 calendar days</w:t>
            </w:r>
          </w:p>
        </w:tc>
        <w:tc>
          <w:tcPr>
            <w:tcW w:w="1858" w:type="pct"/>
          </w:tcPr>
          <w:p w14:paraId="48A89349"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101</w:t>
            </w:r>
          </w:p>
        </w:tc>
        <w:tc>
          <w:tcPr>
            <w:tcW w:w="1858" w:type="pct"/>
          </w:tcPr>
          <w:p w14:paraId="062742E5"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6</w:t>
            </w:r>
          </w:p>
        </w:tc>
      </w:tr>
      <w:tr w:rsidR="00C066B6" w14:paraId="79B6AE08" w14:textId="77777777" w:rsidTr="00744518">
        <w:trPr>
          <w:cantSplit/>
          <w:trHeight w:val="290"/>
          <w:tblHeader/>
          <w:jc w:val="center"/>
        </w:trPr>
        <w:tc>
          <w:tcPr>
            <w:tcW w:w="1284" w:type="pct"/>
          </w:tcPr>
          <w:p w14:paraId="060C0487"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300 to 329 calendar days</w:t>
            </w:r>
          </w:p>
        </w:tc>
        <w:tc>
          <w:tcPr>
            <w:tcW w:w="1858" w:type="pct"/>
          </w:tcPr>
          <w:p w14:paraId="6DE55F4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80</w:t>
            </w:r>
          </w:p>
        </w:tc>
        <w:tc>
          <w:tcPr>
            <w:tcW w:w="1858" w:type="pct"/>
          </w:tcPr>
          <w:p w14:paraId="13853E60"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w:t>
            </w:r>
          </w:p>
        </w:tc>
      </w:tr>
      <w:tr w:rsidR="00C066B6" w14:paraId="68229BED" w14:textId="77777777" w:rsidTr="00744518">
        <w:trPr>
          <w:cantSplit/>
          <w:trHeight w:val="290"/>
          <w:tblHeader/>
          <w:jc w:val="center"/>
        </w:trPr>
        <w:tc>
          <w:tcPr>
            <w:tcW w:w="1284" w:type="pct"/>
          </w:tcPr>
          <w:p w14:paraId="703F5BD8"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330 to 359 calendar days</w:t>
            </w:r>
          </w:p>
        </w:tc>
        <w:tc>
          <w:tcPr>
            <w:tcW w:w="1858" w:type="pct"/>
          </w:tcPr>
          <w:p w14:paraId="186868E9"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61</w:t>
            </w:r>
          </w:p>
        </w:tc>
        <w:tc>
          <w:tcPr>
            <w:tcW w:w="1858" w:type="pct"/>
          </w:tcPr>
          <w:p w14:paraId="788D848A"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3</w:t>
            </w:r>
          </w:p>
        </w:tc>
      </w:tr>
      <w:tr w:rsidR="00C066B6" w14:paraId="628DB6E4" w14:textId="77777777" w:rsidTr="00744518">
        <w:trPr>
          <w:cantSplit/>
          <w:trHeight w:val="290"/>
          <w:tblHeader/>
          <w:jc w:val="center"/>
        </w:trPr>
        <w:tc>
          <w:tcPr>
            <w:tcW w:w="1284" w:type="pct"/>
          </w:tcPr>
          <w:p w14:paraId="12C4CA03"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360 to 389 calendar days</w:t>
            </w:r>
          </w:p>
        </w:tc>
        <w:tc>
          <w:tcPr>
            <w:tcW w:w="1858" w:type="pct"/>
          </w:tcPr>
          <w:p w14:paraId="2499AAF7"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50</w:t>
            </w:r>
          </w:p>
        </w:tc>
        <w:tc>
          <w:tcPr>
            <w:tcW w:w="1858" w:type="pct"/>
          </w:tcPr>
          <w:p w14:paraId="364079CE"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2</w:t>
            </w:r>
          </w:p>
        </w:tc>
      </w:tr>
      <w:tr w:rsidR="00C066B6" w14:paraId="229EE124" w14:textId="77777777" w:rsidTr="00744518">
        <w:trPr>
          <w:cantSplit/>
          <w:trHeight w:val="290"/>
          <w:tblHeader/>
          <w:jc w:val="center"/>
        </w:trPr>
        <w:tc>
          <w:tcPr>
            <w:tcW w:w="1284" w:type="pct"/>
          </w:tcPr>
          <w:p w14:paraId="71AE279C"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390 to 419 calendar days</w:t>
            </w:r>
          </w:p>
        </w:tc>
        <w:tc>
          <w:tcPr>
            <w:tcW w:w="1858" w:type="pct"/>
          </w:tcPr>
          <w:p w14:paraId="0A472E53"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45</w:t>
            </w:r>
          </w:p>
        </w:tc>
        <w:tc>
          <w:tcPr>
            <w:tcW w:w="1858" w:type="pct"/>
          </w:tcPr>
          <w:p w14:paraId="67C8EFA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3</w:t>
            </w:r>
          </w:p>
        </w:tc>
      </w:tr>
      <w:tr w:rsidR="00C066B6" w14:paraId="1459B7E6" w14:textId="77777777" w:rsidTr="00744518">
        <w:trPr>
          <w:cantSplit/>
          <w:trHeight w:val="290"/>
          <w:tblHeader/>
          <w:jc w:val="center"/>
        </w:trPr>
        <w:tc>
          <w:tcPr>
            <w:tcW w:w="1284" w:type="pct"/>
          </w:tcPr>
          <w:p w14:paraId="442FE524"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420 to 449 calendar days</w:t>
            </w:r>
          </w:p>
        </w:tc>
        <w:tc>
          <w:tcPr>
            <w:tcW w:w="1858" w:type="pct"/>
          </w:tcPr>
          <w:p w14:paraId="63FE819F"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34</w:t>
            </w:r>
          </w:p>
        </w:tc>
        <w:tc>
          <w:tcPr>
            <w:tcW w:w="1858" w:type="pct"/>
          </w:tcPr>
          <w:p w14:paraId="35BFA640"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w:t>
            </w:r>
          </w:p>
        </w:tc>
      </w:tr>
      <w:tr w:rsidR="00C066B6" w14:paraId="070452D1" w14:textId="77777777" w:rsidTr="00744518">
        <w:trPr>
          <w:cantSplit/>
          <w:trHeight w:val="290"/>
          <w:tblHeader/>
          <w:jc w:val="center"/>
        </w:trPr>
        <w:tc>
          <w:tcPr>
            <w:tcW w:w="1284" w:type="pct"/>
          </w:tcPr>
          <w:p w14:paraId="50F0B371"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450 to 479 calendar days</w:t>
            </w:r>
          </w:p>
        </w:tc>
        <w:tc>
          <w:tcPr>
            <w:tcW w:w="1858" w:type="pct"/>
          </w:tcPr>
          <w:p w14:paraId="738ACE0C"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34</w:t>
            </w:r>
          </w:p>
        </w:tc>
        <w:tc>
          <w:tcPr>
            <w:tcW w:w="1858" w:type="pct"/>
          </w:tcPr>
          <w:p w14:paraId="2F0FAA4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0ADB069C" w14:textId="77777777" w:rsidTr="00744518">
        <w:trPr>
          <w:cantSplit/>
          <w:trHeight w:val="290"/>
          <w:tblHeader/>
          <w:jc w:val="center"/>
        </w:trPr>
        <w:tc>
          <w:tcPr>
            <w:tcW w:w="1284" w:type="pct"/>
          </w:tcPr>
          <w:p w14:paraId="4BE9DA6A"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480 to 509 calendar days</w:t>
            </w:r>
          </w:p>
        </w:tc>
        <w:tc>
          <w:tcPr>
            <w:tcW w:w="1858" w:type="pct"/>
          </w:tcPr>
          <w:p w14:paraId="267DCE6C"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21</w:t>
            </w:r>
          </w:p>
        </w:tc>
        <w:tc>
          <w:tcPr>
            <w:tcW w:w="1858" w:type="pct"/>
          </w:tcPr>
          <w:p w14:paraId="4364BE0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w:t>
            </w:r>
          </w:p>
        </w:tc>
      </w:tr>
      <w:tr w:rsidR="00C066B6" w14:paraId="488C73E0" w14:textId="77777777" w:rsidTr="00744518">
        <w:trPr>
          <w:cantSplit/>
          <w:trHeight w:val="290"/>
          <w:tblHeader/>
          <w:jc w:val="center"/>
        </w:trPr>
        <w:tc>
          <w:tcPr>
            <w:tcW w:w="1284" w:type="pct"/>
          </w:tcPr>
          <w:p w14:paraId="0F995003"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510 to 539 calendar days</w:t>
            </w:r>
          </w:p>
        </w:tc>
        <w:tc>
          <w:tcPr>
            <w:tcW w:w="1858" w:type="pct"/>
          </w:tcPr>
          <w:p w14:paraId="0F512BDB"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16</w:t>
            </w:r>
          </w:p>
        </w:tc>
        <w:tc>
          <w:tcPr>
            <w:tcW w:w="1858" w:type="pct"/>
          </w:tcPr>
          <w:p w14:paraId="380C3CFC"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4AF1D88A" w14:textId="77777777" w:rsidTr="00744518">
        <w:trPr>
          <w:cantSplit/>
          <w:trHeight w:val="290"/>
          <w:tblHeader/>
          <w:jc w:val="center"/>
        </w:trPr>
        <w:tc>
          <w:tcPr>
            <w:tcW w:w="1284" w:type="pct"/>
          </w:tcPr>
          <w:p w14:paraId="4F463A88"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540 to 569 calendar days</w:t>
            </w:r>
          </w:p>
        </w:tc>
        <w:tc>
          <w:tcPr>
            <w:tcW w:w="1858" w:type="pct"/>
          </w:tcPr>
          <w:p w14:paraId="1F32F52F"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19</w:t>
            </w:r>
          </w:p>
        </w:tc>
        <w:tc>
          <w:tcPr>
            <w:tcW w:w="1858" w:type="pct"/>
          </w:tcPr>
          <w:p w14:paraId="00F4D090"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43EDDDDD" w14:textId="77777777" w:rsidTr="00744518">
        <w:trPr>
          <w:cantSplit/>
          <w:trHeight w:val="290"/>
          <w:tblHeader/>
          <w:jc w:val="center"/>
        </w:trPr>
        <w:tc>
          <w:tcPr>
            <w:tcW w:w="1284" w:type="pct"/>
          </w:tcPr>
          <w:p w14:paraId="3B0CF0C3"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570 to 599 calendar days</w:t>
            </w:r>
          </w:p>
        </w:tc>
        <w:tc>
          <w:tcPr>
            <w:tcW w:w="1858" w:type="pct"/>
          </w:tcPr>
          <w:p w14:paraId="163573A7"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13</w:t>
            </w:r>
          </w:p>
        </w:tc>
        <w:tc>
          <w:tcPr>
            <w:tcW w:w="1858" w:type="pct"/>
          </w:tcPr>
          <w:p w14:paraId="1BA27EF9"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42D8A523" w14:textId="77777777" w:rsidTr="00744518">
        <w:trPr>
          <w:cantSplit/>
          <w:trHeight w:val="290"/>
          <w:tblHeader/>
          <w:jc w:val="center"/>
        </w:trPr>
        <w:tc>
          <w:tcPr>
            <w:tcW w:w="1284" w:type="pct"/>
          </w:tcPr>
          <w:p w14:paraId="17654519"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600 to 629 calendar days</w:t>
            </w:r>
          </w:p>
        </w:tc>
        <w:tc>
          <w:tcPr>
            <w:tcW w:w="1858" w:type="pct"/>
          </w:tcPr>
          <w:p w14:paraId="42351BF9"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7</w:t>
            </w:r>
          </w:p>
        </w:tc>
        <w:tc>
          <w:tcPr>
            <w:tcW w:w="1858" w:type="pct"/>
          </w:tcPr>
          <w:p w14:paraId="0A7EF062"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62668A6C" w14:textId="77777777" w:rsidTr="00744518">
        <w:trPr>
          <w:cantSplit/>
          <w:trHeight w:val="290"/>
          <w:tblHeader/>
          <w:jc w:val="center"/>
        </w:trPr>
        <w:tc>
          <w:tcPr>
            <w:tcW w:w="1284" w:type="pct"/>
          </w:tcPr>
          <w:p w14:paraId="0C43F8C6"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630 to 659 calendar days</w:t>
            </w:r>
          </w:p>
        </w:tc>
        <w:tc>
          <w:tcPr>
            <w:tcW w:w="1858" w:type="pct"/>
          </w:tcPr>
          <w:p w14:paraId="603C2DF4"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7</w:t>
            </w:r>
          </w:p>
        </w:tc>
        <w:tc>
          <w:tcPr>
            <w:tcW w:w="1858" w:type="pct"/>
          </w:tcPr>
          <w:p w14:paraId="7FBBCAF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19163D9F" w14:textId="77777777" w:rsidTr="00744518">
        <w:trPr>
          <w:cantSplit/>
          <w:trHeight w:val="290"/>
          <w:tblHeader/>
          <w:jc w:val="center"/>
        </w:trPr>
        <w:tc>
          <w:tcPr>
            <w:tcW w:w="1284" w:type="pct"/>
          </w:tcPr>
          <w:p w14:paraId="12D934AB"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660 to 689 calendar days</w:t>
            </w:r>
          </w:p>
        </w:tc>
        <w:tc>
          <w:tcPr>
            <w:tcW w:w="1858" w:type="pct"/>
          </w:tcPr>
          <w:p w14:paraId="68E304EC"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4</w:t>
            </w:r>
          </w:p>
        </w:tc>
        <w:tc>
          <w:tcPr>
            <w:tcW w:w="1858" w:type="pct"/>
          </w:tcPr>
          <w:p w14:paraId="6840CD70"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3863AE73" w14:textId="77777777" w:rsidTr="00744518">
        <w:trPr>
          <w:cantSplit/>
          <w:trHeight w:val="290"/>
          <w:tblHeader/>
          <w:jc w:val="center"/>
        </w:trPr>
        <w:tc>
          <w:tcPr>
            <w:tcW w:w="1284" w:type="pct"/>
          </w:tcPr>
          <w:p w14:paraId="0546C0E0"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690 to 719 calendar days</w:t>
            </w:r>
          </w:p>
        </w:tc>
        <w:tc>
          <w:tcPr>
            <w:tcW w:w="1858" w:type="pct"/>
          </w:tcPr>
          <w:p w14:paraId="24B2E1CF"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11</w:t>
            </w:r>
          </w:p>
        </w:tc>
        <w:tc>
          <w:tcPr>
            <w:tcW w:w="1858" w:type="pct"/>
          </w:tcPr>
          <w:p w14:paraId="7D8D7F90"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1E3CE743" w14:textId="77777777" w:rsidTr="00744518">
        <w:trPr>
          <w:cantSplit/>
          <w:trHeight w:val="302"/>
          <w:tblHeader/>
          <w:jc w:val="center"/>
        </w:trPr>
        <w:tc>
          <w:tcPr>
            <w:tcW w:w="1284" w:type="pct"/>
          </w:tcPr>
          <w:p w14:paraId="6328446C"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720 to 749 calendar days</w:t>
            </w:r>
          </w:p>
        </w:tc>
        <w:tc>
          <w:tcPr>
            <w:tcW w:w="1858" w:type="pct"/>
          </w:tcPr>
          <w:p w14:paraId="3FA61239"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6</w:t>
            </w:r>
          </w:p>
        </w:tc>
        <w:tc>
          <w:tcPr>
            <w:tcW w:w="1858" w:type="pct"/>
          </w:tcPr>
          <w:p w14:paraId="6115D944"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w:t>
            </w:r>
          </w:p>
        </w:tc>
      </w:tr>
      <w:tr w:rsidR="00C066B6" w14:paraId="01F61CBC" w14:textId="77777777" w:rsidTr="00744518">
        <w:trPr>
          <w:cantSplit/>
          <w:trHeight w:val="290"/>
          <w:tblHeader/>
          <w:jc w:val="center"/>
        </w:trPr>
        <w:tc>
          <w:tcPr>
            <w:tcW w:w="1284" w:type="pct"/>
          </w:tcPr>
          <w:p w14:paraId="2180BBD9"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750 to 779 calendar days</w:t>
            </w:r>
          </w:p>
        </w:tc>
        <w:tc>
          <w:tcPr>
            <w:tcW w:w="1858" w:type="pct"/>
          </w:tcPr>
          <w:p w14:paraId="378E6330"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2</w:t>
            </w:r>
          </w:p>
        </w:tc>
        <w:tc>
          <w:tcPr>
            <w:tcW w:w="1858" w:type="pct"/>
          </w:tcPr>
          <w:p w14:paraId="6C7FE80D"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18BA098C" w14:textId="77777777" w:rsidTr="00744518">
        <w:trPr>
          <w:cantSplit/>
          <w:trHeight w:val="290"/>
          <w:tblHeader/>
          <w:jc w:val="center"/>
        </w:trPr>
        <w:tc>
          <w:tcPr>
            <w:tcW w:w="1284" w:type="pct"/>
          </w:tcPr>
          <w:p w14:paraId="59B8FBE3"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780 to 809 calendar days</w:t>
            </w:r>
          </w:p>
        </w:tc>
        <w:tc>
          <w:tcPr>
            <w:tcW w:w="1858" w:type="pct"/>
          </w:tcPr>
          <w:p w14:paraId="6C6F33C7"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4</w:t>
            </w:r>
          </w:p>
        </w:tc>
        <w:tc>
          <w:tcPr>
            <w:tcW w:w="1858" w:type="pct"/>
          </w:tcPr>
          <w:p w14:paraId="0122378F"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75E0900D" w14:textId="77777777" w:rsidTr="00744518">
        <w:trPr>
          <w:cantSplit/>
          <w:trHeight w:val="290"/>
          <w:tblHeader/>
          <w:jc w:val="center"/>
        </w:trPr>
        <w:tc>
          <w:tcPr>
            <w:tcW w:w="1284" w:type="pct"/>
          </w:tcPr>
          <w:p w14:paraId="340CF3DD"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810 to 839 calendar days</w:t>
            </w:r>
          </w:p>
        </w:tc>
        <w:tc>
          <w:tcPr>
            <w:tcW w:w="1858" w:type="pct"/>
          </w:tcPr>
          <w:p w14:paraId="46B9DBF4"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4</w:t>
            </w:r>
          </w:p>
        </w:tc>
        <w:tc>
          <w:tcPr>
            <w:tcW w:w="1858" w:type="pct"/>
          </w:tcPr>
          <w:p w14:paraId="6337FC8D"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2355CDDD" w14:textId="77777777" w:rsidTr="00744518">
        <w:trPr>
          <w:cantSplit/>
          <w:trHeight w:val="290"/>
          <w:tblHeader/>
          <w:jc w:val="center"/>
        </w:trPr>
        <w:tc>
          <w:tcPr>
            <w:tcW w:w="1284" w:type="pct"/>
          </w:tcPr>
          <w:p w14:paraId="430332F7"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840 to 869 calendar days</w:t>
            </w:r>
          </w:p>
        </w:tc>
        <w:tc>
          <w:tcPr>
            <w:tcW w:w="1858" w:type="pct"/>
          </w:tcPr>
          <w:p w14:paraId="14EBCAF9"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c>
          <w:tcPr>
            <w:tcW w:w="1858" w:type="pct"/>
          </w:tcPr>
          <w:p w14:paraId="34D67BBD"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6A4CDBA2" w14:textId="77777777" w:rsidTr="00744518">
        <w:trPr>
          <w:cantSplit/>
          <w:trHeight w:val="290"/>
          <w:tblHeader/>
          <w:jc w:val="center"/>
        </w:trPr>
        <w:tc>
          <w:tcPr>
            <w:tcW w:w="1284" w:type="pct"/>
          </w:tcPr>
          <w:p w14:paraId="2DC766B6"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870 to 899 calendar days</w:t>
            </w:r>
          </w:p>
        </w:tc>
        <w:tc>
          <w:tcPr>
            <w:tcW w:w="1858" w:type="pct"/>
          </w:tcPr>
          <w:p w14:paraId="7E63E50A"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1</w:t>
            </w:r>
          </w:p>
        </w:tc>
        <w:tc>
          <w:tcPr>
            <w:tcW w:w="1858" w:type="pct"/>
          </w:tcPr>
          <w:p w14:paraId="5956998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6F9685BE" w14:textId="77777777" w:rsidTr="00744518">
        <w:trPr>
          <w:cantSplit/>
          <w:trHeight w:val="290"/>
          <w:tblHeader/>
          <w:jc w:val="center"/>
        </w:trPr>
        <w:tc>
          <w:tcPr>
            <w:tcW w:w="1284" w:type="pct"/>
          </w:tcPr>
          <w:p w14:paraId="2192BEE7"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900 to 929 calendar days</w:t>
            </w:r>
          </w:p>
        </w:tc>
        <w:tc>
          <w:tcPr>
            <w:tcW w:w="1858" w:type="pct"/>
          </w:tcPr>
          <w:p w14:paraId="4FB38B3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c>
          <w:tcPr>
            <w:tcW w:w="1858" w:type="pct"/>
          </w:tcPr>
          <w:p w14:paraId="35F0BD2F"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397E5AD5" w14:textId="77777777" w:rsidTr="00744518">
        <w:trPr>
          <w:cantSplit/>
          <w:trHeight w:val="290"/>
          <w:tblHeader/>
          <w:jc w:val="center"/>
        </w:trPr>
        <w:tc>
          <w:tcPr>
            <w:tcW w:w="1284" w:type="pct"/>
          </w:tcPr>
          <w:p w14:paraId="7C95C9C6"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930 to 959 calendar days</w:t>
            </w:r>
          </w:p>
        </w:tc>
        <w:tc>
          <w:tcPr>
            <w:tcW w:w="1858" w:type="pct"/>
          </w:tcPr>
          <w:p w14:paraId="0B64E74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c>
          <w:tcPr>
            <w:tcW w:w="1858" w:type="pct"/>
          </w:tcPr>
          <w:p w14:paraId="39096BEE"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18B17950" w14:textId="77777777" w:rsidTr="00744518">
        <w:trPr>
          <w:cantSplit/>
          <w:trHeight w:val="290"/>
          <w:tblHeader/>
          <w:jc w:val="center"/>
        </w:trPr>
        <w:tc>
          <w:tcPr>
            <w:tcW w:w="1284" w:type="pct"/>
          </w:tcPr>
          <w:p w14:paraId="3F6F8142"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960 to 989 calendar days</w:t>
            </w:r>
          </w:p>
        </w:tc>
        <w:tc>
          <w:tcPr>
            <w:tcW w:w="1858" w:type="pct"/>
          </w:tcPr>
          <w:p w14:paraId="45984ADD"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c>
          <w:tcPr>
            <w:tcW w:w="1858" w:type="pct"/>
          </w:tcPr>
          <w:p w14:paraId="7E7CE6DC"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r w:rsidR="00C066B6" w14:paraId="507F675D" w14:textId="77777777" w:rsidTr="00744518">
        <w:trPr>
          <w:cantSplit/>
          <w:trHeight w:val="290"/>
          <w:tblHeader/>
          <w:jc w:val="center"/>
        </w:trPr>
        <w:tc>
          <w:tcPr>
            <w:tcW w:w="1284" w:type="pct"/>
          </w:tcPr>
          <w:p w14:paraId="6B87C169" w14:textId="77777777" w:rsidR="00C066B6" w:rsidRPr="00744518" w:rsidRDefault="00C066B6" w:rsidP="00744518">
            <w:pPr>
              <w:autoSpaceDE w:val="0"/>
              <w:autoSpaceDN w:val="0"/>
              <w:adjustRightInd w:val="0"/>
              <w:contextualSpacing/>
              <w:rPr>
                <w:rFonts w:asciiTheme="minorHAnsi" w:hAnsiTheme="minorHAnsi" w:cstheme="minorHAnsi"/>
                <w:sz w:val="22"/>
                <w:szCs w:val="22"/>
              </w:rPr>
            </w:pPr>
            <w:r w:rsidRPr="00744518">
              <w:rPr>
                <w:rFonts w:asciiTheme="minorHAnsi" w:hAnsiTheme="minorHAnsi" w:cstheme="minorHAnsi"/>
                <w:sz w:val="22"/>
                <w:szCs w:val="22"/>
              </w:rPr>
              <w:t>More than 990 calendar days</w:t>
            </w:r>
          </w:p>
        </w:tc>
        <w:tc>
          <w:tcPr>
            <w:tcW w:w="1858" w:type="pct"/>
          </w:tcPr>
          <w:p w14:paraId="1CCF927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c>
          <w:tcPr>
            <w:tcW w:w="1858" w:type="pct"/>
          </w:tcPr>
          <w:p w14:paraId="6232C368" w14:textId="77777777" w:rsidR="00C066B6" w:rsidRPr="00744518" w:rsidRDefault="00C066B6" w:rsidP="00744518">
            <w:pPr>
              <w:autoSpaceDE w:val="0"/>
              <w:autoSpaceDN w:val="0"/>
              <w:adjustRightInd w:val="0"/>
              <w:contextualSpacing/>
              <w:jc w:val="center"/>
              <w:rPr>
                <w:rFonts w:asciiTheme="minorHAnsi" w:hAnsiTheme="minorHAnsi" w:cstheme="minorHAnsi"/>
                <w:sz w:val="22"/>
                <w:szCs w:val="22"/>
              </w:rPr>
            </w:pPr>
            <w:r w:rsidRPr="00744518">
              <w:rPr>
                <w:rFonts w:asciiTheme="minorHAnsi" w:hAnsiTheme="minorHAnsi" w:cstheme="minorHAnsi"/>
                <w:sz w:val="22"/>
                <w:szCs w:val="22"/>
              </w:rPr>
              <w:t>0</w:t>
            </w:r>
          </w:p>
        </w:tc>
      </w:tr>
    </w:tbl>
    <w:p w14:paraId="62599A12" w14:textId="227887AC" w:rsidR="00BE7145" w:rsidRDefault="00BE7145" w:rsidP="00CF4572">
      <w:pPr>
        <w:rPr>
          <w:noProof/>
          <w:lang w:eastAsia="en-CA"/>
        </w:rPr>
      </w:pPr>
    </w:p>
    <w:p w14:paraId="742D54A3" w14:textId="77777777" w:rsidR="00BE7145" w:rsidRDefault="00BE7145" w:rsidP="00CF4572">
      <w:pPr>
        <w:sectPr w:rsidR="00BE7145" w:rsidSect="00744518">
          <w:pgSz w:w="12240" w:h="15840" w:code="1"/>
          <w:pgMar w:top="720" w:right="720" w:bottom="720" w:left="1025" w:header="708" w:footer="708" w:gutter="0"/>
          <w:cols w:space="708"/>
          <w:titlePg/>
          <w:docGrid w:linePitch="360"/>
        </w:sectPr>
      </w:pPr>
    </w:p>
    <w:p w14:paraId="374099A4" w14:textId="77777777" w:rsidR="00CF4572" w:rsidRPr="007D2CE9" w:rsidRDefault="00CF4572" w:rsidP="00744518">
      <w:pPr>
        <w:pStyle w:val="Heading1"/>
      </w:pPr>
      <w:r w:rsidRPr="007D2CE9">
        <w:lastRenderedPageBreak/>
        <w:t>Technical notes:</w:t>
      </w:r>
    </w:p>
    <w:p w14:paraId="40AA47DF" w14:textId="77777777" w:rsidR="00CF4572" w:rsidRPr="00C00E99" w:rsidRDefault="00CF4572" w:rsidP="007D2CE9">
      <w:pPr>
        <w:pStyle w:val="ListParagraph"/>
        <w:numPr>
          <w:ilvl w:val="0"/>
          <w:numId w:val="27"/>
        </w:numPr>
        <w:spacing w:after="0"/>
        <w:rPr>
          <w:rFonts w:asciiTheme="minorHAnsi" w:hAnsiTheme="minorHAnsi" w:cstheme="minorHAnsi"/>
          <w:sz w:val="22"/>
          <w:szCs w:val="22"/>
        </w:rPr>
      </w:pPr>
      <w:r w:rsidRPr="00C00E99">
        <w:rPr>
          <w:rFonts w:asciiTheme="minorHAnsi" w:hAnsiTheme="minorHAnsi" w:cstheme="minorHAnsi"/>
          <w:sz w:val="22"/>
          <w:szCs w:val="22"/>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4B179390" w14:textId="77777777" w:rsidR="00CF4572" w:rsidRPr="00C00E99" w:rsidRDefault="00CF4572" w:rsidP="007D2CE9">
      <w:pPr>
        <w:pStyle w:val="ListParagraph"/>
        <w:numPr>
          <w:ilvl w:val="0"/>
          <w:numId w:val="27"/>
        </w:numPr>
        <w:spacing w:after="0"/>
        <w:rPr>
          <w:rFonts w:asciiTheme="minorHAnsi" w:hAnsiTheme="minorHAnsi" w:cstheme="minorHAnsi"/>
          <w:sz w:val="22"/>
          <w:szCs w:val="22"/>
        </w:rPr>
      </w:pPr>
      <w:r w:rsidRPr="00C00E99">
        <w:rPr>
          <w:rFonts w:asciiTheme="minorHAnsi" w:hAnsiTheme="minorHAnsi" w:cstheme="minorHAnsi"/>
          <w:sz w:val="22"/>
          <w:szCs w:val="22"/>
        </w:rPr>
        <w:t xml:space="preserve">The Time to Staff - External Appointments (TTS-EA) is the median number of calendar days between the opening date of an external advertisement and the date of the first estimated appointment of an individual from outside an organization subject to the </w:t>
      </w:r>
      <w:r w:rsidRPr="00C00E99">
        <w:rPr>
          <w:rStyle w:val="Emphasis"/>
          <w:rFonts w:asciiTheme="minorHAnsi" w:hAnsiTheme="minorHAnsi" w:cstheme="minorHAnsi"/>
          <w:sz w:val="22"/>
          <w:szCs w:val="18"/>
        </w:rPr>
        <w:t>Public Service Employment Act</w:t>
      </w:r>
      <w:r w:rsidRPr="00C00E99">
        <w:rPr>
          <w:rFonts w:asciiTheme="minorHAnsi" w:hAnsiTheme="minorHAnsi" w:cstheme="minorHAnsi"/>
          <w:sz w:val="20"/>
        </w:rPr>
        <w:t xml:space="preserve"> </w:t>
      </w:r>
      <w:r w:rsidRPr="00C00E99">
        <w:rPr>
          <w:rFonts w:asciiTheme="minorHAnsi" w:hAnsiTheme="minorHAnsi" w:cstheme="minorHAnsi"/>
          <w:sz w:val="22"/>
          <w:szCs w:val="22"/>
        </w:rPr>
        <w:t>for term and indeterminate positions. Because data between systems is linked using a probabilistic match, errors in data linkage are a potential source of measurement error.</w:t>
      </w:r>
    </w:p>
    <w:p w14:paraId="1ADB62E6" w14:textId="77777777" w:rsidR="00CF4572" w:rsidRPr="00C00E99" w:rsidRDefault="00CF4572" w:rsidP="00C00E99">
      <w:pPr>
        <w:pStyle w:val="ListParagraph"/>
        <w:numPr>
          <w:ilvl w:val="0"/>
          <w:numId w:val="27"/>
        </w:numPr>
        <w:spacing w:after="120"/>
        <w:rPr>
          <w:rFonts w:asciiTheme="minorHAnsi" w:hAnsiTheme="minorHAnsi" w:cstheme="minorHAnsi"/>
          <w:sz w:val="22"/>
          <w:szCs w:val="22"/>
        </w:rPr>
      </w:pPr>
      <w:r w:rsidRPr="00C00E99">
        <w:rPr>
          <w:rFonts w:asciiTheme="minorHAnsi" w:hAnsiTheme="minorHAnsi" w:cstheme="minorHAnsi"/>
          <w:sz w:val="22"/>
          <w:szCs w:val="22"/>
        </w:rPr>
        <w:t xml:space="preserve">Only estimated term and indeterminate appointments/notifications are included (deployments, casual and acting appointments are excluded). </w:t>
      </w:r>
    </w:p>
    <w:p w14:paraId="26FE97A6" w14:textId="77777777" w:rsidR="00CF4572" w:rsidRPr="00D43E1F" w:rsidRDefault="00CF4572" w:rsidP="00744518">
      <w:pPr>
        <w:pStyle w:val="Heading1"/>
      </w:pPr>
      <w:r w:rsidRPr="00D43E1F">
        <w:t>Sources:</w:t>
      </w:r>
    </w:p>
    <w:p w14:paraId="4C191141" w14:textId="77777777" w:rsidR="00CF4572" w:rsidRPr="00C00E99" w:rsidRDefault="00CF4572"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14:paraId="3C51AF50" w14:textId="77777777" w:rsidR="00CF4572" w:rsidRPr="00C00E99" w:rsidRDefault="00CF4572"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Information from the Priority Information Management System and the Public Services Resourcing System is also used to determine if staffing actions are advertised or non-advertised as well as for calculating time to staff.</w:t>
      </w:r>
    </w:p>
    <w:p w14:paraId="30CD16F9" w14:textId="5D032F95" w:rsidR="000C7E04" w:rsidRPr="00C00E99" w:rsidRDefault="00CF4572"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The data are not expected to match an organization’s human resources data, due to methodology and timing differences.</w:t>
      </w:r>
    </w:p>
    <w:p w14:paraId="60472751" w14:textId="77777777" w:rsidR="00C00E99" w:rsidRPr="00C00E99" w:rsidRDefault="00C00E99"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24BC4590" w14:textId="77777777" w:rsidR="00C00E99" w:rsidRPr="00C00E99" w:rsidRDefault="00C00E99"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Only estimated term and indeterminate appointments/notifications are included (deployments, casual and acting appointments are excluded)</w:t>
      </w:r>
    </w:p>
    <w:p w14:paraId="65C577CE" w14:textId="77777777" w:rsidR="00C00E99" w:rsidRPr="00C00E99" w:rsidRDefault="00C00E99"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 xml:space="preserve">The Time to Staff - External Appointments (TTS-EA) is the median number of calendar days between the opening date of an external advertisement and the date of the first estimated appointment of an individual from outside an organization subject to the </w:t>
      </w:r>
      <w:r w:rsidRPr="00C00E99">
        <w:rPr>
          <w:rStyle w:val="Emphasis"/>
          <w:rFonts w:asciiTheme="minorHAnsi" w:hAnsiTheme="minorHAnsi" w:cstheme="minorHAnsi"/>
          <w:sz w:val="22"/>
          <w:szCs w:val="18"/>
        </w:rPr>
        <w:t>Public Service Employment Act</w:t>
      </w:r>
      <w:r w:rsidRPr="00C00E99">
        <w:rPr>
          <w:rFonts w:asciiTheme="minorHAnsi" w:hAnsiTheme="minorHAnsi" w:cstheme="minorHAnsi"/>
          <w:sz w:val="22"/>
          <w:szCs w:val="22"/>
        </w:rPr>
        <w:t xml:space="preserve"> for term and indeterminate positions. Only estimated term and indeterminate appointments/notifications are included (deployments, casual and acting appointments are excluded)</w:t>
      </w:r>
    </w:p>
    <w:p w14:paraId="63921983" w14:textId="77777777" w:rsidR="00C00E99" w:rsidRPr="00C00E99" w:rsidRDefault="00C00E99"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Because data between systems is linked using a probabilistic match, errors in data linkage are a potential source of measurement error</w:t>
      </w:r>
    </w:p>
    <w:p w14:paraId="7C4D7B7D" w14:textId="77777777" w:rsidR="00C00E99" w:rsidRPr="00C00E99" w:rsidRDefault="00C00E99"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 xml:space="preserve">Hiring and staffing activities data are derived from information received from the Treasury Board of Canada Secretariat Incumbent File.  The Incumbent File is extracted from the Public Services </w:t>
      </w:r>
      <w:r w:rsidRPr="00C00E99">
        <w:rPr>
          <w:rFonts w:asciiTheme="minorHAnsi" w:hAnsiTheme="minorHAnsi" w:cstheme="minorHAnsi"/>
          <w:sz w:val="22"/>
          <w:szCs w:val="22"/>
        </w:rPr>
        <w:lastRenderedPageBreak/>
        <w:t>and Procurement Canada’s pay system.  The data constitutes an estimate of hiring and staffing activities to and within organizations.</w:t>
      </w:r>
    </w:p>
    <w:p w14:paraId="43875C87" w14:textId="77777777" w:rsidR="00C00E99" w:rsidRPr="00C00E99" w:rsidRDefault="00C00E99"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Information from the Priority Information Management System and the Public Services Resourcing System is also used to determine if staffing actions are advertised or non-advertised as well as for calculating time to staff.</w:t>
      </w:r>
    </w:p>
    <w:p w14:paraId="3AF57319" w14:textId="77777777" w:rsidR="00C00E99" w:rsidRPr="00C00E99" w:rsidRDefault="00C00E99" w:rsidP="007D2CE9">
      <w:pPr>
        <w:pStyle w:val="ListParagraph"/>
        <w:numPr>
          <w:ilvl w:val="0"/>
          <w:numId w:val="13"/>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The data are not expected to match an organization’s human resources data, due to methodology and timing differences.</w:t>
      </w:r>
    </w:p>
    <w:sectPr w:rsidR="00C00E99" w:rsidRPr="00C00E99" w:rsidSect="00C00E99">
      <w:footerReference w:type="first" r:id="rId37"/>
      <w:pgSz w:w="12240" w:h="15840"/>
      <w:pgMar w:top="709" w:right="1304" w:bottom="1304" w:left="130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AD4F" w14:textId="77777777" w:rsidR="00DE4896" w:rsidRDefault="00DE4896" w:rsidP="0051557E">
      <w:r>
        <w:separator/>
      </w:r>
    </w:p>
  </w:endnote>
  <w:endnote w:type="continuationSeparator" w:id="0">
    <w:p w14:paraId="076DBDEA" w14:textId="77777777" w:rsidR="00DE4896" w:rsidRDefault="00DE4896"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F79D" w14:textId="77777777" w:rsidR="00D732DE" w:rsidRDefault="00D7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350906"/>
      <w:docPartObj>
        <w:docPartGallery w:val="Page Numbers (Bottom of Page)"/>
        <w:docPartUnique/>
      </w:docPartObj>
    </w:sdtPr>
    <w:sdtEndPr/>
    <w:sdtContent>
      <w:p w14:paraId="28C16738" w14:textId="39071737" w:rsidR="00F940FA" w:rsidRDefault="00F940FA">
        <w:pPr>
          <w:pStyle w:val="Footer"/>
        </w:pPr>
        <w:r>
          <w:fldChar w:fldCharType="begin"/>
        </w:r>
        <w:r>
          <w:instrText>PAGE   \* MERGEFORMAT</w:instrText>
        </w:r>
        <w:r>
          <w:fldChar w:fldCharType="separate"/>
        </w:r>
        <w:r>
          <w:rPr>
            <w:lang w:val="fr-FR"/>
          </w:rPr>
          <w:t>2</w:t>
        </w:r>
        <w:r>
          <w:fldChar w:fldCharType="end"/>
        </w:r>
      </w:p>
    </w:sdtContent>
  </w:sdt>
  <w:p w14:paraId="3312701B" w14:textId="5CC2659F" w:rsidR="00F940FA" w:rsidRDefault="00F940FA" w:rsidP="000D76E7">
    <w:pPr>
      <w:pStyle w:val="Footer"/>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070484"/>
      <w:docPartObj>
        <w:docPartGallery w:val="Page Numbers (Bottom of Page)"/>
        <w:docPartUnique/>
      </w:docPartObj>
    </w:sdtPr>
    <w:sdtEndPr/>
    <w:sdtContent>
      <w:p w14:paraId="6C86AB98" w14:textId="7D7670D8" w:rsidR="00F940FA" w:rsidRDefault="00F940FA">
        <w:pPr>
          <w:pStyle w:val="Footer"/>
        </w:pPr>
        <w:r>
          <w:fldChar w:fldCharType="begin"/>
        </w:r>
        <w:r>
          <w:instrText>PAGE   \* MERGEFORMAT</w:instrText>
        </w:r>
        <w:r>
          <w:fldChar w:fldCharType="separate"/>
        </w:r>
        <w:r>
          <w:rPr>
            <w:lang w:val="fr-FR"/>
          </w:rPr>
          <w:t>2</w:t>
        </w:r>
        <w:r>
          <w:fldChar w:fldCharType="end"/>
        </w:r>
      </w:p>
    </w:sdtContent>
  </w:sdt>
  <w:p w14:paraId="21A95C76" w14:textId="77777777" w:rsidR="00F940FA" w:rsidRDefault="00F940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442A" w14:textId="77777777" w:rsidR="00F940FA" w:rsidRDefault="00F940FA" w:rsidP="00CF4572">
    <w:pPr>
      <w:pStyle w:val="Footer"/>
      <w:jc w:val="center"/>
    </w:pPr>
    <w:r>
      <w:t xml:space="preserve"> Produced by Data Services and Analysis Directorate (PSC) – Updated on September 21,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320381"/>
      <w:docPartObj>
        <w:docPartGallery w:val="Page Numbers (Bottom of Page)"/>
        <w:docPartUnique/>
      </w:docPartObj>
    </w:sdtPr>
    <w:sdtEndPr/>
    <w:sdtContent>
      <w:p w14:paraId="26200214" w14:textId="55A7A6E1" w:rsidR="00F940FA" w:rsidRDefault="00F940FA">
        <w:pPr>
          <w:pStyle w:val="Footer"/>
        </w:pPr>
        <w:r>
          <w:fldChar w:fldCharType="begin"/>
        </w:r>
        <w:r>
          <w:instrText>PAGE   \* MERGEFORMAT</w:instrText>
        </w:r>
        <w:r>
          <w:fldChar w:fldCharType="separate"/>
        </w:r>
        <w:r>
          <w:rPr>
            <w:lang w:val="fr-FR"/>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34299"/>
      <w:docPartObj>
        <w:docPartGallery w:val="Page Numbers (Bottom of Page)"/>
        <w:docPartUnique/>
      </w:docPartObj>
    </w:sdtPr>
    <w:sdtEndPr/>
    <w:sdtContent>
      <w:p w14:paraId="17787C97" w14:textId="1D7AACCD" w:rsidR="00F940FA" w:rsidRDefault="00F940FA">
        <w:pPr>
          <w:pStyle w:val="Footer"/>
        </w:pPr>
        <w:r>
          <w:fldChar w:fldCharType="begin"/>
        </w:r>
        <w:r>
          <w:instrText>PAGE   \* MERGEFORMAT</w:instrText>
        </w:r>
        <w:r>
          <w:fldChar w:fldCharType="separate"/>
        </w:r>
        <w:r>
          <w:rPr>
            <w:lang w:val="fr-FR"/>
          </w:rPr>
          <w:t>2</w:t>
        </w:r>
        <w:r>
          <w:fldChar w:fldCharType="end"/>
        </w:r>
      </w:p>
    </w:sdtContent>
  </w:sdt>
  <w:p w14:paraId="4306CC87" w14:textId="77777777" w:rsidR="00F940FA" w:rsidRPr="00CF4572" w:rsidRDefault="00F940FA" w:rsidP="00CF4572">
    <w:pPr>
      <w:pStyle w:val="Footer"/>
      <w:jc w:val="cente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33EF" w14:textId="77777777" w:rsidR="00DE4896" w:rsidRDefault="00DE4896" w:rsidP="0051557E">
      <w:r>
        <w:separator/>
      </w:r>
    </w:p>
  </w:footnote>
  <w:footnote w:type="continuationSeparator" w:id="0">
    <w:p w14:paraId="210E93D5" w14:textId="77777777" w:rsidR="00DE4896" w:rsidRDefault="00DE4896" w:rsidP="0051557E">
      <w:r>
        <w:continuationSeparator/>
      </w:r>
    </w:p>
  </w:footnote>
  <w:footnote w:id="1">
    <w:p w14:paraId="3B2EC167" w14:textId="0F17B385" w:rsidR="00F940FA" w:rsidRPr="0096103C" w:rsidRDefault="00F940FA" w:rsidP="007F1D49">
      <w:pPr>
        <w:pStyle w:val="FootnoteText"/>
        <w:rPr>
          <w:rFonts w:asciiTheme="minorHAnsi" w:hAnsiTheme="minorHAnsi" w:cstheme="minorHAnsi"/>
          <w:lang w:val="en-CA"/>
        </w:rPr>
      </w:pPr>
      <w:r w:rsidRPr="0096103C">
        <w:rPr>
          <w:rStyle w:val="FootnoteReference"/>
          <w:rFonts w:asciiTheme="minorHAnsi" w:hAnsiTheme="minorHAnsi" w:cstheme="minorHAnsi"/>
        </w:rPr>
        <w:footnoteRef/>
      </w:r>
      <w:r w:rsidRPr="0096103C">
        <w:rPr>
          <w:rFonts w:asciiTheme="minorHAnsi" w:hAnsiTheme="minorHAnsi" w:cstheme="minorHAnsi"/>
        </w:rPr>
        <w:t xml:space="preserve"> </w:t>
      </w:r>
      <w:r w:rsidRPr="0096103C">
        <w:rPr>
          <w:rFonts w:asciiTheme="minorHAnsi" w:hAnsiTheme="minorHAnsi" w:cstheme="minorHAnsi"/>
          <w:lang w:val="en-CA"/>
        </w:rPr>
        <w:t>As of August 31, 2020</w:t>
      </w:r>
    </w:p>
  </w:footnote>
  <w:footnote w:id="2">
    <w:p w14:paraId="0BBE6A15" w14:textId="18C1E952" w:rsidR="00F940FA" w:rsidRPr="0096103C" w:rsidRDefault="00F940FA" w:rsidP="007F1D49">
      <w:pPr>
        <w:pStyle w:val="FootnoteText"/>
        <w:rPr>
          <w:rFonts w:asciiTheme="minorHAnsi" w:hAnsiTheme="minorHAnsi" w:cstheme="minorHAnsi"/>
          <w:lang w:val="en-CA"/>
        </w:rPr>
      </w:pPr>
      <w:r w:rsidRPr="0096103C">
        <w:rPr>
          <w:rStyle w:val="FootnoteReference"/>
          <w:rFonts w:asciiTheme="minorHAnsi" w:hAnsiTheme="minorHAnsi" w:cstheme="minorHAnsi"/>
        </w:rPr>
        <w:footnoteRef/>
      </w:r>
      <w:r w:rsidRPr="0096103C">
        <w:rPr>
          <w:rFonts w:asciiTheme="minorHAnsi" w:hAnsiTheme="minorHAnsi" w:cstheme="minorHAnsi"/>
          <w:lang w:val="en-CA"/>
        </w:rPr>
        <w:t xml:space="preserve"> As of August 31, 2020</w:t>
      </w:r>
    </w:p>
  </w:footnote>
  <w:footnote w:id="3">
    <w:p w14:paraId="22F85D0E" w14:textId="33610727" w:rsidR="00F940FA" w:rsidRPr="00A21E06" w:rsidRDefault="00F940FA" w:rsidP="007F1D49">
      <w:pPr>
        <w:pStyle w:val="FootnoteText"/>
        <w:rPr>
          <w:lang w:val="fr-CA"/>
        </w:rPr>
      </w:pPr>
      <w:r w:rsidRPr="0096103C">
        <w:rPr>
          <w:rStyle w:val="FootnoteReference"/>
          <w:rFonts w:asciiTheme="minorHAnsi" w:hAnsiTheme="minorHAnsi" w:cstheme="minorHAnsi"/>
        </w:rPr>
        <w:footnoteRef/>
      </w:r>
      <w:r w:rsidRPr="0096103C">
        <w:rPr>
          <w:rFonts w:asciiTheme="minorHAnsi" w:hAnsiTheme="minorHAnsi" w:cstheme="minorHAnsi"/>
        </w:rPr>
        <w:t xml:space="preserve"> </w:t>
      </w:r>
      <w:r w:rsidRPr="0096103C">
        <w:rPr>
          <w:rFonts w:asciiTheme="minorHAnsi" w:hAnsiTheme="minorHAnsi" w:cstheme="minorHAnsi"/>
          <w:lang w:val="fr-CA"/>
        </w:rPr>
        <w:t xml:space="preserve">As of </w:t>
      </w:r>
      <w:r w:rsidRPr="0096103C">
        <w:rPr>
          <w:rFonts w:asciiTheme="minorHAnsi" w:hAnsiTheme="minorHAnsi" w:cstheme="minorHAnsi"/>
          <w:lang w:val="en-CA"/>
        </w:rPr>
        <w:t xml:space="preserve">August </w:t>
      </w:r>
      <w:r w:rsidRPr="0096103C">
        <w:rPr>
          <w:rFonts w:asciiTheme="minorHAnsi" w:hAnsiTheme="minorHAnsi" w:cstheme="minorHAnsi"/>
          <w:lang w:val="fr-CA"/>
        </w:rPr>
        <w:t>31, 2020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6C9" w14:textId="77777777" w:rsidR="00D732DE" w:rsidRDefault="00D73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93B2" w14:textId="77777777" w:rsidR="00F940FA" w:rsidRDefault="00F940FA" w:rsidP="0051557E">
    <w:pPr>
      <w:pStyle w:val="Header"/>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78CC" w14:textId="63D519CB" w:rsidR="00F940FA" w:rsidRDefault="00F940FA" w:rsidP="00D919FE">
    <w:pPr>
      <w:pStyle w:val="Header"/>
      <w:tabs>
        <w:tab w:val="clear" w:pos="4680"/>
        <w:tab w:val="clear" w:pos="9360"/>
        <w:tab w:val="left" w:pos="325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2865" w14:textId="77777777" w:rsidR="00F940FA" w:rsidRPr="00E43239" w:rsidRDefault="00F940FA" w:rsidP="00E432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A902" w14:textId="77777777" w:rsidR="00F940FA" w:rsidRPr="00CF4572" w:rsidRDefault="00F940FA" w:rsidP="00CF4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2B1D0E"/>
    <w:multiLevelType w:val="hybridMultilevel"/>
    <w:tmpl w:val="9DE4B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B64CBB"/>
    <w:multiLevelType w:val="hybridMultilevel"/>
    <w:tmpl w:val="F43C4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5C35B7"/>
    <w:multiLevelType w:val="hybridMultilevel"/>
    <w:tmpl w:val="EA1CE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B057C6"/>
    <w:multiLevelType w:val="hybridMultilevel"/>
    <w:tmpl w:val="EF6A7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7966E7"/>
    <w:multiLevelType w:val="hybridMultilevel"/>
    <w:tmpl w:val="0F266D08"/>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EA4878"/>
    <w:multiLevelType w:val="hybridMultilevel"/>
    <w:tmpl w:val="C9AE9D96"/>
    <w:lvl w:ilvl="0" w:tplc="1009000D">
      <w:start w:val="1"/>
      <w:numFmt w:val="bullet"/>
      <w:lvlText w:val=""/>
      <w:lvlJc w:val="left"/>
      <w:pPr>
        <w:ind w:left="720" w:hanging="360"/>
      </w:pPr>
      <w:rPr>
        <w:rFonts w:ascii="Wingdings" w:hAnsi="Wingdings" w:hint="default"/>
        <w:color w:val="auto"/>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70252F"/>
    <w:multiLevelType w:val="hybridMultilevel"/>
    <w:tmpl w:val="8DD81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28567CB"/>
    <w:multiLevelType w:val="hybridMultilevel"/>
    <w:tmpl w:val="6DB42C0E"/>
    <w:lvl w:ilvl="0" w:tplc="CE5C5B68">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63083"/>
    <w:multiLevelType w:val="hybridMultilevel"/>
    <w:tmpl w:val="85FEF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2554C69"/>
    <w:multiLevelType w:val="hybridMultilevel"/>
    <w:tmpl w:val="3EA4708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8C45B4"/>
    <w:multiLevelType w:val="hybridMultilevel"/>
    <w:tmpl w:val="84146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4D2547"/>
    <w:multiLevelType w:val="hybridMultilevel"/>
    <w:tmpl w:val="77127E44"/>
    <w:lvl w:ilvl="0" w:tplc="1009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0D54F1"/>
    <w:multiLevelType w:val="hybridMultilevel"/>
    <w:tmpl w:val="F3C68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9405FD1"/>
    <w:multiLevelType w:val="hybridMultilevel"/>
    <w:tmpl w:val="26BA2C4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0259C5"/>
    <w:multiLevelType w:val="hybridMultilevel"/>
    <w:tmpl w:val="52A880EA"/>
    <w:lvl w:ilvl="0" w:tplc="0C0C0003">
      <w:start w:val="1"/>
      <w:numFmt w:val="bullet"/>
      <w:lvlText w:val="o"/>
      <w:lvlJc w:val="left"/>
      <w:pPr>
        <w:ind w:left="1080" w:hanging="360"/>
      </w:pPr>
      <w:rPr>
        <w:rFonts w:ascii="Courier New" w:hAnsi="Courier New" w:cs="Courier New" w:hint="default"/>
      </w:rPr>
    </w:lvl>
    <w:lvl w:ilvl="1" w:tplc="0C0C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0"/>
  </w:num>
  <w:num w:numId="4">
    <w:abstractNumId w:val="22"/>
  </w:num>
  <w:num w:numId="5">
    <w:abstractNumId w:val="19"/>
  </w:num>
  <w:num w:numId="6">
    <w:abstractNumId w:val="26"/>
  </w:num>
  <w:num w:numId="7">
    <w:abstractNumId w:val="17"/>
  </w:num>
  <w:num w:numId="8">
    <w:abstractNumId w:val="16"/>
  </w:num>
  <w:num w:numId="9">
    <w:abstractNumId w:val="12"/>
  </w:num>
  <w:num w:numId="10">
    <w:abstractNumId w:val="25"/>
  </w:num>
  <w:num w:numId="11">
    <w:abstractNumId w:val="7"/>
  </w:num>
  <w:num w:numId="12">
    <w:abstractNumId w:val="24"/>
  </w:num>
  <w:num w:numId="13">
    <w:abstractNumId w:val="5"/>
  </w:num>
  <w:num w:numId="14">
    <w:abstractNumId w:val="3"/>
  </w:num>
  <w:num w:numId="15">
    <w:abstractNumId w:val="15"/>
  </w:num>
  <w:num w:numId="16">
    <w:abstractNumId w:val="4"/>
  </w:num>
  <w:num w:numId="17">
    <w:abstractNumId w:val="20"/>
  </w:num>
  <w:num w:numId="18">
    <w:abstractNumId w:val="1"/>
  </w:num>
  <w:num w:numId="19">
    <w:abstractNumId w:val="27"/>
  </w:num>
  <w:num w:numId="20">
    <w:abstractNumId w:val="6"/>
  </w:num>
  <w:num w:numId="21">
    <w:abstractNumId w:val="8"/>
  </w:num>
  <w:num w:numId="22">
    <w:abstractNumId w:val="13"/>
  </w:num>
  <w:num w:numId="23">
    <w:abstractNumId w:val="10"/>
  </w:num>
  <w:num w:numId="24">
    <w:abstractNumId w:val="21"/>
  </w:num>
  <w:num w:numId="25">
    <w:abstractNumId w:val="9"/>
  </w:num>
  <w:num w:numId="26">
    <w:abstractNumId w:val="18"/>
  </w:num>
  <w:num w:numId="27">
    <w:abstractNumId w:val="11"/>
  </w:num>
  <w:num w:numId="28">
    <w:abstractNumId w:val="23"/>
  </w:num>
  <w:num w:numId="2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D3"/>
    <w:rsid w:val="00005F5A"/>
    <w:rsid w:val="000225BD"/>
    <w:rsid w:val="000272A9"/>
    <w:rsid w:val="000370B0"/>
    <w:rsid w:val="00037889"/>
    <w:rsid w:val="00037946"/>
    <w:rsid w:val="000465B2"/>
    <w:rsid w:val="00051433"/>
    <w:rsid w:val="00052FE3"/>
    <w:rsid w:val="0005342F"/>
    <w:rsid w:val="00054942"/>
    <w:rsid w:val="00062226"/>
    <w:rsid w:val="00072A3C"/>
    <w:rsid w:val="00086179"/>
    <w:rsid w:val="00086418"/>
    <w:rsid w:val="000A021D"/>
    <w:rsid w:val="000A5B54"/>
    <w:rsid w:val="000A6CE5"/>
    <w:rsid w:val="000A6F52"/>
    <w:rsid w:val="000C2D2F"/>
    <w:rsid w:val="000C3E48"/>
    <w:rsid w:val="000C7E04"/>
    <w:rsid w:val="000D4E10"/>
    <w:rsid w:val="000D76E7"/>
    <w:rsid w:val="000E70A9"/>
    <w:rsid w:val="0010202F"/>
    <w:rsid w:val="00117D89"/>
    <w:rsid w:val="00122354"/>
    <w:rsid w:val="001232AF"/>
    <w:rsid w:val="00131781"/>
    <w:rsid w:val="001402D4"/>
    <w:rsid w:val="001456F7"/>
    <w:rsid w:val="00146540"/>
    <w:rsid w:val="00150FE7"/>
    <w:rsid w:val="001520FE"/>
    <w:rsid w:val="0015465D"/>
    <w:rsid w:val="00156B50"/>
    <w:rsid w:val="00157E41"/>
    <w:rsid w:val="00163622"/>
    <w:rsid w:val="001636F8"/>
    <w:rsid w:val="001679B0"/>
    <w:rsid w:val="00171E20"/>
    <w:rsid w:val="00177795"/>
    <w:rsid w:val="00190FDB"/>
    <w:rsid w:val="001A2BA0"/>
    <w:rsid w:val="001B355D"/>
    <w:rsid w:val="001C63D8"/>
    <w:rsid w:val="001D5063"/>
    <w:rsid w:val="001D5EDB"/>
    <w:rsid w:val="001D7553"/>
    <w:rsid w:val="001E0786"/>
    <w:rsid w:val="001E761B"/>
    <w:rsid w:val="001F7461"/>
    <w:rsid w:val="00204B8C"/>
    <w:rsid w:val="00205526"/>
    <w:rsid w:val="00210749"/>
    <w:rsid w:val="00215B48"/>
    <w:rsid w:val="00223C23"/>
    <w:rsid w:val="00231DFC"/>
    <w:rsid w:val="002373BE"/>
    <w:rsid w:val="00244CD0"/>
    <w:rsid w:val="00246364"/>
    <w:rsid w:val="00252A8D"/>
    <w:rsid w:val="00262923"/>
    <w:rsid w:val="002676D9"/>
    <w:rsid w:val="00280CCC"/>
    <w:rsid w:val="00290A92"/>
    <w:rsid w:val="00293111"/>
    <w:rsid w:val="00294BED"/>
    <w:rsid w:val="002A76BE"/>
    <w:rsid w:val="002B6EDC"/>
    <w:rsid w:val="002C1703"/>
    <w:rsid w:val="002D29D7"/>
    <w:rsid w:val="002D3DA7"/>
    <w:rsid w:val="002D653E"/>
    <w:rsid w:val="002E2944"/>
    <w:rsid w:val="002E521A"/>
    <w:rsid w:val="00304BC2"/>
    <w:rsid w:val="00307643"/>
    <w:rsid w:val="003133DC"/>
    <w:rsid w:val="00322F28"/>
    <w:rsid w:val="00326D75"/>
    <w:rsid w:val="00343A90"/>
    <w:rsid w:val="00345205"/>
    <w:rsid w:val="00347D9F"/>
    <w:rsid w:val="0037069A"/>
    <w:rsid w:val="003711EF"/>
    <w:rsid w:val="00380BDE"/>
    <w:rsid w:val="00382F5B"/>
    <w:rsid w:val="00384972"/>
    <w:rsid w:val="003971A4"/>
    <w:rsid w:val="00397A4A"/>
    <w:rsid w:val="003A7F94"/>
    <w:rsid w:val="003B6DDE"/>
    <w:rsid w:val="003C08D9"/>
    <w:rsid w:val="003D2545"/>
    <w:rsid w:val="003D6D80"/>
    <w:rsid w:val="003D7FCC"/>
    <w:rsid w:val="003E6B72"/>
    <w:rsid w:val="003F14A6"/>
    <w:rsid w:val="004144B3"/>
    <w:rsid w:val="00421A54"/>
    <w:rsid w:val="00440642"/>
    <w:rsid w:val="00443566"/>
    <w:rsid w:val="00456A0D"/>
    <w:rsid w:val="00461BC6"/>
    <w:rsid w:val="00463875"/>
    <w:rsid w:val="00463970"/>
    <w:rsid w:val="00467596"/>
    <w:rsid w:val="00476EF5"/>
    <w:rsid w:val="00481404"/>
    <w:rsid w:val="00483866"/>
    <w:rsid w:val="0049421B"/>
    <w:rsid w:val="004A00BC"/>
    <w:rsid w:val="004A550B"/>
    <w:rsid w:val="004A696C"/>
    <w:rsid w:val="004A7FAA"/>
    <w:rsid w:val="004B039E"/>
    <w:rsid w:val="004B2F46"/>
    <w:rsid w:val="004C602C"/>
    <w:rsid w:val="004D4A21"/>
    <w:rsid w:val="004D54D0"/>
    <w:rsid w:val="004E06C6"/>
    <w:rsid w:val="00504289"/>
    <w:rsid w:val="005136A3"/>
    <w:rsid w:val="0051557E"/>
    <w:rsid w:val="005156F1"/>
    <w:rsid w:val="00521689"/>
    <w:rsid w:val="00522F95"/>
    <w:rsid w:val="005272DB"/>
    <w:rsid w:val="00530A59"/>
    <w:rsid w:val="0054266A"/>
    <w:rsid w:val="005449BC"/>
    <w:rsid w:val="0054669B"/>
    <w:rsid w:val="00547467"/>
    <w:rsid w:val="0055113F"/>
    <w:rsid w:val="00561166"/>
    <w:rsid w:val="00561A14"/>
    <w:rsid w:val="00565A37"/>
    <w:rsid w:val="005712BB"/>
    <w:rsid w:val="005719F2"/>
    <w:rsid w:val="005730DF"/>
    <w:rsid w:val="005734A0"/>
    <w:rsid w:val="00580FEF"/>
    <w:rsid w:val="0058273B"/>
    <w:rsid w:val="005855AB"/>
    <w:rsid w:val="00586C61"/>
    <w:rsid w:val="00586E1D"/>
    <w:rsid w:val="00590A8C"/>
    <w:rsid w:val="005966C1"/>
    <w:rsid w:val="005A204A"/>
    <w:rsid w:val="005B3CFC"/>
    <w:rsid w:val="005B7E30"/>
    <w:rsid w:val="005C0483"/>
    <w:rsid w:val="005C4788"/>
    <w:rsid w:val="005C5EFF"/>
    <w:rsid w:val="005D4281"/>
    <w:rsid w:val="005E6F92"/>
    <w:rsid w:val="005F0C01"/>
    <w:rsid w:val="00600B94"/>
    <w:rsid w:val="006261D5"/>
    <w:rsid w:val="006277B2"/>
    <w:rsid w:val="006307D0"/>
    <w:rsid w:val="006308B9"/>
    <w:rsid w:val="00630BB1"/>
    <w:rsid w:val="00665B25"/>
    <w:rsid w:val="006818DC"/>
    <w:rsid w:val="00695DED"/>
    <w:rsid w:val="006A1065"/>
    <w:rsid w:val="006A45E1"/>
    <w:rsid w:val="006B3DDE"/>
    <w:rsid w:val="006C2FDB"/>
    <w:rsid w:val="006C300F"/>
    <w:rsid w:val="006D54D5"/>
    <w:rsid w:val="006D7C02"/>
    <w:rsid w:val="006E5632"/>
    <w:rsid w:val="00707AFE"/>
    <w:rsid w:val="00710A5C"/>
    <w:rsid w:val="00720DED"/>
    <w:rsid w:val="00725F5E"/>
    <w:rsid w:val="00726417"/>
    <w:rsid w:val="00731A77"/>
    <w:rsid w:val="00736695"/>
    <w:rsid w:val="007378D3"/>
    <w:rsid w:val="00744518"/>
    <w:rsid w:val="0074458B"/>
    <w:rsid w:val="00747BBC"/>
    <w:rsid w:val="00755A01"/>
    <w:rsid w:val="007632B1"/>
    <w:rsid w:val="0076524A"/>
    <w:rsid w:val="00766E18"/>
    <w:rsid w:val="00784F59"/>
    <w:rsid w:val="007A2288"/>
    <w:rsid w:val="007D2CE9"/>
    <w:rsid w:val="007E03E7"/>
    <w:rsid w:val="007E61DE"/>
    <w:rsid w:val="007F1D49"/>
    <w:rsid w:val="00805FFE"/>
    <w:rsid w:val="008064AE"/>
    <w:rsid w:val="008156C3"/>
    <w:rsid w:val="00820F29"/>
    <w:rsid w:val="00831F92"/>
    <w:rsid w:val="008331C2"/>
    <w:rsid w:val="00834053"/>
    <w:rsid w:val="008356AD"/>
    <w:rsid w:val="00856805"/>
    <w:rsid w:val="00877997"/>
    <w:rsid w:val="00893E1D"/>
    <w:rsid w:val="008A41F7"/>
    <w:rsid w:val="008B0074"/>
    <w:rsid w:val="008B5F70"/>
    <w:rsid w:val="008B7C1E"/>
    <w:rsid w:val="008C0839"/>
    <w:rsid w:val="008D0CAB"/>
    <w:rsid w:val="008D32C9"/>
    <w:rsid w:val="008E6DD1"/>
    <w:rsid w:val="008F0DCE"/>
    <w:rsid w:val="008F5203"/>
    <w:rsid w:val="008F75EB"/>
    <w:rsid w:val="00914093"/>
    <w:rsid w:val="009154CC"/>
    <w:rsid w:val="00916961"/>
    <w:rsid w:val="009225C4"/>
    <w:rsid w:val="00926382"/>
    <w:rsid w:val="00930175"/>
    <w:rsid w:val="009308B3"/>
    <w:rsid w:val="00932646"/>
    <w:rsid w:val="00941AA1"/>
    <w:rsid w:val="00953CEB"/>
    <w:rsid w:val="00956646"/>
    <w:rsid w:val="00956953"/>
    <w:rsid w:val="0096103C"/>
    <w:rsid w:val="00967AF5"/>
    <w:rsid w:val="00972F32"/>
    <w:rsid w:val="00974671"/>
    <w:rsid w:val="009800DD"/>
    <w:rsid w:val="0098248A"/>
    <w:rsid w:val="009833F7"/>
    <w:rsid w:val="009850B7"/>
    <w:rsid w:val="00990779"/>
    <w:rsid w:val="00997D3F"/>
    <w:rsid w:val="009A1A2B"/>
    <w:rsid w:val="009A29F0"/>
    <w:rsid w:val="009A2D1C"/>
    <w:rsid w:val="009A350C"/>
    <w:rsid w:val="009A3C90"/>
    <w:rsid w:val="009A5626"/>
    <w:rsid w:val="009B22BE"/>
    <w:rsid w:val="009C285D"/>
    <w:rsid w:val="009C38A1"/>
    <w:rsid w:val="009D293F"/>
    <w:rsid w:val="009E1123"/>
    <w:rsid w:val="009E641A"/>
    <w:rsid w:val="009F5000"/>
    <w:rsid w:val="00A015FD"/>
    <w:rsid w:val="00A01BC7"/>
    <w:rsid w:val="00A06F93"/>
    <w:rsid w:val="00A10C03"/>
    <w:rsid w:val="00A11775"/>
    <w:rsid w:val="00A14ACF"/>
    <w:rsid w:val="00A15A6D"/>
    <w:rsid w:val="00A33E1E"/>
    <w:rsid w:val="00A3677B"/>
    <w:rsid w:val="00A572F6"/>
    <w:rsid w:val="00A64EEB"/>
    <w:rsid w:val="00A7366F"/>
    <w:rsid w:val="00A77330"/>
    <w:rsid w:val="00AA03F8"/>
    <w:rsid w:val="00AA09A9"/>
    <w:rsid w:val="00AB0F35"/>
    <w:rsid w:val="00AB52EC"/>
    <w:rsid w:val="00AB740B"/>
    <w:rsid w:val="00AC4130"/>
    <w:rsid w:val="00AC4983"/>
    <w:rsid w:val="00AC5D04"/>
    <w:rsid w:val="00AD242D"/>
    <w:rsid w:val="00AD27C0"/>
    <w:rsid w:val="00AE4739"/>
    <w:rsid w:val="00AE4D3A"/>
    <w:rsid w:val="00AE71A6"/>
    <w:rsid w:val="00AF0484"/>
    <w:rsid w:val="00B0227B"/>
    <w:rsid w:val="00B11B55"/>
    <w:rsid w:val="00B11FA2"/>
    <w:rsid w:val="00B132A9"/>
    <w:rsid w:val="00B24B41"/>
    <w:rsid w:val="00B328D3"/>
    <w:rsid w:val="00B328FB"/>
    <w:rsid w:val="00B56B84"/>
    <w:rsid w:val="00B7220B"/>
    <w:rsid w:val="00B76438"/>
    <w:rsid w:val="00B768E7"/>
    <w:rsid w:val="00B77BEE"/>
    <w:rsid w:val="00BA4794"/>
    <w:rsid w:val="00BC1799"/>
    <w:rsid w:val="00BC2499"/>
    <w:rsid w:val="00BC2A8C"/>
    <w:rsid w:val="00BC56F3"/>
    <w:rsid w:val="00BD0485"/>
    <w:rsid w:val="00BD384B"/>
    <w:rsid w:val="00BE7145"/>
    <w:rsid w:val="00BE746A"/>
    <w:rsid w:val="00BE79E6"/>
    <w:rsid w:val="00BF28EE"/>
    <w:rsid w:val="00BF575E"/>
    <w:rsid w:val="00C00E99"/>
    <w:rsid w:val="00C0157E"/>
    <w:rsid w:val="00C03650"/>
    <w:rsid w:val="00C05C03"/>
    <w:rsid w:val="00C066B6"/>
    <w:rsid w:val="00C07F74"/>
    <w:rsid w:val="00C14ACA"/>
    <w:rsid w:val="00C1596D"/>
    <w:rsid w:val="00C262BB"/>
    <w:rsid w:val="00C27518"/>
    <w:rsid w:val="00C3275A"/>
    <w:rsid w:val="00C367A6"/>
    <w:rsid w:val="00C408E8"/>
    <w:rsid w:val="00C41BF4"/>
    <w:rsid w:val="00C41DDE"/>
    <w:rsid w:val="00C47261"/>
    <w:rsid w:val="00C52119"/>
    <w:rsid w:val="00C562F1"/>
    <w:rsid w:val="00C56876"/>
    <w:rsid w:val="00C62C32"/>
    <w:rsid w:val="00C727B4"/>
    <w:rsid w:val="00C73191"/>
    <w:rsid w:val="00C73AFF"/>
    <w:rsid w:val="00C75177"/>
    <w:rsid w:val="00C7605D"/>
    <w:rsid w:val="00C82357"/>
    <w:rsid w:val="00C82E11"/>
    <w:rsid w:val="00C8417D"/>
    <w:rsid w:val="00C91AC5"/>
    <w:rsid w:val="00C93FE1"/>
    <w:rsid w:val="00C94251"/>
    <w:rsid w:val="00CA12D3"/>
    <w:rsid w:val="00CA52CE"/>
    <w:rsid w:val="00CA626E"/>
    <w:rsid w:val="00CA6A76"/>
    <w:rsid w:val="00CB1381"/>
    <w:rsid w:val="00CB4401"/>
    <w:rsid w:val="00CB7539"/>
    <w:rsid w:val="00CC0EC1"/>
    <w:rsid w:val="00CC5803"/>
    <w:rsid w:val="00CF23B7"/>
    <w:rsid w:val="00CF3227"/>
    <w:rsid w:val="00CF4572"/>
    <w:rsid w:val="00D15C5C"/>
    <w:rsid w:val="00D2095C"/>
    <w:rsid w:val="00D26C85"/>
    <w:rsid w:val="00D33833"/>
    <w:rsid w:val="00D349E3"/>
    <w:rsid w:val="00D41BA9"/>
    <w:rsid w:val="00D43E1F"/>
    <w:rsid w:val="00D4675F"/>
    <w:rsid w:val="00D5361C"/>
    <w:rsid w:val="00D65576"/>
    <w:rsid w:val="00D67CC0"/>
    <w:rsid w:val="00D72D5E"/>
    <w:rsid w:val="00D73015"/>
    <w:rsid w:val="00D732DE"/>
    <w:rsid w:val="00D75344"/>
    <w:rsid w:val="00D8567D"/>
    <w:rsid w:val="00D919FE"/>
    <w:rsid w:val="00DA0C0E"/>
    <w:rsid w:val="00DA0C46"/>
    <w:rsid w:val="00DA4866"/>
    <w:rsid w:val="00DA5149"/>
    <w:rsid w:val="00DA5CFE"/>
    <w:rsid w:val="00DC0DFE"/>
    <w:rsid w:val="00DC1044"/>
    <w:rsid w:val="00DC1AD6"/>
    <w:rsid w:val="00DC61CA"/>
    <w:rsid w:val="00DC71E4"/>
    <w:rsid w:val="00DD04F0"/>
    <w:rsid w:val="00DD38B6"/>
    <w:rsid w:val="00DD66EE"/>
    <w:rsid w:val="00DE4896"/>
    <w:rsid w:val="00DE75DE"/>
    <w:rsid w:val="00DF5B08"/>
    <w:rsid w:val="00E21E43"/>
    <w:rsid w:val="00E246BC"/>
    <w:rsid w:val="00E2539D"/>
    <w:rsid w:val="00E27E6D"/>
    <w:rsid w:val="00E4148F"/>
    <w:rsid w:val="00E426E5"/>
    <w:rsid w:val="00E43239"/>
    <w:rsid w:val="00E62E02"/>
    <w:rsid w:val="00E76AED"/>
    <w:rsid w:val="00E8066F"/>
    <w:rsid w:val="00E97540"/>
    <w:rsid w:val="00EA3E69"/>
    <w:rsid w:val="00EB2837"/>
    <w:rsid w:val="00ED7144"/>
    <w:rsid w:val="00ED7F0A"/>
    <w:rsid w:val="00EE25D1"/>
    <w:rsid w:val="00EE678E"/>
    <w:rsid w:val="00EF4841"/>
    <w:rsid w:val="00EF78F6"/>
    <w:rsid w:val="00F10C53"/>
    <w:rsid w:val="00F27792"/>
    <w:rsid w:val="00F41208"/>
    <w:rsid w:val="00F428A2"/>
    <w:rsid w:val="00F6112B"/>
    <w:rsid w:val="00F63A28"/>
    <w:rsid w:val="00F66A00"/>
    <w:rsid w:val="00F71D05"/>
    <w:rsid w:val="00F74124"/>
    <w:rsid w:val="00F81029"/>
    <w:rsid w:val="00F83089"/>
    <w:rsid w:val="00F836C6"/>
    <w:rsid w:val="00F84BD6"/>
    <w:rsid w:val="00F940FA"/>
    <w:rsid w:val="00FA6951"/>
    <w:rsid w:val="00FB1D2D"/>
    <w:rsid w:val="00FB3272"/>
    <w:rsid w:val="00FD242A"/>
    <w:rsid w:val="00FD71E0"/>
    <w:rsid w:val="00FE3670"/>
    <w:rsid w:val="00FE46E2"/>
    <w:rsid w:val="00FF528D"/>
    <w:rsid w:val="00FF64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846BA"/>
  <w15:chartTrackingRefBased/>
  <w15:docId w15:val="{E24ECDFB-05E4-47DD-AC98-43C33ACA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BB"/>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4B2F46"/>
    <w:pPr>
      <w:keepNext/>
      <w:spacing w:before="240" w:after="120"/>
      <w:outlineLvl w:val="0"/>
    </w:pPr>
    <w:rPr>
      <w:rFonts w:asciiTheme="majorHAnsi" w:eastAsiaTheme="majorEastAsia" w:hAnsiTheme="majorHAnsi" w:cstheme="majorBidi"/>
      <w:sz w:val="48"/>
      <w:szCs w:val="48"/>
      <w:lang w:val="en-CA"/>
    </w:rPr>
  </w:style>
  <w:style w:type="paragraph" w:styleId="Heading2">
    <w:name w:val="heading 2"/>
    <w:basedOn w:val="Normal"/>
    <w:next w:val="Normal"/>
    <w:link w:val="Heading2Char"/>
    <w:uiPriority w:val="9"/>
    <w:unhideWhenUsed/>
    <w:qFormat/>
    <w:rsid w:val="004B2F46"/>
    <w:pPr>
      <w:keepNext/>
      <w:spacing w:after="12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4B2F46"/>
    <w:pPr>
      <w:keepNext/>
      <w:spacing w:before="40" w:after="120"/>
      <w:outlineLvl w:val="2"/>
    </w:pPr>
    <w:rPr>
      <w:rFonts w:ascii="Segoe UI Semibold" w:eastAsiaTheme="majorEastAsia" w:hAnsi="Segoe UI Semibold" w:cs="Segoe UI Semibold"/>
      <w:szCs w:val="24"/>
      <w:lang w:val="en-CA"/>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4B2F46"/>
    <w:rPr>
      <w:rFonts w:asciiTheme="majorHAnsi" w:eastAsiaTheme="majorEastAsia" w:hAnsiTheme="majorHAnsi" w:cstheme="majorBidi"/>
      <w:sz w:val="48"/>
      <w:szCs w:val="48"/>
    </w:rPr>
  </w:style>
  <w:style w:type="character" w:customStyle="1" w:styleId="Heading2Char">
    <w:name w:val="Heading 2 Char"/>
    <w:basedOn w:val="DefaultParagraphFont"/>
    <w:link w:val="Heading2"/>
    <w:uiPriority w:val="9"/>
    <w:rsid w:val="004B2F46"/>
    <w:rPr>
      <w:rFonts w:ascii="Segoe UI" w:eastAsiaTheme="majorEastAsia" w:hAnsi="Segoe UI" w:cs="Segoe UI"/>
      <w:b/>
      <w:color w:val="5B315E" w:themeColor="accent2"/>
      <w:sz w:val="32"/>
      <w:szCs w:val="32"/>
      <w:lang w:val="en-US"/>
    </w:rPr>
  </w:style>
  <w:style w:type="character" w:customStyle="1" w:styleId="Heading3Char">
    <w:name w:val="Heading 3 Char"/>
    <w:basedOn w:val="DefaultParagraphFont"/>
    <w:link w:val="Heading3"/>
    <w:uiPriority w:val="9"/>
    <w:rsid w:val="004B2F46"/>
    <w:rPr>
      <w:rFonts w:ascii="Segoe UI Semibold" w:eastAsiaTheme="majorEastAsia" w:hAnsi="Segoe UI Semibold" w:cs="Segoe UI Semibold"/>
      <w:sz w:val="24"/>
      <w:szCs w:val="24"/>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Liste 1"/>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210749"/>
    <w:rPr>
      <w:rFonts w:ascii="Segoe UI Semibold" w:hAnsi="Segoe UI Semibold"/>
      <w:b w:val="0"/>
      <w:color w:val="54575A" w:themeColor="text1"/>
    </w:rPr>
  </w:style>
  <w:style w:type="paragraph" w:styleId="Title">
    <w:name w:val="Title"/>
    <w:basedOn w:val="Normal"/>
    <w:next w:val="Normal"/>
    <w:link w:val="TitleChar"/>
    <w:autoRedefine/>
    <w:uiPriority w:val="10"/>
    <w:qFormat/>
    <w:rsid w:val="00834053"/>
    <w:pPr>
      <w:contextualSpacing/>
      <w:jc w:val="center"/>
    </w:pPr>
    <w:rPr>
      <w:rFonts w:asciiTheme="majorHAnsi" w:eastAsiaTheme="majorEastAsia" w:hAnsiTheme="majorHAnsi" w:cstheme="majorHAnsi"/>
      <w:spacing w:val="-10"/>
      <w:kern w:val="28"/>
      <w:sz w:val="36"/>
      <w:szCs w:val="36"/>
      <w:lang w:val="en-CA"/>
    </w:rPr>
  </w:style>
  <w:style w:type="character" w:customStyle="1" w:styleId="TitleChar">
    <w:name w:val="Title Char"/>
    <w:basedOn w:val="DefaultParagraphFont"/>
    <w:link w:val="Title"/>
    <w:uiPriority w:val="10"/>
    <w:rsid w:val="00834053"/>
    <w:rPr>
      <w:rFonts w:asciiTheme="majorHAnsi" w:eastAsiaTheme="majorEastAsia" w:hAnsiTheme="majorHAnsi" w:cstheme="majorHAnsi"/>
      <w:spacing w:val="-10"/>
      <w:kern w:val="28"/>
      <w:sz w:val="36"/>
      <w:szCs w:val="36"/>
    </w:rPr>
  </w:style>
  <w:style w:type="paragraph" w:customStyle="1" w:styleId="Style2">
    <w:name w:val="Style2"/>
    <w:basedOn w:val="Normal"/>
    <w:link w:val="Style2Char"/>
    <w:qFormat/>
    <w:rsid w:val="007378D3"/>
    <w:pPr>
      <w:shd w:val="clear" w:color="auto" w:fill="F2F2F2"/>
    </w:pPr>
    <w:rPr>
      <w:rFonts w:ascii="Arial" w:hAnsi="Arial" w:cs="Arial"/>
      <w:b/>
      <w:color w:val="009999"/>
      <w:spacing w:val="-10"/>
      <w:lang w:val="en-CA"/>
    </w:rPr>
  </w:style>
  <w:style w:type="character" w:customStyle="1" w:styleId="Style2Char">
    <w:name w:val="Style2 Char"/>
    <w:basedOn w:val="DefaultParagraphFont"/>
    <w:link w:val="Style2"/>
    <w:rsid w:val="007378D3"/>
    <w:rPr>
      <w:rFonts w:ascii="Arial" w:eastAsia="Times New Roman" w:hAnsi="Arial" w:cs="Arial"/>
      <w:b/>
      <w:color w:val="009999"/>
      <w:spacing w:val="-10"/>
      <w:shd w:val="clear" w:color="auto" w:fill="F2F2F2"/>
    </w:rPr>
  </w:style>
  <w:style w:type="paragraph" w:customStyle="1" w:styleId="Style4">
    <w:name w:val="Style4"/>
    <w:basedOn w:val="Normal"/>
    <w:link w:val="Style4Char"/>
    <w:qFormat/>
    <w:rsid w:val="007378D3"/>
    <w:rPr>
      <w:rFonts w:ascii="Arial" w:hAnsi="Arial" w:cs="Arial"/>
      <w:u w:val="single"/>
      <w:lang w:val="en-CA" w:eastAsia="en-CA"/>
    </w:rPr>
  </w:style>
  <w:style w:type="character" w:customStyle="1" w:styleId="Style4Char">
    <w:name w:val="Style4 Char"/>
    <w:basedOn w:val="DefaultParagraphFont"/>
    <w:link w:val="Style4"/>
    <w:rsid w:val="007378D3"/>
    <w:rPr>
      <w:rFonts w:ascii="Arial" w:eastAsia="Times New Roman" w:hAnsi="Arial" w:cs="Arial"/>
      <w:u w:val="single"/>
      <w:lang w:eastAsia="en-CA"/>
    </w:rPr>
  </w:style>
  <w:style w:type="paragraph" w:styleId="NormalWeb">
    <w:name w:val="Normal (Web)"/>
    <w:basedOn w:val="Normal"/>
    <w:uiPriority w:val="99"/>
    <w:unhideWhenUsed/>
    <w:rsid w:val="007378D3"/>
    <w:pPr>
      <w:spacing w:before="100" w:beforeAutospacing="1" w:after="100" w:afterAutospacing="1"/>
    </w:pPr>
    <w:rPr>
      <w:rFonts w:ascii="Verdana" w:hAnsi="Verdana"/>
      <w:szCs w:val="24"/>
    </w:rPr>
  </w:style>
  <w:style w:type="paragraph" w:customStyle="1" w:styleId="Level1">
    <w:name w:val="Level 1"/>
    <w:basedOn w:val="Normal"/>
    <w:uiPriority w:val="99"/>
    <w:rsid w:val="007378D3"/>
    <w:pPr>
      <w:widowControl w:val="0"/>
    </w:pPr>
  </w:style>
  <w:style w:type="character" w:styleId="Hyperlink">
    <w:name w:val="Hyperlink"/>
    <w:uiPriority w:val="99"/>
    <w:unhideWhenUsed/>
    <w:rsid w:val="007378D3"/>
    <w:rPr>
      <w:color w:val="0563C1"/>
      <w:u w:val="single"/>
    </w:rPr>
  </w:style>
  <w:style w:type="paragraph" w:styleId="NoSpacing">
    <w:name w:val="No Spacing"/>
    <w:uiPriority w:val="1"/>
    <w:qFormat/>
    <w:rsid w:val="00072A3C"/>
    <w:pPr>
      <w:spacing w:after="120" w:line="240" w:lineRule="auto"/>
    </w:pPr>
    <w:rPr>
      <w:rFonts w:eastAsia="Times New Roman" w:cstheme="minorHAnsi"/>
    </w:rPr>
  </w:style>
  <w:style w:type="paragraph" w:customStyle="1" w:styleId="Style1">
    <w:name w:val="Style1"/>
    <w:basedOn w:val="Normal"/>
    <w:link w:val="Style1Char"/>
    <w:qFormat/>
    <w:rsid w:val="007378D3"/>
    <w:pPr>
      <w:pBdr>
        <w:bottom w:val="single" w:sz="4" w:space="1" w:color="92D050"/>
      </w:pBdr>
      <w:autoSpaceDE w:val="0"/>
      <w:autoSpaceDN w:val="0"/>
      <w:adjustRightInd w:val="0"/>
      <w:ind w:right="50"/>
    </w:pPr>
    <w:rPr>
      <w:rFonts w:ascii="Arial" w:hAnsi="Arial" w:cs="Arial"/>
      <w:b/>
      <w:caps/>
      <w:color w:val="92D050"/>
      <w:lang w:val="en-CA"/>
    </w:rPr>
  </w:style>
  <w:style w:type="character" w:customStyle="1" w:styleId="Style1Char">
    <w:name w:val="Style1 Char"/>
    <w:basedOn w:val="DefaultParagraphFont"/>
    <w:link w:val="Style1"/>
    <w:rsid w:val="007378D3"/>
    <w:rPr>
      <w:rFonts w:ascii="Arial" w:eastAsia="Times New Roman" w:hAnsi="Arial" w:cs="Arial"/>
      <w:b/>
      <w:caps/>
      <w:color w:val="92D050"/>
    </w:rPr>
  </w:style>
  <w:style w:type="paragraph" w:customStyle="1" w:styleId="Style6">
    <w:name w:val="Style6"/>
    <w:basedOn w:val="Normal"/>
    <w:link w:val="Style6Char"/>
    <w:qFormat/>
    <w:rsid w:val="007378D3"/>
    <w:pPr>
      <w:jc w:val="center"/>
    </w:pPr>
    <w:rPr>
      <w:rFonts w:ascii="Arial" w:hAnsi="Arial" w:cs="Arial"/>
      <w:b/>
      <w:color w:val="009999"/>
      <w:szCs w:val="24"/>
    </w:rPr>
  </w:style>
  <w:style w:type="paragraph" w:customStyle="1" w:styleId="Style7">
    <w:name w:val="Style7"/>
    <w:basedOn w:val="Normal"/>
    <w:link w:val="Style7Char"/>
    <w:qFormat/>
    <w:rsid w:val="007378D3"/>
    <w:pPr>
      <w:jc w:val="center"/>
    </w:pPr>
    <w:rPr>
      <w:rFonts w:ascii="Arial" w:hAnsi="Arial" w:cs="Arial"/>
      <w:color w:val="009999"/>
      <w:szCs w:val="32"/>
    </w:rPr>
  </w:style>
  <w:style w:type="character" w:customStyle="1" w:styleId="Style6Char">
    <w:name w:val="Style6 Char"/>
    <w:basedOn w:val="DefaultParagraphFont"/>
    <w:link w:val="Style6"/>
    <w:rsid w:val="007378D3"/>
    <w:rPr>
      <w:rFonts w:ascii="Arial" w:eastAsia="Times New Roman" w:hAnsi="Arial" w:cs="Arial"/>
      <w:b/>
      <w:color w:val="009999"/>
      <w:sz w:val="24"/>
      <w:szCs w:val="24"/>
      <w:lang w:val="en-US"/>
    </w:rPr>
  </w:style>
  <w:style w:type="paragraph" w:customStyle="1" w:styleId="Style8">
    <w:name w:val="Style8"/>
    <w:basedOn w:val="Normal"/>
    <w:link w:val="Style8Char"/>
    <w:qFormat/>
    <w:rsid w:val="007378D3"/>
    <w:rPr>
      <w:rFonts w:ascii="Arial" w:hAnsi="Arial" w:cs="Arial"/>
      <w:color w:val="767171"/>
      <w:sz w:val="16"/>
      <w:lang w:val="en-CA"/>
    </w:rPr>
  </w:style>
  <w:style w:type="character" w:customStyle="1" w:styleId="Style7Char">
    <w:name w:val="Style7 Char"/>
    <w:basedOn w:val="DefaultParagraphFont"/>
    <w:link w:val="Style7"/>
    <w:rsid w:val="007378D3"/>
    <w:rPr>
      <w:rFonts w:ascii="Arial" w:eastAsia="Times New Roman" w:hAnsi="Arial" w:cs="Arial"/>
      <w:color w:val="009999"/>
      <w:szCs w:val="32"/>
      <w:lang w:val="en-US"/>
    </w:rPr>
  </w:style>
  <w:style w:type="paragraph" w:customStyle="1" w:styleId="Style9">
    <w:name w:val="Style9"/>
    <w:basedOn w:val="Normal"/>
    <w:link w:val="Style9Char"/>
    <w:qFormat/>
    <w:rsid w:val="007378D3"/>
    <w:rPr>
      <w:rFonts w:ascii="Arial" w:hAnsi="Arial" w:cs="Arial"/>
      <w:b/>
      <w:color w:val="009999"/>
      <w:spacing w:val="-10"/>
      <w:lang w:val="en-CA"/>
    </w:rPr>
  </w:style>
  <w:style w:type="character" w:customStyle="1" w:styleId="Style8Char">
    <w:name w:val="Style8 Char"/>
    <w:basedOn w:val="DefaultParagraphFont"/>
    <w:link w:val="Style8"/>
    <w:rsid w:val="007378D3"/>
    <w:rPr>
      <w:rFonts w:ascii="Arial" w:eastAsia="Times New Roman" w:hAnsi="Arial" w:cs="Arial"/>
      <w:color w:val="767171"/>
      <w:sz w:val="16"/>
    </w:rPr>
  </w:style>
  <w:style w:type="character" w:customStyle="1" w:styleId="Style9Char">
    <w:name w:val="Style9 Char"/>
    <w:basedOn w:val="DefaultParagraphFont"/>
    <w:link w:val="Style9"/>
    <w:rsid w:val="007378D3"/>
    <w:rPr>
      <w:rFonts w:ascii="Arial" w:eastAsia="Times New Roman" w:hAnsi="Arial" w:cs="Arial"/>
      <w:b/>
      <w:color w:val="009999"/>
      <w:spacing w:val="-10"/>
    </w:rPr>
  </w:style>
  <w:style w:type="character" w:styleId="FollowedHyperlink">
    <w:name w:val="FollowedHyperlink"/>
    <w:basedOn w:val="DefaultParagraphFont"/>
    <w:uiPriority w:val="99"/>
    <w:semiHidden/>
    <w:unhideWhenUsed/>
    <w:rsid w:val="002D653E"/>
    <w:rPr>
      <w:color w:val="A5A5A5" w:themeColor="followedHyperlink"/>
      <w:u w:val="single"/>
    </w:rPr>
  </w:style>
  <w:style w:type="character" w:styleId="Strong">
    <w:name w:val="Strong"/>
    <w:basedOn w:val="DefaultParagraphFont"/>
    <w:uiPriority w:val="22"/>
    <w:qFormat/>
    <w:rsid w:val="00B77BEE"/>
    <w:rPr>
      <w:rFonts w:ascii="Segoe UI Light" w:hAnsi="Segoe UI Light"/>
      <w:b/>
      <w:bCs/>
      <w:sz w:val="22"/>
    </w:rPr>
  </w:style>
  <w:style w:type="table" w:customStyle="1" w:styleId="Grilledutableau1">
    <w:name w:val="Grille du tableau1"/>
    <w:basedOn w:val="TableNormal"/>
    <w:next w:val="TableGrid"/>
    <w:uiPriority w:val="39"/>
    <w:rsid w:val="000A6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4841"/>
    <w:rPr>
      <w:sz w:val="16"/>
      <w:szCs w:val="16"/>
    </w:rPr>
  </w:style>
  <w:style w:type="paragraph" w:styleId="CommentText">
    <w:name w:val="annotation text"/>
    <w:basedOn w:val="Normal"/>
    <w:link w:val="CommentTextChar"/>
    <w:uiPriority w:val="99"/>
    <w:semiHidden/>
    <w:unhideWhenUsed/>
    <w:rsid w:val="00EF4841"/>
    <w:rPr>
      <w:sz w:val="20"/>
    </w:rPr>
  </w:style>
  <w:style w:type="character" w:customStyle="1" w:styleId="CommentTextChar">
    <w:name w:val="Comment Text Char"/>
    <w:basedOn w:val="DefaultParagraphFont"/>
    <w:link w:val="CommentText"/>
    <w:uiPriority w:val="99"/>
    <w:semiHidden/>
    <w:rsid w:val="00EF484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F4841"/>
    <w:rPr>
      <w:b/>
      <w:bCs/>
    </w:rPr>
  </w:style>
  <w:style w:type="character" w:customStyle="1" w:styleId="CommentSubjectChar">
    <w:name w:val="Comment Subject Char"/>
    <w:basedOn w:val="CommentTextChar"/>
    <w:link w:val="CommentSubject"/>
    <w:uiPriority w:val="99"/>
    <w:semiHidden/>
    <w:rsid w:val="00EF4841"/>
    <w:rPr>
      <w:rFonts w:ascii="Times New Roman" w:eastAsia="Times New Roman" w:hAnsi="Times New Roman" w:cs="Times New Roman"/>
      <w:b/>
      <w:bCs/>
      <w:sz w:val="20"/>
      <w:szCs w:val="20"/>
      <w:lang w:val="en-US"/>
    </w:r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rsid w:val="00461BC6"/>
    <w:rPr>
      <w:rFonts w:ascii="Times New Roman" w:eastAsia="Times New Roman" w:hAnsi="Times New Roman" w:cs="Times New Roman"/>
      <w:sz w:val="24"/>
      <w:szCs w:val="20"/>
      <w:lang w:val="en-US"/>
    </w:rPr>
  </w:style>
  <w:style w:type="paragraph" w:styleId="PlainText">
    <w:name w:val="Plain Text"/>
    <w:basedOn w:val="Normal"/>
    <w:link w:val="PlainTextChar"/>
    <w:uiPriority w:val="99"/>
    <w:unhideWhenUsed/>
    <w:rsid w:val="00461BC6"/>
    <w:rPr>
      <w:rFonts w:ascii="Calibri" w:eastAsiaTheme="minorHAnsi" w:hAnsi="Calibri" w:cs="Calibri"/>
      <w:sz w:val="22"/>
      <w:szCs w:val="22"/>
      <w:lang w:val="en-CA"/>
    </w:rPr>
  </w:style>
  <w:style w:type="character" w:customStyle="1" w:styleId="PlainTextChar">
    <w:name w:val="Plain Text Char"/>
    <w:basedOn w:val="DefaultParagraphFont"/>
    <w:link w:val="PlainText"/>
    <w:uiPriority w:val="99"/>
    <w:rsid w:val="00461BC6"/>
    <w:rPr>
      <w:rFonts w:ascii="Calibri" w:hAnsi="Calibri" w:cs="Calibri"/>
    </w:rPr>
  </w:style>
  <w:style w:type="character" w:customStyle="1" w:styleId="Style3">
    <w:name w:val="Style3"/>
    <w:basedOn w:val="DefaultParagraphFont"/>
    <w:uiPriority w:val="1"/>
    <w:rsid w:val="000465B2"/>
    <w:rPr>
      <w:rFonts w:ascii="Arial" w:hAnsi="Arial"/>
      <w:color w:val="auto"/>
      <w:sz w:val="22"/>
    </w:rPr>
  </w:style>
  <w:style w:type="character" w:customStyle="1" w:styleId="Style11">
    <w:name w:val="Style11"/>
    <w:basedOn w:val="DefaultParagraphFont"/>
    <w:uiPriority w:val="1"/>
    <w:qFormat/>
    <w:rsid w:val="00755A01"/>
    <w:rPr>
      <w:rFonts w:ascii="Arial" w:hAnsi="Arial"/>
      <w:color w:val="54575A" w:themeColor="text1"/>
      <w:sz w:val="22"/>
    </w:rPr>
  </w:style>
  <w:style w:type="character" w:styleId="Emphasis">
    <w:name w:val="Emphasis"/>
    <w:basedOn w:val="DefaultParagraphFont"/>
    <w:uiPriority w:val="20"/>
    <w:qFormat/>
    <w:rsid w:val="0074458B"/>
    <w:rPr>
      <w:i/>
      <w:iCs/>
    </w:rPr>
  </w:style>
  <w:style w:type="paragraph" w:styleId="Caption">
    <w:name w:val="caption"/>
    <w:basedOn w:val="Normal"/>
    <w:next w:val="Normal"/>
    <w:uiPriority w:val="35"/>
    <w:unhideWhenUsed/>
    <w:qFormat/>
    <w:rsid w:val="00EE25D1"/>
    <w:pPr>
      <w:spacing w:after="200"/>
    </w:pPr>
    <w:rPr>
      <w:i/>
      <w:iCs/>
      <w:color w:val="54575A" w:themeColor="text2"/>
      <w:sz w:val="18"/>
      <w:szCs w:val="18"/>
    </w:rPr>
  </w:style>
  <w:style w:type="character" w:styleId="UnresolvedMention">
    <w:name w:val="Unresolved Mention"/>
    <w:basedOn w:val="DefaultParagraphFont"/>
    <w:uiPriority w:val="99"/>
    <w:semiHidden/>
    <w:unhideWhenUsed/>
    <w:rsid w:val="00BE7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5151">
      <w:bodyDiv w:val="1"/>
      <w:marLeft w:val="0"/>
      <w:marRight w:val="0"/>
      <w:marTop w:val="0"/>
      <w:marBottom w:val="0"/>
      <w:divBdr>
        <w:top w:val="none" w:sz="0" w:space="0" w:color="auto"/>
        <w:left w:val="none" w:sz="0" w:space="0" w:color="auto"/>
        <w:bottom w:val="none" w:sz="0" w:space="0" w:color="auto"/>
        <w:right w:val="none" w:sz="0" w:space="0" w:color="auto"/>
      </w:divBdr>
    </w:div>
    <w:div w:id="413548700">
      <w:bodyDiv w:val="1"/>
      <w:marLeft w:val="0"/>
      <w:marRight w:val="0"/>
      <w:marTop w:val="0"/>
      <w:marBottom w:val="0"/>
      <w:divBdr>
        <w:top w:val="none" w:sz="0" w:space="0" w:color="auto"/>
        <w:left w:val="none" w:sz="0" w:space="0" w:color="auto"/>
        <w:bottom w:val="none" w:sz="0" w:space="0" w:color="auto"/>
        <w:right w:val="none" w:sz="0" w:space="0" w:color="auto"/>
      </w:divBdr>
    </w:div>
    <w:div w:id="433791127">
      <w:bodyDiv w:val="1"/>
      <w:marLeft w:val="0"/>
      <w:marRight w:val="0"/>
      <w:marTop w:val="0"/>
      <w:marBottom w:val="0"/>
      <w:divBdr>
        <w:top w:val="none" w:sz="0" w:space="0" w:color="auto"/>
        <w:left w:val="none" w:sz="0" w:space="0" w:color="auto"/>
        <w:bottom w:val="none" w:sz="0" w:space="0" w:color="auto"/>
        <w:right w:val="none" w:sz="0" w:space="0" w:color="auto"/>
      </w:divBdr>
    </w:div>
    <w:div w:id="675696626">
      <w:bodyDiv w:val="1"/>
      <w:marLeft w:val="0"/>
      <w:marRight w:val="0"/>
      <w:marTop w:val="0"/>
      <w:marBottom w:val="0"/>
      <w:divBdr>
        <w:top w:val="none" w:sz="0" w:space="0" w:color="auto"/>
        <w:left w:val="none" w:sz="0" w:space="0" w:color="auto"/>
        <w:bottom w:val="none" w:sz="0" w:space="0" w:color="auto"/>
        <w:right w:val="none" w:sz="0" w:space="0" w:color="auto"/>
      </w:divBdr>
    </w:div>
    <w:div w:id="868571349">
      <w:bodyDiv w:val="1"/>
      <w:marLeft w:val="0"/>
      <w:marRight w:val="0"/>
      <w:marTop w:val="0"/>
      <w:marBottom w:val="0"/>
      <w:divBdr>
        <w:top w:val="none" w:sz="0" w:space="0" w:color="auto"/>
        <w:left w:val="none" w:sz="0" w:space="0" w:color="auto"/>
        <w:bottom w:val="none" w:sz="0" w:space="0" w:color="auto"/>
        <w:right w:val="none" w:sz="0" w:space="0" w:color="auto"/>
      </w:divBdr>
    </w:div>
    <w:div w:id="1203178321">
      <w:bodyDiv w:val="1"/>
      <w:marLeft w:val="0"/>
      <w:marRight w:val="0"/>
      <w:marTop w:val="0"/>
      <w:marBottom w:val="0"/>
      <w:divBdr>
        <w:top w:val="none" w:sz="0" w:space="0" w:color="auto"/>
        <w:left w:val="none" w:sz="0" w:space="0" w:color="auto"/>
        <w:bottom w:val="none" w:sz="0" w:space="0" w:color="auto"/>
        <w:right w:val="none" w:sz="0" w:space="0" w:color="auto"/>
      </w:divBdr>
    </w:div>
    <w:div w:id="1239436574">
      <w:bodyDiv w:val="1"/>
      <w:marLeft w:val="0"/>
      <w:marRight w:val="0"/>
      <w:marTop w:val="0"/>
      <w:marBottom w:val="0"/>
      <w:divBdr>
        <w:top w:val="none" w:sz="0" w:space="0" w:color="auto"/>
        <w:left w:val="none" w:sz="0" w:space="0" w:color="auto"/>
        <w:bottom w:val="none" w:sz="0" w:space="0" w:color="auto"/>
        <w:right w:val="none" w:sz="0" w:space="0" w:color="auto"/>
      </w:divBdr>
    </w:div>
    <w:div w:id="1406024445">
      <w:bodyDiv w:val="1"/>
      <w:marLeft w:val="0"/>
      <w:marRight w:val="0"/>
      <w:marTop w:val="0"/>
      <w:marBottom w:val="0"/>
      <w:divBdr>
        <w:top w:val="none" w:sz="0" w:space="0" w:color="auto"/>
        <w:left w:val="none" w:sz="0" w:space="0" w:color="auto"/>
        <w:bottom w:val="none" w:sz="0" w:space="0" w:color="auto"/>
        <w:right w:val="none" w:sz="0" w:space="0" w:color="auto"/>
      </w:divBdr>
    </w:div>
    <w:div w:id="1460226606">
      <w:bodyDiv w:val="1"/>
      <w:marLeft w:val="0"/>
      <w:marRight w:val="0"/>
      <w:marTop w:val="0"/>
      <w:marBottom w:val="0"/>
      <w:divBdr>
        <w:top w:val="none" w:sz="0" w:space="0" w:color="auto"/>
        <w:left w:val="none" w:sz="0" w:space="0" w:color="auto"/>
        <w:bottom w:val="none" w:sz="0" w:space="0" w:color="auto"/>
        <w:right w:val="none" w:sz="0" w:space="0" w:color="auto"/>
      </w:divBdr>
    </w:div>
    <w:div w:id="1709331928">
      <w:bodyDiv w:val="1"/>
      <w:marLeft w:val="0"/>
      <w:marRight w:val="0"/>
      <w:marTop w:val="0"/>
      <w:marBottom w:val="0"/>
      <w:divBdr>
        <w:top w:val="none" w:sz="0" w:space="0" w:color="auto"/>
        <w:left w:val="none" w:sz="0" w:space="0" w:color="auto"/>
        <w:bottom w:val="none" w:sz="0" w:space="0" w:color="auto"/>
        <w:right w:val="none" w:sz="0" w:space="0" w:color="auto"/>
      </w:divBdr>
    </w:div>
    <w:div w:id="1875338729">
      <w:bodyDiv w:val="1"/>
      <w:marLeft w:val="0"/>
      <w:marRight w:val="0"/>
      <w:marTop w:val="0"/>
      <w:marBottom w:val="0"/>
      <w:divBdr>
        <w:top w:val="none" w:sz="0" w:space="0" w:color="auto"/>
        <w:left w:val="none" w:sz="0" w:space="0" w:color="auto"/>
        <w:bottom w:val="none" w:sz="0" w:space="0" w:color="auto"/>
        <w:right w:val="none" w:sz="0" w:space="0" w:color="auto"/>
      </w:divBdr>
    </w:div>
    <w:div w:id="1994917290">
      <w:bodyDiv w:val="1"/>
      <w:marLeft w:val="0"/>
      <w:marRight w:val="0"/>
      <w:marTop w:val="0"/>
      <w:marBottom w:val="0"/>
      <w:divBdr>
        <w:top w:val="none" w:sz="0" w:space="0" w:color="auto"/>
        <w:left w:val="none" w:sz="0" w:space="0" w:color="auto"/>
        <w:bottom w:val="none" w:sz="0" w:space="0" w:color="auto"/>
        <w:right w:val="none" w:sz="0" w:space="0" w:color="auto"/>
      </w:divBdr>
    </w:div>
    <w:div w:id="205226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5.xml"/><Relationship Id="rId39" Type="http://schemas.openxmlformats.org/officeDocument/2006/relationships/glossaryDocument" Target="glossary/document.xml"/><Relationship Id="rId21" Type="http://schemas.openxmlformats.org/officeDocument/2006/relationships/header" Target="header5.xml"/><Relationship Id="rId34"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cdocs.gc.ca/psc-cfp/llisapi.dll/Overview/10126716" TargetMode="External"/><Relationship Id="rId20" Type="http://schemas.openxmlformats.org/officeDocument/2006/relationships/footer" Target="footer4.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nada.ca/en/public-service-commission/services/staffing-assessment-tools-resources/human-resources-specialists-hiring-managers/recruitment-options-managers/student-recruitment/federal-student-work-experience-program.html"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nada.ca/en/government/publicservice/wellness-inclusion-diversity-public-service/diversity-inclusion-public-service/employment-equity-annual-reports/employment-equity-public-service-canada-2018-2019.html" TargetMode="External"/><Relationship Id="rId22" Type="http://schemas.openxmlformats.org/officeDocument/2006/relationships/footer" Target="footer5.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Letterhead-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6.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7.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8.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9.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solidFill>
                  <a:sysClr val="windowText" lastClr="000000"/>
                </a:solidFill>
              </a:rPr>
              <a:t>Population by tenure as of March 31, 2020</a:t>
            </a:r>
          </a:p>
        </c:rich>
      </c:tx>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(N=4 147) </c:v>
                </c:pt>
                <c:pt idx="1">
                  <c:v> 2016 
(N=4 191)</c:v>
                </c:pt>
                <c:pt idx="2">
                  <c:v> 2017 
(N=4 451) </c:v>
                </c:pt>
                <c:pt idx="3">
                  <c:v> 2018 
(N=4 537) </c:v>
                </c:pt>
                <c:pt idx="4">
                  <c:v> 2019
(N=4 571) </c:v>
                </c:pt>
                <c:pt idx="5">
                  <c:v> 2020
(N=4 701) </c:v>
                </c:pt>
              </c:strCache>
            </c:strRef>
          </c:cat>
          <c:val>
            <c:numRef>
              <c:f>Sheet1!$B$2:$B$7</c:f>
              <c:numCache>
                <c:formatCode>#\ ###</c:formatCode>
                <c:ptCount val="6"/>
                <c:pt idx="0">
                  <c:v>3507</c:v>
                </c:pt>
                <c:pt idx="1">
                  <c:v>3505</c:v>
                </c:pt>
                <c:pt idx="2">
                  <c:v>3629</c:v>
                </c:pt>
                <c:pt idx="3">
                  <c:v>3597</c:v>
                </c:pt>
                <c:pt idx="4">
                  <c:v>3707</c:v>
                </c:pt>
                <c:pt idx="5">
                  <c:v>3841</c:v>
                </c:pt>
              </c:numCache>
            </c:numRef>
          </c:val>
          <c:extLst>
            <c:ext xmlns:c16="http://schemas.microsoft.com/office/drawing/2014/chart" uri="{C3380CC4-5D6E-409C-BE32-E72D297353CC}">
              <c16:uniqueId val="{00000000-D179-474F-816A-A4A53CF9E3F2}"/>
            </c:ext>
          </c:extLst>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79-474F-816A-A4A53CF9E3F2}"/>
                </c:ext>
              </c:extLst>
            </c:dLbl>
            <c:dLbl>
              <c:idx val="1"/>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79-474F-816A-A4A53CF9E3F2}"/>
                </c:ext>
              </c:extLst>
            </c:dLbl>
            <c:dLbl>
              <c:idx val="2"/>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79-474F-816A-A4A53CF9E3F2}"/>
                </c:ext>
              </c:extLst>
            </c:dLbl>
            <c:dLbl>
              <c:idx val="3"/>
              <c:layout>
                <c:manualLayout>
                  <c:x val="3.0807147258163892E-3"/>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79-474F-816A-A4A53CF9E3F2}"/>
                </c:ext>
              </c:extLst>
            </c:dLbl>
            <c:dLbl>
              <c:idx val="4"/>
              <c:layout>
                <c:manualLayout>
                  <c:x val="3.0807147258163892E-3"/>
                  <c:y val="2.597402597402597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79-474F-816A-A4A53CF9E3F2}"/>
                </c:ext>
              </c:extLst>
            </c:dLbl>
            <c:dLbl>
              <c:idx val="5"/>
              <c:layout>
                <c:manualLayout>
                  <c:x val="-1.1295823504343063E-16"/>
                  <c:y val="2.07792207792207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79-474F-816A-A4A53CF9E3F2}"/>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(N=4 147) </c:v>
                </c:pt>
                <c:pt idx="1">
                  <c:v> 2016 
(N=4 191)</c:v>
                </c:pt>
                <c:pt idx="2">
                  <c:v> 2017 
(N=4 451) </c:v>
                </c:pt>
                <c:pt idx="3">
                  <c:v> 2018 
(N=4 537) </c:v>
                </c:pt>
                <c:pt idx="4">
                  <c:v> 2019
(N=4 571) </c:v>
                </c:pt>
                <c:pt idx="5">
                  <c:v> 2020
(N=4 701) </c:v>
                </c:pt>
              </c:strCache>
            </c:strRef>
          </c:cat>
          <c:val>
            <c:numRef>
              <c:f>Sheet1!$C$2:$C$7</c:f>
              <c:numCache>
                <c:formatCode>#\ ###</c:formatCode>
                <c:ptCount val="6"/>
                <c:pt idx="0">
                  <c:v>176</c:v>
                </c:pt>
                <c:pt idx="1">
                  <c:v>214</c:v>
                </c:pt>
                <c:pt idx="2">
                  <c:v>295</c:v>
                </c:pt>
                <c:pt idx="3">
                  <c:v>365</c:v>
                </c:pt>
                <c:pt idx="4">
                  <c:v>406</c:v>
                </c:pt>
                <c:pt idx="5">
                  <c:v>413</c:v>
                </c:pt>
              </c:numCache>
            </c:numRef>
          </c:val>
          <c:extLst>
            <c:ext xmlns:c16="http://schemas.microsoft.com/office/drawing/2014/chart" uri="{C3380CC4-5D6E-409C-BE32-E72D297353CC}">
              <c16:uniqueId val="{00000007-D179-474F-816A-A4A53CF9E3F2}"/>
            </c:ext>
          </c:extLst>
        </c:ser>
        <c:ser>
          <c:idx val="2"/>
          <c:order val="2"/>
          <c:tx>
            <c:strRef>
              <c:f>Sheet1!$D$1</c:f>
              <c:strCache>
                <c:ptCount val="1"/>
                <c:pt idx="0">
                  <c:v> Casual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(N=4 147) </c:v>
                </c:pt>
                <c:pt idx="1">
                  <c:v> 2016 
(N=4 191)</c:v>
                </c:pt>
                <c:pt idx="2">
                  <c:v> 2017 
(N=4 451) </c:v>
                </c:pt>
                <c:pt idx="3">
                  <c:v> 2018 
(N=4 537) </c:v>
                </c:pt>
                <c:pt idx="4">
                  <c:v> 2019
(N=4 571) </c:v>
                </c:pt>
                <c:pt idx="5">
                  <c:v> 2020
(N=4 701) </c:v>
                </c:pt>
              </c:strCache>
            </c:strRef>
          </c:cat>
          <c:val>
            <c:numRef>
              <c:f>Sheet1!$D$2:$D$7</c:f>
              <c:numCache>
                <c:formatCode>#\ ###</c:formatCode>
                <c:ptCount val="6"/>
                <c:pt idx="0">
                  <c:v>298</c:v>
                </c:pt>
                <c:pt idx="1">
                  <c:v>302</c:v>
                </c:pt>
                <c:pt idx="2">
                  <c:v>363</c:v>
                </c:pt>
                <c:pt idx="3">
                  <c:v>384</c:v>
                </c:pt>
                <c:pt idx="4">
                  <c:v>294</c:v>
                </c:pt>
                <c:pt idx="5">
                  <c:v>286</c:v>
                </c:pt>
              </c:numCache>
            </c:numRef>
          </c:val>
          <c:extLst>
            <c:ext xmlns:c16="http://schemas.microsoft.com/office/drawing/2014/chart" uri="{C3380CC4-5D6E-409C-BE32-E72D297353CC}">
              <c16:uniqueId val="{00000008-D179-474F-816A-A4A53CF9E3F2}"/>
            </c:ext>
          </c:extLst>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2.8239558760857657E-17"/>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79-474F-816A-A4A53CF9E3F2}"/>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179-474F-816A-A4A53CF9E3F2}"/>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179-474F-816A-A4A53CF9E3F2}"/>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179-474F-816A-A4A53CF9E3F2}"/>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179-474F-816A-A4A53CF9E3F2}"/>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179-474F-816A-A4A53CF9E3F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(N=4 147) </c:v>
                </c:pt>
                <c:pt idx="1">
                  <c:v> 2016 
(N=4 191)</c:v>
                </c:pt>
                <c:pt idx="2">
                  <c:v> 2017 
(N=4 451) </c:v>
                </c:pt>
                <c:pt idx="3">
                  <c:v> 2018 
(N=4 537) </c:v>
                </c:pt>
                <c:pt idx="4">
                  <c:v> 2019
(N=4 571) </c:v>
                </c:pt>
                <c:pt idx="5">
                  <c:v> 2020
(N=4 701) </c:v>
                </c:pt>
              </c:strCache>
            </c:strRef>
          </c:cat>
          <c:val>
            <c:numRef>
              <c:f>Sheet1!$E$2:$E$7</c:f>
              <c:numCache>
                <c:formatCode>#\ ###</c:formatCode>
                <c:ptCount val="6"/>
                <c:pt idx="0">
                  <c:v>166</c:v>
                </c:pt>
                <c:pt idx="1">
                  <c:v>170</c:v>
                </c:pt>
                <c:pt idx="2">
                  <c:v>164</c:v>
                </c:pt>
                <c:pt idx="3">
                  <c:v>191</c:v>
                </c:pt>
                <c:pt idx="4">
                  <c:v>164</c:v>
                </c:pt>
                <c:pt idx="5">
                  <c:v>161</c:v>
                </c:pt>
              </c:numCache>
            </c:numRef>
          </c:val>
          <c:extLst>
            <c:ext xmlns:c16="http://schemas.microsoft.com/office/drawing/2014/chart" uri="{C3380CC4-5D6E-409C-BE32-E72D297353CC}">
              <c16:uniqueId val="{0000000F-D179-474F-816A-A4A53CF9E3F2}"/>
            </c:ext>
          </c:extLst>
        </c:ser>
        <c:dLbls>
          <c:dLblPos val="ctr"/>
          <c:showLegendKey val="0"/>
          <c:showVal val="1"/>
          <c:showCatName val="0"/>
          <c:showSerName val="0"/>
          <c:showPercent val="0"/>
          <c:showBubbleSize val="0"/>
        </c:dLbls>
        <c:gapWidth val="150"/>
        <c:overlap val="100"/>
        <c:axId val="681893496"/>
        <c:axId val="681895456"/>
      </c:barChart>
      <c:catAx>
        <c:axId val="68189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1895456"/>
        <c:crosses val="autoZero"/>
        <c:auto val="1"/>
        <c:lblAlgn val="ctr"/>
        <c:lblOffset val="100"/>
        <c:noMultiLvlLbl val="0"/>
      </c:catAx>
      <c:valAx>
        <c:axId val="68189545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1893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Student program hires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(N=507)</c:v>
                </c:pt>
                <c:pt idx="1">
                  <c:v>2016-17
 (N=423)</c:v>
                </c:pt>
                <c:pt idx="2">
                  <c:v>2017-18
 (N=457)</c:v>
                </c:pt>
                <c:pt idx="3">
                  <c:v>2018-19
 (N=485)</c:v>
                </c:pt>
                <c:pt idx="4">
                  <c:v>2019-20
 (N=505)</c:v>
                </c:pt>
              </c:strCache>
            </c:strRef>
          </c:cat>
          <c:val>
            <c:numRef>
              <c:f>Sheet1!$B$2:$B$6</c:f>
              <c:numCache>
                <c:formatCode>General</c:formatCode>
                <c:ptCount val="5"/>
                <c:pt idx="0">
                  <c:v>184</c:v>
                </c:pt>
                <c:pt idx="1">
                  <c:v>139</c:v>
                </c:pt>
                <c:pt idx="2">
                  <c:v>168</c:v>
                </c:pt>
                <c:pt idx="3">
                  <c:v>175</c:v>
                </c:pt>
                <c:pt idx="4">
                  <c:v>177</c:v>
                </c:pt>
              </c:numCache>
            </c:numRef>
          </c:val>
          <c:extLst>
            <c:ext xmlns:c16="http://schemas.microsoft.com/office/drawing/2014/chart" uri="{C3380CC4-5D6E-409C-BE32-E72D297353CC}">
              <c16:uniqueId val="{00000000-1920-4844-BB5A-7A889AFEB254}"/>
            </c:ext>
          </c:extLst>
        </c:ser>
        <c:ser>
          <c:idx val="1"/>
          <c:order val="1"/>
          <c:tx>
            <c:strRef>
              <c:f>Sheet1!$C$1</c:f>
              <c:strCache>
                <c:ptCount val="1"/>
                <c:pt idx="0">
                  <c:v>Post-Secondary CO-OP/Internship Program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(N=507)</c:v>
                </c:pt>
                <c:pt idx="1">
                  <c:v>2016-17
 (N=423)</c:v>
                </c:pt>
                <c:pt idx="2">
                  <c:v>2017-18
 (N=457)</c:v>
                </c:pt>
                <c:pt idx="3">
                  <c:v>2018-19
 (N=485)</c:v>
                </c:pt>
                <c:pt idx="4">
                  <c:v>2019-20
 (N=505)</c:v>
                </c:pt>
              </c:strCache>
            </c:strRef>
          </c:cat>
          <c:val>
            <c:numRef>
              <c:f>Sheet1!$C$2:$C$6</c:f>
              <c:numCache>
                <c:formatCode>General</c:formatCode>
                <c:ptCount val="5"/>
                <c:pt idx="0">
                  <c:v>278</c:v>
                </c:pt>
                <c:pt idx="1">
                  <c:v>242</c:v>
                </c:pt>
                <c:pt idx="2">
                  <c:v>251</c:v>
                </c:pt>
                <c:pt idx="3">
                  <c:v>281</c:v>
                </c:pt>
                <c:pt idx="4">
                  <c:v>316</c:v>
                </c:pt>
              </c:numCache>
            </c:numRef>
          </c:val>
          <c:extLst>
            <c:ext xmlns:c16="http://schemas.microsoft.com/office/drawing/2014/chart" uri="{C3380CC4-5D6E-409C-BE32-E72D297353CC}">
              <c16:uniqueId val="{00000001-1920-4844-BB5A-7A889AFEB254}"/>
            </c:ext>
          </c:extLst>
        </c:ser>
        <c:ser>
          <c:idx val="2"/>
          <c:order val="2"/>
          <c:tx>
            <c:strRef>
              <c:f>Sheet1!$D$1</c:f>
              <c:strCache>
                <c:ptCount val="1"/>
                <c:pt idx="0">
                  <c:v>Research Affiliate Program (RAP)</c:v>
                </c:pt>
              </c:strCache>
            </c:strRef>
          </c:tx>
          <c:spPr>
            <a:solidFill>
              <a:schemeClr val="accent3"/>
            </a:solidFill>
            <a:ln>
              <a:noFill/>
            </a:ln>
            <a:effectLst/>
          </c:spPr>
          <c:invertIfNegative val="0"/>
          <c:dLbls>
            <c:dLbl>
              <c:idx val="0"/>
              <c:layout>
                <c:manualLayout>
                  <c:x val="4.1067761806981521E-3"/>
                  <c:y val="-4.604758250191864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20-4844-BB5A-7A889AFEB254}"/>
                </c:ext>
              </c:extLst>
            </c:dLbl>
            <c:dLbl>
              <c:idx val="1"/>
              <c:layout>
                <c:manualLayout>
                  <c:x val="-7.5290026889317413E-17"/>
                  <c:y val="-4.221028396009213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20-4844-BB5A-7A889AFEB254}"/>
                </c:ext>
              </c:extLst>
            </c:dLbl>
            <c:dLbl>
              <c:idx val="2"/>
              <c:layout>
                <c:manualLayout>
                  <c:x val="4.1067761806981521E-3"/>
                  <c:y val="-3.45356868764389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20-4844-BB5A-7A889AFEB254}"/>
                </c:ext>
              </c:extLst>
            </c:dLbl>
            <c:dLbl>
              <c:idx val="3"/>
              <c:layout>
                <c:manualLayout>
                  <c:x val="-1.5058005377863483E-16"/>
                  <c:y val="-3.8372985418265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20-4844-BB5A-7A889AFEB254}"/>
                </c:ext>
              </c:extLst>
            </c:dLbl>
            <c:dLbl>
              <c:idx val="4"/>
              <c:layout>
                <c:manualLayout>
                  <c:x val="4.1067761806980012E-3"/>
                  <c:y val="-3.069838833461244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20-4844-BB5A-7A889AFEB25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(N=507)</c:v>
                </c:pt>
                <c:pt idx="1">
                  <c:v>2016-17
 (N=423)</c:v>
                </c:pt>
                <c:pt idx="2">
                  <c:v>2017-18
 (N=457)</c:v>
                </c:pt>
                <c:pt idx="3">
                  <c:v>2018-19
 (N=485)</c:v>
                </c:pt>
                <c:pt idx="4">
                  <c:v>2019-20
 (N=505)</c:v>
                </c:pt>
              </c:strCache>
            </c:strRef>
          </c:cat>
          <c:val>
            <c:numRef>
              <c:f>Sheet1!$D$2:$D$6</c:f>
              <c:numCache>
                <c:formatCode>General</c:formatCode>
                <c:ptCount val="5"/>
                <c:pt idx="0">
                  <c:v>45</c:v>
                </c:pt>
                <c:pt idx="1">
                  <c:v>42</c:v>
                </c:pt>
                <c:pt idx="2">
                  <c:v>38</c:v>
                </c:pt>
                <c:pt idx="3">
                  <c:v>29</c:v>
                </c:pt>
                <c:pt idx="4">
                  <c:v>12</c:v>
                </c:pt>
              </c:numCache>
            </c:numRef>
          </c:val>
          <c:extLst>
            <c:ext xmlns:c16="http://schemas.microsoft.com/office/drawing/2014/chart" uri="{C3380CC4-5D6E-409C-BE32-E72D297353CC}">
              <c16:uniqueId val="{00000007-1920-4844-BB5A-7A889AFEB254}"/>
            </c:ext>
          </c:extLst>
        </c:ser>
        <c:dLbls>
          <c:dLblPos val="ctr"/>
          <c:showLegendKey val="0"/>
          <c:showVal val="1"/>
          <c:showCatName val="0"/>
          <c:showSerName val="0"/>
          <c:showPercent val="0"/>
          <c:showBubbleSize val="0"/>
        </c:dLbls>
        <c:gapWidth val="150"/>
        <c:overlap val="100"/>
        <c:axId val="700284808"/>
        <c:axId val="700283240"/>
      </c:barChart>
      <c:catAx>
        <c:axId val="700284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0283240"/>
        <c:crosses val="autoZero"/>
        <c:auto val="1"/>
        <c:lblAlgn val="ctr"/>
        <c:lblOffset val="100"/>
        <c:noMultiLvlLbl val="0"/>
      </c:catAx>
      <c:valAx>
        <c:axId val="700283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0284808"/>
        <c:crosses val="autoZero"/>
        <c:crossBetween val="between"/>
      </c:valAx>
      <c:spPr>
        <a:noFill/>
        <a:ln>
          <a:noFill/>
        </a:ln>
        <a:effectLst/>
      </c:spPr>
    </c:plotArea>
    <c:legend>
      <c:legendPos val="b"/>
      <c:layout>
        <c:manualLayout>
          <c:xMode val="edge"/>
          <c:yMode val="edge"/>
          <c:x val="4.2890265000242525E-2"/>
          <c:y val="0.8306778421691916"/>
          <c:w val="0.93475302753480249"/>
          <c:h val="0.1501356651216755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indeterminate and term hiring activities: Post-Secondary Recruitment Program and former student hires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Sheet1!$B$2:$B$6</c:f>
              <c:numCache>
                <c:formatCode>_-* #,##0_-;\-* #,##0_-;_-* "-"??_-;_-@_-</c:formatCode>
                <c:ptCount val="5"/>
                <c:pt idx="0">
                  <c:v>14</c:v>
                </c:pt>
                <c:pt idx="1">
                  <c:v>13</c:v>
                </c:pt>
                <c:pt idx="2">
                  <c:v>5</c:v>
                </c:pt>
                <c:pt idx="3">
                  <c:v>15</c:v>
                </c:pt>
                <c:pt idx="4">
                  <c:v>5</c:v>
                </c:pt>
              </c:numCache>
            </c:numRef>
          </c:val>
          <c:extLst>
            <c:ext xmlns:c16="http://schemas.microsoft.com/office/drawing/2014/chart" uri="{C3380CC4-5D6E-409C-BE32-E72D297353CC}">
              <c16:uniqueId val="{00000000-48AC-4498-B0E8-31E5DF6A6DE8}"/>
            </c:ext>
          </c:extLst>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Sheet1!$C$2:$C$6</c:f>
              <c:numCache>
                <c:formatCode>_-* #,##0_-;\-* #,##0_-;_-* "-"??_-;_-@_-</c:formatCode>
                <c:ptCount val="5"/>
                <c:pt idx="0">
                  <c:v>65</c:v>
                </c:pt>
                <c:pt idx="1">
                  <c:v>75</c:v>
                </c:pt>
                <c:pt idx="2">
                  <c:v>93</c:v>
                </c:pt>
                <c:pt idx="3">
                  <c:v>126</c:v>
                </c:pt>
                <c:pt idx="4">
                  <c:v>120</c:v>
                </c:pt>
              </c:numCache>
            </c:numRef>
          </c:val>
          <c:extLst>
            <c:ext xmlns:c16="http://schemas.microsoft.com/office/drawing/2014/chart" uri="{C3380CC4-5D6E-409C-BE32-E72D297353CC}">
              <c16:uniqueId val="{00000001-48AC-4498-B0E8-31E5DF6A6DE8}"/>
            </c:ext>
          </c:extLst>
        </c:ser>
        <c:dLbls>
          <c:showLegendKey val="0"/>
          <c:showVal val="1"/>
          <c:showCatName val="0"/>
          <c:showSerName val="0"/>
          <c:showPercent val="0"/>
          <c:showBubbleSize val="0"/>
        </c:dLbls>
        <c:gapWidth val="150"/>
        <c:shape val="box"/>
        <c:axId val="700284024"/>
        <c:axId val="700284416"/>
        <c:axId val="0"/>
      </c:bar3DChart>
      <c:catAx>
        <c:axId val="70028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0284416"/>
        <c:crosses val="autoZero"/>
        <c:auto val="1"/>
        <c:lblAlgn val="ctr"/>
        <c:lblOffset val="100"/>
        <c:noMultiLvlLbl val="0"/>
      </c:catAx>
      <c:valAx>
        <c:axId val="70028441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0284024"/>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Internal time to staff</a:t>
            </a:r>
          </a:p>
          <a:p>
            <a:pPr>
              <a:defRPr sz="1200"/>
            </a:pPr>
            <a:r>
              <a:rPr lang="en-CA" sz="1200"/>
              <a:t>Public service median = 175 days</a:t>
            </a:r>
          </a:p>
          <a:p>
            <a:pPr>
              <a:defRPr sz="1200"/>
            </a:pPr>
            <a:r>
              <a:rPr lang="en-CA" sz="1200"/>
              <a:t> 2019-2020</a:t>
            </a:r>
          </a:p>
        </c:rich>
      </c:tx>
      <c:layout>
        <c:manualLayout>
          <c:xMode val="edge"/>
          <c:yMode val="edge"/>
          <c:x val="0.30646464646464644"/>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13</c:v>
                </c:pt>
                <c:pt idx="2">
                  <c:v>106</c:v>
                </c:pt>
                <c:pt idx="3">
                  <c:v>256</c:v>
                </c:pt>
                <c:pt idx="4">
                  <c:v>331</c:v>
                </c:pt>
                <c:pt idx="5">
                  <c:v>313</c:v>
                </c:pt>
                <c:pt idx="6">
                  <c:v>314</c:v>
                </c:pt>
                <c:pt idx="7">
                  <c:v>258</c:v>
                </c:pt>
                <c:pt idx="8">
                  <c:v>191</c:v>
                </c:pt>
                <c:pt idx="9">
                  <c:v>143</c:v>
                </c:pt>
                <c:pt idx="10">
                  <c:v>109</c:v>
                </c:pt>
                <c:pt idx="11">
                  <c:v>91</c:v>
                </c:pt>
                <c:pt idx="12">
                  <c:v>70</c:v>
                </c:pt>
                <c:pt idx="13">
                  <c:v>49</c:v>
                </c:pt>
                <c:pt idx="14">
                  <c:v>43</c:v>
                </c:pt>
                <c:pt idx="15">
                  <c:v>41</c:v>
                </c:pt>
                <c:pt idx="16">
                  <c:v>36</c:v>
                </c:pt>
                <c:pt idx="17">
                  <c:v>20</c:v>
                </c:pt>
                <c:pt idx="18">
                  <c:v>15</c:v>
                </c:pt>
                <c:pt idx="19">
                  <c:v>23</c:v>
                </c:pt>
                <c:pt idx="20">
                  <c:v>20</c:v>
                </c:pt>
                <c:pt idx="21">
                  <c:v>18</c:v>
                </c:pt>
                <c:pt idx="22">
                  <c:v>11</c:v>
                </c:pt>
                <c:pt idx="23">
                  <c:v>15</c:v>
                </c:pt>
                <c:pt idx="24">
                  <c:v>6</c:v>
                </c:pt>
                <c:pt idx="25">
                  <c:v>11</c:v>
                </c:pt>
                <c:pt idx="26">
                  <c:v>6</c:v>
                </c:pt>
                <c:pt idx="27">
                  <c:v>5</c:v>
                </c:pt>
                <c:pt idx="28">
                  <c:v>6</c:v>
                </c:pt>
                <c:pt idx="29">
                  <c:v>10</c:v>
                </c:pt>
                <c:pt idx="30">
                  <c:v>1</c:v>
                </c:pt>
                <c:pt idx="31">
                  <c:v>4</c:v>
                </c:pt>
                <c:pt idx="32">
                  <c:v>5</c:v>
                </c:pt>
                <c:pt idx="33">
                  <c:v>4</c:v>
                </c:pt>
                <c:pt idx="34">
                  <c:v>43</c:v>
                </c:pt>
              </c:numCache>
            </c:numRef>
          </c:val>
          <c:extLst>
            <c:ext xmlns:c16="http://schemas.microsoft.com/office/drawing/2014/chart" uri="{C3380CC4-5D6E-409C-BE32-E72D297353CC}">
              <c16:uniqueId val="{00000000-E062-4585-BC9B-4CA134BB4B52}"/>
            </c:ext>
          </c:extLst>
        </c:ser>
        <c:dLbls>
          <c:showLegendKey val="0"/>
          <c:showVal val="0"/>
          <c:showCatName val="0"/>
          <c:showSerName val="0"/>
          <c:showPercent val="0"/>
          <c:showBubbleSize val="0"/>
        </c:dLbls>
        <c:gapWidth val="150"/>
        <c:overlap val="100"/>
        <c:axId val="712753232"/>
        <c:axId val="712755976"/>
      </c:barChart>
      <c:catAx>
        <c:axId val="71275323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755976"/>
        <c:crosses val="autoZero"/>
        <c:auto val="1"/>
        <c:lblAlgn val="ctr"/>
        <c:lblOffset val="100"/>
        <c:noMultiLvlLbl val="0"/>
      </c:catAx>
      <c:valAx>
        <c:axId val="712755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75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Internal time to staff</a:t>
            </a:r>
          </a:p>
          <a:p>
            <a:pPr>
              <a:defRPr sz="1200"/>
            </a:pPr>
            <a:r>
              <a:rPr lang="en-CA" sz="1200"/>
              <a:t>Natural Resources median = 201 days</a:t>
            </a:r>
          </a:p>
          <a:p>
            <a:pPr>
              <a:defRPr sz="1200"/>
            </a:pPr>
            <a:r>
              <a:rPr lang="en-CA" sz="1200"/>
              <a:t> 2019-2020</a:t>
            </a:r>
          </a:p>
        </c:rich>
      </c:tx>
      <c:layout>
        <c:manualLayout>
          <c:xMode val="edge"/>
          <c:yMode val="edge"/>
          <c:x val="0.28914862914862915"/>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0</c:v>
                </c:pt>
                <c:pt idx="2">
                  <c:v>1</c:v>
                </c:pt>
                <c:pt idx="3">
                  <c:v>4</c:v>
                </c:pt>
                <c:pt idx="4">
                  <c:v>9</c:v>
                </c:pt>
                <c:pt idx="5">
                  <c:v>2</c:v>
                </c:pt>
                <c:pt idx="6">
                  <c:v>6</c:v>
                </c:pt>
                <c:pt idx="7">
                  <c:v>5</c:v>
                </c:pt>
                <c:pt idx="8">
                  <c:v>5</c:v>
                </c:pt>
                <c:pt idx="9">
                  <c:v>5</c:v>
                </c:pt>
                <c:pt idx="10">
                  <c:v>3</c:v>
                </c:pt>
                <c:pt idx="11">
                  <c:v>1</c:v>
                </c:pt>
                <c:pt idx="12">
                  <c:v>1</c:v>
                </c:pt>
                <c:pt idx="13">
                  <c:v>2</c:v>
                </c:pt>
                <c:pt idx="14">
                  <c:v>3</c:v>
                </c:pt>
                <c:pt idx="15">
                  <c:v>1</c:v>
                </c:pt>
                <c:pt idx="16">
                  <c:v>1</c:v>
                </c:pt>
                <c:pt idx="17">
                  <c:v>0</c:v>
                </c:pt>
                <c:pt idx="18">
                  <c:v>0</c:v>
                </c:pt>
                <c:pt idx="19">
                  <c:v>1</c:v>
                </c:pt>
                <c:pt idx="20">
                  <c:v>0</c:v>
                </c:pt>
                <c:pt idx="21">
                  <c:v>0</c:v>
                </c:pt>
                <c:pt idx="22">
                  <c:v>0</c:v>
                </c:pt>
                <c:pt idx="23">
                  <c:v>0</c:v>
                </c:pt>
                <c:pt idx="24">
                  <c:v>0</c:v>
                </c:pt>
                <c:pt idx="25">
                  <c:v>1</c:v>
                </c:pt>
                <c:pt idx="26">
                  <c:v>0</c:v>
                </c:pt>
                <c:pt idx="27">
                  <c:v>0</c:v>
                </c:pt>
                <c:pt idx="28">
                  <c:v>0</c:v>
                </c:pt>
                <c:pt idx="29">
                  <c:v>0</c:v>
                </c:pt>
                <c:pt idx="30">
                  <c:v>0</c:v>
                </c:pt>
                <c:pt idx="31">
                  <c:v>0</c:v>
                </c:pt>
                <c:pt idx="32">
                  <c:v>0</c:v>
                </c:pt>
                <c:pt idx="33">
                  <c:v>0</c:v>
                </c:pt>
                <c:pt idx="34">
                  <c:v>0</c:v>
                </c:pt>
              </c:numCache>
            </c:numRef>
          </c:val>
          <c:extLst>
            <c:ext xmlns:c16="http://schemas.microsoft.com/office/drawing/2014/chart" uri="{C3380CC4-5D6E-409C-BE32-E72D297353CC}">
              <c16:uniqueId val="{00000000-434B-436A-9FB2-D01108906C12}"/>
            </c:ext>
          </c:extLst>
        </c:ser>
        <c:dLbls>
          <c:showLegendKey val="0"/>
          <c:showVal val="0"/>
          <c:showCatName val="0"/>
          <c:showSerName val="0"/>
          <c:showPercent val="0"/>
          <c:showBubbleSize val="0"/>
        </c:dLbls>
        <c:gapWidth val="150"/>
        <c:overlap val="100"/>
        <c:axId val="712755192"/>
        <c:axId val="712756368"/>
      </c:barChart>
      <c:catAx>
        <c:axId val="71275519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756368"/>
        <c:crosses val="autoZero"/>
        <c:auto val="1"/>
        <c:lblAlgn val="ctr"/>
        <c:lblOffset val="100"/>
        <c:noMultiLvlLbl val="0"/>
      </c:catAx>
      <c:valAx>
        <c:axId val="712756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755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time to staff</a:t>
            </a:r>
          </a:p>
          <a:p>
            <a:pPr>
              <a:defRPr sz="1200"/>
            </a:pPr>
            <a:r>
              <a:rPr lang="en-CA" sz="1200"/>
              <a:t>Public service median = 203 days</a:t>
            </a:r>
          </a:p>
          <a:p>
            <a:pPr>
              <a:defRPr sz="1200"/>
            </a:pPr>
            <a:r>
              <a:rPr lang="en-CA" sz="1200"/>
              <a:t> 2019-2020</a:t>
            </a:r>
          </a:p>
        </c:rich>
      </c:tx>
      <c:layout>
        <c:manualLayout>
          <c:xMode val="edge"/>
          <c:yMode val="edge"/>
          <c:x val="0.28931165126098374"/>
          <c:y val="1.278222837632910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55</c:v>
                </c:pt>
                <c:pt idx="2">
                  <c:v>75</c:v>
                </c:pt>
                <c:pt idx="3">
                  <c:v>95</c:v>
                </c:pt>
                <c:pt idx="4">
                  <c:v>108</c:v>
                </c:pt>
                <c:pt idx="5">
                  <c:v>166</c:v>
                </c:pt>
                <c:pt idx="6">
                  <c:v>164</c:v>
                </c:pt>
                <c:pt idx="7">
                  <c:v>160</c:v>
                </c:pt>
                <c:pt idx="8">
                  <c:v>133</c:v>
                </c:pt>
                <c:pt idx="9">
                  <c:v>122</c:v>
                </c:pt>
                <c:pt idx="10">
                  <c:v>101</c:v>
                </c:pt>
                <c:pt idx="11">
                  <c:v>80</c:v>
                </c:pt>
                <c:pt idx="12">
                  <c:v>61</c:v>
                </c:pt>
                <c:pt idx="13">
                  <c:v>50</c:v>
                </c:pt>
                <c:pt idx="14">
                  <c:v>45</c:v>
                </c:pt>
                <c:pt idx="15">
                  <c:v>34</c:v>
                </c:pt>
                <c:pt idx="16">
                  <c:v>34</c:v>
                </c:pt>
                <c:pt idx="17">
                  <c:v>21</c:v>
                </c:pt>
                <c:pt idx="18">
                  <c:v>16</c:v>
                </c:pt>
                <c:pt idx="19">
                  <c:v>19</c:v>
                </c:pt>
                <c:pt idx="20">
                  <c:v>13</c:v>
                </c:pt>
                <c:pt idx="21">
                  <c:v>7</c:v>
                </c:pt>
                <c:pt idx="22">
                  <c:v>7</c:v>
                </c:pt>
                <c:pt idx="23">
                  <c:v>4</c:v>
                </c:pt>
                <c:pt idx="24">
                  <c:v>11</c:v>
                </c:pt>
                <c:pt idx="25">
                  <c:v>6</c:v>
                </c:pt>
                <c:pt idx="26">
                  <c:v>2</c:v>
                </c:pt>
                <c:pt idx="27">
                  <c:v>4</c:v>
                </c:pt>
                <c:pt idx="28">
                  <c:v>4</c:v>
                </c:pt>
                <c:pt idx="29">
                  <c:v>0</c:v>
                </c:pt>
                <c:pt idx="30">
                  <c:v>1</c:v>
                </c:pt>
                <c:pt idx="31">
                  <c:v>0</c:v>
                </c:pt>
                <c:pt idx="32">
                  <c:v>0</c:v>
                </c:pt>
                <c:pt idx="33">
                  <c:v>0</c:v>
                </c:pt>
                <c:pt idx="34">
                  <c:v>0</c:v>
                </c:pt>
              </c:numCache>
            </c:numRef>
          </c:val>
          <c:extLst>
            <c:ext xmlns:c16="http://schemas.microsoft.com/office/drawing/2014/chart" uri="{C3380CC4-5D6E-409C-BE32-E72D297353CC}">
              <c16:uniqueId val="{00000000-6CDA-4C41-BDE0-DEE2816537FC}"/>
            </c:ext>
          </c:extLst>
        </c:ser>
        <c:dLbls>
          <c:showLegendKey val="0"/>
          <c:showVal val="0"/>
          <c:showCatName val="0"/>
          <c:showSerName val="0"/>
          <c:showPercent val="0"/>
          <c:showBubbleSize val="0"/>
        </c:dLbls>
        <c:gapWidth val="150"/>
        <c:overlap val="100"/>
        <c:axId val="712753624"/>
        <c:axId val="712754016"/>
      </c:barChart>
      <c:catAx>
        <c:axId val="71275362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754016"/>
        <c:crosses val="autoZero"/>
        <c:auto val="1"/>
        <c:lblAlgn val="ctr"/>
        <c:lblOffset val="100"/>
        <c:noMultiLvlLbl val="0"/>
      </c:catAx>
      <c:valAx>
        <c:axId val="712754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753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time to staff</a:t>
            </a:r>
          </a:p>
          <a:p>
            <a:pPr>
              <a:defRPr sz="1200"/>
            </a:pPr>
            <a:r>
              <a:rPr lang="en-CA" sz="1200"/>
              <a:t>Natural Resources median = 205 days</a:t>
            </a:r>
          </a:p>
          <a:p>
            <a:pPr>
              <a:defRPr sz="1200"/>
            </a:pPr>
            <a:r>
              <a:rPr lang="en-CA" sz="1200"/>
              <a:t> 2019-2020</a:t>
            </a:r>
          </a:p>
        </c:rich>
      </c:tx>
      <c:layout>
        <c:manualLayout>
          <c:xMode val="edge"/>
          <c:yMode val="edge"/>
          <c:x val="0.30069264069264068"/>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2</c:v>
                </c:pt>
                <c:pt idx="2">
                  <c:v>2</c:v>
                </c:pt>
                <c:pt idx="3">
                  <c:v>4</c:v>
                </c:pt>
                <c:pt idx="4">
                  <c:v>2</c:v>
                </c:pt>
                <c:pt idx="5">
                  <c:v>3</c:v>
                </c:pt>
                <c:pt idx="6">
                  <c:v>7</c:v>
                </c:pt>
                <c:pt idx="7">
                  <c:v>8</c:v>
                </c:pt>
                <c:pt idx="8">
                  <c:v>3</c:v>
                </c:pt>
                <c:pt idx="9">
                  <c:v>5</c:v>
                </c:pt>
                <c:pt idx="10">
                  <c:v>6</c:v>
                </c:pt>
                <c:pt idx="11">
                  <c:v>1</c:v>
                </c:pt>
                <c:pt idx="12">
                  <c:v>3</c:v>
                </c:pt>
                <c:pt idx="13">
                  <c:v>2</c:v>
                </c:pt>
                <c:pt idx="14">
                  <c:v>3</c:v>
                </c:pt>
                <c:pt idx="15">
                  <c:v>1</c:v>
                </c:pt>
                <c:pt idx="16">
                  <c:v>0</c:v>
                </c:pt>
                <c:pt idx="17">
                  <c:v>1</c:v>
                </c:pt>
                <c:pt idx="18">
                  <c:v>0</c:v>
                </c:pt>
                <c:pt idx="19">
                  <c:v>0</c:v>
                </c:pt>
                <c:pt idx="20">
                  <c:v>0</c:v>
                </c:pt>
                <c:pt idx="21">
                  <c:v>0</c:v>
                </c:pt>
                <c:pt idx="22">
                  <c:v>0</c:v>
                </c:pt>
                <c:pt idx="23">
                  <c:v>0</c:v>
                </c:pt>
                <c:pt idx="24">
                  <c:v>0</c:v>
                </c:pt>
                <c:pt idx="25">
                  <c:v>1</c:v>
                </c:pt>
                <c:pt idx="26">
                  <c:v>0</c:v>
                </c:pt>
                <c:pt idx="27">
                  <c:v>0</c:v>
                </c:pt>
                <c:pt idx="28">
                  <c:v>0</c:v>
                </c:pt>
                <c:pt idx="29">
                  <c:v>0</c:v>
                </c:pt>
                <c:pt idx="30">
                  <c:v>0</c:v>
                </c:pt>
                <c:pt idx="31">
                  <c:v>0</c:v>
                </c:pt>
                <c:pt idx="32">
                  <c:v>0</c:v>
                </c:pt>
                <c:pt idx="33">
                  <c:v>0</c:v>
                </c:pt>
                <c:pt idx="34">
                  <c:v>0</c:v>
                </c:pt>
              </c:numCache>
            </c:numRef>
          </c:val>
          <c:extLst>
            <c:ext xmlns:c16="http://schemas.microsoft.com/office/drawing/2014/chart" uri="{C3380CC4-5D6E-409C-BE32-E72D297353CC}">
              <c16:uniqueId val="{00000000-3207-4FAA-99B4-D61570EEECC8}"/>
            </c:ext>
          </c:extLst>
        </c:ser>
        <c:dLbls>
          <c:showLegendKey val="0"/>
          <c:showVal val="0"/>
          <c:showCatName val="0"/>
          <c:showSerName val="0"/>
          <c:showPercent val="0"/>
          <c:showBubbleSize val="0"/>
        </c:dLbls>
        <c:gapWidth val="150"/>
        <c:overlap val="100"/>
        <c:axId val="708915128"/>
        <c:axId val="708914344"/>
      </c:barChart>
      <c:catAx>
        <c:axId val="7089151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8914344"/>
        <c:crosses val="autoZero"/>
        <c:auto val="1"/>
        <c:lblAlgn val="ctr"/>
        <c:lblOffset val="100"/>
        <c:noMultiLvlLbl val="0"/>
      </c:catAx>
      <c:valAx>
        <c:axId val="708914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8915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100"/>
              <a:t>Population by language requirements as of March 31, 2020 </a:t>
            </a:r>
          </a:p>
          <a:p>
            <a:pPr>
              <a:defRPr sz="1100"/>
            </a:pPr>
            <a:r>
              <a:rPr lang="en-CA" sz="1100"/>
              <a:t>(N=4 701)</a:t>
            </a:r>
          </a:p>
        </c:rich>
      </c:tx>
      <c:layout>
        <c:manualLayout>
          <c:xMode val="edge"/>
          <c:yMode val="edge"/>
          <c:x val="0.13994491885697385"/>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781-4A8C-A192-B20B69FD7AB9}"/>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781-4A8C-A192-B20B69FD7AB9}"/>
              </c:ext>
            </c:extLst>
          </c:dPt>
          <c:dLbls>
            <c:dLbl>
              <c:idx val="0"/>
              <c:layout>
                <c:manualLayout>
                  <c:x val="-0.12427184466019417"/>
                  <c:y val="-0.11356302785200852"/>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 xmlns:c16="http://schemas.microsoft.com/office/drawing/2014/chart" uri="{C3380CC4-5D6E-409C-BE32-E72D297353CC}">
                  <c16:uniqueId val="{00000001-A781-4A8C-A192-B20B69FD7AB9}"/>
                </c:ext>
              </c:extLst>
            </c:dLbl>
            <c:dLbl>
              <c:idx val="1"/>
              <c:layout>
                <c:manualLayout>
                  <c:x val="0.1553398058252427"/>
                  <c:y val="0.13250169953801147"/>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 xmlns:c16="http://schemas.microsoft.com/office/drawing/2014/chart" uri="{C3380CC4-5D6E-409C-BE32-E72D297353CC}">
                  <c16:uniqueId val="{00000003-A781-4A8C-A192-B20B69FD7AB9}"/>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1139</c:v>
                </c:pt>
                <c:pt idx="1">
                  <c:v>1786</c:v>
                </c:pt>
              </c:numCache>
            </c:numRef>
          </c:val>
          <c:extLst>
            <c:ext xmlns:c16="http://schemas.microsoft.com/office/drawing/2014/chart" uri="{C3380CC4-5D6E-409C-BE32-E72D297353CC}">
              <c16:uniqueId val="{00000004-A781-4A8C-A192-B20B69FD7AB9}"/>
            </c:ext>
          </c:extLst>
        </c:ser>
        <c:dLbls>
          <c:showLegendKey val="0"/>
          <c:showVal val="0"/>
          <c:showCatName val="0"/>
          <c:showSerName val="0"/>
          <c:showPercent val="0"/>
          <c:showBubbleSize val="0"/>
          <c:showLeaderLines val="1"/>
        </c:dLbls>
        <c:firstSliceAng val="44"/>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Population by occupational group as of March 31, 2020</a:t>
            </a:r>
          </a:p>
          <a:p>
            <a:pPr>
              <a:defRPr sz="1200" b="1"/>
            </a:pPr>
            <a:r>
              <a:rPr lang="en-US" sz="1200" b="1"/>
              <a:t>(N=4 701) </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0F2A-4BC6-8C93-9AD313E19314}"/>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0F2A-4BC6-8C93-9AD313E19314}"/>
              </c:ext>
            </c:extLst>
          </c:dPt>
          <c:dPt>
            <c:idx val="2"/>
            <c:bubble3D val="0"/>
            <c:spPr>
              <a:solidFill>
                <a:schemeClr val="accent6">
                  <a:lumMod val="40000"/>
                  <a:lumOff val="60000"/>
                </a:schemeClr>
              </a:solidFill>
              <a:ln w="3175">
                <a:solidFill>
                  <a:schemeClr val="lt1"/>
                </a:solidFill>
              </a:ln>
              <a:effectLst/>
            </c:spPr>
            <c:extLst>
              <c:ext xmlns:c16="http://schemas.microsoft.com/office/drawing/2014/chart" uri="{C3380CC4-5D6E-409C-BE32-E72D297353CC}">
                <c16:uniqueId val="{00000005-0F2A-4BC6-8C93-9AD313E19314}"/>
              </c:ext>
            </c:extLst>
          </c:dPt>
          <c:dPt>
            <c:idx val="3"/>
            <c:bubble3D val="0"/>
            <c:spPr>
              <a:solidFill>
                <a:schemeClr val="accent4"/>
              </a:solidFill>
              <a:ln w="3175">
                <a:solidFill>
                  <a:schemeClr val="lt1"/>
                </a:solidFill>
              </a:ln>
              <a:effectLst/>
            </c:spPr>
            <c:extLst>
              <c:ext xmlns:c16="http://schemas.microsoft.com/office/drawing/2014/chart" uri="{C3380CC4-5D6E-409C-BE32-E72D297353CC}">
                <c16:uniqueId val="{00000007-0F2A-4BC6-8C93-9AD313E19314}"/>
              </c:ext>
            </c:extLst>
          </c:dPt>
          <c:dPt>
            <c:idx val="4"/>
            <c:bubble3D val="0"/>
            <c:spPr>
              <a:solidFill>
                <a:schemeClr val="bg2">
                  <a:lumMod val="75000"/>
                </a:schemeClr>
              </a:solidFill>
              <a:ln w="3175">
                <a:solidFill>
                  <a:schemeClr val="lt1"/>
                </a:solidFill>
              </a:ln>
              <a:effectLst/>
            </c:spPr>
            <c:extLst>
              <c:ext xmlns:c16="http://schemas.microsoft.com/office/drawing/2014/chart" uri="{C3380CC4-5D6E-409C-BE32-E72D297353CC}">
                <c16:uniqueId val="{00000009-0F2A-4BC6-8C93-9AD313E19314}"/>
              </c:ext>
            </c:extLst>
          </c:dPt>
          <c:dPt>
            <c:idx val="5"/>
            <c:bubble3D val="0"/>
            <c:spPr>
              <a:solidFill>
                <a:schemeClr val="accent6"/>
              </a:solidFill>
              <a:ln w="3175">
                <a:solidFill>
                  <a:schemeClr val="lt1"/>
                </a:solidFill>
              </a:ln>
              <a:effectLst/>
            </c:spPr>
            <c:extLst>
              <c:ext xmlns:c16="http://schemas.microsoft.com/office/drawing/2014/chart" uri="{C3380CC4-5D6E-409C-BE32-E72D297353CC}">
                <c16:uniqueId val="{0000000B-0F2A-4BC6-8C93-9AD313E19314}"/>
              </c:ext>
            </c:extLst>
          </c:dPt>
          <c:dLbls>
            <c:dLbl>
              <c:idx val="0"/>
              <c:layout>
                <c:manualLayout>
                  <c:x val="-7.3347199524587806E-2"/>
                  <c:y val="-0.1311543450064851"/>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0F2A-4BC6-8C93-9AD313E19314}"/>
                </c:ext>
              </c:extLst>
            </c:dLbl>
            <c:dLbl>
              <c:idx val="1"/>
              <c:layout>
                <c:manualLayout>
                  <c:x val="0.20571485168127568"/>
                  <c:y val="-0.13922771326735919"/>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F2A-4BC6-8C93-9AD313E19314}"/>
                </c:ext>
              </c:extLst>
            </c:dLbl>
            <c:dLbl>
              <c:idx val="2"/>
              <c:layout>
                <c:manualLayout>
                  <c:x val="6.289339127420393E-2"/>
                  <c:y val="3.6749491916623265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0F2A-4BC6-8C93-9AD313E19314}"/>
                </c:ext>
              </c:extLst>
            </c:dLbl>
            <c:dLbl>
              <c:idx val="3"/>
              <c:layout>
                <c:manualLayout>
                  <c:x val="8.6477878292110275E-2"/>
                  <c:y val="0.1365009140394415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45347397611"/>
                      <c:h val="0.18547341115434501"/>
                    </c:manualLayout>
                  </c15:layout>
                </c:ext>
                <c:ext xmlns:c16="http://schemas.microsoft.com/office/drawing/2014/chart" uri="{C3380CC4-5D6E-409C-BE32-E72D297353CC}">
                  <c16:uniqueId val="{00000007-0F2A-4BC6-8C93-9AD313E19314}"/>
                </c:ext>
              </c:extLst>
            </c:dLbl>
            <c:dLbl>
              <c:idx val="4"/>
              <c:layout>
                <c:manualLayout>
                  <c:x val="0.15723270440251569"/>
                  <c:y val="0.1523212516723347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07547169811323"/>
                      <c:h val="0.14915693904020752"/>
                    </c:manualLayout>
                  </c15:layout>
                </c:ext>
                <c:ext xmlns:c16="http://schemas.microsoft.com/office/drawing/2014/chart" uri="{C3380CC4-5D6E-409C-BE32-E72D297353CC}">
                  <c16:uniqueId val="{00000009-0F2A-4BC6-8C93-9AD313E19314}"/>
                </c:ext>
              </c:extLst>
            </c:dLbl>
            <c:dLbl>
              <c:idx val="5"/>
              <c:layout>
                <c:manualLayout>
                  <c:x val="-0.14190220621007277"/>
                  <c:y val="9.535300305360662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5180817610062892"/>
                      <c:h val="0.18028534370946822"/>
                    </c:manualLayout>
                  </c15:layout>
                </c:ext>
                <c:ext xmlns:c16="http://schemas.microsoft.com/office/drawing/2014/chart" uri="{C3380CC4-5D6E-409C-BE32-E72D297353CC}">
                  <c16:uniqueId val="{0000000B-0F2A-4BC6-8C93-9AD313E19314}"/>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EC</c:v>
                </c:pt>
                <c:pt idx="1">
                  <c:v>AS</c:v>
                </c:pt>
                <c:pt idx="2">
                  <c:v>SE</c:v>
                </c:pt>
                <c:pt idx="3">
                  <c:v>EG</c:v>
                </c:pt>
                <c:pt idx="4">
                  <c:v>EN</c:v>
                </c:pt>
                <c:pt idx="5">
                  <c:v>Other</c:v>
                </c:pt>
              </c:strCache>
            </c:strRef>
          </c:cat>
          <c:val>
            <c:numRef>
              <c:f>Sheet1!$B$2:$B$7</c:f>
              <c:numCache>
                <c:formatCode>General</c:formatCode>
                <c:ptCount val="6"/>
                <c:pt idx="0">
                  <c:v>748</c:v>
                </c:pt>
                <c:pt idx="1">
                  <c:v>613</c:v>
                </c:pt>
                <c:pt idx="2">
                  <c:v>533</c:v>
                </c:pt>
                <c:pt idx="3">
                  <c:v>459</c:v>
                </c:pt>
                <c:pt idx="4">
                  <c:v>433</c:v>
                </c:pt>
                <c:pt idx="5">
                  <c:v>1754</c:v>
                </c:pt>
              </c:numCache>
            </c:numRef>
          </c:val>
          <c:extLst>
            <c:ext xmlns:c16="http://schemas.microsoft.com/office/drawing/2014/chart" uri="{C3380CC4-5D6E-409C-BE32-E72D297353CC}">
              <c16:uniqueId val="{0000000C-0F2A-4BC6-8C93-9AD313E19314}"/>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Population by region as of March 31, 2020 (N=4 701)</a:t>
            </a:r>
          </a:p>
        </c:rich>
      </c:tx>
      <c:layout>
        <c:manualLayout>
          <c:xMode val="edge"/>
          <c:yMode val="edge"/>
          <c:x val="0.1468286984358169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C3C-4DBC-94EE-B1DC239CA48E}"/>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C3C-4DBC-94EE-B1DC239CA48E}"/>
              </c:ext>
            </c:extLst>
          </c:dPt>
          <c:dLbls>
            <c:dLbl>
              <c:idx val="0"/>
              <c:layout>
                <c:manualLayout>
                  <c:x val="0.26974951830443161"/>
                  <c:y val="5.70391495981332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C3C-4DBC-94EE-B1DC239CA48E}"/>
                </c:ext>
              </c:extLst>
            </c:dLbl>
            <c:dLbl>
              <c:idx val="1"/>
              <c:layout>
                <c:manualLayout>
                  <c:x val="-0.12331436894087661"/>
                  <c:y val="-0.10170688736503218"/>
                </c:manualLayout>
              </c:layout>
              <c:showLegendKey val="0"/>
              <c:showVal val="0"/>
              <c:showCatName val="1"/>
              <c:showSerName val="0"/>
              <c:showPercent val="1"/>
              <c:showBubbleSize val="0"/>
              <c:extLst>
                <c:ext xmlns:c15="http://schemas.microsoft.com/office/drawing/2012/chart" uri="{CE6537A1-D6FC-4f65-9D91-7224C49458BB}">
                  <c15:layout>
                    <c:manualLayout>
                      <c:w val="0.39828076403744322"/>
                      <c:h val="0.19315530204822404"/>
                    </c:manualLayout>
                  </c15:layout>
                </c:ext>
                <c:ext xmlns:c16="http://schemas.microsoft.com/office/drawing/2014/chart" uri="{C3380CC4-5D6E-409C-BE32-E72D297353CC}">
                  <c16:uniqueId val="{00000003-0C3C-4DBC-94EE-B1DC239CA48E}"/>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2794</c:v>
                </c:pt>
                <c:pt idx="1">
                  <c:v>1437</c:v>
                </c:pt>
              </c:numCache>
            </c:numRef>
          </c:val>
          <c:extLst>
            <c:ext xmlns:c16="http://schemas.microsoft.com/office/drawing/2014/chart" uri="{C3380CC4-5D6E-409C-BE32-E72D297353CC}">
              <c16:uniqueId val="{00000004-0C3C-4DBC-94EE-B1DC239CA48E}"/>
            </c:ext>
          </c:extLst>
        </c:ser>
        <c:dLbls>
          <c:showLegendKey val="0"/>
          <c:showVal val="0"/>
          <c:showCatName val="0"/>
          <c:showSerName val="0"/>
          <c:showPercent val="0"/>
          <c:showBubbleSize val="0"/>
          <c:showLeaderLines val="1"/>
        </c:dLbls>
        <c:firstSliceAng val="173"/>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External indeterminate hires by </a:t>
            </a:r>
          </a:p>
          <a:p>
            <a:pPr>
              <a:defRPr sz="1200" b="1"/>
            </a:pPr>
            <a:r>
              <a:rPr lang="en-US" sz="1200" b="1"/>
              <a:t>occupational group,</a:t>
            </a:r>
          </a:p>
          <a:p>
            <a:pPr>
              <a:defRPr sz="1200" b="1"/>
            </a:pPr>
            <a:r>
              <a:rPr lang="en-US" sz="1200" b="1"/>
              <a:t> 2019-20 (N=237)</a:t>
            </a:r>
          </a:p>
        </c:rich>
      </c:tx>
      <c:layout>
        <c:manualLayout>
          <c:xMode val="edge"/>
          <c:yMode val="edge"/>
          <c:x val="0.10478602778886122"/>
          <c:y val="2.995172281345403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7503245064219434E-2"/>
          <c:y val="0.35948391753806214"/>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1"/>
            </a:solidFill>
            <a:ln w="6350"/>
          </c:spPr>
          <c:dPt>
            <c:idx val="0"/>
            <c:bubble3D val="0"/>
            <c:spPr>
              <a:solidFill>
                <a:schemeClr val="accent2"/>
              </a:solidFill>
              <a:ln w="6350">
                <a:solidFill>
                  <a:schemeClr val="lt1"/>
                </a:solidFill>
              </a:ln>
              <a:effectLst/>
            </c:spPr>
            <c:extLst>
              <c:ext xmlns:c16="http://schemas.microsoft.com/office/drawing/2014/chart" uri="{C3380CC4-5D6E-409C-BE32-E72D297353CC}">
                <c16:uniqueId val="{00000001-EFBE-4A7D-9BB1-32272794F494}"/>
              </c:ext>
            </c:extLst>
          </c:dPt>
          <c:dPt>
            <c:idx val="1"/>
            <c:bubble3D val="0"/>
            <c:spPr>
              <a:solidFill>
                <a:schemeClr val="accent1"/>
              </a:solidFill>
              <a:ln w="6350">
                <a:solidFill>
                  <a:schemeClr val="lt1"/>
                </a:solidFill>
              </a:ln>
              <a:effectLst/>
            </c:spPr>
            <c:extLst>
              <c:ext xmlns:c16="http://schemas.microsoft.com/office/drawing/2014/chart" uri="{C3380CC4-5D6E-409C-BE32-E72D297353CC}">
                <c16:uniqueId val="{00000003-EFBE-4A7D-9BB1-32272794F494}"/>
              </c:ext>
            </c:extLst>
          </c:dPt>
          <c:dPt>
            <c:idx val="2"/>
            <c:bubble3D val="0"/>
            <c:spPr>
              <a:solidFill>
                <a:schemeClr val="accent3"/>
              </a:solidFill>
              <a:ln w="6350">
                <a:solidFill>
                  <a:schemeClr val="lt1"/>
                </a:solidFill>
              </a:ln>
              <a:effectLst/>
            </c:spPr>
            <c:extLst>
              <c:ext xmlns:c16="http://schemas.microsoft.com/office/drawing/2014/chart" uri="{C3380CC4-5D6E-409C-BE32-E72D297353CC}">
                <c16:uniqueId val="{00000005-EFBE-4A7D-9BB1-32272794F494}"/>
              </c:ext>
            </c:extLst>
          </c:dPt>
          <c:dPt>
            <c:idx val="3"/>
            <c:bubble3D val="0"/>
            <c:spPr>
              <a:solidFill>
                <a:schemeClr val="accent6"/>
              </a:solidFill>
              <a:ln w="6350">
                <a:solidFill>
                  <a:schemeClr val="lt1"/>
                </a:solidFill>
              </a:ln>
              <a:effectLst/>
            </c:spPr>
            <c:extLst>
              <c:ext xmlns:c16="http://schemas.microsoft.com/office/drawing/2014/chart" uri="{C3380CC4-5D6E-409C-BE32-E72D297353CC}">
                <c16:uniqueId val="{00000007-EFBE-4A7D-9BB1-32272794F494}"/>
              </c:ext>
            </c:extLst>
          </c:dPt>
          <c:dLbls>
            <c:dLbl>
              <c:idx val="3"/>
              <c:layout>
                <c:manualLayout>
                  <c:x val="0"/>
                  <c:y val="-6.9991251093613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FBE-4A7D-9BB1-32272794F494}"/>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EC</c:v>
                </c:pt>
                <c:pt idx="1">
                  <c:v>AS</c:v>
                </c:pt>
                <c:pt idx="2">
                  <c:v>EN</c:v>
                </c:pt>
                <c:pt idx="3">
                  <c:v>Other</c:v>
                </c:pt>
              </c:strCache>
            </c:strRef>
          </c:cat>
          <c:val>
            <c:numRef>
              <c:f>Sheet1!$B$2:$B$5</c:f>
              <c:numCache>
                <c:formatCode>General</c:formatCode>
                <c:ptCount val="4"/>
                <c:pt idx="0">
                  <c:v>87</c:v>
                </c:pt>
                <c:pt idx="1">
                  <c:v>43</c:v>
                </c:pt>
                <c:pt idx="2">
                  <c:v>22</c:v>
                </c:pt>
                <c:pt idx="3">
                  <c:v>85</c:v>
                </c:pt>
              </c:numCache>
            </c:numRef>
          </c:val>
          <c:extLst>
            <c:ext xmlns:c16="http://schemas.microsoft.com/office/drawing/2014/chart" uri="{C3380CC4-5D6E-409C-BE32-E72D297353CC}">
              <c16:uniqueId val="{00000008-EFBE-4A7D-9BB1-32272794F494}"/>
            </c:ext>
          </c:extLst>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region</a:t>
            </a:r>
          </a:p>
        </c:rich>
      </c:tx>
      <c:layout>
        <c:manualLayout>
          <c:xMode val="edge"/>
          <c:yMode val="edge"/>
          <c:x val="0.40877215811767204"/>
          <c:y val="2.859246843259360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9.4894492045412282E-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CE-4B59-BA00-2E8B8B76E4E0}"/>
                </c:ext>
              </c:extLst>
            </c:dLbl>
            <c:dLbl>
              <c:idx val="1"/>
              <c:layout>
                <c:manualLayout>
                  <c:x val="-7.0912699105516808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CE-4B59-BA00-2E8B8B76E4E0}"/>
                </c:ext>
              </c:extLst>
            </c:dLbl>
            <c:dLbl>
              <c:idx val="2"/>
              <c:layout>
                <c:manualLayout>
                  <c:x val="-1.9624805768458611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CE-4B59-BA00-2E8B8B76E4E0}"/>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CE-4B59-BA00-2E8B8B76E4E0}"/>
                </c:ext>
              </c:extLst>
            </c:dLbl>
            <c:dLbl>
              <c:idx val="4"/>
              <c:layout>
                <c:manualLayout>
                  <c:x val="-7.7180485477009383E-3"/>
                  <c:y val="1.4415081969922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CE-4B59-BA00-2E8B8B76E4E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Sheet1!$B$2:$B$6</c:f>
              <c:numCache>
                <c:formatCode>0%</c:formatCode>
                <c:ptCount val="5"/>
                <c:pt idx="0">
                  <c:v>0.64</c:v>
                </c:pt>
                <c:pt idx="1">
                  <c:v>0.77</c:v>
                </c:pt>
                <c:pt idx="2">
                  <c:v>0.77</c:v>
                </c:pt>
                <c:pt idx="3">
                  <c:v>0.79</c:v>
                </c:pt>
                <c:pt idx="4">
                  <c:v>0.75</c:v>
                </c:pt>
              </c:numCache>
            </c:numRef>
          </c:val>
          <c:extLst>
            <c:ext xmlns:c16="http://schemas.microsoft.com/office/drawing/2014/chart" uri="{C3380CC4-5D6E-409C-BE32-E72D297353CC}">
              <c16:uniqueId val="{00000005-71CE-4B59-BA00-2E8B8B76E4E0}"/>
            </c:ext>
          </c:extLst>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CE-4B59-BA00-2E8B8B76E4E0}"/>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CE-4B59-BA00-2E8B8B76E4E0}"/>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CE-4B59-BA00-2E8B8B76E4E0}"/>
                </c:ext>
              </c:extLst>
            </c:dLbl>
            <c:dLbl>
              <c:idx val="3"/>
              <c:layout>
                <c:manualLayout>
                  <c:x val="1.4781966001478197E-2"/>
                  <c:y val="1.5258539595266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1CE-4B59-BA00-2E8B8B76E4E0}"/>
                </c:ext>
              </c:extLst>
            </c:dLbl>
            <c:dLbl>
              <c:idx val="4"/>
              <c:layout>
                <c:manualLayout>
                  <c:x val="1.8682600927655661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1CE-4B59-BA00-2E8B8B76E4E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Sheet1!$C$2:$C$6</c:f>
              <c:numCache>
                <c:formatCode>0%</c:formatCode>
                <c:ptCount val="5"/>
                <c:pt idx="0">
                  <c:v>0.36</c:v>
                </c:pt>
                <c:pt idx="1">
                  <c:v>0.23</c:v>
                </c:pt>
                <c:pt idx="2">
                  <c:v>0.23</c:v>
                </c:pt>
                <c:pt idx="3">
                  <c:v>0.21</c:v>
                </c:pt>
                <c:pt idx="4">
                  <c:v>0.25</c:v>
                </c:pt>
              </c:numCache>
            </c:numRef>
          </c:val>
          <c:extLst>
            <c:ext xmlns:c16="http://schemas.microsoft.com/office/drawing/2014/chart" uri="{C3380CC4-5D6E-409C-BE32-E72D297353CC}">
              <c16:uniqueId val="{0000000B-71CE-4B59-BA00-2E8B8B76E4E0}"/>
            </c:ext>
          </c:extLst>
        </c:ser>
        <c:dLbls>
          <c:showLegendKey val="0"/>
          <c:showVal val="0"/>
          <c:showCatName val="0"/>
          <c:showSerName val="0"/>
          <c:showPercent val="0"/>
          <c:showBubbleSize val="0"/>
        </c:dLbls>
        <c:gapWidth val="150"/>
        <c:axId val="670733552"/>
        <c:axId val="670734336"/>
      </c:barChart>
      <c:catAx>
        <c:axId val="6707335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0734336"/>
        <c:crosses val="autoZero"/>
        <c:auto val="1"/>
        <c:lblAlgn val="ctr"/>
        <c:lblOffset val="100"/>
        <c:noMultiLvlLbl val="0"/>
      </c:catAx>
      <c:valAx>
        <c:axId val="670734336"/>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0733552"/>
        <c:crosses val="autoZero"/>
        <c:crossBetween val="between"/>
      </c:valAx>
      <c:spPr>
        <a:noFill/>
        <a:ln>
          <a:noFill/>
        </a:ln>
        <a:effectLst/>
      </c:spPr>
    </c:plotArea>
    <c:legend>
      <c:legendPos val="b"/>
      <c:layout>
        <c:manualLayout>
          <c:xMode val="edge"/>
          <c:yMode val="edge"/>
          <c:x val="5.8307581286263829E-2"/>
          <c:y val="0.74583855647293962"/>
          <c:w val="0.87681966583445359"/>
          <c:h val="0.2253792884632000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process type</a:t>
            </a: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0F-439A-8FD6-7395D7107A54}"/>
                </c:ext>
              </c:extLst>
            </c:dLbl>
            <c:dLbl>
              <c:idx val="1"/>
              <c:layout>
                <c:manualLayout>
                  <c:x val="-1.4035706474190758E-2"/>
                  <c:y val="1.7491691446562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0F-439A-8FD6-7395D7107A54}"/>
                </c:ext>
              </c:extLst>
            </c:dLbl>
            <c:dLbl>
              <c:idx val="2"/>
              <c:layout>
                <c:manualLayout>
                  <c:x val="-1.5259459755030621E-2"/>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0F-439A-8FD6-7395D7107A54}"/>
                </c:ext>
              </c:extLst>
            </c:dLbl>
            <c:dLbl>
              <c:idx val="3"/>
              <c:layout>
                <c:manualLayout>
                  <c:x val="-9.0458223972003492E-3"/>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0F-439A-8FD6-7395D7107A54}"/>
                </c:ext>
              </c:extLst>
            </c:dLbl>
            <c:dLbl>
              <c:idx val="4"/>
              <c:layout>
                <c:manualLayout>
                  <c:x val="-1.1859962817147985E-2"/>
                  <c:y val="1.4415081969922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0F-439A-8FD6-7395D7107A5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c:v>
                </c:pt>
                <c:pt idx="1">
                  <c:v>2016-17</c:v>
                </c:pt>
                <c:pt idx="2">
                  <c:v>2017-18</c:v>
                </c:pt>
                <c:pt idx="3">
                  <c:v>2018-19</c:v>
                </c:pt>
                <c:pt idx="4">
                  <c:v>2019-20</c:v>
                </c:pt>
              </c:strCache>
            </c:strRef>
          </c:cat>
          <c:val>
            <c:numRef>
              <c:f>Sheet1!$B$2:$B$6</c:f>
              <c:numCache>
                <c:formatCode>#\ ###</c:formatCode>
                <c:ptCount val="5"/>
                <c:pt idx="0">
                  <c:v>137</c:v>
                </c:pt>
                <c:pt idx="1">
                  <c:v>161</c:v>
                </c:pt>
                <c:pt idx="2">
                  <c:v>359</c:v>
                </c:pt>
                <c:pt idx="3">
                  <c:v>431</c:v>
                </c:pt>
                <c:pt idx="4">
                  <c:v>388</c:v>
                </c:pt>
              </c:numCache>
            </c:numRef>
          </c:val>
          <c:extLst>
            <c:ext xmlns:c16="http://schemas.microsoft.com/office/drawing/2014/chart" uri="{C3380CC4-5D6E-409C-BE32-E72D297353CC}">
              <c16:uniqueId val="{00000005-C50F-439A-8FD6-7395D7107A54}"/>
            </c:ext>
          </c:extLst>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5085848643919512E-3"/>
                  <c:y val="1.6992558455993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50F-439A-8FD6-7395D7107A54}"/>
                </c:ext>
              </c:extLst>
            </c:dLbl>
            <c:dLbl>
              <c:idx val="1"/>
              <c:layout>
                <c:manualLayout>
                  <c:x val="-6.9263998250218726E-3"/>
                  <c:y val="1.8335149071907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50F-439A-8FD6-7395D7107A54}"/>
                </c:ext>
              </c:extLst>
            </c:dLbl>
            <c:dLbl>
              <c:idx val="2"/>
              <c:layout>
                <c:manualLayout>
                  <c:x val="-2.7777777777777779E-3"/>
                  <c:y val="1.1760201305954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50F-439A-8FD6-7395D7107A54}"/>
                </c:ext>
              </c:extLst>
            </c:dLbl>
            <c:dLbl>
              <c:idx val="3"/>
              <c:layout>
                <c:manualLayout>
                  <c:x val="-3.4722222222223495E-3"/>
                  <c:y val="1.1760201305954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50F-439A-8FD6-7395D7107A54}"/>
                </c:ext>
              </c:extLst>
            </c:dLbl>
            <c:dLbl>
              <c:idx val="4"/>
              <c:layout>
                <c:manualLayout>
                  <c:x val="3.4541776027996502E-3"/>
                  <c:y val="1.3993353157250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50F-439A-8FD6-7395D7107A5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c:v>
                </c:pt>
                <c:pt idx="1">
                  <c:v>2016-17</c:v>
                </c:pt>
                <c:pt idx="2">
                  <c:v>2017-18</c:v>
                </c:pt>
                <c:pt idx="3">
                  <c:v>2018-19</c:v>
                </c:pt>
                <c:pt idx="4">
                  <c:v>2019-20</c:v>
                </c:pt>
              </c:strCache>
            </c:strRef>
          </c:cat>
          <c:val>
            <c:numRef>
              <c:f>Sheet1!$C$2:$C$6</c:f>
              <c:numCache>
                <c:formatCode>#\ ###</c:formatCode>
                <c:ptCount val="5"/>
                <c:pt idx="0">
                  <c:v>379</c:v>
                </c:pt>
                <c:pt idx="1">
                  <c:v>396</c:v>
                </c:pt>
                <c:pt idx="2">
                  <c:v>374</c:v>
                </c:pt>
                <c:pt idx="3">
                  <c:v>461</c:v>
                </c:pt>
                <c:pt idx="4">
                  <c:v>465</c:v>
                </c:pt>
              </c:numCache>
            </c:numRef>
          </c:val>
          <c:extLst>
            <c:ext xmlns:c16="http://schemas.microsoft.com/office/drawing/2014/chart" uri="{C3380CC4-5D6E-409C-BE32-E72D297353CC}">
              <c16:uniqueId val="{0000000B-C50F-439A-8FD6-7395D7107A54}"/>
            </c:ext>
          </c:extLst>
        </c:ser>
        <c:dLbls>
          <c:showLegendKey val="0"/>
          <c:showVal val="0"/>
          <c:showCatName val="0"/>
          <c:showSerName val="0"/>
          <c:showPercent val="0"/>
          <c:showBubbleSize val="0"/>
        </c:dLbls>
        <c:gapWidth val="150"/>
        <c:axId val="670735120"/>
        <c:axId val="670733944"/>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7.8490130139982489E-2"/>
                  <c:y val="-2.6174870086315364E-2"/>
                </c:manualLayout>
              </c:layout>
              <c:showLegendKey val="0"/>
              <c:showVal val="1"/>
              <c:showCatName val="0"/>
              <c:showSerName val="0"/>
              <c:showPercent val="0"/>
              <c:showBubbleSize val="0"/>
              <c:extLst>
                <c:ext xmlns:c15="http://schemas.microsoft.com/office/drawing/2012/chart" uri="{CE6537A1-D6FC-4f65-9D91-7224C49458BB}">
                  <c15:layout>
                    <c:manualLayout>
                      <c:w val="7.4843886701662282E-2"/>
                      <c:h val="4.8924398705890285E-2"/>
                    </c:manualLayout>
                  </c15:layout>
                </c:ext>
                <c:ext xmlns:c16="http://schemas.microsoft.com/office/drawing/2014/chart" uri="{C3380CC4-5D6E-409C-BE32-E72D297353CC}">
                  <c16:uniqueId val="{0000000C-C50F-439A-8FD6-7395D7107A54}"/>
                </c:ext>
              </c:extLst>
            </c:dLbl>
            <c:dLbl>
              <c:idx val="1"/>
              <c:layout>
                <c:manualLayout>
                  <c:x val="-6.6266016916519538E-2"/>
                  <c:y val="-4.1433625212595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50F-439A-8FD6-7395D7107A54}"/>
                </c:ext>
              </c:extLst>
            </c:dLbl>
            <c:dLbl>
              <c:idx val="2"/>
              <c:layout>
                <c:manualLayout>
                  <c:x val="-5.9238977927084581E-2"/>
                  <c:y val="-1.83396831696808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50F-439A-8FD6-7395D7107A54}"/>
                </c:ext>
              </c:extLst>
            </c:dLbl>
            <c:dLbl>
              <c:idx val="3"/>
              <c:layout>
                <c:manualLayout>
                  <c:x val="-6.0995604891715766E-2"/>
                  <c:y val="-4.5020476377132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50F-439A-8FD6-7395D7107A54}"/>
                </c:ext>
              </c:extLst>
            </c:dLbl>
            <c:dLbl>
              <c:idx val="4"/>
              <c:layout>
                <c:manualLayout>
                  <c:x val="-6.0444113962989196E-2"/>
                  <c:y val="-5.9798237571896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50F-439A-8FD6-7395D7107A54}"/>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c:v>
                </c:pt>
                <c:pt idx="1">
                  <c:v>2016-17</c:v>
                </c:pt>
                <c:pt idx="2">
                  <c:v>2017-18</c:v>
                </c:pt>
                <c:pt idx="3">
                  <c:v>2018-19</c:v>
                </c:pt>
                <c:pt idx="4">
                  <c:v>2019-20</c:v>
                </c:pt>
              </c:strCache>
            </c:strRef>
          </c:cat>
          <c:val>
            <c:numRef>
              <c:f>Sheet1!$D$2:$D$6</c:f>
              <c:numCache>
                <c:formatCode>0%</c:formatCode>
                <c:ptCount val="5"/>
                <c:pt idx="0">
                  <c:v>0.27</c:v>
                </c:pt>
                <c:pt idx="1">
                  <c:v>0.28999999999999998</c:v>
                </c:pt>
                <c:pt idx="2">
                  <c:v>0.49</c:v>
                </c:pt>
                <c:pt idx="3">
                  <c:v>0.48</c:v>
                </c:pt>
                <c:pt idx="4">
                  <c:v>0.45</c:v>
                </c:pt>
              </c:numCache>
            </c:numRef>
          </c:val>
          <c:smooth val="0"/>
          <c:extLst>
            <c:ext xmlns:c16="http://schemas.microsoft.com/office/drawing/2014/chart" uri="{C3380CC4-5D6E-409C-BE32-E72D297353CC}">
              <c16:uniqueId val="{00000011-C50F-439A-8FD6-7395D7107A54}"/>
            </c:ext>
          </c:extLst>
        </c:ser>
        <c:dLbls>
          <c:showLegendKey val="0"/>
          <c:showVal val="0"/>
          <c:showCatName val="0"/>
          <c:showSerName val="0"/>
          <c:showPercent val="0"/>
          <c:showBubbleSize val="0"/>
        </c:dLbls>
        <c:marker val="1"/>
        <c:smooth val="0"/>
        <c:axId val="670735512"/>
        <c:axId val="670732768"/>
      </c:lineChart>
      <c:catAx>
        <c:axId val="670735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0733944"/>
        <c:crosses val="autoZero"/>
        <c:auto val="1"/>
        <c:lblAlgn val="ctr"/>
        <c:lblOffset val="100"/>
        <c:noMultiLvlLbl val="0"/>
      </c:catAx>
      <c:valAx>
        <c:axId val="67073394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0735120"/>
        <c:crosses val="autoZero"/>
        <c:crossBetween val="between"/>
      </c:valAx>
      <c:valAx>
        <c:axId val="670732768"/>
        <c:scaling>
          <c:orientation val="minMax"/>
          <c:max val="0.8"/>
          <c:min val="0.2"/>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0735512"/>
        <c:crosses val="max"/>
        <c:crossBetween val="between"/>
        <c:majorUnit val="0.1"/>
      </c:valAx>
      <c:catAx>
        <c:axId val="670735512"/>
        <c:scaling>
          <c:orientation val="minMax"/>
        </c:scaling>
        <c:delete val="1"/>
        <c:axPos val="b"/>
        <c:numFmt formatCode="General" sourceLinked="1"/>
        <c:majorTickMark val="out"/>
        <c:minorTickMark val="none"/>
        <c:tickLblPos val="nextTo"/>
        <c:crossAx val="670732768"/>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appointment type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6272965879265343E-3"/>
                  <c:y val="2.1785261457702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E5-4D0B-9447-EEFBBFDDFDE9}"/>
                </c:ext>
              </c:extLst>
            </c:dLbl>
            <c:dLbl>
              <c:idx val="1"/>
              <c:layout>
                <c:manualLayout>
                  <c:x val="-8.3333333333333332E-3"/>
                  <c:y val="1.5497678174843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E5-4D0B-9447-EEFBBFDDFDE9}"/>
                </c:ext>
              </c:extLst>
            </c:dLbl>
            <c:dLbl>
              <c:idx val="2"/>
              <c:layout>
                <c:manualLayout>
                  <c:x val="-8.3333333333334356E-3"/>
                  <c:y val="1.1577629719362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E5-4D0B-9447-EEFBBFDDFDE9}"/>
                </c:ext>
              </c:extLst>
            </c:dLbl>
            <c:dLbl>
              <c:idx val="3"/>
              <c:layout>
                <c:manualLayout>
                  <c:x val="-8.3333333333333332E-3"/>
                  <c:y val="1.9417726630324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E5-4D0B-9447-EEFBBFDDFDE9}"/>
                </c:ext>
              </c:extLst>
            </c:dLbl>
            <c:dLbl>
              <c:idx val="4"/>
              <c:layout>
                <c:manualLayout>
                  <c:x val="-5.5555555555556572E-3"/>
                  <c:y val="1.5680193821926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E5-4D0B-9447-EEFBBFDDFDE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(N=2 163)</c:v>
                </c:pt>
                <c:pt idx="1">
                  <c:v>2016-17 
(N=2 236)</c:v>
                </c:pt>
                <c:pt idx="2">
                  <c:v>2017-18
(N=2 384)</c:v>
                </c:pt>
                <c:pt idx="3">
                  <c:v>2018-19
(N=2 698)</c:v>
                </c:pt>
                <c:pt idx="4">
                  <c:v>2019-20
(N=2 741)</c:v>
                </c:pt>
              </c:strCache>
            </c:strRef>
          </c:cat>
          <c:val>
            <c:numRef>
              <c:f>Sheet1!$B$3:$B$7</c:f>
              <c:numCache>
                <c:formatCode>#\ ###</c:formatCode>
                <c:ptCount val="5"/>
                <c:pt idx="0">
                  <c:v>302</c:v>
                </c:pt>
                <c:pt idx="1">
                  <c:v>355</c:v>
                </c:pt>
                <c:pt idx="2">
                  <c:v>404</c:v>
                </c:pt>
                <c:pt idx="3">
                  <c:v>468</c:v>
                </c:pt>
                <c:pt idx="4">
                  <c:v>567</c:v>
                </c:pt>
              </c:numCache>
            </c:numRef>
          </c:val>
          <c:extLst>
            <c:ext xmlns:c16="http://schemas.microsoft.com/office/drawing/2014/chart" uri="{C3380CC4-5D6E-409C-BE32-E72D297353CC}">
              <c16:uniqueId val="{00000005-15E5-4D0B-9447-EEFBBFDDFDE9}"/>
            </c:ext>
          </c:extLst>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E5-4D0B-9447-EEFBBFDDFDE9}"/>
                </c:ext>
              </c:extLst>
            </c:dLbl>
            <c:dLbl>
              <c:idx val="1"/>
              <c:layout>
                <c:manualLayout>
                  <c:x val="2.7777777777777779E-3"/>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E5-4D0B-9447-EEFBBFDDFDE9}"/>
                </c:ext>
              </c:extLst>
            </c:dLbl>
            <c:dLbl>
              <c:idx val="2"/>
              <c:layout>
                <c:manualLayout>
                  <c:x val="2.777777777777676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5E5-4D0B-9447-EEFBBFDDFDE9}"/>
                </c:ext>
              </c:extLst>
            </c:dLbl>
            <c:dLbl>
              <c:idx val="3"/>
              <c:layout>
                <c:manualLayout>
                  <c:x val="2.7777777777777779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E5-4D0B-9447-EEFBBFDDFDE9}"/>
                </c:ext>
              </c:extLst>
            </c:dLbl>
            <c:dLbl>
              <c:idx val="4"/>
              <c:layout>
                <c:manualLayout>
                  <c:x val="-1.0185067526415994E-16"/>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E5-4D0B-9447-EEFBBFDDFDE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(N=2 163)</c:v>
                </c:pt>
                <c:pt idx="1">
                  <c:v>2016-17 
(N=2 236)</c:v>
                </c:pt>
                <c:pt idx="2">
                  <c:v>2017-18
(N=2 384)</c:v>
                </c:pt>
                <c:pt idx="3">
                  <c:v>2018-19
(N=2 698)</c:v>
                </c:pt>
                <c:pt idx="4">
                  <c:v>2019-20
(N=2 741)</c:v>
                </c:pt>
              </c:strCache>
            </c:strRef>
          </c:cat>
          <c:val>
            <c:numRef>
              <c:f>Sheet1!$C$3:$C$7</c:f>
              <c:numCache>
                <c:formatCode>#\ ###</c:formatCode>
                <c:ptCount val="5"/>
                <c:pt idx="0">
                  <c:v>233</c:v>
                </c:pt>
                <c:pt idx="1">
                  <c:v>312</c:v>
                </c:pt>
                <c:pt idx="2">
                  <c:v>304</c:v>
                </c:pt>
                <c:pt idx="3">
                  <c:v>323</c:v>
                </c:pt>
                <c:pt idx="4">
                  <c:v>362</c:v>
                </c:pt>
              </c:numCache>
            </c:numRef>
          </c:val>
          <c:extLst>
            <c:ext xmlns:c16="http://schemas.microsoft.com/office/drawing/2014/chart" uri="{C3380CC4-5D6E-409C-BE32-E72D297353CC}">
              <c16:uniqueId val="{0000000B-15E5-4D0B-9447-EEFBBFDDFDE9}"/>
            </c:ext>
          </c:extLst>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5E5-4D0B-9447-EEFBBFDDFDE9}"/>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5E5-4D0B-9447-EEFBBFDDFDE9}"/>
                </c:ext>
              </c:extLst>
            </c:dLbl>
            <c:dLbl>
              <c:idx val="2"/>
              <c:layout>
                <c:manualLayout>
                  <c:x val="-2.7777777777777779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5E5-4D0B-9447-EEFBBFDDFDE9}"/>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5E5-4D0B-9447-EEFBBFDDFDE9}"/>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5E5-4D0B-9447-EEFBBFDDFDE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(N=2 163)</c:v>
                </c:pt>
                <c:pt idx="1">
                  <c:v>2016-17 
(N=2 236)</c:v>
                </c:pt>
                <c:pt idx="2">
                  <c:v>2017-18
(N=2 384)</c:v>
                </c:pt>
                <c:pt idx="3">
                  <c:v>2018-19
(N=2 698)</c:v>
                </c:pt>
                <c:pt idx="4">
                  <c:v>2019-20
(N=2 741)</c:v>
                </c:pt>
              </c:strCache>
            </c:strRef>
          </c:cat>
          <c:val>
            <c:numRef>
              <c:f>Sheet1!$D$3:$D$7</c:f>
              <c:numCache>
                <c:formatCode>#\ ###</c:formatCode>
                <c:ptCount val="5"/>
                <c:pt idx="0">
                  <c:v>1415</c:v>
                </c:pt>
                <c:pt idx="1">
                  <c:v>1385</c:v>
                </c:pt>
                <c:pt idx="2">
                  <c:v>1550</c:v>
                </c:pt>
                <c:pt idx="3">
                  <c:v>1730</c:v>
                </c:pt>
                <c:pt idx="4">
                  <c:v>1624</c:v>
                </c:pt>
              </c:numCache>
            </c:numRef>
          </c:val>
          <c:extLst>
            <c:ext xmlns:c16="http://schemas.microsoft.com/office/drawing/2014/chart" uri="{C3380CC4-5D6E-409C-BE32-E72D297353CC}">
              <c16:uniqueId val="{00000011-15E5-4D0B-9447-EEFBBFDDFDE9}"/>
            </c:ext>
          </c:extLst>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5497678174843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5E5-4D0B-9447-EEFBBFDDFDE9}"/>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5E5-4D0B-9447-EEFBBFDDFDE9}"/>
                </c:ext>
              </c:extLst>
            </c:dLbl>
            <c:dLbl>
              <c:idx val="2"/>
              <c:layout>
                <c:manualLayout>
                  <c:x val="2.7777777777777779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5E5-4D0B-9447-EEFBBFDDFDE9}"/>
                </c:ext>
              </c:extLst>
            </c:dLbl>
            <c:dLbl>
              <c:idx val="3"/>
              <c:layout>
                <c:manualLayout>
                  <c:x val="8.285214348206474E-4"/>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5E5-4D0B-9447-EEFBBFDDFDE9}"/>
                </c:ext>
              </c:extLst>
            </c:dLbl>
            <c:dLbl>
              <c:idx val="4"/>
              <c:layout>
                <c:manualLayout>
                  <c:x val="3.6062992125983234E-3"/>
                  <c:y val="1.9782757924490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5E5-4D0B-9447-EEFBBFDDFDE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(N=2 163)</c:v>
                </c:pt>
                <c:pt idx="1">
                  <c:v>2016-17 
(N=2 236)</c:v>
                </c:pt>
                <c:pt idx="2">
                  <c:v>2017-18
(N=2 384)</c:v>
                </c:pt>
                <c:pt idx="3">
                  <c:v>2018-19
(N=2 698)</c:v>
                </c:pt>
                <c:pt idx="4">
                  <c:v>2019-20
(N=2 741)</c:v>
                </c:pt>
              </c:strCache>
            </c:strRef>
          </c:cat>
          <c:val>
            <c:numRef>
              <c:f>Sheet1!$E$3:$E$7</c:f>
              <c:numCache>
                <c:formatCode>#\ ###</c:formatCode>
                <c:ptCount val="5"/>
                <c:pt idx="0">
                  <c:v>213</c:v>
                </c:pt>
                <c:pt idx="1">
                  <c:v>184</c:v>
                </c:pt>
                <c:pt idx="2">
                  <c:v>126</c:v>
                </c:pt>
                <c:pt idx="3">
                  <c:v>177</c:v>
                </c:pt>
                <c:pt idx="4">
                  <c:v>188</c:v>
                </c:pt>
              </c:numCache>
            </c:numRef>
          </c:val>
          <c:extLst>
            <c:ext xmlns:c16="http://schemas.microsoft.com/office/drawing/2014/chart" uri="{C3380CC4-5D6E-409C-BE32-E72D297353CC}">
              <c16:uniqueId val="{00000017-15E5-4D0B-9447-EEFBBFDDFDE9}"/>
            </c:ext>
          </c:extLst>
        </c:ser>
        <c:dLbls>
          <c:showLegendKey val="0"/>
          <c:showVal val="0"/>
          <c:showCatName val="0"/>
          <c:showSerName val="0"/>
          <c:showPercent val="0"/>
          <c:showBubbleSize val="0"/>
        </c:dLbls>
        <c:gapWidth val="150"/>
        <c:shape val="box"/>
        <c:axId val="454796888"/>
        <c:axId val="454796104"/>
        <c:axId val="0"/>
      </c:bar3DChart>
      <c:catAx>
        <c:axId val="454796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4796104"/>
        <c:crosses val="autoZero"/>
        <c:auto val="0"/>
        <c:lblAlgn val="ctr"/>
        <c:lblOffset val="100"/>
        <c:noMultiLvlLbl val="0"/>
      </c:catAx>
      <c:valAx>
        <c:axId val="45479610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4796888"/>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tenure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CC-4D9A-A756-12DB5A02F727}"/>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CC-4D9A-A756-12DB5A02F727}"/>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CC-4D9A-A756-12DB5A02F727}"/>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CC-4D9A-A756-12DB5A02F727}"/>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CC-4D9A-A756-12DB5A02F72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(N=2 163)</c:v>
                </c:pt>
                <c:pt idx="1">
                  <c:v>2016-17
 (N=2 236)</c:v>
                </c:pt>
                <c:pt idx="2">
                  <c:v>2017-18
 (N=2 384)</c:v>
                </c:pt>
                <c:pt idx="3">
                  <c:v>2018-19
 (N=2 698)</c:v>
                </c:pt>
                <c:pt idx="4">
                  <c:v>2019-20
 (N=2 741)</c:v>
                </c:pt>
              </c:strCache>
            </c:strRef>
          </c:cat>
          <c:val>
            <c:numRef>
              <c:f>Sheet1!$B$2:$B$6</c:f>
              <c:numCache>
                <c:formatCode>#\ ###</c:formatCode>
                <c:ptCount val="5"/>
                <c:pt idx="0">
                  <c:v>838</c:v>
                </c:pt>
                <c:pt idx="1">
                  <c:v>981</c:v>
                </c:pt>
                <c:pt idx="2">
                  <c:v>974</c:v>
                </c:pt>
                <c:pt idx="3">
                  <c:v>1188</c:v>
                </c:pt>
                <c:pt idx="4">
                  <c:v>1300</c:v>
                </c:pt>
              </c:numCache>
            </c:numRef>
          </c:val>
          <c:extLst>
            <c:ext xmlns:c16="http://schemas.microsoft.com/office/drawing/2014/chart" uri="{C3380CC4-5D6E-409C-BE32-E72D297353CC}">
              <c16:uniqueId val="{00000005-8CCC-4D9A-A756-12DB5A02F727}"/>
            </c:ext>
          </c:extLst>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CCC-4D9A-A756-12DB5A02F727}"/>
                </c:ext>
              </c:extLst>
            </c:dLbl>
            <c:dLbl>
              <c:idx val="1"/>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CC-4D9A-A756-12DB5A02F727}"/>
                </c:ext>
              </c:extLst>
            </c:dLbl>
            <c:dLbl>
              <c:idx val="2"/>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CC-4D9A-A756-12DB5A02F727}"/>
                </c:ext>
              </c:extLst>
            </c:dLbl>
            <c:dLbl>
              <c:idx val="3"/>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CC-4D9A-A756-12DB5A02F727}"/>
                </c:ext>
              </c:extLst>
            </c:dLbl>
            <c:dLbl>
              <c:idx val="4"/>
              <c:layout>
                <c:manualLayout>
                  <c:x val="-1.0185067526415994E-16"/>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CCC-4D9A-A756-12DB5A02F72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(N=2 163)</c:v>
                </c:pt>
                <c:pt idx="1">
                  <c:v>2016-17
 (N=2 236)</c:v>
                </c:pt>
                <c:pt idx="2">
                  <c:v>2017-18
 (N=2 384)</c:v>
                </c:pt>
                <c:pt idx="3">
                  <c:v>2018-19
 (N=2 698)</c:v>
                </c:pt>
                <c:pt idx="4">
                  <c:v>2019-20
 (N=2 741)</c:v>
                </c:pt>
              </c:strCache>
            </c:strRef>
          </c:cat>
          <c:val>
            <c:numRef>
              <c:f>Sheet1!$C$2:$C$6</c:f>
              <c:numCache>
                <c:formatCode>#\ ###</c:formatCode>
                <c:ptCount val="5"/>
                <c:pt idx="0">
                  <c:v>192</c:v>
                </c:pt>
                <c:pt idx="1">
                  <c:v>223</c:v>
                </c:pt>
                <c:pt idx="2">
                  <c:v>296</c:v>
                </c:pt>
                <c:pt idx="3">
                  <c:v>351</c:v>
                </c:pt>
                <c:pt idx="4">
                  <c:v>367</c:v>
                </c:pt>
              </c:numCache>
            </c:numRef>
          </c:val>
          <c:extLst>
            <c:ext xmlns:c16="http://schemas.microsoft.com/office/drawing/2014/chart" uri="{C3380CC4-5D6E-409C-BE32-E72D297353CC}">
              <c16:uniqueId val="{0000000B-8CCC-4D9A-A756-12DB5A02F727}"/>
            </c:ext>
          </c:extLst>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2.0330304865737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CCC-4D9A-A756-12DB5A02F727}"/>
                </c:ext>
              </c:extLst>
            </c:dLbl>
            <c:dLbl>
              <c:idx val="1"/>
              <c:layout>
                <c:manualLayout>
                  <c:x val="-5.5555555555555558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CCC-4D9A-A756-12DB5A02F727}"/>
                </c:ext>
              </c:extLst>
            </c:dLbl>
            <c:dLbl>
              <c:idx val="2"/>
              <c:layout>
                <c:manualLayout>
                  <c:x val="0"/>
                  <c:y val="1.9600242277407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CCC-4D9A-A756-12DB5A02F727}"/>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CC-4D9A-A756-12DB5A02F727}"/>
                </c:ext>
              </c:extLst>
            </c:dLbl>
            <c:dLbl>
              <c:idx val="4"/>
              <c:layout>
                <c:manualLayout>
                  <c:x val="-5.5555555555555558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CCC-4D9A-A756-12DB5A02F72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(N=2 163)</c:v>
                </c:pt>
                <c:pt idx="1">
                  <c:v>2016-17
 (N=2 236)</c:v>
                </c:pt>
                <c:pt idx="2">
                  <c:v>2017-18
 (N=2 384)</c:v>
                </c:pt>
                <c:pt idx="3">
                  <c:v>2018-19
 (N=2 698)</c:v>
                </c:pt>
                <c:pt idx="4">
                  <c:v>2019-20
 (N=2 741)</c:v>
                </c:pt>
              </c:strCache>
            </c:strRef>
          </c:cat>
          <c:val>
            <c:numRef>
              <c:f>Sheet1!$D$2:$D$6</c:f>
              <c:numCache>
                <c:formatCode>#\ ###</c:formatCode>
                <c:ptCount val="5"/>
                <c:pt idx="0">
                  <c:v>626</c:v>
                </c:pt>
                <c:pt idx="1">
                  <c:v>609</c:v>
                </c:pt>
                <c:pt idx="2">
                  <c:v>657</c:v>
                </c:pt>
                <c:pt idx="3">
                  <c:v>674</c:v>
                </c:pt>
                <c:pt idx="4">
                  <c:v>569</c:v>
                </c:pt>
              </c:numCache>
            </c:numRef>
          </c:val>
          <c:extLst>
            <c:ext xmlns:c16="http://schemas.microsoft.com/office/drawing/2014/chart" uri="{C3380CC4-5D6E-409C-BE32-E72D297353CC}">
              <c16:uniqueId val="{00000011-8CCC-4D9A-A756-12DB5A02F727}"/>
            </c:ext>
          </c:extLst>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CCC-4D9A-A756-12DB5A02F727}"/>
                </c:ext>
              </c:extLst>
            </c:dLbl>
            <c:dLbl>
              <c:idx val="1"/>
              <c:layout>
                <c:manualLayout>
                  <c:x val="0"/>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CCC-4D9A-A756-12DB5A02F727}"/>
                </c:ext>
              </c:extLst>
            </c:dLbl>
            <c:dLbl>
              <c:idx val="2"/>
              <c:layout>
                <c:manualLayout>
                  <c:x val="0"/>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CCC-4D9A-A756-12DB5A02F727}"/>
                </c:ext>
              </c:extLst>
            </c:dLbl>
            <c:dLbl>
              <c:idx val="3"/>
              <c:layout>
                <c:manualLayout>
                  <c:x val="2.7777777777777779E-3"/>
                  <c:y val="2.4067837674136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CCC-4D9A-A756-12DB5A02F727}"/>
                </c:ext>
              </c:extLst>
            </c:dLbl>
            <c:dLbl>
              <c:idx val="4"/>
              <c:layout>
                <c:manualLayout>
                  <c:x val="5.5555555555554534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CCC-4D9A-A756-12DB5A02F72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(N=2 163)</c:v>
                </c:pt>
                <c:pt idx="1">
                  <c:v>2016-17
 (N=2 236)</c:v>
                </c:pt>
                <c:pt idx="2">
                  <c:v>2017-18
 (N=2 384)</c:v>
                </c:pt>
                <c:pt idx="3">
                  <c:v>2018-19
 (N=2 698)</c:v>
                </c:pt>
                <c:pt idx="4">
                  <c:v>2019-20
 (N=2 741)</c:v>
                </c:pt>
              </c:strCache>
            </c:strRef>
          </c:cat>
          <c:val>
            <c:numRef>
              <c:f>Sheet1!$E$2:$E$6</c:f>
              <c:numCache>
                <c:formatCode>#\ ###</c:formatCode>
                <c:ptCount val="5"/>
                <c:pt idx="0">
                  <c:v>507</c:v>
                </c:pt>
                <c:pt idx="1">
                  <c:v>423</c:v>
                </c:pt>
                <c:pt idx="2">
                  <c:v>457</c:v>
                </c:pt>
                <c:pt idx="3">
                  <c:v>485</c:v>
                </c:pt>
                <c:pt idx="4">
                  <c:v>505</c:v>
                </c:pt>
              </c:numCache>
            </c:numRef>
          </c:val>
          <c:extLst>
            <c:ext xmlns:c16="http://schemas.microsoft.com/office/drawing/2014/chart" uri="{C3380CC4-5D6E-409C-BE32-E72D297353CC}">
              <c16:uniqueId val="{00000017-8CCC-4D9A-A756-12DB5A02F727}"/>
            </c:ext>
          </c:extLst>
        </c:ser>
        <c:dLbls>
          <c:showLegendKey val="0"/>
          <c:showVal val="1"/>
          <c:showCatName val="0"/>
          <c:showSerName val="0"/>
          <c:showPercent val="0"/>
          <c:showBubbleSize val="0"/>
        </c:dLbls>
        <c:gapWidth val="150"/>
        <c:shape val="box"/>
        <c:axId val="700285984"/>
        <c:axId val="700282456"/>
        <c:axId val="0"/>
      </c:bar3DChart>
      <c:catAx>
        <c:axId val="700285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0282456"/>
        <c:crosses val="autoZero"/>
        <c:auto val="1"/>
        <c:lblAlgn val="ctr"/>
        <c:lblOffset val="100"/>
        <c:noMultiLvlLbl val="0"/>
      </c:catAx>
      <c:valAx>
        <c:axId val="70028245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0285984"/>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1</a:t>
          </a:r>
          <a:r>
            <a:rPr lang="en-CA" sz="850" baseline="0"/>
            <a:t> 776</a:t>
          </a:r>
          <a:endParaRPr lang="en-CA" sz="850"/>
        </a:p>
      </cdr:txBody>
    </cdr:sp>
  </cdr:relSizeAnchor>
</c:userShapes>
</file>

<file path=word/drawings/drawing10.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0.29039</cdr:x>
      <cdr:y>0.20168</cdr:y>
    </cdr:from>
    <cdr:to>
      <cdr:x>0.29178</cdr:x>
      <cdr:y>0.7517</cdr:y>
    </cdr:to>
    <cdr:cxnSp macro="">
      <cdr:nvCxnSpPr>
        <cdr:cNvPr id="5" name="Straight Connector 4" descr="Median line fof the specified organization's internal time to staff graphic"/>
        <cdr:cNvCxnSpPr/>
      </cdr:nvCxnSpPr>
      <cdr:spPr>
        <a:xfrm xmlns:a="http://schemas.openxmlformats.org/drawingml/2006/main" flipV="1">
          <a:off x="1277867" y="559017"/>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0.1533</cdr:x>
      <cdr:y>0.9079</cdr:y>
    </cdr:from>
    <cdr:to>
      <cdr:x>0.8294</cdr:x>
      <cdr:y>1</cdr:y>
    </cdr:to>
    <cdr:sp macro="" textlink="">
      <cdr:nvSpPr>
        <cdr:cNvPr id="4" name="Text Box 2"/>
        <cdr:cNvSpPr txBox="1">
          <a:spLocks xmlns:a="http://schemas.openxmlformats.org/drawingml/2006/main" noChangeArrowheads="1"/>
        </cdr:cNvSpPr>
      </cdr:nvSpPr>
      <cdr:spPr bwMode="auto">
        <a:xfrm xmlns:a="http://schemas.openxmlformats.org/drawingml/2006/main">
          <a:off x="247650" y="2260599"/>
          <a:ext cx="1092196" cy="22544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ctr"/>
          <a:r>
            <a:rPr lang="en-CA" sz="850"/>
            <a:t>Unknowns=161</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470</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5.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downward movements, deployments and acting appointments  of less than 4 months</a:t>
          </a:r>
        </a:p>
        <a:p xmlns:a="http://schemas.openxmlformats.org/drawingml/2006/main">
          <a:pPr>
            <a:lnSpc>
              <a:spcPts val="900"/>
            </a:lnSpc>
          </a:pPr>
          <a:r>
            <a:rPr lang="en-CA" sz="850" baseline="0"/>
            <a:t>-Includes only appointments where the staffing process type is known </a:t>
          </a:r>
          <a:r>
            <a:rPr lang="en-CA" sz="850" baseline="0">
              <a:solidFill>
                <a:sysClr val="windowText" lastClr="000000"/>
              </a:solidFill>
            </a:rPr>
            <a:t>(62% to 76</a:t>
          </a:r>
          <a:r>
            <a:rPr lang="en-CA" sz="850" baseline="0"/>
            <a:t>% of appointments)</a:t>
          </a:r>
          <a:endParaRPr lang="en-CA" sz="850"/>
        </a:p>
      </cdr:txBody>
    </cdr:sp>
  </cdr:relSizeAnchor>
</c:userShapes>
</file>

<file path=word/drawings/drawing6.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 </a:t>
          </a:r>
          <a:r>
            <a:rPr lang="en-CA" sz="800"/>
            <a:t>Hires with experience in a federal student recruitment program within the last 10 years</a:t>
          </a:r>
        </a:p>
      </cdr:txBody>
    </cdr: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0.28455</cdr:x>
      <cdr:y>0.20654</cdr:y>
    </cdr:from>
    <cdr:to>
      <cdr:x>0.28594</cdr:x>
      <cdr:y>0.75656</cdr:y>
    </cdr:to>
    <cdr:cxnSp macro="">
      <cdr:nvCxnSpPr>
        <cdr:cNvPr id="5" name="Straight Connector 4" descr="Median line fof the specified organization's internal time to staff graphic"/>
        <cdr:cNvCxnSpPr/>
      </cdr:nvCxnSpPr>
      <cdr:spPr>
        <a:xfrm xmlns:a="http://schemas.openxmlformats.org/drawingml/2006/main" flipV="1">
          <a:off x="1252194" y="572472"/>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C390C1927A45F4A866C797C77019EB"/>
        <w:category>
          <w:name w:val="Général"/>
          <w:gallery w:val="placeholder"/>
        </w:category>
        <w:types>
          <w:type w:val="bbPlcHdr"/>
        </w:types>
        <w:behaviors>
          <w:behavior w:val="content"/>
        </w:behaviors>
        <w:guid w:val="{51D66994-0777-48FE-A26E-E951F9D0BBCD}"/>
      </w:docPartPr>
      <w:docPartBody>
        <w:p w:rsidR="00C04640" w:rsidRDefault="0086646F" w:rsidP="0086646F">
          <w:pPr>
            <w:pStyle w:val="70C390C1927A45F4A866C797C77019EB"/>
          </w:pPr>
          <w:r w:rsidRPr="002B4FFD">
            <w:rPr>
              <w:rFonts w:eastAsia="Arial" w:cs="Arial"/>
              <w:color w:val="A6A6A6" w:themeColor="background1" w:themeShade="A6"/>
              <w:kern w:val="2"/>
              <w:lang w:val="en-US" w:eastAsia="ja-JP"/>
              <w14:ligatures w14:val="standard"/>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6F"/>
    <w:rsid w:val="00002875"/>
    <w:rsid w:val="001E01B7"/>
    <w:rsid w:val="001E5AFF"/>
    <w:rsid w:val="00285088"/>
    <w:rsid w:val="00287A33"/>
    <w:rsid w:val="00340BBA"/>
    <w:rsid w:val="00423B45"/>
    <w:rsid w:val="00552588"/>
    <w:rsid w:val="005B6912"/>
    <w:rsid w:val="006A4045"/>
    <w:rsid w:val="006E63B5"/>
    <w:rsid w:val="00714AA9"/>
    <w:rsid w:val="00786BE0"/>
    <w:rsid w:val="007B588E"/>
    <w:rsid w:val="0086646F"/>
    <w:rsid w:val="00893061"/>
    <w:rsid w:val="008F027B"/>
    <w:rsid w:val="00960203"/>
    <w:rsid w:val="00BC5614"/>
    <w:rsid w:val="00BE1916"/>
    <w:rsid w:val="00C04640"/>
    <w:rsid w:val="00C24B41"/>
    <w:rsid w:val="00D11CCF"/>
    <w:rsid w:val="00D17167"/>
    <w:rsid w:val="00D7690A"/>
    <w:rsid w:val="00DF6107"/>
    <w:rsid w:val="00EB59A6"/>
    <w:rsid w:val="00F1793B"/>
    <w:rsid w:val="00F642C7"/>
    <w:rsid w:val="00F90313"/>
    <w:rsid w:val="00FD7510"/>
    <w:rsid w:val="00FE04E1"/>
    <w:rsid w:val="00FF5385"/>
    <w:rsid w:val="00FF78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C390C1927A45F4A866C797C77019EB">
    <w:name w:val="70C390C1927A45F4A866C797C77019EB"/>
    <w:rsid w:val="00866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86289-CBCC-47D1-8FE6-53331035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PSC-Letterhead-Corpo2019.dotx</Template>
  <TotalTime>0</TotalTime>
  <Pages>32</Pages>
  <Words>5580</Words>
  <Characters>31809</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Snjezana Kulic</cp:lastModifiedBy>
  <cp:revision>2</cp:revision>
  <dcterms:created xsi:type="dcterms:W3CDTF">2022-03-04T21:26:00Z</dcterms:created>
  <dcterms:modified xsi:type="dcterms:W3CDTF">2022-03-04T21:26:00Z</dcterms:modified>
</cp:coreProperties>
</file>