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4.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5.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3.xml" ContentType="application/vnd.openxmlformats-officedocument.wordprocessingml.footer+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6.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7.xml" ContentType="application/vnd.openxmlformats-officedocument.drawingml.chartshapes+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8.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9.xml" ContentType="application/vnd.openxmlformats-officedocument.drawingml.chartshapes+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10.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97286" w14:textId="4B90B366" w:rsidR="005719F2" w:rsidRPr="00CC6400" w:rsidRDefault="003A5FB2" w:rsidP="00CC6400">
      <w:pPr>
        <w:pStyle w:val="Title"/>
        <w:spacing w:after="240"/>
        <w:rPr>
          <w:sz w:val="52"/>
          <w:szCs w:val="52"/>
        </w:rPr>
      </w:pPr>
      <w:r w:rsidRPr="00CC6400">
        <w:rPr>
          <w:sz w:val="52"/>
          <w:szCs w:val="52"/>
        </w:rPr>
        <w:t>Réunion de Patrick Borbey, président de la CFP et M</w:t>
      </w:r>
      <w:r w:rsidR="004B2F46" w:rsidRPr="00CC6400">
        <w:rPr>
          <w:sz w:val="52"/>
          <w:szCs w:val="52"/>
        </w:rPr>
        <w:t>. Jean</w:t>
      </w:r>
      <w:r w:rsidR="004B2F46" w:rsidRPr="00CC6400">
        <w:rPr>
          <w:sz w:val="52"/>
          <w:szCs w:val="52"/>
        </w:rPr>
        <w:noBreakHyphen/>
        <w:t xml:space="preserve">François Tremblay, </w:t>
      </w:r>
      <w:r w:rsidRPr="00CC6400">
        <w:rPr>
          <w:sz w:val="52"/>
          <w:szCs w:val="52"/>
        </w:rPr>
        <w:t>Sous-ministre, Ressources naturelles</w:t>
      </w:r>
      <w:r w:rsidR="004B2F46" w:rsidRPr="00CC6400">
        <w:rPr>
          <w:sz w:val="52"/>
          <w:szCs w:val="52"/>
        </w:rPr>
        <w:t xml:space="preserve"> Canada </w:t>
      </w:r>
    </w:p>
    <w:p w14:paraId="6BFB366D" w14:textId="1E80A577" w:rsidR="001D5063" w:rsidRPr="00CC6400" w:rsidRDefault="003A5FB2" w:rsidP="00CC6400">
      <w:pPr>
        <w:pStyle w:val="Title"/>
        <w:spacing w:after="240"/>
        <w:rPr>
          <w:sz w:val="52"/>
          <w:szCs w:val="52"/>
        </w:rPr>
      </w:pPr>
      <w:r w:rsidRPr="00CC6400">
        <w:rPr>
          <w:sz w:val="52"/>
          <w:szCs w:val="52"/>
        </w:rPr>
        <w:t>*Information valide en date du 5 novembre </w:t>
      </w:r>
      <w:r w:rsidR="001D5063" w:rsidRPr="00CC6400">
        <w:rPr>
          <w:sz w:val="52"/>
          <w:szCs w:val="52"/>
        </w:rPr>
        <w:t>2020</w:t>
      </w:r>
    </w:p>
    <w:p w14:paraId="539C0A1F" w14:textId="77777777" w:rsidR="007378D3" w:rsidRPr="006277B2" w:rsidRDefault="000A5B54" w:rsidP="004B2F46">
      <w:pPr>
        <w:pStyle w:val="Heading1"/>
      </w:pPr>
      <w:r>
        <w:t>Introduction</w:t>
      </w:r>
    </w:p>
    <w:p w14:paraId="5AACB747" w14:textId="3BF05E8B" w:rsidR="007378D3" w:rsidRPr="006277B2" w:rsidRDefault="007C263C" w:rsidP="00CC6400">
      <w:pPr>
        <w:pStyle w:val="Heading2"/>
        <w:spacing w:before="40"/>
      </w:pPr>
      <w:r w:rsidRPr="007C263C">
        <w:t>Administrateur général</w:t>
      </w:r>
    </w:p>
    <w:p w14:paraId="2D230E54" w14:textId="2C25CE08" w:rsidR="007378D3" w:rsidRPr="003D3FDC" w:rsidRDefault="005966C1" w:rsidP="00072A3C">
      <w:pPr>
        <w:pStyle w:val="NoSpacing"/>
      </w:pPr>
      <w:r w:rsidRPr="003D3FDC">
        <w:t>Monsieur Jean-François Tremblay a été nommé administrateur général de Ressources naturelles Canada (</w:t>
      </w:r>
      <w:proofErr w:type="spellStart"/>
      <w:r w:rsidRPr="003D3FDC">
        <w:t>RNCan</w:t>
      </w:r>
      <w:proofErr w:type="spellEnd"/>
      <w:r w:rsidRPr="003D3FDC">
        <w:t>) le 21 septembre 2020. Il a également été nommé président de l’Office de répartition des approvisionnements d</w:t>
      </w:r>
      <w:r w:rsidR="00F0212D" w:rsidRPr="003D3FDC">
        <w:t>’</w:t>
      </w:r>
      <w:r w:rsidRPr="003D3FDC">
        <w:t>énergie, qui continue d’être inactif sur le plan opérationnel, sauf en cas d’urgence (comme une guerre).</w:t>
      </w:r>
    </w:p>
    <w:p w14:paraId="7902FA35" w14:textId="6E0E56E4" w:rsidR="001520FE" w:rsidRPr="00D67CC2" w:rsidRDefault="00D67CC0" w:rsidP="00072A3C">
      <w:pPr>
        <w:pStyle w:val="NoSpacing"/>
      </w:pPr>
      <w:r w:rsidRPr="00D67CC2">
        <w:t xml:space="preserve">M. Tremblay </w:t>
      </w:r>
      <w:r w:rsidR="00D67CC2" w:rsidRPr="00D67CC2">
        <w:t>exerce l’autorité de la Commission de la fonction publique (CFP) en tant qu’administrateur général pour la quatrième fois</w:t>
      </w:r>
      <w:r w:rsidR="00D67CC2">
        <w:t xml:space="preserve">. </w:t>
      </w:r>
      <w:r w:rsidR="00D67CC2" w:rsidRPr="00D67CC2">
        <w:t>Une copie du document Faits Saillants de la Nouvelle orientation en dotation (NOD) pour les AG est jointe à l’</w:t>
      </w:r>
      <w:hyperlink w:anchor="Annexe_A" w:history="1">
        <w:r w:rsidR="00D67CC2" w:rsidRPr="00D67CC2">
          <w:rPr>
            <w:rStyle w:val="Hyperlink"/>
          </w:rPr>
          <w:t>annexe A</w:t>
        </w:r>
      </w:hyperlink>
      <w:r w:rsidR="00D67CC2" w:rsidRPr="00D67CC2">
        <w:t>.</w:t>
      </w:r>
    </w:p>
    <w:p w14:paraId="49D28C64" w14:textId="5C0ADCFA" w:rsidR="00600B94" w:rsidRPr="00CC6400" w:rsidRDefault="00D67CC2" w:rsidP="004B2F46">
      <w:pPr>
        <w:pStyle w:val="Heading3"/>
        <w:rPr>
          <w:rFonts w:ascii="Segoe UI" w:hAnsi="Segoe UI" w:cs="Segoe UI"/>
          <w:b/>
          <w:bCs/>
        </w:rPr>
      </w:pPr>
      <w:r w:rsidRPr="00CC6400">
        <w:rPr>
          <w:rFonts w:ascii="Segoe UI" w:hAnsi="Segoe UI" w:cs="Segoe UI"/>
          <w:b/>
          <w:bCs/>
        </w:rPr>
        <w:t>Sous-ministres champions des relations universitaires</w:t>
      </w:r>
    </w:p>
    <w:p w14:paraId="71B42363" w14:textId="77D6F1E2" w:rsidR="00972F32" w:rsidRPr="00D67CC2" w:rsidRDefault="00D67CC2" w:rsidP="00072A3C">
      <w:pPr>
        <w:pStyle w:val="NoSpacing"/>
      </w:pPr>
      <w:r w:rsidRPr="00D67CC2">
        <w:t>En ta</w:t>
      </w:r>
      <w:r>
        <w:t>nt que sous-ministre champion</w:t>
      </w:r>
      <w:r w:rsidRPr="00D67CC2">
        <w:t xml:space="preserve"> des relations universitaires,</w:t>
      </w:r>
      <w:r>
        <w:t xml:space="preserve"> </w:t>
      </w:r>
      <w:r w:rsidR="00600B94" w:rsidRPr="00D67CC2">
        <w:t xml:space="preserve">M. Tremblay </w:t>
      </w:r>
      <w:r w:rsidRPr="00D67CC2">
        <w:t>joue un rôle clé dans le renouvellement de la fonction publique en cultivant des relations entre la CFP du Canada et</w:t>
      </w:r>
      <w:r>
        <w:t xml:space="preserve"> l’</w:t>
      </w:r>
      <w:r w:rsidR="00600B94" w:rsidRPr="00D67CC2">
        <w:t>Université Laval.</w:t>
      </w:r>
    </w:p>
    <w:p w14:paraId="773A7C5D" w14:textId="687F97BF" w:rsidR="00461BC6" w:rsidRPr="00F64B02" w:rsidRDefault="00C07F74" w:rsidP="00CC6400">
      <w:pPr>
        <w:pStyle w:val="NoSpacing"/>
        <w:spacing w:after="0"/>
      </w:pPr>
      <w:r w:rsidRPr="00F64B02">
        <w:t>La CFP a appuyé différents événements à cette Université, dont les suivants :</w:t>
      </w:r>
    </w:p>
    <w:p w14:paraId="19C20282" w14:textId="0E316848" w:rsidR="00461BC6" w:rsidRPr="00F64B02" w:rsidRDefault="00461BC6" w:rsidP="0074458B">
      <w:pPr>
        <w:pStyle w:val="NoSpacing"/>
        <w:numPr>
          <w:ilvl w:val="0"/>
          <w:numId w:val="16"/>
        </w:numPr>
        <w:spacing w:after="0"/>
        <w:ind w:hanging="357"/>
      </w:pPr>
      <w:r w:rsidRPr="00F64B02">
        <w:t>En novembre 2019, le bureau régional du Québec de la CFP a pris part aux activités suivantes :</w:t>
      </w:r>
    </w:p>
    <w:p w14:paraId="42E6FF7B" w14:textId="194FE60F" w:rsidR="00461BC6" w:rsidRPr="00F64B02" w:rsidRDefault="00DC1044" w:rsidP="0074458B">
      <w:pPr>
        <w:pStyle w:val="NoSpacing"/>
        <w:numPr>
          <w:ilvl w:val="1"/>
          <w:numId w:val="16"/>
        </w:numPr>
        <w:spacing w:after="0"/>
        <w:ind w:hanging="357"/>
      </w:pPr>
      <w:r w:rsidRPr="00F64B02">
        <w:t xml:space="preserve">La Semaine de la fonction publique de l’Université Laval, un événement annuel qui comprend des salons de l’emploi et des présentations de tous les ordres du gouvernement. </w:t>
      </w:r>
    </w:p>
    <w:p w14:paraId="32E3EBC0" w14:textId="2355DF8C" w:rsidR="00461BC6" w:rsidRPr="00F64B02" w:rsidRDefault="00CD3EE9" w:rsidP="0074458B">
      <w:pPr>
        <w:pStyle w:val="NoSpacing"/>
        <w:numPr>
          <w:ilvl w:val="1"/>
          <w:numId w:val="16"/>
        </w:numPr>
        <w:spacing w:after="0"/>
        <w:ind w:hanging="357"/>
      </w:pPr>
      <w:r w:rsidRPr="00F64B02">
        <w:t>Le mini-</w:t>
      </w:r>
      <w:r w:rsidR="00DC1044" w:rsidRPr="00F64B02">
        <w:t>salon de l’emploi de l’Université Laval, dont l’objectif était de faire la promotion des emplois au sein du gouvernement du Canada auprès des étudiants autochtones.</w:t>
      </w:r>
    </w:p>
    <w:p w14:paraId="6CD7E4F6" w14:textId="3FA8C53C" w:rsidR="00461BC6" w:rsidRPr="00F64B02" w:rsidRDefault="00461BC6" w:rsidP="0074458B">
      <w:pPr>
        <w:pStyle w:val="NoSpacing"/>
        <w:numPr>
          <w:ilvl w:val="0"/>
          <w:numId w:val="16"/>
        </w:numPr>
        <w:ind w:hanging="357"/>
      </w:pPr>
      <w:r w:rsidRPr="00F64B02">
        <w:t>Le bureau régional du Québec de la CFP a également participé à un salon de l’emploi virtuel à l’Université Laval le 6 octobre 2020.</w:t>
      </w:r>
    </w:p>
    <w:p w14:paraId="3177A4C2" w14:textId="4D57DEB3" w:rsidR="00461BC6" w:rsidRPr="00C1596D" w:rsidRDefault="00461BC6" w:rsidP="00072A3C">
      <w:pPr>
        <w:pStyle w:val="NoSpacing"/>
      </w:pPr>
      <w:r w:rsidRPr="00F64B02">
        <w:t xml:space="preserve">Un comité de travail réunissant des représentants désignés des </w:t>
      </w:r>
      <w:r w:rsidR="00F64B02">
        <w:t>s</w:t>
      </w:r>
      <w:r w:rsidR="00F64B02" w:rsidRPr="00F64B02">
        <w:t xml:space="preserve">ous-ministres champions des relations universitaires </w:t>
      </w:r>
      <w:r w:rsidRPr="00F64B02">
        <w:t xml:space="preserve">de l’ensemble de la région du Québec a été formé avant la pandémie de COVID-19. Il avait pour objectif de réunir des représentants, de partager de l’information et des </w:t>
      </w:r>
      <w:r w:rsidRPr="00F64B02">
        <w:lastRenderedPageBreak/>
        <w:t>pratiques exemplaires, et de déterminer les possibilités de collaboration dans le cadre d’initiatives avec la CFP. M. Tremblay a désigné un représentant qui est membre de ce comité. Ce comité devrait se réunir au cours des prochaines semaines.</w:t>
      </w:r>
    </w:p>
    <w:p w14:paraId="4F9A30C7" w14:textId="4CFB9324" w:rsidR="007378D3" w:rsidRPr="006277B2" w:rsidRDefault="002530A7" w:rsidP="004B2F46">
      <w:pPr>
        <w:pStyle w:val="Heading1"/>
      </w:pPr>
      <w:r w:rsidRPr="002530A7">
        <w:t>Contexte organisationnel</w:t>
      </w:r>
    </w:p>
    <w:p w14:paraId="3E48DFDD" w14:textId="6A48B9D9" w:rsidR="004B2F46" w:rsidRPr="006277B2" w:rsidRDefault="00AE71A6" w:rsidP="00CC6400">
      <w:pPr>
        <w:pStyle w:val="Heading2"/>
        <w:spacing w:before="40"/>
        <w:rPr>
          <w:u w:val="single"/>
        </w:rPr>
      </w:pPr>
      <w:r>
        <w:t>Mandat</w:t>
      </w:r>
    </w:p>
    <w:p w14:paraId="60154AAE" w14:textId="2F251FFC" w:rsidR="00AE71A6" w:rsidRPr="002530A7" w:rsidRDefault="009C285D" w:rsidP="00072A3C">
      <w:pPr>
        <w:pStyle w:val="NoSpacing"/>
      </w:pPr>
      <w:proofErr w:type="spellStart"/>
      <w:r w:rsidRPr="002530A7">
        <w:t>RNCan</w:t>
      </w:r>
      <w:proofErr w:type="spellEnd"/>
      <w:r w:rsidRPr="002530A7">
        <w:t xml:space="preserve"> élabore des politiques et des programmes qui renforcent la contribution du secteur des ressources naturelles à l’économie et améliorent la qualité de vie de tous les Canadiens. Il dirige également des travaux scientifiques innovateurs dans tous les coins du pays pour stimuler les idées et transférer les technologies. De plus, le Ministère défend les intérêts internationaux du Canada et aide le pays à s’acquitter de ses obligations internationales à l’égard du développement durable des ressources naturelles.</w:t>
      </w:r>
    </w:p>
    <w:p w14:paraId="4D192097" w14:textId="5D346720" w:rsidR="004B2F46" w:rsidRPr="006277B2" w:rsidRDefault="002530A7" w:rsidP="00CC6400">
      <w:pPr>
        <w:pStyle w:val="Heading2"/>
        <w:spacing w:before="40"/>
      </w:pPr>
      <w:r>
        <w:t>Défis</w:t>
      </w:r>
    </w:p>
    <w:p w14:paraId="35A1D0F0" w14:textId="479C2A8C" w:rsidR="009C285D" w:rsidRPr="002530A7" w:rsidRDefault="00586E1D" w:rsidP="00072A3C">
      <w:pPr>
        <w:pStyle w:val="NoSpacing"/>
      </w:pPr>
      <w:r w:rsidRPr="002530A7">
        <w:t xml:space="preserve">Puisque l’effectif scientifique de </w:t>
      </w:r>
      <w:proofErr w:type="spellStart"/>
      <w:r w:rsidRPr="002530A7">
        <w:t>RNCan</w:t>
      </w:r>
      <w:proofErr w:type="spellEnd"/>
      <w:r w:rsidRPr="002530A7">
        <w:t xml:space="preserve"> est hautement spécialisé, cela complique la dotation et le recrutement. L’organisme embauche souvent des scientifiques d’autres pays, ce qui peut entraîner des délais lors du recrutement de scientifiques ayant des titres de compétence étrangers qui doivent peut-être aussi obtenir un permis de travail.  </w:t>
      </w:r>
    </w:p>
    <w:p w14:paraId="3CBC047B" w14:textId="4AE420F9" w:rsidR="00AE71A6" w:rsidRPr="006277B2" w:rsidRDefault="002530A7" w:rsidP="00CC6400">
      <w:pPr>
        <w:pStyle w:val="Heading2"/>
        <w:spacing w:before="40"/>
        <w:rPr>
          <w:u w:val="single"/>
        </w:rPr>
      </w:pPr>
      <w:r>
        <w:t>Expérimentation</w:t>
      </w:r>
    </w:p>
    <w:p w14:paraId="613011CF" w14:textId="67C05318" w:rsidR="004A550B" w:rsidRPr="002530A7" w:rsidRDefault="004A550B" w:rsidP="00CC6400">
      <w:pPr>
        <w:pStyle w:val="NoSpacing"/>
        <w:spacing w:after="0"/>
      </w:pPr>
      <w:proofErr w:type="spellStart"/>
      <w:r w:rsidRPr="002530A7">
        <w:t>RNCan</w:t>
      </w:r>
      <w:proofErr w:type="spellEnd"/>
      <w:r w:rsidRPr="002530A7">
        <w:t xml:space="preserve"> a servi de ministère d’attache pour le premier centre d’agents libres du Canada. D’autres centres sont également en place au sein du Secrétariat du Conseil du Trésor, de Transports Canada et de l’École de la fonction publique du Canada.</w:t>
      </w:r>
    </w:p>
    <w:p w14:paraId="1A14151B" w14:textId="404628AF" w:rsidR="004A550B" w:rsidRPr="002530A7" w:rsidRDefault="004A550B" w:rsidP="0074458B">
      <w:pPr>
        <w:pStyle w:val="NoSpacing"/>
        <w:numPr>
          <w:ilvl w:val="0"/>
          <w:numId w:val="15"/>
        </w:numPr>
        <w:spacing w:after="0"/>
        <w:ind w:left="714" w:hanging="357"/>
      </w:pPr>
      <w:r w:rsidRPr="002530A7">
        <w:t>Ce programme est un nouveau modèle de mobilité de la main-d’</w:t>
      </w:r>
      <w:r w:rsidR="00F0212D" w:rsidRPr="002530A7">
        <w:t>œ</w:t>
      </w:r>
      <w:r w:rsidRPr="002530A7">
        <w:t>uvre lancé en 2016. Il s’inspire d’un rapport produit en 2012 par Deloitte, intitulé « </w:t>
      </w:r>
      <w:proofErr w:type="spellStart"/>
      <w:r w:rsidRPr="002530A7">
        <w:t>GovCloud</w:t>
      </w:r>
      <w:proofErr w:type="spellEnd"/>
      <w:r w:rsidRPr="002530A7">
        <w:t xml:space="preserve">: the Future of </w:t>
      </w:r>
      <w:proofErr w:type="spellStart"/>
      <w:r w:rsidRPr="002530A7">
        <w:t>Government</w:t>
      </w:r>
      <w:proofErr w:type="spellEnd"/>
      <w:r w:rsidRPr="002530A7">
        <w:t xml:space="preserve"> Work ».</w:t>
      </w:r>
    </w:p>
    <w:p w14:paraId="2E503E4B" w14:textId="3FB2545A" w:rsidR="004A550B" w:rsidRPr="002530A7" w:rsidRDefault="004A550B" w:rsidP="0074458B">
      <w:pPr>
        <w:pStyle w:val="NoSpacing"/>
        <w:numPr>
          <w:ilvl w:val="0"/>
          <w:numId w:val="15"/>
        </w:numPr>
        <w:spacing w:after="0"/>
        <w:ind w:left="714" w:hanging="357"/>
      </w:pPr>
      <w:r w:rsidRPr="002530A7">
        <w:t xml:space="preserve">Les agents libres sont embauchés dans le cadre de </w:t>
      </w:r>
      <w:r w:rsidR="002530A7" w:rsidRPr="002530A7">
        <w:t xml:space="preserve">mutations </w:t>
      </w:r>
      <w:r w:rsidRPr="002530A7">
        <w:t>au même niveau dans un ministère d’attache.</w:t>
      </w:r>
    </w:p>
    <w:p w14:paraId="5A7EC78E" w14:textId="77777777" w:rsidR="004A550B" w:rsidRPr="002530A7" w:rsidRDefault="004A550B" w:rsidP="0074458B">
      <w:pPr>
        <w:pStyle w:val="NoSpacing"/>
        <w:numPr>
          <w:ilvl w:val="0"/>
          <w:numId w:val="15"/>
        </w:numPr>
        <w:spacing w:after="0"/>
        <w:ind w:left="714" w:hanging="357"/>
      </w:pPr>
      <w:r w:rsidRPr="002530A7">
        <w:t>Le nom des agents libres est ensuite sélectionné depuis le centre en vue d’affectations fondées sur un projet dans des ministères d’accueil.</w:t>
      </w:r>
    </w:p>
    <w:p w14:paraId="662329FD" w14:textId="74C9EDA0" w:rsidR="004A550B" w:rsidRPr="002530A7" w:rsidRDefault="004A550B" w:rsidP="0074458B">
      <w:pPr>
        <w:pStyle w:val="NoSpacing"/>
        <w:numPr>
          <w:ilvl w:val="0"/>
          <w:numId w:val="15"/>
        </w:numPr>
      </w:pPr>
      <w:r w:rsidRPr="002530A7">
        <w:t>Le centre gère les processus de RH. Les organismes d’accueil doivent payer des frais d’administration au centre.</w:t>
      </w:r>
    </w:p>
    <w:p w14:paraId="706ED812" w14:textId="6FB372B9" w:rsidR="00C82E11" w:rsidRPr="00C0157E" w:rsidRDefault="002530A7" w:rsidP="00072A3C">
      <w:pPr>
        <w:pStyle w:val="Heading1"/>
      </w:pPr>
      <w:r w:rsidRPr="002530A7">
        <w:t>Effectif et activités de dotation</w:t>
      </w:r>
    </w:p>
    <w:p w14:paraId="05D76EA8" w14:textId="280261E2" w:rsidR="00C82E11" w:rsidRPr="00C0157E" w:rsidRDefault="002530A7" w:rsidP="00CC6400">
      <w:pPr>
        <w:pStyle w:val="Heading2"/>
        <w:spacing w:before="40"/>
        <w:rPr>
          <w:u w:val="single"/>
        </w:rPr>
      </w:pPr>
      <w:r w:rsidRPr="002530A7">
        <w:t>Effectif</w:t>
      </w:r>
    </w:p>
    <w:p w14:paraId="4D4CD614" w14:textId="2644F28D" w:rsidR="007378D3" w:rsidRPr="002530A7" w:rsidRDefault="009C285D" w:rsidP="00072A3C">
      <w:pPr>
        <w:pStyle w:val="NoSpacing"/>
      </w:pPr>
      <w:proofErr w:type="spellStart"/>
      <w:r w:rsidRPr="002530A7">
        <w:t>RNCan</w:t>
      </w:r>
      <w:proofErr w:type="spellEnd"/>
      <w:r w:rsidRPr="002530A7">
        <w:t xml:space="preserve"> est un organisme de grande taille qui compte 4 701 employés (en date du 31</w:t>
      </w:r>
      <w:r w:rsidR="00F0212D" w:rsidRPr="002530A7">
        <w:t> </w:t>
      </w:r>
      <w:r w:rsidRPr="002530A7">
        <w:t>mars</w:t>
      </w:r>
      <w:r w:rsidR="00F0212D" w:rsidRPr="002530A7">
        <w:t> </w:t>
      </w:r>
      <w:r w:rsidRPr="002530A7">
        <w:t xml:space="preserve">2020). Au cours de l’exercice financier de 2019-2020, il a réalisé 2 741 mesures de dotation. </w:t>
      </w:r>
    </w:p>
    <w:p w14:paraId="5D976CC8" w14:textId="30334B5B" w:rsidR="00C82E11" w:rsidRPr="00CC6400" w:rsidRDefault="00C82E11" w:rsidP="00CC6400">
      <w:pPr>
        <w:pStyle w:val="Heading1"/>
        <w:spacing w:before="40"/>
        <w:rPr>
          <w:rFonts w:ascii="Segoe UI" w:hAnsi="Segoe UI" w:cs="Segoe UI"/>
          <w:b/>
          <w:bCs/>
          <w:color w:val="5B315E" w:themeColor="accent2"/>
          <w:sz w:val="32"/>
          <w:szCs w:val="32"/>
          <w:u w:val="single"/>
        </w:rPr>
      </w:pPr>
      <w:r w:rsidRPr="00CC6400">
        <w:rPr>
          <w:rFonts w:ascii="Segoe UI" w:hAnsi="Segoe UI" w:cs="Segoe UI"/>
          <w:b/>
          <w:bCs/>
          <w:color w:val="5B315E" w:themeColor="accent2"/>
          <w:sz w:val="32"/>
          <w:szCs w:val="32"/>
        </w:rPr>
        <w:lastRenderedPageBreak/>
        <w:t>Activit</w:t>
      </w:r>
      <w:r w:rsidR="002530A7" w:rsidRPr="00CC6400">
        <w:rPr>
          <w:rFonts w:ascii="Segoe UI" w:hAnsi="Segoe UI" w:cs="Segoe UI"/>
          <w:b/>
          <w:bCs/>
          <w:color w:val="5B315E" w:themeColor="accent2"/>
          <w:sz w:val="32"/>
          <w:szCs w:val="32"/>
        </w:rPr>
        <w:t>é</w:t>
      </w:r>
      <w:r w:rsidRPr="00CC6400">
        <w:rPr>
          <w:rFonts w:ascii="Segoe UI" w:hAnsi="Segoe UI" w:cs="Segoe UI"/>
          <w:b/>
          <w:bCs/>
          <w:color w:val="5B315E" w:themeColor="accent2"/>
          <w:sz w:val="32"/>
          <w:szCs w:val="32"/>
        </w:rPr>
        <w:t>s</w:t>
      </w:r>
      <w:r w:rsidR="002530A7" w:rsidRPr="00CC6400">
        <w:rPr>
          <w:rFonts w:ascii="Segoe UI" w:hAnsi="Segoe UI" w:cs="Segoe UI"/>
          <w:b/>
          <w:bCs/>
          <w:color w:val="5B315E" w:themeColor="accent2"/>
          <w:sz w:val="32"/>
          <w:szCs w:val="32"/>
        </w:rPr>
        <w:t xml:space="preserve"> de dotation</w:t>
      </w:r>
    </w:p>
    <w:p w14:paraId="3462174B" w14:textId="5D69A3E2" w:rsidR="007378D3" w:rsidRPr="00D742F5" w:rsidRDefault="007378D3" w:rsidP="00CC6400">
      <w:pPr>
        <w:pStyle w:val="NoSpacing"/>
        <w:spacing w:after="0"/>
      </w:pPr>
      <w:r w:rsidRPr="00D742F5">
        <w:t xml:space="preserve">En 2019-2020, </w:t>
      </w:r>
      <w:proofErr w:type="spellStart"/>
      <w:r w:rsidRPr="00D742F5">
        <w:t>RNCan</w:t>
      </w:r>
      <w:proofErr w:type="spellEnd"/>
      <w:r w:rsidRPr="00D742F5">
        <w:t xml:space="preserve"> a procédé à un total de 2 741</w:t>
      </w:r>
      <w:r w:rsidR="00F0212D" w:rsidRPr="00D742F5">
        <w:t> </w:t>
      </w:r>
      <w:r w:rsidRPr="00D742F5">
        <w:t>activités de dotation</w:t>
      </w:r>
      <w:r w:rsidR="00F0212D" w:rsidRPr="00D742F5">
        <w:t> </w:t>
      </w:r>
      <w:r w:rsidRPr="00D742F5">
        <w:t>:</w:t>
      </w:r>
    </w:p>
    <w:p w14:paraId="322473CF" w14:textId="10D5F4CF" w:rsidR="007378D3" w:rsidRPr="00D742F5" w:rsidRDefault="0076524A" w:rsidP="0074458B">
      <w:pPr>
        <w:pStyle w:val="NoSpacing"/>
        <w:numPr>
          <w:ilvl w:val="0"/>
          <w:numId w:val="14"/>
        </w:numPr>
        <w:spacing w:after="0"/>
        <w:ind w:left="714" w:hanging="357"/>
      </w:pPr>
      <w:r w:rsidRPr="00D742F5">
        <w:t xml:space="preserve">550 nominations </w:t>
      </w:r>
      <w:r w:rsidR="00D742F5" w:rsidRPr="00D742F5">
        <w:t>à</w:t>
      </w:r>
      <w:r w:rsidRPr="00D742F5">
        <w:t xml:space="preserve"> la fonction publique;</w:t>
      </w:r>
    </w:p>
    <w:p w14:paraId="3B7BA4B1" w14:textId="77777777" w:rsidR="007378D3" w:rsidRPr="00D742F5" w:rsidRDefault="0076524A" w:rsidP="0074458B">
      <w:pPr>
        <w:pStyle w:val="NoSpacing"/>
        <w:numPr>
          <w:ilvl w:val="0"/>
          <w:numId w:val="14"/>
        </w:numPr>
        <w:spacing w:after="0"/>
        <w:ind w:left="714" w:hanging="357"/>
      </w:pPr>
      <w:r w:rsidRPr="00D742F5">
        <w:t>567 promotions;</w:t>
      </w:r>
    </w:p>
    <w:p w14:paraId="1169E1A3" w14:textId="77777777" w:rsidR="007378D3" w:rsidRPr="00D742F5" w:rsidRDefault="0076524A" w:rsidP="0074458B">
      <w:pPr>
        <w:pStyle w:val="NoSpacing"/>
        <w:numPr>
          <w:ilvl w:val="0"/>
          <w:numId w:val="14"/>
        </w:numPr>
        <w:spacing w:after="0"/>
        <w:ind w:left="714" w:hanging="357"/>
      </w:pPr>
      <w:r w:rsidRPr="00D742F5">
        <w:t>188 nominations intérimaires;</w:t>
      </w:r>
    </w:p>
    <w:p w14:paraId="2601DAB2" w14:textId="40A19818" w:rsidR="007378D3" w:rsidRPr="00D742F5" w:rsidRDefault="0076524A" w:rsidP="00D742F5">
      <w:pPr>
        <w:pStyle w:val="NoSpacing"/>
        <w:numPr>
          <w:ilvl w:val="0"/>
          <w:numId w:val="14"/>
        </w:numPr>
        <w:spacing w:after="0"/>
      </w:pPr>
      <w:r w:rsidRPr="00D742F5">
        <w:t>569 </w:t>
      </w:r>
      <w:r w:rsidR="00D742F5" w:rsidRPr="00D742F5">
        <w:t>embauches d’employés occasionnels</w:t>
      </w:r>
      <w:r w:rsidRPr="00D742F5">
        <w:t>;</w:t>
      </w:r>
    </w:p>
    <w:p w14:paraId="302FA626" w14:textId="4385A885" w:rsidR="007378D3" w:rsidRPr="00D742F5" w:rsidRDefault="0076524A" w:rsidP="0074458B">
      <w:pPr>
        <w:pStyle w:val="NoSpacing"/>
        <w:numPr>
          <w:ilvl w:val="0"/>
          <w:numId w:val="14"/>
        </w:numPr>
        <w:spacing w:after="0"/>
        <w:ind w:left="714" w:hanging="357"/>
      </w:pPr>
      <w:r w:rsidRPr="00D742F5">
        <w:t>505 </w:t>
      </w:r>
      <w:r w:rsidR="00D742F5" w:rsidRPr="00D742F5">
        <w:t>embauches d’</w:t>
      </w:r>
      <w:r w:rsidRPr="00D742F5">
        <w:t>étudiants;</w:t>
      </w:r>
    </w:p>
    <w:p w14:paraId="2F05BE39" w14:textId="6A36443B" w:rsidR="007378D3" w:rsidRPr="00D742F5" w:rsidRDefault="0076524A" w:rsidP="00D742F5">
      <w:pPr>
        <w:pStyle w:val="NoSpacing"/>
        <w:numPr>
          <w:ilvl w:val="0"/>
          <w:numId w:val="14"/>
        </w:numPr>
      </w:pPr>
      <w:r w:rsidRPr="00D742F5">
        <w:t xml:space="preserve">362 </w:t>
      </w:r>
      <w:r w:rsidR="00D742F5" w:rsidRPr="00D742F5">
        <w:t>déplacements latéraux et vers un échelon inférieur</w:t>
      </w:r>
      <w:r w:rsidRPr="00D742F5">
        <w:t>.</w:t>
      </w:r>
    </w:p>
    <w:p w14:paraId="15708D41" w14:textId="555F49AA" w:rsidR="004A00BC" w:rsidRPr="00D742F5" w:rsidRDefault="004A00BC" w:rsidP="00072A3C">
      <w:pPr>
        <w:pStyle w:val="NoSpacing"/>
        <w:rPr>
          <w:color w:val="000000"/>
        </w:rPr>
      </w:pPr>
      <w:r w:rsidRPr="00D742F5">
        <w:t>Veuillez consulter l’</w:t>
      </w:r>
      <w:hyperlink w:anchor="Annexe_B" w:history="1">
        <w:r w:rsidRPr="00D742F5">
          <w:rPr>
            <w:rStyle w:val="Hyperlink"/>
          </w:rPr>
          <w:t>annexe B</w:t>
        </w:r>
      </w:hyperlink>
      <w:r w:rsidRPr="00D742F5">
        <w:t xml:space="preserve"> pour </w:t>
      </w:r>
      <w:r w:rsidR="00CC6400">
        <w:t>plus de détails sur les activités de dotation.</w:t>
      </w:r>
    </w:p>
    <w:p w14:paraId="46F34658" w14:textId="637350D0" w:rsidR="004A00BC" w:rsidRPr="00D742F5" w:rsidRDefault="004A00BC" w:rsidP="00072A3C">
      <w:pPr>
        <w:pStyle w:val="NoSpacing"/>
        <w:rPr>
          <w:i/>
        </w:rPr>
      </w:pPr>
      <w:proofErr w:type="spellStart"/>
      <w:r w:rsidRPr="00D742F5">
        <w:t>RNCan</w:t>
      </w:r>
      <w:proofErr w:type="spellEnd"/>
      <w:r w:rsidRPr="00D742F5">
        <w:t xml:space="preserve"> fait également partie des rares ministères dont les chercheurs scientifiques ont été promus dans le cadre d’un processus fondé sur les qualités du titulaire qui examine les publications scientifiques dans le cadre </w:t>
      </w:r>
      <w:r w:rsidR="00D63760" w:rsidRPr="00D742F5">
        <w:t>de l’</w:t>
      </w:r>
      <w:r w:rsidRPr="00D742F5">
        <w:t>avancement professionnel.</w:t>
      </w:r>
    </w:p>
    <w:p w14:paraId="791373B2" w14:textId="5AD17E9F" w:rsidR="00916961" w:rsidRPr="00D742F5" w:rsidRDefault="007632B1" w:rsidP="00072A3C">
      <w:pPr>
        <w:pStyle w:val="NoSpacing"/>
      </w:pPr>
      <w:r w:rsidRPr="00D742F5">
        <w:t xml:space="preserve">En outre, </w:t>
      </w:r>
      <w:r w:rsidR="00B75354" w:rsidRPr="00D742F5">
        <w:t xml:space="preserve">puisque </w:t>
      </w:r>
      <w:proofErr w:type="spellStart"/>
      <w:r w:rsidR="00B75354" w:rsidRPr="00D742F5">
        <w:t>RNCan</w:t>
      </w:r>
      <w:proofErr w:type="spellEnd"/>
      <w:r w:rsidR="00B75354" w:rsidRPr="00D742F5">
        <w:t xml:space="preserve"> est un</w:t>
      </w:r>
      <w:r w:rsidRPr="00D742F5">
        <w:t xml:space="preserve"> ministère à vocation scientifique, la majorité des étudiants d’été de </w:t>
      </w:r>
      <w:proofErr w:type="spellStart"/>
      <w:r w:rsidRPr="00D742F5">
        <w:t>RNCan</w:t>
      </w:r>
      <w:proofErr w:type="spellEnd"/>
      <w:r w:rsidRPr="00D742F5">
        <w:t xml:space="preserve"> sont embauchés pour réaliser du travail sur le terrain. En raison de la COVID et des limites touchant la réalisation du travail sur le terrain, on avait prévu que l’embauche des étudiants diminuerait. En réaction, le </w:t>
      </w:r>
      <w:r w:rsidRPr="00CC6400">
        <w:rPr>
          <w:rStyle w:val="Emphasis"/>
        </w:rPr>
        <w:t>défi d’embauche d’étudiants</w:t>
      </w:r>
      <w:r w:rsidRPr="00D742F5">
        <w:t xml:space="preserve"> a été lancé. On incite les gestionnaires à continuer d’embaucher des étudiants malgré la pandémie, en étudiant différentes façons de travailler. Des incitatifs sont offerts aux gestionnaires dont les étudiants ont pris part à des projets qui ont aidé </w:t>
      </w:r>
      <w:proofErr w:type="spellStart"/>
      <w:r w:rsidRPr="00D742F5">
        <w:t>RNCan</w:t>
      </w:r>
      <w:proofErr w:type="spellEnd"/>
      <w:r w:rsidRPr="00D742F5">
        <w:t xml:space="preserve"> à s’adapter au milieu de travail en </w:t>
      </w:r>
      <w:r w:rsidR="00B75354" w:rsidRPr="00D742F5">
        <w:t>vigueur</w:t>
      </w:r>
      <w:r w:rsidRPr="00D742F5">
        <w:t xml:space="preserve"> après la pandémie. Le </w:t>
      </w:r>
      <w:r w:rsidRPr="00CC6400">
        <w:rPr>
          <w:rStyle w:val="Emphasis"/>
        </w:rPr>
        <w:t>défi d’embauche d’étudiants</w:t>
      </w:r>
      <w:r w:rsidRPr="00D742F5">
        <w:t xml:space="preserve"> a permis d’embaucher davantage de personnes. </w:t>
      </w:r>
      <w:proofErr w:type="spellStart"/>
      <w:r w:rsidRPr="00D742F5">
        <w:t>RNCan</w:t>
      </w:r>
      <w:proofErr w:type="spellEnd"/>
      <w:r w:rsidRPr="00D742F5">
        <w:t xml:space="preserve"> continue également de faire la promotion des programmes de recrutement des étudiants de la CFP.</w:t>
      </w:r>
    </w:p>
    <w:p w14:paraId="63D8785A" w14:textId="07370D8C" w:rsidR="00C82E11" w:rsidRPr="00C0157E" w:rsidRDefault="00D742F5" w:rsidP="00072A3C">
      <w:pPr>
        <w:pStyle w:val="Heading1"/>
      </w:pPr>
      <w:r>
        <w:t>Durée du processus de dotation</w:t>
      </w:r>
    </w:p>
    <w:p w14:paraId="1B49A0D5" w14:textId="7A8ECCE7" w:rsidR="00C82E11" w:rsidRPr="00D742F5" w:rsidRDefault="009C285D" w:rsidP="00072A3C">
      <w:pPr>
        <w:pStyle w:val="NoSpacing"/>
      </w:pPr>
      <w:proofErr w:type="spellStart"/>
      <w:r w:rsidRPr="00D742F5">
        <w:t>RNCan</w:t>
      </w:r>
      <w:proofErr w:type="spellEnd"/>
      <w:r w:rsidRPr="00D742F5">
        <w:t xml:space="preserve"> </w:t>
      </w:r>
      <w:r w:rsidR="00D742F5" w:rsidRPr="00D742F5">
        <w:t>affiche une durée</w:t>
      </w:r>
      <w:r w:rsidRPr="00D742F5">
        <w:t xml:space="preserve"> médian</w:t>
      </w:r>
      <w:r w:rsidR="00D742F5" w:rsidRPr="00D742F5">
        <w:t>e</w:t>
      </w:r>
      <w:r w:rsidRPr="00D742F5">
        <w:t xml:space="preserve"> de 201</w:t>
      </w:r>
      <w:r w:rsidR="00F0212D" w:rsidRPr="00D742F5">
        <w:t> </w:t>
      </w:r>
      <w:r w:rsidRPr="00D742F5">
        <w:t>jours pour les nominations internes, ce qui est supérieur à la médiane de 175</w:t>
      </w:r>
      <w:r w:rsidR="00F0212D" w:rsidRPr="00D742F5">
        <w:t> </w:t>
      </w:r>
      <w:r w:rsidRPr="00D742F5">
        <w:t xml:space="preserve">jours observée à l’échelle de la fonction publique. </w:t>
      </w:r>
    </w:p>
    <w:p w14:paraId="40E86A31" w14:textId="4E9CF07D" w:rsidR="003D6D80" w:rsidRPr="00D742F5" w:rsidRDefault="009C285D" w:rsidP="00072A3C">
      <w:pPr>
        <w:pStyle w:val="NoSpacing"/>
      </w:pPr>
      <w:proofErr w:type="spellStart"/>
      <w:r w:rsidRPr="00D742F5">
        <w:t>RNCan</w:t>
      </w:r>
      <w:proofErr w:type="spellEnd"/>
      <w:r w:rsidRPr="00D742F5">
        <w:t xml:space="preserve"> </w:t>
      </w:r>
      <w:r w:rsidR="00D742F5" w:rsidRPr="00D742F5">
        <w:t xml:space="preserve">affiche une durée médiane </w:t>
      </w:r>
      <w:r w:rsidRPr="00D742F5">
        <w:t>de 205</w:t>
      </w:r>
      <w:r w:rsidR="00F0212D" w:rsidRPr="00D742F5">
        <w:t> </w:t>
      </w:r>
      <w:r w:rsidRPr="00D742F5">
        <w:t>jours pour les nominations externes, ce qui est légèrement supérieur à la médiane de la fonction publique, qui est de 203</w:t>
      </w:r>
      <w:r w:rsidR="00F0212D" w:rsidRPr="00D742F5">
        <w:t> </w:t>
      </w:r>
      <w:r w:rsidRPr="00D742F5">
        <w:t>jours.</w:t>
      </w:r>
    </w:p>
    <w:p w14:paraId="267EA03D" w14:textId="4ACC90C5" w:rsidR="00052FE3" w:rsidRPr="00B15E73" w:rsidRDefault="00B15E73" w:rsidP="00072A3C">
      <w:pPr>
        <w:pStyle w:val="Heading1"/>
      </w:pPr>
      <w:r w:rsidRPr="00B15E73">
        <w:t>Cadre de dotation</w:t>
      </w:r>
    </w:p>
    <w:p w14:paraId="4897D6B6" w14:textId="3F354B53" w:rsidR="00052FE3" w:rsidRPr="00B15E73" w:rsidRDefault="00B15E73" w:rsidP="00CC6400">
      <w:pPr>
        <w:pStyle w:val="Heading2"/>
        <w:spacing w:before="40"/>
      </w:pPr>
      <w:r w:rsidRPr="00B15E73">
        <w:t xml:space="preserve">Mise en </w:t>
      </w:r>
      <w:proofErr w:type="spellStart"/>
      <w:r w:rsidRPr="00B15E73">
        <w:t>oeuvre</w:t>
      </w:r>
      <w:proofErr w:type="spellEnd"/>
      <w:r w:rsidRPr="00B15E73">
        <w:t xml:space="preserve"> de la nouvelle orientation en dotation</w:t>
      </w:r>
    </w:p>
    <w:p w14:paraId="2E40A0F0" w14:textId="0DE9BE42" w:rsidR="00AA03F8" w:rsidRDefault="00171E20" w:rsidP="00072A3C">
      <w:pPr>
        <w:pStyle w:val="NoSpacing"/>
      </w:pPr>
      <w:proofErr w:type="spellStart"/>
      <w:r w:rsidRPr="00B15E73">
        <w:t>RNCan</w:t>
      </w:r>
      <w:proofErr w:type="spellEnd"/>
      <w:r w:rsidRPr="00B15E73">
        <w:t xml:space="preserve"> a fait état de ses politiques et de son cadre de dotation à la CFP. L’organisme évalue actuellement des façons </w:t>
      </w:r>
      <w:r w:rsidR="00B75354" w:rsidRPr="00B15E73">
        <w:t>d’</w:t>
      </w:r>
      <w:r w:rsidRPr="00B15E73">
        <w:t>améliorer la souplesse de son cadre. Pour atteindre cet objectif, la conseillère au soutien en dotation (CSD) a fait des présentations auprès des gestionnaires d’embauche et du personnel des ressources humaines (RH) pour mettre en évidence différents scénarios qui favorisent la souplesse en ce qui concerne les pratiques de dotation. Par exemple, trois séances ont eu lieu en 2019-2020. Elles portaient sur des sujets abordant les options offertes au cours de l’étape de l’évaluation et de la nomination.</w:t>
      </w:r>
    </w:p>
    <w:p w14:paraId="1FBF0176" w14:textId="3D5A7A95" w:rsidR="00C73AFF" w:rsidRPr="00B15E73" w:rsidRDefault="00B15E73" w:rsidP="00072A3C">
      <w:pPr>
        <w:pStyle w:val="Heading1"/>
      </w:pPr>
      <w:r w:rsidRPr="00B15E73">
        <w:lastRenderedPageBreak/>
        <w:t>Rapport prévu par l’annexe D de l’</w:t>
      </w:r>
      <w:r w:rsidR="00CC6400">
        <w:t>I</w:t>
      </w:r>
      <w:r w:rsidRPr="00B15E73">
        <w:t>nstrument de délégation et de responsabilisation en matière de nomination</w:t>
      </w:r>
    </w:p>
    <w:p w14:paraId="1B660E71" w14:textId="77777777" w:rsidR="00B15E73" w:rsidRPr="00CC6400" w:rsidRDefault="00B15E73" w:rsidP="00B15E73">
      <w:pPr>
        <w:pStyle w:val="Heading2"/>
        <w:rPr>
          <w:rStyle w:val="Emphasis"/>
        </w:rPr>
      </w:pPr>
      <w:r w:rsidRPr="00CC6400">
        <w:t xml:space="preserve">Recours au </w:t>
      </w:r>
      <w:r w:rsidRPr="00CC6400">
        <w:rPr>
          <w:rStyle w:val="Emphasis"/>
        </w:rPr>
        <w:t>Décret d’exemption concernant les langues officielles dans la fonction publique</w:t>
      </w:r>
      <w:r w:rsidRPr="00CC6400">
        <w:t xml:space="preserve"> et au </w:t>
      </w:r>
      <w:r w:rsidRPr="00CC6400">
        <w:rPr>
          <w:rStyle w:val="Emphasis"/>
        </w:rPr>
        <w:t>Règlement sur les langues officielles – nominations dans la fonction publique</w:t>
      </w:r>
    </w:p>
    <w:p w14:paraId="3FAEB10C" w14:textId="6D8267A9" w:rsidR="008F5203" w:rsidRPr="00AE59A8" w:rsidRDefault="008F5203" w:rsidP="00072A3C">
      <w:pPr>
        <w:pStyle w:val="NoSpacing"/>
      </w:pPr>
      <w:proofErr w:type="spellStart"/>
      <w:r w:rsidRPr="00AE59A8">
        <w:t>RNCan</w:t>
      </w:r>
      <w:proofErr w:type="spellEnd"/>
      <w:r w:rsidRPr="00AE59A8">
        <w:t xml:space="preserve"> a </w:t>
      </w:r>
      <w:r w:rsidR="00B15E73" w:rsidRPr="00AE59A8">
        <w:t>déclaré</w:t>
      </w:r>
      <w:r w:rsidRPr="00AE59A8">
        <w:t xml:space="preserve"> que, du 1</w:t>
      </w:r>
      <w:r w:rsidRPr="00AE59A8">
        <w:rPr>
          <w:vertAlign w:val="superscript"/>
        </w:rPr>
        <w:t>er</w:t>
      </w:r>
      <w:r w:rsidR="00F0212D" w:rsidRPr="00AE59A8">
        <w:t> </w:t>
      </w:r>
      <w:r w:rsidRPr="00AE59A8">
        <w:t>avril</w:t>
      </w:r>
      <w:r w:rsidR="00F0212D" w:rsidRPr="00AE59A8">
        <w:t> </w:t>
      </w:r>
      <w:r w:rsidRPr="00AE59A8">
        <w:t>2019 au 31</w:t>
      </w:r>
      <w:r w:rsidR="00F0212D" w:rsidRPr="00AE59A8">
        <w:t> </w:t>
      </w:r>
      <w:r w:rsidRPr="00AE59A8">
        <w:t>mars</w:t>
      </w:r>
      <w:r w:rsidR="00F0212D" w:rsidRPr="00AE59A8">
        <w:t> </w:t>
      </w:r>
      <w:r w:rsidRPr="00AE59A8">
        <w:t xml:space="preserve">2020, l’organisation a </w:t>
      </w:r>
      <w:r w:rsidR="00AE59A8" w:rsidRPr="00AE59A8">
        <w:t>eu recours au</w:t>
      </w:r>
      <w:r w:rsidRPr="00AE59A8">
        <w:t xml:space="preserve"> </w:t>
      </w:r>
      <w:r w:rsidRPr="00CC6400">
        <w:rPr>
          <w:rStyle w:val="Emphasis"/>
        </w:rPr>
        <w:t>Décret d’exemption concernant les langues officielles dans la fonction publique</w:t>
      </w:r>
      <w:r w:rsidRPr="00AE59A8">
        <w:t xml:space="preserve"> à sept reprises, et </w:t>
      </w:r>
      <w:r w:rsidR="00AE59A8" w:rsidRPr="00AE59A8">
        <w:t>au</w:t>
      </w:r>
      <w:r w:rsidRPr="00AE59A8">
        <w:t xml:space="preserve"> </w:t>
      </w:r>
      <w:r w:rsidRPr="00CC6400">
        <w:rPr>
          <w:rStyle w:val="Emphasis"/>
        </w:rPr>
        <w:t xml:space="preserve">Règlement sur les langues officielles </w:t>
      </w:r>
      <w:r w:rsidR="00F0212D" w:rsidRPr="00CC6400">
        <w:rPr>
          <w:rStyle w:val="Emphasis"/>
        </w:rPr>
        <w:t>–</w:t>
      </w:r>
      <w:r w:rsidRPr="00CC6400">
        <w:rPr>
          <w:rStyle w:val="Emphasis"/>
        </w:rPr>
        <w:t xml:space="preserve"> nominations dans la fonction publique</w:t>
      </w:r>
      <w:r w:rsidRPr="00AE59A8">
        <w:t xml:space="preserve"> à une reprise. </w:t>
      </w:r>
    </w:p>
    <w:p w14:paraId="1F50666D" w14:textId="29717BC9" w:rsidR="00AE4D3A" w:rsidRPr="00AE59A8" w:rsidRDefault="00D349E3" w:rsidP="00072A3C">
      <w:pPr>
        <w:pStyle w:val="NoSpacing"/>
        <w:rPr>
          <w:rFonts w:eastAsiaTheme="majorEastAsia"/>
          <w:b/>
          <w:color w:val="5B315E" w:themeColor="accent2"/>
        </w:rPr>
      </w:pPr>
      <w:r w:rsidRPr="00AE59A8">
        <w:t xml:space="preserve">Dans un cas, un employé de </w:t>
      </w:r>
      <w:proofErr w:type="spellStart"/>
      <w:r w:rsidRPr="00AE59A8">
        <w:t>RNCan</w:t>
      </w:r>
      <w:proofErr w:type="spellEnd"/>
      <w:r w:rsidRPr="00AE59A8">
        <w:t xml:space="preserve"> dépass</w:t>
      </w:r>
      <w:r w:rsidR="00B75354" w:rsidRPr="00AE59A8">
        <w:t>ait</w:t>
      </w:r>
      <w:r w:rsidRPr="00AE59A8">
        <w:t xml:space="preserve"> la période maximale pour devenir bilingue en vertu du Décret et du Règlement. L’organisme a confirmé que la situation serait corrigée au cours des prochaines semaines, lorsque l’employé </w:t>
      </w:r>
      <w:r w:rsidR="00AE59A8">
        <w:t>serait muté à</w:t>
      </w:r>
      <w:r w:rsidRPr="00AE59A8">
        <w:t xml:space="preserve"> un autre poste au sein de </w:t>
      </w:r>
      <w:proofErr w:type="spellStart"/>
      <w:r w:rsidRPr="00AE59A8">
        <w:t>RNCan</w:t>
      </w:r>
      <w:proofErr w:type="spellEnd"/>
      <w:r w:rsidRPr="00AE59A8">
        <w:t xml:space="preserve">. </w:t>
      </w:r>
    </w:p>
    <w:p w14:paraId="6A76247C" w14:textId="14121443" w:rsidR="004D54D0" w:rsidRPr="00AE59A8" w:rsidRDefault="00AE59A8" w:rsidP="00CC6400">
      <w:pPr>
        <w:pStyle w:val="Heading2"/>
        <w:spacing w:before="40"/>
      </w:pPr>
      <w:r w:rsidRPr="00AE59A8">
        <w:t>Exceptions approuvées par l’Administrateur général aux exigences de la zone nationale de sélection pour un processus de nomination externe annoncé</w:t>
      </w:r>
    </w:p>
    <w:p w14:paraId="0918657B" w14:textId="54732A21" w:rsidR="00BF575E" w:rsidRPr="00AE59A8" w:rsidRDefault="001E0786" w:rsidP="00072A3C">
      <w:pPr>
        <w:pStyle w:val="NoSpacing"/>
      </w:pPr>
      <w:proofErr w:type="spellStart"/>
      <w:r w:rsidRPr="00AE59A8">
        <w:t>RNCan</w:t>
      </w:r>
      <w:proofErr w:type="spellEnd"/>
      <w:r w:rsidRPr="00AE59A8">
        <w:t xml:space="preserve"> </w:t>
      </w:r>
      <w:r w:rsidRPr="00AE59A8">
        <w:rPr>
          <w:color w:val="222222"/>
        </w:rPr>
        <w:t xml:space="preserve">n’a pas fait état d’exceptions par l’administrateur général en ce qui concerne la </w:t>
      </w:r>
      <w:r w:rsidRPr="00AE59A8">
        <w:t>zone de sélection nationale</w:t>
      </w:r>
      <w:r w:rsidR="00B75354" w:rsidRPr="00AE59A8">
        <w:t xml:space="preserve"> e</w:t>
      </w:r>
      <w:r w:rsidRPr="00AE59A8">
        <w:t>ntre le 1</w:t>
      </w:r>
      <w:r w:rsidRPr="00AE59A8">
        <w:rPr>
          <w:vertAlign w:val="superscript"/>
        </w:rPr>
        <w:t>er</w:t>
      </w:r>
      <w:r w:rsidRPr="00AE59A8">
        <w:t> avril 2019 et le 31 mars 2020.</w:t>
      </w:r>
    </w:p>
    <w:p w14:paraId="469D26FF" w14:textId="77777777" w:rsidR="00AE59A8" w:rsidRDefault="00AE59A8" w:rsidP="00CC6400">
      <w:pPr>
        <w:pStyle w:val="Heading2"/>
        <w:spacing w:before="40"/>
        <w:rPr>
          <w:b w:val="0"/>
        </w:rPr>
      </w:pPr>
      <w:r w:rsidRPr="00AE59A8">
        <w:t>Résultats de l’évaluation cyclique de l’organisation</w:t>
      </w:r>
    </w:p>
    <w:p w14:paraId="7CB3C57A" w14:textId="15EDDBC8" w:rsidR="00AF0484" w:rsidRPr="00AE59A8" w:rsidRDefault="00AC4983" w:rsidP="00072A3C">
      <w:pPr>
        <w:pStyle w:val="NoSpacing"/>
      </w:pPr>
      <w:r w:rsidRPr="00AE59A8">
        <w:t xml:space="preserve">Le 31 mars 2018, </w:t>
      </w:r>
      <w:proofErr w:type="spellStart"/>
      <w:r w:rsidRPr="00AE59A8">
        <w:t>RNCan</w:t>
      </w:r>
      <w:proofErr w:type="spellEnd"/>
      <w:r w:rsidRPr="00AE59A8">
        <w:t xml:space="preserve"> a présenté une évaluation cyclique pour la période allant du 1</w:t>
      </w:r>
      <w:r w:rsidRPr="00AE59A8">
        <w:rPr>
          <w:vertAlign w:val="superscript"/>
        </w:rPr>
        <w:t>er</w:t>
      </w:r>
      <w:r w:rsidRPr="00AE59A8">
        <w:t xml:space="preserve"> avril 2017 au 31 mars 2018. L’organisme a adapté ses activités de surveillance de la dotation en fonction de son contexte, de ses besoins opérationnels et du cadre de dotation. </w:t>
      </w:r>
    </w:p>
    <w:p w14:paraId="2C809ED8" w14:textId="02CCDC90" w:rsidR="000E70A9" w:rsidRPr="00C0157E" w:rsidRDefault="00AE59A8" w:rsidP="00CC6400">
      <w:pPr>
        <w:pStyle w:val="Heading2"/>
        <w:spacing w:before="40"/>
      </w:pPr>
      <w:r w:rsidRPr="00AE59A8">
        <w:t>Demandes de renseignements et tendances</w:t>
      </w:r>
    </w:p>
    <w:p w14:paraId="17C35793" w14:textId="73E8285D" w:rsidR="00F74124" w:rsidRPr="00AE59A8" w:rsidRDefault="00C41BF4" w:rsidP="00072A3C">
      <w:pPr>
        <w:pStyle w:val="NoSpacing"/>
        <w:rPr>
          <w:i/>
          <w:color w:val="000000"/>
        </w:rPr>
      </w:pPr>
      <w:r w:rsidRPr="00AE59A8">
        <w:rPr>
          <w:color w:val="000000"/>
        </w:rPr>
        <w:t xml:space="preserve">Depuis octobre 2019, </w:t>
      </w:r>
      <w:proofErr w:type="spellStart"/>
      <w:r w:rsidRPr="00AE59A8">
        <w:rPr>
          <w:color w:val="000000"/>
        </w:rPr>
        <w:t>RNCan</w:t>
      </w:r>
      <w:proofErr w:type="spellEnd"/>
      <w:r w:rsidRPr="00AE59A8">
        <w:rPr>
          <w:color w:val="000000"/>
        </w:rPr>
        <w:t xml:space="preserve"> a présenté 57 demandes à la CSD.</w:t>
      </w:r>
      <w:r w:rsidRPr="00AE59A8">
        <w:t xml:space="preserve"> Un grand nombre de questions de l’organisme portaient sur la COVID-19 (60 %) et les mesures temporaires adoptées par la CFP pour les évaluations de langue seconde et les tests provisoires de la CFP. </w:t>
      </w:r>
      <w:r w:rsidRPr="00AE59A8">
        <w:rPr>
          <w:color w:val="000000"/>
        </w:rPr>
        <w:t>Un pourcentage supérieur des demandes portait sur la politique de nomination, plus précisément les évaluations (65</w:t>
      </w:r>
      <w:r w:rsidR="00930EF6" w:rsidRPr="00AE59A8">
        <w:rPr>
          <w:color w:val="000000"/>
        </w:rPr>
        <w:t> %). Les questions sur la COVID</w:t>
      </w:r>
      <w:r w:rsidR="00930EF6" w:rsidRPr="00AE59A8">
        <w:rPr>
          <w:color w:val="000000"/>
        </w:rPr>
        <w:noBreakHyphen/>
      </w:r>
      <w:r w:rsidRPr="00AE59A8">
        <w:rPr>
          <w:color w:val="000000"/>
        </w:rPr>
        <w:t>19 abordaient également ce point.</w:t>
      </w:r>
    </w:p>
    <w:p w14:paraId="47912B81" w14:textId="44EFD848" w:rsidR="001679B0" w:rsidRPr="00C0157E" w:rsidRDefault="00AE59A8" w:rsidP="00072A3C">
      <w:pPr>
        <w:pStyle w:val="Heading1"/>
      </w:pPr>
      <w:r w:rsidRPr="00AE59A8">
        <w:lastRenderedPageBreak/>
        <w:t>Surveillance</w:t>
      </w:r>
    </w:p>
    <w:p w14:paraId="300A1CB1" w14:textId="352BFF1B" w:rsidR="001679B0" w:rsidRPr="00C0157E" w:rsidRDefault="00AE59A8" w:rsidP="00CC6400">
      <w:pPr>
        <w:pStyle w:val="Heading2"/>
        <w:spacing w:before="40"/>
        <w:rPr>
          <w:u w:val="single"/>
        </w:rPr>
      </w:pPr>
      <w:r w:rsidRPr="00AE59A8">
        <w:t>Vérifications</w:t>
      </w:r>
    </w:p>
    <w:p w14:paraId="113C55FB" w14:textId="75FD2E8A" w:rsidR="00CC5803" w:rsidRPr="005B00F8" w:rsidRDefault="00CC5803" w:rsidP="00072A3C">
      <w:pPr>
        <w:pStyle w:val="NoSpacing"/>
      </w:pPr>
      <w:proofErr w:type="spellStart"/>
      <w:r w:rsidRPr="005B00F8">
        <w:t>RNCan</w:t>
      </w:r>
      <w:proofErr w:type="spellEnd"/>
      <w:r w:rsidRPr="005B00F8">
        <w:t xml:space="preserve"> ne participe à aucune vérification réalisée actuellement par la CFP. Cependant, l’organisme a pris part à deux vérifications horizontales récemment achevées, y compris le projet pilote de Vérification de la dotation à l’échelle du système </w:t>
      </w:r>
      <w:r w:rsidR="00B75354" w:rsidRPr="005B00F8">
        <w:t>publié</w:t>
      </w:r>
      <w:r w:rsidRPr="005B00F8">
        <w:t xml:space="preserve"> en 2018, ainsi qu’une vérification horizontale de la validation des titres de compétences publiée en 2019.</w:t>
      </w:r>
    </w:p>
    <w:p w14:paraId="73C5F98C" w14:textId="3EA75009" w:rsidR="00CC5803" w:rsidRPr="005B00F8" w:rsidRDefault="00CC5803" w:rsidP="00072A3C">
      <w:pPr>
        <w:pStyle w:val="NoSpacing"/>
      </w:pPr>
      <w:r w:rsidRPr="005B00F8">
        <w:t>Le projet pilote de Vérification de la dotation à l’échelle du système examinait la conformité à l’échelle du système de la dotation. En tout, 25</w:t>
      </w:r>
      <w:r w:rsidR="00F0212D" w:rsidRPr="005B00F8">
        <w:t> </w:t>
      </w:r>
      <w:r w:rsidRPr="005B00F8">
        <w:t>ministères et organismes ont participé à la vérification, ce qui a fourni un échantillon de 386</w:t>
      </w:r>
      <w:r w:rsidR="00F0212D" w:rsidRPr="005B00F8">
        <w:t> </w:t>
      </w:r>
      <w:r w:rsidRPr="005B00F8">
        <w:t xml:space="preserve">nominations. De ces nominations, vingt étaient de </w:t>
      </w:r>
      <w:proofErr w:type="spellStart"/>
      <w:r w:rsidRPr="005B00F8">
        <w:t>RNCan</w:t>
      </w:r>
      <w:proofErr w:type="spellEnd"/>
      <w:r w:rsidRPr="005B00F8">
        <w:t xml:space="preserve">. </w:t>
      </w:r>
    </w:p>
    <w:p w14:paraId="5722D0AA" w14:textId="5EBDE079" w:rsidR="00CC5803" w:rsidRPr="00CC5803" w:rsidRDefault="00E246BC" w:rsidP="00072A3C">
      <w:pPr>
        <w:pStyle w:val="NoSpacing"/>
      </w:pPr>
      <w:r w:rsidRPr="005B00F8">
        <w:t xml:space="preserve">La vérification horizontale de la validation des titres de compétences a évalué si les fonctionnaires avaient obtenu le niveau de scolarité nécessaire pour le poste pour lequel ils avaient été embauchés. La vérification a examiné un échantillon représentatif de 278 nominations externes au sein de 15 ministères et organismes. De ce nombre, vingt-trois venaient de </w:t>
      </w:r>
      <w:proofErr w:type="spellStart"/>
      <w:r w:rsidRPr="005B00F8">
        <w:t>RNCan</w:t>
      </w:r>
      <w:proofErr w:type="spellEnd"/>
      <w:r w:rsidRPr="005B00F8">
        <w:t>.</w:t>
      </w:r>
    </w:p>
    <w:p w14:paraId="580F19F0" w14:textId="1DA7322B" w:rsidR="009F5000" w:rsidRPr="00C0157E" w:rsidRDefault="00EA1CBB" w:rsidP="00CC6400">
      <w:pPr>
        <w:pStyle w:val="Heading2"/>
        <w:spacing w:before="40"/>
        <w:rPr>
          <w:u w:val="single"/>
        </w:rPr>
      </w:pPr>
      <w:r w:rsidRPr="00EA1CBB">
        <w:t>Enquêtes</w:t>
      </w:r>
    </w:p>
    <w:p w14:paraId="302B72F5" w14:textId="052A33FD" w:rsidR="00037889" w:rsidRDefault="00A15A6D" w:rsidP="00072A3C">
      <w:pPr>
        <w:pStyle w:val="NoSpacing"/>
      </w:pPr>
      <w:r w:rsidRPr="00EA1CBB">
        <w:t>On a conclu que deux plaintes étaient fondées à la suite d’allégations de fraude : une visait un processus de nomination externe annoncé en 2015 qui touchait un poste d’adjoint administratif</w:t>
      </w:r>
      <w:r w:rsidR="00F0212D" w:rsidRPr="00EA1CBB">
        <w:t> </w:t>
      </w:r>
      <w:r w:rsidRPr="00EA1CBB">
        <w:t>AS-1; l’autre visait un processus interne annoncé en 2016 qui cherchait à pourvoir un poste d’agent des finances et de l’approvisionnement</w:t>
      </w:r>
      <w:r w:rsidR="00F0212D" w:rsidRPr="00EA1CBB">
        <w:t> </w:t>
      </w:r>
      <w:r w:rsidRPr="00EA1CBB">
        <w:t>AS-2.</w:t>
      </w:r>
      <w:r>
        <w:t xml:space="preserve"> </w:t>
      </w:r>
    </w:p>
    <w:p w14:paraId="0447AAD9" w14:textId="13F25C62" w:rsidR="00236552" w:rsidRPr="00236552" w:rsidRDefault="00236552" w:rsidP="00236552">
      <w:pPr>
        <w:pStyle w:val="Caption"/>
        <w:keepNext/>
        <w:spacing w:after="0"/>
        <w:rPr>
          <w:rFonts w:asciiTheme="minorHAnsi" w:hAnsiTheme="minorHAnsi" w:cstheme="minorHAnsi"/>
          <w:i w:val="0"/>
          <w:iCs w:val="0"/>
          <w:color w:val="auto"/>
        </w:rPr>
      </w:pPr>
      <w:r w:rsidRPr="00236552">
        <w:rPr>
          <w:rFonts w:asciiTheme="minorHAnsi" w:hAnsiTheme="minorHAnsi" w:cstheme="minorHAnsi"/>
          <w:i w:val="0"/>
          <w:iCs w:val="0"/>
          <w:color w:val="auto"/>
        </w:rPr>
        <w:t xml:space="preserve">Tableau </w:t>
      </w:r>
      <w:r w:rsidRPr="00236552">
        <w:rPr>
          <w:rFonts w:asciiTheme="minorHAnsi" w:hAnsiTheme="minorHAnsi" w:cstheme="minorHAnsi"/>
          <w:i w:val="0"/>
          <w:iCs w:val="0"/>
          <w:color w:val="auto"/>
        </w:rPr>
        <w:fldChar w:fldCharType="begin"/>
      </w:r>
      <w:r w:rsidRPr="00236552">
        <w:rPr>
          <w:rFonts w:asciiTheme="minorHAnsi" w:hAnsiTheme="minorHAnsi" w:cstheme="minorHAnsi"/>
          <w:i w:val="0"/>
          <w:iCs w:val="0"/>
          <w:color w:val="auto"/>
        </w:rPr>
        <w:instrText xml:space="preserve"> SEQ Tableau \* ARABIC </w:instrText>
      </w:r>
      <w:r w:rsidRPr="00236552">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1</w:t>
      </w:r>
      <w:r w:rsidRPr="00236552">
        <w:rPr>
          <w:rFonts w:asciiTheme="minorHAnsi" w:hAnsiTheme="minorHAnsi" w:cstheme="minorHAnsi"/>
          <w:i w:val="0"/>
          <w:iCs w:val="0"/>
          <w:color w:val="auto"/>
        </w:rPr>
        <w:fldChar w:fldCharType="end"/>
      </w:r>
      <w:r w:rsidRPr="00236552">
        <w:rPr>
          <w:rFonts w:asciiTheme="minorHAnsi" w:hAnsiTheme="minorHAnsi" w:cstheme="minorHAnsi"/>
          <w:i w:val="0"/>
          <w:iCs w:val="0"/>
          <w:color w:val="auto"/>
        </w:rPr>
        <w:t xml:space="preserve"> - Enquêtes</w:t>
      </w:r>
    </w:p>
    <w:tbl>
      <w:tblPr>
        <w:tblStyle w:val="TableGrid"/>
        <w:tblW w:w="5000" w:type="pct"/>
        <w:jc w:val="center"/>
        <w:tblLook w:val="04A0" w:firstRow="1" w:lastRow="0" w:firstColumn="1" w:lastColumn="0" w:noHBand="0" w:noVBand="1"/>
        <w:tblDescription w:val="Enquêtes"/>
      </w:tblPr>
      <w:tblGrid>
        <w:gridCol w:w="2582"/>
        <w:gridCol w:w="950"/>
        <w:gridCol w:w="1584"/>
        <w:gridCol w:w="991"/>
        <w:gridCol w:w="1158"/>
        <w:gridCol w:w="1139"/>
        <w:gridCol w:w="946"/>
      </w:tblGrid>
      <w:tr w:rsidR="006D45DC" w:rsidRPr="00236552" w14:paraId="67829EC0" w14:textId="77777777" w:rsidTr="00A5057E">
        <w:trPr>
          <w:cantSplit/>
          <w:trHeight w:val="900"/>
          <w:tblHeader/>
          <w:jc w:val="center"/>
        </w:trPr>
        <w:tc>
          <w:tcPr>
            <w:tcW w:w="1381" w:type="pct"/>
            <w:shd w:val="clear" w:color="auto" w:fill="54575A" w:themeFill="text1"/>
            <w:hideMark/>
          </w:tcPr>
          <w:p w14:paraId="1216C18A" w14:textId="717D7857" w:rsidR="006D45DC" w:rsidRPr="00236552" w:rsidRDefault="006D45DC" w:rsidP="006D45DC">
            <w:pPr>
              <w:pStyle w:val="TableTitle"/>
              <w:spacing w:before="40" w:after="0"/>
              <w:rPr>
                <w:rFonts w:eastAsiaTheme="minorHAnsi" w:cs="Segoe UI Semibold"/>
                <w:color w:val="FFFFFF" w:themeColor="background1"/>
                <w:sz w:val="22"/>
                <w:lang w:eastAsia="en-CA"/>
              </w:rPr>
            </w:pPr>
            <w:r w:rsidRPr="00236552">
              <w:rPr>
                <w:rFonts w:eastAsiaTheme="minorHAnsi" w:cs="Segoe UI Semibold"/>
                <w:color w:val="FFFFFF" w:themeColor="background1"/>
                <w:sz w:val="22"/>
                <w:lang w:eastAsia="en-CA"/>
              </w:rPr>
              <w:t>Nature de la question</w:t>
            </w:r>
          </w:p>
        </w:tc>
        <w:tc>
          <w:tcPr>
            <w:tcW w:w="508" w:type="pct"/>
            <w:shd w:val="clear" w:color="auto" w:fill="54575A" w:themeFill="text1"/>
            <w:hideMark/>
          </w:tcPr>
          <w:p w14:paraId="0E0B8AAD" w14:textId="1174E907" w:rsidR="006D45DC" w:rsidRPr="00236552" w:rsidRDefault="006D45DC" w:rsidP="006D45DC">
            <w:pPr>
              <w:pStyle w:val="TableTitle"/>
              <w:spacing w:before="40" w:after="0"/>
              <w:rPr>
                <w:rFonts w:eastAsiaTheme="minorHAnsi" w:cs="Segoe UI Semibold"/>
                <w:color w:val="FFFFFF" w:themeColor="background1"/>
                <w:sz w:val="22"/>
                <w:lang w:eastAsia="en-CA"/>
              </w:rPr>
            </w:pPr>
            <w:r w:rsidRPr="00236552">
              <w:rPr>
                <w:rFonts w:eastAsiaTheme="minorHAnsi" w:cs="Segoe UI Semibold"/>
                <w:color w:val="FFFFFF" w:themeColor="background1"/>
                <w:sz w:val="22"/>
                <w:lang w:eastAsia="en-CA"/>
              </w:rPr>
              <w:t>Cas reçus</w:t>
            </w:r>
          </w:p>
        </w:tc>
        <w:tc>
          <w:tcPr>
            <w:tcW w:w="847" w:type="pct"/>
            <w:shd w:val="clear" w:color="auto" w:fill="54575A" w:themeFill="text1"/>
            <w:hideMark/>
          </w:tcPr>
          <w:p w14:paraId="6BD3C385" w14:textId="562B392D" w:rsidR="006D45DC" w:rsidRPr="00236552" w:rsidRDefault="006D45DC" w:rsidP="006D45DC">
            <w:pPr>
              <w:pStyle w:val="TableTitle"/>
              <w:spacing w:before="40" w:after="0"/>
              <w:rPr>
                <w:rFonts w:eastAsiaTheme="minorHAnsi" w:cs="Segoe UI Semibold"/>
                <w:color w:val="FFFFFF" w:themeColor="background1"/>
                <w:sz w:val="22"/>
                <w:lang w:eastAsia="en-CA"/>
              </w:rPr>
            </w:pPr>
            <w:r w:rsidRPr="00236552">
              <w:rPr>
                <w:rFonts w:eastAsiaTheme="minorHAnsi" w:cs="Segoe UI Semibold"/>
                <w:color w:val="FFFFFF" w:themeColor="background1"/>
                <w:sz w:val="22"/>
                <w:lang w:eastAsia="en-CA"/>
              </w:rPr>
              <w:t>Cas renvoyés par l'organisation</w:t>
            </w:r>
          </w:p>
        </w:tc>
        <w:tc>
          <w:tcPr>
            <w:tcW w:w="530" w:type="pct"/>
            <w:shd w:val="clear" w:color="auto" w:fill="54575A" w:themeFill="text1"/>
            <w:hideMark/>
          </w:tcPr>
          <w:p w14:paraId="3600B9C2" w14:textId="733CAB4B" w:rsidR="006D45DC" w:rsidRPr="00236552" w:rsidRDefault="006D45DC" w:rsidP="006D45DC">
            <w:pPr>
              <w:pStyle w:val="TableTitle"/>
              <w:spacing w:before="40" w:after="0"/>
              <w:rPr>
                <w:rFonts w:eastAsiaTheme="minorHAnsi" w:cs="Segoe UI Semibold"/>
                <w:color w:val="FFFFFF" w:themeColor="background1"/>
                <w:sz w:val="22"/>
                <w:lang w:eastAsia="en-CA"/>
              </w:rPr>
            </w:pPr>
            <w:r w:rsidRPr="00236552">
              <w:rPr>
                <w:rFonts w:eastAsiaTheme="minorHAnsi" w:cs="Segoe UI Semibold"/>
                <w:color w:val="FFFFFF" w:themeColor="background1"/>
                <w:sz w:val="22"/>
                <w:lang w:eastAsia="en-CA"/>
              </w:rPr>
              <w:t>Fermé - Non accepté</w:t>
            </w:r>
          </w:p>
        </w:tc>
        <w:tc>
          <w:tcPr>
            <w:tcW w:w="619" w:type="pct"/>
            <w:shd w:val="clear" w:color="auto" w:fill="54575A" w:themeFill="text1"/>
            <w:hideMark/>
          </w:tcPr>
          <w:p w14:paraId="54E30571" w14:textId="65FDF7F8" w:rsidR="006D45DC" w:rsidRPr="00236552" w:rsidRDefault="006D45DC" w:rsidP="006D45DC">
            <w:pPr>
              <w:pStyle w:val="TableTitle"/>
              <w:spacing w:before="40" w:after="0"/>
              <w:rPr>
                <w:rFonts w:eastAsiaTheme="minorHAnsi" w:cs="Segoe UI Semibold"/>
                <w:color w:val="FFFFFF" w:themeColor="background1"/>
                <w:sz w:val="22"/>
                <w:lang w:eastAsia="en-CA"/>
              </w:rPr>
            </w:pPr>
            <w:r w:rsidRPr="00236552">
              <w:rPr>
                <w:rFonts w:eastAsiaTheme="minorHAnsi" w:cs="Segoe UI Semibold"/>
                <w:color w:val="FFFFFF" w:themeColor="background1"/>
                <w:sz w:val="22"/>
                <w:lang w:eastAsia="en-CA"/>
              </w:rPr>
              <w:t>Achevé Non fondé</w:t>
            </w:r>
          </w:p>
        </w:tc>
        <w:tc>
          <w:tcPr>
            <w:tcW w:w="609" w:type="pct"/>
            <w:shd w:val="clear" w:color="auto" w:fill="54575A" w:themeFill="text1"/>
            <w:hideMark/>
          </w:tcPr>
          <w:p w14:paraId="2454A235" w14:textId="4AA2EE0A" w:rsidR="006D45DC" w:rsidRPr="00236552" w:rsidRDefault="006D45DC" w:rsidP="006D45DC">
            <w:pPr>
              <w:pStyle w:val="TableTitle"/>
              <w:spacing w:before="40" w:after="0"/>
              <w:rPr>
                <w:rFonts w:eastAsiaTheme="minorHAnsi" w:cs="Segoe UI Semibold"/>
                <w:color w:val="FFFFFF" w:themeColor="background1"/>
                <w:sz w:val="22"/>
                <w:lang w:eastAsia="en-CA"/>
              </w:rPr>
            </w:pPr>
            <w:r w:rsidRPr="00236552">
              <w:rPr>
                <w:rFonts w:eastAsiaTheme="minorHAnsi" w:cs="Segoe UI Semibold"/>
                <w:color w:val="FFFFFF" w:themeColor="background1"/>
                <w:sz w:val="22"/>
                <w:lang w:eastAsia="en-CA"/>
              </w:rPr>
              <w:t>Achevé fondé</w:t>
            </w:r>
          </w:p>
        </w:tc>
        <w:tc>
          <w:tcPr>
            <w:tcW w:w="506" w:type="pct"/>
            <w:shd w:val="clear" w:color="auto" w:fill="54575A" w:themeFill="text1"/>
            <w:hideMark/>
          </w:tcPr>
          <w:p w14:paraId="5DDFA325" w14:textId="08AC49EC" w:rsidR="006D45DC" w:rsidRPr="00236552" w:rsidRDefault="006D45DC" w:rsidP="006D45DC">
            <w:pPr>
              <w:pStyle w:val="TableTitle"/>
              <w:spacing w:before="40" w:after="0"/>
              <w:rPr>
                <w:rFonts w:eastAsiaTheme="minorHAnsi" w:cs="Segoe UI Semibold"/>
                <w:color w:val="FFFFFF" w:themeColor="background1"/>
                <w:sz w:val="22"/>
                <w:lang w:eastAsia="en-CA"/>
              </w:rPr>
            </w:pPr>
            <w:r w:rsidRPr="00236552">
              <w:rPr>
                <w:rFonts w:eastAsiaTheme="minorHAnsi" w:cs="Segoe UI Semibold"/>
                <w:color w:val="FFFFFF" w:themeColor="background1"/>
                <w:sz w:val="22"/>
                <w:lang w:eastAsia="en-CA"/>
              </w:rPr>
              <w:t>En cours</w:t>
            </w:r>
          </w:p>
        </w:tc>
      </w:tr>
      <w:tr w:rsidR="006D45DC" w:rsidRPr="009A29F0" w14:paraId="2A814957" w14:textId="77777777" w:rsidTr="00A5057E">
        <w:trPr>
          <w:cantSplit/>
          <w:trHeight w:val="600"/>
          <w:tblHeader/>
          <w:jc w:val="center"/>
        </w:trPr>
        <w:tc>
          <w:tcPr>
            <w:tcW w:w="1381" w:type="pct"/>
            <w:shd w:val="clear" w:color="auto" w:fill="54575A" w:themeFill="text1"/>
            <w:hideMark/>
          </w:tcPr>
          <w:p w14:paraId="19112390" w14:textId="5003559C" w:rsidR="006D45DC" w:rsidRPr="006D45DC" w:rsidRDefault="006D45DC" w:rsidP="006D45DC">
            <w:pPr>
              <w:rPr>
                <w:rFonts w:asciiTheme="minorHAnsi" w:hAnsiTheme="minorHAnsi" w:cstheme="minorHAnsi"/>
                <w:color w:val="000000"/>
                <w:sz w:val="22"/>
                <w:szCs w:val="22"/>
              </w:rPr>
            </w:pPr>
            <w:r w:rsidRPr="0005148B">
              <w:rPr>
                <w:rFonts w:asciiTheme="minorHAnsi" w:eastAsiaTheme="minorHAnsi" w:hAnsiTheme="minorHAnsi" w:cstheme="minorHAnsi"/>
                <w:color w:val="FFFFFF" w:themeColor="background1"/>
                <w:sz w:val="22"/>
                <w:szCs w:val="22"/>
                <w:lang w:eastAsia="en-CA"/>
              </w:rPr>
              <w:t xml:space="preserve">art.66 </w:t>
            </w:r>
            <w:r w:rsidRPr="0005148B">
              <w:rPr>
                <w:rFonts w:asciiTheme="minorHAnsi" w:eastAsiaTheme="minorHAnsi" w:hAnsiTheme="minorHAnsi" w:cstheme="minorHAnsi"/>
                <w:color w:val="FFFFFF" w:themeColor="background1"/>
                <w:sz w:val="22"/>
                <w:szCs w:val="22"/>
              </w:rPr>
              <w:t xml:space="preserve">Nominations externes (mérite, erreur, omission et conduite irrégulière) </w:t>
            </w:r>
          </w:p>
        </w:tc>
        <w:tc>
          <w:tcPr>
            <w:tcW w:w="508" w:type="pct"/>
            <w:noWrap/>
            <w:hideMark/>
          </w:tcPr>
          <w:p w14:paraId="418E0FCC"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7</w:t>
            </w:r>
          </w:p>
        </w:tc>
        <w:tc>
          <w:tcPr>
            <w:tcW w:w="847" w:type="pct"/>
            <w:noWrap/>
            <w:hideMark/>
          </w:tcPr>
          <w:p w14:paraId="0200DFB4"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2</w:t>
            </w:r>
          </w:p>
        </w:tc>
        <w:tc>
          <w:tcPr>
            <w:tcW w:w="530" w:type="pct"/>
            <w:noWrap/>
            <w:hideMark/>
          </w:tcPr>
          <w:p w14:paraId="7692A0A7"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6</w:t>
            </w:r>
          </w:p>
        </w:tc>
        <w:tc>
          <w:tcPr>
            <w:tcW w:w="619" w:type="pct"/>
            <w:noWrap/>
            <w:hideMark/>
          </w:tcPr>
          <w:p w14:paraId="722A2393"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1</w:t>
            </w:r>
          </w:p>
        </w:tc>
        <w:tc>
          <w:tcPr>
            <w:tcW w:w="609" w:type="pct"/>
            <w:noWrap/>
            <w:hideMark/>
          </w:tcPr>
          <w:p w14:paraId="55A3A760"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0</w:t>
            </w:r>
          </w:p>
        </w:tc>
        <w:tc>
          <w:tcPr>
            <w:tcW w:w="506" w:type="pct"/>
            <w:noWrap/>
            <w:hideMark/>
          </w:tcPr>
          <w:p w14:paraId="0258FA27"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0</w:t>
            </w:r>
          </w:p>
        </w:tc>
      </w:tr>
      <w:tr w:rsidR="006D45DC" w:rsidRPr="009A29F0" w14:paraId="29520D67" w14:textId="77777777" w:rsidTr="00A5057E">
        <w:trPr>
          <w:cantSplit/>
          <w:trHeight w:val="300"/>
          <w:tblHeader/>
          <w:jc w:val="center"/>
        </w:trPr>
        <w:tc>
          <w:tcPr>
            <w:tcW w:w="1381" w:type="pct"/>
            <w:shd w:val="clear" w:color="auto" w:fill="54575A" w:themeFill="text1"/>
            <w:hideMark/>
          </w:tcPr>
          <w:p w14:paraId="3CE757AA" w14:textId="0B21C3D1" w:rsidR="006D45DC" w:rsidRPr="002D3DA7" w:rsidRDefault="006D45DC" w:rsidP="006D45DC">
            <w:pPr>
              <w:rPr>
                <w:rFonts w:asciiTheme="minorHAnsi" w:hAnsiTheme="minorHAnsi" w:cstheme="minorHAnsi"/>
                <w:color w:val="000000"/>
                <w:sz w:val="22"/>
                <w:szCs w:val="22"/>
              </w:rPr>
            </w:pPr>
            <w:r w:rsidRPr="0005148B">
              <w:rPr>
                <w:rFonts w:asciiTheme="minorHAnsi" w:eastAsiaTheme="minorHAnsi" w:hAnsiTheme="minorHAnsi" w:cstheme="minorHAnsi"/>
                <w:color w:val="FFFFFF" w:themeColor="background1"/>
                <w:sz w:val="22"/>
                <w:szCs w:val="22"/>
                <w:lang w:eastAsia="en-CA"/>
              </w:rPr>
              <w:t>art.69 Fraude</w:t>
            </w:r>
          </w:p>
        </w:tc>
        <w:tc>
          <w:tcPr>
            <w:tcW w:w="508" w:type="pct"/>
            <w:noWrap/>
            <w:hideMark/>
          </w:tcPr>
          <w:p w14:paraId="121AE310"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1</w:t>
            </w:r>
          </w:p>
        </w:tc>
        <w:tc>
          <w:tcPr>
            <w:tcW w:w="847" w:type="pct"/>
            <w:noWrap/>
            <w:hideMark/>
          </w:tcPr>
          <w:p w14:paraId="2C85892C"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1</w:t>
            </w:r>
          </w:p>
        </w:tc>
        <w:tc>
          <w:tcPr>
            <w:tcW w:w="530" w:type="pct"/>
            <w:noWrap/>
            <w:hideMark/>
          </w:tcPr>
          <w:p w14:paraId="19EC24D8"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0</w:t>
            </w:r>
          </w:p>
        </w:tc>
        <w:tc>
          <w:tcPr>
            <w:tcW w:w="619" w:type="pct"/>
            <w:noWrap/>
            <w:hideMark/>
          </w:tcPr>
          <w:p w14:paraId="134E2D5E"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2</w:t>
            </w:r>
          </w:p>
        </w:tc>
        <w:tc>
          <w:tcPr>
            <w:tcW w:w="609" w:type="pct"/>
            <w:noWrap/>
            <w:hideMark/>
          </w:tcPr>
          <w:p w14:paraId="392F19C9"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2</w:t>
            </w:r>
          </w:p>
        </w:tc>
        <w:tc>
          <w:tcPr>
            <w:tcW w:w="506" w:type="pct"/>
            <w:noWrap/>
            <w:hideMark/>
          </w:tcPr>
          <w:p w14:paraId="5EFCF50E" w14:textId="77777777" w:rsidR="006D45DC" w:rsidRPr="006D45DC" w:rsidRDefault="006D45DC" w:rsidP="006D45DC">
            <w:pPr>
              <w:jc w:val="center"/>
              <w:rPr>
                <w:rFonts w:asciiTheme="minorHAnsi" w:hAnsiTheme="minorHAnsi" w:cstheme="minorHAnsi"/>
                <w:color w:val="000000"/>
                <w:sz w:val="22"/>
                <w:szCs w:val="22"/>
              </w:rPr>
            </w:pPr>
            <w:r w:rsidRPr="006D45DC">
              <w:rPr>
                <w:rFonts w:asciiTheme="minorHAnsi" w:hAnsiTheme="minorHAnsi"/>
                <w:color w:val="000000"/>
                <w:sz w:val="22"/>
                <w:szCs w:val="22"/>
              </w:rPr>
              <w:t>1</w:t>
            </w:r>
          </w:p>
        </w:tc>
      </w:tr>
      <w:tr w:rsidR="006D45DC" w:rsidRPr="009A29F0" w14:paraId="6C2E379B" w14:textId="77777777" w:rsidTr="00A5057E">
        <w:trPr>
          <w:cantSplit/>
          <w:trHeight w:val="300"/>
          <w:tblHeader/>
          <w:jc w:val="center"/>
        </w:trPr>
        <w:tc>
          <w:tcPr>
            <w:tcW w:w="1381" w:type="pct"/>
            <w:shd w:val="clear" w:color="auto" w:fill="54575A" w:themeFill="text1"/>
            <w:hideMark/>
          </w:tcPr>
          <w:p w14:paraId="4BD8F0CC" w14:textId="0B397C7D" w:rsidR="006D45DC" w:rsidRPr="002D3DA7" w:rsidRDefault="006D45DC" w:rsidP="006D45DC">
            <w:pPr>
              <w:rPr>
                <w:rFonts w:asciiTheme="minorHAnsi" w:hAnsiTheme="minorHAnsi" w:cstheme="minorHAnsi"/>
                <w:b/>
                <w:bCs/>
                <w:color w:val="000000"/>
                <w:sz w:val="22"/>
                <w:szCs w:val="22"/>
              </w:rPr>
            </w:pPr>
            <w:r w:rsidRPr="0005148B">
              <w:rPr>
                <w:rFonts w:asciiTheme="minorHAnsi" w:eastAsiaTheme="minorHAnsi" w:hAnsiTheme="minorHAnsi" w:cstheme="minorHAnsi"/>
                <w:bCs/>
                <w:color w:val="FFFFFF" w:themeColor="background1"/>
                <w:sz w:val="22"/>
                <w:szCs w:val="22"/>
                <w:lang w:eastAsia="en-CA"/>
              </w:rPr>
              <w:t>Total</w:t>
            </w:r>
            <w:r>
              <w:rPr>
                <w:rFonts w:asciiTheme="minorHAnsi" w:eastAsiaTheme="minorHAnsi" w:hAnsiTheme="minorHAnsi" w:cstheme="minorHAnsi"/>
                <w:bCs/>
                <w:color w:val="FFFFFF" w:themeColor="background1"/>
                <w:sz w:val="22"/>
                <w:szCs w:val="22"/>
                <w:lang w:eastAsia="en-CA"/>
              </w:rPr>
              <w:tab/>
            </w:r>
          </w:p>
        </w:tc>
        <w:tc>
          <w:tcPr>
            <w:tcW w:w="508" w:type="pct"/>
            <w:noWrap/>
            <w:hideMark/>
          </w:tcPr>
          <w:p w14:paraId="5C9AADC8" w14:textId="77777777" w:rsidR="006D45DC" w:rsidRPr="006D45DC" w:rsidRDefault="006D45DC" w:rsidP="006D45DC">
            <w:pPr>
              <w:jc w:val="center"/>
              <w:rPr>
                <w:rFonts w:asciiTheme="minorHAnsi" w:hAnsiTheme="minorHAnsi" w:cstheme="minorHAnsi"/>
                <w:bCs/>
                <w:color w:val="000000"/>
                <w:sz w:val="22"/>
                <w:szCs w:val="22"/>
              </w:rPr>
            </w:pPr>
            <w:r w:rsidRPr="006D45DC">
              <w:rPr>
                <w:rFonts w:asciiTheme="minorHAnsi" w:hAnsiTheme="minorHAnsi"/>
                <w:bCs/>
                <w:color w:val="000000"/>
                <w:sz w:val="22"/>
                <w:szCs w:val="22"/>
              </w:rPr>
              <w:t>8</w:t>
            </w:r>
          </w:p>
        </w:tc>
        <w:tc>
          <w:tcPr>
            <w:tcW w:w="847" w:type="pct"/>
            <w:noWrap/>
            <w:hideMark/>
          </w:tcPr>
          <w:p w14:paraId="3509AC2C" w14:textId="77777777" w:rsidR="006D45DC" w:rsidRPr="006D45DC" w:rsidRDefault="006D45DC" w:rsidP="006D45DC">
            <w:pPr>
              <w:jc w:val="center"/>
              <w:rPr>
                <w:rFonts w:asciiTheme="minorHAnsi" w:hAnsiTheme="minorHAnsi" w:cstheme="minorHAnsi"/>
                <w:bCs/>
                <w:color w:val="000000"/>
                <w:sz w:val="22"/>
                <w:szCs w:val="22"/>
              </w:rPr>
            </w:pPr>
            <w:r w:rsidRPr="006D45DC">
              <w:rPr>
                <w:rFonts w:asciiTheme="minorHAnsi" w:hAnsiTheme="minorHAnsi"/>
                <w:bCs/>
                <w:color w:val="000000"/>
                <w:sz w:val="22"/>
                <w:szCs w:val="22"/>
              </w:rPr>
              <w:t>3</w:t>
            </w:r>
          </w:p>
        </w:tc>
        <w:tc>
          <w:tcPr>
            <w:tcW w:w="530" w:type="pct"/>
            <w:noWrap/>
            <w:hideMark/>
          </w:tcPr>
          <w:p w14:paraId="4F1ED7A5" w14:textId="77777777" w:rsidR="006D45DC" w:rsidRPr="006D45DC" w:rsidRDefault="006D45DC" w:rsidP="006D45DC">
            <w:pPr>
              <w:jc w:val="center"/>
              <w:rPr>
                <w:rFonts w:asciiTheme="minorHAnsi" w:hAnsiTheme="minorHAnsi" w:cstheme="minorHAnsi"/>
                <w:bCs/>
                <w:color w:val="000000"/>
                <w:sz w:val="22"/>
                <w:szCs w:val="22"/>
              </w:rPr>
            </w:pPr>
            <w:r w:rsidRPr="006D45DC">
              <w:rPr>
                <w:rFonts w:asciiTheme="minorHAnsi" w:hAnsiTheme="minorHAnsi"/>
                <w:bCs/>
                <w:color w:val="000000"/>
                <w:sz w:val="22"/>
                <w:szCs w:val="22"/>
              </w:rPr>
              <w:t>6</w:t>
            </w:r>
          </w:p>
        </w:tc>
        <w:tc>
          <w:tcPr>
            <w:tcW w:w="619" w:type="pct"/>
            <w:noWrap/>
            <w:hideMark/>
          </w:tcPr>
          <w:p w14:paraId="6D43AF9A" w14:textId="77777777" w:rsidR="006D45DC" w:rsidRPr="006D45DC" w:rsidRDefault="006D45DC" w:rsidP="006D45DC">
            <w:pPr>
              <w:jc w:val="center"/>
              <w:rPr>
                <w:rFonts w:asciiTheme="minorHAnsi" w:hAnsiTheme="minorHAnsi" w:cstheme="minorHAnsi"/>
                <w:bCs/>
                <w:color w:val="000000"/>
                <w:sz w:val="22"/>
                <w:szCs w:val="22"/>
              </w:rPr>
            </w:pPr>
            <w:r w:rsidRPr="006D45DC">
              <w:rPr>
                <w:rFonts w:asciiTheme="minorHAnsi" w:hAnsiTheme="minorHAnsi"/>
                <w:bCs/>
                <w:color w:val="000000"/>
                <w:sz w:val="22"/>
                <w:szCs w:val="22"/>
              </w:rPr>
              <w:t>3</w:t>
            </w:r>
          </w:p>
        </w:tc>
        <w:tc>
          <w:tcPr>
            <w:tcW w:w="609" w:type="pct"/>
            <w:noWrap/>
            <w:hideMark/>
          </w:tcPr>
          <w:p w14:paraId="58B49EE8" w14:textId="77777777" w:rsidR="006D45DC" w:rsidRPr="006D45DC" w:rsidRDefault="006D45DC" w:rsidP="006D45DC">
            <w:pPr>
              <w:jc w:val="center"/>
              <w:rPr>
                <w:rFonts w:asciiTheme="minorHAnsi" w:hAnsiTheme="minorHAnsi" w:cstheme="minorHAnsi"/>
                <w:bCs/>
                <w:color w:val="000000"/>
                <w:sz w:val="22"/>
                <w:szCs w:val="22"/>
              </w:rPr>
            </w:pPr>
            <w:r w:rsidRPr="006D45DC">
              <w:rPr>
                <w:rFonts w:asciiTheme="minorHAnsi" w:hAnsiTheme="minorHAnsi"/>
                <w:bCs/>
                <w:color w:val="000000"/>
                <w:sz w:val="22"/>
                <w:szCs w:val="22"/>
              </w:rPr>
              <w:t>2</w:t>
            </w:r>
          </w:p>
        </w:tc>
        <w:tc>
          <w:tcPr>
            <w:tcW w:w="506" w:type="pct"/>
            <w:noWrap/>
            <w:hideMark/>
          </w:tcPr>
          <w:p w14:paraId="2440FCC8" w14:textId="77777777" w:rsidR="006D45DC" w:rsidRPr="006D45DC" w:rsidRDefault="006D45DC" w:rsidP="006D45DC">
            <w:pPr>
              <w:jc w:val="center"/>
              <w:rPr>
                <w:rFonts w:asciiTheme="minorHAnsi" w:hAnsiTheme="minorHAnsi" w:cstheme="minorHAnsi"/>
                <w:bCs/>
                <w:color w:val="000000"/>
                <w:sz w:val="22"/>
                <w:szCs w:val="22"/>
              </w:rPr>
            </w:pPr>
            <w:r w:rsidRPr="006D45DC">
              <w:rPr>
                <w:rFonts w:asciiTheme="minorHAnsi" w:hAnsiTheme="minorHAnsi"/>
                <w:bCs/>
                <w:color w:val="000000"/>
                <w:sz w:val="22"/>
                <w:szCs w:val="22"/>
              </w:rPr>
              <w:t>1</w:t>
            </w:r>
          </w:p>
        </w:tc>
      </w:tr>
    </w:tbl>
    <w:p w14:paraId="59DCCCA7" w14:textId="06A413D0" w:rsidR="00A5057E" w:rsidRDefault="00A5057E" w:rsidP="00432348">
      <w:pPr>
        <w:keepLines/>
        <w:spacing w:after="120" w:line="256" w:lineRule="auto"/>
        <w:rPr>
          <w:rFonts w:asciiTheme="minorHAnsi" w:eastAsia="Arial" w:hAnsiTheme="minorHAnsi" w:cstheme="minorHAnsi"/>
          <w:color w:val="000000"/>
          <w:sz w:val="22"/>
          <w:szCs w:val="18"/>
          <w:lang w:bidi="fr-FR"/>
        </w:rPr>
      </w:pPr>
      <w:r w:rsidRPr="00A5057E">
        <w:rPr>
          <w:rFonts w:asciiTheme="minorHAnsi" w:eastAsia="Arial" w:hAnsiTheme="minorHAnsi" w:cstheme="minorHAnsi"/>
          <w:color w:val="000000"/>
          <w:sz w:val="22"/>
          <w:szCs w:val="18"/>
          <w:lang w:bidi="fr-FR"/>
        </w:rPr>
        <w:t>Remarque : Les chiffres peuvent ne pas s’addition</w:t>
      </w:r>
      <w:r>
        <w:rPr>
          <w:rFonts w:asciiTheme="minorHAnsi" w:eastAsia="Arial" w:hAnsiTheme="minorHAnsi" w:cstheme="minorHAnsi"/>
          <w:color w:val="000000"/>
          <w:sz w:val="22"/>
          <w:szCs w:val="18"/>
          <w:lang w:bidi="fr-FR"/>
        </w:rPr>
        <w:t>n</w:t>
      </w:r>
      <w:r w:rsidRPr="00A5057E">
        <w:rPr>
          <w:rFonts w:asciiTheme="minorHAnsi" w:eastAsia="Arial" w:hAnsiTheme="minorHAnsi" w:cstheme="minorHAnsi"/>
          <w:color w:val="000000"/>
          <w:sz w:val="22"/>
          <w:szCs w:val="18"/>
          <w:lang w:bidi="fr-FR"/>
        </w:rPr>
        <w:t>er en tant que cas abandonnés et les cas résolus par une intervention précoce ne sont pas inclus dans ce tableau.</w:t>
      </w:r>
    </w:p>
    <w:p w14:paraId="24988D9D" w14:textId="2B403923" w:rsidR="00630459" w:rsidRPr="00432348" w:rsidRDefault="00630459" w:rsidP="00432348">
      <w:pPr>
        <w:keepLines/>
        <w:spacing w:after="120" w:line="256" w:lineRule="auto"/>
        <w:rPr>
          <w:rFonts w:asciiTheme="minorHAnsi" w:eastAsia="Arial" w:hAnsiTheme="minorHAnsi" w:cstheme="minorHAnsi"/>
          <w:color w:val="000000"/>
          <w:sz w:val="22"/>
          <w:szCs w:val="18"/>
          <w:lang w:bidi="fr-FR"/>
        </w:rPr>
      </w:pPr>
      <w:r>
        <w:rPr>
          <w:rFonts w:asciiTheme="minorHAnsi" w:eastAsia="Arial" w:hAnsiTheme="minorHAnsi" w:cstheme="minorHAnsi"/>
          <w:color w:val="000000"/>
          <w:sz w:val="22"/>
          <w:szCs w:val="18"/>
          <w:lang w:bidi="fr-FR"/>
        </w:rPr>
        <w:t xml:space="preserve">Remarque : </w:t>
      </w:r>
      <w:r w:rsidRPr="00630459">
        <w:rPr>
          <w:rFonts w:asciiTheme="minorHAnsi" w:eastAsia="Arial" w:hAnsiTheme="minorHAnsi" w:cstheme="minorHAnsi"/>
          <w:color w:val="000000"/>
          <w:sz w:val="22"/>
          <w:szCs w:val="18"/>
          <w:lang w:bidi="fr-FR"/>
        </w:rPr>
        <w:t>Chaque colonne est un calcul indépendant des autres. Les affaires reçues sont des affaires reçues dans le délai, les affaires terminées sont celles terminées au cours de la période, pas nécessairement des affaires terminées sur celles reçues.</w:t>
      </w:r>
    </w:p>
    <w:p w14:paraId="3B9724AB" w14:textId="7F8D2814" w:rsidR="00C14ACA" w:rsidRPr="00C07A0F" w:rsidRDefault="00C07A0F" w:rsidP="00236552">
      <w:pPr>
        <w:pStyle w:val="Heading2"/>
        <w:spacing w:before="40"/>
        <w:rPr>
          <w:u w:val="single"/>
        </w:rPr>
      </w:pPr>
      <w:r w:rsidRPr="00C07A0F">
        <w:t>Résultats du sondage sur la dotation et l’impartialité politique</w:t>
      </w:r>
    </w:p>
    <w:p w14:paraId="47B1FE2D" w14:textId="77777777" w:rsidR="00380BDE" w:rsidRPr="00C07A0F" w:rsidRDefault="00380BDE" w:rsidP="002D3DA7">
      <w:pPr>
        <w:pStyle w:val="NoSpacing"/>
      </w:pPr>
      <w:r w:rsidRPr="00C07A0F">
        <w:t xml:space="preserve">En général, les résultats du Sondage sur la dotation et l’impartialité politique (SDIP) de </w:t>
      </w:r>
      <w:proofErr w:type="spellStart"/>
      <w:r w:rsidRPr="00C07A0F">
        <w:t>RNCan</w:t>
      </w:r>
      <w:proofErr w:type="spellEnd"/>
      <w:r w:rsidRPr="00C07A0F">
        <w:t xml:space="preserve"> sont similaires à ceux d’autres organismes de grande taille et de l’ensemble la fonction publique.</w:t>
      </w:r>
    </w:p>
    <w:p w14:paraId="23483099" w14:textId="4ED355CA" w:rsidR="00304BC2" w:rsidRPr="00C07A0F" w:rsidRDefault="009850B7" w:rsidP="002D3DA7">
      <w:pPr>
        <w:pStyle w:val="NoSpacing"/>
      </w:pPr>
      <w:r w:rsidRPr="00C07A0F">
        <w:lastRenderedPageBreak/>
        <w:t xml:space="preserve">44,3 % des employés de </w:t>
      </w:r>
      <w:proofErr w:type="spellStart"/>
      <w:r w:rsidRPr="00C07A0F">
        <w:t>RNCan</w:t>
      </w:r>
      <w:proofErr w:type="spellEnd"/>
      <w:r w:rsidRPr="00C07A0F">
        <w:t xml:space="preserve"> ont </w:t>
      </w:r>
      <w:r w:rsidR="003B1C67">
        <w:t>complété</w:t>
      </w:r>
      <w:r w:rsidR="003B1C67" w:rsidRPr="00C07A0F">
        <w:t xml:space="preserve"> </w:t>
      </w:r>
      <w:r w:rsidRPr="00C07A0F">
        <w:t xml:space="preserve">le SDIP de 2018, par rapport à 47,6 % </w:t>
      </w:r>
      <w:r w:rsidR="003B1C67">
        <w:t>dans</w:t>
      </w:r>
      <w:r w:rsidR="003B1C67" w:rsidRPr="00C07A0F">
        <w:t xml:space="preserve"> </w:t>
      </w:r>
      <w:r w:rsidRPr="00C07A0F">
        <w:t>l’ensemble de la fonction publique.</w:t>
      </w:r>
    </w:p>
    <w:p w14:paraId="3081DF17" w14:textId="446766B0" w:rsidR="00380BDE" w:rsidRPr="00731A77" w:rsidRDefault="007378D3" w:rsidP="00236552">
      <w:pPr>
        <w:pStyle w:val="NoSpacing"/>
        <w:spacing w:after="0"/>
      </w:pPr>
      <w:r w:rsidRPr="00C07A0F">
        <w:t>Voici les principales conclusions tirées des résultats du S</w:t>
      </w:r>
      <w:r w:rsidR="00F0212D" w:rsidRPr="00C07A0F">
        <w:t>DIP</w:t>
      </w:r>
      <w:r w:rsidRPr="00C07A0F">
        <w:t xml:space="preserve"> de 2018 de </w:t>
      </w:r>
      <w:proofErr w:type="spellStart"/>
      <w:r w:rsidRPr="00C07A0F">
        <w:t>RNCan</w:t>
      </w:r>
      <w:proofErr w:type="spellEnd"/>
      <w:r w:rsidRPr="00C07A0F">
        <w:t> :</w:t>
      </w:r>
    </w:p>
    <w:p w14:paraId="791E95E1" w14:textId="77777777" w:rsidR="00F22A45" w:rsidRPr="00F22A45" w:rsidRDefault="00F22A45" w:rsidP="00236552">
      <w:pPr>
        <w:pStyle w:val="NoSpacing"/>
        <w:numPr>
          <w:ilvl w:val="0"/>
          <w:numId w:val="17"/>
        </w:numPr>
        <w:spacing w:after="0"/>
      </w:pPr>
      <w:r w:rsidRPr="00F22A45">
        <w:t xml:space="preserve">64,6% des </w:t>
      </w:r>
      <w:r w:rsidRPr="00230B45">
        <w:rPr>
          <w:rStyle w:val="Strong"/>
        </w:rPr>
        <w:t>employés</w:t>
      </w:r>
      <w:r w:rsidRPr="00F22A45">
        <w:t xml:space="preserve"> estiment que l'on embauche des personnes qui peuvent effectuer le travail, comparativement à 52,3% dans les organisations de même taille et à 53,8% dans la fonction publique fédérale.</w:t>
      </w:r>
    </w:p>
    <w:p w14:paraId="2568E3F5" w14:textId="77777777" w:rsidR="00F22A45" w:rsidRPr="00F22A45" w:rsidRDefault="00F22A45" w:rsidP="00236552">
      <w:pPr>
        <w:pStyle w:val="NoSpacing"/>
        <w:numPr>
          <w:ilvl w:val="0"/>
          <w:numId w:val="17"/>
        </w:numPr>
        <w:spacing w:after="0"/>
      </w:pPr>
      <w:r w:rsidRPr="00F22A45">
        <w:t xml:space="preserve">55,5% des </w:t>
      </w:r>
      <w:r w:rsidRPr="00230B45">
        <w:rPr>
          <w:rStyle w:val="Strong"/>
        </w:rPr>
        <w:t>gestionnaires</w:t>
      </w:r>
      <w:r w:rsidRPr="00F22A45">
        <w:t xml:space="preserve"> estiment que la Nouvelle orientation en dotation a amélioré la façon d'embaucher et de nommer les candidats au sein de leur organisation, comparativement à 54,4% dans les organisations de même taille et à 56,1% dans la fonction publique fédérale.</w:t>
      </w:r>
    </w:p>
    <w:p w14:paraId="43FDF45D" w14:textId="77777777" w:rsidR="00F22A45" w:rsidRPr="00F22A45" w:rsidRDefault="00F22A45" w:rsidP="00F22A45">
      <w:pPr>
        <w:pStyle w:val="NoSpacing"/>
        <w:numPr>
          <w:ilvl w:val="0"/>
          <w:numId w:val="17"/>
        </w:numPr>
      </w:pPr>
      <w:r w:rsidRPr="00F22A45">
        <w:t xml:space="preserve">89,1% des </w:t>
      </w:r>
      <w:r w:rsidRPr="00230B45">
        <w:rPr>
          <w:rStyle w:val="Strong"/>
        </w:rPr>
        <w:t>gestionnaires</w:t>
      </w:r>
      <w:r w:rsidRPr="00F22A45">
        <w:t xml:space="preserve"> estiment qu'au sein de leur organisation, le processus administratif visant à pourvoir un poste est lourd, comparativement à 88,6% dans les organisations de même taille et 87,9% dans la fonction publique fédérale.</w:t>
      </w:r>
    </w:p>
    <w:p w14:paraId="1FC8D986" w14:textId="114FC5C4" w:rsidR="00C14ACA" w:rsidRPr="00236552" w:rsidRDefault="005D260F" w:rsidP="002D3DA7">
      <w:pPr>
        <w:pStyle w:val="Heading1"/>
      </w:pPr>
      <w:r w:rsidRPr="00236552">
        <w:t>Profil de la diversité</w:t>
      </w:r>
    </w:p>
    <w:p w14:paraId="5E0EC729" w14:textId="64619B9A" w:rsidR="000465B2" w:rsidRPr="008F477B" w:rsidRDefault="008F477B" w:rsidP="00236552">
      <w:pPr>
        <w:pStyle w:val="NoSpacing"/>
        <w:spacing w:after="0"/>
        <w:rPr>
          <w:rStyle w:val="Style3"/>
          <w:rFonts w:asciiTheme="minorHAnsi" w:hAnsiTheme="minorHAnsi"/>
        </w:rPr>
      </w:pPr>
      <w:proofErr w:type="spellStart"/>
      <w:r>
        <w:t>RNCan</w:t>
      </w:r>
      <w:proofErr w:type="spellEnd"/>
      <w:r w:rsidRPr="008F477B">
        <w:t xml:space="preserve"> est légèrement au-dessus de la représentation pour les membres de minorités visibles</w:t>
      </w:r>
      <w:r w:rsidR="00C75177" w:rsidRPr="008F477B">
        <w:t xml:space="preserve">, </w:t>
      </w:r>
      <w:r>
        <w:t xml:space="preserve">mais est </w:t>
      </w:r>
      <w:r w:rsidRPr="008F477B">
        <w:t>sous-représenté dans les groupes désignés suivants</w:t>
      </w:r>
      <w:r>
        <w:t xml:space="preserve"> </w:t>
      </w:r>
      <w:r w:rsidR="00C75177" w:rsidRPr="008F477B">
        <w:rPr>
          <w:rStyle w:val="Style3"/>
          <w:rFonts w:asciiTheme="minorHAnsi" w:hAnsiTheme="minorHAnsi"/>
        </w:rPr>
        <w:t>:</w:t>
      </w:r>
    </w:p>
    <w:p w14:paraId="77FB61DB" w14:textId="141C8037" w:rsidR="000465B2" w:rsidRPr="008F477B" w:rsidRDefault="008F477B" w:rsidP="008F477B">
      <w:pPr>
        <w:pStyle w:val="NoSpacing"/>
        <w:numPr>
          <w:ilvl w:val="0"/>
          <w:numId w:val="18"/>
        </w:numPr>
        <w:spacing w:after="0"/>
      </w:pPr>
      <w:r w:rsidRPr="008F477B">
        <w:t>Les fem</w:t>
      </w:r>
      <w:r>
        <w:t>mes sont sous-représentées à 46,</w:t>
      </w:r>
      <w:r w:rsidRPr="008F477B">
        <w:t>5</w:t>
      </w:r>
      <w:r>
        <w:t xml:space="preserve"> </w:t>
      </w:r>
      <w:r w:rsidRPr="008F477B">
        <w:t>% de l’effectif, alors que le taux de disponibilité au sein de</w:t>
      </w:r>
      <w:r>
        <w:t xml:space="preserve"> la population active est de 52,</w:t>
      </w:r>
      <w:r w:rsidRPr="008F477B">
        <w:t>7</w:t>
      </w:r>
      <w:r>
        <w:t xml:space="preserve"> </w:t>
      </w:r>
      <w:r w:rsidRPr="008F477B">
        <w:t>%;</w:t>
      </w:r>
    </w:p>
    <w:p w14:paraId="01E61954" w14:textId="4C0C5F0B" w:rsidR="000465B2" w:rsidRPr="008F477B" w:rsidRDefault="008F477B" w:rsidP="008F477B">
      <w:pPr>
        <w:pStyle w:val="NoSpacing"/>
        <w:numPr>
          <w:ilvl w:val="0"/>
          <w:numId w:val="18"/>
        </w:numPr>
        <w:spacing w:after="0"/>
      </w:pPr>
      <w:r>
        <w:t>L</w:t>
      </w:r>
      <w:r w:rsidRPr="008F477B">
        <w:t>es Autoch</w:t>
      </w:r>
      <w:r>
        <w:t>tones sont sous-représentés à 2,</w:t>
      </w:r>
      <w:r w:rsidRPr="008F477B">
        <w:t>6</w:t>
      </w:r>
      <w:r>
        <w:t xml:space="preserve"> </w:t>
      </w:r>
      <w:r w:rsidRPr="008F477B">
        <w:t>% de l’effectif, alors que le taux de disponibilité de ce groupe est de 4</w:t>
      </w:r>
      <w:r>
        <w:t>,</w:t>
      </w:r>
      <w:r w:rsidRPr="008F477B">
        <w:t>0</w:t>
      </w:r>
      <w:r>
        <w:t xml:space="preserve"> </w:t>
      </w:r>
      <w:r w:rsidRPr="008F477B">
        <w:t>%;</w:t>
      </w:r>
    </w:p>
    <w:p w14:paraId="73666E46" w14:textId="3D8F651D" w:rsidR="000465B2" w:rsidRPr="008F477B" w:rsidRDefault="008F477B" w:rsidP="008F477B">
      <w:pPr>
        <w:pStyle w:val="NoSpacing"/>
        <w:numPr>
          <w:ilvl w:val="0"/>
          <w:numId w:val="18"/>
        </w:numPr>
        <w:rPr>
          <w:rStyle w:val="Style3"/>
          <w:rFonts w:asciiTheme="minorHAnsi" w:hAnsiTheme="minorHAnsi"/>
        </w:rPr>
      </w:pPr>
      <w:r w:rsidRPr="008F477B">
        <w:t xml:space="preserve">Les personnes handicapées sont sous-représentées </w:t>
      </w:r>
      <w:r>
        <w:t>à 4,</w:t>
      </w:r>
      <w:r w:rsidRPr="008F477B">
        <w:t>5</w:t>
      </w:r>
      <w:r>
        <w:t xml:space="preserve"> </w:t>
      </w:r>
      <w:r w:rsidRPr="008F477B">
        <w:t>% de l’effectif, alors que le taux de disponibilité de ce groupe est de 9</w:t>
      </w:r>
      <w:r>
        <w:t>,</w:t>
      </w:r>
      <w:r w:rsidRPr="008F477B">
        <w:t>0</w:t>
      </w:r>
      <w:r>
        <w:t xml:space="preserve"> </w:t>
      </w:r>
      <w:r w:rsidRPr="008F477B">
        <w:t>%;</w:t>
      </w:r>
    </w:p>
    <w:p w14:paraId="3BA16D91" w14:textId="7A3C717B" w:rsidR="000465B2" w:rsidRPr="008F477B" w:rsidRDefault="008F477B" w:rsidP="002D3DA7">
      <w:pPr>
        <w:pStyle w:val="NoSpacing"/>
      </w:pPr>
      <w:r w:rsidRPr="008F477B">
        <w:t>L’organisation devrait prendre des mesures pour combler l’écart de représentation des femmes, des Autochtones, et des personnes handicapées et continuer les nominations des membres des groupes désignés fondées sur le mérite, le cas échéant, afin d’assurer la représentativité de son effectif.</w:t>
      </w:r>
    </w:p>
    <w:p w14:paraId="1C767005" w14:textId="69A5BA79" w:rsidR="00810B3D" w:rsidRPr="00810B3D" w:rsidRDefault="00810B3D" w:rsidP="00810B3D">
      <w:pPr>
        <w:pStyle w:val="Caption"/>
        <w:keepNext/>
        <w:spacing w:after="0"/>
        <w:rPr>
          <w:rFonts w:asciiTheme="minorHAnsi" w:hAnsiTheme="minorHAnsi" w:cstheme="minorHAnsi"/>
          <w:i w:val="0"/>
          <w:iCs w:val="0"/>
          <w:color w:val="auto"/>
        </w:rPr>
      </w:pPr>
      <w:r w:rsidRPr="00810B3D">
        <w:rPr>
          <w:rFonts w:asciiTheme="minorHAnsi" w:hAnsiTheme="minorHAnsi" w:cstheme="minorHAnsi"/>
          <w:i w:val="0"/>
          <w:iCs w:val="0"/>
          <w:color w:val="auto"/>
        </w:rPr>
        <w:t xml:space="preserve">Tableau </w:t>
      </w:r>
      <w:r w:rsidRPr="00810B3D">
        <w:rPr>
          <w:rFonts w:asciiTheme="minorHAnsi" w:hAnsiTheme="minorHAnsi" w:cstheme="minorHAnsi"/>
          <w:i w:val="0"/>
          <w:iCs w:val="0"/>
          <w:color w:val="auto"/>
        </w:rPr>
        <w:fldChar w:fldCharType="begin"/>
      </w:r>
      <w:r w:rsidRPr="00810B3D">
        <w:rPr>
          <w:rFonts w:asciiTheme="minorHAnsi" w:hAnsiTheme="minorHAnsi" w:cstheme="minorHAnsi"/>
          <w:i w:val="0"/>
          <w:iCs w:val="0"/>
          <w:color w:val="auto"/>
        </w:rPr>
        <w:instrText xml:space="preserve"> SEQ Tableau \* ARABIC </w:instrText>
      </w:r>
      <w:r w:rsidRPr="00810B3D">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2</w:t>
      </w:r>
      <w:r w:rsidRPr="00810B3D">
        <w:rPr>
          <w:rFonts w:asciiTheme="minorHAnsi" w:hAnsiTheme="minorHAnsi" w:cstheme="minorHAnsi"/>
          <w:i w:val="0"/>
          <w:iCs w:val="0"/>
          <w:color w:val="auto"/>
        </w:rPr>
        <w:fldChar w:fldCharType="end"/>
      </w:r>
      <w:r w:rsidRPr="00810B3D">
        <w:rPr>
          <w:rFonts w:asciiTheme="minorHAnsi" w:hAnsiTheme="minorHAnsi" w:cstheme="minorHAnsi"/>
          <w:i w:val="0"/>
          <w:iCs w:val="0"/>
          <w:color w:val="auto"/>
        </w:rPr>
        <w:t xml:space="preserve"> - Profil de diversité</w:t>
      </w:r>
    </w:p>
    <w:tbl>
      <w:tblPr>
        <w:tblStyle w:val="TableGrid"/>
        <w:tblW w:w="5000" w:type="pct"/>
        <w:jc w:val="center"/>
        <w:tblLook w:val="04A0" w:firstRow="1" w:lastRow="0" w:firstColumn="1" w:lastColumn="0" w:noHBand="0" w:noVBand="1"/>
        <w:tblCaption w:val="Diversity Profile"/>
        <w:tblDescription w:val="Profil de diversité"/>
      </w:tblPr>
      <w:tblGrid>
        <w:gridCol w:w="2054"/>
        <w:gridCol w:w="2673"/>
        <w:gridCol w:w="2024"/>
        <w:gridCol w:w="2599"/>
      </w:tblGrid>
      <w:tr w:rsidR="00236552" w:rsidRPr="00236552" w14:paraId="0307C3D8" w14:textId="77777777" w:rsidTr="00236552">
        <w:trPr>
          <w:cantSplit/>
          <w:trHeight w:val="759"/>
          <w:tblHeader/>
          <w:jc w:val="center"/>
        </w:trPr>
        <w:tc>
          <w:tcPr>
            <w:tcW w:w="1098" w:type="pct"/>
            <w:shd w:val="clear" w:color="auto" w:fill="54575A" w:themeFill="text1"/>
            <w:hideMark/>
          </w:tcPr>
          <w:p w14:paraId="5304383B" w14:textId="72C4740A" w:rsidR="00B9764B" w:rsidRPr="00236552" w:rsidRDefault="00B9764B" w:rsidP="00236552">
            <w:pPr>
              <w:pStyle w:val="TableTitle"/>
              <w:rPr>
                <w:rFonts w:cs="Segoe UI Semibold"/>
                <w:bCs/>
                <w:color w:val="FFFFFF" w:themeColor="background1"/>
                <w:sz w:val="22"/>
                <w:szCs w:val="22"/>
              </w:rPr>
            </w:pPr>
            <w:r w:rsidRPr="00236552">
              <w:rPr>
                <w:rFonts w:cs="Segoe UI Semibold"/>
                <w:color w:val="FFFFFF" w:themeColor="background1"/>
                <w:sz w:val="22"/>
                <w:szCs w:val="22"/>
              </w:rPr>
              <w:t>Groupe désigné</w:t>
            </w:r>
          </w:p>
        </w:tc>
        <w:tc>
          <w:tcPr>
            <w:tcW w:w="1429" w:type="pct"/>
            <w:shd w:val="clear" w:color="auto" w:fill="54575A" w:themeFill="text1"/>
            <w:hideMark/>
          </w:tcPr>
          <w:p w14:paraId="3FB27F69" w14:textId="48DA92BB" w:rsidR="00B9764B" w:rsidRPr="00236552" w:rsidRDefault="00B9764B" w:rsidP="00236552">
            <w:pPr>
              <w:pStyle w:val="TableTitle"/>
              <w:rPr>
                <w:rFonts w:cs="Segoe UI Semibold"/>
                <w:bCs/>
                <w:color w:val="FFFFFF" w:themeColor="background1"/>
                <w:sz w:val="22"/>
                <w:szCs w:val="22"/>
              </w:rPr>
            </w:pPr>
            <w:r w:rsidRPr="00236552">
              <w:rPr>
                <w:rFonts w:cs="Segoe UI Semibold"/>
                <w:color w:val="FFFFFF" w:themeColor="background1"/>
                <w:sz w:val="22"/>
                <w:szCs w:val="22"/>
              </w:rPr>
              <w:t>Disponibilité au sein de la population active</w:t>
            </w:r>
          </w:p>
        </w:tc>
        <w:tc>
          <w:tcPr>
            <w:tcW w:w="1082" w:type="pct"/>
            <w:shd w:val="clear" w:color="auto" w:fill="BF3C00"/>
            <w:hideMark/>
          </w:tcPr>
          <w:p w14:paraId="3DCEB157" w14:textId="07F1B4B6" w:rsidR="00B9764B" w:rsidRPr="00236552" w:rsidRDefault="00B9764B" w:rsidP="00236552">
            <w:pPr>
              <w:pStyle w:val="TableTitle"/>
              <w:rPr>
                <w:rFonts w:cs="Segoe UI Semibold"/>
                <w:bCs/>
                <w:color w:val="FFFFFF" w:themeColor="background1"/>
                <w:sz w:val="22"/>
                <w:szCs w:val="22"/>
              </w:rPr>
            </w:pPr>
            <w:r w:rsidRPr="00236552">
              <w:rPr>
                <w:rFonts w:cs="Segoe UI Semibold"/>
                <w:color w:val="FFFFFF" w:themeColor="background1"/>
                <w:sz w:val="22"/>
                <w:szCs w:val="22"/>
              </w:rPr>
              <w:t>Ressources naturelles Canada</w:t>
            </w:r>
          </w:p>
        </w:tc>
        <w:tc>
          <w:tcPr>
            <w:tcW w:w="1390" w:type="pct"/>
            <w:shd w:val="clear" w:color="auto" w:fill="54575A" w:themeFill="text1"/>
            <w:hideMark/>
          </w:tcPr>
          <w:p w14:paraId="7BABA5E2" w14:textId="6271A014" w:rsidR="00B9764B" w:rsidRPr="00236552" w:rsidRDefault="00B9764B" w:rsidP="00236552">
            <w:pPr>
              <w:pStyle w:val="TableTitle"/>
              <w:rPr>
                <w:rFonts w:cs="Segoe UI Semibold"/>
                <w:bCs/>
                <w:color w:val="FFFFFF" w:themeColor="background1"/>
                <w:sz w:val="22"/>
                <w:szCs w:val="22"/>
              </w:rPr>
            </w:pPr>
            <w:r w:rsidRPr="00236552">
              <w:rPr>
                <w:rFonts w:cs="Segoe UI Semibold"/>
                <w:color w:val="FFFFFF" w:themeColor="background1"/>
                <w:sz w:val="22"/>
                <w:szCs w:val="22"/>
              </w:rPr>
              <w:t>Représentation à la fonction publique</w:t>
            </w:r>
          </w:p>
        </w:tc>
      </w:tr>
      <w:tr w:rsidR="00236552" w:rsidRPr="001B470C" w14:paraId="236CD6B4" w14:textId="77777777" w:rsidTr="00236552">
        <w:trPr>
          <w:cantSplit/>
          <w:tblHeader/>
          <w:jc w:val="center"/>
        </w:trPr>
        <w:tc>
          <w:tcPr>
            <w:tcW w:w="1098" w:type="pct"/>
            <w:shd w:val="clear" w:color="auto" w:fill="54575A" w:themeFill="text1"/>
            <w:hideMark/>
          </w:tcPr>
          <w:p w14:paraId="5BF0E8F1" w14:textId="5B283268" w:rsidR="00B9764B" w:rsidRPr="00236552" w:rsidRDefault="00B9764B" w:rsidP="00B9764B">
            <w:pPr>
              <w:spacing w:before="120"/>
              <w:rPr>
                <w:rFonts w:asciiTheme="minorHAnsi" w:hAnsiTheme="minorHAnsi" w:cstheme="minorHAnsi"/>
                <w:color w:val="FFFFFF" w:themeColor="background1"/>
                <w:sz w:val="22"/>
                <w:szCs w:val="22"/>
              </w:rPr>
            </w:pPr>
            <w:r w:rsidRPr="00236552">
              <w:rPr>
                <w:rFonts w:asciiTheme="minorHAnsi" w:hAnsiTheme="minorHAnsi" w:cstheme="minorHAnsi"/>
                <w:color w:val="FFFFFF" w:themeColor="background1"/>
                <w:sz w:val="22"/>
                <w:szCs w:val="22"/>
              </w:rPr>
              <w:t>Femmes</w:t>
            </w:r>
          </w:p>
        </w:tc>
        <w:tc>
          <w:tcPr>
            <w:tcW w:w="1429" w:type="pct"/>
            <w:hideMark/>
          </w:tcPr>
          <w:p w14:paraId="44255D97" w14:textId="4B301989" w:rsidR="00B9764B" w:rsidRPr="001B470C" w:rsidRDefault="008F477B" w:rsidP="00B9764B">
            <w:pPr>
              <w:spacing w:before="120"/>
              <w:jc w:val="center"/>
              <w:rPr>
                <w:rFonts w:asciiTheme="minorHAnsi" w:hAnsiTheme="minorHAnsi" w:cstheme="minorHAnsi"/>
                <w:sz w:val="22"/>
                <w:szCs w:val="22"/>
              </w:rPr>
            </w:pPr>
            <w:r w:rsidRPr="001B470C">
              <w:rPr>
                <w:rFonts w:asciiTheme="minorHAnsi" w:hAnsiTheme="minorHAnsi" w:cstheme="minorHAnsi"/>
                <w:sz w:val="22"/>
                <w:szCs w:val="22"/>
              </w:rPr>
              <w:t>52,</w:t>
            </w:r>
            <w:r w:rsidR="00B9764B" w:rsidRPr="001B470C">
              <w:rPr>
                <w:rFonts w:asciiTheme="minorHAnsi" w:hAnsiTheme="minorHAnsi" w:cstheme="minorHAnsi"/>
                <w:sz w:val="22"/>
                <w:szCs w:val="22"/>
              </w:rPr>
              <w:t>7</w:t>
            </w:r>
            <w:r w:rsidRPr="001B470C">
              <w:rPr>
                <w:rFonts w:asciiTheme="minorHAnsi" w:hAnsiTheme="minorHAnsi" w:cstheme="minorHAnsi"/>
                <w:sz w:val="22"/>
                <w:szCs w:val="22"/>
              </w:rPr>
              <w:t xml:space="preserve"> </w:t>
            </w:r>
            <w:r w:rsidR="00B9764B" w:rsidRPr="001B470C">
              <w:rPr>
                <w:rFonts w:asciiTheme="minorHAnsi" w:hAnsiTheme="minorHAnsi" w:cstheme="minorHAnsi"/>
                <w:sz w:val="22"/>
                <w:szCs w:val="22"/>
              </w:rPr>
              <w:t>%</w:t>
            </w:r>
          </w:p>
        </w:tc>
        <w:tc>
          <w:tcPr>
            <w:tcW w:w="1082" w:type="pct"/>
          </w:tcPr>
          <w:p w14:paraId="688433E2" w14:textId="3F8E76B3" w:rsidR="00B9764B" w:rsidRPr="001B470C" w:rsidRDefault="00B9764B" w:rsidP="00B9764B">
            <w:pPr>
              <w:autoSpaceDE w:val="0"/>
              <w:autoSpaceDN w:val="0"/>
              <w:spacing w:before="120"/>
              <w:jc w:val="center"/>
              <w:rPr>
                <w:rFonts w:asciiTheme="minorHAnsi" w:hAnsiTheme="minorHAnsi" w:cstheme="minorHAnsi"/>
                <w:sz w:val="22"/>
                <w:szCs w:val="22"/>
              </w:rPr>
            </w:pPr>
            <w:r w:rsidRPr="001B470C">
              <w:rPr>
                <w:rFonts w:asciiTheme="minorHAnsi" w:hAnsiTheme="minorHAnsi" w:cstheme="minorHAnsi"/>
                <w:sz w:val="22"/>
                <w:szCs w:val="22"/>
              </w:rPr>
              <w:sym w:font="Symbol" w:char="F0AF"/>
            </w:r>
            <w:r w:rsidR="008F477B" w:rsidRPr="001B470C">
              <w:rPr>
                <w:rFonts w:asciiTheme="minorHAnsi" w:hAnsiTheme="minorHAnsi" w:cstheme="minorHAnsi"/>
                <w:sz w:val="22"/>
                <w:szCs w:val="22"/>
              </w:rPr>
              <w:t xml:space="preserve">   46,</w:t>
            </w:r>
            <w:r w:rsidRPr="001B470C">
              <w:rPr>
                <w:rFonts w:asciiTheme="minorHAnsi" w:hAnsiTheme="minorHAnsi" w:cstheme="minorHAnsi"/>
                <w:sz w:val="22"/>
                <w:szCs w:val="22"/>
              </w:rPr>
              <w:t>5</w:t>
            </w:r>
            <w:r w:rsidR="008F477B" w:rsidRPr="001B470C">
              <w:rPr>
                <w:rFonts w:asciiTheme="minorHAnsi" w:hAnsiTheme="minorHAnsi" w:cstheme="minorHAnsi"/>
                <w:sz w:val="22"/>
                <w:szCs w:val="22"/>
              </w:rPr>
              <w:t xml:space="preserve"> </w:t>
            </w:r>
            <w:r w:rsidRPr="001B470C">
              <w:rPr>
                <w:rFonts w:asciiTheme="minorHAnsi" w:hAnsiTheme="minorHAnsi" w:cstheme="minorHAnsi"/>
                <w:sz w:val="22"/>
                <w:szCs w:val="22"/>
              </w:rPr>
              <w:t>%</w:t>
            </w:r>
          </w:p>
        </w:tc>
        <w:tc>
          <w:tcPr>
            <w:tcW w:w="1390" w:type="pct"/>
            <w:hideMark/>
          </w:tcPr>
          <w:p w14:paraId="32C750A0" w14:textId="65780A05" w:rsidR="00B9764B" w:rsidRPr="001B470C" w:rsidRDefault="008F477B" w:rsidP="00B9764B">
            <w:pPr>
              <w:autoSpaceDE w:val="0"/>
              <w:autoSpaceDN w:val="0"/>
              <w:spacing w:before="120"/>
              <w:jc w:val="center"/>
              <w:rPr>
                <w:rFonts w:asciiTheme="minorHAnsi" w:hAnsiTheme="minorHAnsi" w:cstheme="minorHAnsi"/>
                <w:sz w:val="22"/>
                <w:szCs w:val="22"/>
              </w:rPr>
            </w:pPr>
            <w:r w:rsidRPr="001B470C">
              <w:rPr>
                <w:rFonts w:asciiTheme="minorHAnsi" w:hAnsiTheme="minorHAnsi" w:cstheme="minorHAnsi"/>
                <w:sz w:val="22"/>
                <w:szCs w:val="22"/>
              </w:rPr>
              <w:t>54,</w:t>
            </w:r>
            <w:r w:rsidR="00B9764B" w:rsidRPr="001B470C">
              <w:rPr>
                <w:rFonts w:asciiTheme="minorHAnsi" w:hAnsiTheme="minorHAnsi" w:cstheme="minorHAnsi"/>
                <w:sz w:val="22"/>
                <w:szCs w:val="22"/>
              </w:rPr>
              <w:t>8</w:t>
            </w:r>
            <w:r w:rsidRPr="001B470C">
              <w:rPr>
                <w:rFonts w:asciiTheme="minorHAnsi" w:hAnsiTheme="minorHAnsi" w:cstheme="minorHAnsi"/>
                <w:sz w:val="22"/>
                <w:szCs w:val="22"/>
              </w:rPr>
              <w:t xml:space="preserve"> </w:t>
            </w:r>
            <w:r w:rsidR="00B9764B" w:rsidRPr="001B470C">
              <w:rPr>
                <w:rFonts w:asciiTheme="minorHAnsi" w:hAnsiTheme="minorHAnsi" w:cstheme="minorHAnsi"/>
                <w:sz w:val="22"/>
                <w:szCs w:val="22"/>
              </w:rPr>
              <w:t>%</w:t>
            </w:r>
          </w:p>
        </w:tc>
      </w:tr>
      <w:tr w:rsidR="00236552" w:rsidRPr="001B470C" w14:paraId="3AC2223C" w14:textId="77777777" w:rsidTr="00236552">
        <w:trPr>
          <w:cantSplit/>
          <w:tblHeader/>
          <w:jc w:val="center"/>
        </w:trPr>
        <w:tc>
          <w:tcPr>
            <w:tcW w:w="1098" w:type="pct"/>
            <w:shd w:val="clear" w:color="auto" w:fill="54575A" w:themeFill="text1"/>
            <w:hideMark/>
          </w:tcPr>
          <w:p w14:paraId="2175834C" w14:textId="719514D5" w:rsidR="00B9764B" w:rsidRPr="00236552" w:rsidRDefault="00B9764B" w:rsidP="00B9764B">
            <w:pPr>
              <w:spacing w:before="120"/>
              <w:rPr>
                <w:rFonts w:asciiTheme="minorHAnsi" w:hAnsiTheme="minorHAnsi" w:cstheme="minorHAnsi"/>
                <w:color w:val="FFFFFF" w:themeColor="background1"/>
                <w:sz w:val="22"/>
                <w:szCs w:val="22"/>
              </w:rPr>
            </w:pPr>
            <w:r w:rsidRPr="00236552">
              <w:rPr>
                <w:rFonts w:asciiTheme="minorHAnsi" w:hAnsiTheme="minorHAnsi" w:cstheme="minorHAnsi"/>
                <w:color w:val="FFFFFF" w:themeColor="background1"/>
                <w:sz w:val="22"/>
                <w:szCs w:val="22"/>
              </w:rPr>
              <w:t>Autochtones</w:t>
            </w:r>
          </w:p>
        </w:tc>
        <w:tc>
          <w:tcPr>
            <w:tcW w:w="1429" w:type="pct"/>
            <w:hideMark/>
          </w:tcPr>
          <w:p w14:paraId="343AAE29" w14:textId="182CC715" w:rsidR="00B9764B" w:rsidRPr="001B470C" w:rsidRDefault="008F477B" w:rsidP="00B9764B">
            <w:pPr>
              <w:spacing w:before="120"/>
              <w:jc w:val="center"/>
              <w:rPr>
                <w:rFonts w:asciiTheme="minorHAnsi" w:hAnsiTheme="minorHAnsi" w:cstheme="minorHAnsi"/>
                <w:sz w:val="22"/>
                <w:szCs w:val="22"/>
              </w:rPr>
            </w:pPr>
            <w:r w:rsidRPr="001B470C">
              <w:rPr>
                <w:rFonts w:asciiTheme="minorHAnsi" w:hAnsiTheme="minorHAnsi" w:cstheme="minorHAnsi"/>
                <w:sz w:val="22"/>
                <w:szCs w:val="22"/>
              </w:rPr>
              <w:t>4,</w:t>
            </w:r>
            <w:r w:rsidR="00B9764B" w:rsidRPr="001B470C">
              <w:rPr>
                <w:rFonts w:asciiTheme="minorHAnsi" w:hAnsiTheme="minorHAnsi" w:cstheme="minorHAnsi"/>
                <w:sz w:val="22"/>
                <w:szCs w:val="22"/>
              </w:rPr>
              <w:t>0</w:t>
            </w:r>
            <w:r w:rsidRPr="001B470C">
              <w:rPr>
                <w:rFonts w:asciiTheme="minorHAnsi" w:hAnsiTheme="minorHAnsi" w:cstheme="minorHAnsi"/>
                <w:sz w:val="22"/>
                <w:szCs w:val="22"/>
              </w:rPr>
              <w:t xml:space="preserve"> </w:t>
            </w:r>
            <w:r w:rsidR="00B9764B" w:rsidRPr="001B470C">
              <w:rPr>
                <w:rFonts w:asciiTheme="minorHAnsi" w:hAnsiTheme="minorHAnsi" w:cstheme="minorHAnsi"/>
                <w:sz w:val="22"/>
                <w:szCs w:val="22"/>
              </w:rPr>
              <w:t>%</w:t>
            </w:r>
          </w:p>
        </w:tc>
        <w:tc>
          <w:tcPr>
            <w:tcW w:w="1082" w:type="pct"/>
          </w:tcPr>
          <w:p w14:paraId="4A383389" w14:textId="42159504" w:rsidR="00B9764B" w:rsidRPr="001B470C" w:rsidRDefault="00B9764B" w:rsidP="00B9764B">
            <w:pPr>
              <w:autoSpaceDE w:val="0"/>
              <w:autoSpaceDN w:val="0"/>
              <w:spacing w:before="120"/>
              <w:jc w:val="center"/>
              <w:rPr>
                <w:rFonts w:asciiTheme="minorHAnsi" w:hAnsiTheme="minorHAnsi" w:cstheme="minorHAnsi"/>
                <w:sz w:val="22"/>
                <w:szCs w:val="22"/>
              </w:rPr>
            </w:pPr>
            <w:r w:rsidRPr="001B470C">
              <w:rPr>
                <w:rFonts w:asciiTheme="minorHAnsi" w:hAnsiTheme="minorHAnsi" w:cstheme="minorHAnsi"/>
                <w:sz w:val="22"/>
                <w:szCs w:val="22"/>
              </w:rPr>
              <w:sym w:font="Symbol" w:char="F0AF"/>
            </w:r>
            <w:r w:rsidR="008F477B" w:rsidRPr="001B470C">
              <w:rPr>
                <w:rFonts w:asciiTheme="minorHAnsi" w:hAnsiTheme="minorHAnsi" w:cstheme="minorHAnsi"/>
                <w:sz w:val="22"/>
                <w:szCs w:val="22"/>
              </w:rPr>
              <w:t xml:space="preserve">   2,</w:t>
            </w:r>
            <w:r w:rsidRPr="001B470C">
              <w:rPr>
                <w:rFonts w:asciiTheme="minorHAnsi" w:hAnsiTheme="minorHAnsi" w:cstheme="minorHAnsi"/>
                <w:sz w:val="22"/>
                <w:szCs w:val="22"/>
              </w:rPr>
              <w:t>6</w:t>
            </w:r>
            <w:r w:rsidR="008F477B" w:rsidRPr="001B470C">
              <w:rPr>
                <w:rFonts w:asciiTheme="minorHAnsi" w:hAnsiTheme="minorHAnsi" w:cstheme="minorHAnsi"/>
                <w:sz w:val="22"/>
                <w:szCs w:val="22"/>
              </w:rPr>
              <w:t xml:space="preserve"> </w:t>
            </w:r>
            <w:r w:rsidRPr="001B470C">
              <w:rPr>
                <w:rFonts w:asciiTheme="minorHAnsi" w:hAnsiTheme="minorHAnsi" w:cstheme="minorHAnsi"/>
                <w:sz w:val="22"/>
                <w:szCs w:val="22"/>
              </w:rPr>
              <w:t>%</w:t>
            </w:r>
          </w:p>
        </w:tc>
        <w:tc>
          <w:tcPr>
            <w:tcW w:w="1390" w:type="pct"/>
            <w:hideMark/>
          </w:tcPr>
          <w:p w14:paraId="691DE409" w14:textId="3F1B2AE4" w:rsidR="00B9764B" w:rsidRPr="001B470C" w:rsidRDefault="008F477B" w:rsidP="00B9764B">
            <w:pPr>
              <w:autoSpaceDE w:val="0"/>
              <w:autoSpaceDN w:val="0"/>
              <w:spacing w:before="120"/>
              <w:jc w:val="center"/>
              <w:rPr>
                <w:rFonts w:asciiTheme="minorHAnsi" w:hAnsiTheme="minorHAnsi" w:cstheme="minorHAnsi"/>
                <w:sz w:val="22"/>
                <w:szCs w:val="22"/>
              </w:rPr>
            </w:pPr>
            <w:r w:rsidRPr="001B470C">
              <w:rPr>
                <w:rFonts w:asciiTheme="minorHAnsi" w:hAnsiTheme="minorHAnsi" w:cstheme="minorHAnsi"/>
                <w:sz w:val="22"/>
                <w:szCs w:val="22"/>
              </w:rPr>
              <w:t>5,</w:t>
            </w:r>
            <w:r w:rsidR="00B9764B" w:rsidRPr="001B470C">
              <w:rPr>
                <w:rFonts w:asciiTheme="minorHAnsi" w:hAnsiTheme="minorHAnsi" w:cstheme="minorHAnsi"/>
                <w:sz w:val="22"/>
                <w:szCs w:val="22"/>
              </w:rPr>
              <w:t>1</w:t>
            </w:r>
            <w:r w:rsidRPr="001B470C">
              <w:rPr>
                <w:rFonts w:asciiTheme="minorHAnsi" w:hAnsiTheme="minorHAnsi" w:cstheme="minorHAnsi"/>
                <w:sz w:val="22"/>
                <w:szCs w:val="22"/>
              </w:rPr>
              <w:t xml:space="preserve"> </w:t>
            </w:r>
            <w:r w:rsidR="00B9764B" w:rsidRPr="001B470C">
              <w:rPr>
                <w:rFonts w:asciiTheme="minorHAnsi" w:hAnsiTheme="minorHAnsi" w:cstheme="minorHAnsi"/>
                <w:sz w:val="22"/>
                <w:szCs w:val="22"/>
              </w:rPr>
              <w:t>%</w:t>
            </w:r>
          </w:p>
        </w:tc>
      </w:tr>
      <w:tr w:rsidR="00236552" w:rsidRPr="001B470C" w14:paraId="11D7C186" w14:textId="77777777" w:rsidTr="00236552">
        <w:trPr>
          <w:cantSplit/>
          <w:trHeight w:val="598"/>
          <w:tblHeader/>
          <w:jc w:val="center"/>
        </w:trPr>
        <w:tc>
          <w:tcPr>
            <w:tcW w:w="1098" w:type="pct"/>
            <w:shd w:val="clear" w:color="auto" w:fill="54575A" w:themeFill="text1"/>
            <w:hideMark/>
          </w:tcPr>
          <w:p w14:paraId="44A82007" w14:textId="2FB2C5F8" w:rsidR="00B9764B" w:rsidRPr="00236552" w:rsidRDefault="00B9764B" w:rsidP="00B9764B">
            <w:pPr>
              <w:spacing w:before="120"/>
              <w:rPr>
                <w:rFonts w:asciiTheme="minorHAnsi" w:hAnsiTheme="minorHAnsi" w:cstheme="minorHAnsi"/>
                <w:color w:val="FFFFFF" w:themeColor="background1"/>
                <w:sz w:val="22"/>
                <w:szCs w:val="22"/>
              </w:rPr>
            </w:pPr>
            <w:r w:rsidRPr="00236552">
              <w:rPr>
                <w:rFonts w:asciiTheme="minorHAnsi" w:hAnsiTheme="minorHAnsi" w:cstheme="minorHAnsi"/>
                <w:color w:val="FFFFFF" w:themeColor="background1"/>
                <w:sz w:val="22"/>
                <w:szCs w:val="22"/>
              </w:rPr>
              <w:t>Personnes handicapées</w:t>
            </w:r>
          </w:p>
        </w:tc>
        <w:tc>
          <w:tcPr>
            <w:tcW w:w="1429" w:type="pct"/>
            <w:hideMark/>
          </w:tcPr>
          <w:p w14:paraId="00E18A48" w14:textId="0F50BA3B" w:rsidR="00B9764B" w:rsidRPr="001B470C" w:rsidRDefault="008F477B" w:rsidP="00B9764B">
            <w:pPr>
              <w:spacing w:before="120"/>
              <w:jc w:val="center"/>
              <w:rPr>
                <w:rFonts w:asciiTheme="minorHAnsi" w:hAnsiTheme="minorHAnsi" w:cstheme="minorHAnsi"/>
                <w:sz w:val="22"/>
                <w:szCs w:val="22"/>
              </w:rPr>
            </w:pPr>
            <w:r w:rsidRPr="001B470C">
              <w:rPr>
                <w:rFonts w:asciiTheme="minorHAnsi" w:hAnsiTheme="minorHAnsi" w:cstheme="minorHAnsi"/>
                <w:sz w:val="22"/>
                <w:szCs w:val="22"/>
              </w:rPr>
              <w:t>9,</w:t>
            </w:r>
            <w:r w:rsidR="00B9764B" w:rsidRPr="001B470C">
              <w:rPr>
                <w:rFonts w:asciiTheme="minorHAnsi" w:hAnsiTheme="minorHAnsi" w:cstheme="minorHAnsi"/>
                <w:sz w:val="22"/>
                <w:szCs w:val="22"/>
              </w:rPr>
              <w:t>0</w:t>
            </w:r>
            <w:r w:rsidRPr="001B470C">
              <w:rPr>
                <w:rFonts w:asciiTheme="minorHAnsi" w:hAnsiTheme="minorHAnsi" w:cstheme="minorHAnsi"/>
                <w:sz w:val="22"/>
                <w:szCs w:val="22"/>
              </w:rPr>
              <w:t xml:space="preserve"> </w:t>
            </w:r>
            <w:r w:rsidR="00B9764B" w:rsidRPr="001B470C">
              <w:rPr>
                <w:rFonts w:asciiTheme="minorHAnsi" w:hAnsiTheme="minorHAnsi" w:cstheme="minorHAnsi"/>
                <w:sz w:val="22"/>
                <w:szCs w:val="22"/>
              </w:rPr>
              <w:t>%</w:t>
            </w:r>
          </w:p>
        </w:tc>
        <w:tc>
          <w:tcPr>
            <w:tcW w:w="1082" w:type="pct"/>
          </w:tcPr>
          <w:p w14:paraId="6782A88C" w14:textId="5A05BB47" w:rsidR="00B9764B" w:rsidRPr="001B470C" w:rsidRDefault="00B9764B" w:rsidP="008F477B">
            <w:pPr>
              <w:autoSpaceDE w:val="0"/>
              <w:autoSpaceDN w:val="0"/>
              <w:spacing w:before="120"/>
              <w:jc w:val="center"/>
              <w:rPr>
                <w:rFonts w:asciiTheme="minorHAnsi" w:hAnsiTheme="minorHAnsi" w:cstheme="minorHAnsi"/>
                <w:sz w:val="22"/>
                <w:szCs w:val="22"/>
              </w:rPr>
            </w:pPr>
            <w:r w:rsidRPr="001B470C">
              <w:rPr>
                <w:rFonts w:asciiTheme="minorHAnsi" w:hAnsiTheme="minorHAnsi" w:cstheme="minorHAnsi"/>
                <w:sz w:val="22"/>
                <w:szCs w:val="22"/>
              </w:rPr>
              <w:sym w:font="Symbol" w:char="F0AF"/>
            </w:r>
            <w:r w:rsidRPr="001B470C">
              <w:rPr>
                <w:rFonts w:asciiTheme="minorHAnsi" w:hAnsiTheme="minorHAnsi" w:cstheme="minorHAnsi"/>
                <w:sz w:val="22"/>
                <w:szCs w:val="22"/>
              </w:rPr>
              <w:t xml:space="preserve">   4</w:t>
            </w:r>
            <w:r w:rsidR="008F477B" w:rsidRPr="001B470C">
              <w:rPr>
                <w:rFonts w:asciiTheme="minorHAnsi" w:hAnsiTheme="minorHAnsi" w:cstheme="minorHAnsi"/>
                <w:sz w:val="22"/>
                <w:szCs w:val="22"/>
              </w:rPr>
              <w:t>,</w:t>
            </w:r>
            <w:r w:rsidRPr="001B470C">
              <w:rPr>
                <w:rFonts w:asciiTheme="minorHAnsi" w:hAnsiTheme="minorHAnsi" w:cstheme="minorHAnsi"/>
                <w:sz w:val="22"/>
                <w:szCs w:val="22"/>
              </w:rPr>
              <w:t>5</w:t>
            </w:r>
            <w:r w:rsidR="008F477B" w:rsidRPr="001B470C">
              <w:rPr>
                <w:rFonts w:asciiTheme="minorHAnsi" w:hAnsiTheme="minorHAnsi" w:cstheme="minorHAnsi"/>
                <w:sz w:val="22"/>
                <w:szCs w:val="22"/>
              </w:rPr>
              <w:t xml:space="preserve"> </w:t>
            </w:r>
            <w:r w:rsidRPr="001B470C">
              <w:rPr>
                <w:rFonts w:asciiTheme="minorHAnsi" w:hAnsiTheme="minorHAnsi" w:cstheme="minorHAnsi"/>
                <w:sz w:val="22"/>
                <w:szCs w:val="22"/>
              </w:rPr>
              <w:t>%</w:t>
            </w:r>
          </w:p>
        </w:tc>
        <w:tc>
          <w:tcPr>
            <w:tcW w:w="1390" w:type="pct"/>
            <w:hideMark/>
          </w:tcPr>
          <w:p w14:paraId="1A88EC23" w14:textId="018340FC" w:rsidR="00B9764B" w:rsidRPr="001B470C" w:rsidRDefault="008F477B" w:rsidP="00B9764B">
            <w:pPr>
              <w:autoSpaceDE w:val="0"/>
              <w:autoSpaceDN w:val="0"/>
              <w:spacing w:before="120"/>
              <w:jc w:val="center"/>
              <w:rPr>
                <w:rFonts w:asciiTheme="minorHAnsi" w:hAnsiTheme="minorHAnsi" w:cstheme="minorHAnsi"/>
                <w:sz w:val="22"/>
                <w:szCs w:val="22"/>
              </w:rPr>
            </w:pPr>
            <w:r w:rsidRPr="001B470C">
              <w:rPr>
                <w:rFonts w:asciiTheme="minorHAnsi" w:hAnsiTheme="minorHAnsi" w:cstheme="minorHAnsi"/>
                <w:sz w:val="22"/>
                <w:szCs w:val="22"/>
              </w:rPr>
              <w:t>5,</w:t>
            </w:r>
            <w:r w:rsidR="00B9764B" w:rsidRPr="001B470C">
              <w:rPr>
                <w:rFonts w:asciiTheme="minorHAnsi" w:hAnsiTheme="minorHAnsi" w:cstheme="minorHAnsi"/>
                <w:sz w:val="22"/>
                <w:szCs w:val="22"/>
              </w:rPr>
              <w:t>2</w:t>
            </w:r>
            <w:r w:rsidRPr="001B470C">
              <w:rPr>
                <w:rFonts w:asciiTheme="minorHAnsi" w:hAnsiTheme="minorHAnsi" w:cstheme="minorHAnsi"/>
                <w:sz w:val="22"/>
                <w:szCs w:val="22"/>
              </w:rPr>
              <w:t xml:space="preserve"> </w:t>
            </w:r>
            <w:r w:rsidR="00B9764B" w:rsidRPr="001B470C">
              <w:rPr>
                <w:rFonts w:asciiTheme="minorHAnsi" w:hAnsiTheme="minorHAnsi" w:cstheme="minorHAnsi"/>
                <w:sz w:val="22"/>
                <w:szCs w:val="22"/>
              </w:rPr>
              <w:t>%</w:t>
            </w:r>
          </w:p>
        </w:tc>
      </w:tr>
      <w:tr w:rsidR="00236552" w:rsidRPr="001B470C" w14:paraId="1351A23C" w14:textId="77777777" w:rsidTr="00236552">
        <w:trPr>
          <w:cantSplit/>
          <w:tblHeader/>
          <w:jc w:val="center"/>
        </w:trPr>
        <w:tc>
          <w:tcPr>
            <w:tcW w:w="1098" w:type="pct"/>
            <w:shd w:val="clear" w:color="auto" w:fill="54575A" w:themeFill="text1"/>
            <w:hideMark/>
          </w:tcPr>
          <w:p w14:paraId="1D27FE1C" w14:textId="672DB0BC" w:rsidR="00B9764B" w:rsidRPr="00236552" w:rsidRDefault="00B9764B" w:rsidP="00B9764B">
            <w:pPr>
              <w:spacing w:before="120"/>
              <w:rPr>
                <w:rFonts w:asciiTheme="minorHAnsi" w:hAnsiTheme="minorHAnsi" w:cstheme="minorHAnsi"/>
                <w:color w:val="FFFFFF" w:themeColor="background1"/>
                <w:sz w:val="22"/>
                <w:szCs w:val="22"/>
              </w:rPr>
            </w:pPr>
            <w:r w:rsidRPr="00236552">
              <w:rPr>
                <w:rFonts w:asciiTheme="minorHAnsi" w:hAnsiTheme="minorHAnsi" w:cstheme="minorHAnsi"/>
                <w:color w:val="FFFFFF" w:themeColor="background1"/>
                <w:sz w:val="22"/>
                <w:szCs w:val="22"/>
              </w:rPr>
              <w:t>Membres de minorités visibles</w:t>
            </w:r>
          </w:p>
        </w:tc>
        <w:tc>
          <w:tcPr>
            <w:tcW w:w="1429" w:type="pct"/>
            <w:hideMark/>
          </w:tcPr>
          <w:p w14:paraId="224C3624" w14:textId="28DA827D" w:rsidR="00B9764B" w:rsidRPr="001B470C" w:rsidRDefault="008F477B" w:rsidP="00B9764B">
            <w:pPr>
              <w:spacing w:before="120"/>
              <w:jc w:val="center"/>
              <w:rPr>
                <w:rFonts w:asciiTheme="minorHAnsi" w:hAnsiTheme="minorHAnsi" w:cstheme="minorHAnsi"/>
                <w:sz w:val="22"/>
                <w:szCs w:val="22"/>
              </w:rPr>
            </w:pPr>
            <w:r w:rsidRPr="001B470C">
              <w:rPr>
                <w:rFonts w:asciiTheme="minorHAnsi" w:hAnsiTheme="minorHAnsi" w:cstheme="minorHAnsi"/>
                <w:sz w:val="22"/>
                <w:szCs w:val="22"/>
              </w:rPr>
              <w:t>15,</w:t>
            </w:r>
            <w:r w:rsidR="00B9764B" w:rsidRPr="001B470C">
              <w:rPr>
                <w:rFonts w:asciiTheme="minorHAnsi" w:hAnsiTheme="minorHAnsi" w:cstheme="minorHAnsi"/>
                <w:sz w:val="22"/>
                <w:szCs w:val="22"/>
              </w:rPr>
              <w:t>3</w:t>
            </w:r>
            <w:r w:rsidRPr="001B470C">
              <w:rPr>
                <w:rFonts w:asciiTheme="minorHAnsi" w:hAnsiTheme="minorHAnsi" w:cstheme="minorHAnsi"/>
                <w:sz w:val="22"/>
                <w:szCs w:val="22"/>
              </w:rPr>
              <w:t xml:space="preserve"> </w:t>
            </w:r>
            <w:r w:rsidR="00B9764B" w:rsidRPr="001B470C">
              <w:rPr>
                <w:rFonts w:asciiTheme="minorHAnsi" w:hAnsiTheme="minorHAnsi" w:cstheme="minorHAnsi"/>
                <w:sz w:val="22"/>
                <w:szCs w:val="22"/>
              </w:rPr>
              <w:t>%</w:t>
            </w:r>
          </w:p>
        </w:tc>
        <w:tc>
          <w:tcPr>
            <w:tcW w:w="1082" w:type="pct"/>
          </w:tcPr>
          <w:p w14:paraId="60C5BEDF" w14:textId="4BA0D04E" w:rsidR="00B9764B" w:rsidRPr="001B470C" w:rsidRDefault="00B9764B" w:rsidP="00B9764B">
            <w:pPr>
              <w:autoSpaceDE w:val="0"/>
              <w:autoSpaceDN w:val="0"/>
              <w:spacing w:before="120"/>
              <w:jc w:val="center"/>
              <w:rPr>
                <w:rFonts w:asciiTheme="minorHAnsi" w:hAnsiTheme="minorHAnsi" w:cstheme="minorHAnsi"/>
                <w:sz w:val="22"/>
                <w:szCs w:val="22"/>
              </w:rPr>
            </w:pPr>
            <w:r w:rsidRPr="001B470C">
              <w:rPr>
                <w:rFonts w:asciiTheme="minorHAnsi" w:hAnsiTheme="minorHAnsi" w:cstheme="minorHAnsi"/>
                <w:sz w:val="22"/>
                <w:szCs w:val="22"/>
              </w:rPr>
              <w:sym w:font="Symbol" w:char="F0AD"/>
            </w:r>
            <w:r w:rsidR="008F477B" w:rsidRPr="001B470C">
              <w:rPr>
                <w:rFonts w:asciiTheme="minorHAnsi" w:hAnsiTheme="minorHAnsi" w:cstheme="minorHAnsi"/>
                <w:sz w:val="22"/>
                <w:szCs w:val="22"/>
              </w:rPr>
              <w:t xml:space="preserve">   15,</w:t>
            </w:r>
            <w:r w:rsidRPr="001B470C">
              <w:rPr>
                <w:rFonts w:asciiTheme="minorHAnsi" w:hAnsiTheme="minorHAnsi" w:cstheme="minorHAnsi"/>
                <w:sz w:val="22"/>
                <w:szCs w:val="22"/>
              </w:rPr>
              <w:t>7</w:t>
            </w:r>
            <w:r w:rsidR="008F477B" w:rsidRPr="001B470C">
              <w:rPr>
                <w:rFonts w:asciiTheme="minorHAnsi" w:hAnsiTheme="minorHAnsi" w:cstheme="minorHAnsi"/>
                <w:sz w:val="22"/>
                <w:szCs w:val="22"/>
              </w:rPr>
              <w:t xml:space="preserve"> </w:t>
            </w:r>
            <w:r w:rsidRPr="001B470C">
              <w:rPr>
                <w:rFonts w:asciiTheme="minorHAnsi" w:hAnsiTheme="minorHAnsi" w:cstheme="minorHAnsi"/>
                <w:sz w:val="22"/>
                <w:szCs w:val="22"/>
              </w:rPr>
              <w:t>%</w:t>
            </w:r>
          </w:p>
        </w:tc>
        <w:tc>
          <w:tcPr>
            <w:tcW w:w="1390" w:type="pct"/>
            <w:hideMark/>
          </w:tcPr>
          <w:p w14:paraId="1D3848E8" w14:textId="13E37572" w:rsidR="00B9764B" w:rsidRPr="001B470C" w:rsidRDefault="00B9764B" w:rsidP="00B9764B">
            <w:pPr>
              <w:autoSpaceDE w:val="0"/>
              <w:autoSpaceDN w:val="0"/>
              <w:spacing w:before="120"/>
              <w:jc w:val="center"/>
              <w:rPr>
                <w:rFonts w:asciiTheme="minorHAnsi" w:hAnsiTheme="minorHAnsi" w:cstheme="minorHAnsi"/>
                <w:sz w:val="22"/>
                <w:szCs w:val="22"/>
              </w:rPr>
            </w:pPr>
            <w:r w:rsidRPr="001B470C">
              <w:rPr>
                <w:rFonts w:asciiTheme="minorHAnsi" w:hAnsiTheme="minorHAnsi" w:cstheme="minorHAnsi"/>
                <w:sz w:val="22"/>
                <w:szCs w:val="22"/>
              </w:rPr>
              <w:t>16</w:t>
            </w:r>
            <w:r w:rsidR="008F477B" w:rsidRPr="001B470C">
              <w:rPr>
                <w:rFonts w:asciiTheme="minorHAnsi" w:hAnsiTheme="minorHAnsi" w:cstheme="minorHAnsi"/>
                <w:sz w:val="22"/>
                <w:szCs w:val="22"/>
              </w:rPr>
              <w:t>,</w:t>
            </w:r>
            <w:r w:rsidRPr="001B470C">
              <w:rPr>
                <w:rFonts w:asciiTheme="minorHAnsi" w:hAnsiTheme="minorHAnsi" w:cstheme="minorHAnsi"/>
                <w:sz w:val="22"/>
                <w:szCs w:val="22"/>
              </w:rPr>
              <w:t>7</w:t>
            </w:r>
            <w:r w:rsidR="008F477B" w:rsidRPr="001B470C">
              <w:rPr>
                <w:rFonts w:asciiTheme="minorHAnsi" w:hAnsiTheme="minorHAnsi" w:cstheme="minorHAnsi"/>
                <w:sz w:val="22"/>
                <w:szCs w:val="22"/>
              </w:rPr>
              <w:t xml:space="preserve"> </w:t>
            </w:r>
            <w:r w:rsidRPr="001B470C">
              <w:rPr>
                <w:rFonts w:asciiTheme="minorHAnsi" w:hAnsiTheme="minorHAnsi" w:cstheme="minorHAnsi"/>
                <w:sz w:val="22"/>
                <w:szCs w:val="22"/>
              </w:rPr>
              <w:t>%</w:t>
            </w:r>
          </w:p>
        </w:tc>
      </w:tr>
    </w:tbl>
    <w:p w14:paraId="0B5CD17E" w14:textId="7D779686" w:rsidR="002D3DA7" w:rsidRPr="00B9764B" w:rsidRDefault="002D3DA7" w:rsidP="002D3DA7">
      <w:pPr>
        <w:rPr>
          <w:rFonts w:asciiTheme="minorHAnsi" w:hAnsiTheme="minorHAnsi" w:cstheme="minorHAnsi"/>
          <w:sz w:val="22"/>
          <w:szCs w:val="22"/>
        </w:rPr>
      </w:pPr>
      <w:r w:rsidRPr="00B9764B">
        <w:rPr>
          <w:rFonts w:asciiTheme="minorHAnsi" w:hAnsiTheme="minorHAnsi"/>
          <w:sz w:val="22"/>
          <w:szCs w:val="22"/>
        </w:rPr>
        <w:t>Source</w:t>
      </w:r>
      <w:r w:rsidR="00F0212D" w:rsidRPr="00B9764B">
        <w:rPr>
          <w:rFonts w:asciiTheme="minorHAnsi" w:hAnsiTheme="minorHAnsi"/>
          <w:sz w:val="22"/>
          <w:szCs w:val="22"/>
        </w:rPr>
        <w:t> </w:t>
      </w:r>
      <w:r w:rsidRPr="00B9764B">
        <w:rPr>
          <w:rFonts w:asciiTheme="minorHAnsi" w:hAnsiTheme="minorHAnsi" w:cstheme="minorHAnsi"/>
          <w:sz w:val="22"/>
          <w:szCs w:val="22"/>
        </w:rPr>
        <w:t>:</w:t>
      </w:r>
      <w:r w:rsidRPr="00B9764B">
        <w:rPr>
          <w:rStyle w:val="Hyperlink"/>
          <w:rFonts w:asciiTheme="minorHAnsi" w:hAnsiTheme="minorHAnsi" w:cstheme="minorHAnsi"/>
          <w:sz w:val="22"/>
          <w:szCs w:val="22"/>
        </w:rPr>
        <w:t xml:space="preserve"> </w:t>
      </w:r>
      <w:hyperlink r:id="rId8" w:history="1">
        <w:r w:rsidR="00B9764B" w:rsidRPr="00B9764B">
          <w:rPr>
            <w:rStyle w:val="Hyperlink"/>
            <w:rFonts w:asciiTheme="minorHAnsi" w:hAnsiTheme="minorHAnsi" w:cstheme="minorHAnsi"/>
            <w:sz w:val="22"/>
            <w:szCs w:val="22"/>
          </w:rPr>
          <w:t>L’équité en matière d’emploi dans la fonction publique du Canada 2018 à 2019</w:t>
        </w:r>
      </w:hyperlink>
      <w:r w:rsidR="00B9764B" w:rsidRPr="00B9764B">
        <w:rPr>
          <w:rStyle w:val="Hyperlink"/>
          <w:rFonts w:asciiTheme="minorHAnsi" w:hAnsiTheme="minorHAnsi" w:cstheme="minorHAnsi"/>
          <w:color w:val="auto"/>
          <w:sz w:val="22"/>
          <w:szCs w:val="22"/>
          <w:u w:val="none"/>
        </w:rPr>
        <w:t xml:space="preserve">, </w:t>
      </w:r>
      <w:r w:rsidR="00B9764B" w:rsidRPr="00B9764B">
        <w:rPr>
          <w:rFonts w:asciiTheme="minorHAnsi" w:hAnsiTheme="minorHAnsi" w:cstheme="minorHAnsi"/>
          <w:sz w:val="22"/>
          <w:szCs w:val="22"/>
        </w:rPr>
        <w:t>Secrétariat du Conseil du Trésor</w:t>
      </w:r>
    </w:p>
    <w:p w14:paraId="4B96F04D" w14:textId="6A18BF9A" w:rsidR="00467596" w:rsidRPr="00BB54EC" w:rsidRDefault="00BB54EC" w:rsidP="002A76BE">
      <w:pPr>
        <w:pStyle w:val="Heading1"/>
      </w:pPr>
      <w:r w:rsidRPr="00BB54EC">
        <w:lastRenderedPageBreak/>
        <w:t>Droits de priorités et vétéran</w:t>
      </w:r>
      <w:r>
        <w:t>s</w:t>
      </w:r>
    </w:p>
    <w:p w14:paraId="2E3931CB" w14:textId="662F99D0" w:rsidR="00467596" w:rsidRPr="00BB54EC" w:rsidRDefault="00BB54EC" w:rsidP="002A76BE">
      <w:pPr>
        <w:pStyle w:val="Heading2"/>
        <w:rPr>
          <w:rFonts w:eastAsia="Calibri"/>
        </w:rPr>
      </w:pPr>
      <w:r w:rsidRPr="00BB54EC">
        <w:t>Nominations de personnes bénéficiant d'un droit de priorité</w:t>
      </w:r>
    </w:p>
    <w:p w14:paraId="75E39C0E" w14:textId="718472AC" w:rsidR="00382F5B" w:rsidRDefault="00467596" w:rsidP="002A76BE">
      <w:pPr>
        <w:pStyle w:val="NoSpacing"/>
        <w:rPr>
          <w:rFonts w:eastAsia="Calibri"/>
        </w:rPr>
      </w:pPr>
      <w:r w:rsidRPr="00BB54EC">
        <w:t>Du 1</w:t>
      </w:r>
      <w:r w:rsidRPr="00BB54EC">
        <w:rPr>
          <w:vertAlign w:val="superscript"/>
        </w:rPr>
        <w:t>er </w:t>
      </w:r>
      <w:r w:rsidRPr="00BB54EC">
        <w:t xml:space="preserve">avril 2019 au 25 septembre 2020, </w:t>
      </w:r>
      <w:proofErr w:type="spellStart"/>
      <w:r w:rsidRPr="00BB54EC">
        <w:t>RNCan</w:t>
      </w:r>
      <w:proofErr w:type="spellEnd"/>
      <w:r w:rsidRPr="00BB54EC">
        <w:t xml:space="preserve"> a nommé cinq personnes comme bénéficiaires de priorité sur une base indéterminée.</w:t>
      </w:r>
    </w:p>
    <w:p w14:paraId="2814FD1F" w14:textId="23192449" w:rsidR="00467596" w:rsidRPr="00C0157E" w:rsidRDefault="00467596" w:rsidP="002A76BE">
      <w:pPr>
        <w:pStyle w:val="Heading2"/>
        <w:rPr>
          <w:rFonts w:eastAsia="Calibri"/>
        </w:rPr>
      </w:pPr>
      <w:r>
        <w:t>Nominations de personnes ayant un droit de priorité des Forces armées canadiennes (FAC)</w:t>
      </w:r>
    </w:p>
    <w:p w14:paraId="0AE4A279" w14:textId="47D3C1F3" w:rsidR="00D26C85" w:rsidRDefault="00467596" w:rsidP="002A76BE">
      <w:pPr>
        <w:pStyle w:val="NoSpacing"/>
        <w:rPr>
          <w:rFonts w:eastAsia="Calibri"/>
        </w:rPr>
      </w:pPr>
      <w:r w:rsidRPr="00AC7DC1">
        <w:t xml:space="preserve">Depuis l’entrée en vigueur de la </w:t>
      </w:r>
      <w:r w:rsidRPr="00236552">
        <w:rPr>
          <w:rStyle w:val="Emphasis"/>
        </w:rPr>
        <w:t>Loi sur l</w:t>
      </w:r>
      <w:r w:rsidR="00F0212D" w:rsidRPr="00236552">
        <w:rPr>
          <w:rStyle w:val="Emphasis"/>
        </w:rPr>
        <w:t>’</w:t>
      </w:r>
      <w:r w:rsidRPr="00236552">
        <w:rPr>
          <w:rStyle w:val="Emphasis"/>
        </w:rPr>
        <w:t>embauche des anciens combattants</w:t>
      </w:r>
      <w:r w:rsidRPr="00AC7DC1">
        <w:t xml:space="preserve"> le 1</w:t>
      </w:r>
      <w:r w:rsidRPr="00AC7DC1">
        <w:rPr>
          <w:vertAlign w:val="superscript"/>
        </w:rPr>
        <w:t>er</w:t>
      </w:r>
      <w:r w:rsidRPr="00AC7DC1">
        <w:t xml:space="preserve"> juillet 2015 jusqu’au 31 août 2020, </w:t>
      </w:r>
      <w:proofErr w:type="spellStart"/>
      <w:r w:rsidRPr="00AC7DC1">
        <w:t>RNCan</w:t>
      </w:r>
      <w:proofErr w:type="spellEnd"/>
      <w:r w:rsidRPr="00AC7DC1">
        <w:t xml:space="preserve"> a nommé une personne ayant un droit de priorité des Forces armées canadiennes prévu par la législation.</w:t>
      </w:r>
      <w:r>
        <w:t xml:space="preserve"> </w:t>
      </w:r>
    </w:p>
    <w:p w14:paraId="67F531E2" w14:textId="19858B98" w:rsidR="00236552" w:rsidRPr="00236552" w:rsidRDefault="00236552" w:rsidP="00236552">
      <w:pPr>
        <w:pStyle w:val="Caption"/>
        <w:keepNext/>
        <w:spacing w:after="0"/>
        <w:rPr>
          <w:rFonts w:asciiTheme="minorHAnsi" w:hAnsiTheme="minorHAnsi" w:cstheme="minorHAnsi"/>
          <w:i w:val="0"/>
          <w:iCs w:val="0"/>
          <w:color w:val="auto"/>
        </w:rPr>
      </w:pPr>
      <w:r w:rsidRPr="00236552">
        <w:rPr>
          <w:rFonts w:asciiTheme="minorHAnsi" w:hAnsiTheme="minorHAnsi" w:cstheme="minorHAnsi"/>
          <w:i w:val="0"/>
          <w:iCs w:val="0"/>
          <w:color w:val="auto"/>
        </w:rPr>
        <w:t xml:space="preserve">Tableau </w:t>
      </w:r>
      <w:r w:rsidRPr="00236552">
        <w:rPr>
          <w:rFonts w:asciiTheme="minorHAnsi" w:hAnsiTheme="minorHAnsi" w:cstheme="minorHAnsi"/>
          <w:i w:val="0"/>
          <w:iCs w:val="0"/>
          <w:color w:val="auto"/>
        </w:rPr>
        <w:fldChar w:fldCharType="begin"/>
      </w:r>
      <w:r w:rsidRPr="00236552">
        <w:rPr>
          <w:rFonts w:asciiTheme="minorHAnsi" w:hAnsiTheme="minorHAnsi" w:cstheme="minorHAnsi"/>
          <w:i w:val="0"/>
          <w:iCs w:val="0"/>
          <w:color w:val="auto"/>
        </w:rPr>
        <w:instrText xml:space="preserve"> SEQ Tableau \* ARABIC </w:instrText>
      </w:r>
      <w:r w:rsidRPr="00236552">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3</w:t>
      </w:r>
      <w:r w:rsidRPr="00236552">
        <w:rPr>
          <w:rFonts w:asciiTheme="minorHAnsi" w:hAnsiTheme="minorHAnsi" w:cstheme="minorHAnsi"/>
          <w:i w:val="0"/>
          <w:iCs w:val="0"/>
          <w:color w:val="auto"/>
        </w:rPr>
        <w:fldChar w:fldCharType="end"/>
      </w:r>
      <w:r w:rsidRPr="00236552">
        <w:rPr>
          <w:rFonts w:asciiTheme="minorHAnsi" w:hAnsiTheme="minorHAnsi" w:cstheme="minorHAnsi"/>
          <w:i w:val="0"/>
          <w:iCs w:val="0"/>
          <w:color w:val="auto"/>
        </w:rPr>
        <w:t xml:space="preserve"> - Droits de priorité et vétérans</w:t>
      </w:r>
    </w:p>
    <w:tbl>
      <w:tblPr>
        <w:tblStyle w:val="TableGrid"/>
        <w:tblW w:w="0" w:type="auto"/>
        <w:jc w:val="center"/>
        <w:tblLook w:val="04A0" w:firstRow="1" w:lastRow="0" w:firstColumn="1" w:lastColumn="0" w:noHBand="0" w:noVBand="1"/>
        <w:tblCaption w:val="PSC Priority Appointment Data Medically Released Military Members"/>
        <w:tblDescription w:val="Droits de priorité et vétérans"/>
      </w:tblPr>
      <w:tblGrid>
        <w:gridCol w:w="2289"/>
        <w:gridCol w:w="2453"/>
        <w:gridCol w:w="2965"/>
        <w:gridCol w:w="1643"/>
      </w:tblGrid>
      <w:tr w:rsidR="00AC7DC1" w:rsidRPr="00236552" w14:paraId="04F83B2E" w14:textId="77777777" w:rsidTr="00236552">
        <w:trPr>
          <w:cantSplit/>
          <w:tblHeader/>
          <w:jc w:val="center"/>
        </w:trPr>
        <w:tc>
          <w:tcPr>
            <w:tcW w:w="2289" w:type="dxa"/>
            <w:shd w:val="clear" w:color="auto" w:fill="0070C0"/>
            <w:vAlign w:val="center"/>
          </w:tcPr>
          <w:p w14:paraId="73365F5B" w14:textId="3562B6B3" w:rsidR="00AC7DC1" w:rsidRPr="00236552" w:rsidRDefault="00AC7DC1" w:rsidP="00AC7DC1">
            <w:pPr>
              <w:pStyle w:val="TableTitle"/>
              <w:spacing w:before="40" w:after="0"/>
              <w:jc w:val="center"/>
              <w:rPr>
                <w:rFonts w:eastAsiaTheme="minorHAnsi" w:cs="Segoe UI Semibold"/>
                <w:color w:val="FFFFFF" w:themeColor="background1"/>
                <w:sz w:val="22"/>
              </w:rPr>
            </w:pPr>
            <w:r w:rsidRPr="00236552">
              <w:rPr>
                <w:rFonts w:eastAsiaTheme="minorHAnsi" w:cs="Segoe UI Semibold"/>
                <w:color w:val="FFFFFF" w:themeColor="background1"/>
                <w:sz w:val="22"/>
              </w:rPr>
              <w:t>Année financière</w:t>
            </w:r>
          </w:p>
        </w:tc>
        <w:tc>
          <w:tcPr>
            <w:tcW w:w="2453" w:type="dxa"/>
            <w:shd w:val="clear" w:color="auto" w:fill="0070C0"/>
            <w:vAlign w:val="center"/>
          </w:tcPr>
          <w:p w14:paraId="07F525AA" w14:textId="71C4CF65" w:rsidR="00AC7DC1" w:rsidRPr="00236552" w:rsidRDefault="00AC7DC1" w:rsidP="00AC7DC1">
            <w:pPr>
              <w:pStyle w:val="TableTitle"/>
              <w:spacing w:before="40" w:after="0"/>
              <w:jc w:val="center"/>
              <w:rPr>
                <w:rFonts w:eastAsiaTheme="minorHAnsi" w:cs="Segoe UI Semibold"/>
                <w:color w:val="FFFFFF" w:themeColor="background1"/>
                <w:sz w:val="22"/>
              </w:rPr>
            </w:pPr>
            <w:r w:rsidRPr="00236552">
              <w:rPr>
                <w:rFonts w:eastAsiaTheme="minorHAnsi" w:cs="Segoe UI Semibold"/>
                <w:color w:val="FFFFFF" w:themeColor="background1"/>
                <w:sz w:val="22"/>
              </w:rPr>
              <w:t>Raisons attribuables au service (statutaire)</w:t>
            </w:r>
          </w:p>
        </w:tc>
        <w:tc>
          <w:tcPr>
            <w:tcW w:w="2965" w:type="dxa"/>
            <w:shd w:val="clear" w:color="auto" w:fill="0070C0"/>
            <w:vAlign w:val="center"/>
          </w:tcPr>
          <w:p w14:paraId="62B2AB1F" w14:textId="305D4014" w:rsidR="00AC7DC1" w:rsidRPr="00236552" w:rsidRDefault="00AC7DC1" w:rsidP="00AC7DC1">
            <w:pPr>
              <w:pStyle w:val="TableTitle"/>
              <w:spacing w:before="40" w:after="0"/>
              <w:jc w:val="center"/>
              <w:rPr>
                <w:rFonts w:eastAsiaTheme="minorHAnsi" w:cs="Segoe UI Semibold"/>
                <w:color w:val="FFFFFF" w:themeColor="background1"/>
                <w:sz w:val="22"/>
              </w:rPr>
            </w:pPr>
            <w:r w:rsidRPr="00236552">
              <w:rPr>
                <w:rFonts w:eastAsiaTheme="minorHAnsi" w:cs="Segoe UI Semibold"/>
                <w:color w:val="FFFFFF" w:themeColor="background1"/>
                <w:sz w:val="22"/>
              </w:rPr>
              <w:t>Raisons pas attribuables au service (réglementaire)</w:t>
            </w:r>
          </w:p>
        </w:tc>
        <w:tc>
          <w:tcPr>
            <w:tcW w:w="1643" w:type="dxa"/>
            <w:shd w:val="clear" w:color="auto" w:fill="0070C0"/>
            <w:vAlign w:val="center"/>
          </w:tcPr>
          <w:p w14:paraId="7B5B9F39" w14:textId="598EA8DA" w:rsidR="00AC7DC1" w:rsidRPr="00236552" w:rsidRDefault="00AC7DC1" w:rsidP="00AC7DC1">
            <w:pPr>
              <w:pStyle w:val="TableTitle"/>
              <w:spacing w:before="40" w:after="0"/>
              <w:jc w:val="center"/>
              <w:rPr>
                <w:rFonts w:eastAsiaTheme="minorHAnsi" w:cs="Segoe UI Semibold"/>
                <w:color w:val="FFFFFF" w:themeColor="background1"/>
                <w:sz w:val="22"/>
              </w:rPr>
            </w:pPr>
            <w:r w:rsidRPr="00236552">
              <w:rPr>
                <w:rFonts w:eastAsiaTheme="minorHAnsi" w:cs="Segoe UI Semibold"/>
                <w:color w:val="FFFFFF" w:themeColor="background1"/>
                <w:sz w:val="22"/>
              </w:rPr>
              <w:t>Total</w:t>
            </w:r>
          </w:p>
        </w:tc>
      </w:tr>
      <w:tr w:rsidR="00AC7DC1" w:rsidRPr="002A76BE" w14:paraId="4094B279" w14:textId="77777777" w:rsidTr="00236552">
        <w:trPr>
          <w:cantSplit/>
          <w:tblHeader/>
          <w:jc w:val="center"/>
        </w:trPr>
        <w:tc>
          <w:tcPr>
            <w:tcW w:w="2289" w:type="dxa"/>
            <w:shd w:val="clear" w:color="auto" w:fill="0070C0"/>
          </w:tcPr>
          <w:p w14:paraId="420315B9" w14:textId="6B9205DC" w:rsidR="00AC7DC1" w:rsidRPr="002A76BE" w:rsidRDefault="00AC7DC1" w:rsidP="00DB3EB4">
            <w:pPr>
              <w:pStyle w:val="Level1"/>
              <w:tabs>
                <w:tab w:val="left" w:pos="-1440"/>
              </w:tabs>
              <w:autoSpaceDE w:val="0"/>
              <w:autoSpaceDN w:val="0"/>
              <w:adjustRightInd w:val="0"/>
              <w:spacing w:after="120" w:line="20" w:lineRule="atLeast"/>
              <w:rPr>
                <w:rFonts w:asciiTheme="minorHAnsi" w:hAnsiTheme="minorHAnsi" w:cstheme="minorHAnsi"/>
                <w:sz w:val="22"/>
                <w:szCs w:val="22"/>
              </w:rPr>
            </w:pPr>
            <w:r w:rsidRPr="00E86774">
              <w:rPr>
                <w:rFonts w:asciiTheme="minorHAnsi" w:eastAsiaTheme="minorHAnsi" w:hAnsiTheme="minorHAnsi" w:cstheme="minorHAnsi"/>
                <w:color w:val="FFFFFF" w:themeColor="background1"/>
                <w:sz w:val="22"/>
                <w:szCs w:val="22"/>
              </w:rPr>
              <w:t>2015 (1</w:t>
            </w:r>
            <w:r w:rsidRPr="00E86774">
              <w:rPr>
                <w:rFonts w:asciiTheme="minorHAnsi" w:eastAsiaTheme="minorHAnsi" w:hAnsiTheme="minorHAnsi" w:cstheme="minorHAnsi"/>
                <w:color w:val="FFFFFF" w:themeColor="background1"/>
                <w:sz w:val="22"/>
                <w:szCs w:val="22"/>
                <w:vertAlign w:val="superscript"/>
              </w:rPr>
              <w:t>er</w:t>
            </w:r>
            <w:r w:rsidRPr="00E86774">
              <w:rPr>
                <w:rFonts w:asciiTheme="minorHAnsi" w:eastAsiaTheme="minorHAnsi" w:hAnsiTheme="minorHAnsi" w:cstheme="minorHAnsi"/>
                <w:color w:val="FFFFFF" w:themeColor="background1"/>
                <w:sz w:val="22"/>
                <w:szCs w:val="22"/>
              </w:rPr>
              <w:t xml:space="preserve"> juillet) - 2016</w:t>
            </w:r>
          </w:p>
        </w:tc>
        <w:tc>
          <w:tcPr>
            <w:tcW w:w="2453" w:type="dxa"/>
            <w:shd w:val="clear" w:color="auto" w:fill="auto"/>
            <w:vAlign w:val="center"/>
          </w:tcPr>
          <w:p w14:paraId="0B653506"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2965" w:type="dxa"/>
            <w:shd w:val="clear" w:color="auto" w:fill="auto"/>
            <w:vAlign w:val="center"/>
          </w:tcPr>
          <w:p w14:paraId="44AFE05A"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1643" w:type="dxa"/>
            <w:shd w:val="clear" w:color="auto" w:fill="auto"/>
            <w:vAlign w:val="center"/>
          </w:tcPr>
          <w:p w14:paraId="2A3EA6E0"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r>
      <w:tr w:rsidR="00AC7DC1" w:rsidRPr="002A76BE" w14:paraId="457E4B58" w14:textId="77777777" w:rsidTr="00236552">
        <w:trPr>
          <w:cantSplit/>
          <w:tblHeader/>
          <w:jc w:val="center"/>
        </w:trPr>
        <w:tc>
          <w:tcPr>
            <w:tcW w:w="2289" w:type="dxa"/>
            <w:shd w:val="clear" w:color="auto" w:fill="0070C0"/>
          </w:tcPr>
          <w:p w14:paraId="238F904B" w14:textId="47EC5069" w:rsidR="00AC7DC1" w:rsidRPr="002A76BE" w:rsidRDefault="00AC7DC1" w:rsidP="00DB3EB4">
            <w:pPr>
              <w:pStyle w:val="Level1"/>
              <w:tabs>
                <w:tab w:val="left" w:pos="-1440"/>
              </w:tabs>
              <w:autoSpaceDE w:val="0"/>
              <w:autoSpaceDN w:val="0"/>
              <w:adjustRightInd w:val="0"/>
              <w:spacing w:after="120" w:line="20" w:lineRule="atLeast"/>
              <w:rPr>
                <w:rFonts w:asciiTheme="minorHAnsi" w:hAnsiTheme="minorHAnsi" w:cstheme="minorHAnsi"/>
                <w:sz w:val="22"/>
                <w:szCs w:val="22"/>
              </w:rPr>
            </w:pPr>
            <w:r w:rsidRPr="00E86774">
              <w:rPr>
                <w:rFonts w:asciiTheme="minorHAnsi" w:eastAsiaTheme="minorHAnsi" w:hAnsiTheme="minorHAnsi" w:cstheme="minorHAnsi"/>
                <w:color w:val="FFFFFF" w:themeColor="background1"/>
                <w:sz w:val="22"/>
                <w:szCs w:val="22"/>
              </w:rPr>
              <w:t>2016 - 2017</w:t>
            </w:r>
          </w:p>
        </w:tc>
        <w:tc>
          <w:tcPr>
            <w:tcW w:w="2453" w:type="dxa"/>
            <w:shd w:val="clear" w:color="auto" w:fill="auto"/>
            <w:vAlign w:val="center"/>
          </w:tcPr>
          <w:p w14:paraId="559F59E6"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2965" w:type="dxa"/>
            <w:shd w:val="clear" w:color="auto" w:fill="auto"/>
            <w:vAlign w:val="center"/>
          </w:tcPr>
          <w:p w14:paraId="5D489F6D"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1643" w:type="dxa"/>
            <w:shd w:val="clear" w:color="auto" w:fill="auto"/>
            <w:vAlign w:val="center"/>
          </w:tcPr>
          <w:p w14:paraId="4618EE64"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r>
      <w:tr w:rsidR="00AC7DC1" w:rsidRPr="002A76BE" w14:paraId="070D2CD9" w14:textId="77777777" w:rsidTr="00236552">
        <w:trPr>
          <w:cantSplit/>
          <w:tblHeader/>
          <w:jc w:val="center"/>
        </w:trPr>
        <w:tc>
          <w:tcPr>
            <w:tcW w:w="2289" w:type="dxa"/>
            <w:shd w:val="clear" w:color="auto" w:fill="0070C0"/>
          </w:tcPr>
          <w:p w14:paraId="191D40B8" w14:textId="54AC0AEE" w:rsidR="00AC7DC1" w:rsidRPr="002A76BE" w:rsidRDefault="00AC7DC1" w:rsidP="00DB3EB4">
            <w:pPr>
              <w:pStyle w:val="Level1"/>
              <w:tabs>
                <w:tab w:val="left" w:pos="-1440"/>
              </w:tabs>
              <w:autoSpaceDE w:val="0"/>
              <w:autoSpaceDN w:val="0"/>
              <w:adjustRightInd w:val="0"/>
              <w:spacing w:after="120" w:line="20" w:lineRule="atLeast"/>
              <w:rPr>
                <w:rFonts w:asciiTheme="minorHAnsi" w:hAnsiTheme="minorHAnsi" w:cstheme="minorHAnsi"/>
                <w:sz w:val="22"/>
                <w:szCs w:val="22"/>
              </w:rPr>
            </w:pPr>
            <w:r w:rsidRPr="00E86774">
              <w:rPr>
                <w:rFonts w:asciiTheme="minorHAnsi" w:eastAsiaTheme="minorHAnsi" w:hAnsiTheme="minorHAnsi" w:cstheme="minorHAnsi"/>
                <w:color w:val="FFFFFF" w:themeColor="background1"/>
                <w:sz w:val="22"/>
                <w:szCs w:val="22"/>
              </w:rPr>
              <w:t>2017 - 2018</w:t>
            </w:r>
          </w:p>
        </w:tc>
        <w:tc>
          <w:tcPr>
            <w:tcW w:w="2453" w:type="dxa"/>
            <w:shd w:val="clear" w:color="auto" w:fill="auto"/>
            <w:vAlign w:val="center"/>
          </w:tcPr>
          <w:p w14:paraId="12488CD7"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2965" w:type="dxa"/>
            <w:shd w:val="clear" w:color="auto" w:fill="auto"/>
            <w:vAlign w:val="center"/>
          </w:tcPr>
          <w:p w14:paraId="044FDE37"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1643" w:type="dxa"/>
            <w:shd w:val="clear" w:color="auto" w:fill="auto"/>
            <w:vAlign w:val="center"/>
          </w:tcPr>
          <w:p w14:paraId="070C89C0"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r>
      <w:tr w:rsidR="00AC7DC1" w:rsidRPr="002A76BE" w14:paraId="07108669" w14:textId="77777777" w:rsidTr="00236552">
        <w:trPr>
          <w:cantSplit/>
          <w:tblHeader/>
          <w:jc w:val="center"/>
        </w:trPr>
        <w:tc>
          <w:tcPr>
            <w:tcW w:w="2289" w:type="dxa"/>
            <w:shd w:val="clear" w:color="auto" w:fill="0070C0"/>
          </w:tcPr>
          <w:p w14:paraId="1F7E26C0" w14:textId="25A0744F" w:rsidR="00AC7DC1" w:rsidRPr="002A76BE" w:rsidRDefault="00AC7DC1" w:rsidP="00DB3EB4">
            <w:pPr>
              <w:pStyle w:val="Level1"/>
              <w:tabs>
                <w:tab w:val="left" w:pos="-1440"/>
              </w:tabs>
              <w:autoSpaceDE w:val="0"/>
              <w:autoSpaceDN w:val="0"/>
              <w:adjustRightInd w:val="0"/>
              <w:spacing w:after="120" w:line="20" w:lineRule="atLeast"/>
              <w:rPr>
                <w:rFonts w:asciiTheme="minorHAnsi" w:hAnsiTheme="minorHAnsi" w:cstheme="minorHAnsi"/>
                <w:sz w:val="22"/>
                <w:szCs w:val="22"/>
              </w:rPr>
            </w:pPr>
            <w:r w:rsidRPr="00E86774">
              <w:rPr>
                <w:rFonts w:asciiTheme="minorHAnsi" w:eastAsiaTheme="minorHAnsi" w:hAnsiTheme="minorHAnsi" w:cstheme="minorHAnsi"/>
                <w:color w:val="FFFFFF" w:themeColor="background1"/>
                <w:sz w:val="22"/>
                <w:szCs w:val="22"/>
              </w:rPr>
              <w:t>2018 - 2019</w:t>
            </w:r>
          </w:p>
        </w:tc>
        <w:tc>
          <w:tcPr>
            <w:tcW w:w="2453" w:type="dxa"/>
            <w:shd w:val="clear" w:color="auto" w:fill="auto"/>
            <w:vAlign w:val="center"/>
          </w:tcPr>
          <w:p w14:paraId="45A143C7"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2965" w:type="dxa"/>
            <w:shd w:val="clear" w:color="auto" w:fill="auto"/>
            <w:vAlign w:val="center"/>
          </w:tcPr>
          <w:p w14:paraId="56B213B1"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1643" w:type="dxa"/>
            <w:shd w:val="clear" w:color="auto" w:fill="auto"/>
            <w:vAlign w:val="center"/>
          </w:tcPr>
          <w:p w14:paraId="08AA4472"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r>
      <w:tr w:rsidR="00AC7DC1" w:rsidRPr="002A76BE" w14:paraId="350A3534" w14:textId="77777777" w:rsidTr="00236552">
        <w:trPr>
          <w:cantSplit/>
          <w:tblHeader/>
          <w:jc w:val="center"/>
        </w:trPr>
        <w:tc>
          <w:tcPr>
            <w:tcW w:w="2289" w:type="dxa"/>
            <w:shd w:val="clear" w:color="auto" w:fill="0070C0"/>
          </w:tcPr>
          <w:p w14:paraId="20011814" w14:textId="259CD490" w:rsidR="00AC7DC1" w:rsidRPr="002A76BE" w:rsidRDefault="00AC7DC1" w:rsidP="00DB3EB4">
            <w:pPr>
              <w:pStyle w:val="Level1"/>
              <w:tabs>
                <w:tab w:val="left" w:pos="-1440"/>
              </w:tabs>
              <w:autoSpaceDE w:val="0"/>
              <w:autoSpaceDN w:val="0"/>
              <w:adjustRightInd w:val="0"/>
              <w:spacing w:after="120" w:line="20" w:lineRule="atLeast"/>
              <w:rPr>
                <w:rFonts w:asciiTheme="minorHAnsi" w:hAnsiTheme="minorHAnsi" w:cstheme="minorHAnsi"/>
                <w:sz w:val="22"/>
                <w:szCs w:val="22"/>
              </w:rPr>
            </w:pPr>
            <w:r w:rsidRPr="00E86774">
              <w:rPr>
                <w:rFonts w:asciiTheme="minorHAnsi" w:eastAsiaTheme="minorHAnsi" w:hAnsiTheme="minorHAnsi" w:cstheme="minorHAnsi"/>
                <w:color w:val="FFFFFF" w:themeColor="background1"/>
                <w:sz w:val="22"/>
                <w:szCs w:val="22"/>
              </w:rPr>
              <w:t>2019 - 2020</w:t>
            </w:r>
          </w:p>
        </w:tc>
        <w:tc>
          <w:tcPr>
            <w:tcW w:w="2453" w:type="dxa"/>
            <w:shd w:val="clear" w:color="auto" w:fill="auto"/>
            <w:vAlign w:val="center"/>
          </w:tcPr>
          <w:p w14:paraId="65057800"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1</w:t>
            </w:r>
          </w:p>
        </w:tc>
        <w:tc>
          <w:tcPr>
            <w:tcW w:w="2965" w:type="dxa"/>
            <w:shd w:val="clear" w:color="auto" w:fill="auto"/>
            <w:vAlign w:val="center"/>
          </w:tcPr>
          <w:p w14:paraId="1DD995CF"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1643" w:type="dxa"/>
            <w:shd w:val="clear" w:color="auto" w:fill="auto"/>
            <w:vAlign w:val="center"/>
          </w:tcPr>
          <w:p w14:paraId="3F54D8B4"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1</w:t>
            </w:r>
          </w:p>
        </w:tc>
      </w:tr>
      <w:tr w:rsidR="002A76BE" w:rsidRPr="002A76BE" w14:paraId="7ECC1821" w14:textId="77777777" w:rsidTr="00236552">
        <w:trPr>
          <w:cantSplit/>
          <w:tblHeader/>
          <w:jc w:val="center"/>
        </w:trPr>
        <w:tc>
          <w:tcPr>
            <w:tcW w:w="2289" w:type="dxa"/>
            <w:shd w:val="clear" w:color="auto" w:fill="0070C0"/>
            <w:vAlign w:val="center"/>
          </w:tcPr>
          <w:p w14:paraId="63A7CE20" w14:textId="58CC5AD2" w:rsidR="002A76BE" w:rsidRPr="00AC7DC1" w:rsidRDefault="002A76BE" w:rsidP="00DB3EB4">
            <w:pPr>
              <w:pStyle w:val="Level1"/>
              <w:tabs>
                <w:tab w:val="left" w:pos="-1440"/>
              </w:tabs>
              <w:autoSpaceDE w:val="0"/>
              <w:autoSpaceDN w:val="0"/>
              <w:adjustRightInd w:val="0"/>
              <w:spacing w:after="120" w:line="20" w:lineRule="atLeast"/>
              <w:rPr>
                <w:rFonts w:asciiTheme="minorHAnsi" w:eastAsiaTheme="minorHAnsi" w:hAnsiTheme="minorHAnsi" w:cstheme="minorHAnsi"/>
                <w:color w:val="FFFFFF" w:themeColor="background1"/>
                <w:sz w:val="22"/>
                <w:szCs w:val="22"/>
              </w:rPr>
            </w:pPr>
            <w:r w:rsidRPr="00AC7DC1">
              <w:rPr>
                <w:rFonts w:asciiTheme="minorHAnsi" w:eastAsiaTheme="minorHAnsi" w:hAnsiTheme="minorHAnsi" w:cstheme="minorHAnsi"/>
                <w:color w:val="FFFFFF" w:themeColor="background1"/>
                <w:sz w:val="22"/>
                <w:szCs w:val="22"/>
              </w:rPr>
              <w:t xml:space="preserve">2020 – </w:t>
            </w:r>
            <w:r w:rsidR="00BC7AFD">
              <w:rPr>
                <w:rFonts w:asciiTheme="minorHAnsi" w:eastAsiaTheme="minorHAnsi" w:hAnsiTheme="minorHAnsi" w:cstheme="minorHAnsi"/>
                <w:color w:val="FFFFFF" w:themeColor="background1"/>
                <w:sz w:val="22"/>
                <w:szCs w:val="22"/>
              </w:rPr>
              <w:t>30 s</w:t>
            </w:r>
            <w:r w:rsidRPr="00AC7DC1">
              <w:rPr>
                <w:rFonts w:asciiTheme="minorHAnsi" w:eastAsiaTheme="minorHAnsi" w:hAnsiTheme="minorHAnsi" w:cstheme="minorHAnsi"/>
                <w:color w:val="FFFFFF" w:themeColor="background1"/>
                <w:sz w:val="22"/>
                <w:szCs w:val="22"/>
              </w:rPr>
              <w:t>eptembr</w:t>
            </w:r>
            <w:r w:rsidR="00BC7AFD">
              <w:rPr>
                <w:rFonts w:asciiTheme="minorHAnsi" w:eastAsiaTheme="minorHAnsi" w:hAnsiTheme="minorHAnsi" w:cstheme="minorHAnsi"/>
                <w:color w:val="FFFFFF" w:themeColor="background1"/>
                <w:sz w:val="22"/>
                <w:szCs w:val="22"/>
              </w:rPr>
              <w:t>e</w:t>
            </w:r>
          </w:p>
        </w:tc>
        <w:tc>
          <w:tcPr>
            <w:tcW w:w="2453" w:type="dxa"/>
            <w:shd w:val="clear" w:color="auto" w:fill="auto"/>
            <w:vAlign w:val="center"/>
          </w:tcPr>
          <w:p w14:paraId="379B9158" w14:textId="77777777" w:rsidR="002A76BE" w:rsidRPr="002A76BE" w:rsidRDefault="002A76BE" w:rsidP="00B15E73">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2965" w:type="dxa"/>
            <w:shd w:val="clear" w:color="auto" w:fill="auto"/>
            <w:vAlign w:val="center"/>
          </w:tcPr>
          <w:p w14:paraId="6623B023" w14:textId="77777777" w:rsidR="002A76BE" w:rsidRPr="002A76BE" w:rsidRDefault="002A76BE" w:rsidP="00B15E73">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1643" w:type="dxa"/>
            <w:shd w:val="clear" w:color="auto" w:fill="auto"/>
            <w:vAlign w:val="center"/>
          </w:tcPr>
          <w:p w14:paraId="02292063" w14:textId="77777777" w:rsidR="002A76BE" w:rsidRPr="002A76BE" w:rsidRDefault="002A76BE" w:rsidP="00B15E73">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r>
      <w:tr w:rsidR="00AC7DC1" w:rsidRPr="002A76BE" w14:paraId="191F875F" w14:textId="77777777" w:rsidTr="00236552">
        <w:trPr>
          <w:cantSplit/>
          <w:tblHeader/>
          <w:jc w:val="center"/>
        </w:trPr>
        <w:tc>
          <w:tcPr>
            <w:tcW w:w="2289" w:type="dxa"/>
            <w:shd w:val="clear" w:color="auto" w:fill="BAF8FF" w:themeFill="accent3" w:themeFillTint="33"/>
            <w:vAlign w:val="center"/>
          </w:tcPr>
          <w:p w14:paraId="76C6A399" w14:textId="513393D7" w:rsidR="00AC7DC1" w:rsidRPr="002A76BE" w:rsidRDefault="00AC7DC1" w:rsidP="00236552">
            <w:pPr>
              <w:keepLines/>
              <w:widowControl w:val="0"/>
              <w:tabs>
                <w:tab w:val="left" w:pos="-1440"/>
              </w:tabs>
              <w:autoSpaceDE w:val="0"/>
              <w:autoSpaceDN w:val="0"/>
              <w:adjustRightInd w:val="0"/>
              <w:spacing w:after="120" w:line="20" w:lineRule="atLeast"/>
              <w:rPr>
                <w:rFonts w:asciiTheme="minorHAnsi" w:hAnsiTheme="minorHAnsi" w:cstheme="minorHAnsi"/>
                <w:sz w:val="22"/>
                <w:szCs w:val="22"/>
              </w:rPr>
            </w:pPr>
            <w:r w:rsidRPr="00E86774">
              <w:rPr>
                <w:rFonts w:asciiTheme="minorHAnsi" w:eastAsiaTheme="minorHAnsi" w:hAnsiTheme="minorHAnsi" w:cstheme="minorHAnsi"/>
                <w:sz w:val="22"/>
                <w:szCs w:val="22"/>
              </w:rPr>
              <w:t>Total</w:t>
            </w:r>
          </w:p>
        </w:tc>
        <w:tc>
          <w:tcPr>
            <w:tcW w:w="2453" w:type="dxa"/>
            <w:shd w:val="clear" w:color="auto" w:fill="BAF8FF" w:themeFill="accent3" w:themeFillTint="33"/>
            <w:vAlign w:val="center"/>
          </w:tcPr>
          <w:p w14:paraId="3D7F0DDB"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1</w:t>
            </w:r>
          </w:p>
        </w:tc>
        <w:tc>
          <w:tcPr>
            <w:tcW w:w="2965" w:type="dxa"/>
            <w:shd w:val="clear" w:color="auto" w:fill="BAF8FF" w:themeFill="accent3" w:themeFillTint="33"/>
            <w:vAlign w:val="center"/>
          </w:tcPr>
          <w:p w14:paraId="4E436C57"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0</w:t>
            </w:r>
          </w:p>
        </w:tc>
        <w:tc>
          <w:tcPr>
            <w:tcW w:w="1643" w:type="dxa"/>
            <w:shd w:val="clear" w:color="auto" w:fill="BAF8FF" w:themeFill="accent3" w:themeFillTint="33"/>
            <w:vAlign w:val="center"/>
          </w:tcPr>
          <w:p w14:paraId="0BA02106" w14:textId="77777777" w:rsidR="00AC7DC1" w:rsidRPr="002A76BE" w:rsidRDefault="00AC7DC1" w:rsidP="00AC7DC1">
            <w:pPr>
              <w:pStyle w:val="Level1"/>
              <w:tabs>
                <w:tab w:val="left" w:pos="-1440"/>
              </w:tabs>
              <w:autoSpaceDE w:val="0"/>
              <w:autoSpaceDN w:val="0"/>
              <w:adjustRightInd w:val="0"/>
              <w:spacing w:after="120" w:line="20" w:lineRule="atLeast"/>
              <w:jc w:val="center"/>
              <w:rPr>
                <w:rFonts w:asciiTheme="minorHAnsi" w:hAnsiTheme="minorHAnsi" w:cstheme="minorHAnsi"/>
                <w:sz w:val="22"/>
                <w:szCs w:val="22"/>
              </w:rPr>
            </w:pPr>
            <w:r>
              <w:rPr>
                <w:rFonts w:asciiTheme="minorHAnsi" w:hAnsiTheme="minorHAnsi"/>
                <w:sz w:val="22"/>
                <w:szCs w:val="22"/>
              </w:rPr>
              <w:t>1</w:t>
            </w:r>
          </w:p>
        </w:tc>
      </w:tr>
    </w:tbl>
    <w:p w14:paraId="69991715" w14:textId="184F32B2" w:rsidR="002A76BE" w:rsidRPr="002A76BE" w:rsidRDefault="00D025D3" w:rsidP="002A76BE">
      <w:pPr>
        <w:spacing w:after="120"/>
        <w:rPr>
          <w:rFonts w:asciiTheme="minorHAnsi" w:eastAsia="Calibri" w:hAnsiTheme="minorHAnsi" w:cstheme="minorHAnsi"/>
          <w:sz w:val="22"/>
          <w:szCs w:val="22"/>
        </w:rPr>
      </w:pPr>
      <w:r w:rsidRPr="00D025D3">
        <w:rPr>
          <w:rFonts w:asciiTheme="minorHAnsi" w:hAnsiTheme="minorHAnsi"/>
          <w:sz w:val="22"/>
          <w:szCs w:val="22"/>
        </w:rPr>
        <w:t>Source : Système de gestion de l’information des priorités</w:t>
      </w:r>
    </w:p>
    <w:p w14:paraId="3355133E" w14:textId="00DCC58F" w:rsidR="00467596" w:rsidRPr="00C0157E" w:rsidRDefault="00BC5521" w:rsidP="00236552">
      <w:pPr>
        <w:pStyle w:val="Heading2"/>
        <w:spacing w:before="40"/>
        <w:rPr>
          <w:rFonts w:eastAsia="Calibri"/>
        </w:rPr>
      </w:pPr>
      <w:r w:rsidRPr="00BC5521">
        <w:t>Demandes d’autorisation en matière de priorités</w:t>
      </w:r>
    </w:p>
    <w:p w14:paraId="03E970A0" w14:textId="21C8637D" w:rsidR="00467596" w:rsidRDefault="00467596" w:rsidP="002A76BE">
      <w:pPr>
        <w:pStyle w:val="NoSpacing"/>
        <w:rPr>
          <w:rFonts w:eastAsia="Calibri"/>
        </w:rPr>
      </w:pPr>
      <w:r w:rsidRPr="00BC5521">
        <w:t>Du 1</w:t>
      </w:r>
      <w:r w:rsidRPr="00BC5521">
        <w:rPr>
          <w:vertAlign w:val="superscript"/>
        </w:rPr>
        <w:t>er</w:t>
      </w:r>
      <w:r w:rsidRPr="00BC5521">
        <w:t xml:space="preserve"> avril 2019 au 25 septembre 2020, </w:t>
      </w:r>
      <w:proofErr w:type="spellStart"/>
      <w:r w:rsidRPr="00BC5521">
        <w:t>RNCan</w:t>
      </w:r>
      <w:proofErr w:type="spellEnd"/>
      <w:r w:rsidRPr="00BC5521">
        <w:t xml:space="preserve"> a présenté 1 368 demandes d’autorisation en matière de priorité.</w:t>
      </w:r>
      <w:r>
        <w:t xml:space="preserve"> </w:t>
      </w:r>
    </w:p>
    <w:p w14:paraId="2627E5FD" w14:textId="782A53C3" w:rsidR="00236552" w:rsidRPr="00236552" w:rsidRDefault="00236552" w:rsidP="00236552">
      <w:pPr>
        <w:pStyle w:val="Caption"/>
        <w:keepNext/>
        <w:spacing w:after="0"/>
        <w:rPr>
          <w:rFonts w:asciiTheme="minorHAnsi" w:hAnsiTheme="minorHAnsi" w:cstheme="minorHAnsi"/>
          <w:i w:val="0"/>
          <w:iCs w:val="0"/>
          <w:color w:val="auto"/>
        </w:rPr>
      </w:pPr>
      <w:r w:rsidRPr="00236552">
        <w:rPr>
          <w:rFonts w:asciiTheme="minorHAnsi" w:hAnsiTheme="minorHAnsi" w:cstheme="minorHAnsi"/>
          <w:i w:val="0"/>
          <w:iCs w:val="0"/>
          <w:color w:val="auto"/>
        </w:rPr>
        <w:lastRenderedPageBreak/>
        <w:t xml:space="preserve">Tableau </w:t>
      </w:r>
      <w:r w:rsidRPr="00236552">
        <w:rPr>
          <w:rFonts w:asciiTheme="minorHAnsi" w:hAnsiTheme="minorHAnsi" w:cstheme="minorHAnsi"/>
          <w:i w:val="0"/>
          <w:iCs w:val="0"/>
          <w:color w:val="auto"/>
        </w:rPr>
        <w:fldChar w:fldCharType="begin"/>
      </w:r>
      <w:r w:rsidRPr="00236552">
        <w:rPr>
          <w:rFonts w:asciiTheme="minorHAnsi" w:hAnsiTheme="minorHAnsi" w:cstheme="minorHAnsi"/>
          <w:i w:val="0"/>
          <w:iCs w:val="0"/>
          <w:color w:val="auto"/>
        </w:rPr>
        <w:instrText xml:space="preserve"> SEQ Tableau \* ARABIC </w:instrText>
      </w:r>
      <w:r w:rsidRPr="00236552">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4</w:t>
      </w:r>
      <w:r w:rsidRPr="00236552">
        <w:rPr>
          <w:rFonts w:asciiTheme="minorHAnsi" w:hAnsiTheme="minorHAnsi" w:cstheme="minorHAnsi"/>
          <w:i w:val="0"/>
          <w:iCs w:val="0"/>
          <w:color w:val="auto"/>
        </w:rPr>
        <w:fldChar w:fldCharType="end"/>
      </w:r>
      <w:r w:rsidRPr="00236552">
        <w:rPr>
          <w:rFonts w:asciiTheme="minorHAnsi" w:hAnsiTheme="minorHAnsi" w:cstheme="minorHAnsi"/>
          <w:i w:val="0"/>
          <w:iCs w:val="0"/>
          <w:color w:val="auto"/>
        </w:rPr>
        <w:t xml:space="preserve"> - Types d'autorisation en matière de priorité</w:t>
      </w:r>
    </w:p>
    <w:tbl>
      <w:tblPr>
        <w:tblStyle w:val="Grilledutableau1"/>
        <w:tblW w:w="5000" w:type="pct"/>
        <w:jc w:val="center"/>
        <w:tblLook w:val="04A0" w:firstRow="1" w:lastRow="0" w:firstColumn="1" w:lastColumn="0" w:noHBand="0" w:noVBand="1"/>
        <w:tblDescription w:val="Types d’autorisation en matière de priorité"/>
      </w:tblPr>
      <w:tblGrid>
        <w:gridCol w:w="6568"/>
        <w:gridCol w:w="1303"/>
        <w:gridCol w:w="1479"/>
      </w:tblGrid>
      <w:tr w:rsidR="00BC5521" w:rsidRPr="00236552" w14:paraId="2A69B1BE" w14:textId="77777777" w:rsidTr="0097491B">
        <w:trPr>
          <w:cantSplit/>
          <w:tblHeader/>
          <w:jc w:val="center"/>
        </w:trPr>
        <w:tc>
          <w:tcPr>
            <w:tcW w:w="3512" w:type="pct"/>
          </w:tcPr>
          <w:p w14:paraId="741983A7" w14:textId="6086559E" w:rsidR="00BC5521" w:rsidRPr="00236552" w:rsidRDefault="00BC5521" w:rsidP="00BC5521">
            <w:pPr>
              <w:pStyle w:val="TableTitle"/>
              <w:spacing w:before="40" w:after="0"/>
              <w:rPr>
                <w:rFonts w:cs="Segoe UI Semibold"/>
                <w:b/>
                <w:sz w:val="22"/>
                <w:szCs w:val="22"/>
              </w:rPr>
            </w:pPr>
            <w:r w:rsidRPr="00236552">
              <w:rPr>
                <w:rFonts w:cs="Segoe UI Semibold"/>
                <w:color w:val="auto"/>
                <w:sz w:val="22"/>
              </w:rPr>
              <w:t>Types d’autorisation en matière de priorité</w:t>
            </w:r>
          </w:p>
        </w:tc>
        <w:tc>
          <w:tcPr>
            <w:tcW w:w="697" w:type="pct"/>
          </w:tcPr>
          <w:p w14:paraId="11DC87EB" w14:textId="45B87128" w:rsidR="00BC5521" w:rsidRPr="00236552" w:rsidRDefault="00BC5521" w:rsidP="00BC5521">
            <w:pPr>
              <w:pStyle w:val="TableTitle"/>
              <w:spacing w:before="40" w:after="0"/>
              <w:rPr>
                <w:rFonts w:cs="Segoe UI Semibold"/>
                <w:color w:val="auto"/>
                <w:sz w:val="22"/>
              </w:rPr>
            </w:pPr>
            <w:r w:rsidRPr="00236552">
              <w:rPr>
                <w:rFonts w:cs="Segoe UI Semibold"/>
                <w:color w:val="auto"/>
                <w:sz w:val="22"/>
              </w:rPr>
              <w:t>Nombre</w:t>
            </w:r>
          </w:p>
        </w:tc>
        <w:tc>
          <w:tcPr>
            <w:tcW w:w="791" w:type="pct"/>
          </w:tcPr>
          <w:p w14:paraId="54570BBA" w14:textId="77E7A0A9" w:rsidR="00BC5521" w:rsidRPr="00236552" w:rsidRDefault="00BC5521" w:rsidP="00BC5521">
            <w:pPr>
              <w:pStyle w:val="TableTitle"/>
              <w:spacing w:before="40" w:after="0"/>
              <w:rPr>
                <w:rFonts w:cs="Segoe UI Semibold"/>
                <w:color w:val="auto"/>
                <w:sz w:val="22"/>
              </w:rPr>
            </w:pPr>
            <w:r w:rsidRPr="00236552">
              <w:rPr>
                <w:rFonts w:cs="Segoe UI Semibold"/>
                <w:color w:val="auto"/>
                <w:sz w:val="22"/>
              </w:rPr>
              <w:t>Pourcentage</w:t>
            </w:r>
          </w:p>
        </w:tc>
      </w:tr>
      <w:tr w:rsidR="002A76BE" w:rsidRPr="002A76BE" w14:paraId="64DDE710" w14:textId="77777777" w:rsidTr="0097491B">
        <w:trPr>
          <w:cantSplit/>
          <w:trHeight w:val="1237"/>
          <w:tblHeader/>
          <w:jc w:val="center"/>
        </w:trPr>
        <w:tc>
          <w:tcPr>
            <w:tcW w:w="3512" w:type="pct"/>
          </w:tcPr>
          <w:p w14:paraId="281459FC" w14:textId="77777777" w:rsidR="00BC5521" w:rsidRPr="00236552" w:rsidRDefault="00BC5521" w:rsidP="00BC5521">
            <w:pPr>
              <w:rPr>
                <w:rFonts w:asciiTheme="minorHAnsi" w:hAnsiTheme="minorHAnsi"/>
                <w:sz w:val="22"/>
                <w:szCs w:val="22"/>
              </w:rPr>
            </w:pPr>
            <w:r w:rsidRPr="00236552">
              <w:rPr>
                <w:rFonts w:asciiTheme="minorHAnsi" w:hAnsiTheme="minorHAnsi"/>
                <w:sz w:val="22"/>
                <w:szCs w:val="22"/>
              </w:rPr>
              <w:t>Processus internes annoncés</w:t>
            </w:r>
          </w:p>
          <w:p w14:paraId="7CD80C0B" w14:textId="5F5FAC7A" w:rsidR="002A76BE" w:rsidRPr="00236552" w:rsidRDefault="00BC5521" w:rsidP="00BC5521">
            <w:pPr>
              <w:numPr>
                <w:ilvl w:val="0"/>
                <w:numId w:val="10"/>
              </w:numPr>
              <w:rPr>
                <w:rFonts w:asciiTheme="minorHAnsi" w:hAnsiTheme="minorHAnsi" w:cstheme="minorHAnsi"/>
                <w:sz w:val="22"/>
                <w:szCs w:val="22"/>
              </w:rPr>
            </w:pPr>
            <w:r w:rsidRPr="00236552">
              <w:rPr>
                <w:rFonts w:asciiTheme="minorHAnsi" w:hAnsiTheme="minorHAnsi"/>
                <w:sz w:val="22"/>
                <w:szCs w:val="22"/>
              </w:rPr>
              <w:t xml:space="preserve">Internes annoncés </w:t>
            </w:r>
            <w:r w:rsidR="002A76BE" w:rsidRPr="00236552">
              <w:rPr>
                <w:rFonts w:asciiTheme="minorHAnsi" w:hAnsiTheme="minorHAnsi"/>
                <w:sz w:val="22"/>
                <w:szCs w:val="22"/>
              </w:rPr>
              <w:t>(109)</w:t>
            </w:r>
          </w:p>
          <w:p w14:paraId="0752FB9C" w14:textId="06AC43F1" w:rsidR="002A76BE" w:rsidRPr="00236552" w:rsidRDefault="00BC5521" w:rsidP="00BC5521">
            <w:pPr>
              <w:numPr>
                <w:ilvl w:val="0"/>
                <w:numId w:val="10"/>
              </w:numPr>
              <w:rPr>
                <w:rFonts w:asciiTheme="minorHAnsi" w:hAnsiTheme="minorHAnsi" w:cstheme="minorHAnsi"/>
                <w:sz w:val="22"/>
                <w:szCs w:val="22"/>
              </w:rPr>
            </w:pPr>
            <w:r w:rsidRPr="00236552">
              <w:rPr>
                <w:rFonts w:asciiTheme="minorHAnsi" w:hAnsiTheme="minorHAnsi"/>
                <w:sz w:val="22"/>
                <w:szCs w:val="22"/>
              </w:rPr>
              <w:t xml:space="preserve">Nominations à partir d’un bassin de candidats qualifiés </w:t>
            </w:r>
            <w:r w:rsidR="002A76BE" w:rsidRPr="00236552">
              <w:rPr>
                <w:rFonts w:asciiTheme="minorHAnsi" w:hAnsiTheme="minorHAnsi"/>
                <w:sz w:val="22"/>
                <w:szCs w:val="22"/>
              </w:rPr>
              <w:t>(83)</w:t>
            </w:r>
          </w:p>
          <w:p w14:paraId="158B3BA8" w14:textId="7E698DDD" w:rsidR="002A76BE" w:rsidRPr="00236552" w:rsidRDefault="00BC5521" w:rsidP="00BC5521">
            <w:pPr>
              <w:numPr>
                <w:ilvl w:val="0"/>
                <w:numId w:val="10"/>
              </w:numPr>
              <w:rPr>
                <w:rFonts w:asciiTheme="minorHAnsi" w:hAnsiTheme="minorHAnsi" w:cstheme="minorHAnsi"/>
                <w:sz w:val="22"/>
                <w:szCs w:val="22"/>
              </w:rPr>
            </w:pPr>
            <w:r w:rsidRPr="00236552">
              <w:rPr>
                <w:rFonts w:asciiTheme="minorHAnsi" w:hAnsiTheme="minorHAnsi"/>
                <w:sz w:val="22"/>
                <w:szCs w:val="22"/>
              </w:rPr>
              <w:t xml:space="preserve">Processus ciblé aux groupes d’équité en emploi </w:t>
            </w:r>
            <w:r w:rsidR="002A76BE" w:rsidRPr="00236552">
              <w:rPr>
                <w:rFonts w:asciiTheme="minorHAnsi" w:hAnsiTheme="minorHAnsi"/>
                <w:sz w:val="22"/>
                <w:szCs w:val="22"/>
              </w:rPr>
              <w:t>(2)</w:t>
            </w:r>
          </w:p>
        </w:tc>
        <w:tc>
          <w:tcPr>
            <w:tcW w:w="697" w:type="pct"/>
            <w:shd w:val="clear" w:color="auto" w:fill="auto"/>
          </w:tcPr>
          <w:p w14:paraId="197C6769" w14:textId="77777777"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194</w:t>
            </w:r>
          </w:p>
        </w:tc>
        <w:tc>
          <w:tcPr>
            <w:tcW w:w="791" w:type="pct"/>
            <w:shd w:val="clear" w:color="auto" w:fill="auto"/>
          </w:tcPr>
          <w:p w14:paraId="5497F6A4" w14:textId="146F4560"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14</w:t>
            </w:r>
            <w:r w:rsidR="00753A22" w:rsidRPr="00236552">
              <w:rPr>
                <w:rFonts w:asciiTheme="minorHAnsi" w:hAnsiTheme="minorHAnsi"/>
                <w:sz w:val="22"/>
                <w:szCs w:val="22"/>
              </w:rPr>
              <w:t xml:space="preserve"> </w:t>
            </w:r>
            <w:r w:rsidRPr="00236552">
              <w:rPr>
                <w:rFonts w:asciiTheme="minorHAnsi" w:hAnsiTheme="minorHAnsi"/>
                <w:sz w:val="22"/>
                <w:szCs w:val="22"/>
              </w:rPr>
              <w:t>%</w:t>
            </w:r>
          </w:p>
        </w:tc>
      </w:tr>
      <w:tr w:rsidR="002A76BE" w:rsidRPr="002A76BE" w14:paraId="631633DE" w14:textId="77777777" w:rsidTr="0097491B">
        <w:trPr>
          <w:cantSplit/>
          <w:tblHeader/>
          <w:jc w:val="center"/>
        </w:trPr>
        <w:tc>
          <w:tcPr>
            <w:tcW w:w="3512" w:type="pct"/>
          </w:tcPr>
          <w:p w14:paraId="2FF649D3" w14:textId="4AC02EB1" w:rsidR="002A76BE" w:rsidRPr="00236552" w:rsidRDefault="00753A22" w:rsidP="00B15E73">
            <w:pPr>
              <w:rPr>
                <w:rFonts w:asciiTheme="minorHAnsi" w:hAnsiTheme="minorHAnsi" w:cstheme="minorHAnsi"/>
                <w:sz w:val="22"/>
                <w:szCs w:val="22"/>
              </w:rPr>
            </w:pPr>
            <w:r w:rsidRPr="00236552">
              <w:rPr>
                <w:rFonts w:asciiTheme="minorHAnsi" w:hAnsiTheme="minorHAnsi"/>
                <w:sz w:val="22"/>
                <w:szCs w:val="22"/>
              </w:rPr>
              <w:t>Processus internes non annoncés</w:t>
            </w:r>
          </w:p>
          <w:p w14:paraId="167AE48B" w14:textId="10B64966" w:rsidR="002A76BE" w:rsidRPr="00236552" w:rsidRDefault="006B5254" w:rsidP="0074458B">
            <w:pPr>
              <w:numPr>
                <w:ilvl w:val="0"/>
                <w:numId w:val="10"/>
              </w:numPr>
              <w:rPr>
                <w:rFonts w:asciiTheme="minorHAnsi" w:hAnsiTheme="minorHAnsi" w:cstheme="minorHAnsi"/>
                <w:sz w:val="22"/>
                <w:szCs w:val="22"/>
              </w:rPr>
            </w:pPr>
            <w:r w:rsidRPr="00236552">
              <w:rPr>
                <w:rFonts w:asciiTheme="minorHAnsi" w:hAnsiTheme="minorHAnsi"/>
                <w:sz w:val="22"/>
                <w:szCs w:val="22"/>
              </w:rPr>
              <w:t>Nomination ne figurant pas dans l’intention d’un processus annoncé</w:t>
            </w:r>
            <w:r w:rsidR="002A76BE" w:rsidRPr="00236552">
              <w:rPr>
                <w:rFonts w:asciiTheme="minorHAnsi" w:hAnsiTheme="minorHAnsi"/>
                <w:sz w:val="22"/>
                <w:szCs w:val="22"/>
              </w:rPr>
              <w:t xml:space="preserve"> (4)</w:t>
            </w:r>
          </w:p>
          <w:p w14:paraId="039E6784" w14:textId="1CA8D5BF" w:rsidR="002A76BE" w:rsidRPr="00236552" w:rsidRDefault="006B5254" w:rsidP="0074458B">
            <w:pPr>
              <w:numPr>
                <w:ilvl w:val="0"/>
                <w:numId w:val="10"/>
              </w:numPr>
              <w:rPr>
                <w:rFonts w:asciiTheme="minorHAnsi" w:hAnsiTheme="minorHAnsi" w:cstheme="minorHAnsi"/>
                <w:sz w:val="22"/>
                <w:szCs w:val="22"/>
              </w:rPr>
            </w:pPr>
            <w:r w:rsidRPr="00236552">
              <w:rPr>
                <w:rFonts w:asciiTheme="minorHAnsi" w:hAnsiTheme="minorHAnsi"/>
                <w:sz w:val="22"/>
                <w:szCs w:val="22"/>
              </w:rPr>
              <w:t>Nomination n</w:t>
            </w:r>
            <w:r w:rsidR="002A76BE" w:rsidRPr="00236552">
              <w:rPr>
                <w:rFonts w:asciiTheme="minorHAnsi" w:hAnsiTheme="minorHAnsi"/>
                <w:sz w:val="22"/>
                <w:szCs w:val="22"/>
              </w:rPr>
              <w:t>on-promotion</w:t>
            </w:r>
            <w:r w:rsidRPr="00236552">
              <w:rPr>
                <w:rFonts w:asciiTheme="minorHAnsi" w:hAnsiTheme="minorHAnsi"/>
                <w:sz w:val="22"/>
                <w:szCs w:val="22"/>
              </w:rPr>
              <w:t>nelle</w:t>
            </w:r>
            <w:r w:rsidR="002A76BE" w:rsidRPr="00236552">
              <w:rPr>
                <w:rFonts w:asciiTheme="minorHAnsi" w:hAnsiTheme="minorHAnsi"/>
                <w:sz w:val="22"/>
                <w:szCs w:val="22"/>
              </w:rPr>
              <w:t xml:space="preserve"> </w:t>
            </w:r>
            <w:r w:rsidRPr="00236552">
              <w:rPr>
                <w:rFonts w:asciiTheme="minorHAnsi" w:hAnsiTheme="minorHAnsi"/>
                <w:sz w:val="22"/>
                <w:szCs w:val="22"/>
              </w:rPr>
              <w:t>lorsqu’une mutation n’est pas possible</w:t>
            </w:r>
            <w:r w:rsidR="002A76BE" w:rsidRPr="00236552">
              <w:rPr>
                <w:rFonts w:asciiTheme="minorHAnsi" w:hAnsiTheme="minorHAnsi"/>
                <w:sz w:val="22"/>
                <w:szCs w:val="22"/>
              </w:rPr>
              <w:t xml:space="preserve"> (5)</w:t>
            </w:r>
          </w:p>
          <w:p w14:paraId="6EF5DD36" w14:textId="64A3F8C2" w:rsidR="002A76BE" w:rsidRPr="00236552" w:rsidRDefault="006B5254" w:rsidP="0074458B">
            <w:pPr>
              <w:numPr>
                <w:ilvl w:val="0"/>
                <w:numId w:val="10"/>
              </w:numPr>
              <w:rPr>
                <w:rFonts w:asciiTheme="minorHAnsi" w:hAnsiTheme="minorHAnsi" w:cstheme="minorHAnsi"/>
                <w:sz w:val="22"/>
                <w:szCs w:val="22"/>
              </w:rPr>
            </w:pPr>
            <w:r w:rsidRPr="00236552">
              <w:rPr>
                <w:rFonts w:asciiTheme="minorHAnsi" w:hAnsiTheme="minorHAnsi"/>
                <w:sz w:val="22"/>
                <w:szCs w:val="22"/>
              </w:rPr>
              <w:t>Groupe en pénurie</w:t>
            </w:r>
            <w:r w:rsidR="002A76BE" w:rsidRPr="00236552">
              <w:rPr>
                <w:rFonts w:asciiTheme="minorHAnsi" w:hAnsiTheme="minorHAnsi"/>
                <w:sz w:val="22"/>
                <w:szCs w:val="22"/>
              </w:rPr>
              <w:t xml:space="preserve"> (11)</w:t>
            </w:r>
          </w:p>
          <w:p w14:paraId="69344B8A" w14:textId="3BB92887" w:rsidR="002A76BE" w:rsidRPr="00236552" w:rsidRDefault="006B5254" w:rsidP="0074458B">
            <w:pPr>
              <w:numPr>
                <w:ilvl w:val="0"/>
                <w:numId w:val="10"/>
              </w:numPr>
              <w:rPr>
                <w:rFonts w:asciiTheme="minorHAnsi" w:hAnsiTheme="minorHAnsi" w:cstheme="minorHAnsi"/>
                <w:sz w:val="22"/>
                <w:szCs w:val="22"/>
              </w:rPr>
            </w:pPr>
            <w:r w:rsidRPr="00236552">
              <w:rPr>
                <w:rFonts w:asciiTheme="minorHAnsi" w:hAnsiTheme="minorHAnsi"/>
                <w:sz w:val="22"/>
                <w:szCs w:val="22"/>
              </w:rPr>
              <w:t>Poste historiquement difficile à combler</w:t>
            </w:r>
            <w:r w:rsidR="002A76BE" w:rsidRPr="00236552">
              <w:rPr>
                <w:rFonts w:asciiTheme="minorHAnsi" w:hAnsiTheme="minorHAnsi"/>
                <w:sz w:val="22"/>
                <w:szCs w:val="22"/>
              </w:rPr>
              <w:t xml:space="preserve"> (10)</w:t>
            </w:r>
          </w:p>
          <w:p w14:paraId="1642CEC4" w14:textId="72E3A3AF" w:rsidR="002A76BE" w:rsidRPr="00236552" w:rsidRDefault="006B5254" w:rsidP="0074458B">
            <w:pPr>
              <w:numPr>
                <w:ilvl w:val="0"/>
                <w:numId w:val="10"/>
              </w:numPr>
              <w:rPr>
                <w:rFonts w:asciiTheme="minorHAnsi" w:hAnsiTheme="minorHAnsi" w:cstheme="minorHAnsi"/>
                <w:sz w:val="22"/>
                <w:szCs w:val="22"/>
              </w:rPr>
            </w:pPr>
            <w:r w:rsidRPr="00236552">
              <w:rPr>
                <w:rFonts w:asciiTheme="minorHAnsi" w:hAnsiTheme="minorHAnsi"/>
                <w:sz w:val="22"/>
                <w:szCs w:val="22"/>
              </w:rPr>
              <w:t>Nomination déterminée à indéterminée</w:t>
            </w:r>
            <w:r w:rsidR="002A76BE" w:rsidRPr="00236552">
              <w:rPr>
                <w:rFonts w:asciiTheme="minorHAnsi" w:hAnsiTheme="minorHAnsi"/>
                <w:sz w:val="22"/>
                <w:szCs w:val="22"/>
              </w:rPr>
              <w:t xml:space="preserve"> (</w:t>
            </w:r>
            <w:r w:rsidRPr="00236552">
              <w:rPr>
                <w:rFonts w:asciiTheme="minorHAnsi" w:hAnsiTheme="minorHAnsi"/>
                <w:sz w:val="22"/>
                <w:szCs w:val="22"/>
              </w:rPr>
              <w:t>pas une</w:t>
            </w:r>
            <w:r w:rsidR="002A76BE" w:rsidRPr="00236552">
              <w:rPr>
                <w:rFonts w:asciiTheme="minorHAnsi" w:hAnsiTheme="minorHAnsi"/>
                <w:sz w:val="22"/>
                <w:szCs w:val="22"/>
              </w:rPr>
              <w:t xml:space="preserve"> conversion) (62)</w:t>
            </w:r>
          </w:p>
          <w:p w14:paraId="1C0302AE" w14:textId="057C12B2" w:rsidR="002A76BE" w:rsidRPr="00236552" w:rsidRDefault="006B5254" w:rsidP="0074458B">
            <w:pPr>
              <w:numPr>
                <w:ilvl w:val="0"/>
                <w:numId w:val="10"/>
              </w:numPr>
              <w:rPr>
                <w:rFonts w:asciiTheme="minorHAnsi" w:hAnsiTheme="minorHAnsi" w:cstheme="minorHAnsi"/>
                <w:sz w:val="22"/>
                <w:szCs w:val="22"/>
              </w:rPr>
            </w:pPr>
            <w:r w:rsidRPr="00236552">
              <w:rPr>
                <w:rFonts w:asciiTheme="minorHAnsi" w:hAnsiTheme="minorHAnsi"/>
                <w:sz w:val="22"/>
                <w:szCs w:val="22"/>
              </w:rPr>
              <w:t>Compétences hautement spécialisées</w:t>
            </w:r>
            <w:r w:rsidR="002A76BE" w:rsidRPr="00236552">
              <w:rPr>
                <w:rFonts w:asciiTheme="minorHAnsi" w:hAnsiTheme="minorHAnsi"/>
                <w:sz w:val="22"/>
                <w:szCs w:val="22"/>
              </w:rPr>
              <w:t xml:space="preserve"> (72)</w:t>
            </w:r>
          </w:p>
          <w:p w14:paraId="3A8AA002" w14:textId="0756FB49" w:rsidR="002A76BE" w:rsidRPr="00236552" w:rsidRDefault="006B5254" w:rsidP="0074458B">
            <w:pPr>
              <w:numPr>
                <w:ilvl w:val="0"/>
                <w:numId w:val="10"/>
              </w:numPr>
              <w:rPr>
                <w:rFonts w:asciiTheme="minorHAnsi" w:hAnsiTheme="minorHAnsi" w:cstheme="minorHAnsi"/>
                <w:sz w:val="22"/>
                <w:szCs w:val="22"/>
              </w:rPr>
            </w:pPr>
            <w:r w:rsidRPr="00236552">
              <w:rPr>
                <w:rFonts w:asciiTheme="minorHAnsi" w:hAnsiTheme="minorHAnsi"/>
                <w:sz w:val="22"/>
                <w:szCs w:val="22"/>
              </w:rPr>
              <w:t>Autres raisons</w:t>
            </w:r>
            <w:r w:rsidR="002A76BE" w:rsidRPr="00236552">
              <w:rPr>
                <w:rFonts w:asciiTheme="minorHAnsi" w:hAnsiTheme="minorHAnsi"/>
                <w:sz w:val="22"/>
                <w:szCs w:val="22"/>
              </w:rPr>
              <w:t xml:space="preserve"> (286)</w:t>
            </w:r>
          </w:p>
        </w:tc>
        <w:tc>
          <w:tcPr>
            <w:tcW w:w="697" w:type="pct"/>
            <w:shd w:val="clear" w:color="auto" w:fill="auto"/>
          </w:tcPr>
          <w:p w14:paraId="73293B8C" w14:textId="77777777"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450</w:t>
            </w:r>
          </w:p>
        </w:tc>
        <w:tc>
          <w:tcPr>
            <w:tcW w:w="791" w:type="pct"/>
            <w:shd w:val="clear" w:color="auto" w:fill="auto"/>
          </w:tcPr>
          <w:p w14:paraId="0FDE6D5D" w14:textId="1EB8039C"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33</w:t>
            </w:r>
            <w:r w:rsidR="00753A22" w:rsidRPr="00236552">
              <w:rPr>
                <w:rFonts w:asciiTheme="minorHAnsi" w:hAnsiTheme="minorHAnsi"/>
                <w:sz w:val="22"/>
                <w:szCs w:val="22"/>
              </w:rPr>
              <w:t xml:space="preserve"> </w:t>
            </w:r>
            <w:r w:rsidRPr="00236552">
              <w:rPr>
                <w:rFonts w:asciiTheme="minorHAnsi" w:hAnsiTheme="minorHAnsi"/>
                <w:sz w:val="22"/>
                <w:szCs w:val="22"/>
              </w:rPr>
              <w:t>%</w:t>
            </w:r>
          </w:p>
        </w:tc>
      </w:tr>
      <w:tr w:rsidR="002A76BE" w:rsidRPr="002A76BE" w14:paraId="60726ECE" w14:textId="77777777" w:rsidTr="0097491B">
        <w:trPr>
          <w:cantSplit/>
          <w:trHeight w:val="1202"/>
          <w:tblHeader/>
          <w:jc w:val="center"/>
        </w:trPr>
        <w:tc>
          <w:tcPr>
            <w:tcW w:w="3512" w:type="pct"/>
          </w:tcPr>
          <w:p w14:paraId="65D0B67F" w14:textId="138C7885" w:rsidR="002A76BE" w:rsidRPr="00236552" w:rsidRDefault="00753A22" w:rsidP="00B15E73">
            <w:pPr>
              <w:rPr>
                <w:rFonts w:asciiTheme="minorHAnsi" w:hAnsiTheme="minorHAnsi" w:cstheme="minorHAnsi"/>
                <w:sz w:val="22"/>
                <w:szCs w:val="22"/>
              </w:rPr>
            </w:pPr>
            <w:r w:rsidRPr="00236552">
              <w:rPr>
                <w:rFonts w:asciiTheme="minorHAnsi" w:hAnsiTheme="minorHAnsi" w:cstheme="minorHAnsi"/>
                <w:sz w:val="22"/>
                <w:szCs w:val="22"/>
              </w:rPr>
              <w:t>Processus externes annoncés</w:t>
            </w:r>
          </w:p>
          <w:p w14:paraId="12F600BA" w14:textId="46A8D0F1" w:rsidR="002A76BE" w:rsidRPr="00236552" w:rsidRDefault="00753A22" w:rsidP="0074458B">
            <w:pPr>
              <w:numPr>
                <w:ilvl w:val="0"/>
                <w:numId w:val="11"/>
              </w:numPr>
              <w:rPr>
                <w:rFonts w:asciiTheme="minorHAnsi" w:hAnsiTheme="minorHAnsi" w:cstheme="minorHAnsi"/>
                <w:sz w:val="22"/>
                <w:szCs w:val="22"/>
              </w:rPr>
            </w:pPr>
            <w:r w:rsidRPr="00236552">
              <w:rPr>
                <w:rFonts w:asciiTheme="minorHAnsi" w:hAnsiTheme="minorHAnsi" w:cstheme="minorHAnsi"/>
                <w:sz w:val="22"/>
                <w:szCs w:val="22"/>
              </w:rPr>
              <w:t>Externes annoncés</w:t>
            </w:r>
            <w:r w:rsidRPr="00236552">
              <w:rPr>
                <w:rFonts w:asciiTheme="minorHAnsi" w:hAnsiTheme="minorHAnsi"/>
                <w:sz w:val="22"/>
                <w:szCs w:val="22"/>
              </w:rPr>
              <w:t xml:space="preserve"> </w:t>
            </w:r>
            <w:r w:rsidR="002A76BE" w:rsidRPr="00236552">
              <w:rPr>
                <w:rFonts w:asciiTheme="minorHAnsi" w:hAnsiTheme="minorHAnsi"/>
                <w:sz w:val="22"/>
                <w:szCs w:val="22"/>
              </w:rPr>
              <w:t>(163)</w:t>
            </w:r>
          </w:p>
          <w:p w14:paraId="0286AA34" w14:textId="4524BFBE" w:rsidR="002A76BE" w:rsidRPr="00236552" w:rsidRDefault="00753A22" w:rsidP="0074458B">
            <w:pPr>
              <w:numPr>
                <w:ilvl w:val="0"/>
                <w:numId w:val="11"/>
              </w:numPr>
              <w:rPr>
                <w:rFonts w:asciiTheme="minorHAnsi" w:hAnsiTheme="minorHAnsi" w:cstheme="minorHAnsi"/>
                <w:sz w:val="22"/>
                <w:szCs w:val="22"/>
              </w:rPr>
            </w:pPr>
            <w:r w:rsidRPr="00236552">
              <w:rPr>
                <w:rFonts w:asciiTheme="minorHAnsi" w:hAnsiTheme="minorHAnsi" w:cstheme="minorHAnsi"/>
                <w:sz w:val="22"/>
                <w:szCs w:val="22"/>
              </w:rPr>
              <w:t xml:space="preserve">Nominations à partir d’un bassin de candidats qualifiés </w:t>
            </w:r>
            <w:r w:rsidR="002A76BE" w:rsidRPr="00236552">
              <w:rPr>
                <w:rFonts w:asciiTheme="minorHAnsi" w:hAnsiTheme="minorHAnsi"/>
                <w:sz w:val="22"/>
                <w:szCs w:val="22"/>
              </w:rPr>
              <w:t>(151)</w:t>
            </w:r>
          </w:p>
          <w:p w14:paraId="033C3D13" w14:textId="6AB870EA" w:rsidR="002A76BE" w:rsidRPr="00236552" w:rsidRDefault="00753A22" w:rsidP="0074458B">
            <w:pPr>
              <w:numPr>
                <w:ilvl w:val="0"/>
                <w:numId w:val="11"/>
              </w:numPr>
              <w:rPr>
                <w:rFonts w:asciiTheme="minorHAnsi" w:hAnsiTheme="minorHAnsi" w:cstheme="minorHAnsi"/>
                <w:sz w:val="22"/>
                <w:szCs w:val="22"/>
              </w:rPr>
            </w:pPr>
            <w:r w:rsidRPr="00236552">
              <w:rPr>
                <w:rFonts w:asciiTheme="minorHAnsi" w:hAnsiTheme="minorHAnsi" w:cstheme="minorHAnsi"/>
                <w:sz w:val="22"/>
                <w:szCs w:val="22"/>
              </w:rPr>
              <w:t xml:space="preserve">Processus ciblés aux groupes d’équité en emploi </w:t>
            </w:r>
            <w:r w:rsidR="002A76BE" w:rsidRPr="00236552">
              <w:rPr>
                <w:rFonts w:asciiTheme="minorHAnsi" w:hAnsiTheme="minorHAnsi"/>
                <w:sz w:val="22"/>
                <w:szCs w:val="22"/>
              </w:rPr>
              <w:t>(1)</w:t>
            </w:r>
          </w:p>
        </w:tc>
        <w:tc>
          <w:tcPr>
            <w:tcW w:w="697" w:type="pct"/>
            <w:shd w:val="clear" w:color="auto" w:fill="auto"/>
          </w:tcPr>
          <w:p w14:paraId="38FFAD84" w14:textId="77777777"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315</w:t>
            </w:r>
          </w:p>
        </w:tc>
        <w:tc>
          <w:tcPr>
            <w:tcW w:w="791" w:type="pct"/>
            <w:shd w:val="clear" w:color="auto" w:fill="auto"/>
          </w:tcPr>
          <w:p w14:paraId="43B0607D" w14:textId="6C19394C"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23</w:t>
            </w:r>
            <w:r w:rsidR="00753A22" w:rsidRPr="00236552">
              <w:rPr>
                <w:rFonts w:asciiTheme="minorHAnsi" w:hAnsiTheme="minorHAnsi"/>
                <w:sz w:val="22"/>
                <w:szCs w:val="22"/>
              </w:rPr>
              <w:t xml:space="preserve"> </w:t>
            </w:r>
            <w:r w:rsidRPr="00236552">
              <w:rPr>
                <w:rFonts w:asciiTheme="minorHAnsi" w:hAnsiTheme="minorHAnsi"/>
                <w:sz w:val="22"/>
                <w:szCs w:val="22"/>
              </w:rPr>
              <w:t>%</w:t>
            </w:r>
          </w:p>
        </w:tc>
      </w:tr>
      <w:tr w:rsidR="002A76BE" w:rsidRPr="002A76BE" w14:paraId="43A13B8F" w14:textId="77777777" w:rsidTr="0097491B">
        <w:trPr>
          <w:cantSplit/>
          <w:tblHeader/>
          <w:jc w:val="center"/>
        </w:trPr>
        <w:tc>
          <w:tcPr>
            <w:tcW w:w="3512" w:type="pct"/>
          </w:tcPr>
          <w:p w14:paraId="2111B50C" w14:textId="0CAA4B8A" w:rsidR="002A76BE" w:rsidRPr="00236552" w:rsidRDefault="00753A22" w:rsidP="00B15E73">
            <w:pPr>
              <w:rPr>
                <w:rFonts w:asciiTheme="minorHAnsi" w:hAnsiTheme="minorHAnsi" w:cstheme="minorHAnsi"/>
                <w:sz w:val="22"/>
                <w:szCs w:val="22"/>
              </w:rPr>
            </w:pPr>
            <w:r w:rsidRPr="00236552">
              <w:rPr>
                <w:rFonts w:asciiTheme="minorHAnsi" w:hAnsiTheme="minorHAnsi" w:cstheme="minorHAnsi"/>
                <w:sz w:val="22"/>
                <w:szCs w:val="22"/>
              </w:rPr>
              <w:t>Processus externes non annoncés</w:t>
            </w:r>
          </w:p>
          <w:p w14:paraId="3F5B4987" w14:textId="4166BFFF" w:rsidR="002A76BE" w:rsidRPr="00236552" w:rsidRDefault="006B5254" w:rsidP="0074458B">
            <w:pPr>
              <w:numPr>
                <w:ilvl w:val="0"/>
                <w:numId w:val="11"/>
              </w:numPr>
              <w:rPr>
                <w:rFonts w:asciiTheme="minorHAnsi" w:hAnsiTheme="minorHAnsi" w:cstheme="minorHAnsi"/>
                <w:sz w:val="22"/>
                <w:szCs w:val="22"/>
              </w:rPr>
            </w:pPr>
            <w:r w:rsidRPr="00236552">
              <w:rPr>
                <w:rFonts w:asciiTheme="minorHAnsi" w:hAnsiTheme="minorHAnsi"/>
                <w:sz w:val="22"/>
                <w:szCs w:val="22"/>
              </w:rPr>
              <w:t>Région éloignée</w:t>
            </w:r>
            <w:r w:rsidR="002A76BE" w:rsidRPr="00236552">
              <w:rPr>
                <w:rFonts w:asciiTheme="minorHAnsi" w:hAnsiTheme="minorHAnsi"/>
                <w:sz w:val="22"/>
                <w:szCs w:val="22"/>
              </w:rPr>
              <w:t xml:space="preserve"> (1)</w:t>
            </w:r>
          </w:p>
          <w:p w14:paraId="2C20946A" w14:textId="65D12BC5" w:rsidR="002A76BE" w:rsidRPr="00236552" w:rsidRDefault="006B5254" w:rsidP="0074458B">
            <w:pPr>
              <w:numPr>
                <w:ilvl w:val="0"/>
                <w:numId w:val="11"/>
              </w:numPr>
              <w:rPr>
                <w:rFonts w:asciiTheme="minorHAnsi" w:hAnsiTheme="minorHAnsi" w:cstheme="minorHAnsi"/>
                <w:sz w:val="22"/>
                <w:szCs w:val="22"/>
              </w:rPr>
            </w:pPr>
            <w:r w:rsidRPr="00236552">
              <w:rPr>
                <w:rFonts w:asciiTheme="minorHAnsi" w:hAnsiTheme="minorHAnsi"/>
                <w:sz w:val="22"/>
                <w:szCs w:val="22"/>
              </w:rPr>
              <w:t xml:space="preserve">Nomination ne figurant pas dans l’intention d’un processus annoncé </w:t>
            </w:r>
            <w:r w:rsidR="002A76BE" w:rsidRPr="00236552">
              <w:rPr>
                <w:rFonts w:asciiTheme="minorHAnsi" w:hAnsiTheme="minorHAnsi"/>
                <w:sz w:val="22"/>
                <w:szCs w:val="22"/>
              </w:rPr>
              <w:t>(2)</w:t>
            </w:r>
          </w:p>
          <w:p w14:paraId="78EA6E36" w14:textId="43F82455" w:rsidR="002A76BE" w:rsidRPr="00236552" w:rsidRDefault="006B5254" w:rsidP="0074458B">
            <w:pPr>
              <w:numPr>
                <w:ilvl w:val="0"/>
                <w:numId w:val="11"/>
              </w:numPr>
              <w:rPr>
                <w:rFonts w:asciiTheme="minorHAnsi" w:hAnsiTheme="minorHAnsi" w:cstheme="minorHAnsi"/>
                <w:sz w:val="22"/>
                <w:szCs w:val="22"/>
              </w:rPr>
            </w:pPr>
            <w:r w:rsidRPr="00236552">
              <w:rPr>
                <w:rFonts w:asciiTheme="minorHAnsi" w:hAnsiTheme="minorHAnsi"/>
                <w:sz w:val="22"/>
                <w:szCs w:val="22"/>
              </w:rPr>
              <w:t xml:space="preserve">Poste historiquement difficile à combler </w:t>
            </w:r>
            <w:r w:rsidR="002A76BE" w:rsidRPr="00236552">
              <w:rPr>
                <w:rFonts w:asciiTheme="minorHAnsi" w:hAnsiTheme="minorHAnsi"/>
                <w:sz w:val="22"/>
                <w:szCs w:val="22"/>
              </w:rPr>
              <w:t>(8)</w:t>
            </w:r>
          </w:p>
          <w:p w14:paraId="5493074D" w14:textId="34A69BBD" w:rsidR="002A76BE" w:rsidRPr="00236552" w:rsidRDefault="006B5254" w:rsidP="0074458B">
            <w:pPr>
              <w:numPr>
                <w:ilvl w:val="0"/>
                <w:numId w:val="11"/>
              </w:numPr>
              <w:rPr>
                <w:rFonts w:asciiTheme="minorHAnsi" w:hAnsiTheme="minorHAnsi" w:cstheme="minorHAnsi"/>
                <w:sz w:val="22"/>
                <w:szCs w:val="22"/>
              </w:rPr>
            </w:pPr>
            <w:r w:rsidRPr="00236552">
              <w:rPr>
                <w:rFonts w:asciiTheme="minorHAnsi" w:hAnsiTheme="minorHAnsi"/>
                <w:sz w:val="22"/>
                <w:szCs w:val="22"/>
              </w:rPr>
              <w:t xml:space="preserve">Groupe en pénurie </w:t>
            </w:r>
            <w:r w:rsidR="002A76BE" w:rsidRPr="00236552">
              <w:rPr>
                <w:rFonts w:asciiTheme="minorHAnsi" w:hAnsiTheme="minorHAnsi"/>
                <w:sz w:val="22"/>
                <w:szCs w:val="22"/>
              </w:rPr>
              <w:t>(13)</w:t>
            </w:r>
          </w:p>
          <w:p w14:paraId="278BEE37" w14:textId="2D2FD63E" w:rsidR="002A76BE" w:rsidRPr="00236552" w:rsidRDefault="006B5254" w:rsidP="0074458B">
            <w:pPr>
              <w:numPr>
                <w:ilvl w:val="0"/>
                <w:numId w:val="11"/>
              </w:numPr>
              <w:rPr>
                <w:rFonts w:asciiTheme="minorHAnsi" w:hAnsiTheme="minorHAnsi" w:cstheme="minorHAnsi"/>
                <w:sz w:val="22"/>
                <w:szCs w:val="22"/>
              </w:rPr>
            </w:pPr>
            <w:r w:rsidRPr="00236552">
              <w:rPr>
                <w:rFonts w:asciiTheme="minorHAnsi" w:hAnsiTheme="minorHAnsi"/>
                <w:sz w:val="22"/>
                <w:szCs w:val="22"/>
              </w:rPr>
              <w:t xml:space="preserve">Compétences hautement spécialisées </w:t>
            </w:r>
            <w:r w:rsidR="002A76BE" w:rsidRPr="00236552">
              <w:rPr>
                <w:rFonts w:asciiTheme="minorHAnsi" w:hAnsiTheme="minorHAnsi"/>
                <w:sz w:val="22"/>
                <w:szCs w:val="22"/>
              </w:rPr>
              <w:t>(65)</w:t>
            </w:r>
          </w:p>
          <w:p w14:paraId="3E3E7445" w14:textId="0FFFB242" w:rsidR="002A76BE" w:rsidRPr="00236552" w:rsidRDefault="006B5254" w:rsidP="0074458B">
            <w:pPr>
              <w:numPr>
                <w:ilvl w:val="0"/>
                <w:numId w:val="11"/>
              </w:numPr>
              <w:rPr>
                <w:rFonts w:asciiTheme="minorHAnsi" w:hAnsiTheme="minorHAnsi" w:cstheme="minorHAnsi"/>
                <w:sz w:val="22"/>
                <w:szCs w:val="22"/>
              </w:rPr>
            </w:pPr>
            <w:r w:rsidRPr="00236552">
              <w:rPr>
                <w:rFonts w:asciiTheme="minorHAnsi" w:hAnsiTheme="minorHAnsi"/>
                <w:sz w:val="22"/>
                <w:szCs w:val="22"/>
              </w:rPr>
              <w:t xml:space="preserve">Autres raisons </w:t>
            </w:r>
            <w:r w:rsidR="002A76BE" w:rsidRPr="00236552">
              <w:rPr>
                <w:rFonts w:asciiTheme="minorHAnsi" w:hAnsiTheme="minorHAnsi"/>
                <w:sz w:val="22"/>
                <w:szCs w:val="22"/>
              </w:rPr>
              <w:t>(249)</w:t>
            </w:r>
          </w:p>
        </w:tc>
        <w:tc>
          <w:tcPr>
            <w:tcW w:w="697" w:type="pct"/>
            <w:shd w:val="clear" w:color="auto" w:fill="auto"/>
          </w:tcPr>
          <w:p w14:paraId="7CFF4F0F" w14:textId="77777777"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338</w:t>
            </w:r>
          </w:p>
        </w:tc>
        <w:tc>
          <w:tcPr>
            <w:tcW w:w="791" w:type="pct"/>
            <w:shd w:val="clear" w:color="auto" w:fill="auto"/>
          </w:tcPr>
          <w:p w14:paraId="6988E40A" w14:textId="01747781"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25</w:t>
            </w:r>
            <w:r w:rsidR="00753A22" w:rsidRPr="00236552">
              <w:rPr>
                <w:rFonts w:asciiTheme="minorHAnsi" w:hAnsiTheme="minorHAnsi"/>
                <w:sz w:val="22"/>
                <w:szCs w:val="22"/>
              </w:rPr>
              <w:t xml:space="preserve"> </w:t>
            </w:r>
            <w:r w:rsidRPr="00236552">
              <w:rPr>
                <w:rFonts w:asciiTheme="minorHAnsi" w:hAnsiTheme="minorHAnsi"/>
                <w:sz w:val="22"/>
                <w:szCs w:val="22"/>
              </w:rPr>
              <w:t>%</w:t>
            </w:r>
          </w:p>
        </w:tc>
      </w:tr>
      <w:tr w:rsidR="002A76BE" w:rsidRPr="002A76BE" w14:paraId="51F446DA" w14:textId="77777777" w:rsidTr="0097491B">
        <w:trPr>
          <w:cantSplit/>
          <w:tblHeader/>
          <w:jc w:val="center"/>
        </w:trPr>
        <w:tc>
          <w:tcPr>
            <w:tcW w:w="3512" w:type="pct"/>
          </w:tcPr>
          <w:p w14:paraId="1B76B451" w14:textId="60D4C568" w:rsidR="002A76BE" w:rsidRPr="00236552" w:rsidRDefault="006B5254" w:rsidP="006B5254">
            <w:pPr>
              <w:rPr>
                <w:rFonts w:asciiTheme="minorHAnsi" w:hAnsiTheme="minorHAnsi" w:cstheme="minorHAnsi"/>
                <w:sz w:val="22"/>
                <w:szCs w:val="22"/>
              </w:rPr>
            </w:pPr>
            <w:r w:rsidRPr="00236552">
              <w:rPr>
                <w:rFonts w:asciiTheme="minorHAnsi" w:hAnsiTheme="minorHAnsi"/>
                <w:sz w:val="22"/>
                <w:szCs w:val="22"/>
              </w:rPr>
              <w:t>Processus annoncé externe et interne simultané</w:t>
            </w:r>
          </w:p>
        </w:tc>
        <w:tc>
          <w:tcPr>
            <w:tcW w:w="697" w:type="pct"/>
            <w:shd w:val="clear" w:color="auto" w:fill="auto"/>
          </w:tcPr>
          <w:p w14:paraId="33F05953" w14:textId="77777777"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1</w:t>
            </w:r>
          </w:p>
        </w:tc>
        <w:tc>
          <w:tcPr>
            <w:tcW w:w="791" w:type="pct"/>
            <w:shd w:val="clear" w:color="auto" w:fill="auto"/>
          </w:tcPr>
          <w:p w14:paraId="269F8D16" w14:textId="7C5E0E00"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0</w:t>
            </w:r>
            <w:r w:rsidR="00753A22" w:rsidRPr="00236552">
              <w:rPr>
                <w:rFonts w:asciiTheme="minorHAnsi" w:hAnsiTheme="minorHAnsi"/>
                <w:sz w:val="22"/>
                <w:szCs w:val="22"/>
              </w:rPr>
              <w:t xml:space="preserve"> </w:t>
            </w:r>
            <w:r w:rsidRPr="00236552">
              <w:rPr>
                <w:rFonts w:asciiTheme="minorHAnsi" w:hAnsiTheme="minorHAnsi"/>
                <w:sz w:val="22"/>
                <w:szCs w:val="22"/>
              </w:rPr>
              <w:t>%</w:t>
            </w:r>
          </w:p>
        </w:tc>
      </w:tr>
      <w:tr w:rsidR="002A76BE" w:rsidRPr="002A76BE" w14:paraId="4F103783" w14:textId="77777777" w:rsidTr="0097491B">
        <w:trPr>
          <w:cantSplit/>
          <w:tblHeader/>
          <w:jc w:val="center"/>
        </w:trPr>
        <w:tc>
          <w:tcPr>
            <w:tcW w:w="3512" w:type="pct"/>
          </w:tcPr>
          <w:p w14:paraId="234F0C70" w14:textId="38327309" w:rsidR="002A76BE" w:rsidRPr="00236552" w:rsidRDefault="00753A22" w:rsidP="00B15E73">
            <w:pPr>
              <w:rPr>
                <w:rFonts w:asciiTheme="minorHAnsi" w:hAnsiTheme="minorHAnsi" w:cstheme="minorHAnsi"/>
                <w:sz w:val="22"/>
                <w:szCs w:val="22"/>
              </w:rPr>
            </w:pPr>
            <w:r w:rsidRPr="00236552">
              <w:rPr>
                <w:rFonts w:asciiTheme="minorHAnsi" w:hAnsiTheme="minorHAnsi" w:cstheme="minorHAnsi"/>
                <w:sz w:val="22"/>
                <w:szCs w:val="22"/>
              </w:rPr>
              <w:t>Nomination d’un bénéficiaire de priorité (incluant les nominations déterminées et indéterminées)</w:t>
            </w:r>
          </w:p>
        </w:tc>
        <w:tc>
          <w:tcPr>
            <w:tcW w:w="697" w:type="pct"/>
            <w:shd w:val="clear" w:color="auto" w:fill="auto"/>
          </w:tcPr>
          <w:p w14:paraId="2A9CE61A" w14:textId="77777777"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7</w:t>
            </w:r>
          </w:p>
        </w:tc>
        <w:tc>
          <w:tcPr>
            <w:tcW w:w="791" w:type="pct"/>
            <w:shd w:val="clear" w:color="auto" w:fill="auto"/>
          </w:tcPr>
          <w:p w14:paraId="60343CE0" w14:textId="10ADF35E"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1</w:t>
            </w:r>
            <w:r w:rsidR="00753A22" w:rsidRPr="00236552">
              <w:rPr>
                <w:rFonts w:asciiTheme="minorHAnsi" w:hAnsiTheme="minorHAnsi"/>
                <w:sz w:val="22"/>
                <w:szCs w:val="22"/>
              </w:rPr>
              <w:t xml:space="preserve"> </w:t>
            </w:r>
            <w:r w:rsidRPr="00236552">
              <w:rPr>
                <w:rFonts w:asciiTheme="minorHAnsi" w:hAnsiTheme="minorHAnsi"/>
                <w:sz w:val="22"/>
                <w:szCs w:val="22"/>
              </w:rPr>
              <w:t>%</w:t>
            </w:r>
          </w:p>
        </w:tc>
      </w:tr>
      <w:tr w:rsidR="002A76BE" w:rsidRPr="002A76BE" w14:paraId="77ABE113" w14:textId="77777777" w:rsidTr="0097491B">
        <w:trPr>
          <w:cantSplit/>
          <w:tblHeader/>
          <w:jc w:val="center"/>
        </w:trPr>
        <w:tc>
          <w:tcPr>
            <w:tcW w:w="3512" w:type="pct"/>
          </w:tcPr>
          <w:p w14:paraId="3C2E8A23" w14:textId="098C4754" w:rsidR="002A76BE" w:rsidRPr="00236552" w:rsidRDefault="00753A22" w:rsidP="00B15E73">
            <w:pPr>
              <w:rPr>
                <w:rFonts w:asciiTheme="minorHAnsi" w:hAnsiTheme="minorHAnsi" w:cstheme="minorHAnsi"/>
                <w:sz w:val="22"/>
                <w:szCs w:val="22"/>
              </w:rPr>
            </w:pPr>
            <w:r w:rsidRPr="00236552">
              <w:rPr>
                <w:rFonts w:asciiTheme="minorHAnsi" w:hAnsiTheme="minorHAnsi" w:cstheme="minorHAnsi"/>
                <w:sz w:val="22"/>
                <w:szCs w:val="22"/>
              </w:rPr>
              <w:t>Intégration des étudiants</w:t>
            </w:r>
          </w:p>
        </w:tc>
        <w:tc>
          <w:tcPr>
            <w:tcW w:w="697" w:type="pct"/>
            <w:shd w:val="clear" w:color="auto" w:fill="auto"/>
          </w:tcPr>
          <w:p w14:paraId="6076299E" w14:textId="77777777"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63</w:t>
            </w:r>
          </w:p>
        </w:tc>
        <w:tc>
          <w:tcPr>
            <w:tcW w:w="791" w:type="pct"/>
            <w:shd w:val="clear" w:color="auto" w:fill="auto"/>
          </w:tcPr>
          <w:p w14:paraId="3027887D" w14:textId="311BC053"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5</w:t>
            </w:r>
            <w:r w:rsidR="00753A22" w:rsidRPr="00236552">
              <w:rPr>
                <w:rFonts w:asciiTheme="minorHAnsi" w:hAnsiTheme="minorHAnsi"/>
                <w:sz w:val="22"/>
                <w:szCs w:val="22"/>
              </w:rPr>
              <w:t xml:space="preserve"> </w:t>
            </w:r>
            <w:r w:rsidRPr="00236552">
              <w:rPr>
                <w:rFonts w:asciiTheme="minorHAnsi" w:hAnsiTheme="minorHAnsi"/>
                <w:sz w:val="22"/>
                <w:szCs w:val="22"/>
              </w:rPr>
              <w:t>%</w:t>
            </w:r>
          </w:p>
        </w:tc>
      </w:tr>
      <w:tr w:rsidR="002A76BE" w:rsidRPr="002A76BE" w14:paraId="6EF350FC" w14:textId="77777777" w:rsidTr="0097491B">
        <w:trPr>
          <w:cantSplit/>
          <w:tblHeader/>
          <w:jc w:val="center"/>
        </w:trPr>
        <w:tc>
          <w:tcPr>
            <w:tcW w:w="3512" w:type="pct"/>
          </w:tcPr>
          <w:p w14:paraId="17E6828D" w14:textId="77777777" w:rsidR="002A76BE" w:rsidRPr="00236552" w:rsidRDefault="002A76BE" w:rsidP="00B15E73">
            <w:pPr>
              <w:rPr>
                <w:rFonts w:asciiTheme="minorHAnsi" w:hAnsiTheme="minorHAnsi" w:cstheme="minorHAnsi"/>
                <w:sz w:val="22"/>
                <w:szCs w:val="22"/>
              </w:rPr>
            </w:pPr>
            <w:r w:rsidRPr="00236552">
              <w:rPr>
                <w:rFonts w:asciiTheme="minorHAnsi" w:hAnsiTheme="minorHAnsi"/>
                <w:sz w:val="22"/>
                <w:szCs w:val="22"/>
              </w:rPr>
              <w:t>Section 43</w:t>
            </w:r>
          </w:p>
        </w:tc>
        <w:tc>
          <w:tcPr>
            <w:tcW w:w="697" w:type="pct"/>
            <w:shd w:val="clear" w:color="auto" w:fill="auto"/>
          </w:tcPr>
          <w:p w14:paraId="012B1D63" w14:textId="77777777"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0</w:t>
            </w:r>
          </w:p>
        </w:tc>
        <w:tc>
          <w:tcPr>
            <w:tcW w:w="791" w:type="pct"/>
            <w:shd w:val="clear" w:color="auto" w:fill="auto"/>
          </w:tcPr>
          <w:p w14:paraId="6E132159" w14:textId="3D98FC81"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0</w:t>
            </w:r>
            <w:r w:rsidR="00753A22" w:rsidRPr="00236552">
              <w:rPr>
                <w:rFonts w:asciiTheme="minorHAnsi" w:hAnsiTheme="minorHAnsi"/>
                <w:sz w:val="22"/>
                <w:szCs w:val="22"/>
              </w:rPr>
              <w:t xml:space="preserve"> </w:t>
            </w:r>
            <w:r w:rsidRPr="00236552">
              <w:rPr>
                <w:rFonts w:asciiTheme="minorHAnsi" w:hAnsiTheme="minorHAnsi"/>
                <w:sz w:val="22"/>
                <w:szCs w:val="22"/>
              </w:rPr>
              <w:t>%</w:t>
            </w:r>
          </w:p>
        </w:tc>
      </w:tr>
      <w:tr w:rsidR="002A76BE" w:rsidRPr="002A76BE" w14:paraId="3555FF78" w14:textId="77777777" w:rsidTr="0097491B">
        <w:trPr>
          <w:cantSplit/>
          <w:tblHeader/>
          <w:jc w:val="center"/>
        </w:trPr>
        <w:tc>
          <w:tcPr>
            <w:tcW w:w="3512" w:type="pct"/>
          </w:tcPr>
          <w:p w14:paraId="0776D075" w14:textId="77777777" w:rsidR="002A76BE" w:rsidRPr="00236552" w:rsidRDefault="002A76BE" w:rsidP="00B15E73">
            <w:pPr>
              <w:rPr>
                <w:rFonts w:asciiTheme="minorHAnsi" w:hAnsiTheme="minorHAnsi" w:cstheme="minorHAnsi"/>
                <w:sz w:val="22"/>
                <w:szCs w:val="22"/>
              </w:rPr>
            </w:pPr>
            <w:r w:rsidRPr="00236552">
              <w:rPr>
                <w:rFonts w:asciiTheme="minorHAnsi" w:hAnsiTheme="minorHAnsi"/>
                <w:sz w:val="22"/>
                <w:szCs w:val="22"/>
              </w:rPr>
              <w:t>Total</w:t>
            </w:r>
          </w:p>
        </w:tc>
        <w:tc>
          <w:tcPr>
            <w:tcW w:w="697" w:type="pct"/>
            <w:shd w:val="clear" w:color="auto" w:fill="auto"/>
          </w:tcPr>
          <w:p w14:paraId="7427C42F" w14:textId="61B54066" w:rsidR="002A76BE" w:rsidRPr="00236552" w:rsidRDefault="00753A22" w:rsidP="00B15E73">
            <w:pPr>
              <w:jc w:val="center"/>
              <w:rPr>
                <w:rFonts w:asciiTheme="minorHAnsi" w:hAnsiTheme="minorHAnsi" w:cstheme="minorHAnsi"/>
                <w:sz w:val="22"/>
                <w:szCs w:val="22"/>
              </w:rPr>
            </w:pPr>
            <w:r w:rsidRPr="00236552">
              <w:rPr>
                <w:rFonts w:asciiTheme="minorHAnsi" w:hAnsiTheme="minorHAnsi"/>
                <w:sz w:val="22"/>
                <w:szCs w:val="22"/>
              </w:rPr>
              <w:t xml:space="preserve">1 </w:t>
            </w:r>
            <w:r w:rsidR="002A76BE" w:rsidRPr="00236552">
              <w:rPr>
                <w:rFonts w:asciiTheme="minorHAnsi" w:hAnsiTheme="minorHAnsi"/>
                <w:sz w:val="22"/>
                <w:szCs w:val="22"/>
              </w:rPr>
              <w:t>368</w:t>
            </w:r>
          </w:p>
        </w:tc>
        <w:tc>
          <w:tcPr>
            <w:tcW w:w="791" w:type="pct"/>
            <w:shd w:val="clear" w:color="auto" w:fill="auto"/>
          </w:tcPr>
          <w:p w14:paraId="349E3B4E" w14:textId="65991A76" w:rsidR="002A76BE" w:rsidRPr="00236552" w:rsidRDefault="002A76BE" w:rsidP="00B15E73">
            <w:pPr>
              <w:jc w:val="center"/>
              <w:rPr>
                <w:rFonts w:asciiTheme="minorHAnsi" w:hAnsiTheme="minorHAnsi" w:cstheme="minorHAnsi"/>
                <w:sz w:val="22"/>
                <w:szCs w:val="22"/>
              </w:rPr>
            </w:pPr>
            <w:r w:rsidRPr="00236552">
              <w:rPr>
                <w:rFonts w:asciiTheme="minorHAnsi" w:hAnsiTheme="minorHAnsi"/>
                <w:sz w:val="22"/>
                <w:szCs w:val="22"/>
              </w:rPr>
              <w:t>100</w:t>
            </w:r>
            <w:r w:rsidR="00753A22" w:rsidRPr="00236552">
              <w:rPr>
                <w:rFonts w:asciiTheme="minorHAnsi" w:hAnsiTheme="minorHAnsi"/>
                <w:sz w:val="22"/>
                <w:szCs w:val="22"/>
              </w:rPr>
              <w:t xml:space="preserve"> </w:t>
            </w:r>
            <w:r w:rsidRPr="00236552">
              <w:rPr>
                <w:rFonts w:asciiTheme="minorHAnsi" w:hAnsiTheme="minorHAnsi"/>
                <w:sz w:val="22"/>
                <w:szCs w:val="22"/>
              </w:rPr>
              <w:t>%</w:t>
            </w:r>
          </w:p>
        </w:tc>
      </w:tr>
    </w:tbl>
    <w:p w14:paraId="3F367A28" w14:textId="32C517D6" w:rsidR="002A76BE" w:rsidRPr="002A76BE" w:rsidRDefault="002A76BE" w:rsidP="002A76BE">
      <w:pPr>
        <w:spacing w:after="120"/>
        <w:rPr>
          <w:rFonts w:asciiTheme="minorHAnsi" w:eastAsia="Calibri" w:hAnsiTheme="minorHAnsi" w:cstheme="minorHAnsi"/>
          <w:sz w:val="22"/>
          <w:szCs w:val="22"/>
        </w:rPr>
      </w:pPr>
      <w:r>
        <w:rPr>
          <w:rFonts w:asciiTheme="minorHAnsi" w:hAnsiTheme="minorHAnsi"/>
          <w:sz w:val="22"/>
          <w:szCs w:val="22"/>
        </w:rPr>
        <w:t>Source</w:t>
      </w:r>
      <w:r w:rsidR="00F0212D">
        <w:rPr>
          <w:rFonts w:asciiTheme="minorHAnsi" w:hAnsiTheme="minorHAnsi"/>
          <w:sz w:val="22"/>
          <w:szCs w:val="22"/>
        </w:rPr>
        <w:t> </w:t>
      </w:r>
      <w:r>
        <w:rPr>
          <w:rFonts w:asciiTheme="minorHAnsi" w:hAnsiTheme="minorHAnsi"/>
          <w:sz w:val="22"/>
          <w:szCs w:val="22"/>
        </w:rPr>
        <w:t xml:space="preserve">: </w:t>
      </w:r>
      <w:r w:rsidR="00BC7AFD">
        <w:rPr>
          <w:rFonts w:asciiTheme="minorHAnsi" w:hAnsiTheme="minorHAnsi"/>
          <w:sz w:val="22"/>
          <w:szCs w:val="22"/>
        </w:rPr>
        <w:t>Système de gestion de l’information sur les priorités</w:t>
      </w:r>
    </w:p>
    <w:p w14:paraId="76267271" w14:textId="47C3772C" w:rsidR="002A76BE" w:rsidRPr="00C0157E" w:rsidRDefault="00143FEF" w:rsidP="0097491B">
      <w:pPr>
        <w:pStyle w:val="Heading2"/>
        <w:spacing w:before="40"/>
      </w:pPr>
      <w:r w:rsidRPr="00143FEF">
        <w:t>Demandes d’autorisation en matièr</w:t>
      </w:r>
      <w:r>
        <w:t>e de priorités liées à la COVID</w:t>
      </w:r>
      <w:r>
        <w:noBreakHyphen/>
      </w:r>
      <w:r w:rsidRPr="00143FEF">
        <w:t>19</w:t>
      </w:r>
    </w:p>
    <w:p w14:paraId="19A4B18E" w14:textId="06416A85" w:rsidR="002A76BE" w:rsidRPr="0097491B" w:rsidRDefault="002A76BE" w:rsidP="002A76BE">
      <w:pPr>
        <w:pStyle w:val="NoSpacing"/>
        <w:rPr>
          <w:rFonts w:eastAsia="Calibri"/>
        </w:rPr>
      </w:pPr>
      <w:r w:rsidRPr="0097491B">
        <w:t xml:space="preserve">Depuis que la Division </w:t>
      </w:r>
      <w:r w:rsidR="00930EF6" w:rsidRPr="0097491B">
        <w:t>des</w:t>
      </w:r>
      <w:r w:rsidRPr="0097491B">
        <w:t xml:space="preserve"> politique</w:t>
      </w:r>
      <w:r w:rsidR="00930EF6" w:rsidRPr="0097491B">
        <w:t>s</w:t>
      </w:r>
      <w:r w:rsidRPr="0097491B">
        <w:t xml:space="preserve"> sur les droits de priorité a commencé à surveiller les autorisations en matière de priorité associées à la COVID-19, </w:t>
      </w:r>
      <w:proofErr w:type="spellStart"/>
      <w:r w:rsidRPr="0097491B">
        <w:t>RNCan</w:t>
      </w:r>
      <w:proofErr w:type="spellEnd"/>
      <w:r w:rsidRPr="0097491B">
        <w:t xml:space="preserve"> a présenté cinq demandes pour pourvoir six postes </w:t>
      </w:r>
      <w:r w:rsidR="008739EF" w:rsidRPr="0097491B">
        <w:t xml:space="preserve">créés en raison de </w:t>
      </w:r>
      <w:r w:rsidRPr="0097491B">
        <w:t>la pandémie.</w:t>
      </w:r>
    </w:p>
    <w:p w14:paraId="6947EB57" w14:textId="38F8773D" w:rsidR="002A76BE" w:rsidRPr="00C0157E" w:rsidRDefault="00143FEF" w:rsidP="0097491B">
      <w:pPr>
        <w:pStyle w:val="Heading2"/>
        <w:spacing w:before="40"/>
        <w:rPr>
          <w:rFonts w:eastAsia="Calibri"/>
        </w:rPr>
      </w:pPr>
      <w:r w:rsidRPr="00143FEF">
        <w:lastRenderedPageBreak/>
        <w:t>Personnes ayant un droit de priorité</w:t>
      </w:r>
    </w:p>
    <w:p w14:paraId="2C8EE106" w14:textId="05D16D72" w:rsidR="00467596" w:rsidRPr="0097491B" w:rsidRDefault="00467596" w:rsidP="0097491B">
      <w:pPr>
        <w:spacing w:after="120"/>
        <w:rPr>
          <w:rStyle w:val="Style11"/>
          <w:rFonts w:asciiTheme="minorHAnsi" w:eastAsia="Calibri" w:hAnsiTheme="minorHAnsi" w:cstheme="minorHAnsi"/>
          <w:color w:val="auto"/>
        </w:rPr>
      </w:pPr>
      <w:r w:rsidRPr="0097491B">
        <w:rPr>
          <w:rStyle w:val="Style11"/>
          <w:rFonts w:asciiTheme="minorHAnsi" w:hAnsiTheme="minorHAnsi" w:cstheme="minorHAnsi"/>
          <w:color w:val="auto"/>
        </w:rPr>
        <w:t xml:space="preserve">En date du 29 septembre 2020, </w:t>
      </w:r>
      <w:proofErr w:type="spellStart"/>
      <w:r w:rsidRPr="0097491B">
        <w:rPr>
          <w:rStyle w:val="Style11"/>
          <w:rFonts w:asciiTheme="minorHAnsi" w:hAnsiTheme="minorHAnsi" w:cstheme="minorHAnsi"/>
          <w:color w:val="auto"/>
        </w:rPr>
        <w:t>RNCan</w:t>
      </w:r>
      <w:proofErr w:type="spellEnd"/>
      <w:r w:rsidRPr="0097491B">
        <w:rPr>
          <w:rStyle w:val="Style11"/>
          <w:rFonts w:asciiTheme="minorHAnsi" w:hAnsiTheme="minorHAnsi" w:cstheme="minorHAnsi"/>
          <w:color w:val="auto"/>
        </w:rPr>
        <w:t xml:space="preserve"> comptait 7 bénéficiaires de priorité dans le Système de gestion de l</w:t>
      </w:r>
      <w:r w:rsidR="00F0212D" w:rsidRPr="0097491B">
        <w:rPr>
          <w:rStyle w:val="Style11"/>
          <w:rFonts w:asciiTheme="minorHAnsi" w:hAnsiTheme="minorHAnsi" w:cstheme="minorHAnsi"/>
          <w:color w:val="auto"/>
        </w:rPr>
        <w:t>’</w:t>
      </w:r>
      <w:r w:rsidRPr="0097491B">
        <w:rPr>
          <w:rStyle w:val="Style11"/>
          <w:rFonts w:asciiTheme="minorHAnsi" w:hAnsiTheme="minorHAnsi" w:cstheme="minorHAnsi"/>
          <w:color w:val="auto"/>
        </w:rPr>
        <w:t>information sur les priorités.</w:t>
      </w:r>
    </w:p>
    <w:p w14:paraId="7526B6E1" w14:textId="68625EE5" w:rsidR="00B132A9" w:rsidRPr="0097491B" w:rsidRDefault="00143FEF" w:rsidP="002A76BE">
      <w:pPr>
        <w:pStyle w:val="Heading1"/>
      </w:pPr>
      <w:r w:rsidRPr="0097491B">
        <w:t>Impartialité de la fonction publique</w:t>
      </w:r>
    </w:p>
    <w:p w14:paraId="1189E313" w14:textId="4C6D9E1A" w:rsidR="00BD0485" w:rsidRPr="00042038" w:rsidRDefault="00BD0485" w:rsidP="0097491B">
      <w:pPr>
        <w:pStyle w:val="NoSpacing"/>
        <w:spacing w:after="0"/>
      </w:pPr>
      <w:r w:rsidRPr="00042038">
        <w:t xml:space="preserve">Depuis l’exercice financier 2006-2007, la CFP a accordé 23 permissions à des employés de </w:t>
      </w:r>
      <w:proofErr w:type="spellStart"/>
      <w:r w:rsidRPr="00042038">
        <w:t>RNCan</w:t>
      </w:r>
      <w:proofErr w:type="spellEnd"/>
      <w:r w:rsidRPr="00042038">
        <w:t xml:space="preserve"> pour présenter leur candidature et être candidats à une élection :</w:t>
      </w:r>
    </w:p>
    <w:p w14:paraId="2E0A2A69" w14:textId="5CEB4B08" w:rsidR="00BD0485" w:rsidRPr="00042038" w:rsidRDefault="00BD0485" w:rsidP="0097491B">
      <w:pPr>
        <w:pStyle w:val="ListParagraph"/>
        <w:numPr>
          <w:ilvl w:val="0"/>
          <w:numId w:val="2"/>
        </w:numPr>
        <w:spacing w:after="0"/>
        <w:rPr>
          <w:rFonts w:asciiTheme="minorHAnsi" w:hAnsiTheme="minorHAnsi" w:cstheme="minorHAnsi"/>
          <w:sz w:val="22"/>
          <w:szCs w:val="22"/>
        </w:rPr>
      </w:pPr>
      <w:r w:rsidRPr="00042038">
        <w:rPr>
          <w:rFonts w:asciiTheme="minorHAnsi" w:hAnsiTheme="minorHAnsi"/>
          <w:sz w:val="22"/>
          <w:szCs w:val="22"/>
        </w:rPr>
        <w:t>7 au niveau fédéral;</w:t>
      </w:r>
    </w:p>
    <w:p w14:paraId="5709CEB1" w14:textId="49AA545D" w:rsidR="00BD0485" w:rsidRPr="00042038" w:rsidRDefault="00BD0485" w:rsidP="0097491B">
      <w:pPr>
        <w:pStyle w:val="ListParagraph"/>
        <w:numPr>
          <w:ilvl w:val="0"/>
          <w:numId w:val="2"/>
        </w:numPr>
        <w:spacing w:after="0"/>
        <w:rPr>
          <w:rFonts w:asciiTheme="minorHAnsi" w:hAnsiTheme="minorHAnsi" w:cstheme="minorHAnsi"/>
          <w:sz w:val="22"/>
          <w:szCs w:val="22"/>
        </w:rPr>
      </w:pPr>
      <w:r w:rsidRPr="00042038">
        <w:rPr>
          <w:rFonts w:asciiTheme="minorHAnsi" w:hAnsiTheme="minorHAnsi"/>
          <w:sz w:val="22"/>
          <w:szCs w:val="22"/>
        </w:rPr>
        <w:t>1 au niveau provincial;</w:t>
      </w:r>
    </w:p>
    <w:p w14:paraId="2E4B4042" w14:textId="2E989A44" w:rsidR="00BD0485" w:rsidRPr="00042038" w:rsidRDefault="00BD0485" w:rsidP="0097491B">
      <w:pPr>
        <w:pStyle w:val="ListParagraph"/>
        <w:numPr>
          <w:ilvl w:val="0"/>
          <w:numId w:val="2"/>
        </w:numPr>
        <w:spacing w:after="0"/>
        <w:rPr>
          <w:rFonts w:asciiTheme="minorHAnsi" w:hAnsiTheme="minorHAnsi" w:cstheme="minorHAnsi"/>
          <w:sz w:val="22"/>
          <w:szCs w:val="22"/>
        </w:rPr>
      </w:pPr>
      <w:r w:rsidRPr="00042038">
        <w:rPr>
          <w:rFonts w:asciiTheme="minorHAnsi" w:hAnsiTheme="minorHAnsi"/>
          <w:sz w:val="22"/>
          <w:szCs w:val="22"/>
        </w:rPr>
        <w:t>3 au niveau territorial;</w:t>
      </w:r>
    </w:p>
    <w:p w14:paraId="17ECE34B" w14:textId="2F62F5A6" w:rsidR="00BD0485" w:rsidRPr="00042038" w:rsidRDefault="00BD0485" w:rsidP="0097491B">
      <w:pPr>
        <w:pStyle w:val="ListParagraph"/>
        <w:numPr>
          <w:ilvl w:val="0"/>
          <w:numId w:val="2"/>
        </w:numPr>
        <w:spacing w:after="120"/>
        <w:rPr>
          <w:rFonts w:asciiTheme="minorHAnsi" w:hAnsiTheme="minorHAnsi" w:cstheme="minorHAnsi"/>
          <w:sz w:val="22"/>
          <w:szCs w:val="22"/>
        </w:rPr>
      </w:pPr>
      <w:r w:rsidRPr="00042038">
        <w:rPr>
          <w:rFonts w:asciiTheme="minorHAnsi" w:hAnsiTheme="minorHAnsi"/>
          <w:sz w:val="22"/>
          <w:szCs w:val="22"/>
        </w:rPr>
        <w:t>12 au niveau municipal.</w:t>
      </w:r>
    </w:p>
    <w:p w14:paraId="4244A540" w14:textId="716B7EE1" w:rsidR="007378D3" w:rsidRPr="00042038" w:rsidRDefault="00BD0485" w:rsidP="00072A3C">
      <w:pPr>
        <w:pStyle w:val="NoSpacing"/>
      </w:pPr>
      <w:r w:rsidRPr="00042038">
        <w:t xml:space="preserve">Présentement, aucun employé de </w:t>
      </w:r>
      <w:proofErr w:type="spellStart"/>
      <w:r w:rsidRPr="00042038">
        <w:t>RNCan</w:t>
      </w:r>
      <w:proofErr w:type="spellEnd"/>
      <w:r w:rsidRPr="00042038">
        <w:t xml:space="preserve"> </w:t>
      </w:r>
      <w:r w:rsidR="00F0212D" w:rsidRPr="00042038">
        <w:t>n’</w:t>
      </w:r>
      <w:r w:rsidRPr="00042038">
        <w:t xml:space="preserve">a remporté </w:t>
      </w:r>
      <w:r w:rsidR="00F0212D" w:rsidRPr="00042038">
        <w:t>d’</w:t>
      </w:r>
      <w:r w:rsidRPr="00042038">
        <w:t>élection municipale. Aucune demande de permission n’a été présentée pour l’élection fédérale de 2019.</w:t>
      </w:r>
    </w:p>
    <w:p w14:paraId="3D960517" w14:textId="79CD2A16" w:rsidR="00304BC2" w:rsidRPr="00042038" w:rsidRDefault="00304BC2" w:rsidP="00042038">
      <w:pPr>
        <w:pStyle w:val="NoSpacing"/>
        <w:spacing w:after="0"/>
      </w:pPr>
      <w:r w:rsidRPr="00042038">
        <w:t>Selon le SDIP :</w:t>
      </w:r>
    </w:p>
    <w:p w14:paraId="704E1DDC" w14:textId="2EA981AF" w:rsidR="00304BC2" w:rsidRPr="00042038" w:rsidRDefault="00443566" w:rsidP="0074458B">
      <w:pPr>
        <w:pStyle w:val="ListParagraph"/>
        <w:numPr>
          <w:ilvl w:val="0"/>
          <w:numId w:val="2"/>
        </w:numPr>
        <w:rPr>
          <w:rFonts w:asciiTheme="minorHAnsi" w:hAnsiTheme="minorHAnsi" w:cstheme="minorHAnsi"/>
          <w:sz w:val="22"/>
          <w:szCs w:val="22"/>
        </w:rPr>
      </w:pPr>
      <w:r w:rsidRPr="00042038">
        <w:rPr>
          <w:rFonts w:asciiTheme="minorHAnsi" w:hAnsiTheme="minorHAnsi"/>
          <w:sz w:val="22"/>
          <w:szCs w:val="22"/>
        </w:rPr>
        <w:t>80,4 % des répondants ont indiqué connaître, dans une mesure modérée ou dans une grande mesure, leurs droits et obligations lorsqu’ils prennent part à des activités de nature politique. Ce taux est semblable à celui de l’ensemble de la fonction publique, fixé à 80,1 %.</w:t>
      </w:r>
    </w:p>
    <w:p w14:paraId="7FDC768E" w14:textId="61E8E163" w:rsidR="00304BC2" w:rsidRPr="00042038" w:rsidRDefault="00B76438" w:rsidP="00042038">
      <w:pPr>
        <w:pStyle w:val="ListParagraph"/>
        <w:numPr>
          <w:ilvl w:val="0"/>
          <w:numId w:val="2"/>
        </w:numPr>
        <w:spacing w:after="120"/>
        <w:rPr>
          <w:rFonts w:asciiTheme="minorHAnsi" w:hAnsiTheme="minorHAnsi" w:cstheme="minorHAnsi"/>
          <w:sz w:val="22"/>
          <w:szCs w:val="22"/>
        </w:rPr>
      </w:pPr>
      <w:r w:rsidRPr="00042038">
        <w:rPr>
          <w:rFonts w:asciiTheme="minorHAnsi" w:hAnsiTheme="minorHAnsi"/>
          <w:sz w:val="22"/>
          <w:szCs w:val="22"/>
        </w:rPr>
        <w:t>2,8 % des répondants ont indiqué avoir pris part, entre le 1</w:t>
      </w:r>
      <w:r w:rsidRPr="00042038">
        <w:rPr>
          <w:rFonts w:asciiTheme="minorHAnsi" w:hAnsiTheme="minorHAnsi"/>
          <w:sz w:val="22"/>
          <w:szCs w:val="22"/>
          <w:vertAlign w:val="superscript"/>
        </w:rPr>
        <w:t>er</w:t>
      </w:r>
      <w:r w:rsidRPr="00042038">
        <w:rPr>
          <w:rFonts w:asciiTheme="minorHAnsi" w:hAnsiTheme="minorHAnsi"/>
          <w:sz w:val="22"/>
          <w:szCs w:val="22"/>
        </w:rPr>
        <w:t> janvier et le 21 décembre 2017, à des activités de nature politique qui ne se sont pas limitées au fait de voter ou de devenir un candidat, par rapport à 2,4 % de l</w:t>
      </w:r>
      <w:r w:rsidR="00F0212D" w:rsidRPr="00042038">
        <w:rPr>
          <w:rFonts w:asciiTheme="minorHAnsi" w:hAnsiTheme="minorHAnsi"/>
          <w:sz w:val="22"/>
          <w:szCs w:val="22"/>
        </w:rPr>
        <w:t>’</w:t>
      </w:r>
      <w:r w:rsidRPr="00042038">
        <w:rPr>
          <w:rFonts w:asciiTheme="minorHAnsi" w:hAnsiTheme="minorHAnsi"/>
          <w:sz w:val="22"/>
          <w:szCs w:val="22"/>
        </w:rPr>
        <w:t>ensemble de la fonction publique.</w:t>
      </w:r>
    </w:p>
    <w:p w14:paraId="361181A5" w14:textId="6D74DC30" w:rsidR="00B132A9" w:rsidRPr="00C0157E" w:rsidRDefault="00D619D4" w:rsidP="002A76BE">
      <w:pPr>
        <w:pStyle w:val="Heading1"/>
      </w:pPr>
      <w:r w:rsidRPr="00D619D4">
        <w:t>Initiatives de la CFP</w:t>
      </w:r>
    </w:p>
    <w:p w14:paraId="2E1E9E36" w14:textId="0ED98FAA" w:rsidR="00F836C6" w:rsidRPr="00042038" w:rsidRDefault="00F836C6" w:rsidP="00072A3C">
      <w:pPr>
        <w:pStyle w:val="NoSpacing"/>
      </w:pPr>
      <w:r w:rsidRPr="00042038">
        <w:t xml:space="preserve">La CFP examine le </w:t>
      </w:r>
      <w:r w:rsidRPr="00042038">
        <w:rPr>
          <w:rStyle w:val="Emphasis"/>
        </w:rPr>
        <w:t>Règlement sur l’emploi dans la fonction publique</w:t>
      </w:r>
      <w:r w:rsidRPr="00042038">
        <w:t xml:space="preserve">, un instrument clé à l’appui de la </w:t>
      </w:r>
      <w:r w:rsidRPr="00042038">
        <w:rPr>
          <w:rStyle w:val="Emphasis"/>
        </w:rPr>
        <w:t>Loi sur l’emploi dans la fonction publique</w:t>
      </w:r>
      <w:r w:rsidRPr="00042038">
        <w:t>. L’examen a pour objectif de répondre aux besoins actuels et nouveaux des organismes d’embauche et d’éliminer les exigences inutiles.</w:t>
      </w:r>
    </w:p>
    <w:p w14:paraId="4190B41C" w14:textId="6E4F3A60" w:rsidR="00F836C6" w:rsidRPr="00042038" w:rsidRDefault="00F836C6" w:rsidP="00072A3C">
      <w:pPr>
        <w:pStyle w:val="NoSpacing"/>
      </w:pPr>
      <w:r w:rsidRPr="00042038">
        <w:t xml:space="preserve">La CFP a mobilisé des intervenants, dont </w:t>
      </w:r>
      <w:proofErr w:type="spellStart"/>
      <w:r w:rsidRPr="00042038">
        <w:t>RNCan</w:t>
      </w:r>
      <w:proofErr w:type="spellEnd"/>
      <w:r w:rsidRPr="00042038">
        <w:t xml:space="preserve">, afin de recueillir leur point de vue sur l’application du Règlement, en plus de les consulter au sujet d’un modèle proposé. La CFP analyse actuellement la rétroaction fournie par tous les intervenants et précisera le modèle s’il y a lieu. </w:t>
      </w:r>
    </w:p>
    <w:p w14:paraId="3F8D6C6D" w14:textId="59C77CC8" w:rsidR="00B132A9" w:rsidRPr="00042038" w:rsidRDefault="00D619D4" w:rsidP="002A76BE">
      <w:pPr>
        <w:pStyle w:val="Heading1"/>
      </w:pPr>
      <w:r w:rsidRPr="00042038">
        <w:t>Programmes de recrutement</w:t>
      </w:r>
    </w:p>
    <w:p w14:paraId="2162B59A" w14:textId="7A3BC359" w:rsidR="007F1D49" w:rsidRPr="00D619D4" w:rsidRDefault="00D619D4" w:rsidP="00042038">
      <w:pPr>
        <w:pStyle w:val="Heading2"/>
        <w:spacing w:before="40"/>
      </w:pPr>
      <w:r w:rsidRPr="00D619D4">
        <w:t>Programme fédéral de stages pour les Canadiens en situation de handicap</w:t>
      </w:r>
    </w:p>
    <w:p w14:paraId="102A9929" w14:textId="55DC8573" w:rsidR="00AA03F8" w:rsidRPr="00D619D4" w:rsidRDefault="00F83089" w:rsidP="002A76BE">
      <w:pPr>
        <w:pStyle w:val="NoSpacing"/>
      </w:pPr>
      <w:r w:rsidRPr="00D619D4">
        <w:t xml:space="preserve">Même si </w:t>
      </w:r>
      <w:proofErr w:type="spellStart"/>
      <w:r w:rsidRPr="00D619D4">
        <w:t>RNCan</w:t>
      </w:r>
      <w:proofErr w:type="spellEnd"/>
      <w:r w:rsidRPr="00D619D4">
        <w:t xml:space="preserve"> ne participe pas présentement au Programme fédéral de stages pour les Canadiens en situation de handicap (PFSCSH), ce programme est une excellente initiative quand vient le temps de prendre part à la Stratégie sur l’accessibilité du gouvernement du Canada. Le </w:t>
      </w:r>
      <w:r w:rsidRPr="00D619D4">
        <w:lastRenderedPageBreak/>
        <w:t xml:space="preserve">programme prévoit le remboursement de 50 % du salaire aux ministères d’embauche pour la période du stage. </w:t>
      </w:r>
    </w:p>
    <w:p w14:paraId="6359C0F8" w14:textId="7701F507" w:rsidR="00AB740B" w:rsidRPr="00D619D4" w:rsidRDefault="00AB740B" w:rsidP="002A76BE">
      <w:pPr>
        <w:pStyle w:val="NoSpacing"/>
      </w:pPr>
      <w:r w:rsidRPr="00D619D4">
        <w:t>En outre, le programme fournit aux gestionnaires et aux stagiaires des services d’encadrement professionnel et des outils pour soutenir le perfectionnement des stagiaires, comme une formation recommandée offerte par l’École de la fonction publique du Canada.</w:t>
      </w:r>
    </w:p>
    <w:p w14:paraId="4D427024" w14:textId="23960E09" w:rsidR="007F1D49" w:rsidRPr="00D619D4" w:rsidRDefault="00D619D4" w:rsidP="00042038">
      <w:pPr>
        <w:pStyle w:val="Heading2"/>
        <w:spacing w:before="40"/>
      </w:pPr>
      <w:r w:rsidRPr="00D619D4">
        <w:t>Occasion d’emploi pour étudiants en situation de handicap/Occasion d’emploi pour étudiants autochtones</w:t>
      </w:r>
    </w:p>
    <w:p w14:paraId="4233C273" w14:textId="306AD106" w:rsidR="00726417" w:rsidRPr="00D619D4" w:rsidRDefault="00AB740B" w:rsidP="002A76BE">
      <w:pPr>
        <w:pStyle w:val="NoSpacing"/>
      </w:pPr>
      <w:r w:rsidRPr="00D619D4">
        <w:t xml:space="preserve">Même si </w:t>
      </w:r>
      <w:proofErr w:type="spellStart"/>
      <w:r w:rsidRPr="00D619D4">
        <w:t>RNCan</w:t>
      </w:r>
      <w:proofErr w:type="spellEnd"/>
      <w:r w:rsidRPr="00D619D4">
        <w:t xml:space="preserve"> n’a pas présenté de demande de présentation de candidatures, l’Occasion d’emploi pour étudiants en situation de handicap </w:t>
      </w:r>
      <w:r w:rsidRPr="006D0A24">
        <w:t xml:space="preserve">(OEESH) </w:t>
      </w:r>
      <w:r w:rsidRPr="00D619D4">
        <w:t xml:space="preserve">et l’Occasion d’emploi pour étudiants autochtones </w:t>
      </w:r>
      <w:r w:rsidRPr="006D0A24">
        <w:t xml:space="preserve">(OEEA) </w:t>
      </w:r>
      <w:r w:rsidRPr="00D619D4">
        <w:t xml:space="preserve">sont d’excellentes solutions de recrutement pour accroître la diversité au travail, en embauchant des étudiants en situation de handicap ou des étudiants autochtones. Les gestionnaires et étudiants disposent de certaines ressources, comme des outils de socialisation organisationnelle, une formation et des activités de réseautage. </w:t>
      </w:r>
    </w:p>
    <w:p w14:paraId="6EC9DD6A" w14:textId="56B7928A" w:rsidR="007F1D49" w:rsidRPr="00D619D4" w:rsidRDefault="007F1D49" w:rsidP="00042038">
      <w:pPr>
        <w:pStyle w:val="NoSpacing"/>
        <w:spacing w:after="0"/>
      </w:pPr>
      <w:r w:rsidRPr="00D619D4">
        <w:t>Les candidats de ces deux initiatives se trouvent en tout temps dans le répertoire permanent du Programme fédéral d’expérience de travail étudiant (PFETE).</w:t>
      </w:r>
    </w:p>
    <w:p w14:paraId="51402DF5" w14:textId="25547402" w:rsidR="007F1D49" w:rsidRPr="00D619D4" w:rsidRDefault="007F1D49" w:rsidP="00042038">
      <w:pPr>
        <w:pStyle w:val="NoSpacing"/>
        <w:numPr>
          <w:ilvl w:val="0"/>
          <w:numId w:val="19"/>
        </w:numPr>
        <w:spacing w:after="0"/>
      </w:pPr>
      <w:r w:rsidRPr="00D619D4">
        <w:t>Nombre d’étudiants disponibles dans le cadre de l’OEESH</w:t>
      </w:r>
      <w:r w:rsidRPr="00D619D4">
        <w:rPr>
          <w:vertAlign w:val="superscript"/>
        </w:rPr>
        <w:footnoteReference w:id="1"/>
      </w:r>
      <w:r w:rsidRPr="00D619D4">
        <w:t> : 3 714</w:t>
      </w:r>
    </w:p>
    <w:p w14:paraId="262FF2FC" w14:textId="6AB1B65F" w:rsidR="007F1D49" w:rsidRPr="00D619D4" w:rsidRDefault="007F1D49" w:rsidP="0074458B">
      <w:pPr>
        <w:pStyle w:val="NoSpacing"/>
        <w:numPr>
          <w:ilvl w:val="0"/>
          <w:numId w:val="19"/>
        </w:numPr>
      </w:pPr>
      <w:r w:rsidRPr="00D619D4">
        <w:t>Nombre d’étudiants disponibles dans le cadre de l’OEEA</w:t>
      </w:r>
      <w:r w:rsidRPr="00D619D4">
        <w:rPr>
          <w:vertAlign w:val="superscript"/>
        </w:rPr>
        <w:footnoteReference w:id="2"/>
      </w:r>
      <w:r w:rsidRPr="00D619D4">
        <w:t> : 2 263</w:t>
      </w:r>
    </w:p>
    <w:p w14:paraId="6ECE1620" w14:textId="3C2E3A28" w:rsidR="007F1D49" w:rsidRPr="00D619D4" w:rsidRDefault="00D619D4" w:rsidP="0074458B">
      <w:pPr>
        <w:pStyle w:val="Heading2"/>
      </w:pPr>
      <w:r w:rsidRPr="00D619D4">
        <w:t>Programme fédéral d'expérience de travail étudiant</w:t>
      </w:r>
      <w:r>
        <w:t xml:space="preserve"> (PFETE)</w:t>
      </w:r>
    </w:p>
    <w:p w14:paraId="37D0B198" w14:textId="7D3636EC" w:rsidR="00726417" w:rsidRPr="007F3BF9" w:rsidRDefault="009C285D" w:rsidP="0074458B">
      <w:pPr>
        <w:pStyle w:val="NoSpacing"/>
      </w:pPr>
      <w:proofErr w:type="spellStart"/>
      <w:r w:rsidRPr="007F3BF9">
        <w:t>RNCan</w:t>
      </w:r>
      <w:proofErr w:type="spellEnd"/>
      <w:r w:rsidRPr="007F3BF9">
        <w:t xml:space="preserve"> a présenté 114</w:t>
      </w:r>
      <w:r w:rsidR="00F0212D" w:rsidRPr="007F3BF9">
        <w:rPr>
          <w:color w:val="FF0000"/>
        </w:rPr>
        <w:t> </w:t>
      </w:r>
      <w:r w:rsidRPr="007F3BF9">
        <w:t xml:space="preserve">demandes de présentation de candidatures du </w:t>
      </w:r>
      <w:hyperlink r:id="rId9" w:history="1">
        <w:r w:rsidRPr="007F3BF9">
          <w:t>PFETE</w:t>
        </w:r>
      </w:hyperlink>
      <w:r w:rsidRPr="007F3BF9">
        <w:t xml:space="preserve"> en 2020. Ce programme est un excellent moyen pour un organisme de renouveler son effectif</w:t>
      </w:r>
      <w:r w:rsidR="008739EF" w:rsidRPr="007F3BF9">
        <w:t xml:space="preserve">, </w:t>
      </w:r>
      <w:r w:rsidRPr="007F3BF9">
        <w:t xml:space="preserve">d’insuffler une nouvelle énergie, et d’intégrer de nouvelles idées et approches à son milieu de travail. </w:t>
      </w:r>
    </w:p>
    <w:p w14:paraId="7333C58E" w14:textId="5C39F028" w:rsidR="007F1D49" w:rsidRPr="007F3BF9" w:rsidRDefault="007F1D49" w:rsidP="0074458B">
      <w:pPr>
        <w:pStyle w:val="NoSpacing"/>
      </w:pPr>
      <w:r w:rsidRPr="007F3BF9">
        <w:t>Ce programme compte 74 468 étudiants disponibles</w:t>
      </w:r>
      <w:r w:rsidRPr="007F3BF9">
        <w:rPr>
          <w:vertAlign w:val="superscript"/>
        </w:rPr>
        <w:footnoteReference w:id="3"/>
      </w:r>
      <w:r w:rsidRPr="007F3BF9">
        <w:t xml:space="preserve">. À des fins de référence, veuillez consulter les </w:t>
      </w:r>
      <w:hyperlink r:id="rId10" w:history="1">
        <w:r w:rsidRPr="007F3BF9">
          <w:t>tableaux de bord mensuels du PFETE</w:t>
        </w:r>
      </w:hyperlink>
      <w:r w:rsidRPr="007F3BF9">
        <w:t>.</w:t>
      </w:r>
    </w:p>
    <w:p w14:paraId="3103B460" w14:textId="10739CEB" w:rsidR="007F1D49" w:rsidRPr="00C0157E" w:rsidRDefault="007F3BF9" w:rsidP="004B2F46">
      <w:pPr>
        <w:pStyle w:val="Heading2"/>
      </w:pPr>
      <w:r w:rsidRPr="007F3BF9">
        <w:t>Recrutement postsecondaire</w:t>
      </w:r>
    </w:p>
    <w:p w14:paraId="7BF61E96" w14:textId="3BA26785" w:rsidR="00726417" w:rsidRPr="00042038" w:rsidRDefault="009C285D" w:rsidP="0074458B">
      <w:pPr>
        <w:pStyle w:val="NoSpacing"/>
      </w:pPr>
      <w:proofErr w:type="spellStart"/>
      <w:r w:rsidRPr="00042038">
        <w:t>RNCan</w:t>
      </w:r>
      <w:proofErr w:type="spellEnd"/>
      <w:r w:rsidRPr="00042038">
        <w:t xml:space="preserve"> a présenté une demande de présentation de candidatures pour les répertoires du programme de recrutement postsecondaire, afin de pourvoir un poste EC-03. Ces répertoires ont été créés pour tenter de pourvoir des postes des classifications AS, CS, EC, EN, IS et PM. </w:t>
      </w:r>
    </w:p>
    <w:p w14:paraId="387713FE" w14:textId="052315F9" w:rsidR="007F1D49" w:rsidRPr="007F3BF9" w:rsidRDefault="007F3BF9" w:rsidP="00042038">
      <w:pPr>
        <w:pStyle w:val="Heading2"/>
        <w:spacing w:before="40"/>
      </w:pPr>
      <w:r w:rsidRPr="007F3BF9">
        <w:t>Participation à des initiatives liées à l'embauche des autochtones</w:t>
      </w:r>
    </w:p>
    <w:p w14:paraId="56F77C09" w14:textId="0617B1A6" w:rsidR="00726417" w:rsidRPr="007F3BF9" w:rsidRDefault="00BC56F3" w:rsidP="0074458B">
      <w:pPr>
        <w:pStyle w:val="NoSpacing"/>
      </w:pPr>
      <w:r w:rsidRPr="007F3BF9">
        <w:t xml:space="preserve">Même si </w:t>
      </w:r>
      <w:proofErr w:type="spellStart"/>
      <w:r w:rsidRPr="007F3BF9">
        <w:t>RNCan</w:t>
      </w:r>
      <w:proofErr w:type="spellEnd"/>
      <w:r w:rsidRPr="007F3BF9">
        <w:t xml:space="preserve"> n’a pas encore consulté le Centre d’expertise autochtone (CEA) de la CFP au sujet du recrutement des Autochtones, le CEA et le Bureau du dirigeant principal des ressources </w:t>
      </w:r>
      <w:r w:rsidRPr="007F3BF9">
        <w:lastRenderedPageBreak/>
        <w:t xml:space="preserve">humaines ont créé l’initiative Parcours de carrière pour Autochtones (PCA) qui pourrait être intéressant quand vient le temps de soutenir l’atteinte des objectifs d’embauche d’Autochtones. </w:t>
      </w:r>
    </w:p>
    <w:p w14:paraId="4B46D5C2" w14:textId="72348711" w:rsidR="007F1D49" w:rsidRPr="007F3BF9" w:rsidRDefault="0098248A" w:rsidP="0074458B">
      <w:pPr>
        <w:pStyle w:val="NoSpacing"/>
      </w:pPr>
      <w:r w:rsidRPr="007F3BF9">
        <w:t>Le PCA fournit de l’information sur le recrutement des Autochtones, l’avancement ou le développement professionnel, ainsi que le maintien en poste :</w:t>
      </w:r>
    </w:p>
    <w:p w14:paraId="77834F30" w14:textId="19725943" w:rsidR="007F1D49" w:rsidRPr="007F3BF9" w:rsidRDefault="007F1D49" w:rsidP="0074458B">
      <w:pPr>
        <w:pStyle w:val="NoSpacing"/>
      </w:pPr>
      <w:r w:rsidRPr="007F3BF9">
        <w:t xml:space="preserve">Le </w:t>
      </w:r>
      <w:r w:rsidRPr="000377FD">
        <w:t>Répertoire de postulants autochtones</w:t>
      </w:r>
      <w:r w:rsidRPr="00DB3EB4">
        <w:t xml:space="preserve"> facilite </w:t>
      </w:r>
      <w:r w:rsidRPr="007F3BF9">
        <w:t xml:space="preserve">le jumelage des gestionnaires d’embauche et des candidats, en trouvant des talents autochtones dans les répertoires existants de la Commission de la fonction publique, et en faisant la promotion active de leur profil auprès des organismes fédéraux. </w:t>
      </w:r>
    </w:p>
    <w:p w14:paraId="1078D428" w14:textId="21751C87" w:rsidR="00AE4D3A" w:rsidRDefault="007F1D49" w:rsidP="0074458B">
      <w:pPr>
        <w:pStyle w:val="NoSpacing"/>
      </w:pPr>
      <w:r w:rsidRPr="007F3BF9">
        <w:t xml:space="preserve">La </w:t>
      </w:r>
      <w:r w:rsidRPr="000377FD">
        <w:t>Boîte à outils pour le recrutement autochtone</w:t>
      </w:r>
      <w:r w:rsidRPr="007F3BF9">
        <w:t xml:space="preserve"> fournit des outils, des ressources et des conseils au sujet des initiatives de recrutement des Autochtones, de mobilisation et de partage que proposent la CFP et d’autres ministères. La boîte à outils sera mise à jour avant que les gestionnaires d’embauche et les conseillers en RH y aient accès sur </w:t>
      </w:r>
      <w:proofErr w:type="spellStart"/>
      <w:r w:rsidRPr="007F3BF9">
        <w:t>GCintranet</w:t>
      </w:r>
      <w:proofErr w:type="spellEnd"/>
      <w:r w:rsidRPr="007F3BF9">
        <w:t xml:space="preserve"> d’ici la fin de 2020.</w:t>
      </w:r>
    </w:p>
    <w:p w14:paraId="65E886F6" w14:textId="77777777" w:rsidR="00DA7821" w:rsidRDefault="00DA7821" w:rsidP="007F3BF9">
      <w:pPr>
        <w:pStyle w:val="Heading1"/>
        <w:sectPr w:rsidR="00DA7821" w:rsidSect="00810B3D">
          <w:footerReference w:type="default" r:id="rId11"/>
          <w:footerReference w:type="first" r:id="rId12"/>
          <w:pgSz w:w="12240" w:h="15840"/>
          <w:pgMar w:top="1440" w:right="1440" w:bottom="1440" w:left="1440" w:header="709" w:footer="284" w:gutter="0"/>
          <w:cols w:space="708"/>
          <w:titlePg/>
          <w:docGrid w:linePitch="360"/>
        </w:sectPr>
      </w:pPr>
    </w:p>
    <w:p w14:paraId="661CD890" w14:textId="48259C43" w:rsidR="007F3BF9" w:rsidRPr="00541B4F" w:rsidRDefault="007F3BF9" w:rsidP="007F3BF9">
      <w:pPr>
        <w:pStyle w:val="Heading1"/>
      </w:pPr>
      <w:r w:rsidRPr="00541B4F">
        <w:lastRenderedPageBreak/>
        <w:t>Soutien en dotation</w:t>
      </w:r>
    </w:p>
    <w:p w14:paraId="7BACFE0D" w14:textId="77777777" w:rsidR="007F3BF9" w:rsidRPr="00541B4F" w:rsidRDefault="007F3BF9" w:rsidP="00042038">
      <w:pPr>
        <w:pStyle w:val="Heading2"/>
        <w:spacing w:before="40"/>
      </w:pPr>
      <w:r w:rsidRPr="00541B4F">
        <w:t>Représentants de la Commission de la fonction publique et personnes-ressources de l’organisation</w:t>
      </w:r>
    </w:p>
    <w:p w14:paraId="0A14A2A8" w14:textId="1519CD30" w:rsidR="00042038" w:rsidRPr="00BA5EF2" w:rsidRDefault="007378D3" w:rsidP="00DA7821">
      <w:pPr>
        <w:spacing w:after="600"/>
        <w:rPr>
          <w:rFonts w:asciiTheme="minorHAnsi" w:hAnsiTheme="minorHAnsi" w:cstheme="minorHAnsi"/>
          <w:sz w:val="22"/>
          <w:szCs w:val="22"/>
        </w:rPr>
      </w:pPr>
      <w:r w:rsidRPr="00BA5EF2">
        <w:rPr>
          <w:rFonts w:asciiTheme="minorHAnsi" w:hAnsiTheme="minorHAnsi" w:cstheme="minorHAnsi"/>
          <w:sz w:val="22"/>
          <w:szCs w:val="22"/>
        </w:rPr>
        <w:t xml:space="preserve">La CSD </w:t>
      </w:r>
      <w:r w:rsidR="00DB6829">
        <w:rPr>
          <w:rFonts w:asciiTheme="minorHAnsi" w:hAnsiTheme="minorHAnsi" w:cstheme="minorHAnsi"/>
          <w:sz w:val="22"/>
          <w:szCs w:val="22"/>
        </w:rPr>
        <w:t>assignée</w:t>
      </w:r>
      <w:r w:rsidR="00DB6829" w:rsidRPr="00BA5EF2">
        <w:rPr>
          <w:rFonts w:asciiTheme="minorHAnsi" w:hAnsiTheme="minorHAnsi" w:cstheme="minorHAnsi"/>
          <w:sz w:val="22"/>
          <w:szCs w:val="22"/>
        </w:rPr>
        <w:t xml:space="preserve"> </w:t>
      </w:r>
      <w:r w:rsidRPr="00BA5EF2">
        <w:rPr>
          <w:rFonts w:asciiTheme="minorHAnsi" w:hAnsiTheme="minorHAnsi" w:cstheme="minorHAnsi"/>
          <w:sz w:val="22"/>
          <w:szCs w:val="22"/>
        </w:rPr>
        <w:t>à cette organisation est Véronique</w:t>
      </w:r>
      <w:r w:rsidR="00F0212D" w:rsidRPr="00BA5EF2">
        <w:rPr>
          <w:rFonts w:asciiTheme="minorHAnsi" w:hAnsiTheme="minorHAnsi" w:cstheme="minorHAnsi"/>
          <w:sz w:val="22"/>
          <w:szCs w:val="22"/>
        </w:rPr>
        <w:t> </w:t>
      </w:r>
      <w:r w:rsidRPr="00BA5EF2">
        <w:rPr>
          <w:rFonts w:asciiTheme="minorHAnsi" w:hAnsiTheme="minorHAnsi" w:cstheme="minorHAnsi"/>
          <w:sz w:val="22"/>
          <w:szCs w:val="22"/>
        </w:rPr>
        <w:t xml:space="preserve">Geoffroy. La principale personne-ressource au sein de l’organisation est </w:t>
      </w:r>
      <w:sdt>
        <w:sdtPr>
          <w:rPr>
            <w:rFonts w:asciiTheme="minorHAnsi" w:hAnsiTheme="minorHAnsi" w:cstheme="minorHAnsi"/>
            <w:sz w:val="22"/>
            <w:szCs w:val="22"/>
          </w:rPr>
          <w:id w:val="766050407"/>
          <w:placeholder>
            <w:docPart w:val="70C390C1927A45F4A866C797C77019EB"/>
          </w:placeholder>
          <w15:appearance w15:val="hidden"/>
          <w:text w:multiLine="1"/>
        </w:sdtPr>
        <w:sdtEndPr/>
        <w:sdtContent>
          <w:r w:rsidRPr="00BA5EF2">
            <w:rPr>
              <w:rFonts w:asciiTheme="minorHAnsi" w:hAnsiTheme="minorHAnsi" w:cstheme="minorHAnsi"/>
              <w:sz w:val="22"/>
              <w:szCs w:val="22"/>
            </w:rPr>
            <w:t>Christine </w:t>
          </w:r>
          <w:proofErr w:type="spellStart"/>
          <w:r w:rsidRPr="00BA5EF2">
            <w:rPr>
              <w:rFonts w:asciiTheme="minorHAnsi" w:hAnsiTheme="minorHAnsi" w:cstheme="minorHAnsi"/>
              <w:sz w:val="22"/>
              <w:szCs w:val="22"/>
            </w:rPr>
            <w:t>Tanious</w:t>
          </w:r>
          <w:proofErr w:type="spellEnd"/>
        </w:sdtContent>
      </w:sdt>
      <w:r w:rsidRPr="00BA5EF2">
        <w:rPr>
          <w:rFonts w:asciiTheme="minorHAnsi" w:hAnsiTheme="minorHAnsi" w:cstheme="minorHAnsi"/>
          <w:sz w:val="22"/>
          <w:szCs w:val="22"/>
        </w:rPr>
        <w:t>, gestionnaire, Dotation ministérielle. La responsable des RH est Anne </w:t>
      </w:r>
      <w:proofErr w:type="spellStart"/>
      <w:r w:rsidRPr="00BA5EF2">
        <w:rPr>
          <w:rFonts w:asciiTheme="minorHAnsi" w:hAnsiTheme="minorHAnsi" w:cstheme="minorHAnsi"/>
          <w:sz w:val="22"/>
          <w:szCs w:val="22"/>
        </w:rPr>
        <w:t>Casault</w:t>
      </w:r>
      <w:proofErr w:type="spellEnd"/>
      <w:r w:rsidRPr="00BA5EF2">
        <w:rPr>
          <w:rFonts w:asciiTheme="minorHAnsi" w:hAnsiTheme="minorHAnsi" w:cstheme="minorHAnsi"/>
          <w:sz w:val="22"/>
          <w:szCs w:val="22"/>
        </w:rPr>
        <w:t>, directrice générale et dirigeante principale des ressources humaines.</w:t>
      </w:r>
    </w:p>
    <w:p w14:paraId="7B773A39" w14:textId="2D278A1D" w:rsidR="007378D3" w:rsidRPr="00BA5EF2" w:rsidRDefault="007F3BF9" w:rsidP="00042038">
      <w:pPr>
        <w:numPr>
          <w:ilvl w:val="12"/>
          <w:numId w:val="0"/>
        </w:numPr>
        <w:tabs>
          <w:tab w:val="left" w:pos="-1320"/>
          <w:tab w:val="left" w:pos="-720"/>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rPr>
          <w:rFonts w:asciiTheme="minorHAnsi" w:hAnsiTheme="minorHAnsi" w:cstheme="minorHAnsi"/>
          <w:sz w:val="22"/>
          <w:szCs w:val="22"/>
        </w:rPr>
      </w:pPr>
      <w:r w:rsidRPr="00BA5EF2">
        <w:rPr>
          <w:rStyle w:val="Strong"/>
          <w:rFonts w:asciiTheme="minorHAnsi" w:eastAsiaTheme="minorHAnsi" w:hAnsiTheme="minorHAnsi" w:cstheme="minorHAnsi"/>
          <w:sz w:val="22"/>
        </w:rPr>
        <w:t>PRÉPARÉ PAR :</w:t>
      </w:r>
    </w:p>
    <w:p w14:paraId="6057EF1D" w14:textId="6E865260" w:rsidR="007378D3" w:rsidRPr="00BA5EF2" w:rsidRDefault="0054266A" w:rsidP="00972F32">
      <w:pPr>
        <w:numPr>
          <w:ilvl w:val="12"/>
          <w:numId w:val="0"/>
        </w:numPr>
        <w:tabs>
          <w:tab w:val="left" w:pos="-1320"/>
          <w:tab w:val="left" w:pos="-720"/>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heme="minorHAnsi"/>
          <w:sz w:val="22"/>
          <w:szCs w:val="22"/>
        </w:rPr>
      </w:pPr>
      <w:r w:rsidRPr="00BA5EF2">
        <w:rPr>
          <w:rFonts w:asciiTheme="minorHAnsi" w:hAnsiTheme="minorHAnsi"/>
          <w:sz w:val="22"/>
          <w:szCs w:val="22"/>
        </w:rPr>
        <w:t>Véronique</w:t>
      </w:r>
      <w:r w:rsidR="00F0212D" w:rsidRPr="00BA5EF2">
        <w:rPr>
          <w:rFonts w:asciiTheme="minorHAnsi" w:hAnsiTheme="minorHAnsi"/>
          <w:sz w:val="22"/>
          <w:szCs w:val="22"/>
        </w:rPr>
        <w:t> </w:t>
      </w:r>
      <w:r w:rsidRPr="00BA5EF2">
        <w:rPr>
          <w:rFonts w:asciiTheme="minorHAnsi" w:hAnsiTheme="minorHAnsi"/>
          <w:sz w:val="22"/>
          <w:szCs w:val="22"/>
        </w:rPr>
        <w:t xml:space="preserve">Geoffroy </w:t>
      </w:r>
    </w:p>
    <w:p w14:paraId="287D2260" w14:textId="728A2616" w:rsidR="001456F7" w:rsidRPr="00BA5EF2" w:rsidRDefault="007F3BF9" w:rsidP="00042038">
      <w:pPr>
        <w:numPr>
          <w:ilvl w:val="12"/>
          <w:numId w:val="0"/>
        </w:numPr>
        <w:tabs>
          <w:tab w:val="left" w:pos="-1320"/>
          <w:tab w:val="left" w:pos="-720"/>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360"/>
        <w:rPr>
          <w:rFonts w:asciiTheme="minorHAnsi" w:eastAsiaTheme="minorHAnsi" w:hAnsiTheme="minorHAnsi" w:cstheme="minorHAnsi"/>
          <w:sz w:val="22"/>
          <w:szCs w:val="22"/>
        </w:rPr>
      </w:pPr>
      <w:r w:rsidRPr="00BA5EF2">
        <w:rPr>
          <w:rFonts w:asciiTheme="minorHAnsi" w:eastAsiaTheme="minorHAnsi" w:hAnsiTheme="minorHAnsi" w:cstheme="minorHAnsi"/>
          <w:sz w:val="22"/>
          <w:szCs w:val="22"/>
        </w:rPr>
        <w:t>Conseillère au soutien en dotation</w:t>
      </w:r>
    </w:p>
    <w:p w14:paraId="212CC928" w14:textId="6B47E712" w:rsidR="00831D62" w:rsidRPr="00BA5EF2" w:rsidRDefault="00831D62" w:rsidP="00831D62">
      <w:pPr>
        <w:numPr>
          <w:ilvl w:val="12"/>
          <w:numId w:val="0"/>
        </w:numPr>
        <w:tabs>
          <w:tab w:val="left" w:pos="-1320"/>
          <w:tab w:val="left" w:pos="-720"/>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lang w:val="en-CA"/>
        </w:rPr>
      </w:pPr>
      <w:r w:rsidRPr="00BA5EF2">
        <w:rPr>
          <w:rFonts w:ascii="Arial" w:hAnsi="Arial" w:cs="Arial"/>
          <w:b/>
          <w:sz w:val="22"/>
          <w:szCs w:val="22"/>
          <w:lang w:val="en-CA"/>
        </w:rPr>
        <w:t>APPROV</w:t>
      </w:r>
      <w:r w:rsidR="00BB1BE2" w:rsidRPr="00BA5EF2">
        <w:rPr>
          <w:rFonts w:ascii="Arial" w:hAnsi="Arial" w:cs="Arial"/>
          <w:b/>
          <w:sz w:val="22"/>
          <w:szCs w:val="22"/>
          <w:lang w:val="en-CA"/>
        </w:rPr>
        <w:t>É</w:t>
      </w:r>
      <w:r w:rsidRPr="00BA5EF2">
        <w:rPr>
          <w:rFonts w:ascii="Arial" w:hAnsi="Arial" w:cs="Arial"/>
          <w:b/>
          <w:sz w:val="22"/>
          <w:szCs w:val="22"/>
          <w:lang w:val="en-CA"/>
        </w:rPr>
        <w:t xml:space="preserve"> BY:</w:t>
      </w:r>
    </w:p>
    <w:p w14:paraId="4E2DBE20" w14:textId="77777777" w:rsidR="00831D62" w:rsidRPr="00BA5EF2" w:rsidRDefault="00831D62" w:rsidP="00831D62">
      <w:pPr>
        <w:numPr>
          <w:ilvl w:val="12"/>
          <w:numId w:val="0"/>
        </w:numPr>
        <w:tabs>
          <w:tab w:val="left" w:pos="-1320"/>
          <w:tab w:val="left" w:pos="-720"/>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lang w:val="en-CA"/>
        </w:rPr>
      </w:pPr>
    </w:p>
    <w:p w14:paraId="4BE3AD1D" w14:textId="77777777" w:rsidR="00831D62" w:rsidRPr="00BA5EF2" w:rsidRDefault="00831D62" w:rsidP="00831D62">
      <w:pPr>
        <w:numPr>
          <w:ilvl w:val="12"/>
          <w:numId w:val="0"/>
        </w:numPr>
        <w:tabs>
          <w:tab w:val="left" w:pos="-1320"/>
          <w:tab w:val="left" w:pos="-720"/>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lang w:val="en-CA"/>
        </w:rPr>
      </w:pPr>
      <w:r w:rsidRPr="00BA5EF2">
        <w:rPr>
          <w:rFonts w:ascii="Arial" w:hAnsi="Arial" w:cs="Arial"/>
          <w:b/>
          <w:noProof/>
          <w:sz w:val="22"/>
          <w:szCs w:val="22"/>
          <w:lang w:val="en-CA" w:eastAsia="en-CA"/>
        </w:rPr>
        <w:drawing>
          <wp:inline distT="0" distB="0" distL="0" distR="0" wp14:anchorId="45FC0823" wp14:editId="5B4AB031">
            <wp:extent cx="1676400" cy="681318"/>
            <wp:effectExtent l="0" t="0" r="0" b="5080"/>
            <wp:docPr id="4" name="Picture 4" descr="Approuvé par Lynn Brault, Directrice géné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pprouvé par Lynn Brault, Directrice généra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7986" cy="681963"/>
                    </a:xfrm>
                    <a:prstGeom prst="rect">
                      <a:avLst/>
                    </a:prstGeom>
                    <a:noFill/>
                    <a:ln>
                      <a:noFill/>
                    </a:ln>
                  </pic:spPr>
                </pic:pic>
              </a:graphicData>
            </a:graphic>
          </wp:inline>
        </w:drawing>
      </w:r>
    </w:p>
    <w:p w14:paraId="7875030E" w14:textId="77777777" w:rsidR="00831D62" w:rsidRPr="006D0A24" w:rsidRDefault="00831D62" w:rsidP="00831D62">
      <w:pPr>
        <w:numPr>
          <w:ilvl w:val="12"/>
          <w:numId w:val="0"/>
        </w:numPr>
        <w:tabs>
          <w:tab w:val="left" w:pos="-1320"/>
          <w:tab w:val="left" w:pos="-720"/>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6D0A24">
        <w:rPr>
          <w:rFonts w:ascii="Arial" w:hAnsi="Arial" w:cs="Arial"/>
          <w:sz w:val="22"/>
          <w:szCs w:val="22"/>
        </w:rPr>
        <w:t>_______________________</w:t>
      </w:r>
    </w:p>
    <w:p w14:paraId="3C0321E7" w14:textId="6F3D76AD" w:rsidR="00831D62" w:rsidRPr="006D0A24" w:rsidRDefault="00831D62" w:rsidP="00831D62">
      <w:pPr>
        <w:numPr>
          <w:ilvl w:val="12"/>
          <w:numId w:val="0"/>
        </w:numPr>
        <w:tabs>
          <w:tab w:val="left" w:pos="-1320"/>
          <w:tab w:val="left" w:pos="-720"/>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6D0A24">
        <w:rPr>
          <w:rFonts w:ascii="Arial" w:hAnsi="Arial" w:cs="Arial"/>
          <w:sz w:val="22"/>
          <w:szCs w:val="22"/>
          <w:lang w:eastAsia="en-CA"/>
        </w:rPr>
        <w:t xml:space="preserve">Approuvé par </w:t>
      </w:r>
      <w:r w:rsidRPr="006D0A24">
        <w:rPr>
          <w:rFonts w:ascii="Arial" w:hAnsi="Arial" w:cs="Arial"/>
          <w:sz w:val="22"/>
          <w:szCs w:val="22"/>
        </w:rPr>
        <w:t>Lynn Brault</w:t>
      </w:r>
    </w:p>
    <w:p w14:paraId="5F387175" w14:textId="738F3C2B" w:rsidR="00831D62" w:rsidRPr="00BA5EF2" w:rsidRDefault="00831D62" w:rsidP="00831D62">
      <w:pPr>
        <w:rPr>
          <w:rFonts w:ascii="Arial" w:hAnsi="Arial" w:cs="Arial"/>
          <w:sz w:val="22"/>
          <w:szCs w:val="22"/>
        </w:rPr>
      </w:pPr>
      <w:r w:rsidRPr="00BA5EF2">
        <w:rPr>
          <w:rFonts w:ascii="Arial" w:hAnsi="Arial" w:cs="Arial"/>
          <w:sz w:val="22"/>
          <w:szCs w:val="22"/>
        </w:rPr>
        <w:t xml:space="preserve">Directrice générale, Soutien en dotation, des priorités et des activités politiques </w:t>
      </w:r>
    </w:p>
    <w:p w14:paraId="5904234C" w14:textId="62AF93F3" w:rsidR="00831D62" w:rsidRPr="00BA5EF2" w:rsidRDefault="00831D62" w:rsidP="00831D62">
      <w:pPr>
        <w:rPr>
          <w:rFonts w:ascii="Arial" w:hAnsi="Arial" w:cs="Arial"/>
          <w:sz w:val="22"/>
          <w:szCs w:val="22"/>
        </w:rPr>
      </w:pPr>
      <w:r w:rsidRPr="00BA5EF2">
        <w:rPr>
          <w:rFonts w:ascii="Arial" w:hAnsi="Arial" w:cs="Arial"/>
          <w:sz w:val="22"/>
          <w:szCs w:val="22"/>
        </w:rPr>
        <w:t>Secteur des politiques et communications</w:t>
      </w:r>
    </w:p>
    <w:p w14:paraId="10474A79" w14:textId="77777777" w:rsidR="00831D62" w:rsidRPr="00BA5EF2" w:rsidRDefault="00831D62" w:rsidP="00831D62">
      <w:pPr>
        <w:numPr>
          <w:ilvl w:val="12"/>
          <w:numId w:val="0"/>
        </w:numPr>
        <w:tabs>
          <w:tab w:val="left" w:pos="-1326"/>
          <w:tab w:val="left" w:pos="-720"/>
          <w:tab w:val="left" w:pos="0"/>
          <w:tab w:val="left" w:pos="31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lang w:val="en-CA"/>
        </w:rPr>
      </w:pPr>
      <w:r w:rsidRPr="00BA5EF2">
        <w:rPr>
          <w:rFonts w:ascii="Arial" w:hAnsi="Arial" w:cs="Arial"/>
          <w:b/>
          <w:noProof/>
          <w:sz w:val="22"/>
          <w:szCs w:val="22"/>
          <w:lang w:val="en-CA" w:eastAsia="en-CA"/>
        </w:rPr>
        <w:drawing>
          <wp:inline distT="0" distB="0" distL="0" distR="0" wp14:anchorId="1CE3FB33" wp14:editId="43E845EB">
            <wp:extent cx="1676400" cy="681318"/>
            <wp:effectExtent l="0" t="0" r="0" b="5080"/>
            <wp:docPr id="14" name="Picture 14" descr="Approuvé par Lynn Brault, Directrice géné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pprouvé par Lynn Brault, Directrice généra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7986" cy="681963"/>
                    </a:xfrm>
                    <a:prstGeom prst="rect">
                      <a:avLst/>
                    </a:prstGeom>
                    <a:noFill/>
                    <a:ln>
                      <a:noFill/>
                    </a:ln>
                  </pic:spPr>
                </pic:pic>
              </a:graphicData>
            </a:graphic>
          </wp:inline>
        </w:drawing>
      </w:r>
    </w:p>
    <w:p w14:paraId="1A00AAD9" w14:textId="77777777" w:rsidR="00831D62" w:rsidRPr="006D0A24" w:rsidRDefault="00831D62" w:rsidP="00831D62">
      <w:pPr>
        <w:numPr>
          <w:ilvl w:val="12"/>
          <w:numId w:val="0"/>
        </w:numPr>
        <w:tabs>
          <w:tab w:val="left" w:pos="-1326"/>
          <w:tab w:val="left" w:pos="-720"/>
          <w:tab w:val="left" w:pos="0"/>
          <w:tab w:val="left" w:pos="31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6D0A24">
        <w:rPr>
          <w:rFonts w:ascii="Arial" w:hAnsi="Arial" w:cs="Arial"/>
          <w:sz w:val="22"/>
          <w:szCs w:val="22"/>
        </w:rPr>
        <w:t>_______________________</w:t>
      </w:r>
    </w:p>
    <w:p w14:paraId="26A704BA" w14:textId="57ECC4CF" w:rsidR="00831D62" w:rsidRPr="00BA5EF2" w:rsidRDefault="00831D62" w:rsidP="00831D62">
      <w:pPr>
        <w:numPr>
          <w:ilvl w:val="12"/>
          <w:numId w:val="0"/>
        </w:numPr>
        <w:tabs>
          <w:tab w:val="left" w:pos="-1326"/>
          <w:tab w:val="left" w:pos="-720"/>
          <w:tab w:val="left" w:pos="0"/>
          <w:tab w:val="left" w:pos="31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BA5EF2">
        <w:rPr>
          <w:rFonts w:ascii="Arial" w:hAnsi="Arial" w:cs="Arial"/>
          <w:sz w:val="22"/>
          <w:szCs w:val="22"/>
        </w:rPr>
        <w:t>Pour/Approuvé par Patricia Jaton</w:t>
      </w:r>
    </w:p>
    <w:p w14:paraId="706D0864" w14:textId="4CC3F224" w:rsidR="00831D62" w:rsidRPr="00BA5EF2" w:rsidRDefault="00831D62" w:rsidP="00831D62">
      <w:pPr>
        <w:numPr>
          <w:ilvl w:val="12"/>
          <w:numId w:val="0"/>
        </w:numPr>
        <w:tabs>
          <w:tab w:val="left" w:pos="-1326"/>
          <w:tab w:val="left" w:pos="-720"/>
          <w:tab w:val="left" w:pos="0"/>
          <w:tab w:val="left" w:pos="31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BA5EF2">
        <w:rPr>
          <w:rFonts w:ascii="Arial" w:hAnsi="Arial" w:cs="Arial"/>
          <w:sz w:val="22"/>
          <w:szCs w:val="22"/>
        </w:rPr>
        <w:t>Vice-présidente, Secteur des politiques et communications</w:t>
      </w:r>
    </w:p>
    <w:p w14:paraId="588A6354" w14:textId="381A1BEB" w:rsidR="00831D62" w:rsidRPr="00BA5EF2" w:rsidRDefault="00831D62" w:rsidP="00831D62">
      <w:pPr>
        <w:numPr>
          <w:ilvl w:val="12"/>
          <w:numId w:val="0"/>
        </w:numPr>
        <w:tabs>
          <w:tab w:val="left" w:pos="-1326"/>
          <w:tab w:val="left" w:pos="-720"/>
          <w:tab w:val="left" w:pos="0"/>
          <w:tab w:val="left" w:pos="31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lang w:val="en-CA"/>
        </w:rPr>
      </w:pPr>
      <w:r w:rsidRPr="00BA5EF2">
        <w:rPr>
          <w:rFonts w:ascii="Arial" w:hAnsi="Arial" w:cs="Arial"/>
          <w:sz w:val="22"/>
          <w:szCs w:val="22"/>
          <w:lang w:val="en-CA"/>
        </w:rPr>
        <w:t xml:space="preserve">13 </w:t>
      </w:r>
      <w:proofErr w:type="spellStart"/>
      <w:r w:rsidR="00BB1BE2" w:rsidRPr="00BA5EF2">
        <w:rPr>
          <w:rFonts w:ascii="Arial" w:hAnsi="Arial" w:cs="Arial"/>
          <w:sz w:val="22"/>
          <w:szCs w:val="22"/>
          <w:lang w:val="en-CA"/>
        </w:rPr>
        <w:t>n</w:t>
      </w:r>
      <w:r w:rsidRPr="00BA5EF2">
        <w:rPr>
          <w:rFonts w:ascii="Arial" w:hAnsi="Arial" w:cs="Arial"/>
          <w:sz w:val="22"/>
          <w:szCs w:val="22"/>
          <w:lang w:val="en-CA"/>
        </w:rPr>
        <w:t>ovemb</w:t>
      </w:r>
      <w:r w:rsidR="00BB1BE2" w:rsidRPr="00BA5EF2">
        <w:rPr>
          <w:rFonts w:ascii="Arial" w:hAnsi="Arial" w:cs="Arial"/>
          <w:sz w:val="22"/>
          <w:szCs w:val="22"/>
          <w:lang w:val="en-CA"/>
        </w:rPr>
        <w:t>re</w:t>
      </w:r>
      <w:proofErr w:type="spellEnd"/>
      <w:r w:rsidRPr="00BA5EF2">
        <w:rPr>
          <w:rFonts w:ascii="Arial" w:hAnsi="Arial" w:cs="Arial"/>
          <w:sz w:val="22"/>
          <w:szCs w:val="22"/>
          <w:lang w:val="en-CA"/>
        </w:rPr>
        <w:t xml:space="preserve"> 2020_______</w:t>
      </w:r>
    </w:p>
    <w:p w14:paraId="5011627C" w14:textId="77777777" w:rsidR="00831D62" w:rsidRPr="00BA5EF2" w:rsidRDefault="00831D62" w:rsidP="00831D62">
      <w:pPr>
        <w:numPr>
          <w:ilvl w:val="12"/>
          <w:numId w:val="0"/>
        </w:numPr>
        <w:tabs>
          <w:tab w:val="left" w:pos="-1326"/>
          <w:tab w:val="left" w:pos="-720"/>
          <w:tab w:val="left" w:pos="0"/>
          <w:tab w:val="left" w:pos="31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lang w:val="en-CA"/>
        </w:rPr>
      </w:pPr>
      <w:r w:rsidRPr="00BA5EF2">
        <w:rPr>
          <w:rFonts w:ascii="Arial" w:hAnsi="Arial" w:cs="Arial"/>
          <w:sz w:val="22"/>
          <w:szCs w:val="22"/>
          <w:lang w:val="en-CA"/>
        </w:rPr>
        <w:t>Date</w:t>
      </w:r>
    </w:p>
    <w:p w14:paraId="510EC006" w14:textId="67AD8545" w:rsidR="007378D3" w:rsidRPr="0074458B" w:rsidRDefault="001456F7" w:rsidP="000420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rPr>
          <w:rFonts w:asciiTheme="minorHAnsi" w:hAnsiTheme="minorHAnsi" w:cstheme="minorHAnsi"/>
          <w:sz w:val="22"/>
          <w:szCs w:val="22"/>
        </w:rPr>
      </w:pPr>
      <w:r>
        <w:rPr>
          <w:rFonts w:asciiTheme="minorHAnsi" w:hAnsiTheme="minorHAnsi"/>
          <w:sz w:val="22"/>
          <w:szCs w:val="22"/>
        </w:rPr>
        <w:t>Annexes</w:t>
      </w:r>
      <w:r w:rsidR="00F0212D">
        <w:rPr>
          <w:rFonts w:asciiTheme="minorHAnsi" w:hAnsiTheme="minorHAnsi"/>
          <w:sz w:val="22"/>
          <w:szCs w:val="22"/>
        </w:rPr>
        <w:t> </w:t>
      </w:r>
      <w:r>
        <w:rPr>
          <w:rFonts w:asciiTheme="minorHAnsi" w:hAnsiTheme="minorHAnsi"/>
          <w:sz w:val="22"/>
          <w:szCs w:val="22"/>
        </w:rPr>
        <w:t>:</w:t>
      </w:r>
    </w:p>
    <w:p w14:paraId="4C809396" w14:textId="490E45DB" w:rsidR="007F3BF9" w:rsidRPr="00094498" w:rsidRDefault="003F59CB" w:rsidP="00042038">
      <w:pPr>
        <w:pStyle w:val="ListParagraph"/>
        <w:numPr>
          <w:ilvl w:val="0"/>
          <w:numId w:val="27"/>
        </w:numPr>
        <w:spacing w:after="120"/>
        <w:rPr>
          <w:rStyle w:val="Hyperlink"/>
          <w:rFonts w:asciiTheme="minorHAnsi" w:hAnsiTheme="minorHAnsi" w:cstheme="minorHAnsi"/>
          <w:bCs/>
          <w:color w:val="auto"/>
          <w:sz w:val="22"/>
          <w:szCs w:val="22"/>
          <w:u w:val="none"/>
        </w:rPr>
      </w:pPr>
      <w:hyperlink w:anchor="AnnexA" w:history="1">
        <w:r w:rsidR="00FB656A">
          <w:rPr>
            <w:rStyle w:val="Hyperlink"/>
            <w:rFonts w:asciiTheme="minorHAnsi" w:hAnsiTheme="minorHAnsi" w:cstheme="minorHAnsi"/>
            <w:sz w:val="22"/>
            <w:szCs w:val="22"/>
          </w:rPr>
          <w:t xml:space="preserve">Annexe A – Document Faits Saillants de la Nouvelle orientation en dotation (NOD) pour les AG </w:t>
        </w:r>
      </w:hyperlink>
    </w:p>
    <w:p w14:paraId="39143A0D" w14:textId="7BAAB4E2" w:rsidR="007378D3" w:rsidRPr="007F3BF9" w:rsidRDefault="003F59CB" w:rsidP="007F3BF9">
      <w:pPr>
        <w:pStyle w:val="ListParagraph"/>
        <w:numPr>
          <w:ilvl w:val="0"/>
          <w:numId w:val="27"/>
        </w:numPr>
        <w:rPr>
          <w:rFonts w:cstheme="minorHAnsi"/>
          <w:b/>
          <w:bCs/>
        </w:rPr>
      </w:pPr>
      <w:hyperlink w:anchor="AnnexB" w:history="1">
        <w:r w:rsidR="007F3BF9" w:rsidRPr="002B4128">
          <w:rPr>
            <w:rStyle w:val="Hyperlink"/>
            <w:rFonts w:asciiTheme="minorHAnsi" w:hAnsiTheme="minorHAnsi" w:cstheme="minorHAnsi"/>
            <w:sz w:val="22"/>
            <w:szCs w:val="22"/>
          </w:rPr>
          <w:t>Annexe B - Données sur l’effectif et les activités de dotation</w:t>
        </w:r>
      </w:hyperlink>
      <w:r w:rsidR="007378D3" w:rsidRPr="007F3BF9">
        <w:br w:type="page"/>
      </w:r>
    </w:p>
    <w:p w14:paraId="5803D485" w14:textId="77777777" w:rsidR="00D919FE" w:rsidRPr="007F3BF9" w:rsidRDefault="00D919FE" w:rsidP="009800DD">
      <w:pPr>
        <w:pStyle w:val="DataText"/>
        <w:rPr>
          <w:rFonts w:ascii="Arial" w:hAnsi="Arial" w:cs="Arial"/>
          <w:b/>
          <w:sz w:val="22"/>
          <w:szCs w:val="22"/>
        </w:rPr>
        <w:sectPr w:rsidR="00D919FE" w:rsidRPr="007F3BF9" w:rsidSect="00810B3D">
          <w:pgSz w:w="12240" w:h="15840"/>
          <w:pgMar w:top="1440" w:right="1440" w:bottom="1440" w:left="1440" w:header="709" w:footer="284" w:gutter="0"/>
          <w:cols w:space="708"/>
          <w:titlePg/>
          <w:docGrid w:linePitch="360"/>
        </w:sectPr>
      </w:pPr>
    </w:p>
    <w:p w14:paraId="7BE156B3" w14:textId="77777777" w:rsidR="008228F2" w:rsidRPr="000377FD" w:rsidRDefault="008228F2" w:rsidP="008228F2">
      <w:pPr>
        <w:pStyle w:val="Heading3"/>
        <w:jc w:val="right"/>
        <w:rPr>
          <w:rFonts w:ascii="Segoe UI" w:hAnsi="Segoe UI" w:cs="Segoe UI"/>
          <w:b/>
          <w:bCs/>
          <w:sz w:val="22"/>
          <w:szCs w:val="22"/>
        </w:rPr>
      </w:pPr>
      <w:bookmarkStart w:id="0" w:name="Annexe_A"/>
      <w:r w:rsidRPr="000377FD">
        <w:rPr>
          <w:rFonts w:ascii="Segoe UI" w:hAnsi="Segoe UI" w:cs="Segoe UI"/>
          <w:b/>
          <w:bCs/>
          <w:sz w:val="22"/>
          <w:szCs w:val="22"/>
        </w:rPr>
        <w:lastRenderedPageBreak/>
        <w:t>Annexe A</w:t>
      </w:r>
    </w:p>
    <w:bookmarkEnd w:id="0"/>
    <w:p w14:paraId="0EC81342" w14:textId="77777777" w:rsidR="008228F2" w:rsidRPr="00541B4F" w:rsidRDefault="008228F2" w:rsidP="008228F2">
      <w:pPr>
        <w:pStyle w:val="Heading3"/>
        <w:rPr>
          <w:rFonts w:eastAsiaTheme="minorHAnsi"/>
        </w:rPr>
      </w:pPr>
      <w:r w:rsidRPr="00541B4F">
        <w:rPr>
          <w:rFonts w:eastAsiaTheme="minorHAnsi"/>
        </w:rPr>
        <w:t>Faits saillants pour les administrateurs généraux</w:t>
      </w:r>
    </w:p>
    <w:p w14:paraId="2C9772C4" w14:textId="77777777" w:rsidR="008228F2" w:rsidRPr="00182566" w:rsidRDefault="008228F2" w:rsidP="008228F2">
      <w:pPr>
        <w:keepNext/>
        <w:keepLines/>
        <w:spacing w:before="40" w:after="120" w:line="259" w:lineRule="auto"/>
        <w:jc w:val="center"/>
        <w:outlineLvl w:val="1"/>
        <w:rPr>
          <w:rFonts w:ascii="Segoe UI" w:eastAsiaTheme="majorEastAsia" w:hAnsi="Segoe UI" w:cs="Segoe UI"/>
          <w:b/>
          <w:color w:val="5B315E" w:themeColor="accent2"/>
          <w:sz w:val="32"/>
          <w:szCs w:val="32"/>
        </w:rPr>
      </w:pPr>
      <w:r w:rsidRPr="00182566">
        <w:rPr>
          <w:rFonts w:ascii="Segoe UI" w:eastAsiaTheme="majorEastAsia" w:hAnsi="Segoe UI" w:cs="Segoe UI"/>
          <w:b/>
          <w:color w:val="5B315E" w:themeColor="accent2"/>
          <w:sz w:val="32"/>
          <w:szCs w:val="32"/>
        </w:rPr>
        <w:t>Une nouvelle orientation en dotation - un système fondé sur le mérite</w:t>
      </w:r>
      <w:r w:rsidRPr="00182566">
        <w:rPr>
          <w:rFonts w:asciiTheme="majorHAnsi" w:eastAsiaTheme="majorEastAsia" w:hAnsiTheme="majorHAnsi" w:cstheme="majorBidi"/>
          <w:b/>
          <w:color w:val="54575A" w:themeColor="text1"/>
          <w:sz w:val="48"/>
          <w:szCs w:val="48"/>
        </w:rPr>
        <w:t xml:space="preserve"> </w:t>
      </w:r>
      <w:r w:rsidRPr="00182566">
        <w:rPr>
          <w:rFonts w:ascii="Segoe UI" w:eastAsiaTheme="majorEastAsia" w:hAnsi="Segoe UI" w:cs="Segoe UI"/>
          <w:b/>
          <w:color w:val="5B315E" w:themeColor="accent2"/>
          <w:sz w:val="32"/>
          <w:szCs w:val="32"/>
        </w:rPr>
        <w:t>et axé sur l’efficacité, l’efficience et la justice</w:t>
      </w:r>
    </w:p>
    <w:p w14:paraId="491A8DFD" w14:textId="77777777" w:rsidR="008228F2" w:rsidRPr="00182566" w:rsidRDefault="008228F2" w:rsidP="008228F2">
      <w:pPr>
        <w:pStyle w:val="Heading3"/>
      </w:pPr>
      <w:r w:rsidRPr="00182566">
        <w:t>Politique de nomination</w:t>
      </w:r>
    </w:p>
    <w:p w14:paraId="1AC5F303" w14:textId="0241D08B" w:rsidR="008228F2" w:rsidRPr="00182566" w:rsidRDefault="008228F2" w:rsidP="008228F2">
      <w:pPr>
        <w:keepLines/>
        <w:spacing w:line="259" w:lineRule="auto"/>
        <w:rPr>
          <w:rFonts w:asciiTheme="minorHAnsi" w:eastAsiaTheme="minorHAnsi" w:hAnsiTheme="minorHAnsi" w:cstheme="minorHAnsi"/>
          <w:spacing w:val="-6"/>
          <w:sz w:val="22"/>
          <w:szCs w:val="22"/>
        </w:rPr>
      </w:pPr>
      <w:r w:rsidRPr="00182566">
        <w:rPr>
          <w:rStyle w:val="Strong"/>
          <w:rFonts w:asciiTheme="minorHAnsi" w:eastAsiaTheme="minorHAnsi" w:hAnsiTheme="minorHAnsi" w:cstheme="minorHAnsi"/>
          <w:sz w:val="22"/>
          <w:szCs w:val="22"/>
        </w:rPr>
        <w:t>L’accent est davantage mis sur les exigences de base</w:t>
      </w:r>
      <w:r w:rsidRPr="00182566">
        <w:rPr>
          <w:rFonts w:asciiTheme="minorHAnsi" w:eastAsiaTheme="minorHAnsi" w:hAnsiTheme="minorHAnsi" w:cstheme="minorHAnsi"/>
          <w:spacing w:val="-6"/>
          <w:sz w:val="22"/>
          <w:szCs w:val="22"/>
        </w:rPr>
        <w:t xml:space="preserve"> afin de fournir aux personnes subdéléguées une plus grande latitude à l’égard des nominations</w:t>
      </w:r>
    </w:p>
    <w:p w14:paraId="3708743C" w14:textId="77777777" w:rsidR="008228F2" w:rsidRPr="00182566" w:rsidRDefault="008228F2" w:rsidP="008228F2">
      <w:pPr>
        <w:keepLines/>
        <w:numPr>
          <w:ilvl w:val="0"/>
          <w:numId w:val="32"/>
        </w:numPr>
        <w:spacing w:line="259" w:lineRule="auto"/>
        <w:rPr>
          <w:rFonts w:asciiTheme="minorHAnsi" w:eastAsiaTheme="minorHAnsi" w:hAnsiTheme="minorHAnsi" w:cstheme="minorHAnsi"/>
          <w:spacing w:val="-6"/>
          <w:sz w:val="22"/>
          <w:szCs w:val="22"/>
        </w:rPr>
      </w:pPr>
      <w:r w:rsidRPr="00182566">
        <w:rPr>
          <w:rStyle w:val="Strong"/>
          <w:rFonts w:asciiTheme="minorHAnsi" w:eastAsiaTheme="minorHAnsi" w:hAnsiTheme="minorHAnsi" w:cstheme="minorHAnsi"/>
          <w:sz w:val="22"/>
          <w:szCs w:val="22"/>
        </w:rPr>
        <w:t>Une seule politique de nomination</w:t>
      </w:r>
      <w:r w:rsidRPr="00182566">
        <w:rPr>
          <w:rFonts w:asciiTheme="minorHAnsi" w:eastAsiaTheme="minorHAnsi" w:hAnsiTheme="minorHAnsi" w:cstheme="minorHAnsi"/>
          <w:spacing w:val="-6"/>
          <w:sz w:val="22"/>
          <w:szCs w:val="22"/>
        </w:rPr>
        <w:t xml:space="preserve">, sans chevauchement des obligations juridiques </w:t>
      </w:r>
    </w:p>
    <w:p w14:paraId="5A5FF9D6" w14:textId="77777777" w:rsidR="008228F2" w:rsidRPr="00182566" w:rsidRDefault="008228F2" w:rsidP="008228F2">
      <w:pPr>
        <w:keepLines/>
        <w:numPr>
          <w:ilvl w:val="0"/>
          <w:numId w:val="32"/>
        </w:numPr>
        <w:spacing w:line="259" w:lineRule="auto"/>
        <w:rPr>
          <w:rFonts w:asciiTheme="minorHAnsi" w:eastAsiaTheme="minorHAnsi" w:hAnsiTheme="minorHAnsi" w:cstheme="minorHAnsi"/>
          <w:spacing w:val="-6"/>
          <w:sz w:val="22"/>
          <w:szCs w:val="22"/>
        </w:rPr>
      </w:pPr>
      <w:r w:rsidRPr="00182566">
        <w:rPr>
          <w:rStyle w:val="Strong"/>
          <w:rFonts w:asciiTheme="minorHAnsi" w:eastAsiaTheme="minorHAnsi" w:hAnsiTheme="minorHAnsi" w:cstheme="minorHAnsi"/>
          <w:sz w:val="22"/>
          <w:szCs w:val="22"/>
        </w:rPr>
        <w:t>Accent accru sur un système axé sur les valeurs</w:t>
      </w:r>
      <w:r w:rsidRPr="00182566">
        <w:rPr>
          <w:rFonts w:asciiTheme="minorHAnsi" w:eastAsiaTheme="minorHAnsi" w:hAnsiTheme="minorHAnsi" w:cstheme="minorHAnsi"/>
          <w:sz w:val="22"/>
          <w:szCs w:val="22"/>
        </w:rPr>
        <w:t xml:space="preserve"> plutôt que sur un </w:t>
      </w:r>
      <w:r w:rsidRPr="00182566">
        <w:rPr>
          <w:rFonts w:asciiTheme="minorHAnsi" w:eastAsiaTheme="minorHAnsi" w:hAnsiTheme="minorHAnsi" w:cstheme="minorHAnsi"/>
          <w:spacing w:val="-6"/>
          <w:sz w:val="22"/>
          <w:szCs w:val="22"/>
        </w:rPr>
        <w:t>système axé sur les règles</w:t>
      </w:r>
      <w:r w:rsidRPr="00182566">
        <w:rPr>
          <w:rFonts w:asciiTheme="minorHAnsi" w:eastAsiaTheme="minorHAnsi" w:hAnsiTheme="minorHAnsi" w:cstheme="minorHAnsi"/>
          <w:b/>
          <w:spacing w:val="-6"/>
          <w:sz w:val="22"/>
          <w:szCs w:val="22"/>
        </w:rPr>
        <w:t xml:space="preserve"> </w:t>
      </w:r>
    </w:p>
    <w:p w14:paraId="2F0070FE" w14:textId="77777777" w:rsidR="008228F2" w:rsidRPr="00182566" w:rsidRDefault="008228F2" w:rsidP="008228F2">
      <w:pPr>
        <w:keepLines/>
        <w:numPr>
          <w:ilvl w:val="0"/>
          <w:numId w:val="32"/>
        </w:numPr>
        <w:spacing w:line="259" w:lineRule="auto"/>
        <w:rPr>
          <w:rFonts w:asciiTheme="minorHAnsi" w:eastAsiaTheme="minorHAnsi" w:hAnsiTheme="minorHAnsi" w:cstheme="minorHAnsi"/>
          <w:spacing w:val="-6"/>
          <w:sz w:val="22"/>
          <w:szCs w:val="22"/>
        </w:rPr>
      </w:pPr>
      <w:r w:rsidRPr="00182566">
        <w:rPr>
          <w:rFonts w:asciiTheme="minorHAnsi" w:eastAsiaTheme="minorHAnsi" w:hAnsiTheme="minorHAnsi" w:cstheme="minorHAnsi"/>
          <w:spacing w:val="-6"/>
          <w:sz w:val="22"/>
          <w:szCs w:val="22"/>
        </w:rPr>
        <w:t xml:space="preserve">Politique de nomination appuyée par une </w:t>
      </w:r>
      <w:r w:rsidRPr="00182566">
        <w:rPr>
          <w:rStyle w:val="Strong"/>
          <w:rFonts w:asciiTheme="minorHAnsi" w:eastAsiaTheme="minorHAnsi" w:hAnsiTheme="minorHAnsi" w:cstheme="minorHAnsi"/>
          <w:sz w:val="22"/>
          <w:szCs w:val="22"/>
        </w:rPr>
        <w:t>orientation rationalisée</w:t>
      </w:r>
      <w:r w:rsidRPr="00182566">
        <w:rPr>
          <w:rFonts w:asciiTheme="minorHAnsi" w:eastAsiaTheme="minorHAnsi" w:hAnsiTheme="minorHAnsi" w:cstheme="minorHAnsi"/>
          <w:b/>
          <w:spacing w:val="-6"/>
          <w:sz w:val="22"/>
          <w:szCs w:val="22"/>
        </w:rPr>
        <w:t xml:space="preserve"> </w:t>
      </w:r>
      <w:r w:rsidRPr="00182566">
        <w:rPr>
          <w:rFonts w:asciiTheme="minorHAnsi" w:eastAsiaTheme="minorHAnsi" w:hAnsiTheme="minorHAnsi" w:cstheme="minorHAnsi"/>
          <w:spacing w:val="-6"/>
          <w:sz w:val="22"/>
          <w:szCs w:val="22"/>
        </w:rPr>
        <w:t>:</w:t>
      </w:r>
    </w:p>
    <w:p w14:paraId="3EFB897B" w14:textId="77777777" w:rsidR="008228F2" w:rsidRPr="00182566" w:rsidRDefault="008228F2" w:rsidP="000377FD">
      <w:pPr>
        <w:keepLines/>
        <w:numPr>
          <w:ilvl w:val="1"/>
          <w:numId w:val="37"/>
        </w:numPr>
        <w:spacing w:line="259" w:lineRule="auto"/>
        <w:rPr>
          <w:rFonts w:asciiTheme="minorHAnsi" w:eastAsiaTheme="minorHAnsi" w:hAnsiTheme="minorHAnsi" w:cstheme="minorHAnsi"/>
          <w:spacing w:val="-6"/>
          <w:sz w:val="22"/>
          <w:szCs w:val="22"/>
        </w:rPr>
      </w:pPr>
      <w:r w:rsidRPr="00182566">
        <w:rPr>
          <w:rFonts w:asciiTheme="minorHAnsi" w:eastAsiaTheme="minorHAnsi" w:hAnsiTheme="minorHAnsi" w:cstheme="minorHAnsi"/>
          <w:spacing w:val="-6"/>
          <w:sz w:val="22"/>
          <w:szCs w:val="22"/>
        </w:rPr>
        <w:t>Feuille de route précisant les exigences relatives aux lois, règlements et politiques</w:t>
      </w:r>
    </w:p>
    <w:p w14:paraId="52D5F8EB" w14:textId="3E9F488E" w:rsidR="008228F2" w:rsidRPr="00182566" w:rsidRDefault="008228F2" w:rsidP="000377FD">
      <w:pPr>
        <w:keepLines/>
        <w:numPr>
          <w:ilvl w:val="1"/>
          <w:numId w:val="37"/>
        </w:numPr>
        <w:spacing w:line="259" w:lineRule="auto"/>
        <w:rPr>
          <w:rFonts w:asciiTheme="minorHAnsi" w:eastAsiaTheme="minorHAnsi" w:hAnsiTheme="minorHAnsi" w:cstheme="minorHAnsi"/>
          <w:spacing w:val="-6"/>
          <w:sz w:val="22"/>
          <w:szCs w:val="22"/>
        </w:rPr>
      </w:pPr>
      <w:r w:rsidRPr="00182566">
        <w:rPr>
          <w:rFonts w:asciiTheme="minorHAnsi" w:eastAsiaTheme="minorHAnsi" w:hAnsiTheme="minorHAnsi" w:cstheme="minorHAnsi"/>
          <w:spacing w:val="-6"/>
          <w:sz w:val="22"/>
          <w:szCs w:val="22"/>
        </w:rPr>
        <w:t>Options et considérations relatives à la prise de décisions dans les cas où il existe une certaine latitude</w:t>
      </w:r>
    </w:p>
    <w:p w14:paraId="75BB22EA" w14:textId="77777777" w:rsidR="008228F2" w:rsidRPr="00182566" w:rsidRDefault="008228F2" w:rsidP="008228F2">
      <w:pPr>
        <w:keepLines/>
        <w:numPr>
          <w:ilvl w:val="0"/>
          <w:numId w:val="33"/>
        </w:numPr>
        <w:spacing w:line="259" w:lineRule="auto"/>
        <w:rPr>
          <w:rFonts w:asciiTheme="minorHAnsi" w:eastAsiaTheme="minorHAnsi" w:hAnsiTheme="minorHAnsi" w:cstheme="minorHAnsi"/>
          <w:spacing w:val="-6"/>
          <w:sz w:val="22"/>
          <w:szCs w:val="22"/>
        </w:rPr>
      </w:pPr>
      <w:r w:rsidRPr="00182566">
        <w:rPr>
          <w:rStyle w:val="Strong"/>
          <w:rFonts w:asciiTheme="minorHAnsi" w:eastAsiaTheme="minorHAnsi" w:hAnsiTheme="minorHAnsi" w:cstheme="minorHAnsi"/>
          <w:sz w:val="22"/>
          <w:szCs w:val="22"/>
        </w:rPr>
        <w:t>Attentes clairement définies</w:t>
      </w:r>
      <w:r w:rsidRPr="00182566">
        <w:rPr>
          <w:rFonts w:asciiTheme="minorHAnsi" w:eastAsiaTheme="minorHAnsi" w:hAnsiTheme="minorHAnsi" w:cstheme="minorHAnsi"/>
          <w:spacing w:val="-6"/>
          <w:sz w:val="22"/>
          <w:szCs w:val="22"/>
        </w:rPr>
        <w:t xml:space="preserve"> quant aux droits de priorité</w:t>
      </w:r>
    </w:p>
    <w:p w14:paraId="27375927" w14:textId="5DF48796" w:rsidR="008228F2" w:rsidRPr="00182566" w:rsidRDefault="008228F2" w:rsidP="008228F2">
      <w:pPr>
        <w:keepLines/>
        <w:numPr>
          <w:ilvl w:val="0"/>
          <w:numId w:val="33"/>
        </w:numPr>
        <w:spacing w:line="259" w:lineRule="auto"/>
        <w:rPr>
          <w:rFonts w:asciiTheme="minorHAnsi" w:eastAsiaTheme="minorHAnsi" w:hAnsiTheme="minorHAnsi" w:cstheme="minorHAnsi"/>
          <w:spacing w:val="-6"/>
          <w:sz w:val="22"/>
          <w:szCs w:val="22"/>
        </w:rPr>
      </w:pPr>
      <w:r w:rsidRPr="00182566">
        <w:rPr>
          <w:rFonts w:asciiTheme="minorHAnsi" w:eastAsiaTheme="minorHAnsi" w:hAnsiTheme="minorHAnsi" w:cstheme="minorHAnsi"/>
          <w:spacing w:val="-6"/>
          <w:sz w:val="22"/>
          <w:szCs w:val="22"/>
        </w:rPr>
        <w:t>Aucune restriction quant aux méthodes d’évaluation pour la nomination des cadres de direction (EX)</w:t>
      </w:r>
    </w:p>
    <w:p w14:paraId="1164079C" w14:textId="77777777" w:rsidR="008228F2" w:rsidRPr="00182566" w:rsidRDefault="008228F2" w:rsidP="008228F2">
      <w:pPr>
        <w:keepLines/>
        <w:numPr>
          <w:ilvl w:val="0"/>
          <w:numId w:val="33"/>
        </w:numPr>
        <w:spacing w:after="240" w:line="259" w:lineRule="auto"/>
        <w:rPr>
          <w:rFonts w:asciiTheme="minorHAnsi" w:eastAsiaTheme="minorHAnsi" w:hAnsiTheme="minorHAnsi" w:cstheme="minorHAnsi"/>
          <w:spacing w:val="-6"/>
          <w:sz w:val="22"/>
          <w:szCs w:val="22"/>
        </w:rPr>
      </w:pPr>
      <w:r w:rsidRPr="00182566">
        <w:rPr>
          <w:rFonts w:asciiTheme="minorHAnsi" w:eastAsiaTheme="minorHAnsi" w:hAnsiTheme="minorHAnsi" w:cstheme="minorHAnsi"/>
          <w:spacing w:val="-6"/>
          <w:sz w:val="22"/>
          <w:szCs w:val="22"/>
        </w:rPr>
        <w:t>Exceptions à la zone nationale de sélection approuvées</w:t>
      </w:r>
    </w:p>
    <w:p w14:paraId="4584A85D" w14:textId="77777777" w:rsidR="008228F2" w:rsidRPr="00D41B49" w:rsidRDefault="008228F2" w:rsidP="008228F2">
      <w:pPr>
        <w:pStyle w:val="Heading3"/>
      </w:pPr>
      <w:r w:rsidRPr="00D41B49">
        <w:t>Délégation</w:t>
      </w:r>
    </w:p>
    <w:p w14:paraId="0D3BD693" w14:textId="09027716" w:rsidR="008228F2" w:rsidRPr="00182566" w:rsidRDefault="008228F2" w:rsidP="008228F2">
      <w:pPr>
        <w:pStyle w:val="ListParagraph"/>
        <w:keepLines/>
        <w:numPr>
          <w:ilvl w:val="0"/>
          <w:numId w:val="34"/>
        </w:numPr>
        <w:spacing w:after="0" w:line="259" w:lineRule="auto"/>
        <w:rPr>
          <w:rFonts w:asciiTheme="minorHAnsi" w:eastAsiaTheme="minorHAnsi" w:hAnsiTheme="minorHAnsi" w:cstheme="minorHAnsi"/>
          <w:spacing w:val="-8"/>
          <w:sz w:val="22"/>
          <w:szCs w:val="22"/>
        </w:rPr>
      </w:pPr>
      <w:r w:rsidRPr="00182566">
        <w:rPr>
          <w:rStyle w:val="Strong"/>
          <w:rFonts w:asciiTheme="minorHAnsi" w:eastAsiaTheme="minorHAnsi" w:hAnsiTheme="minorHAnsi" w:cstheme="minorHAnsi"/>
          <w:sz w:val="22"/>
          <w:szCs w:val="22"/>
        </w:rPr>
        <w:t>L’accent est davantage mis sur la capacité d’adapter le système de dotation de l’organisation</w:t>
      </w:r>
      <w:r w:rsidRPr="00182566">
        <w:rPr>
          <w:rFonts w:asciiTheme="minorHAnsi" w:eastAsiaTheme="minorHAnsi" w:hAnsiTheme="minorHAnsi" w:cstheme="minorHAnsi"/>
          <w:b/>
          <w:bCs/>
          <w:spacing w:val="-8"/>
          <w:sz w:val="22"/>
          <w:szCs w:val="22"/>
        </w:rPr>
        <w:t xml:space="preserve"> </w:t>
      </w:r>
      <w:r w:rsidRPr="00182566">
        <w:rPr>
          <w:rFonts w:asciiTheme="minorHAnsi" w:eastAsiaTheme="minorHAnsi" w:hAnsiTheme="minorHAnsi" w:cstheme="minorHAnsi"/>
          <w:spacing w:val="-8"/>
          <w:sz w:val="22"/>
          <w:szCs w:val="22"/>
        </w:rPr>
        <w:t xml:space="preserve">en fonction du contexte particulier et des besoins opérationnels en évolution </w:t>
      </w:r>
    </w:p>
    <w:p w14:paraId="4BA37043" w14:textId="77777777" w:rsidR="008228F2" w:rsidRPr="00182566" w:rsidRDefault="008228F2" w:rsidP="008228F2">
      <w:pPr>
        <w:keepLines/>
        <w:numPr>
          <w:ilvl w:val="0"/>
          <w:numId w:val="34"/>
        </w:numPr>
        <w:spacing w:line="259" w:lineRule="auto"/>
        <w:rPr>
          <w:rStyle w:val="Strong"/>
          <w:rFonts w:asciiTheme="minorHAnsi" w:eastAsiaTheme="minorHAnsi" w:hAnsiTheme="minorHAnsi" w:cstheme="minorHAnsi"/>
          <w:sz w:val="22"/>
          <w:szCs w:val="22"/>
        </w:rPr>
      </w:pPr>
      <w:r w:rsidRPr="00182566">
        <w:rPr>
          <w:rFonts w:asciiTheme="minorHAnsi" w:eastAsiaTheme="minorHAnsi" w:hAnsiTheme="minorHAnsi" w:cstheme="minorHAnsi"/>
          <w:spacing w:val="-8"/>
          <w:sz w:val="22"/>
          <w:szCs w:val="22"/>
        </w:rPr>
        <w:t xml:space="preserve">L’administrateur général établit une orientation quant à </w:t>
      </w:r>
      <w:r w:rsidRPr="00182566">
        <w:rPr>
          <w:rStyle w:val="Strong"/>
          <w:rFonts w:asciiTheme="minorHAnsi" w:eastAsiaTheme="minorHAnsi" w:hAnsiTheme="minorHAnsi" w:cstheme="minorHAnsi"/>
          <w:sz w:val="22"/>
          <w:szCs w:val="22"/>
        </w:rPr>
        <w:t xml:space="preserve">l’utilisation des processus de nomination annoncés et non annoncés </w:t>
      </w:r>
    </w:p>
    <w:p w14:paraId="58169048" w14:textId="77777777" w:rsidR="008228F2" w:rsidRPr="00182566" w:rsidRDefault="008228F2" w:rsidP="008228F2">
      <w:pPr>
        <w:keepLines/>
        <w:numPr>
          <w:ilvl w:val="0"/>
          <w:numId w:val="34"/>
        </w:numPr>
        <w:spacing w:line="259" w:lineRule="auto"/>
        <w:rPr>
          <w:rStyle w:val="Strong"/>
          <w:rFonts w:asciiTheme="minorHAnsi" w:eastAsiaTheme="minorHAnsi" w:hAnsiTheme="minorHAnsi" w:cstheme="minorHAnsi"/>
          <w:sz w:val="22"/>
          <w:szCs w:val="22"/>
        </w:rPr>
      </w:pPr>
      <w:r w:rsidRPr="00182566">
        <w:rPr>
          <w:rFonts w:asciiTheme="minorHAnsi" w:eastAsiaTheme="minorHAnsi" w:hAnsiTheme="minorHAnsi" w:cstheme="minorHAnsi"/>
          <w:spacing w:val="-8"/>
          <w:sz w:val="22"/>
          <w:szCs w:val="22"/>
        </w:rPr>
        <w:t xml:space="preserve">L’administrateur général établit les exigences pour les personnes subdéléguées </w:t>
      </w:r>
      <w:r w:rsidRPr="00182566">
        <w:rPr>
          <w:rStyle w:val="Strong"/>
          <w:rFonts w:asciiTheme="minorHAnsi" w:eastAsiaTheme="minorHAnsi" w:hAnsiTheme="minorHAnsi" w:cstheme="minorHAnsi"/>
          <w:sz w:val="22"/>
          <w:szCs w:val="22"/>
        </w:rPr>
        <w:t>de formuler, par écrit, la décision de sélection</w:t>
      </w:r>
    </w:p>
    <w:p w14:paraId="74AA011B" w14:textId="77777777" w:rsidR="008228F2" w:rsidRPr="00182566" w:rsidRDefault="008228F2" w:rsidP="008228F2">
      <w:pPr>
        <w:keepLines/>
        <w:numPr>
          <w:ilvl w:val="0"/>
          <w:numId w:val="34"/>
        </w:numPr>
        <w:spacing w:line="259" w:lineRule="auto"/>
        <w:rPr>
          <w:rFonts w:asciiTheme="minorHAnsi" w:eastAsiaTheme="minorHAnsi" w:hAnsiTheme="minorHAnsi" w:cstheme="minorHAnsi"/>
          <w:spacing w:val="-8"/>
          <w:sz w:val="22"/>
          <w:szCs w:val="22"/>
        </w:rPr>
      </w:pPr>
      <w:r w:rsidRPr="00182566">
        <w:rPr>
          <w:rFonts w:asciiTheme="minorHAnsi" w:eastAsiaTheme="minorHAnsi" w:hAnsiTheme="minorHAnsi" w:cstheme="minorHAnsi"/>
          <w:spacing w:val="-8"/>
          <w:sz w:val="22"/>
          <w:szCs w:val="22"/>
        </w:rPr>
        <w:t>Exigences plus claires concernant les enquêtes</w:t>
      </w:r>
    </w:p>
    <w:p w14:paraId="38F958AD" w14:textId="77777777" w:rsidR="008228F2" w:rsidRPr="00182566" w:rsidRDefault="008228F2" w:rsidP="008228F2">
      <w:pPr>
        <w:keepLines/>
        <w:numPr>
          <w:ilvl w:val="0"/>
          <w:numId w:val="34"/>
        </w:numPr>
        <w:spacing w:line="259" w:lineRule="auto"/>
        <w:rPr>
          <w:rFonts w:asciiTheme="minorHAnsi" w:eastAsiaTheme="minorHAnsi" w:hAnsiTheme="minorHAnsi" w:cstheme="minorHAnsi"/>
          <w:spacing w:val="-8"/>
          <w:sz w:val="22"/>
          <w:szCs w:val="22"/>
        </w:rPr>
      </w:pPr>
      <w:r w:rsidRPr="00182566">
        <w:rPr>
          <w:rStyle w:val="Strong"/>
          <w:rFonts w:asciiTheme="minorHAnsi" w:eastAsiaTheme="minorHAnsi" w:hAnsiTheme="minorHAnsi" w:cstheme="minorHAnsi"/>
          <w:sz w:val="22"/>
          <w:szCs w:val="22"/>
        </w:rPr>
        <w:t>Formulaire d’attestation</w:t>
      </w:r>
      <w:r w:rsidRPr="00182566">
        <w:rPr>
          <w:rFonts w:asciiTheme="minorHAnsi" w:eastAsiaTheme="minorHAnsi" w:hAnsiTheme="minorHAnsi" w:cstheme="minorHAnsi"/>
          <w:spacing w:val="-8"/>
          <w:sz w:val="22"/>
          <w:szCs w:val="22"/>
        </w:rPr>
        <w:t xml:space="preserve"> réitérant les responsabilités des personnes subdéléguées</w:t>
      </w:r>
    </w:p>
    <w:p w14:paraId="50CBC607" w14:textId="77777777" w:rsidR="008228F2" w:rsidRPr="00182566" w:rsidRDefault="008228F2" w:rsidP="008228F2">
      <w:pPr>
        <w:keepLines/>
        <w:spacing w:after="160" w:line="259" w:lineRule="auto"/>
        <w:ind w:right="-202"/>
        <w:rPr>
          <w:rFonts w:asciiTheme="minorHAnsi" w:eastAsiaTheme="minorHAnsi" w:hAnsiTheme="minorHAnsi" w:cstheme="minorHAnsi"/>
          <w:spacing w:val="-8"/>
          <w:sz w:val="22"/>
          <w:szCs w:val="22"/>
        </w:rPr>
      </w:pPr>
      <w:r w:rsidRPr="00182566">
        <w:rPr>
          <w:rFonts w:asciiTheme="minorHAnsi" w:eastAsiaTheme="minorHAnsi" w:hAnsiTheme="minorHAnsi" w:cstheme="minorHAnsi"/>
          <w:spacing w:val="-8"/>
          <w:sz w:val="22"/>
          <w:szCs w:val="22"/>
        </w:rPr>
        <w:t>Toutes les exigences de la CFP en matière de surveillance et de présentation de rapports figurent maintenant dans l’Instrument de délégation et de responsabilisation en matière de nomination</w:t>
      </w:r>
    </w:p>
    <w:p w14:paraId="3478EAF0" w14:textId="77777777" w:rsidR="008228F2" w:rsidRPr="00182566" w:rsidRDefault="008228F2" w:rsidP="00AA57D4">
      <w:r w:rsidRPr="00182566">
        <w:br w:type="page"/>
      </w:r>
    </w:p>
    <w:p w14:paraId="1DD9BE59" w14:textId="77777777" w:rsidR="008228F2" w:rsidRPr="00182566" w:rsidRDefault="008228F2" w:rsidP="008228F2">
      <w:pPr>
        <w:pStyle w:val="Heading3"/>
      </w:pPr>
      <w:r w:rsidRPr="00182566">
        <w:lastRenderedPageBreak/>
        <w:t>Surveillance et rapports</w:t>
      </w:r>
    </w:p>
    <w:p w14:paraId="456828E9" w14:textId="77777777" w:rsidR="008228F2" w:rsidRPr="00182566" w:rsidRDefault="008228F2" w:rsidP="008228F2">
      <w:pPr>
        <w:spacing w:after="120"/>
        <w:rPr>
          <w:rFonts w:asciiTheme="minorHAnsi" w:eastAsiaTheme="minorHAnsi" w:hAnsiTheme="minorHAnsi" w:cstheme="minorHAnsi"/>
          <w:sz w:val="22"/>
          <w:szCs w:val="22"/>
          <w:highlight w:val="yellow"/>
        </w:rPr>
      </w:pPr>
      <w:r w:rsidRPr="00182566">
        <w:rPr>
          <w:rStyle w:val="Strong"/>
          <w:rFonts w:asciiTheme="minorHAnsi" w:eastAsiaTheme="minorHAnsi" w:hAnsiTheme="minorHAnsi" w:cstheme="minorHAnsi"/>
          <w:sz w:val="22"/>
          <w:szCs w:val="22"/>
        </w:rPr>
        <w:t>La surveillance est établie par les organisations</w:t>
      </w:r>
      <w:r w:rsidRPr="00182566">
        <w:rPr>
          <w:rFonts w:asciiTheme="minorHAnsi" w:eastAsiaTheme="minorHAnsi" w:hAnsiTheme="minorHAnsi" w:cstheme="minorHAnsi"/>
          <w:sz w:val="22"/>
          <w:szCs w:val="22"/>
        </w:rPr>
        <w:t>, ciblée à leurs besoins</w:t>
      </w:r>
    </w:p>
    <w:p w14:paraId="47F63E8C" w14:textId="77777777" w:rsidR="008228F2" w:rsidRPr="00182566" w:rsidRDefault="008228F2" w:rsidP="008228F2">
      <w:pPr>
        <w:pStyle w:val="ListParagraph"/>
        <w:numPr>
          <w:ilvl w:val="0"/>
          <w:numId w:val="35"/>
        </w:numPr>
        <w:spacing w:after="0"/>
        <w:contextualSpacing w:val="0"/>
        <w:rPr>
          <w:rFonts w:asciiTheme="minorHAnsi" w:eastAsiaTheme="minorHAnsi" w:hAnsiTheme="minorHAnsi" w:cstheme="minorHAnsi"/>
          <w:sz w:val="22"/>
          <w:szCs w:val="22"/>
        </w:rPr>
      </w:pPr>
      <w:r w:rsidRPr="00182566">
        <w:rPr>
          <w:rFonts w:asciiTheme="minorHAnsi" w:eastAsiaTheme="minorHAnsi" w:hAnsiTheme="minorHAnsi" w:cstheme="minorHAnsi"/>
          <w:sz w:val="22"/>
          <w:szCs w:val="22"/>
        </w:rPr>
        <w:t>Le Rapport ministériel sur l’obligation de rendre compte en dotation n’est plus requis</w:t>
      </w:r>
    </w:p>
    <w:p w14:paraId="4CCA5AC6" w14:textId="77777777" w:rsidR="008228F2" w:rsidRPr="00182566" w:rsidRDefault="008228F2" w:rsidP="008228F2">
      <w:pPr>
        <w:pStyle w:val="ListParagraph"/>
        <w:numPr>
          <w:ilvl w:val="0"/>
          <w:numId w:val="35"/>
        </w:numPr>
        <w:spacing w:after="0"/>
        <w:contextualSpacing w:val="0"/>
        <w:rPr>
          <w:rFonts w:asciiTheme="minorHAnsi" w:eastAsiaTheme="minorHAnsi" w:hAnsiTheme="minorHAnsi" w:cstheme="minorHAnsi"/>
          <w:sz w:val="22"/>
          <w:szCs w:val="22"/>
        </w:rPr>
      </w:pPr>
      <w:r w:rsidRPr="00182566">
        <w:rPr>
          <w:rStyle w:val="Strong"/>
          <w:rFonts w:asciiTheme="minorHAnsi" w:eastAsiaTheme="minorHAnsi" w:hAnsiTheme="minorHAnsi" w:cstheme="minorHAnsi"/>
          <w:sz w:val="22"/>
          <w:szCs w:val="22"/>
        </w:rPr>
        <w:t>Le rapport annuel à la CFP portera seulement</w:t>
      </w:r>
      <w:r w:rsidRPr="00182566">
        <w:rPr>
          <w:rFonts w:asciiTheme="minorHAnsi" w:eastAsiaTheme="minorHAnsi" w:hAnsiTheme="minorHAnsi" w:cstheme="minorHAnsi"/>
          <w:sz w:val="22"/>
          <w:szCs w:val="22"/>
        </w:rPr>
        <w:t xml:space="preserve"> sur :</w:t>
      </w:r>
    </w:p>
    <w:p w14:paraId="0A093693" w14:textId="77777777" w:rsidR="008228F2" w:rsidRPr="000377FD" w:rsidRDefault="008228F2" w:rsidP="000377FD">
      <w:pPr>
        <w:pStyle w:val="ListParagraph"/>
        <w:numPr>
          <w:ilvl w:val="0"/>
          <w:numId w:val="38"/>
        </w:numPr>
        <w:rPr>
          <w:rFonts w:asciiTheme="minorHAnsi" w:eastAsiaTheme="minorHAnsi" w:hAnsiTheme="minorHAnsi" w:cstheme="minorHAnsi"/>
          <w:sz w:val="22"/>
          <w:szCs w:val="22"/>
        </w:rPr>
      </w:pPr>
      <w:proofErr w:type="gramStart"/>
      <w:r w:rsidRPr="000377FD">
        <w:rPr>
          <w:rFonts w:asciiTheme="minorHAnsi" w:eastAsiaTheme="minorHAnsi" w:hAnsiTheme="minorHAnsi" w:cstheme="minorHAnsi"/>
          <w:sz w:val="22"/>
          <w:szCs w:val="22"/>
        </w:rPr>
        <w:t>l’utilisation</w:t>
      </w:r>
      <w:proofErr w:type="gramEnd"/>
      <w:r w:rsidRPr="000377FD">
        <w:rPr>
          <w:rFonts w:asciiTheme="minorHAnsi" w:eastAsiaTheme="minorHAnsi" w:hAnsiTheme="minorHAnsi" w:cstheme="minorHAnsi"/>
          <w:sz w:val="22"/>
          <w:szCs w:val="22"/>
        </w:rPr>
        <w:t xml:space="preserve"> du Décret d’exemption concernant les langues officielles dans la fonction publique</w:t>
      </w:r>
    </w:p>
    <w:p w14:paraId="1E7F544F" w14:textId="77777777" w:rsidR="008228F2" w:rsidRPr="000377FD" w:rsidRDefault="008228F2" w:rsidP="000377FD">
      <w:pPr>
        <w:pStyle w:val="ListParagraph"/>
        <w:numPr>
          <w:ilvl w:val="0"/>
          <w:numId w:val="38"/>
        </w:numPr>
        <w:rPr>
          <w:rFonts w:asciiTheme="minorHAnsi" w:eastAsiaTheme="minorHAnsi" w:hAnsiTheme="minorHAnsi" w:cstheme="minorHAnsi"/>
          <w:sz w:val="22"/>
          <w:szCs w:val="22"/>
        </w:rPr>
      </w:pPr>
      <w:proofErr w:type="gramStart"/>
      <w:r w:rsidRPr="000377FD">
        <w:rPr>
          <w:rFonts w:asciiTheme="minorHAnsi" w:eastAsiaTheme="minorHAnsi" w:hAnsiTheme="minorHAnsi" w:cstheme="minorHAnsi"/>
          <w:sz w:val="22"/>
          <w:szCs w:val="22"/>
        </w:rPr>
        <w:t>les</w:t>
      </w:r>
      <w:proofErr w:type="gramEnd"/>
      <w:r w:rsidRPr="000377FD">
        <w:rPr>
          <w:rFonts w:asciiTheme="minorHAnsi" w:eastAsiaTheme="minorHAnsi" w:hAnsiTheme="minorHAnsi" w:cstheme="minorHAnsi"/>
          <w:sz w:val="22"/>
          <w:szCs w:val="22"/>
        </w:rPr>
        <w:t xml:space="preserve"> exceptions à la zone nationale de sélection approuvée par l’administrateur général</w:t>
      </w:r>
    </w:p>
    <w:p w14:paraId="15D2294D" w14:textId="77777777" w:rsidR="008228F2" w:rsidRPr="000377FD" w:rsidRDefault="008228F2" w:rsidP="000377FD">
      <w:pPr>
        <w:pStyle w:val="ListParagraph"/>
        <w:numPr>
          <w:ilvl w:val="0"/>
          <w:numId w:val="38"/>
        </w:numPr>
        <w:rPr>
          <w:rFonts w:asciiTheme="minorHAnsi" w:eastAsiaTheme="minorHAnsi" w:hAnsiTheme="minorHAnsi" w:cstheme="minorHAnsi"/>
          <w:sz w:val="22"/>
          <w:szCs w:val="22"/>
        </w:rPr>
      </w:pPr>
      <w:proofErr w:type="gramStart"/>
      <w:r w:rsidRPr="000377FD">
        <w:rPr>
          <w:rFonts w:asciiTheme="minorHAnsi" w:eastAsiaTheme="minorHAnsi" w:hAnsiTheme="minorHAnsi" w:cstheme="minorHAnsi"/>
          <w:sz w:val="22"/>
          <w:szCs w:val="22"/>
        </w:rPr>
        <w:t>les</w:t>
      </w:r>
      <w:proofErr w:type="gramEnd"/>
      <w:r w:rsidRPr="000377FD">
        <w:rPr>
          <w:rFonts w:asciiTheme="minorHAnsi" w:eastAsiaTheme="minorHAnsi" w:hAnsiTheme="minorHAnsi" w:cstheme="minorHAnsi"/>
          <w:sz w:val="22"/>
          <w:szCs w:val="22"/>
        </w:rPr>
        <w:t xml:space="preserve"> résultats de toutes enquêtes internes </w:t>
      </w:r>
    </w:p>
    <w:p w14:paraId="3A873734" w14:textId="77777777" w:rsidR="008228F2" w:rsidRPr="000377FD" w:rsidRDefault="008228F2" w:rsidP="000377FD">
      <w:pPr>
        <w:pStyle w:val="ListParagraph"/>
        <w:numPr>
          <w:ilvl w:val="0"/>
          <w:numId w:val="38"/>
        </w:numPr>
        <w:rPr>
          <w:rFonts w:asciiTheme="minorHAnsi" w:eastAsiaTheme="minorHAnsi" w:hAnsiTheme="minorHAnsi" w:cstheme="minorHAnsi"/>
          <w:sz w:val="22"/>
          <w:szCs w:val="22"/>
        </w:rPr>
      </w:pPr>
      <w:proofErr w:type="gramStart"/>
      <w:r w:rsidRPr="000377FD">
        <w:rPr>
          <w:rFonts w:asciiTheme="minorHAnsi" w:eastAsiaTheme="minorHAnsi" w:hAnsiTheme="minorHAnsi" w:cstheme="minorHAnsi"/>
          <w:sz w:val="22"/>
          <w:szCs w:val="22"/>
        </w:rPr>
        <w:t>les</w:t>
      </w:r>
      <w:proofErr w:type="gramEnd"/>
      <w:r w:rsidRPr="000377FD">
        <w:rPr>
          <w:rFonts w:asciiTheme="minorHAnsi" w:eastAsiaTheme="minorHAnsi" w:hAnsiTheme="minorHAnsi" w:cstheme="minorHAnsi"/>
          <w:sz w:val="22"/>
          <w:szCs w:val="22"/>
        </w:rPr>
        <w:t xml:space="preserve"> mesures prises à la suite de toutes enquêtes ou vérifications menées par la CFP</w:t>
      </w:r>
    </w:p>
    <w:p w14:paraId="705DA3A0" w14:textId="77777777" w:rsidR="008228F2" w:rsidRPr="00182566" w:rsidRDefault="008228F2" w:rsidP="008228F2">
      <w:pPr>
        <w:pStyle w:val="ListParagraph"/>
        <w:numPr>
          <w:ilvl w:val="0"/>
          <w:numId w:val="30"/>
        </w:numPr>
        <w:spacing w:after="0"/>
        <w:contextualSpacing w:val="0"/>
        <w:rPr>
          <w:rFonts w:asciiTheme="minorHAnsi" w:eastAsiaTheme="minorHAnsi" w:hAnsiTheme="minorHAnsi" w:cstheme="minorHAnsi"/>
          <w:sz w:val="22"/>
          <w:szCs w:val="22"/>
        </w:rPr>
      </w:pPr>
      <w:r w:rsidRPr="00182566">
        <w:rPr>
          <w:rFonts w:asciiTheme="minorHAnsi" w:eastAsiaTheme="minorHAnsi" w:hAnsiTheme="minorHAnsi" w:cstheme="minorHAnsi"/>
          <w:sz w:val="22"/>
          <w:szCs w:val="22"/>
        </w:rPr>
        <w:t xml:space="preserve">L’administrateur général est responsable </w:t>
      </w:r>
      <w:r w:rsidRPr="00182566">
        <w:rPr>
          <w:rStyle w:val="Strong"/>
          <w:rFonts w:asciiTheme="minorHAnsi" w:eastAsiaTheme="minorHAnsi" w:hAnsiTheme="minorHAnsi" w:cstheme="minorHAnsi"/>
          <w:sz w:val="22"/>
          <w:szCs w:val="22"/>
        </w:rPr>
        <w:t>de la surveillance continue du système de dotation</w:t>
      </w:r>
      <w:r w:rsidRPr="00182566">
        <w:rPr>
          <w:rFonts w:asciiTheme="minorHAnsi" w:eastAsiaTheme="minorHAnsi" w:hAnsiTheme="minorHAnsi" w:cstheme="minorHAnsi"/>
          <w:sz w:val="22"/>
          <w:szCs w:val="22"/>
        </w:rPr>
        <w:t xml:space="preserve"> de l’organisation en fonction de son contexte particulier</w:t>
      </w:r>
    </w:p>
    <w:p w14:paraId="535B13E1" w14:textId="77777777" w:rsidR="008228F2" w:rsidRPr="00182566" w:rsidRDefault="008228F2" w:rsidP="008228F2">
      <w:pPr>
        <w:pStyle w:val="ListParagraph"/>
        <w:numPr>
          <w:ilvl w:val="0"/>
          <w:numId w:val="31"/>
        </w:numPr>
        <w:contextualSpacing w:val="0"/>
        <w:rPr>
          <w:rFonts w:asciiTheme="minorHAnsi" w:eastAsiaTheme="minorHAnsi" w:hAnsiTheme="minorHAnsi" w:cstheme="minorHAnsi"/>
          <w:sz w:val="22"/>
          <w:szCs w:val="22"/>
        </w:rPr>
      </w:pPr>
      <w:proofErr w:type="gramStart"/>
      <w:r w:rsidRPr="00182566">
        <w:rPr>
          <w:rStyle w:val="Strong"/>
          <w:rFonts w:asciiTheme="minorHAnsi" w:eastAsiaTheme="minorHAnsi" w:hAnsiTheme="minorHAnsi" w:cstheme="minorHAnsi"/>
          <w:sz w:val="22"/>
          <w:szCs w:val="22"/>
        </w:rPr>
        <w:t>examen</w:t>
      </w:r>
      <w:proofErr w:type="gramEnd"/>
      <w:r w:rsidRPr="00182566">
        <w:rPr>
          <w:rStyle w:val="Strong"/>
          <w:rFonts w:asciiTheme="minorHAnsi" w:eastAsiaTheme="minorHAnsi" w:hAnsiTheme="minorHAnsi" w:cstheme="minorHAnsi"/>
          <w:sz w:val="22"/>
          <w:szCs w:val="22"/>
        </w:rPr>
        <w:t xml:space="preserve"> de la conformité aux exigences</w:t>
      </w:r>
      <w:r w:rsidRPr="00182566">
        <w:rPr>
          <w:rFonts w:asciiTheme="minorHAnsi" w:eastAsiaTheme="minorHAnsi" w:hAnsiTheme="minorHAnsi" w:cstheme="minorHAnsi"/>
          <w:sz w:val="22"/>
          <w:szCs w:val="22"/>
        </w:rPr>
        <w:t>, fondé sur les risques spécifiques de l’organisation, au moins une fois tous les cinq ans</w:t>
      </w:r>
    </w:p>
    <w:p w14:paraId="68168829" w14:textId="77777777" w:rsidR="008228F2" w:rsidRPr="00182566" w:rsidRDefault="008228F2" w:rsidP="008228F2">
      <w:pPr>
        <w:pStyle w:val="Heading3"/>
      </w:pPr>
      <w:r w:rsidRPr="00182566">
        <w:t>Surveillance de la CFP</w:t>
      </w:r>
    </w:p>
    <w:p w14:paraId="43727C8A" w14:textId="77777777" w:rsidR="008228F2" w:rsidRPr="00182566" w:rsidRDefault="008228F2" w:rsidP="000377FD">
      <w:pPr>
        <w:spacing w:after="120"/>
        <w:ind w:left="363"/>
        <w:rPr>
          <w:rFonts w:asciiTheme="minorHAnsi" w:hAnsiTheme="minorHAnsi" w:cstheme="minorHAnsi"/>
          <w:sz w:val="22"/>
          <w:szCs w:val="22"/>
        </w:rPr>
      </w:pPr>
      <w:r w:rsidRPr="00182566">
        <w:rPr>
          <w:rFonts w:asciiTheme="minorHAnsi" w:hAnsiTheme="minorHAnsi" w:cstheme="minorHAnsi"/>
          <w:sz w:val="22"/>
          <w:szCs w:val="22"/>
        </w:rPr>
        <w:t>Axée sur l’ensemble du système</w:t>
      </w:r>
    </w:p>
    <w:p w14:paraId="1A208656" w14:textId="77777777" w:rsidR="008228F2" w:rsidRPr="00182566" w:rsidRDefault="008228F2" w:rsidP="008228F2">
      <w:pPr>
        <w:pStyle w:val="ListParagraph"/>
        <w:numPr>
          <w:ilvl w:val="0"/>
          <w:numId w:val="36"/>
        </w:numPr>
        <w:spacing w:after="0"/>
        <w:ind w:left="723"/>
        <w:contextualSpacing w:val="0"/>
        <w:rPr>
          <w:rStyle w:val="Strong"/>
          <w:rFonts w:asciiTheme="minorHAnsi" w:eastAsiaTheme="minorHAnsi" w:hAnsiTheme="minorHAnsi" w:cstheme="minorHAnsi"/>
          <w:sz w:val="22"/>
          <w:szCs w:val="22"/>
        </w:rPr>
      </w:pPr>
      <w:r w:rsidRPr="00182566">
        <w:rPr>
          <w:rStyle w:val="Strong"/>
          <w:rFonts w:asciiTheme="minorHAnsi" w:eastAsiaTheme="minorHAnsi" w:hAnsiTheme="minorHAnsi" w:cstheme="minorHAnsi"/>
          <w:sz w:val="22"/>
          <w:szCs w:val="22"/>
        </w:rPr>
        <w:t xml:space="preserve">Vérification de la conformité pangouvernementale tous les deux ans </w:t>
      </w:r>
    </w:p>
    <w:p w14:paraId="6CCE60AA" w14:textId="77777777" w:rsidR="008228F2" w:rsidRPr="00182566" w:rsidRDefault="008228F2" w:rsidP="008228F2">
      <w:pPr>
        <w:pStyle w:val="ListParagraph"/>
        <w:numPr>
          <w:ilvl w:val="0"/>
          <w:numId w:val="36"/>
        </w:numPr>
        <w:spacing w:after="0"/>
        <w:ind w:left="723"/>
        <w:contextualSpacing w:val="0"/>
        <w:rPr>
          <w:rFonts w:asciiTheme="minorHAnsi" w:eastAsiaTheme="minorHAnsi" w:hAnsiTheme="minorHAnsi" w:cstheme="minorHAnsi"/>
          <w:sz w:val="22"/>
          <w:szCs w:val="22"/>
        </w:rPr>
      </w:pPr>
      <w:r w:rsidRPr="00182566">
        <w:rPr>
          <w:rStyle w:val="Strong"/>
          <w:rFonts w:asciiTheme="minorHAnsi" w:eastAsiaTheme="minorHAnsi" w:hAnsiTheme="minorHAnsi" w:cstheme="minorHAnsi"/>
          <w:sz w:val="22"/>
          <w:szCs w:val="22"/>
        </w:rPr>
        <w:t>Nouveau Sondage sur la dotation</w:t>
      </w:r>
      <w:r w:rsidRPr="00182566">
        <w:rPr>
          <w:rFonts w:asciiTheme="minorHAnsi" w:eastAsiaTheme="minorHAnsi" w:hAnsiTheme="minorHAnsi" w:cstheme="minorHAnsi"/>
          <w:sz w:val="22"/>
          <w:szCs w:val="22"/>
        </w:rPr>
        <w:t xml:space="preserve"> administré en alternance avec la vérification pangouvernementale</w:t>
      </w:r>
    </w:p>
    <w:p w14:paraId="445F4847" w14:textId="77777777" w:rsidR="008228F2" w:rsidRPr="00182566" w:rsidRDefault="008228F2" w:rsidP="008228F2">
      <w:pPr>
        <w:pStyle w:val="ListParagraph"/>
        <w:numPr>
          <w:ilvl w:val="0"/>
          <w:numId w:val="36"/>
        </w:numPr>
        <w:spacing w:after="0"/>
        <w:ind w:left="723"/>
        <w:contextualSpacing w:val="0"/>
        <w:rPr>
          <w:rFonts w:asciiTheme="minorHAnsi" w:eastAsiaTheme="minorHAnsi" w:hAnsiTheme="minorHAnsi" w:cstheme="minorHAnsi"/>
          <w:sz w:val="22"/>
          <w:szCs w:val="22"/>
        </w:rPr>
      </w:pPr>
      <w:r w:rsidRPr="00182566">
        <w:rPr>
          <w:rStyle w:val="Strong"/>
          <w:rFonts w:asciiTheme="minorHAnsi" w:eastAsiaTheme="minorHAnsi" w:hAnsiTheme="minorHAnsi" w:cstheme="minorHAnsi"/>
          <w:sz w:val="22"/>
          <w:szCs w:val="22"/>
        </w:rPr>
        <w:t>Examens de l’efficacité et de l’efficience de l’ensemble du système</w:t>
      </w:r>
      <w:r w:rsidRPr="00182566">
        <w:rPr>
          <w:rFonts w:asciiTheme="minorHAnsi" w:eastAsiaTheme="minorHAnsi" w:hAnsiTheme="minorHAnsi" w:cstheme="minorHAnsi"/>
          <w:sz w:val="22"/>
          <w:szCs w:val="22"/>
        </w:rPr>
        <w:t xml:space="preserve"> pour appuyer l’amélioration continue</w:t>
      </w:r>
    </w:p>
    <w:p w14:paraId="1664A2A3" w14:textId="77777777" w:rsidR="008228F2" w:rsidRPr="00182566" w:rsidRDefault="008228F2" w:rsidP="008228F2">
      <w:pPr>
        <w:pStyle w:val="ListParagraph"/>
        <w:numPr>
          <w:ilvl w:val="0"/>
          <w:numId w:val="36"/>
        </w:numPr>
        <w:spacing w:after="0"/>
        <w:ind w:left="723"/>
        <w:contextualSpacing w:val="0"/>
        <w:rPr>
          <w:rFonts w:asciiTheme="minorHAnsi" w:eastAsiaTheme="minorHAnsi" w:hAnsiTheme="minorHAnsi" w:cstheme="minorHAnsi"/>
          <w:sz w:val="22"/>
          <w:szCs w:val="22"/>
        </w:rPr>
      </w:pPr>
      <w:r w:rsidRPr="00182566">
        <w:rPr>
          <w:rStyle w:val="Strong"/>
          <w:rFonts w:asciiTheme="minorHAnsi" w:eastAsiaTheme="minorHAnsi" w:hAnsiTheme="minorHAnsi" w:cstheme="minorHAnsi"/>
          <w:sz w:val="22"/>
          <w:szCs w:val="22"/>
        </w:rPr>
        <w:t>Vérifications ciblées de la CFP</w:t>
      </w:r>
      <w:r w:rsidRPr="00182566">
        <w:rPr>
          <w:rFonts w:asciiTheme="minorHAnsi" w:eastAsiaTheme="minorHAnsi" w:hAnsiTheme="minorHAnsi" w:cstheme="minorHAnsi"/>
          <w:sz w:val="22"/>
          <w:szCs w:val="22"/>
        </w:rPr>
        <w:t xml:space="preserve"> </w:t>
      </w:r>
      <w:proofErr w:type="gramStart"/>
      <w:r w:rsidRPr="00182566">
        <w:rPr>
          <w:rFonts w:asciiTheme="minorHAnsi" w:eastAsiaTheme="minorHAnsi" w:hAnsiTheme="minorHAnsi" w:cstheme="minorHAnsi"/>
          <w:sz w:val="22"/>
          <w:szCs w:val="22"/>
        </w:rPr>
        <w:t>suite aux</w:t>
      </w:r>
      <w:proofErr w:type="gramEnd"/>
      <w:r w:rsidRPr="00182566">
        <w:rPr>
          <w:rFonts w:asciiTheme="minorHAnsi" w:eastAsiaTheme="minorHAnsi" w:hAnsiTheme="minorHAnsi" w:cstheme="minorHAnsi"/>
          <w:sz w:val="22"/>
          <w:szCs w:val="22"/>
        </w:rPr>
        <w:t xml:space="preserve"> risques pangouvernementaux ou organisationnels identifiés, ou à la demande de l’administrateur général </w:t>
      </w:r>
    </w:p>
    <w:p w14:paraId="2DC00EB3" w14:textId="01410A6A" w:rsidR="008228F2" w:rsidRPr="00182566" w:rsidRDefault="008228F2" w:rsidP="008228F2">
      <w:pPr>
        <w:pStyle w:val="ListParagraph"/>
        <w:numPr>
          <w:ilvl w:val="0"/>
          <w:numId w:val="36"/>
        </w:numPr>
        <w:ind w:left="723"/>
        <w:contextualSpacing w:val="0"/>
        <w:rPr>
          <w:rFonts w:asciiTheme="minorHAnsi" w:eastAsiaTheme="minorHAnsi" w:hAnsiTheme="minorHAnsi" w:cstheme="minorHAnsi"/>
          <w:sz w:val="22"/>
          <w:szCs w:val="22"/>
        </w:rPr>
      </w:pPr>
      <w:r w:rsidRPr="00182566">
        <w:rPr>
          <w:rStyle w:val="Strong"/>
          <w:rFonts w:asciiTheme="minorHAnsi" w:eastAsiaTheme="minorHAnsi" w:hAnsiTheme="minorHAnsi" w:cstheme="minorHAnsi"/>
          <w:sz w:val="22"/>
          <w:szCs w:val="22"/>
        </w:rPr>
        <w:t>Enquêtes menées</w:t>
      </w:r>
      <w:r w:rsidRPr="00182566">
        <w:rPr>
          <w:rFonts w:asciiTheme="minorHAnsi" w:eastAsiaTheme="minorHAnsi" w:hAnsiTheme="minorHAnsi" w:cstheme="minorHAnsi"/>
          <w:sz w:val="22"/>
          <w:szCs w:val="22"/>
        </w:rPr>
        <w:t xml:space="preserve"> lorsqu’il y a lieu de croire qu’il pourrait y avoir ingérence politique, fraude ou conduite irrégulière dans le cadre d’un processus de nomination</w:t>
      </w:r>
    </w:p>
    <w:p w14:paraId="3C00A771" w14:textId="5FF470DE" w:rsidR="008228F2" w:rsidRPr="000377FD" w:rsidRDefault="008228F2" w:rsidP="008228F2">
      <w:pPr>
        <w:jc w:val="both"/>
        <w:rPr>
          <w:rStyle w:val="Strong"/>
          <w:rFonts w:asciiTheme="minorHAnsi" w:hAnsiTheme="minorHAnsi" w:cstheme="minorHAnsi"/>
          <w:b w:val="0"/>
          <w:sz w:val="22"/>
          <w:szCs w:val="22"/>
        </w:rPr>
      </w:pPr>
      <w:r w:rsidRPr="000377FD">
        <w:rPr>
          <w:rStyle w:val="Strong"/>
          <w:rFonts w:asciiTheme="minorHAnsi" w:eastAsiaTheme="minorHAnsi" w:hAnsiTheme="minorHAnsi" w:cstheme="minorHAnsi"/>
          <w:b w:val="0"/>
          <w:sz w:val="22"/>
          <w:szCs w:val="22"/>
        </w:rPr>
        <w:t xml:space="preserve">Ce document doit être lu conjointement avec la </w:t>
      </w:r>
      <w:r w:rsidRPr="000377FD">
        <w:rPr>
          <w:rStyle w:val="Emphasis"/>
          <w:rFonts w:asciiTheme="minorHAnsi" w:eastAsiaTheme="minorHAnsi" w:hAnsiTheme="minorHAnsi" w:cstheme="minorHAnsi"/>
          <w:sz w:val="22"/>
          <w:szCs w:val="22"/>
        </w:rPr>
        <w:t>Loi sur l’emploi dans la fonction publique</w:t>
      </w:r>
      <w:r w:rsidRPr="000377FD">
        <w:rPr>
          <w:rStyle w:val="Strong"/>
          <w:rFonts w:asciiTheme="minorHAnsi" w:eastAsiaTheme="minorHAnsi" w:hAnsiTheme="minorHAnsi" w:cstheme="minorHAnsi"/>
          <w:b w:val="0"/>
          <w:sz w:val="22"/>
          <w:szCs w:val="22"/>
        </w:rPr>
        <w:t xml:space="preserve">, le </w:t>
      </w:r>
      <w:r w:rsidRPr="000377FD">
        <w:rPr>
          <w:rStyle w:val="Emphasis"/>
          <w:rFonts w:asciiTheme="minorHAnsi" w:eastAsiaTheme="minorHAnsi" w:hAnsiTheme="minorHAnsi" w:cstheme="minorHAnsi"/>
          <w:sz w:val="22"/>
          <w:szCs w:val="22"/>
        </w:rPr>
        <w:t>Règlement sur l'emploi dans la fonction publique</w:t>
      </w:r>
      <w:r w:rsidRPr="000377FD">
        <w:rPr>
          <w:rStyle w:val="Strong"/>
          <w:rFonts w:asciiTheme="minorHAnsi" w:eastAsiaTheme="minorHAnsi" w:hAnsiTheme="minorHAnsi" w:cstheme="minorHAnsi"/>
          <w:b w:val="0"/>
          <w:sz w:val="22"/>
          <w:szCs w:val="22"/>
        </w:rPr>
        <w:t>, la ligne directrice en matière de nomination de la CFP ainsi que l’Instrument de délégation et de responsabilisation en matière de nomination de la CFP</w:t>
      </w:r>
      <w:r w:rsidR="00D33113" w:rsidRPr="000377FD">
        <w:rPr>
          <w:rStyle w:val="Strong"/>
          <w:rFonts w:asciiTheme="minorHAnsi" w:eastAsiaTheme="minorHAnsi" w:hAnsiTheme="minorHAnsi" w:cstheme="minorHAnsi"/>
          <w:b w:val="0"/>
          <w:sz w:val="22"/>
          <w:szCs w:val="22"/>
        </w:rPr>
        <w:t>.</w:t>
      </w:r>
    </w:p>
    <w:p w14:paraId="69A1C938" w14:textId="64FE75C1" w:rsidR="00CF4572" w:rsidRPr="00CD64EE" w:rsidRDefault="00CF4572" w:rsidP="0074458B">
      <w:pPr>
        <w:pStyle w:val="Level1"/>
        <w:tabs>
          <w:tab w:val="left" w:pos="-1440"/>
        </w:tabs>
        <w:autoSpaceDE w:val="0"/>
        <w:autoSpaceDN w:val="0"/>
        <w:adjustRightInd w:val="0"/>
        <w:rPr>
          <w:rFonts w:ascii="Arial" w:hAnsi="Arial" w:cs="Arial"/>
          <w:sz w:val="22"/>
          <w:szCs w:val="22"/>
        </w:rPr>
        <w:sectPr w:rsidR="00CF4572" w:rsidRPr="00CD64EE" w:rsidSect="00042038">
          <w:pgSz w:w="12240" w:h="15840"/>
          <w:pgMar w:top="1440" w:right="1440" w:bottom="1440" w:left="1440" w:header="709" w:footer="284" w:gutter="0"/>
          <w:cols w:space="708"/>
          <w:titlePg/>
          <w:docGrid w:linePitch="360"/>
        </w:sectPr>
      </w:pPr>
    </w:p>
    <w:p w14:paraId="7EB14DD2" w14:textId="77777777" w:rsidR="007378D3" w:rsidRPr="00326D75" w:rsidRDefault="007378D3" w:rsidP="001456F7">
      <w:pPr>
        <w:pStyle w:val="Level1"/>
        <w:tabs>
          <w:tab w:val="left" w:pos="-1440"/>
        </w:tabs>
        <w:autoSpaceDE w:val="0"/>
        <w:autoSpaceDN w:val="0"/>
        <w:adjustRightInd w:val="0"/>
        <w:jc w:val="right"/>
        <w:rPr>
          <w:rFonts w:ascii="Arial" w:hAnsi="Arial" w:cs="Arial"/>
          <w:b/>
          <w:sz w:val="22"/>
          <w:szCs w:val="22"/>
        </w:rPr>
      </w:pPr>
      <w:bookmarkStart w:id="1" w:name="Annexe_B"/>
      <w:r>
        <w:rPr>
          <w:rFonts w:ascii="Arial" w:hAnsi="Arial"/>
          <w:b/>
          <w:sz w:val="22"/>
          <w:szCs w:val="22"/>
        </w:rPr>
        <w:lastRenderedPageBreak/>
        <w:t>Annex B</w:t>
      </w:r>
    </w:p>
    <w:bookmarkEnd w:id="1"/>
    <w:p w14:paraId="2401328A" w14:textId="77777777" w:rsidR="00452E60" w:rsidRPr="00452E60" w:rsidRDefault="00452E60" w:rsidP="00452E60">
      <w:pPr>
        <w:pStyle w:val="Heading1"/>
        <w:spacing w:before="120"/>
        <w:rPr>
          <w:noProof/>
          <w:sz w:val="40"/>
          <w:szCs w:val="40"/>
          <w:lang w:eastAsia="en-CA"/>
        </w:rPr>
      </w:pPr>
      <w:r w:rsidRPr="00452E60">
        <w:rPr>
          <w:rFonts w:eastAsia="Times New Roman"/>
          <w:noProof/>
          <w:sz w:val="40"/>
          <w:szCs w:val="40"/>
          <w:lang w:eastAsia="en-CA"/>
        </w:rPr>
        <w:t>Population selon la durée d'emploi au 31 mars 2020</w:t>
      </w:r>
    </w:p>
    <w:p w14:paraId="6165E1B1" w14:textId="77777777" w:rsidR="0056750B" w:rsidRDefault="00397F78" w:rsidP="0056750B">
      <w:pPr>
        <w:keepNext/>
        <w:tabs>
          <w:tab w:val="left" w:pos="7839"/>
        </w:tabs>
        <w:jc w:val="center"/>
      </w:pPr>
      <w:r w:rsidRPr="006E11FB">
        <w:rPr>
          <w:noProof/>
          <w:lang w:eastAsia="en-CA"/>
        </w:rPr>
        <w:drawing>
          <wp:inline distT="0" distB="0" distL="0" distR="0" wp14:anchorId="1AB7A706" wp14:editId="6769E8BB">
            <wp:extent cx="5648400" cy="3049200"/>
            <wp:effectExtent l="0" t="0" r="9525" b="18415"/>
            <wp:docPr id="13" name="Chart 13" descr="Population selon la durée d'emploi au 31 mars 202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336534E" w14:textId="6FEC817E" w:rsidR="00042038" w:rsidRPr="0056750B" w:rsidRDefault="0056750B" w:rsidP="0056750B">
      <w:pPr>
        <w:pStyle w:val="Caption"/>
        <w:spacing w:after="0"/>
        <w:jc w:val="center"/>
        <w:rPr>
          <w:rFonts w:asciiTheme="minorHAnsi" w:hAnsiTheme="minorHAnsi" w:cstheme="minorHAnsi"/>
          <w:i w:val="0"/>
          <w:iCs w:val="0"/>
          <w:noProof/>
          <w:color w:val="auto"/>
          <w:lang w:eastAsia="en-CA"/>
        </w:rPr>
      </w:pPr>
      <w:r w:rsidRPr="0056750B">
        <w:rPr>
          <w:rFonts w:asciiTheme="minorHAnsi" w:hAnsiTheme="minorHAnsi" w:cstheme="minorHAnsi"/>
          <w:i w:val="0"/>
          <w:iCs w:val="0"/>
          <w:color w:val="auto"/>
        </w:rPr>
        <w:t xml:space="preserve">Figure </w:t>
      </w:r>
      <w:r w:rsidRPr="0056750B">
        <w:rPr>
          <w:rFonts w:asciiTheme="minorHAnsi" w:hAnsiTheme="minorHAnsi" w:cstheme="minorHAnsi"/>
          <w:i w:val="0"/>
          <w:iCs w:val="0"/>
          <w:color w:val="auto"/>
        </w:rPr>
        <w:fldChar w:fldCharType="begin"/>
      </w:r>
      <w:r w:rsidRPr="0056750B">
        <w:rPr>
          <w:rFonts w:asciiTheme="minorHAnsi" w:hAnsiTheme="minorHAnsi" w:cstheme="minorHAnsi"/>
          <w:i w:val="0"/>
          <w:iCs w:val="0"/>
          <w:color w:val="auto"/>
        </w:rPr>
        <w:instrText xml:space="preserve"> SEQ Figure \* ARABIC </w:instrText>
      </w:r>
      <w:r w:rsidRPr="0056750B">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1</w:t>
      </w:r>
      <w:r w:rsidRPr="0056750B">
        <w:rPr>
          <w:rFonts w:asciiTheme="minorHAnsi" w:hAnsiTheme="minorHAnsi" w:cstheme="minorHAnsi"/>
          <w:i w:val="0"/>
          <w:iCs w:val="0"/>
          <w:color w:val="auto"/>
        </w:rPr>
        <w:fldChar w:fldCharType="end"/>
      </w:r>
      <w:r w:rsidR="00154343">
        <w:rPr>
          <w:rFonts w:asciiTheme="minorHAnsi" w:hAnsiTheme="minorHAnsi" w:cstheme="minorHAnsi"/>
          <w:i w:val="0"/>
          <w:iCs w:val="0"/>
          <w:color w:val="auto"/>
        </w:rPr>
        <w:t xml:space="preserve"> </w:t>
      </w:r>
      <w:r w:rsidRPr="0056750B">
        <w:rPr>
          <w:rFonts w:asciiTheme="minorHAnsi" w:hAnsiTheme="minorHAnsi" w:cstheme="minorHAnsi"/>
          <w:i w:val="0"/>
          <w:iCs w:val="0"/>
          <w:color w:val="auto"/>
        </w:rPr>
        <w:t>- Population selon la durée d'emploi au 31 mars 2020</w:t>
      </w:r>
    </w:p>
    <w:p w14:paraId="596898F3" w14:textId="4604B8F1" w:rsidR="0056750B" w:rsidRPr="0056750B" w:rsidRDefault="0056750B" w:rsidP="0056750B">
      <w:pPr>
        <w:pStyle w:val="Caption"/>
        <w:keepNext/>
        <w:spacing w:before="240" w:after="0"/>
        <w:jc w:val="center"/>
        <w:rPr>
          <w:rFonts w:asciiTheme="minorHAnsi" w:hAnsiTheme="minorHAnsi" w:cstheme="minorHAnsi"/>
          <w:i w:val="0"/>
          <w:iCs w:val="0"/>
          <w:color w:val="auto"/>
        </w:rPr>
      </w:pPr>
      <w:r w:rsidRPr="0056750B">
        <w:rPr>
          <w:rFonts w:asciiTheme="minorHAnsi" w:hAnsiTheme="minorHAnsi" w:cstheme="minorHAnsi"/>
          <w:i w:val="0"/>
          <w:iCs w:val="0"/>
          <w:color w:val="auto"/>
        </w:rPr>
        <w:t xml:space="preserve">Tableau </w:t>
      </w:r>
      <w:r w:rsidRPr="0056750B">
        <w:rPr>
          <w:rFonts w:asciiTheme="minorHAnsi" w:hAnsiTheme="minorHAnsi" w:cstheme="minorHAnsi"/>
          <w:i w:val="0"/>
          <w:iCs w:val="0"/>
          <w:color w:val="auto"/>
        </w:rPr>
        <w:fldChar w:fldCharType="begin"/>
      </w:r>
      <w:r w:rsidRPr="0056750B">
        <w:rPr>
          <w:rFonts w:asciiTheme="minorHAnsi" w:hAnsiTheme="minorHAnsi" w:cstheme="minorHAnsi"/>
          <w:i w:val="0"/>
          <w:iCs w:val="0"/>
          <w:color w:val="auto"/>
        </w:rPr>
        <w:instrText xml:space="preserve"> SEQ Tableau \* ARABIC </w:instrText>
      </w:r>
      <w:r w:rsidRPr="0056750B">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5</w:t>
      </w:r>
      <w:r w:rsidRPr="0056750B">
        <w:rPr>
          <w:rFonts w:asciiTheme="minorHAnsi" w:hAnsiTheme="minorHAnsi" w:cstheme="minorHAnsi"/>
          <w:i w:val="0"/>
          <w:iCs w:val="0"/>
          <w:color w:val="auto"/>
        </w:rPr>
        <w:fldChar w:fldCharType="end"/>
      </w:r>
      <w:r w:rsidRPr="0056750B">
        <w:rPr>
          <w:rFonts w:asciiTheme="minorHAnsi" w:hAnsiTheme="minorHAnsi" w:cstheme="minorHAnsi"/>
          <w:i w:val="0"/>
          <w:iCs w:val="0"/>
          <w:color w:val="auto"/>
        </w:rPr>
        <w:t xml:space="preserve"> - Effectif régi par la </w:t>
      </w:r>
      <w:r w:rsidRPr="006B6CE3">
        <w:rPr>
          <w:rStyle w:val="Emphasis"/>
          <w:rFonts w:asciiTheme="minorHAnsi" w:hAnsiTheme="minorHAnsi" w:cstheme="minorHAnsi"/>
          <w:i/>
          <w:iCs/>
          <w:color w:val="auto"/>
        </w:rPr>
        <w:t>Loi sur l’emploi dans la fonction publique</w:t>
      </w:r>
      <w:r w:rsidRPr="006B6CE3">
        <w:rPr>
          <w:rFonts w:asciiTheme="minorHAnsi" w:hAnsiTheme="minorHAnsi" w:cstheme="minorHAnsi"/>
          <w:i w:val="0"/>
          <w:iCs w:val="0"/>
          <w:color w:val="auto"/>
        </w:rPr>
        <w:t xml:space="preserve"> </w:t>
      </w:r>
      <w:r w:rsidRPr="0056750B">
        <w:rPr>
          <w:rFonts w:asciiTheme="minorHAnsi" w:hAnsiTheme="minorHAnsi" w:cstheme="minorHAnsi"/>
          <w:i w:val="0"/>
          <w:iCs w:val="0"/>
          <w:color w:val="auto"/>
        </w:rPr>
        <w:t>au 31 mars selon la durée d’emploi</w:t>
      </w:r>
    </w:p>
    <w:tbl>
      <w:tblPr>
        <w:tblStyle w:val="TableGrid"/>
        <w:tblW w:w="5000" w:type="pct"/>
        <w:jc w:val="center"/>
        <w:tblLook w:val="0020" w:firstRow="1" w:lastRow="0" w:firstColumn="0" w:lastColumn="0" w:noHBand="0" w:noVBand="0"/>
        <w:tblDescription w:val="Effectif selon la durée d’emploi au 31 mars 2015 à 2020"/>
      </w:tblPr>
      <w:tblGrid>
        <w:gridCol w:w="2261"/>
        <w:gridCol w:w="2553"/>
        <w:gridCol w:w="2553"/>
        <w:gridCol w:w="2550"/>
        <w:gridCol w:w="2412"/>
        <w:gridCol w:w="2061"/>
      </w:tblGrid>
      <w:tr w:rsidR="0056750B" w:rsidRPr="0056750B" w14:paraId="3F1A93C6" w14:textId="77777777" w:rsidTr="0056750B">
        <w:trPr>
          <w:cantSplit/>
          <w:trHeight w:val="290"/>
          <w:tblHeader/>
          <w:jc w:val="center"/>
        </w:trPr>
        <w:tc>
          <w:tcPr>
            <w:tcW w:w="786" w:type="pct"/>
          </w:tcPr>
          <w:p w14:paraId="18AE3175" w14:textId="77777777" w:rsidR="00DA7821" w:rsidRPr="0056750B" w:rsidRDefault="00DA7821" w:rsidP="0056750B">
            <w:pPr>
              <w:pStyle w:val="TableTitle"/>
              <w:rPr>
                <w:color w:val="auto"/>
                <w:sz w:val="22"/>
                <w:szCs w:val="22"/>
              </w:rPr>
            </w:pPr>
            <w:r w:rsidRPr="0056750B">
              <w:rPr>
                <w:color w:val="auto"/>
                <w:sz w:val="22"/>
                <w:szCs w:val="22"/>
              </w:rPr>
              <w:t xml:space="preserve"> Année</w:t>
            </w:r>
          </w:p>
        </w:tc>
        <w:tc>
          <w:tcPr>
            <w:tcW w:w="887" w:type="pct"/>
          </w:tcPr>
          <w:p w14:paraId="6DAC23CD" w14:textId="77777777" w:rsidR="00DA7821" w:rsidRPr="0056750B" w:rsidRDefault="00DA7821" w:rsidP="0056750B">
            <w:pPr>
              <w:pStyle w:val="TableTitle"/>
              <w:rPr>
                <w:color w:val="auto"/>
                <w:sz w:val="22"/>
                <w:szCs w:val="22"/>
              </w:rPr>
            </w:pPr>
            <w:r w:rsidRPr="0056750B">
              <w:rPr>
                <w:color w:val="auto"/>
                <w:sz w:val="22"/>
                <w:szCs w:val="22"/>
              </w:rPr>
              <w:t>Indéterminée</w:t>
            </w:r>
          </w:p>
        </w:tc>
        <w:tc>
          <w:tcPr>
            <w:tcW w:w="887" w:type="pct"/>
          </w:tcPr>
          <w:p w14:paraId="7FE6688E" w14:textId="77777777" w:rsidR="00DA7821" w:rsidRPr="0056750B" w:rsidRDefault="00DA7821" w:rsidP="0056750B">
            <w:pPr>
              <w:pStyle w:val="TableTitle"/>
              <w:rPr>
                <w:color w:val="auto"/>
                <w:sz w:val="22"/>
                <w:szCs w:val="22"/>
              </w:rPr>
            </w:pPr>
            <w:r w:rsidRPr="0056750B">
              <w:rPr>
                <w:color w:val="auto"/>
                <w:sz w:val="22"/>
                <w:szCs w:val="22"/>
              </w:rPr>
              <w:t>Déterminée</w:t>
            </w:r>
          </w:p>
        </w:tc>
        <w:tc>
          <w:tcPr>
            <w:tcW w:w="886" w:type="pct"/>
          </w:tcPr>
          <w:p w14:paraId="4545FDCE" w14:textId="77777777" w:rsidR="00DA7821" w:rsidRPr="0056750B" w:rsidRDefault="00DA7821" w:rsidP="0056750B">
            <w:pPr>
              <w:pStyle w:val="TableTitle"/>
              <w:rPr>
                <w:color w:val="auto"/>
                <w:sz w:val="22"/>
                <w:szCs w:val="22"/>
              </w:rPr>
            </w:pPr>
            <w:r w:rsidRPr="0056750B">
              <w:rPr>
                <w:color w:val="auto"/>
                <w:sz w:val="22"/>
                <w:szCs w:val="22"/>
              </w:rPr>
              <w:t>Occasionnels</w:t>
            </w:r>
          </w:p>
        </w:tc>
        <w:tc>
          <w:tcPr>
            <w:tcW w:w="838" w:type="pct"/>
          </w:tcPr>
          <w:p w14:paraId="2926A92B" w14:textId="77777777" w:rsidR="00DA7821" w:rsidRPr="0056750B" w:rsidRDefault="00DA7821" w:rsidP="0056750B">
            <w:pPr>
              <w:pStyle w:val="TableTitle"/>
              <w:rPr>
                <w:color w:val="auto"/>
                <w:sz w:val="22"/>
                <w:szCs w:val="22"/>
              </w:rPr>
            </w:pPr>
            <w:r w:rsidRPr="0056750B">
              <w:rPr>
                <w:color w:val="auto"/>
                <w:sz w:val="22"/>
                <w:szCs w:val="22"/>
              </w:rPr>
              <w:t>Étudiant</w:t>
            </w:r>
          </w:p>
        </w:tc>
        <w:tc>
          <w:tcPr>
            <w:tcW w:w="716" w:type="pct"/>
          </w:tcPr>
          <w:p w14:paraId="4B34AE96" w14:textId="77777777" w:rsidR="00DA7821" w:rsidRPr="0056750B" w:rsidRDefault="00DA7821" w:rsidP="0056750B">
            <w:pPr>
              <w:pStyle w:val="TableTitle"/>
              <w:rPr>
                <w:color w:val="auto"/>
                <w:sz w:val="22"/>
                <w:szCs w:val="22"/>
              </w:rPr>
            </w:pPr>
            <w:r w:rsidRPr="0056750B">
              <w:rPr>
                <w:color w:val="auto"/>
                <w:sz w:val="22"/>
                <w:szCs w:val="22"/>
              </w:rPr>
              <w:t>Total</w:t>
            </w:r>
          </w:p>
        </w:tc>
      </w:tr>
      <w:tr w:rsidR="0056750B" w:rsidRPr="0056750B" w14:paraId="54329FEB" w14:textId="77777777" w:rsidTr="0056750B">
        <w:trPr>
          <w:cantSplit/>
          <w:trHeight w:val="290"/>
          <w:tblHeader/>
          <w:jc w:val="center"/>
        </w:trPr>
        <w:tc>
          <w:tcPr>
            <w:tcW w:w="786" w:type="pct"/>
          </w:tcPr>
          <w:p w14:paraId="79A3E041" w14:textId="77777777" w:rsidR="00DA7821" w:rsidRPr="0056750B" w:rsidRDefault="00DA7821" w:rsidP="0056750B">
            <w:pPr>
              <w:autoSpaceDE w:val="0"/>
              <w:autoSpaceDN w:val="0"/>
              <w:adjustRightInd w:val="0"/>
              <w:rPr>
                <w:rFonts w:asciiTheme="minorHAnsi" w:hAnsiTheme="minorHAnsi" w:cstheme="minorHAnsi"/>
                <w:sz w:val="22"/>
                <w:szCs w:val="22"/>
              </w:rPr>
            </w:pPr>
            <w:r w:rsidRPr="0056750B">
              <w:rPr>
                <w:rFonts w:asciiTheme="minorHAnsi" w:hAnsiTheme="minorHAnsi" w:cstheme="minorHAnsi"/>
                <w:sz w:val="22"/>
                <w:szCs w:val="22"/>
              </w:rPr>
              <w:t>Au 31 mars 2015</w:t>
            </w:r>
          </w:p>
        </w:tc>
        <w:tc>
          <w:tcPr>
            <w:tcW w:w="887" w:type="pct"/>
          </w:tcPr>
          <w:p w14:paraId="1EDF08D7"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3 507</w:t>
            </w:r>
          </w:p>
        </w:tc>
        <w:tc>
          <w:tcPr>
            <w:tcW w:w="887" w:type="pct"/>
          </w:tcPr>
          <w:p w14:paraId="6D62D0E2"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176</w:t>
            </w:r>
          </w:p>
        </w:tc>
        <w:tc>
          <w:tcPr>
            <w:tcW w:w="886" w:type="pct"/>
          </w:tcPr>
          <w:p w14:paraId="02F45176"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298</w:t>
            </w:r>
          </w:p>
        </w:tc>
        <w:tc>
          <w:tcPr>
            <w:tcW w:w="838" w:type="pct"/>
          </w:tcPr>
          <w:p w14:paraId="71E5C9F2"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166</w:t>
            </w:r>
          </w:p>
        </w:tc>
        <w:tc>
          <w:tcPr>
            <w:tcW w:w="716" w:type="pct"/>
          </w:tcPr>
          <w:p w14:paraId="17813DF5"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4 147</w:t>
            </w:r>
          </w:p>
        </w:tc>
      </w:tr>
      <w:tr w:rsidR="0056750B" w:rsidRPr="0056750B" w14:paraId="6889C69F" w14:textId="77777777" w:rsidTr="0056750B">
        <w:trPr>
          <w:cantSplit/>
          <w:trHeight w:val="290"/>
          <w:tblHeader/>
          <w:jc w:val="center"/>
        </w:trPr>
        <w:tc>
          <w:tcPr>
            <w:tcW w:w="786" w:type="pct"/>
          </w:tcPr>
          <w:p w14:paraId="352DD1E3" w14:textId="77777777" w:rsidR="00DA7821" w:rsidRPr="0056750B" w:rsidRDefault="00DA7821" w:rsidP="0056750B">
            <w:pPr>
              <w:autoSpaceDE w:val="0"/>
              <w:autoSpaceDN w:val="0"/>
              <w:adjustRightInd w:val="0"/>
              <w:rPr>
                <w:rFonts w:asciiTheme="minorHAnsi" w:hAnsiTheme="minorHAnsi" w:cstheme="minorHAnsi"/>
                <w:sz w:val="22"/>
                <w:szCs w:val="22"/>
              </w:rPr>
            </w:pPr>
            <w:r w:rsidRPr="0056750B">
              <w:rPr>
                <w:rFonts w:asciiTheme="minorHAnsi" w:hAnsiTheme="minorHAnsi" w:cstheme="minorHAnsi"/>
                <w:sz w:val="22"/>
                <w:szCs w:val="22"/>
              </w:rPr>
              <w:t>Au 31 mars 2016</w:t>
            </w:r>
          </w:p>
        </w:tc>
        <w:tc>
          <w:tcPr>
            <w:tcW w:w="887" w:type="pct"/>
          </w:tcPr>
          <w:p w14:paraId="39D9D14D"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3 505</w:t>
            </w:r>
          </w:p>
        </w:tc>
        <w:tc>
          <w:tcPr>
            <w:tcW w:w="887" w:type="pct"/>
          </w:tcPr>
          <w:p w14:paraId="743F36A9"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214</w:t>
            </w:r>
          </w:p>
        </w:tc>
        <w:tc>
          <w:tcPr>
            <w:tcW w:w="886" w:type="pct"/>
          </w:tcPr>
          <w:p w14:paraId="3820DA5F"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302</w:t>
            </w:r>
          </w:p>
        </w:tc>
        <w:tc>
          <w:tcPr>
            <w:tcW w:w="838" w:type="pct"/>
          </w:tcPr>
          <w:p w14:paraId="5F66346B"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170</w:t>
            </w:r>
          </w:p>
        </w:tc>
        <w:tc>
          <w:tcPr>
            <w:tcW w:w="716" w:type="pct"/>
          </w:tcPr>
          <w:p w14:paraId="6EF5D8C4"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4 191</w:t>
            </w:r>
          </w:p>
        </w:tc>
      </w:tr>
      <w:tr w:rsidR="0056750B" w:rsidRPr="0056750B" w14:paraId="2361B285" w14:textId="77777777" w:rsidTr="0056750B">
        <w:trPr>
          <w:cantSplit/>
          <w:trHeight w:val="290"/>
          <w:tblHeader/>
          <w:jc w:val="center"/>
        </w:trPr>
        <w:tc>
          <w:tcPr>
            <w:tcW w:w="786" w:type="pct"/>
          </w:tcPr>
          <w:p w14:paraId="08959F80" w14:textId="77777777" w:rsidR="00DA7821" w:rsidRPr="0056750B" w:rsidRDefault="00DA7821" w:rsidP="0056750B">
            <w:pPr>
              <w:autoSpaceDE w:val="0"/>
              <w:autoSpaceDN w:val="0"/>
              <w:adjustRightInd w:val="0"/>
              <w:rPr>
                <w:rFonts w:asciiTheme="minorHAnsi" w:hAnsiTheme="minorHAnsi" w:cstheme="minorHAnsi"/>
                <w:sz w:val="22"/>
                <w:szCs w:val="22"/>
              </w:rPr>
            </w:pPr>
            <w:r w:rsidRPr="0056750B">
              <w:rPr>
                <w:rFonts w:asciiTheme="minorHAnsi" w:hAnsiTheme="minorHAnsi" w:cstheme="minorHAnsi"/>
                <w:sz w:val="22"/>
                <w:szCs w:val="22"/>
              </w:rPr>
              <w:t>Au 31 mars 2017</w:t>
            </w:r>
          </w:p>
        </w:tc>
        <w:tc>
          <w:tcPr>
            <w:tcW w:w="887" w:type="pct"/>
          </w:tcPr>
          <w:p w14:paraId="6F14ADE4"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3 629</w:t>
            </w:r>
          </w:p>
        </w:tc>
        <w:tc>
          <w:tcPr>
            <w:tcW w:w="887" w:type="pct"/>
          </w:tcPr>
          <w:p w14:paraId="075FED1B"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295</w:t>
            </w:r>
          </w:p>
        </w:tc>
        <w:tc>
          <w:tcPr>
            <w:tcW w:w="886" w:type="pct"/>
          </w:tcPr>
          <w:p w14:paraId="0617E03B"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363</w:t>
            </w:r>
          </w:p>
        </w:tc>
        <w:tc>
          <w:tcPr>
            <w:tcW w:w="838" w:type="pct"/>
          </w:tcPr>
          <w:p w14:paraId="5D01EC7B"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164</w:t>
            </w:r>
          </w:p>
        </w:tc>
        <w:tc>
          <w:tcPr>
            <w:tcW w:w="716" w:type="pct"/>
          </w:tcPr>
          <w:p w14:paraId="2DDA1B9A"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4 451</w:t>
            </w:r>
          </w:p>
        </w:tc>
      </w:tr>
      <w:tr w:rsidR="0056750B" w:rsidRPr="0056750B" w14:paraId="5453266E" w14:textId="77777777" w:rsidTr="0056750B">
        <w:trPr>
          <w:cantSplit/>
          <w:trHeight w:val="290"/>
          <w:tblHeader/>
          <w:jc w:val="center"/>
        </w:trPr>
        <w:tc>
          <w:tcPr>
            <w:tcW w:w="786" w:type="pct"/>
          </w:tcPr>
          <w:p w14:paraId="760A6E68" w14:textId="77777777" w:rsidR="00DA7821" w:rsidRPr="0056750B" w:rsidRDefault="00DA7821" w:rsidP="0056750B">
            <w:pPr>
              <w:autoSpaceDE w:val="0"/>
              <w:autoSpaceDN w:val="0"/>
              <w:adjustRightInd w:val="0"/>
              <w:rPr>
                <w:rFonts w:asciiTheme="minorHAnsi" w:hAnsiTheme="minorHAnsi" w:cstheme="minorHAnsi"/>
                <w:sz w:val="22"/>
                <w:szCs w:val="22"/>
              </w:rPr>
            </w:pPr>
            <w:r w:rsidRPr="0056750B">
              <w:rPr>
                <w:rFonts w:asciiTheme="minorHAnsi" w:hAnsiTheme="minorHAnsi" w:cstheme="minorHAnsi"/>
                <w:sz w:val="22"/>
                <w:szCs w:val="22"/>
              </w:rPr>
              <w:t>Au 31 mars 2018</w:t>
            </w:r>
          </w:p>
        </w:tc>
        <w:tc>
          <w:tcPr>
            <w:tcW w:w="887" w:type="pct"/>
          </w:tcPr>
          <w:p w14:paraId="093A80AC"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3 597</w:t>
            </w:r>
          </w:p>
        </w:tc>
        <w:tc>
          <w:tcPr>
            <w:tcW w:w="887" w:type="pct"/>
          </w:tcPr>
          <w:p w14:paraId="246707C0"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365</w:t>
            </w:r>
          </w:p>
        </w:tc>
        <w:tc>
          <w:tcPr>
            <w:tcW w:w="886" w:type="pct"/>
          </w:tcPr>
          <w:p w14:paraId="1FA10C3F"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384</w:t>
            </w:r>
          </w:p>
        </w:tc>
        <w:tc>
          <w:tcPr>
            <w:tcW w:w="838" w:type="pct"/>
          </w:tcPr>
          <w:p w14:paraId="005F88E9"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191</w:t>
            </w:r>
          </w:p>
        </w:tc>
        <w:tc>
          <w:tcPr>
            <w:tcW w:w="716" w:type="pct"/>
          </w:tcPr>
          <w:p w14:paraId="6C13F2B6"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4 537</w:t>
            </w:r>
          </w:p>
        </w:tc>
      </w:tr>
      <w:tr w:rsidR="0056750B" w:rsidRPr="0056750B" w14:paraId="523C2618" w14:textId="77777777" w:rsidTr="0056750B">
        <w:trPr>
          <w:cantSplit/>
          <w:trHeight w:val="290"/>
          <w:tblHeader/>
          <w:jc w:val="center"/>
        </w:trPr>
        <w:tc>
          <w:tcPr>
            <w:tcW w:w="786" w:type="pct"/>
          </w:tcPr>
          <w:p w14:paraId="14F62AFF" w14:textId="77777777" w:rsidR="00DA7821" w:rsidRPr="0056750B" w:rsidRDefault="00DA7821" w:rsidP="0056750B">
            <w:pPr>
              <w:autoSpaceDE w:val="0"/>
              <w:autoSpaceDN w:val="0"/>
              <w:adjustRightInd w:val="0"/>
              <w:rPr>
                <w:rFonts w:asciiTheme="minorHAnsi" w:hAnsiTheme="minorHAnsi" w:cstheme="minorHAnsi"/>
                <w:sz w:val="22"/>
                <w:szCs w:val="22"/>
              </w:rPr>
            </w:pPr>
            <w:r w:rsidRPr="0056750B">
              <w:rPr>
                <w:rFonts w:asciiTheme="minorHAnsi" w:hAnsiTheme="minorHAnsi" w:cstheme="minorHAnsi"/>
                <w:sz w:val="22"/>
                <w:szCs w:val="22"/>
              </w:rPr>
              <w:t>Au 31 mars 2019</w:t>
            </w:r>
          </w:p>
        </w:tc>
        <w:tc>
          <w:tcPr>
            <w:tcW w:w="887" w:type="pct"/>
          </w:tcPr>
          <w:p w14:paraId="42DC34BB"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3 707</w:t>
            </w:r>
          </w:p>
        </w:tc>
        <w:tc>
          <w:tcPr>
            <w:tcW w:w="887" w:type="pct"/>
          </w:tcPr>
          <w:p w14:paraId="14DFB756"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406</w:t>
            </w:r>
          </w:p>
        </w:tc>
        <w:tc>
          <w:tcPr>
            <w:tcW w:w="886" w:type="pct"/>
          </w:tcPr>
          <w:p w14:paraId="65892A11"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294</w:t>
            </w:r>
          </w:p>
        </w:tc>
        <w:tc>
          <w:tcPr>
            <w:tcW w:w="838" w:type="pct"/>
          </w:tcPr>
          <w:p w14:paraId="5A1FC77C"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164</w:t>
            </w:r>
          </w:p>
        </w:tc>
        <w:tc>
          <w:tcPr>
            <w:tcW w:w="716" w:type="pct"/>
          </w:tcPr>
          <w:p w14:paraId="1034BCD0"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4 571</w:t>
            </w:r>
          </w:p>
        </w:tc>
      </w:tr>
      <w:tr w:rsidR="0056750B" w:rsidRPr="0056750B" w14:paraId="6F1D364C" w14:textId="77777777" w:rsidTr="0056750B">
        <w:trPr>
          <w:cantSplit/>
          <w:trHeight w:val="290"/>
          <w:tblHeader/>
          <w:jc w:val="center"/>
        </w:trPr>
        <w:tc>
          <w:tcPr>
            <w:tcW w:w="786" w:type="pct"/>
          </w:tcPr>
          <w:p w14:paraId="688E38D7" w14:textId="77777777" w:rsidR="00DA7821" w:rsidRPr="0056750B" w:rsidRDefault="00DA7821" w:rsidP="0056750B">
            <w:pPr>
              <w:autoSpaceDE w:val="0"/>
              <w:autoSpaceDN w:val="0"/>
              <w:adjustRightInd w:val="0"/>
              <w:rPr>
                <w:rFonts w:asciiTheme="minorHAnsi" w:hAnsiTheme="minorHAnsi" w:cstheme="minorHAnsi"/>
                <w:sz w:val="22"/>
                <w:szCs w:val="22"/>
              </w:rPr>
            </w:pPr>
            <w:r w:rsidRPr="0056750B">
              <w:rPr>
                <w:rFonts w:asciiTheme="minorHAnsi" w:hAnsiTheme="minorHAnsi" w:cstheme="minorHAnsi"/>
                <w:sz w:val="22"/>
                <w:szCs w:val="22"/>
              </w:rPr>
              <w:t>Au 31 mars 2020</w:t>
            </w:r>
          </w:p>
        </w:tc>
        <w:tc>
          <w:tcPr>
            <w:tcW w:w="887" w:type="pct"/>
          </w:tcPr>
          <w:p w14:paraId="33276CF1"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3 841</w:t>
            </w:r>
          </w:p>
        </w:tc>
        <w:tc>
          <w:tcPr>
            <w:tcW w:w="887" w:type="pct"/>
          </w:tcPr>
          <w:p w14:paraId="0A8B356B"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413</w:t>
            </w:r>
          </w:p>
        </w:tc>
        <w:tc>
          <w:tcPr>
            <w:tcW w:w="886" w:type="pct"/>
          </w:tcPr>
          <w:p w14:paraId="198CF183"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286</w:t>
            </w:r>
          </w:p>
        </w:tc>
        <w:tc>
          <w:tcPr>
            <w:tcW w:w="838" w:type="pct"/>
          </w:tcPr>
          <w:p w14:paraId="4F19E570"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161</w:t>
            </w:r>
          </w:p>
        </w:tc>
        <w:tc>
          <w:tcPr>
            <w:tcW w:w="716" w:type="pct"/>
          </w:tcPr>
          <w:p w14:paraId="2F83D207" w14:textId="77777777" w:rsidR="00DA7821" w:rsidRPr="0056750B" w:rsidRDefault="00DA7821" w:rsidP="00CD64EE">
            <w:pPr>
              <w:autoSpaceDE w:val="0"/>
              <w:autoSpaceDN w:val="0"/>
              <w:adjustRightInd w:val="0"/>
              <w:jc w:val="center"/>
              <w:rPr>
                <w:rFonts w:asciiTheme="minorHAnsi" w:hAnsiTheme="minorHAnsi" w:cstheme="minorHAnsi"/>
                <w:sz w:val="22"/>
                <w:szCs w:val="22"/>
              </w:rPr>
            </w:pPr>
            <w:r w:rsidRPr="0056750B">
              <w:rPr>
                <w:rFonts w:asciiTheme="minorHAnsi" w:hAnsiTheme="minorHAnsi" w:cstheme="minorHAnsi"/>
                <w:sz w:val="22"/>
                <w:szCs w:val="22"/>
              </w:rPr>
              <w:t>4 701</w:t>
            </w:r>
          </w:p>
        </w:tc>
      </w:tr>
    </w:tbl>
    <w:p w14:paraId="4215E04A" w14:textId="77777777" w:rsidR="00042038" w:rsidRDefault="00042038">
      <w:pPr>
        <w:spacing w:after="160" w:line="259" w:lineRule="auto"/>
        <w:rPr>
          <w:noProof/>
          <w:lang w:eastAsia="en-CA"/>
        </w:rPr>
      </w:pPr>
      <w:r>
        <w:rPr>
          <w:noProof/>
          <w:lang w:eastAsia="en-CA"/>
        </w:rPr>
        <w:br w:type="page"/>
      </w:r>
    </w:p>
    <w:p w14:paraId="26782E30" w14:textId="77777777" w:rsidR="006B6CE3" w:rsidRPr="006B6CE3" w:rsidRDefault="006B6CE3" w:rsidP="006B6CE3">
      <w:pPr>
        <w:pStyle w:val="Heading1"/>
        <w:spacing w:before="120"/>
        <w:rPr>
          <w:noProof/>
          <w:sz w:val="40"/>
          <w:szCs w:val="40"/>
          <w:lang w:eastAsia="en-CA"/>
        </w:rPr>
      </w:pPr>
      <w:r w:rsidRPr="006B6CE3">
        <w:rPr>
          <w:rFonts w:eastAsia="Times New Roman"/>
          <w:noProof/>
          <w:sz w:val="40"/>
          <w:szCs w:val="40"/>
          <w:lang w:eastAsia="en-CA"/>
        </w:rPr>
        <w:lastRenderedPageBreak/>
        <w:t>Population selon le profil linguistique au 31 mars 2020</w:t>
      </w:r>
    </w:p>
    <w:p w14:paraId="287F5082" w14:textId="77777777" w:rsidR="00086FEC" w:rsidRDefault="00042038" w:rsidP="00086FEC">
      <w:pPr>
        <w:keepNext/>
        <w:tabs>
          <w:tab w:val="left" w:pos="7839"/>
        </w:tabs>
        <w:jc w:val="center"/>
      </w:pPr>
      <w:r>
        <w:rPr>
          <w:noProof/>
          <w:lang w:eastAsia="en-CA"/>
        </w:rPr>
        <w:drawing>
          <wp:inline distT="0" distB="0" distL="0" distR="0" wp14:anchorId="0D4260B6" wp14:editId="5872841B">
            <wp:extent cx="1980000" cy="3020400"/>
            <wp:effectExtent l="0" t="0" r="1270" b="8890"/>
            <wp:docPr id="18" name="Chart 18" descr="Population selon le profil linguistique au 31 mars 202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50F8740" w14:textId="1DA99005" w:rsidR="00042038" w:rsidRPr="00086FEC" w:rsidRDefault="00086FEC" w:rsidP="00086FEC">
      <w:pPr>
        <w:pStyle w:val="Caption"/>
        <w:spacing w:after="0"/>
        <w:jc w:val="center"/>
        <w:rPr>
          <w:rFonts w:asciiTheme="minorHAnsi" w:hAnsiTheme="minorHAnsi" w:cstheme="minorHAnsi"/>
          <w:i w:val="0"/>
          <w:iCs w:val="0"/>
          <w:noProof/>
          <w:color w:val="auto"/>
          <w:lang w:eastAsia="en-CA"/>
        </w:rPr>
      </w:pPr>
      <w:r w:rsidRPr="00086FEC">
        <w:rPr>
          <w:rFonts w:asciiTheme="minorHAnsi" w:hAnsiTheme="minorHAnsi" w:cstheme="minorHAnsi"/>
          <w:i w:val="0"/>
          <w:iCs w:val="0"/>
          <w:color w:val="auto"/>
        </w:rPr>
        <w:t xml:space="preserve">Figure </w:t>
      </w:r>
      <w:r w:rsidRPr="00086FEC">
        <w:rPr>
          <w:rFonts w:asciiTheme="minorHAnsi" w:hAnsiTheme="minorHAnsi" w:cstheme="minorHAnsi"/>
          <w:i w:val="0"/>
          <w:iCs w:val="0"/>
          <w:color w:val="auto"/>
        </w:rPr>
        <w:fldChar w:fldCharType="begin"/>
      </w:r>
      <w:r w:rsidRPr="00086FEC">
        <w:rPr>
          <w:rFonts w:asciiTheme="minorHAnsi" w:hAnsiTheme="minorHAnsi" w:cstheme="minorHAnsi"/>
          <w:i w:val="0"/>
          <w:iCs w:val="0"/>
          <w:color w:val="auto"/>
        </w:rPr>
        <w:instrText xml:space="preserve"> SEQ Figure \* ARABIC </w:instrText>
      </w:r>
      <w:r w:rsidRPr="00086FEC">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2</w:t>
      </w:r>
      <w:r w:rsidRPr="00086FEC">
        <w:rPr>
          <w:rFonts w:asciiTheme="minorHAnsi" w:hAnsiTheme="minorHAnsi" w:cstheme="minorHAnsi"/>
          <w:i w:val="0"/>
          <w:iCs w:val="0"/>
          <w:color w:val="auto"/>
        </w:rPr>
        <w:fldChar w:fldCharType="end"/>
      </w:r>
      <w:r w:rsidRPr="00086FEC">
        <w:rPr>
          <w:rFonts w:asciiTheme="minorHAnsi" w:hAnsiTheme="minorHAnsi" w:cstheme="minorHAnsi"/>
          <w:i w:val="0"/>
          <w:iCs w:val="0"/>
          <w:color w:val="auto"/>
        </w:rPr>
        <w:t xml:space="preserve"> - Population selon le profil linguistique au 31 mars 2020</w:t>
      </w:r>
    </w:p>
    <w:p w14:paraId="2CBB86AD" w14:textId="64653A87" w:rsidR="00086FEC" w:rsidRPr="00086FEC" w:rsidRDefault="00086FEC" w:rsidP="00086FEC">
      <w:pPr>
        <w:pStyle w:val="Caption"/>
        <w:keepNext/>
        <w:spacing w:before="240" w:after="0"/>
        <w:jc w:val="center"/>
        <w:rPr>
          <w:rFonts w:asciiTheme="minorHAnsi" w:hAnsiTheme="minorHAnsi" w:cstheme="minorHAnsi"/>
          <w:i w:val="0"/>
          <w:iCs w:val="0"/>
          <w:color w:val="auto"/>
        </w:rPr>
      </w:pPr>
      <w:r w:rsidRPr="00086FEC">
        <w:rPr>
          <w:rFonts w:asciiTheme="minorHAnsi" w:hAnsiTheme="minorHAnsi" w:cstheme="minorHAnsi"/>
          <w:i w:val="0"/>
          <w:iCs w:val="0"/>
          <w:color w:val="auto"/>
        </w:rPr>
        <w:t xml:space="preserve">Tableau </w:t>
      </w:r>
      <w:r w:rsidRPr="00086FEC">
        <w:rPr>
          <w:rFonts w:asciiTheme="minorHAnsi" w:hAnsiTheme="minorHAnsi" w:cstheme="minorHAnsi"/>
          <w:i w:val="0"/>
          <w:iCs w:val="0"/>
          <w:color w:val="auto"/>
        </w:rPr>
        <w:fldChar w:fldCharType="begin"/>
      </w:r>
      <w:r w:rsidRPr="00086FEC">
        <w:rPr>
          <w:rFonts w:asciiTheme="minorHAnsi" w:hAnsiTheme="minorHAnsi" w:cstheme="minorHAnsi"/>
          <w:i w:val="0"/>
          <w:iCs w:val="0"/>
          <w:color w:val="auto"/>
        </w:rPr>
        <w:instrText xml:space="preserve"> SEQ Tableau \* ARABIC </w:instrText>
      </w:r>
      <w:r w:rsidRPr="00086FEC">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6</w:t>
      </w:r>
      <w:r w:rsidRPr="00086FEC">
        <w:rPr>
          <w:rFonts w:asciiTheme="minorHAnsi" w:hAnsiTheme="minorHAnsi" w:cstheme="minorHAnsi"/>
          <w:i w:val="0"/>
          <w:iCs w:val="0"/>
          <w:color w:val="auto"/>
        </w:rPr>
        <w:fldChar w:fldCharType="end"/>
      </w:r>
      <w:r w:rsidRPr="00086FEC">
        <w:rPr>
          <w:rFonts w:asciiTheme="minorHAnsi" w:hAnsiTheme="minorHAnsi" w:cstheme="minorHAnsi"/>
          <w:i w:val="0"/>
          <w:iCs w:val="0"/>
          <w:color w:val="auto"/>
        </w:rPr>
        <w:t xml:space="preserve"> - Effectif régi par la </w:t>
      </w:r>
      <w:r w:rsidRPr="001B7506">
        <w:rPr>
          <w:rStyle w:val="Emphasis"/>
          <w:rFonts w:asciiTheme="minorHAnsi" w:hAnsiTheme="minorHAnsi" w:cstheme="minorHAnsi"/>
          <w:i/>
          <w:iCs/>
          <w:color w:val="auto"/>
        </w:rPr>
        <w:t>Loi sur l’emploi dans la fonction publique</w:t>
      </w:r>
      <w:r w:rsidRPr="001B7506">
        <w:rPr>
          <w:rFonts w:asciiTheme="minorHAnsi" w:hAnsiTheme="minorHAnsi" w:cstheme="minorHAnsi"/>
          <w:i w:val="0"/>
          <w:iCs w:val="0"/>
          <w:color w:val="auto"/>
        </w:rPr>
        <w:t xml:space="preserve"> </w:t>
      </w:r>
      <w:r w:rsidRPr="00086FEC">
        <w:rPr>
          <w:rFonts w:asciiTheme="minorHAnsi" w:hAnsiTheme="minorHAnsi" w:cstheme="minorHAnsi"/>
          <w:i w:val="0"/>
          <w:iCs w:val="0"/>
          <w:color w:val="auto"/>
        </w:rPr>
        <w:t>selon le profil linguistique au 31 mars 2020</w:t>
      </w:r>
    </w:p>
    <w:tbl>
      <w:tblPr>
        <w:tblStyle w:val="TableGrid"/>
        <w:tblW w:w="5000" w:type="pct"/>
        <w:jc w:val="center"/>
        <w:tblLook w:val="0020" w:firstRow="1" w:lastRow="0" w:firstColumn="0" w:lastColumn="0" w:noHBand="0" w:noVBand="0"/>
        <w:tblDescription w:val="Effectif selon les exigences linguistiques au 31 mars 2020"/>
      </w:tblPr>
      <w:tblGrid>
        <w:gridCol w:w="3963"/>
        <w:gridCol w:w="4962"/>
        <w:gridCol w:w="5465"/>
      </w:tblGrid>
      <w:tr w:rsidR="00086FEC" w:rsidRPr="00086FEC" w14:paraId="04A8DB34" w14:textId="77777777" w:rsidTr="001B7506">
        <w:trPr>
          <w:cantSplit/>
          <w:trHeight w:val="290"/>
          <w:tblHeader/>
          <w:jc w:val="center"/>
        </w:trPr>
        <w:tc>
          <w:tcPr>
            <w:tcW w:w="1377" w:type="pct"/>
          </w:tcPr>
          <w:p w14:paraId="39B56253" w14:textId="77777777" w:rsidR="00DA7821" w:rsidRPr="00086FEC" w:rsidRDefault="00DA7821" w:rsidP="00086FEC">
            <w:pPr>
              <w:pStyle w:val="TableTitle"/>
              <w:rPr>
                <w:color w:val="auto"/>
                <w:sz w:val="22"/>
                <w:szCs w:val="22"/>
              </w:rPr>
            </w:pPr>
            <w:r w:rsidRPr="00086FEC">
              <w:rPr>
                <w:color w:val="auto"/>
                <w:sz w:val="22"/>
                <w:szCs w:val="22"/>
              </w:rPr>
              <w:t xml:space="preserve">Profil linguistique  </w:t>
            </w:r>
          </w:p>
        </w:tc>
        <w:tc>
          <w:tcPr>
            <w:tcW w:w="1724" w:type="pct"/>
          </w:tcPr>
          <w:p w14:paraId="7E89CCC3" w14:textId="77777777" w:rsidR="00DA7821" w:rsidRPr="00086FEC" w:rsidRDefault="00DA7821" w:rsidP="00086FEC">
            <w:pPr>
              <w:pStyle w:val="TableTitle"/>
              <w:rPr>
                <w:color w:val="auto"/>
                <w:sz w:val="22"/>
                <w:szCs w:val="22"/>
              </w:rPr>
            </w:pPr>
            <w:r w:rsidRPr="00086FEC">
              <w:rPr>
                <w:color w:val="auto"/>
                <w:sz w:val="22"/>
                <w:szCs w:val="22"/>
              </w:rPr>
              <w:t>Effectif au 31 mars 2020</w:t>
            </w:r>
          </w:p>
        </w:tc>
        <w:tc>
          <w:tcPr>
            <w:tcW w:w="1899" w:type="pct"/>
          </w:tcPr>
          <w:p w14:paraId="0781410A" w14:textId="77777777" w:rsidR="00DA7821" w:rsidRPr="00086FEC" w:rsidRDefault="00DA7821" w:rsidP="00086FEC">
            <w:pPr>
              <w:pStyle w:val="TableTitle"/>
              <w:rPr>
                <w:color w:val="auto"/>
                <w:sz w:val="22"/>
                <w:szCs w:val="22"/>
              </w:rPr>
            </w:pPr>
            <w:r w:rsidRPr="00086FEC">
              <w:rPr>
                <w:color w:val="auto"/>
                <w:sz w:val="22"/>
                <w:szCs w:val="22"/>
              </w:rPr>
              <w:t>Pourcentage de l'effectif au 31 mars 2020</w:t>
            </w:r>
          </w:p>
        </w:tc>
      </w:tr>
      <w:tr w:rsidR="00086FEC" w:rsidRPr="00086FEC" w14:paraId="605DFC2B" w14:textId="77777777" w:rsidTr="001B7506">
        <w:trPr>
          <w:cantSplit/>
          <w:trHeight w:val="290"/>
          <w:tblHeader/>
          <w:jc w:val="center"/>
        </w:trPr>
        <w:tc>
          <w:tcPr>
            <w:tcW w:w="1377" w:type="pct"/>
          </w:tcPr>
          <w:p w14:paraId="5CEE00B4" w14:textId="77777777" w:rsidR="00DA7821" w:rsidRPr="00086FEC" w:rsidRDefault="00DA7821" w:rsidP="00CD64EE">
            <w:pPr>
              <w:autoSpaceDE w:val="0"/>
              <w:autoSpaceDN w:val="0"/>
              <w:adjustRightInd w:val="0"/>
              <w:rPr>
                <w:rFonts w:asciiTheme="minorHAnsi" w:hAnsiTheme="minorHAnsi" w:cstheme="minorHAnsi"/>
                <w:sz w:val="22"/>
                <w:szCs w:val="22"/>
              </w:rPr>
            </w:pPr>
            <w:r w:rsidRPr="00086FEC">
              <w:rPr>
                <w:rFonts w:asciiTheme="minorHAnsi" w:hAnsiTheme="minorHAnsi" w:cstheme="minorHAnsi"/>
                <w:sz w:val="22"/>
                <w:szCs w:val="22"/>
              </w:rPr>
              <w:t xml:space="preserve">Bilingue </w:t>
            </w:r>
          </w:p>
        </w:tc>
        <w:tc>
          <w:tcPr>
            <w:tcW w:w="1724" w:type="pct"/>
          </w:tcPr>
          <w:p w14:paraId="319DD6AD" w14:textId="77777777" w:rsidR="00DA7821" w:rsidRPr="00086FEC" w:rsidRDefault="00DA7821" w:rsidP="00CD64EE">
            <w:pPr>
              <w:autoSpaceDE w:val="0"/>
              <w:autoSpaceDN w:val="0"/>
              <w:adjustRightInd w:val="0"/>
              <w:jc w:val="center"/>
              <w:rPr>
                <w:rFonts w:asciiTheme="minorHAnsi" w:hAnsiTheme="minorHAnsi" w:cstheme="minorHAnsi"/>
                <w:sz w:val="22"/>
                <w:szCs w:val="22"/>
              </w:rPr>
            </w:pPr>
            <w:r w:rsidRPr="00086FEC">
              <w:rPr>
                <w:rFonts w:asciiTheme="minorHAnsi" w:hAnsiTheme="minorHAnsi" w:cstheme="minorHAnsi"/>
                <w:sz w:val="22"/>
                <w:szCs w:val="22"/>
              </w:rPr>
              <w:t>1 139</w:t>
            </w:r>
          </w:p>
        </w:tc>
        <w:tc>
          <w:tcPr>
            <w:tcW w:w="1899" w:type="pct"/>
          </w:tcPr>
          <w:p w14:paraId="0F418A29" w14:textId="12C42C13" w:rsidR="00DA7821" w:rsidRPr="00086FEC" w:rsidRDefault="00DA7821" w:rsidP="00CD64EE">
            <w:pPr>
              <w:autoSpaceDE w:val="0"/>
              <w:autoSpaceDN w:val="0"/>
              <w:adjustRightInd w:val="0"/>
              <w:jc w:val="center"/>
              <w:rPr>
                <w:rFonts w:asciiTheme="minorHAnsi" w:hAnsiTheme="minorHAnsi" w:cstheme="minorHAnsi"/>
                <w:sz w:val="22"/>
                <w:szCs w:val="22"/>
              </w:rPr>
            </w:pPr>
            <w:r w:rsidRPr="00086FEC">
              <w:rPr>
                <w:rFonts w:asciiTheme="minorHAnsi" w:hAnsiTheme="minorHAnsi" w:cstheme="minorHAnsi"/>
                <w:sz w:val="22"/>
                <w:szCs w:val="22"/>
              </w:rPr>
              <w:t>39</w:t>
            </w:r>
            <w:r w:rsidR="00154343">
              <w:rPr>
                <w:rFonts w:asciiTheme="minorHAnsi" w:hAnsiTheme="minorHAnsi" w:cstheme="minorHAnsi"/>
                <w:sz w:val="22"/>
                <w:szCs w:val="22"/>
              </w:rPr>
              <w:t xml:space="preserve"> </w:t>
            </w:r>
            <w:r w:rsidRPr="00086FEC">
              <w:rPr>
                <w:rFonts w:asciiTheme="minorHAnsi" w:hAnsiTheme="minorHAnsi" w:cstheme="minorHAnsi"/>
                <w:sz w:val="22"/>
                <w:szCs w:val="22"/>
              </w:rPr>
              <w:t>%</w:t>
            </w:r>
          </w:p>
        </w:tc>
      </w:tr>
      <w:tr w:rsidR="00086FEC" w:rsidRPr="00086FEC" w14:paraId="1F3E201D" w14:textId="77777777" w:rsidTr="001B7506">
        <w:trPr>
          <w:cantSplit/>
          <w:trHeight w:val="290"/>
          <w:tblHeader/>
          <w:jc w:val="center"/>
        </w:trPr>
        <w:tc>
          <w:tcPr>
            <w:tcW w:w="1377" w:type="pct"/>
          </w:tcPr>
          <w:p w14:paraId="109FDD15" w14:textId="77777777" w:rsidR="00DA7821" w:rsidRPr="00086FEC" w:rsidRDefault="00DA7821" w:rsidP="00CD64EE">
            <w:pPr>
              <w:autoSpaceDE w:val="0"/>
              <w:autoSpaceDN w:val="0"/>
              <w:adjustRightInd w:val="0"/>
              <w:rPr>
                <w:rFonts w:asciiTheme="minorHAnsi" w:hAnsiTheme="minorHAnsi" w:cstheme="minorHAnsi"/>
                <w:sz w:val="22"/>
                <w:szCs w:val="22"/>
              </w:rPr>
            </w:pPr>
            <w:r w:rsidRPr="00086FEC">
              <w:rPr>
                <w:rFonts w:asciiTheme="minorHAnsi" w:hAnsiTheme="minorHAnsi" w:cstheme="minorHAnsi"/>
                <w:sz w:val="22"/>
                <w:szCs w:val="22"/>
              </w:rPr>
              <w:t>Unilingue</w:t>
            </w:r>
          </w:p>
        </w:tc>
        <w:tc>
          <w:tcPr>
            <w:tcW w:w="1724" w:type="pct"/>
          </w:tcPr>
          <w:p w14:paraId="5FF131D7" w14:textId="77777777" w:rsidR="00DA7821" w:rsidRPr="00086FEC" w:rsidRDefault="00DA7821" w:rsidP="00CD64EE">
            <w:pPr>
              <w:autoSpaceDE w:val="0"/>
              <w:autoSpaceDN w:val="0"/>
              <w:adjustRightInd w:val="0"/>
              <w:jc w:val="center"/>
              <w:rPr>
                <w:rFonts w:asciiTheme="minorHAnsi" w:hAnsiTheme="minorHAnsi" w:cstheme="minorHAnsi"/>
                <w:sz w:val="22"/>
                <w:szCs w:val="22"/>
              </w:rPr>
            </w:pPr>
            <w:r w:rsidRPr="00086FEC">
              <w:rPr>
                <w:rFonts w:asciiTheme="minorHAnsi" w:hAnsiTheme="minorHAnsi" w:cstheme="minorHAnsi"/>
                <w:sz w:val="22"/>
                <w:szCs w:val="22"/>
              </w:rPr>
              <w:t>1 786</w:t>
            </w:r>
          </w:p>
        </w:tc>
        <w:tc>
          <w:tcPr>
            <w:tcW w:w="1899" w:type="pct"/>
          </w:tcPr>
          <w:p w14:paraId="4311DC52" w14:textId="0ADB9CC3" w:rsidR="00DA7821" w:rsidRPr="00086FEC" w:rsidRDefault="00DA7821" w:rsidP="00CD64EE">
            <w:pPr>
              <w:autoSpaceDE w:val="0"/>
              <w:autoSpaceDN w:val="0"/>
              <w:adjustRightInd w:val="0"/>
              <w:jc w:val="center"/>
              <w:rPr>
                <w:rFonts w:asciiTheme="minorHAnsi" w:hAnsiTheme="minorHAnsi" w:cstheme="minorHAnsi"/>
                <w:sz w:val="22"/>
                <w:szCs w:val="22"/>
              </w:rPr>
            </w:pPr>
            <w:r w:rsidRPr="00086FEC">
              <w:rPr>
                <w:rFonts w:asciiTheme="minorHAnsi" w:hAnsiTheme="minorHAnsi" w:cstheme="minorHAnsi"/>
                <w:sz w:val="22"/>
                <w:szCs w:val="22"/>
              </w:rPr>
              <w:t>61</w:t>
            </w:r>
            <w:r w:rsidR="00154343">
              <w:rPr>
                <w:rFonts w:asciiTheme="minorHAnsi" w:hAnsiTheme="minorHAnsi" w:cstheme="minorHAnsi"/>
                <w:sz w:val="22"/>
                <w:szCs w:val="22"/>
              </w:rPr>
              <w:t xml:space="preserve"> </w:t>
            </w:r>
            <w:r w:rsidRPr="00086FEC">
              <w:rPr>
                <w:rFonts w:asciiTheme="minorHAnsi" w:hAnsiTheme="minorHAnsi" w:cstheme="minorHAnsi"/>
                <w:sz w:val="22"/>
                <w:szCs w:val="22"/>
              </w:rPr>
              <w:t>%</w:t>
            </w:r>
          </w:p>
        </w:tc>
      </w:tr>
      <w:tr w:rsidR="00086FEC" w:rsidRPr="00086FEC" w14:paraId="2921ED52" w14:textId="77777777" w:rsidTr="001B7506">
        <w:trPr>
          <w:cantSplit/>
          <w:trHeight w:val="290"/>
          <w:tblHeader/>
          <w:jc w:val="center"/>
        </w:trPr>
        <w:tc>
          <w:tcPr>
            <w:tcW w:w="1377" w:type="pct"/>
          </w:tcPr>
          <w:p w14:paraId="2D62C8B6" w14:textId="77777777" w:rsidR="00DA7821" w:rsidRPr="00086FEC" w:rsidRDefault="00DA7821" w:rsidP="00CD64EE">
            <w:pPr>
              <w:autoSpaceDE w:val="0"/>
              <w:autoSpaceDN w:val="0"/>
              <w:adjustRightInd w:val="0"/>
              <w:rPr>
                <w:rFonts w:asciiTheme="minorHAnsi" w:hAnsiTheme="minorHAnsi" w:cstheme="minorHAnsi"/>
                <w:sz w:val="22"/>
                <w:szCs w:val="22"/>
              </w:rPr>
            </w:pPr>
            <w:r w:rsidRPr="00086FEC">
              <w:rPr>
                <w:rFonts w:asciiTheme="minorHAnsi" w:hAnsiTheme="minorHAnsi" w:cstheme="minorHAnsi"/>
                <w:sz w:val="22"/>
                <w:szCs w:val="22"/>
              </w:rPr>
              <w:t>Inconnus</w:t>
            </w:r>
          </w:p>
        </w:tc>
        <w:tc>
          <w:tcPr>
            <w:tcW w:w="1724" w:type="pct"/>
          </w:tcPr>
          <w:p w14:paraId="41BAAF3B" w14:textId="77777777" w:rsidR="00DA7821" w:rsidRPr="00086FEC" w:rsidRDefault="00DA7821" w:rsidP="00CD64EE">
            <w:pPr>
              <w:autoSpaceDE w:val="0"/>
              <w:autoSpaceDN w:val="0"/>
              <w:adjustRightInd w:val="0"/>
              <w:jc w:val="center"/>
              <w:rPr>
                <w:rFonts w:asciiTheme="minorHAnsi" w:hAnsiTheme="minorHAnsi" w:cstheme="minorHAnsi"/>
                <w:sz w:val="22"/>
                <w:szCs w:val="22"/>
              </w:rPr>
            </w:pPr>
            <w:r w:rsidRPr="00086FEC">
              <w:rPr>
                <w:rFonts w:asciiTheme="minorHAnsi" w:hAnsiTheme="minorHAnsi" w:cstheme="minorHAnsi"/>
                <w:sz w:val="22"/>
                <w:szCs w:val="22"/>
              </w:rPr>
              <w:t>1 776</w:t>
            </w:r>
          </w:p>
        </w:tc>
        <w:tc>
          <w:tcPr>
            <w:tcW w:w="1899" w:type="pct"/>
          </w:tcPr>
          <w:p w14:paraId="31E13E5B" w14:textId="26199FBC" w:rsidR="00DA7821" w:rsidRPr="00086FEC" w:rsidRDefault="00086FEC" w:rsidP="00CD64EE">
            <w:pPr>
              <w:autoSpaceDE w:val="0"/>
              <w:autoSpaceDN w:val="0"/>
              <w:adjustRightInd w:val="0"/>
              <w:jc w:val="center"/>
              <w:rPr>
                <w:rFonts w:asciiTheme="minorHAnsi" w:hAnsiTheme="minorHAnsi" w:cstheme="minorHAnsi"/>
                <w:sz w:val="22"/>
                <w:szCs w:val="22"/>
              </w:rPr>
            </w:pPr>
            <w:r>
              <w:rPr>
                <w:rFonts w:asciiTheme="minorHAnsi" w:hAnsiTheme="minorHAnsi" w:cstheme="minorHAnsi"/>
                <w:sz w:val="22"/>
                <w:szCs w:val="22"/>
              </w:rPr>
              <w:t>0</w:t>
            </w:r>
            <w:r w:rsidR="00154343">
              <w:rPr>
                <w:rFonts w:asciiTheme="minorHAnsi" w:hAnsiTheme="minorHAnsi" w:cstheme="minorHAnsi"/>
                <w:sz w:val="22"/>
                <w:szCs w:val="22"/>
              </w:rPr>
              <w:t xml:space="preserve"> </w:t>
            </w:r>
            <w:r>
              <w:rPr>
                <w:rFonts w:asciiTheme="minorHAnsi" w:hAnsiTheme="minorHAnsi" w:cstheme="minorHAnsi"/>
                <w:sz w:val="22"/>
                <w:szCs w:val="22"/>
              </w:rPr>
              <w:t>%</w:t>
            </w:r>
          </w:p>
        </w:tc>
      </w:tr>
    </w:tbl>
    <w:p w14:paraId="0E962902" w14:textId="31AFE14F" w:rsidR="00B93FD9" w:rsidRDefault="00B93FD9">
      <w:pPr>
        <w:spacing w:after="160" w:line="259" w:lineRule="auto"/>
        <w:rPr>
          <w:noProof/>
          <w:lang w:eastAsia="en-CA"/>
        </w:rPr>
      </w:pPr>
      <w:r>
        <w:rPr>
          <w:noProof/>
          <w:lang w:eastAsia="en-CA"/>
        </w:rPr>
        <w:br w:type="page"/>
      </w:r>
    </w:p>
    <w:p w14:paraId="16E25E16" w14:textId="77777777" w:rsidR="001B7506" w:rsidRPr="001B7506" w:rsidRDefault="001B7506" w:rsidP="001B7506">
      <w:pPr>
        <w:pStyle w:val="Heading1"/>
        <w:spacing w:before="120"/>
        <w:rPr>
          <w:noProof/>
          <w:sz w:val="40"/>
          <w:szCs w:val="40"/>
          <w:lang w:eastAsia="en-CA"/>
        </w:rPr>
      </w:pPr>
      <w:r w:rsidRPr="001B7506">
        <w:rPr>
          <w:rFonts w:eastAsia="Times New Roman"/>
          <w:noProof/>
          <w:sz w:val="40"/>
          <w:szCs w:val="40"/>
          <w:lang w:eastAsia="en-CA"/>
        </w:rPr>
        <w:lastRenderedPageBreak/>
        <w:t>Population selon le groupe professionnel au 31 mars 2020</w:t>
      </w:r>
    </w:p>
    <w:p w14:paraId="791D1C5F" w14:textId="77777777" w:rsidR="001B7506" w:rsidRDefault="00042038" w:rsidP="001B7506">
      <w:pPr>
        <w:keepNext/>
        <w:tabs>
          <w:tab w:val="left" w:pos="7839"/>
        </w:tabs>
        <w:jc w:val="center"/>
      </w:pPr>
      <w:r w:rsidRPr="008D775D">
        <w:rPr>
          <w:noProof/>
          <w:sz w:val="17"/>
          <w:szCs w:val="17"/>
          <w:lang w:eastAsia="en-CA"/>
        </w:rPr>
        <w:drawing>
          <wp:inline distT="0" distB="0" distL="0" distR="0" wp14:anchorId="5CB6B75A" wp14:editId="71CBCAEC">
            <wp:extent cx="1980000" cy="3020400"/>
            <wp:effectExtent l="0" t="0" r="1270" b="8890"/>
            <wp:docPr id="5" name="Chart 5" descr="Population selon le groupe professionnel au 31 mars 202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4701FD5" w14:textId="61EB7C60" w:rsidR="00042038" w:rsidRPr="001B7506" w:rsidRDefault="001B7506" w:rsidP="001B7506">
      <w:pPr>
        <w:pStyle w:val="Caption"/>
        <w:spacing w:after="0"/>
        <w:jc w:val="center"/>
        <w:rPr>
          <w:rFonts w:asciiTheme="minorHAnsi" w:hAnsiTheme="minorHAnsi" w:cstheme="minorHAnsi"/>
          <w:i w:val="0"/>
          <w:iCs w:val="0"/>
          <w:noProof/>
          <w:color w:val="auto"/>
          <w:lang w:eastAsia="en-CA"/>
        </w:rPr>
      </w:pPr>
      <w:r w:rsidRPr="001B7506">
        <w:rPr>
          <w:rFonts w:asciiTheme="minorHAnsi" w:hAnsiTheme="minorHAnsi" w:cstheme="minorHAnsi"/>
          <w:i w:val="0"/>
          <w:iCs w:val="0"/>
          <w:color w:val="auto"/>
        </w:rPr>
        <w:t xml:space="preserve">Figure </w:t>
      </w:r>
      <w:r w:rsidRPr="001B7506">
        <w:rPr>
          <w:rFonts w:asciiTheme="minorHAnsi" w:hAnsiTheme="minorHAnsi" w:cstheme="minorHAnsi"/>
          <w:i w:val="0"/>
          <w:iCs w:val="0"/>
          <w:color w:val="auto"/>
        </w:rPr>
        <w:fldChar w:fldCharType="begin"/>
      </w:r>
      <w:r w:rsidRPr="001B7506">
        <w:rPr>
          <w:rFonts w:asciiTheme="minorHAnsi" w:hAnsiTheme="minorHAnsi" w:cstheme="minorHAnsi"/>
          <w:i w:val="0"/>
          <w:iCs w:val="0"/>
          <w:color w:val="auto"/>
        </w:rPr>
        <w:instrText xml:space="preserve"> SEQ Figure \* ARABIC </w:instrText>
      </w:r>
      <w:r w:rsidRPr="001B7506">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3</w:t>
      </w:r>
      <w:r w:rsidRPr="001B7506">
        <w:rPr>
          <w:rFonts w:asciiTheme="minorHAnsi" w:hAnsiTheme="minorHAnsi" w:cstheme="minorHAnsi"/>
          <w:i w:val="0"/>
          <w:iCs w:val="0"/>
          <w:color w:val="auto"/>
        </w:rPr>
        <w:fldChar w:fldCharType="end"/>
      </w:r>
      <w:r w:rsidRPr="001B7506">
        <w:rPr>
          <w:rFonts w:asciiTheme="minorHAnsi" w:hAnsiTheme="minorHAnsi" w:cstheme="minorHAnsi"/>
          <w:i w:val="0"/>
          <w:iCs w:val="0"/>
          <w:color w:val="auto"/>
        </w:rPr>
        <w:t xml:space="preserve"> - Population selon le groupe professionnel au 31 mars 2020</w:t>
      </w:r>
    </w:p>
    <w:p w14:paraId="0665FE8A" w14:textId="179F1FDC" w:rsidR="001B7506" w:rsidRPr="001B7506" w:rsidRDefault="001B7506" w:rsidP="001B7506">
      <w:pPr>
        <w:pStyle w:val="Caption"/>
        <w:keepNext/>
        <w:spacing w:before="240" w:after="0"/>
        <w:jc w:val="center"/>
        <w:rPr>
          <w:rFonts w:asciiTheme="minorHAnsi" w:hAnsiTheme="minorHAnsi" w:cstheme="minorHAnsi"/>
          <w:i w:val="0"/>
          <w:iCs w:val="0"/>
          <w:color w:val="auto"/>
        </w:rPr>
      </w:pPr>
      <w:r w:rsidRPr="001B7506">
        <w:rPr>
          <w:rFonts w:asciiTheme="minorHAnsi" w:hAnsiTheme="minorHAnsi" w:cstheme="minorHAnsi"/>
          <w:i w:val="0"/>
          <w:iCs w:val="0"/>
          <w:color w:val="auto"/>
        </w:rPr>
        <w:t xml:space="preserve">Tableau </w:t>
      </w:r>
      <w:r w:rsidRPr="001B7506">
        <w:rPr>
          <w:rFonts w:asciiTheme="minorHAnsi" w:hAnsiTheme="minorHAnsi" w:cstheme="minorHAnsi"/>
          <w:i w:val="0"/>
          <w:iCs w:val="0"/>
          <w:color w:val="auto"/>
        </w:rPr>
        <w:fldChar w:fldCharType="begin"/>
      </w:r>
      <w:r w:rsidRPr="001B7506">
        <w:rPr>
          <w:rFonts w:asciiTheme="minorHAnsi" w:hAnsiTheme="minorHAnsi" w:cstheme="minorHAnsi"/>
          <w:i w:val="0"/>
          <w:iCs w:val="0"/>
          <w:color w:val="auto"/>
        </w:rPr>
        <w:instrText xml:space="preserve"> SEQ Tableau \* ARABIC </w:instrText>
      </w:r>
      <w:r w:rsidRPr="001B7506">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7</w:t>
      </w:r>
      <w:r w:rsidRPr="001B7506">
        <w:rPr>
          <w:rFonts w:asciiTheme="minorHAnsi" w:hAnsiTheme="minorHAnsi" w:cstheme="minorHAnsi"/>
          <w:i w:val="0"/>
          <w:iCs w:val="0"/>
          <w:color w:val="auto"/>
        </w:rPr>
        <w:fldChar w:fldCharType="end"/>
      </w:r>
      <w:r w:rsidRPr="001B7506">
        <w:rPr>
          <w:rFonts w:asciiTheme="minorHAnsi" w:hAnsiTheme="minorHAnsi" w:cstheme="minorHAnsi"/>
          <w:i w:val="0"/>
          <w:iCs w:val="0"/>
          <w:color w:val="auto"/>
        </w:rPr>
        <w:t xml:space="preserve"> - Groupes d’emploi, pourcentage de l'effectif régi par la </w:t>
      </w:r>
      <w:r w:rsidRPr="001B7506">
        <w:rPr>
          <w:rStyle w:val="Emphasis"/>
          <w:rFonts w:asciiTheme="minorHAnsi" w:hAnsiTheme="minorHAnsi" w:cstheme="minorHAnsi"/>
          <w:i/>
          <w:iCs/>
          <w:color w:val="auto"/>
        </w:rPr>
        <w:t>Loi sur l’emploi dans la fonction publique</w:t>
      </w:r>
      <w:r w:rsidRPr="001B7506">
        <w:rPr>
          <w:rFonts w:asciiTheme="minorHAnsi" w:hAnsiTheme="minorHAnsi" w:cstheme="minorHAnsi"/>
          <w:i w:val="0"/>
          <w:iCs w:val="0"/>
          <w:color w:val="auto"/>
        </w:rPr>
        <w:t xml:space="preserve"> au 31 mars 2020</w:t>
      </w:r>
    </w:p>
    <w:tbl>
      <w:tblPr>
        <w:tblStyle w:val="TableGrid"/>
        <w:tblW w:w="5000" w:type="pct"/>
        <w:jc w:val="center"/>
        <w:tblLook w:val="0020" w:firstRow="1" w:lastRow="0" w:firstColumn="0" w:lastColumn="0" w:noHBand="0" w:noVBand="0"/>
        <w:tblDescription w:val="Effectif selon le groupe professionnel au 31 mars 2020"/>
      </w:tblPr>
      <w:tblGrid>
        <w:gridCol w:w="5664"/>
        <w:gridCol w:w="3828"/>
        <w:gridCol w:w="4898"/>
      </w:tblGrid>
      <w:tr w:rsidR="001B7506" w:rsidRPr="001B7506" w14:paraId="0271D8C9" w14:textId="77777777" w:rsidTr="001B7506">
        <w:trPr>
          <w:cantSplit/>
          <w:trHeight w:val="290"/>
          <w:tblHeader/>
          <w:jc w:val="center"/>
        </w:trPr>
        <w:tc>
          <w:tcPr>
            <w:tcW w:w="1968" w:type="pct"/>
          </w:tcPr>
          <w:p w14:paraId="7DA1B266" w14:textId="77777777" w:rsidR="00DA7821" w:rsidRPr="001B7506" w:rsidRDefault="00DA7821" w:rsidP="001B7506">
            <w:pPr>
              <w:pStyle w:val="TableTitle"/>
              <w:rPr>
                <w:color w:val="auto"/>
                <w:sz w:val="22"/>
                <w:szCs w:val="22"/>
              </w:rPr>
            </w:pPr>
            <w:r w:rsidRPr="001B7506">
              <w:rPr>
                <w:color w:val="auto"/>
                <w:sz w:val="22"/>
                <w:szCs w:val="22"/>
              </w:rPr>
              <w:t>Groupes professionnels</w:t>
            </w:r>
          </w:p>
        </w:tc>
        <w:tc>
          <w:tcPr>
            <w:tcW w:w="1330" w:type="pct"/>
          </w:tcPr>
          <w:p w14:paraId="3F45EE50" w14:textId="77777777" w:rsidR="00DA7821" w:rsidRPr="001B7506" w:rsidRDefault="00DA7821" w:rsidP="001B7506">
            <w:pPr>
              <w:pStyle w:val="TableTitle"/>
              <w:rPr>
                <w:color w:val="auto"/>
                <w:sz w:val="22"/>
                <w:szCs w:val="22"/>
              </w:rPr>
            </w:pPr>
            <w:r w:rsidRPr="001B7506">
              <w:rPr>
                <w:color w:val="auto"/>
                <w:sz w:val="22"/>
                <w:szCs w:val="22"/>
              </w:rPr>
              <w:t>Effectif au 31 mars 2020</w:t>
            </w:r>
          </w:p>
        </w:tc>
        <w:tc>
          <w:tcPr>
            <w:tcW w:w="1702" w:type="pct"/>
          </w:tcPr>
          <w:p w14:paraId="78D44541" w14:textId="77777777" w:rsidR="00DA7821" w:rsidRPr="001B7506" w:rsidRDefault="00DA7821" w:rsidP="001B7506">
            <w:pPr>
              <w:pStyle w:val="TableTitle"/>
              <w:rPr>
                <w:color w:val="auto"/>
                <w:sz w:val="22"/>
                <w:szCs w:val="22"/>
              </w:rPr>
            </w:pPr>
            <w:r w:rsidRPr="001B7506">
              <w:rPr>
                <w:color w:val="auto"/>
                <w:sz w:val="22"/>
                <w:szCs w:val="22"/>
              </w:rPr>
              <w:t>Pourcentage de l'effectif au 31 mars 2020</w:t>
            </w:r>
          </w:p>
        </w:tc>
      </w:tr>
      <w:tr w:rsidR="001B7506" w:rsidRPr="001B7506" w14:paraId="39169AB3" w14:textId="77777777" w:rsidTr="001B7506">
        <w:trPr>
          <w:cantSplit/>
          <w:trHeight w:val="290"/>
          <w:tblHeader/>
          <w:jc w:val="center"/>
        </w:trPr>
        <w:tc>
          <w:tcPr>
            <w:tcW w:w="1968" w:type="pct"/>
          </w:tcPr>
          <w:p w14:paraId="64964865" w14:textId="10F85B1C" w:rsidR="00DA7821" w:rsidRPr="001B7506" w:rsidRDefault="00DA7821" w:rsidP="00CD64EE">
            <w:pPr>
              <w:autoSpaceDE w:val="0"/>
              <w:autoSpaceDN w:val="0"/>
              <w:adjustRightInd w:val="0"/>
              <w:rPr>
                <w:rFonts w:asciiTheme="minorHAnsi" w:hAnsiTheme="minorHAnsi" w:cstheme="minorHAnsi"/>
                <w:sz w:val="22"/>
                <w:szCs w:val="22"/>
              </w:rPr>
            </w:pPr>
            <w:r w:rsidRPr="001B7506">
              <w:rPr>
                <w:rFonts w:asciiTheme="minorHAnsi" w:hAnsiTheme="minorHAnsi" w:cstheme="minorHAnsi"/>
                <w:sz w:val="22"/>
                <w:szCs w:val="22"/>
              </w:rPr>
              <w:t>EC –</w:t>
            </w:r>
            <w:r w:rsidR="00154343">
              <w:rPr>
                <w:rFonts w:asciiTheme="minorHAnsi" w:hAnsiTheme="minorHAnsi" w:cstheme="minorHAnsi"/>
                <w:sz w:val="22"/>
                <w:szCs w:val="22"/>
              </w:rPr>
              <w:t xml:space="preserve"> </w:t>
            </w:r>
            <w:r w:rsidRPr="001B7506">
              <w:rPr>
                <w:rFonts w:asciiTheme="minorHAnsi" w:hAnsiTheme="minorHAnsi" w:cstheme="minorHAnsi"/>
                <w:sz w:val="22"/>
                <w:szCs w:val="22"/>
              </w:rPr>
              <w:t>Économique et services de sciences sociales</w:t>
            </w:r>
          </w:p>
        </w:tc>
        <w:tc>
          <w:tcPr>
            <w:tcW w:w="1330" w:type="pct"/>
          </w:tcPr>
          <w:p w14:paraId="74643F6E" w14:textId="77777777"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748</w:t>
            </w:r>
          </w:p>
        </w:tc>
        <w:tc>
          <w:tcPr>
            <w:tcW w:w="1702" w:type="pct"/>
          </w:tcPr>
          <w:p w14:paraId="44E24FA7" w14:textId="4011C04B"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17</w:t>
            </w:r>
            <w:r w:rsidR="00154343">
              <w:rPr>
                <w:rFonts w:asciiTheme="minorHAnsi" w:hAnsiTheme="minorHAnsi" w:cstheme="minorHAnsi"/>
                <w:sz w:val="22"/>
                <w:szCs w:val="22"/>
              </w:rPr>
              <w:t xml:space="preserve"> </w:t>
            </w:r>
            <w:r w:rsidRPr="001B7506">
              <w:rPr>
                <w:rFonts w:asciiTheme="minorHAnsi" w:hAnsiTheme="minorHAnsi" w:cstheme="minorHAnsi"/>
                <w:sz w:val="22"/>
                <w:szCs w:val="22"/>
              </w:rPr>
              <w:t>%</w:t>
            </w:r>
          </w:p>
        </w:tc>
      </w:tr>
      <w:tr w:rsidR="001B7506" w:rsidRPr="001B7506" w14:paraId="2EACCD41" w14:textId="77777777" w:rsidTr="001B7506">
        <w:trPr>
          <w:cantSplit/>
          <w:trHeight w:val="290"/>
          <w:tblHeader/>
          <w:jc w:val="center"/>
        </w:trPr>
        <w:tc>
          <w:tcPr>
            <w:tcW w:w="1968" w:type="pct"/>
          </w:tcPr>
          <w:p w14:paraId="3339A77C" w14:textId="77777777" w:rsidR="00DA7821" w:rsidRPr="001B7506" w:rsidRDefault="00DA7821" w:rsidP="00CD64EE">
            <w:pPr>
              <w:autoSpaceDE w:val="0"/>
              <w:autoSpaceDN w:val="0"/>
              <w:adjustRightInd w:val="0"/>
              <w:rPr>
                <w:rFonts w:asciiTheme="minorHAnsi" w:hAnsiTheme="minorHAnsi" w:cstheme="minorHAnsi"/>
                <w:sz w:val="22"/>
                <w:szCs w:val="22"/>
              </w:rPr>
            </w:pPr>
            <w:r w:rsidRPr="001B7506">
              <w:rPr>
                <w:rFonts w:asciiTheme="minorHAnsi" w:hAnsiTheme="minorHAnsi" w:cstheme="minorHAnsi"/>
                <w:sz w:val="22"/>
                <w:szCs w:val="22"/>
              </w:rPr>
              <w:t>AS – Services administratifs</w:t>
            </w:r>
          </w:p>
        </w:tc>
        <w:tc>
          <w:tcPr>
            <w:tcW w:w="1330" w:type="pct"/>
          </w:tcPr>
          <w:p w14:paraId="45DB0D73" w14:textId="77777777"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613</w:t>
            </w:r>
          </w:p>
        </w:tc>
        <w:tc>
          <w:tcPr>
            <w:tcW w:w="1702" w:type="pct"/>
          </w:tcPr>
          <w:p w14:paraId="7F9FC09A" w14:textId="040AE4A7"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14</w:t>
            </w:r>
            <w:r w:rsidR="00154343">
              <w:rPr>
                <w:rFonts w:asciiTheme="minorHAnsi" w:hAnsiTheme="minorHAnsi" w:cstheme="minorHAnsi"/>
                <w:sz w:val="22"/>
                <w:szCs w:val="22"/>
              </w:rPr>
              <w:t xml:space="preserve"> </w:t>
            </w:r>
            <w:r w:rsidRPr="001B7506">
              <w:rPr>
                <w:rFonts w:asciiTheme="minorHAnsi" w:hAnsiTheme="minorHAnsi" w:cstheme="minorHAnsi"/>
                <w:sz w:val="22"/>
                <w:szCs w:val="22"/>
              </w:rPr>
              <w:t>%</w:t>
            </w:r>
          </w:p>
        </w:tc>
      </w:tr>
      <w:tr w:rsidR="001B7506" w:rsidRPr="001B7506" w14:paraId="0E07B60E" w14:textId="77777777" w:rsidTr="001B7506">
        <w:trPr>
          <w:cantSplit/>
          <w:trHeight w:val="290"/>
          <w:tblHeader/>
          <w:jc w:val="center"/>
        </w:trPr>
        <w:tc>
          <w:tcPr>
            <w:tcW w:w="1968" w:type="pct"/>
          </w:tcPr>
          <w:p w14:paraId="364B1373" w14:textId="77777777" w:rsidR="00DA7821" w:rsidRPr="001B7506" w:rsidRDefault="00DA7821" w:rsidP="00CD64EE">
            <w:pPr>
              <w:autoSpaceDE w:val="0"/>
              <w:autoSpaceDN w:val="0"/>
              <w:adjustRightInd w:val="0"/>
              <w:rPr>
                <w:rFonts w:asciiTheme="minorHAnsi" w:hAnsiTheme="minorHAnsi" w:cstheme="minorHAnsi"/>
                <w:sz w:val="22"/>
                <w:szCs w:val="22"/>
              </w:rPr>
            </w:pPr>
            <w:r w:rsidRPr="001B7506">
              <w:rPr>
                <w:rFonts w:asciiTheme="minorHAnsi" w:hAnsiTheme="minorHAnsi" w:cstheme="minorHAnsi"/>
                <w:sz w:val="22"/>
                <w:szCs w:val="22"/>
              </w:rPr>
              <w:t>SE – Recherche scientifique</w:t>
            </w:r>
          </w:p>
        </w:tc>
        <w:tc>
          <w:tcPr>
            <w:tcW w:w="1330" w:type="pct"/>
          </w:tcPr>
          <w:p w14:paraId="7935FEA3" w14:textId="77777777"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533</w:t>
            </w:r>
          </w:p>
        </w:tc>
        <w:tc>
          <w:tcPr>
            <w:tcW w:w="1702" w:type="pct"/>
          </w:tcPr>
          <w:p w14:paraId="2776A795" w14:textId="30F28142"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12</w:t>
            </w:r>
            <w:r w:rsidR="00154343">
              <w:rPr>
                <w:rFonts w:asciiTheme="minorHAnsi" w:hAnsiTheme="minorHAnsi" w:cstheme="minorHAnsi"/>
                <w:sz w:val="22"/>
                <w:szCs w:val="22"/>
              </w:rPr>
              <w:t xml:space="preserve"> </w:t>
            </w:r>
            <w:r w:rsidRPr="001B7506">
              <w:rPr>
                <w:rFonts w:asciiTheme="minorHAnsi" w:hAnsiTheme="minorHAnsi" w:cstheme="minorHAnsi"/>
                <w:sz w:val="22"/>
                <w:szCs w:val="22"/>
              </w:rPr>
              <w:t>%</w:t>
            </w:r>
          </w:p>
        </w:tc>
      </w:tr>
      <w:tr w:rsidR="001B7506" w:rsidRPr="001B7506" w14:paraId="07402F38" w14:textId="77777777" w:rsidTr="001B7506">
        <w:trPr>
          <w:cantSplit/>
          <w:trHeight w:val="290"/>
          <w:tblHeader/>
          <w:jc w:val="center"/>
        </w:trPr>
        <w:tc>
          <w:tcPr>
            <w:tcW w:w="1968" w:type="pct"/>
          </w:tcPr>
          <w:p w14:paraId="58DFF008" w14:textId="77777777" w:rsidR="00DA7821" w:rsidRPr="001B7506" w:rsidRDefault="00DA7821" w:rsidP="00CD64EE">
            <w:pPr>
              <w:autoSpaceDE w:val="0"/>
              <w:autoSpaceDN w:val="0"/>
              <w:adjustRightInd w:val="0"/>
              <w:rPr>
                <w:rFonts w:asciiTheme="minorHAnsi" w:hAnsiTheme="minorHAnsi" w:cstheme="minorHAnsi"/>
                <w:sz w:val="22"/>
                <w:szCs w:val="22"/>
              </w:rPr>
            </w:pPr>
            <w:r w:rsidRPr="001B7506">
              <w:rPr>
                <w:rFonts w:asciiTheme="minorHAnsi" w:hAnsiTheme="minorHAnsi" w:cstheme="minorHAnsi"/>
                <w:sz w:val="22"/>
                <w:szCs w:val="22"/>
              </w:rPr>
              <w:t>EG – Soutien technologique et scientifique</w:t>
            </w:r>
          </w:p>
        </w:tc>
        <w:tc>
          <w:tcPr>
            <w:tcW w:w="1330" w:type="pct"/>
          </w:tcPr>
          <w:p w14:paraId="22083E8C" w14:textId="77777777"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459</w:t>
            </w:r>
          </w:p>
        </w:tc>
        <w:tc>
          <w:tcPr>
            <w:tcW w:w="1702" w:type="pct"/>
          </w:tcPr>
          <w:p w14:paraId="315439F5" w14:textId="6255895B"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10</w:t>
            </w:r>
            <w:r w:rsidR="00154343">
              <w:rPr>
                <w:rFonts w:asciiTheme="minorHAnsi" w:hAnsiTheme="minorHAnsi" w:cstheme="minorHAnsi"/>
                <w:sz w:val="22"/>
                <w:szCs w:val="22"/>
              </w:rPr>
              <w:t xml:space="preserve"> </w:t>
            </w:r>
            <w:r w:rsidRPr="001B7506">
              <w:rPr>
                <w:rFonts w:asciiTheme="minorHAnsi" w:hAnsiTheme="minorHAnsi" w:cstheme="minorHAnsi"/>
                <w:sz w:val="22"/>
                <w:szCs w:val="22"/>
              </w:rPr>
              <w:t>%</w:t>
            </w:r>
          </w:p>
        </w:tc>
      </w:tr>
      <w:tr w:rsidR="001B7506" w:rsidRPr="001B7506" w14:paraId="7D292A9A" w14:textId="77777777" w:rsidTr="001B7506">
        <w:trPr>
          <w:cantSplit/>
          <w:trHeight w:val="290"/>
          <w:tblHeader/>
          <w:jc w:val="center"/>
        </w:trPr>
        <w:tc>
          <w:tcPr>
            <w:tcW w:w="1968" w:type="pct"/>
          </w:tcPr>
          <w:p w14:paraId="44602832" w14:textId="77777777" w:rsidR="00DA7821" w:rsidRPr="001B7506" w:rsidRDefault="00DA7821" w:rsidP="00CD64EE">
            <w:pPr>
              <w:autoSpaceDE w:val="0"/>
              <w:autoSpaceDN w:val="0"/>
              <w:adjustRightInd w:val="0"/>
              <w:rPr>
                <w:rFonts w:asciiTheme="minorHAnsi" w:hAnsiTheme="minorHAnsi" w:cstheme="minorHAnsi"/>
                <w:sz w:val="22"/>
                <w:szCs w:val="22"/>
              </w:rPr>
            </w:pPr>
            <w:r w:rsidRPr="001B7506">
              <w:rPr>
                <w:rFonts w:asciiTheme="minorHAnsi" w:hAnsiTheme="minorHAnsi" w:cstheme="minorHAnsi"/>
                <w:sz w:val="22"/>
                <w:szCs w:val="22"/>
              </w:rPr>
              <w:t>EN – Génie et arpentage</w:t>
            </w:r>
          </w:p>
        </w:tc>
        <w:tc>
          <w:tcPr>
            <w:tcW w:w="1330" w:type="pct"/>
          </w:tcPr>
          <w:p w14:paraId="37F2F07D" w14:textId="77777777"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433</w:t>
            </w:r>
          </w:p>
        </w:tc>
        <w:tc>
          <w:tcPr>
            <w:tcW w:w="1702" w:type="pct"/>
          </w:tcPr>
          <w:p w14:paraId="7E00BB94" w14:textId="068353BC"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10</w:t>
            </w:r>
            <w:r w:rsidR="00154343">
              <w:rPr>
                <w:rFonts w:asciiTheme="minorHAnsi" w:hAnsiTheme="minorHAnsi" w:cstheme="minorHAnsi"/>
                <w:sz w:val="22"/>
                <w:szCs w:val="22"/>
              </w:rPr>
              <w:t xml:space="preserve"> </w:t>
            </w:r>
            <w:r w:rsidRPr="001B7506">
              <w:rPr>
                <w:rFonts w:asciiTheme="minorHAnsi" w:hAnsiTheme="minorHAnsi" w:cstheme="minorHAnsi"/>
                <w:sz w:val="22"/>
                <w:szCs w:val="22"/>
              </w:rPr>
              <w:t>%</w:t>
            </w:r>
          </w:p>
        </w:tc>
      </w:tr>
      <w:tr w:rsidR="001B7506" w:rsidRPr="001B7506" w14:paraId="5C78946A" w14:textId="77777777" w:rsidTr="001B7506">
        <w:trPr>
          <w:cantSplit/>
          <w:trHeight w:val="290"/>
          <w:tblHeader/>
          <w:jc w:val="center"/>
        </w:trPr>
        <w:tc>
          <w:tcPr>
            <w:tcW w:w="1968" w:type="pct"/>
          </w:tcPr>
          <w:p w14:paraId="2F54504E" w14:textId="77777777" w:rsidR="00DA7821" w:rsidRPr="001B7506" w:rsidRDefault="00DA7821" w:rsidP="00CD64EE">
            <w:pPr>
              <w:autoSpaceDE w:val="0"/>
              <w:autoSpaceDN w:val="0"/>
              <w:adjustRightInd w:val="0"/>
              <w:rPr>
                <w:rFonts w:asciiTheme="minorHAnsi" w:hAnsiTheme="minorHAnsi" w:cstheme="minorHAnsi"/>
                <w:sz w:val="22"/>
                <w:szCs w:val="22"/>
              </w:rPr>
            </w:pPr>
            <w:r w:rsidRPr="001B7506">
              <w:rPr>
                <w:rFonts w:asciiTheme="minorHAnsi" w:hAnsiTheme="minorHAnsi" w:cstheme="minorHAnsi"/>
                <w:sz w:val="22"/>
                <w:szCs w:val="22"/>
              </w:rPr>
              <w:t>Autre</w:t>
            </w:r>
          </w:p>
        </w:tc>
        <w:tc>
          <w:tcPr>
            <w:tcW w:w="1330" w:type="pct"/>
          </w:tcPr>
          <w:p w14:paraId="50998BA3" w14:textId="77777777"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1 754</w:t>
            </w:r>
          </w:p>
        </w:tc>
        <w:tc>
          <w:tcPr>
            <w:tcW w:w="1702" w:type="pct"/>
          </w:tcPr>
          <w:p w14:paraId="2D8EDB1C" w14:textId="77300772" w:rsidR="00DA7821" w:rsidRPr="001B7506" w:rsidRDefault="00DA7821" w:rsidP="00CD64EE">
            <w:pPr>
              <w:autoSpaceDE w:val="0"/>
              <w:autoSpaceDN w:val="0"/>
              <w:adjustRightInd w:val="0"/>
              <w:jc w:val="center"/>
              <w:rPr>
                <w:rFonts w:asciiTheme="minorHAnsi" w:hAnsiTheme="minorHAnsi" w:cstheme="minorHAnsi"/>
                <w:sz w:val="22"/>
                <w:szCs w:val="22"/>
              </w:rPr>
            </w:pPr>
            <w:r w:rsidRPr="001B7506">
              <w:rPr>
                <w:rFonts w:asciiTheme="minorHAnsi" w:hAnsiTheme="minorHAnsi" w:cstheme="minorHAnsi"/>
                <w:sz w:val="22"/>
                <w:szCs w:val="22"/>
              </w:rPr>
              <w:t>39</w:t>
            </w:r>
            <w:r w:rsidR="00154343">
              <w:rPr>
                <w:rFonts w:asciiTheme="minorHAnsi" w:hAnsiTheme="minorHAnsi" w:cstheme="minorHAnsi"/>
                <w:sz w:val="22"/>
                <w:szCs w:val="22"/>
              </w:rPr>
              <w:t xml:space="preserve"> </w:t>
            </w:r>
            <w:r w:rsidRPr="001B7506">
              <w:rPr>
                <w:rFonts w:asciiTheme="minorHAnsi" w:hAnsiTheme="minorHAnsi" w:cstheme="minorHAnsi"/>
                <w:sz w:val="22"/>
                <w:szCs w:val="22"/>
              </w:rPr>
              <w:t>%</w:t>
            </w:r>
          </w:p>
        </w:tc>
      </w:tr>
    </w:tbl>
    <w:p w14:paraId="63E9E6AB" w14:textId="1F431CA5" w:rsidR="00B93FD9" w:rsidRDefault="00B93FD9">
      <w:pPr>
        <w:spacing w:after="160" w:line="259" w:lineRule="auto"/>
        <w:rPr>
          <w:noProof/>
          <w:lang w:eastAsia="en-CA"/>
        </w:rPr>
      </w:pPr>
      <w:r>
        <w:rPr>
          <w:noProof/>
          <w:lang w:eastAsia="en-CA"/>
        </w:rPr>
        <w:br w:type="page"/>
      </w:r>
    </w:p>
    <w:p w14:paraId="6CAE9658" w14:textId="1519375E" w:rsidR="00B93FD9" w:rsidRPr="001B7506" w:rsidRDefault="001B7506" w:rsidP="001B7506">
      <w:pPr>
        <w:pStyle w:val="Heading1"/>
        <w:spacing w:before="120"/>
        <w:rPr>
          <w:noProof/>
          <w:sz w:val="40"/>
          <w:szCs w:val="40"/>
          <w:lang w:eastAsia="en-CA"/>
        </w:rPr>
      </w:pPr>
      <w:r w:rsidRPr="001B7506">
        <w:rPr>
          <w:noProof/>
          <w:sz w:val="40"/>
          <w:szCs w:val="40"/>
          <w:lang w:eastAsia="en-CA"/>
        </w:rPr>
        <w:lastRenderedPageBreak/>
        <w:t>Population selon la région au 31 mars 2020</w:t>
      </w:r>
    </w:p>
    <w:p w14:paraId="2B249DF8" w14:textId="77777777" w:rsidR="001B7506" w:rsidRDefault="00042038" w:rsidP="001B7506">
      <w:pPr>
        <w:keepNext/>
        <w:tabs>
          <w:tab w:val="left" w:pos="7839"/>
        </w:tabs>
        <w:jc w:val="center"/>
      </w:pPr>
      <w:r>
        <w:rPr>
          <w:noProof/>
          <w:lang w:eastAsia="en-CA"/>
        </w:rPr>
        <w:drawing>
          <wp:inline distT="0" distB="0" distL="0" distR="0" wp14:anchorId="292567F8" wp14:editId="77FE16EA">
            <wp:extent cx="1980000" cy="3020400"/>
            <wp:effectExtent l="0" t="0" r="1270" b="8890"/>
            <wp:docPr id="15" name="Chart 15" descr="Population selon la région au 31 mars 2020 "/>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E7D37D4" w14:textId="2FC50968" w:rsidR="00042038" w:rsidRPr="001B7506" w:rsidRDefault="001B7506" w:rsidP="001B7506">
      <w:pPr>
        <w:pStyle w:val="Caption"/>
        <w:spacing w:after="0"/>
        <w:jc w:val="center"/>
        <w:rPr>
          <w:rFonts w:asciiTheme="minorHAnsi" w:hAnsiTheme="minorHAnsi" w:cstheme="minorHAnsi"/>
          <w:i w:val="0"/>
          <w:iCs w:val="0"/>
          <w:noProof/>
          <w:color w:val="auto"/>
          <w:lang w:eastAsia="en-CA"/>
        </w:rPr>
      </w:pPr>
      <w:r w:rsidRPr="001B7506">
        <w:rPr>
          <w:rFonts w:asciiTheme="minorHAnsi" w:hAnsiTheme="minorHAnsi" w:cstheme="minorHAnsi"/>
          <w:i w:val="0"/>
          <w:iCs w:val="0"/>
          <w:color w:val="auto"/>
        </w:rPr>
        <w:t xml:space="preserve">Figure </w:t>
      </w:r>
      <w:r w:rsidRPr="001B7506">
        <w:rPr>
          <w:rFonts w:asciiTheme="minorHAnsi" w:hAnsiTheme="minorHAnsi" w:cstheme="minorHAnsi"/>
          <w:i w:val="0"/>
          <w:iCs w:val="0"/>
          <w:color w:val="auto"/>
        </w:rPr>
        <w:fldChar w:fldCharType="begin"/>
      </w:r>
      <w:r w:rsidRPr="001B7506">
        <w:rPr>
          <w:rFonts w:asciiTheme="minorHAnsi" w:hAnsiTheme="minorHAnsi" w:cstheme="minorHAnsi"/>
          <w:i w:val="0"/>
          <w:iCs w:val="0"/>
          <w:color w:val="auto"/>
        </w:rPr>
        <w:instrText xml:space="preserve"> SEQ Figure \* ARABIC </w:instrText>
      </w:r>
      <w:r w:rsidRPr="001B7506">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4</w:t>
      </w:r>
      <w:r w:rsidRPr="001B7506">
        <w:rPr>
          <w:rFonts w:asciiTheme="minorHAnsi" w:hAnsiTheme="minorHAnsi" w:cstheme="minorHAnsi"/>
          <w:i w:val="0"/>
          <w:iCs w:val="0"/>
          <w:color w:val="auto"/>
        </w:rPr>
        <w:fldChar w:fldCharType="end"/>
      </w:r>
      <w:r w:rsidRPr="001B7506">
        <w:rPr>
          <w:rFonts w:asciiTheme="minorHAnsi" w:hAnsiTheme="minorHAnsi" w:cstheme="minorHAnsi"/>
          <w:i w:val="0"/>
          <w:iCs w:val="0"/>
          <w:color w:val="auto"/>
        </w:rPr>
        <w:t xml:space="preserve"> - Population selon la région au 31 mars 2020</w:t>
      </w:r>
    </w:p>
    <w:p w14:paraId="7F29010F" w14:textId="70158D40" w:rsidR="001B7506" w:rsidRPr="001B7506" w:rsidRDefault="001B7506" w:rsidP="001B7506">
      <w:pPr>
        <w:pStyle w:val="Caption"/>
        <w:keepNext/>
        <w:spacing w:before="240" w:after="0"/>
        <w:jc w:val="center"/>
        <w:rPr>
          <w:rFonts w:asciiTheme="minorHAnsi" w:hAnsiTheme="minorHAnsi" w:cstheme="minorHAnsi"/>
          <w:i w:val="0"/>
          <w:iCs w:val="0"/>
          <w:color w:val="auto"/>
        </w:rPr>
      </w:pPr>
      <w:r w:rsidRPr="001B7506">
        <w:rPr>
          <w:rFonts w:asciiTheme="minorHAnsi" w:hAnsiTheme="minorHAnsi" w:cstheme="minorHAnsi"/>
          <w:i w:val="0"/>
          <w:iCs w:val="0"/>
          <w:color w:val="auto"/>
        </w:rPr>
        <w:t xml:space="preserve">Tableau </w:t>
      </w:r>
      <w:r w:rsidRPr="001B7506">
        <w:rPr>
          <w:rFonts w:asciiTheme="minorHAnsi" w:hAnsiTheme="minorHAnsi" w:cstheme="minorHAnsi"/>
          <w:i w:val="0"/>
          <w:iCs w:val="0"/>
          <w:color w:val="auto"/>
        </w:rPr>
        <w:fldChar w:fldCharType="begin"/>
      </w:r>
      <w:r w:rsidRPr="001B7506">
        <w:rPr>
          <w:rFonts w:asciiTheme="minorHAnsi" w:hAnsiTheme="minorHAnsi" w:cstheme="minorHAnsi"/>
          <w:i w:val="0"/>
          <w:iCs w:val="0"/>
          <w:color w:val="auto"/>
        </w:rPr>
        <w:instrText xml:space="preserve"> SEQ Tableau \* ARABIC </w:instrText>
      </w:r>
      <w:r w:rsidRPr="001B7506">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8</w:t>
      </w:r>
      <w:r w:rsidRPr="001B7506">
        <w:rPr>
          <w:rFonts w:asciiTheme="minorHAnsi" w:hAnsiTheme="minorHAnsi" w:cstheme="minorHAnsi"/>
          <w:i w:val="0"/>
          <w:iCs w:val="0"/>
          <w:color w:val="auto"/>
        </w:rPr>
        <w:fldChar w:fldCharType="end"/>
      </w:r>
      <w:r w:rsidRPr="001B7506">
        <w:rPr>
          <w:rFonts w:asciiTheme="minorHAnsi" w:hAnsiTheme="minorHAnsi" w:cstheme="minorHAnsi"/>
          <w:i w:val="0"/>
          <w:iCs w:val="0"/>
          <w:color w:val="auto"/>
        </w:rPr>
        <w:t xml:space="preserve"> - Effectif par région, pourcentage de l'effectif régi par la </w:t>
      </w:r>
      <w:r w:rsidRPr="001B7506">
        <w:rPr>
          <w:rStyle w:val="Emphasis"/>
          <w:rFonts w:asciiTheme="minorHAnsi" w:hAnsiTheme="minorHAnsi" w:cstheme="minorHAnsi"/>
          <w:i/>
          <w:iCs/>
          <w:color w:val="auto"/>
        </w:rPr>
        <w:t>Loi sur l’emploi dans la fonction publique</w:t>
      </w:r>
      <w:r w:rsidRPr="001B7506">
        <w:rPr>
          <w:rFonts w:asciiTheme="minorHAnsi" w:hAnsiTheme="minorHAnsi" w:cstheme="minorHAnsi"/>
          <w:i w:val="0"/>
          <w:iCs w:val="0"/>
          <w:color w:val="auto"/>
        </w:rPr>
        <w:t xml:space="preserve"> au 31 mars 2020</w:t>
      </w:r>
    </w:p>
    <w:tbl>
      <w:tblPr>
        <w:tblStyle w:val="TableGrid"/>
        <w:tblW w:w="5000" w:type="pct"/>
        <w:jc w:val="center"/>
        <w:tblLook w:val="0020" w:firstRow="1" w:lastRow="0" w:firstColumn="0" w:lastColumn="0" w:noHBand="0" w:noVBand="0"/>
        <w:tblDescription w:val="Effectif selon la région au 31 mars 2020"/>
      </w:tblPr>
      <w:tblGrid>
        <w:gridCol w:w="4107"/>
        <w:gridCol w:w="5103"/>
        <w:gridCol w:w="5180"/>
      </w:tblGrid>
      <w:tr w:rsidR="001B7506" w:rsidRPr="001B7506" w14:paraId="4645D472" w14:textId="77777777" w:rsidTr="001B7506">
        <w:trPr>
          <w:cantSplit/>
          <w:trHeight w:val="290"/>
          <w:tblHeader/>
          <w:jc w:val="center"/>
        </w:trPr>
        <w:tc>
          <w:tcPr>
            <w:tcW w:w="1427" w:type="pct"/>
          </w:tcPr>
          <w:p w14:paraId="49E550C5" w14:textId="77777777" w:rsidR="00DA7821" w:rsidRPr="001B7506" w:rsidRDefault="00DA7821" w:rsidP="001B7506">
            <w:pPr>
              <w:pStyle w:val="TableTitle"/>
              <w:rPr>
                <w:color w:val="auto"/>
                <w:sz w:val="22"/>
                <w:szCs w:val="22"/>
              </w:rPr>
            </w:pPr>
            <w:r w:rsidRPr="001B7506">
              <w:rPr>
                <w:color w:val="auto"/>
                <w:sz w:val="22"/>
                <w:szCs w:val="22"/>
              </w:rPr>
              <w:t>Région</w:t>
            </w:r>
          </w:p>
        </w:tc>
        <w:tc>
          <w:tcPr>
            <w:tcW w:w="1773" w:type="pct"/>
          </w:tcPr>
          <w:p w14:paraId="7D588355" w14:textId="77777777" w:rsidR="00DA7821" w:rsidRPr="001B7506" w:rsidRDefault="00DA7821" w:rsidP="001B7506">
            <w:pPr>
              <w:pStyle w:val="TableTitle"/>
              <w:rPr>
                <w:color w:val="auto"/>
                <w:sz w:val="22"/>
                <w:szCs w:val="22"/>
              </w:rPr>
            </w:pPr>
            <w:r w:rsidRPr="001B7506">
              <w:rPr>
                <w:color w:val="auto"/>
                <w:sz w:val="22"/>
                <w:szCs w:val="22"/>
              </w:rPr>
              <w:t>Effectif au 31 mars 2020</w:t>
            </w:r>
          </w:p>
        </w:tc>
        <w:tc>
          <w:tcPr>
            <w:tcW w:w="1800" w:type="pct"/>
          </w:tcPr>
          <w:p w14:paraId="47B3580D" w14:textId="77777777" w:rsidR="00DA7821" w:rsidRPr="001B7506" w:rsidRDefault="00DA7821" w:rsidP="001B7506">
            <w:pPr>
              <w:pStyle w:val="TableTitle"/>
              <w:rPr>
                <w:color w:val="auto"/>
                <w:sz w:val="22"/>
                <w:szCs w:val="22"/>
              </w:rPr>
            </w:pPr>
            <w:r w:rsidRPr="001B7506">
              <w:rPr>
                <w:color w:val="auto"/>
                <w:sz w:val="22"/>
                <w:szCs w:val="22"/>
              </w:rPr>
              <w:t>Pourcentage de l'effectif au 31 mars 2020</w:t>
            </w:r>
          </w:p>
        </w:tc>
      </w:tr>
      <w:tr w:rsidR="00DA7821" w:rsidRPr="001442E2" w14:paraId="6894F25B" w14:textId="77777777" w:rsidTr="001B7506">
        <w:trPr>
          <w:cantSplit/>
          <w:trHeight w:val="290"/>
          <w:tblHeader/>
          <w:jc w:val="center"/>
        </w:trPr>
        <w:tc>
          <w:tcPr>
            <w:tcW w:w="1427" w:type="pct"/>
          </w:tcPr>
          <w:p w14:paraId="7FF3FE90" w14:textId="77777777" w:rsidR="00DA7821" w:rsidRPr="001442E2" w:rsidRDefault="00DA7821" w:rsidP="00CD64EE">
            <w:pPr>
              <w:autoSpaceDE w:val="0"/>
              <w:autoSpaceDN w:val="0"/>
              <w:adjustRightInd w:val="0"/>
              <w:rPr>
                <w:rFonts w:asciiTheme="minorHAnsi" w:hAnsiTheme="minorHAnsi" w:cstheme="minorHAnsi"/>
                <w:color w:val="000000"/>
                <w:sz w:val="22"/>
                <w:szCs w:val="22"/>
              </w:rPr>
            </w:pPr>
            <w:r w:rsidRPr="001442E2">
              <w:rPr>
                <w:rFonts w:asciiTheme="minorHAnsi" w:hAnsiTheme="minorHAnsi" w:cstheme="minorHAnsi"/>
                <w:color w:val="000000"/>
                <w:sz w:val="22"/>
                <w:szCs w:val="22"/>
              </w:rPr>
              <w:t>Région de la capitale nationale (RCN)</w:t>
            </w:r>
          </w:p>
        </w:tc>
        <w:tc>
          <w:tcPr>
            <w:tcW w:w="1773" w:type="pct"/>
          </w:tcPr>
          <w:p w14:paraId="4E79E2C2" w14:textId="77777777" w:rsidR="00DA7821" w:rsidRPr="001442E2" w:rsidRDefault="00DA7821" w:rsidP="00CD64EE">
            <w:pPr>
              <w:autoSpaceDE w:val="0"/>
              <w:autoSpaceDN w:val="0"/>
              <w:adjustRightInd w:val="0"/>
              <w:jc w:val="center"/>
              <w:rPr>
                <w:rFonts w:asciiTheme="minorHAnsi" w:hAnsiTheme="minorHAnsi" w:cstheme="minorHAnsi"/>
                <w:color w:val="000000"/>
                <w:sz w:val="22"/>
                <w:szCs w:val="22"/>
              </w:rPr>
            </w:pPr>
            <w:r w:rsidRPr="001442E2">
              <w:rPr>
                <w:rFonts w:asciiTheme="minorHAnsi" w:hAnsiTheme="minorHAnsi" w:cstheme="minorHAnsi"/>
                <w:color w:val="000000"/>
                <w:sz w:val="22"/>
                <w:szCs w:val="22"/>
              </w:rPr>
              <w:t>2 794</w:t>
            </w:r>
          </w:p>
        </w:tc>
        <w:tc>
          <w:tcPr>
            <w:tcW w:w="1800" w:type="pct"/>
          </w:tcPr>
          <w:p w14:paraId="34FCFD7A" w14:textId="3358A96B" w:rsidR="00DA7821" w:rsidRPr="001442E2" w:rsidRDefault="00DA7821" w:rsidP="00CD64EE">
            <w:pPr>
              <w:autoSpaceDE w:val="0"/>
              <w:autoSpaceDN w:val="0"/>
              <w:adjustRightInd w:val="0"/>
              <w:jc w:val="center"/>
              <w:rPr>
                <w:rFonts w:asciiTheme="minorHAnsi" w:hAnsiTheme="minorHAnsi" w:cstheme="minorHAnsi"/>
                <w:color w:val="000000"/>
                <w:sz w:val="22"/>
                <w:szCs w:val="22"/>
              </w:rPr>
            </w:pPr>
            <w:r w:rsidRPr="001442E2">
              <w:rPr>
                <w:rFonts w:asciiTheme="minorHAnsi" w:hAnsiTheme="minorHAnsi" w:cstheme="minorHAnsi"/>
                <w:color w:val="000000"/>
                <w:sz w:val="22"/>
                <w:szCs w:val="22"/>
              </w:rPr>
              <w:t>66</w:t>
            </w:r>
            <w:r w:rsidR="00B2578E">
              <w:rPr>
                <w:rFonts w:asciiTheme="minorHAnsi" w:hAnsiTheme="minorHAnsi" w:cstheme="minorHAnsi"/>
                <w:color w:val="000000"/>
                <w:sz w:val="22"/>
                <w:szCs w:val="22"/>
              </w:rPr>
              <w:t xml:space="preserve"> </w:t>
            </w:r>
            <w:r w:rsidRPr="001442E2">
              <w:rPr>
                <w:rFonts w:asciiTheme="minorHAnsi" w:hAnsiTheme="minorHAnsi" w:cstheme="minorHAnsi"/>
                <w:color w:val="000000"/>
                <w:sz w:val="22"/>
                <w:szCs w:val="22"/>
              </w:rPr>
              <w:t>%</w:t>
            </w:r>
          </w:p>
        </w:tc>
      </w:tr>
      <w:tr w:rsidR="00DA7821" w:rsidRPr="001442E2" w14:paraId="39297309" w14:textId="77777777" w:rsidTr="001B7506">
        <w:trPr>
          <w:cantSplit/>
          <w:trHeight w:val="290"/>
          <w:tblHeader/>
          <w:jc w:val="center"/>
        </w:trPr>
        <w:tc>
          <w:tcPr>
            <w:tcW w:w="1427" w:type="pct"/>
          </w:tcPr>
          <w:p w14:paraId="35228060" w14:textId="77777777" w:rsidR="00DA7821" w:rsidRPr="001442E2" w:rsidRDefault="00DA7821" w:rsidP="00CD64EE">
            <w:pPr>
              <w:autoSpaceDE w:val="0"/>
              <w:autoSpaceDN w:val="0"/>
              <w:adjustRightInd w:val="0"/>
              <w:rPr>
                <w:rFonts w:asciiTheme="minorHAnsi" w:hAnsiTheme="minorHAnsi" w:cstheme="minorHAnsi"/>
                <w:color w:val="000000"/>
                <w:sz w:val="22"/>
                <w:szCs w:val="22"/>
              </w:rPr>
            </w:pPr>
            <w:r w:rsidRPr="001442E2">
              <w:rPr>
                <w:rFonts w:asciiTheme="minorHAnsi" w:hAnsiTheme="minorHAnsi" w:cstheme="minorHAnsi"/>
                <w:color w:val="000000"/>
                <w:sz w:val="22"/>
                <w:szCs w:val="22"/>
              </w:rPr>
              <w:t>Régions à l’extérieur de la RCN</w:t>
            </w:r>
          </w:p>
        </w:tc>
        <w:tc>
          <w:tcPr>
            <w:tcW w:w="1773" w:type="pct"/>
          </w:tcPr>
          <w:p w14:paraId="07A3AB42" w14:textId="77777777" w:rsidR="00DA7821" w:rsidRPr="001442E2" w:rsidRDefault="00DA7821" w:rsidP="00CD64EE">
            <w:pPr>
              <w:autoSpaceDE w:val="0"/>
              <w:autoSpaceDN w:val="0"/>
              <w:adjustRightInd w:val="0"/>
              <w:jc w:val="center"/>
              <w:rPr>
                <w:rFonts w:asciiTheme="minorHAnsi" w:hAnsiTheme="minorHAnsi" w:cstheme="minorHAnsi"/>
                <w:color w:val="000000"/>
                <w:sz w:val="22"/>
                <w:szCs w:val="22"/>
              </w:rPr>
            </w:pPr>
            <w:r w:rsidRPr="001442E2">
              <w:rPr>
                <w:rFonts w:asciiTheme="minorHAnsi" w:hAnsiTheme="minorHAnsi" w:cstheme="minorHAnsi"/>
                <w:color w:val="000000"/>
                <w:sz w:val="22"/>
                <w:szCs w:val="22"/>
              </w:rPr>
              <w:t>1 437</w:t>
            </w:r>
          </w:p>
        </w:tc>
        <w:tc>
          <w:tcPr>
            <w:tcW w:w="1800" w:type="pct"/>
          </w:tcPr>
          <w:p w14:paraId="2CEDC849" w14:textId="6B683EB7" w:rsidR="00DA7821" w:rsidRPr="001442E2" w:rsidRDefault="00DA7821" w:rsidP="00CD64EE">
            <w:pPr>
              <w:autoSpaceDE w:val="0"/>
              <w:autoSpaceDN w:val="0"/>
              <w:adjustRightInd w:val="0"/>
              <w:jc w:val="center"/>
              <w:rPr>
                <w:rFonts w:asciiTheme="minorHAnsi" w:hAnsiTheme="minorHAnsi" w:cstheme="minorHAnsi"/>
                <w:color w:val="000000"/>
                <w:sz w:val="22"/>
                <w:szCs w:val="22"/>
              </w:rPr>
            </w:pPr>
            <w:r w:rsidRPr="001442E2">
              <w:rPr>
                <w:rFonts w:asciiTheme="minorHAnsi" w:hAnsiTheme="minorHAnsi" w:cstheme="minorHAnsi"/>
                <w:color w:val="000000"/>
                <w:sz w:val="22"/>
                <w:szCs w:val="22"/>
              </w:rPr>
              <w:t>34</w:t>
            </w:r>
            <w:r w:rsidR="00B2578E">
              <w:rPr>
                <w:rFonts w:asciiTheme="minorHAnsi" w:hAnsiTheme="minorHAnsi" w:cstheme="minorHAnsi"/>
                <w:color w:val="000000"/>
                <w:sz w:val="22"/>
                <w:szCs w:val="22"/>
              </w:rPr>
              <w:t xml:space="preserve"> </w:t>
            </w:r>
            <w:r w:rsidRPr="001442E2">
              <w:rPr>
                <w:rFonts w:asciiTheme="minorHAnsi" w:hAnsiTheme="minorHAnsi" w:cstheme="minorHAnsi"/>
                <w:color w:val="000000"/>
                <w:sz w:val="22"/>
                <w:szCs w:val="22"/>
              </w:rPr>
              <w:t>%</w:t>
            </w:r>
          </w:p>
        </w:tc>
      </w:tr>
      <w:tr w:rsidR="00DA7821" w:rsidRPr="001442E2" w14:paraId="4D554221" w14:textId="77777777" w:rsidTr="001B7506">
        <w:trPr>
          <w:cantSplit/>
          <w:trHeight w:val="290"/>
          <w:tblHeader/>
          <w:jc w:val="center"/>
        </w:trPr>
        <w:tc>
          <w:tcPr>
            <w:tcW w:w="1427" w:type="pct"/>
          </w:tcPr>
          <w:p w14:paraId="062EE3EF" w14:textId="77777777" w:rsidR="00DA7821" w:rsidRPr="001442E2" w:rsidRDefault="00DA7821" w:rsidP="00CD64EE">
            <w:pPr>
              <w:autoSpaceDE w:val="0"/>
              <w:autoSpaceDN w:val="0"/>
              <w:adjustRightInd w:val="0"/>
              <w:rPr>
                <w:rFonts w:asciiTheme="minorHAnsi" w:hAnsiTheme="minorHAnsi" w:cstheme="minorHAnsi"/>
                <w:color w:val="000000"/>
                <w:sz w:val="22"/>
                <w:szCs w:val="22"/>
              </w:rPr>
            </w:pPr>
            <w:r w:rsidRPr="001442E2">
              <w:rPr>
                <w:rFonts w:asciiTheme="minorHAnsi" w:hAnsiTheme="minorHAnsi" w:cstheme="minorHAnsi"/>
                <w:color w:val="000000"/>
                <w:sz w:val="22"/>
                <w:szCs w:val="22"/>
              </w:rPr>
              <w:t>Inconnus</w:t>
            </w:r>
          </w:p>
        </w:tc>
        <w:tc>
          <w:tcPr>
            <w:tcW w:w="1773" w:type="pct"/>
          </w:tcPr>
          <w:p w14:paraId="4FEAFC20" w14:textId="77777777" w:rsidR="00DA7821" w:rsidRPr="001442E2" w:rsidRDefault="00DA7821" w:rsidP="00CD64EE">
            <w:pPr>
              <w:autoSpaceDE w:val="0"/>
              <w:autoSpaceDN w:val="0"/>
              <w:adjustRightInd w:val="0"/>
              <w:jc w:val="center"/>
              <w:rPr>
                <w:rFonts w:asciiTheme="minorHAnsi" w:hAnsiTheme="minorHAnsi" w:cstheme="minorHAnsi"/>
                <w:color w:val="000000"/>
                <w:sz w:val="22"/>
                <w:szCs w:val="22"/>
              </w:rPr>
            </w:pPr>
            <w:r w:rsidRPr="001442E2">
              <w:rPr>
                <w:rFonts w:asciiTheme="minorHAnsi" w:hAnsiTheme="minorHAnsi" w:cstheme="minorHAnsi"/>
                <w:color w:val="000000"/>
                <w:sz w:val="22"/>
                <w:szCs w:val="22"/>
              </w:rPr>
              <w:t>470</w:t>
            </w:r>
          </w:p>
        </w:tc>
        <w:tc>
          <w:tcPr>
            <w:tcW w:w="1800" w:type="pct"/>
          </w:tcPr>
          <w:p w14:paraId="04D7293A" w14:textId="193AF250" w:rsidR="00DA7821" w:rsidRPr="001442E2" w:rsidRDefault="001B7506" w:rsidP="00CD64EE">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color w:val="000000"/>
                <w:sz w:val="22"/>
                <w:szCs w:val="22"/>
              </w:rPr>
              <w:t>0</w:t>
            </w:r>
            <w:r w:rsidR="00B2578E">
              <w:rPr>
                <w:rFonts w:asciiTheme="minorHAnsi" w:hAnsiTheme="minorHAnsi" w:cstheme="minorHAnsi"/>
                <w:color w:val="000000"/>
                <w:sz w:val="22"/>
                <w:szCs w:val="22"/>
              </w:rPr>
              <w:t xml:space="preserve"> </w:t>
            </w:r>
            <w:r>
              <w:rPr>
                <w:rFonts w:asciiTheme="minorHAnsi" w:hAnsiTheme="minorHAnsi" w:cstheme="minorHAnsi"/>
                <w:color w:val="000000"/>
                <w:sz w:val="22"/>
                <w:szCs w:val="22"/>
              </w:rPr>
              <w:t>%</w:t>
            </w:r>
          </w:p>
        </w:tc>
      </w:tr>
    </w:tbl>
    <w:p w14:paraId="44C7B7E5" w14:textId="3CE69878" w:rsidR="00B93FD9" w:rsidRDefault="00B93FD9">
      <w:pPr>
        <w:spacing w:after="160" w:line="259" w:lineRule="auto"/>
        <w:rPr>
          <w:noProof/>
          <w:lang w:eastAsia="en-CA"/>
        </w:rPr>
      </w:pPr>
      <w:r>
        <w:rPr>
          <w:noProof/>
          <w:lang w:eastAsia="en-CA"/>
        </w:rPr>
        <w:br w:type="page"/>
      </w:r>
    </w:p>
    <w:p w14:paraId="757409FC" w14:textId="20AF2457" w:rsidR="00B93FD9" w:rsidRPr="00853392" w:rsidRDefault="00853392" w:rsidP="00853392">
      <w:pPr>
        <w:pStyle w:val="Heading1"/>
        <w:spacing w:before="120"/>
        <w:rPr>
          <w:noProof/>
          <w:sz w:val="40"/>
          <w:szCs w:val="40"/>
          <w:lang w:eastAsia="en-CA"/>
        </w:rPr>
      </w:pPr>
      <w:r w:rsidRPr="00853392">
        <w:rPr>
          <w:rFonts w:eastAsia="Times New Roman"/>
          <w:noProof/>
          <w:sz w:val="40"/>
          <w:szCs w:val="40"/>
          <w:lang w:eastAsia="en-CA"/>
        </w:rPr>
        <w:lastRenderedPageBreak/>
        <w:t>Embauche externe pour une période indéterminée selon le groupe professionnel, 2019-2020</w:t>
      </w:r>
    </w:p>
    <w:p w14:paraId="452FD4C0" w14:textId="77777777" w:rsidR="00853392" w:rsidRDefault="00397F78" w:rsidP="00853392">
      <w:pPr>
        <w:keepNext/>
        <w:tabs>
          <w:tab w:val="left" w:pos="7839"/>
        </w:tabs>
        <w:jc w:val="center"/>
      </w:pPr>
      <w:r w:rsidRPr="006E11FB">
        <w:rPr>
          <w:noProof/>
          <w:lang w:eastAsia="en-CA"/>
        </w:rPr>
        <w:drawing>
          <wp:inline distT="0" distB="0" distL="0" distR="0" wp14:anchorId="4CFB6732" wp14:editId="3234C482">
            <wp:extent cx="1980000" cy="3020400"/>
            <wp:effectExtent l="0" t="0" r="1270" b="8890"/>
            <wp:docPr id="7" name="Chart 7" descr="Embauche externe pour une période indéterminée selon le groupe professionnel, 2019-2020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1F71C37" w14:textId="01613434" w:rsidR="00B93FD9" w:rsidRPr="00853392" w:rsidRDefault="00853392" w:rsidP="00853392">
      <w:pPr>
        <w:pStyle w:val="Caption"/>
        <w:spacing w:after="0"/>
        <w:jc w:val="center"/>
        <w:rPr>
          <w:rFonts w:asciiTheme="minorHAnsi" w:hAnsiTheme="minorHAnsi" w:cstheme="minorHAnsi"/>
          <w:i w:val="0"/>
          <w:iCs w:val="0"/>
          <w:noProof/>
          <w:color w:val="auto"/>
          <w:lang w:eastAsia="en-CA"/>
        </w:rPr>
      </w:pPr>
      <w:r w:rsidRPr="00853392">
        <w:rPr>
          <w:rFonts w:asciiTheme="minorHAnsi" w:hAnsiTheme="minorHAnsi" w:cstheme="minorHAnsi"/>
          <w:i w:val="0"/>
          <w:iCs w:val="0"/>
          <w:color w:val="auto"/>
        </w:rPr>
        <w:t xml:space="preserve">Figure </w:t>
      </w:r>
      <w:r w:rsidRPr="00853392">
        <w:rPr>
          <w:rFonts w:asciiTheme="minorHAnsi" w:hAnsiTheme="minorHAnsi" w:cstheme="minorHAnsi"/>
          <w:i w:val="0"/>
          <w:iCs w:val="0"/>
          <w:color w:val="auto"/>
        </w:rPr>
        <w:fldChar w:fldCharType="begin"/>
      </w:r>
      <w:r w:rsidRPr="00853392">
        <w:rPr>
          <w:rFonts w:asciiTheme="minorHAnsi" w:hAnsiTheme="minorHAnsi" w:cstheme="minorHAnsi"/>
          <w:i w:val="0"/>
          <w:iCs w:val="0"/>
          <w:color w:val="auto"/>
        </w:rPr>
        <w:instrText xml:space="preserve"> SEQ Figure \* ARABIC </w:instrText>
      </w:r>
      <w:r w:rsidRPr="00853392">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5</w:t>
      </w:r>
      <w:r w:rsidRPr="00853392">
        <w:rPr>
          <w:rFonts w:asciiTheme="minorHAnsi" w:hAnsiTheme="minorHAnsi" w:cstheme="minorHAnsi"/>
          <w:i w:val="0"/>
          <w:iCs w:val="0"/>
          <w:color w:val="auto"/>
        </w:rPr>
        <w:fldChar w:fldCharType="end"/>
      </w:r>
      <w:r w:rsidRPr="00853392">
        <w:rPr>
          <w:rFonts w:asciiTheme="minorHAnsi" w:hAnsiTheme="minorHAnsi" w:cstheme="minorHAnsi"/>
          <w:i w:val="0"/>
          <w:iCs w:val="0"/>
          <w:color w:val="auto"/>
        </w:rPr>
        <w:t xml:space="preserve"> - Embauche externe pour une période indéterminée selon le groupe professionnel,</w:t>
      </w:r>
    </w:p>
    <w:p w14:paraId="117582AE" w14:textId="57659D65" w:rsidR="00853392" w:rsidRPr="00853392" w:rsidRDefault="00853392" w:rsidP="00853392">
      <w:pPr>
        <w:pStyle w:val="Caption"/>
        <w:keepNext/>
        <w:spacing w:before="240" w:after="0"/>
        <w:jc w:val="center"/>
        <w:rPr>
          <w:rFonts w:asciiTheme="minorHAnsi" w:hAnsiTheme="minorHAnsi" w:cstheme="minorHAnsi"/>
          <w:i w:val="0"/>
          <w:iCs w:val="0"/>
          <w:color w:val="auto"/>
        </w:rPr>
      </w:pPr>
      <w:r w:rsidRPr="00853392">
        <w:rPr>
          <w:rFonts w:asciiTheme="minorHAnsi" w:hAnsiTheme="minorHAnsi" w:cstheme="minorHAnsi"/>
          <w:i w:val="0"/>
          <w:iCs w:val="0"/>
          <w:color w:val="auto"/>
        </w:rPr>
        <w:t xml:space="preserve">Tableau </w:t>
      </w:r>
      <w:r w:rsidRPr="00853392">
        <w:rPr>
          <w:rFonts w:asciiTheme="minorHAnsi" w:hAnsiTheme="minorHAnsi" w:cstheme="minorHAnsi"/>
          <w:i w:val="0"/>
          <w:iCs w:val="0"/>
          <w:color w:val="auto"/>
        </w:rPr>
        <w:fldChar w:fldCharType="begin"/>
      </w:r>
      <w:r w:rsidRPr="00853392">
        <w:rPr>
          <w:rFonts w:asciiTheme="minorHAnsi" w:hAnsiTheme="minorHAnsi" w:cstheme="minorHAnsi"/>
          <w:i w:val="0"/>
          <w:iCs w:val="0"/>
          <w:color w:val="auto"/>
        </w:rPr>
        <w:instrText xml:space="preserve"> SEQ Tableau \* ARABIC </w:instrText>
      </w:r>
      <w:r w:rsidRPr="00853392">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9</w:t>
      </w:r>
      <w:r w:rsidRPr="00853392">
        <w:rPr>
          <w:rFonts w:asciiTheme="minorHAnsi" w:hAnsiTheme="minorHAnsi" w:cstheme="minorHAnsi"/>
          <w:i w:val="0"/>
          <w:iCs w:val="0"/>
          <w:color w:val="auto"/>
        </w:rPr>
        <w:fldChar w:fldCharType="end"/>
      </w:r>
      <w:r w:rsidRPr="00853392">
        <w:rPr>
          <w:rFonts w:asciiTheme="minorHAnsi" w:hAnsiTheme="minorHAnsi" w:cstheme="minorHAnsi"/>
          <w:i w:val="0"/>
          <w:iCs w:val="0"/>
          <w:color w:val="auto"/>
        </w:rPr>
        <w:t xml:space="preserve"> - Embauche externe à des postes pour une période indéterminée selon le groupe professionnel de 2019 à 2020</w:t>
      </w:r>
    </w:p>
    <w:tbl>
      <w:tblPr>
        <w:tblStyle w:val="TableGrid"/>
        <w:tblW w:w="5000" w:type="pct"/>
        <w:jc w:val="center"/>
        <w:tblLook w:val="0020" w:firstRow="1" w:lastRow="0" w:firstColumn="0" w:lastColumn="0" w:noHBand="0" w:noVBand="0"/>
        <w:tblDescription w:val="Embauches externes indéterminées selon le groupe professionnel 2019-2020"/>
      </w:tblPr>
      <w:tblGrid>
        <w:gridCol w:w="4824"/>
        <w:gridCol w:w="4786"/>
        <w:gridCol w:w="4780"/>
      </w:tblGrid>
      <w:tr w:rsidR="00853392" w:rsidRPr="00853392" w14:paraId="122820D6" w14:textId="77777777" w:rsidTr="00853392">
        <w:trPr>
          <w:cantSplit/>
          <w:trHeight w:val="290"/>
          <w:tblHeader/>
          <w:jc w:val="center"/>
        </w:trPr>
        <w:tc>
          <w:tcPr>
            <w:tcW w:w="1676" w:type="pct"/>
          </w:tcPr>
          <w:p w14:paraId="4C4B50F5" w14:textId="77777777" w:rsidR="00DA7821" w:rsidRPr="00853392" w:rsidRDefault="00DA7821" w:rsidP="00853392">
            <w:pPr>
              <w:pStyle w:val="TableTitle"/>
              <w:rPr>
                <w:color w:val="auto"/>
                <w:sz w:val="22"/>
                <w:szCs w:val="22"/>
              </w:rPr>
            </w:pPr>
            <w:r w:rsidRPr="00853392">
              <w:rPr>
                <w:color w:val="auto"/>
                <w:sz w:val="22"/>
                <w:szCs w:val="22"/>
              </w:rPr>
              <w:t>Groupes professionnels</w:t>
            </w:r>
          </w:p>
        </w:tc>
        <w:tc>
          <w:tcPr>
            <w:tcW w:w="1663" w:type="pct"/>
          </w:tcPr>
          <w:p w14:paraId="0AD41838" w14:textId="24155AFB" w:rsidR="00DA7821" w:rsidRPr="00853392" w:rsidRDefault="00DA7821" w:rsidP="00853392">
            <w:pPr>
              <w:pStyle w:val="TableTitle"/>
              <w:rPr>
                <w:color w:val="auto"/>
                <w:sz w:val="22"/>
                <w:szCs w:val="22"/>
              </w:rPr>
            </w:pPr>
            <w:r w:rsidRPr="00853392">
              <w:rPr>
                <w:color w:val="auto"/>
                <w:sz w:val="22"/>
                <w:szCs w:val="22"/>
              </w:rPr>
              <w:t>Nombre d'embauches pour une période indéterminée dans</w:t>
            </w:r>
            <w:r w:rsidR="00853392">
              <w:rPr>
                <w:color w:val="auto"/>
                <w:sz w:val="22"/>
                <w:szCs w:val="22"/>
              </w:rPr>
              <w:t xml:space="preserve"> </w:t>
            </w:r>
            <w:r w:rsidRPr="00853392">
              <w:rPr>
                <w:color w:val="auto"/>
                <w:sz w:val="22"/>
                <w:szCs w:val="22"/>
              </w:rPr>
              <w:t>l’organisation</w:t>
            </w:r>
          </w:p>
        </w:tc>
        <w:tc>
          <w:tcPr>
            <w:tcW w:w="1661" w:type="pct"/>
          </w:tcPr>
          <w:p w14:paraId="05B1D43F" w14:textId="77777777" w:rsidR="00DA7821" w:rsidRPr="00853392" w:rsidRDefault="00DA7821" w:rsidP="00853392">
            <w:pPr>
              <w:pStyle w:val="TableTitle"/>
              <w:rPr>
                <w:color w:val="auto"/>
                <w:sz w:val="22"/>
                <w:szCs w:val="22"/>
              </w:rPr>
            </w:pPr>
            <w:r w:rsidRPr="00853392">
              <w:rPr>
                <w:color w:val="auto"/>
                <w:sz w:val="22"/>
                <w:szCs w:val="22"/>
              </w:rPr>
              <w:t>Pourcentage d'embauches pour une période indéterminée dans l’organisation</w:t>
            </w:r>
          </w:p>
        </w:tc>
      </w:tr>
      <w:tr w:rsidR="00853392" w:rsidRPr="00853392" w14:paraId="73562100" w14:textId="77777777" w:rsidTr="00853392">
        <w:trPr>
          <w:cantSplit/>
          <w:trHeight w:val="290"/>
          <w:tblHeader/>
          <w:jc w:val="center"/>
        </w:trPr>
        <w:tc>
          <w:tcPr>
            <w:tcW w:w="1676" w:type="pct"/>
          </w:tcPr>
          <w:p w14:paraId="28806675" w14:textId="22CC0D8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EC –</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Économique et services de sciences sociales</w:t>
            </w:r>
          </w:p>
        </w:tc>
        <w:tc>
          <w:tcPr>
            <w:tcW w:w="1663" w:type="pct"/>
          </w:tcPr>
          <w:p w14:paraId="60E754E1" w14:textId="77777777"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87</w:t>
            </w:r>
          </w:p>
        </w:tc>
        <w:tc>
          <w:tcPr>
            <w:tcW w:w="1661" w:type="pct"/>
          </w:tcPr>
          <w:p w14:paraId="25B0310A" w14:textId="0EB0D120"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37</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r w:rsidR="00853392" w:rsidRPr="00853392" w14:paraId="612D666F" w14:textId="77777777" w:rsidTr="00853392">
        <w:trPr>
          <w:cantSplit/>
          <w:trHeight w:val="290"/>
          <w:tblHeader/>
          <w:jc w:val="center"/>
        </w:trPr>
        <w:tc>
          <w:tcPr>
            <w:tcW w:w="1676" w:type="pct"/>
          </w:tcPr>
          <w:p w14:paraId="4A3CEB12" w14:textId="7777777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AS – Services administratifs</w:t>
            </w:r>
          </w:p>
        </w:tc>
        <w:tc>
          <w:tcPr>
            <w:tcW w:w="1663" w:type="pct"/>
          </w:tcPr>
          <w:p w14:paraId="1E12E4F0" w14:textId="77777777"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43</w:t>
            </w:r>
          </w:p>
        </w:tc>
        <w:tc>
          <w:tcPr>
            <w:tcW w:w="1661" w:type="pct"/>
          </w:tcPr>
          <w:p w14:paraId="55E58508" w14:textId="30537D7C"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18</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r w:rsidR="00853392" w:rsidRPr="00853392" w14:paraId="37574770" w14:textId="77777777" w:rsidTr="00853392">
        <w:trPr>
          <w:cantSplit/>
          <w:trHeight w:val="290"/>
          <w:tblHeader/>
          <w:jc w:val="center"/>
        </w:trPr>
        <w:tc>
          <w:tcPr>
            <w:tcW w:w="1676" w:type="pct"/>
          </w:tcPr>
          <w:p w14:paraId="25BFAB0F" w14:textId="7777777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EN – Génie et arpentage</w:t>
            </w:r>
          </w:p>
        </w:tc>
        <w:tc>
          <w:tcPr>
            <w:tcW w:w="1663" w:type="pct"/>
          </w:tcPr>
          <w:p w14:paraId="45122628" w14:textId="77777777"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22</w:t>
            </w:r>
          </w:p>
        </w:tc>
        <w:tc>
          <w:tcPr>
            <w:tcW w:w="1661" w:type="pct"/>
          </w:tcPr>
          <w:p w14:paraId="644E9FDA" w14:textId="0E01D51E"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9</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r w:rsidR="00853392" w:rsidRPr="00853392" w14:paraId="152B0219" w14:textId="77777777" w:rsidTr="00853392">
        <w:trPr>
          <w:cantSplit/>
          <w:trHeight w:val="290"/>
          <w:tblHeader/>
          <w:jc w:val="center"/>
        </w:trPr>
        <w:tc>
          <w:tcPr>
            <w:tcW w:w="1676" w:type="pct"/>
          </w:tcPr>
          <w:p w14:paraId="2A5C53FA" w14:textId="7777777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Autre</w:t>
            </w:r>
          </w:p>
        </w:tc>
        <w:tc>
          <w:tcPr>
            <w:tcW w:w="1663" w:type="pct"/>
          </w:tcPr>
          <w:p w14:paraId="330E71D1" w14:textId="77777777"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85</w:t>
            </w:r>
          </w:p>
        </w:tc>
        <w:tc>
          <w:tcPr>
            <w:tcW w:w="1661" w:type="pct"/>
          </w:tcPr>
          <w:p w14:paraId="4C312A27" w14:textId="775995EB"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36</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r w:rsidR="00853392" w:rsidRPr="00853392" w14:paraId="3FF07BB4" w14:textId="77777777" w:rsidTr="00853392">
        <w:trPr>
          <w:cantSplit/>
          <w:trHeight w:val="290"/>
          <w:tblHeader/>
          <w:jc w:val="center"/>
        </w:trPr>
        <w:tc>
          <w:tcPr>
            <w:tcW w:w="1676" w:type="pct"/>
          </w:tcPr>
          <w:p w14:paraId="2DFC2A16" w14:textId="7777777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Total</w:t>
            </w:r>
          </w:p>
        </w:tc>
        <w:tc>
          <w:tcPr>
            <w:tcW w:w="1663" w:type="pct"/>
          </w:tcPr>
          <w:p w14:paraId="3DE75FE4" w14:textId="77777777"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237</w:t>
            </w:r>
          </w:p>
        </w:tc>
        <w:tc>
          <w:tcPr>
            <w:tcW w:w="1661" w:type="pct"/>
          </w:tcPr>
          <w:p w14:paraId="705675C2" w14:textId="42D95726"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100</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bl>
    <w:p w14:paraId="1D7A9989" w14:textId="0360D0DA" w:rsidR="00B93FD9" w:rsidRDefault="00B93FD9">
      <w:pPr>
        <w:spacing w:after="160" w:line="259" w:lineRule="auto"/>
        <w:rPr>
          <w:noProof/>
          <w:lang w:eastAsia="en-CA"/>
        </w:rPr>
      </w:pPr>
      <w:r>
        <w:rPr>
          <w:noProof/>
          <w:lang w:eastAsia="en-CA"/>
        </w:rPr>
        <w:br w:type="page"/>
      </w:r>
    </w:p>
    <w:p w14:paraId="0BC68F06" w14:textId="77777777" w:rsidR="00853392" w:rsidRPr="00E03915" w:rsidRDefault="00853392" w:rsidP="00853392">
      <w:pPr>
        <w:pStyle w:val="Heading1"/>
        <w:spacing w:before="120"/>
        <w:rPr>
          <w:noProof/>
          <w:sz w:val="40"/>
          <w:szCs w:val="40"/>
          <w:lang w:eastAsia="en-CA"/>
        </w:rPr>
      </w:pPr>
      <w:r w:rsidRPr="00E03915">
        <w:rPr>
          <w:rFonts w:eastAsia="Times New Roman"/>
          <w:noProof/>
          <w:sz w:val="40"/>
          <w:szCs w:val="40"/>
          <w:lang w:eastAsia="en-CA"/>
        </w:rPr>
        <w:lastRenderedPageBreak/>
        <w:t>Dotation selon la région</w:t>
      </w:r>
    </w:p>
    <w:p w14:paraId="5A56741F" w14:textId="77777777" w:rsidR="00853392" w:rsidRDefault="00B93FD9" w:rsidP="00853392">
      <w:pPr>
        <w:keepNext/>
        <w:tabs>
          <w:tab w:val="left" w:pos="7839"/>
        </w:tabs>
        <w:jc w:val="center"/>
      </w:pPr>
      <w:r>
        <w:rPr>
          <w:noProof/>
          <w:lang w:eastAsia="en-CA"/>
        </w:rPr>
        <w:drawing>
          <wp:inline distT="0" distB="0" distL="0" distR="0" wp14:anchorId="741C3230" wp14:editId="418BEA4F">
            <wp:extent cx="5648400" cy="3049200"/>
            <wp:effectExtent l="0" t="0" r="9525" b="18415"/>
            <wp:docPr id="10" name="Chart 10" descr="Dotation selon la région&#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24177D8" w14:textId="04F3A157" w:rsidR="00B93FD9" w:rsidRPr="00853392" w:rsidRDefault="00853392" w:rsidP="00853392">
      <w:pPr>
        <w:pStyle w:val="Caption"/>
        <w:spacing w:after="0"/>
        <w:jc w:val="center"/>
        <w:rPr>
          <w:rFonts w:asciiTheme="minorHAnsi" w:hAnsiTheme="minorHAnsi" w:cstheme="minorHAnsi"/>
          <w:i w:val="0"/>
          <w:iCs w:val="0"/>
          <w:noProof/>
          <w:color w:val="auto"/>
          <w:lang w:eastAsia="en-CA"/>
        </w:rPr>
      </w:pPr>
      <w:r w:rsidRPr="00853392">
        <w:rPr>
          <w:rFonts w:asciiTheme="minorHAnsi" w:hAnsiTheme="minorHAnsi" w:cstheme="minorHAnsi"/>
          <w:i w:val="0"/>
          <w:iCs w:val="0"/>
          <w:color w:val="auto"/>
        </w:rPr>
        <w:t xml:space="preserve">Figure </w:t>
      </w:r>
      <w:r w:rsidRPr="00853392">
        <w:rPr>
          <w:rFonts w:asciiTheme="minorHAnsi" w:hAnsiTheme="minorHAnsi" w:cstheme="minorHAnsi"/>
          <w:i w:val="0"/>
          <w:iCs w:val="0"/>
          <w:color w:val="auto"/>
        </w:rPr>
        <w:fldChar w:fldCharType="begin"/>
      </w:r>
      <w:r w:rsidRPr="00853392">
        <w:rPr>
          <w:rFonts w:asciiTheme="minorHAnsi" w:hAnsiTheme="minorHAnsi" w:cstheme="minorHAnsi"/>
          <w:i w:val="0"/>
          <w:iCs w:val="0"/>
          <w:color w:val="auto"/>
        </w:rPr>
        <w:instrText xml:space="preserve"> SEQ Figure \* ARABIC </w:instrText>
      </w:r>
      <w:r w:rsidRPr="00853392">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6</w:t>
      </w:r>
      <w:r w:rsidRPr="00853392">
        <w:rPr>
          <w:rFonts w:asciiTheme="minorHAnsi" w:hAnsiTheme="minorHAnsi" w:cstheme="minorHAnsi"/>
          <w:i w:val="0"/>
          <w:iCs w:val="0"/>
          <w:color w:val="auto"/>
        </w:rPr>
        <w:fldChar w:fldCharType="end"/>
      </w:r>
      <w:r w:rsidRPr="00853392">
        <w:rPr>
          <w:rFonts w:asciiTheme="minorHAnsi" w:hAnsiTheme="minorHAnsi" w:cstheme="minorHAnsi"/>
          <w:i w:val="0"/>
          <w:iCs w:val="0"/>
          <w:color w:val="auto"/>
        </w:rPr>
        <w:t xml:space="preserve"> - Dotation selon la région</w:t>
      </w:r>
    </w:p>
    <w:p w14:paraId="0A7A93A4" w14:textId="682EE2F1" w:rsidR="00853392" w:rsidRPr="00853392" w:rsidRDefault="00853392" w:rsidP="00853392">
      <w:pPr>
        <w:pStyle w:val="Caption"/>
        <w:keepNext/>
        <w:spacing w:before="240" w:after="0"/>
        <w:jc w:val="center"/>
        <w:rPr>
          <w:rFonts w:asciiTheme="minorHAnsi" w:hAnsiTheme="minorHAnsi" w:cstheme="minorHAnsi"/>
          <w:i w:val="0"/>
          <w:iCs w:val="0"/>
          <w:color w:val="auto"/>
        </w:rPr>
      </w:pPr>
      <w:r w:rsidRPr="00853392">
        <w:rPr>
          <w:rFonts w:asciiTheme="minorHAnsi" w:hAnsiTheme="minorHAnsi" w:cstheme="minorHAnsi"/>
          <w:i w:val="0"/>
          <w:iCs w:val="0"/>
          <w:color w:val="auto"/>
        </w:rPr>
        <w:t xml:space="preserve">Tableau </w:t>
      </w:r>
      <w:r w:rsidRPr="00853392">
        <w:rPr>
          <w:rFonts w:asciiTheme="minorHAnsi" w:hAnsiTheme="minorHAnsi" w:cstheme="minorHAnsi"/>
          <w:i w:val="0"/>
          <w:iCs w:val="0"/>
          <w:color w:val="auto"/>
        </w:rPr>
        <w:fldChar w:fldCharType="begin"/>
      </w:r>
      <w:r w:rsidRPr="00853392">
        <w:rPr>
          <w:rFonts w:asciiTheme="minorHAnsi" w:hAnsiTheme="minorHAnsi" w:cstheme="minorHAnsi"/>
          <w:i w:val="0"/>
          <w:iCs w:val="0"/>
          <w:color w:val="auto"/>
        </w:rPr>
        <w:instrText xml:space="preserve"> SEQ Tableau \* ARABIC </w:instrText>
      </w:r>
      <w:r w:rsidRPr="00853392">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10</w:t>
      </w:r>
      <w:r w:rsidRPr="00853392">
        <w:rPr>
          <w:rFonts w:asciiTheme="minorHAnsi" w:hAnsiTheme="minorHAnsi" w:cstheme="minorHAnsi"/>
          <w:i w:val="0"/>
          <w:iCs w:val="0"/>
          <w:color w:val="auto"/>
        </w:rPr>
        <w:fldChar w:fldCharType="end"/>
      </w:r>
      <w:r w:rsidRPr="00853392">
        <w:rPr>
          <w:rFonts w:asciiTheme="minorHAnsi" w:hAnsiTheme="minorHAnsi" w:cstheme="minorHAnsi"/>
          <w:i w:val="0"/>
          <w:iCs w:val="0"/>
          <w:color w:val="auto"/>
        </w:rPr>
        <w:t xml:space="preserve"> - Pourcentage des activités de dotation dans la région de la capitale nationale en comparaison avec les régions à l’extérieur de la région de la capitale nationale selon l'exercice financier</w:t>
      </w:r>
    </w:p>
    <w:tbl>
      <w:tblPr>
        <w:tblStyle w:val="TableGrid"/>
        <w:tblW w:w="5000" w:type="pct"/>
        <w:jc w:val="center"/>
        <w:tblLook w:val="0020" w:firstRow="1" w:lastRow="0" w:firstColumn="0" w:lastColumn="0" w:noHBand="0" w:noVBand="0"/>
        <w:tblDescription w:val="Dotation selon la région de 2015 à 2020"/>
      </w:tblPr>
      <w:tblGrid>
        <w:gridCol w:w="2193"/>
        <w:gridCol w:w="5883"/>
        <w:gridCol w:w="6314"/>
      </w:tblGrid>
      <w:tr w:rsidR="00853392" w:rsidRPr="00853392" w14:paraId="35A10FDA" w14:textId="77777777" w:rsidTr="00853392">
        <w:trPr>
          <w:cantSplit/>
          <w:trHeight w:val="290"/>
          <w:tblHeader/>
          <w:jc w:val="center"/>
        </w:trPr>
        <w:tc>
          <w:tcPr>
            <w:tcW w:w="762" w:type="pct"/>
          </w:tcPr>
          <w:p w14:paraId="17F668D9" w14:textId="77777777" w:rsidR="00DA7821" w:rsidRPr="00853392" w:rsidRDefault="00DA7821" w:rsidP="00853392">
            <w:pPr>
              <w:pStyle w:val="TableTitle"/>
              <w:rPr>
                <w:color w:val="auto"/>
                <w:sz w:val="22"/>
                <w:szCs w:val="22"/>
              </w:rPr>
            </w:pPr>
            <w:r w:rsidRPr="00853392">
              <w:rPr>
                <w:color w:val="auto"/>
                <w:sz w:val="22"/>
                <w:szCs w:val="22"/>
              </w:rPr>
              <w:t>L'exercice financier</w:t>
            </w:r>
          </w:p>
        </w:tc>
        <w:tc>
          <w:tcPr>
            <w:tcW w:w="2044" w:type="pct"/>
          </w:tcPr>
          <w:p w14:paraId="63211A62" w14:textId="092FAB0B" w:rsidR="00DA7821" w:rsidRPr="00853392" w:rsidRDefault="00DA7821" w:rsidP="00853392">
            <w:pPr>
              <w:pStyle w:val="TableTitle"/>
              <w:rPr>
                <w:color w:val="auto"/>
                <w:sz w:val="22"/>
                <w:szCs w:val="22"/>
              </w:rPr>
            </w:pPr>
            <w:r w:rsidRPr="00853392">
              <w:rPr>
                <w:color w:val="auto"/>
                <w:sz w:val="22"/>
                <w:szCs w:val="22"/>
              </w:rPr>
              <w:t xml:space="preserve">Pourcentage des activités de dotation </w:t>
            </w:r>
            <w:r w:rsidR="00B2578E">
              <w:rPr>
                <w:color w:val="auto"/>
                <w:sz w:val="22"/>
                <w:szCs w:val="22"/>
              </w:rPr>
              <w:t>de</w:t>
            </w:r>
            <w:r w:rsidR="00B2578E" w:rsidRPr="00853392">
              <w:rPr>
                <w:color w:val="auto"/>
                <w:sz w:val="22"/>
                <w:szCs w:val="22"/>
              </w:rPr>
              <w:t xml:space="preserve"> </w:t>
            </w:r>
            <w:r w:rsidRPr="00853392">
              <w:rPr>
                <w:color w:val="auto"/>
                <w:sz w:val="22"/>
                <w:szCs w:val="22"/>
              </w:rPr>
              <w:t xml:space="preserve">l’organisation qui a eu lieu dans la région de la capitale nationale (RCN) </w:t>
            </w:r>
          </w:p>
        </w:tc>
        <w:tc>
          <w:tcPr>
            <w:tcW w:w="2194" w:type="pct"/>
          </w:tcPr>
          <w:p w14:paraId="07FDFB5F" w14:textId="04C184EA" w:rsidR="00DA7821" w:rsidRPr="00853392" w:rsidRDefault="00DA7821" w:rsidP="00853392">
            <w:pPr>
              <w:pStyle w:val="TableTitle"/>
              <w:rPr>
                <w:color w:val="auto"/>
                <w:sz w:val="22"/>
                <w:szCs w:val="22"/>
              </w:rPr>
            </w:pPr>
            <w:r w:rsidRPr="00853392">
              <w:rPr>
                <w:color w:val="auto"/>
                <w:sz w:val="22"/>
                <w:szCs w:val="22"/>
              </w:rPr>
              <w:t xml:space="preserve">Pourcentage des activités de dotation </w:t>
            </w:r>
            <w:r w:rsidR="00B2578E">
              <w:rPr>
                <w:color w:val="auto"/>
                <w:sz w:val="22"/>
                <w:szCs w:val="22"/>
              </w:rPr>
              <w:t>de</w:t>
            </w:r>
            <w:r w:rsidR="00B2578E" w:rsidRPr="00853392">
              <w:rPr>
                <w:color w:val="auto"/>
                <w:sz w:val="22"/>
                <w:szCs w:val="22"/>
              </w:rPr>
              <w:t xml:space="preserve"> </w:t>
            </w:r>
            <w:r w:rsidRPr="00853392">
              <w:rPr>
                <w:color w:val="auto"/>
                <w:sz w:val="22"/>
                <w:szCs w:val="22"/>
              </w:rPr>
              <w:t>l’organisation qui a eu lieu à l’extérieur de la région de la capitale nationale (RCN)</w:t>
            </w:r>
          </w:p>
        </w:tc>
      </w:tr>
      <w:tr w:rsidR="00853392" w:rsidRPr="00853392" w14:paraId="178F55A9" w14:textId="77777777" w:rsidTr="00853392">
        <w:trPr>
          <w:cantSplit/>
          <w:trHeight w:val="290"/>
          <w:tblHeader/>
          <w:jc w:val="center"/>
        </w:trPr>
        <w:tc>
          <w:tcPr>
            <w:tcW w:w="762" w:type="pct"/>
          </w:tcPr>
          <w:p w14:paraId="7EE9FBB4" w14:textId="7777777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2015 à 2016</w:t>
            </w:r>
          </w:p>
        </w:tc>
        <w:tc>
          <w:tcPr>
            <w:tcW w:w="2044" w:type="pct"/>
          </w:tcPr>
          <w:p w14:paraId="716A1C9A" w14:textId="7560FAC4"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64</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c>
          <w:tcPr>
            <w:tcW w:w="2194" w:type="pct"/>
          </w:tcPr>
          <w:p w14:paraId="0ED835A9" w14:textId="078862A1"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36</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r w:rsidR="00853392" w:rsidRPr="00853392" w14:paraId="19366086" w14:textId="77777777" w:rsidTr="00853392">
        <w:trPr>
          <w:cantSplit/>
          <w:trHeight w:val="290"/>
          <w:tblHeader/>
          <w:jc w:val="center"/>
        </w:trPr>
        <w:tc>
          <w:tcPr>
            <w:tcW w:w="762" w:type="pct"/>
          </w:tcPr>
          <w:p w14:paraId="70D5EFE3" w14:textId="7777777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2016 à 2017</w:t>
            </w:r>
          </w:p>
        </w:tc>
        <w:tc>
          <w:tcPr>
            <w:tcW w:w="2044" w:type="pct"/>
          </w:tcPr>
          <w:p w14:paraId="5A60B9D8" w14:textId="24812738"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77</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c>
          <w:tcPr>
            <w:tcW w:w="2194" w:type="pct"/>
          </w:tcPr>
          <w:p w14:paraId="4BC68057" w14:textId="163C5E62"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23</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r w:rsidR="00853392" w:rsidRPr="00853392" w14:paraId="6C7D8D60" w14:textId="77777777" w:rsidTr="00853392">
        <w:trPr>
          <w:cantSplit/>
          <w:trHeight w:val="290"/>
          <w:tblHeader/>
          <w:jc w:val="center"/>
        </w:trPr>
        <w:tc>
          <w:tcPr>
            <w:tcW w:w="762" w:type="pct"/>
          </w:tcPr>
          <w:p w14:paraId="5621C321" w14:textId="7777777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2017 à 2018</w:t>
            </w:r>
          </w:p>
        </w:tc>
        <w:tc>
          <w:tcPr>
            <w:tcW w:w="2044" w:type="pct"/>
          </w:tcPr>
          <w:p w14:paraId="6847A9A5" w14:textId="09CA461F"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77</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c>
          <w:tcPr>
            <w:tcW w:w="2194" w:type="pct"/>
          </w:tcPr>
          <w:p w14:paraId="204404EC" w14:textId="24FD894E"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23</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r w:rsidR="00853392" w:rsidRPr="00853392" w14:paraId="45E8E6E5" w14:textId="77777777" w:rsidTr="00853392">
        <w:trPr>
          <w:cantSplit/>
          <w:trHeight w:val="290"/>
          <w:tblHeader/>
          <w:jc w:val="center"/>
        </w:trPr>
        <w:tc>
          <w:tcPr>
            <w:tcW w:w="762" w:type="pct"/>
          </w:tcPr>
          <w:p w14:paraId="27A58C32" w14:textId="7777777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2018 à 2019</w:t>
            </w:r>
          </w:p>
        </w:tc>
        <w:tc>
          <w:tcPr>
            <w:tcW w:w="2044" w:type="pct"/>
          </w:tcPr>
          <w:p w14:paraId="1500186F" w14:textId="2FF0BE46"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79</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c>
          <w:tcPr>
            <w:tcW w:w="2194" w:type="pct"/>
          </w:tcPr>
          <w:p w14:paraId="3FB60BA1" w14:textId="2D89358D"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21</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r w:rsidR="00853392" w:rsidRPr="00853392" w14:paraId="45C9B3A7" w14:textId="77777777" w:rsidTr="00853392">
        <w:trPr>
          <w:cantSplit/>
          <w:trHeight w:val="290"/>
          <w:tblHeader/>
          <w:jc w:val="center"/>
        </w:trPr>
        <w:tc>
          <w:tcPr>
            <w:tcW w:w="762" w:type="pct"/>
          </w:tcPr>
          <w:p w14:paraId="12EEBD01" w14:textId="77777777" w:rsidR="00DA7821" w:rsidRPr="00853392" w:rsidRDefault="00DA7821" w:rsidP="00CD64EE">
            <w:pPr>
              <w:autoSpaceDE w:val="0"/>
              <w:autoSpaceDN w:val="0"/>
              <w:adjustRightInd w:val="0"/>
              <w:rPr>
                <w:rFonts w:asciiTheme="minorHAnsi" w:hAnsiTheme="minorHAnsi" w:cstheme="minorHAnsi"/>
                <w:sz w:val="22"/>
                <w:szCs w:val="22"/>
              </w:rPr>
            </w:pPr>
            <w:r w:rsidRPr="00853392">
              <w:rPr>
                <w:rFonts w:asciiTheme="minorHAnsi" w:hAnsiTheme="minorHAnsi" w:cstheme="minorHAnsi"/>
                <w:sz w:val="22"/>
                <w:szCs w:val="22"/>
              </w:rPr>
              <w:t>2019 à 2020</w:t>
            </w:r>
          </w:p>
        </w:tc>
        <w:tc>
          <w:tcPr>
            <w:tcW w:w="2044" w:type="pct"/>
          </w:tcPr>
          <w:p w14:paraId="6BD592B9" w14:textId="41C040F2"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75</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c>
          <w:tcPr>
            <w:tcW w:w="2194" w:type="pct"/>
          </w:tcPr>
          <w:p w14:paraId="7B6AA85B" w14:textId="03D82F41" w:rsidR="00DA7821" w:rsidRPr="00853392" w:rsidRDefault="00DA7821" w:rsidP="00CD64EE">
            <w:pPr>
              <w:autoSpaceDE w:val="0"/>
              <w:autoSpaceDN w:val="0"/>
              <w:adjustRightInd w:val="0"/>
              <w:jc w:val="center"/>
              <w:rPr>
                <w:rFonts w:asciiTheme="minorHAnsi" w:hAnsiTheme="minorHAnsi" w:cstheme="minorHAnsi"/>
                <w:sz w:val="22"/>
                <w:szCs w:val="22"/>
              </w:rPr>
            </w:pPr>
            <w:r w:rsidRPr="00853392">
              <w:rPr>
                <w:rFonts w:asciiTheme="minorHAnsi" w:hAnsiTheme="minorHAnsi" w:cstheme="minorHAnsi"/>
                <w:sz w:val="22"/>
                <w:szCs w:val="22"/>
              </w:rPr>
              <w:t>25</w:t>
            </w:r>
            <w:r w:rsidR="00B2578E">
              <w:rPr>
                <w:rFonts w:asciiTheme="minorHAnsi" w:hAnsiTheme="minorHAnsi" w:cstheme="minorHAnsi"/>
                <w:sz w:val="22"/>
                <w:szCs w:val="22"/>
              </w:rPr>
              <w:t xml:space="preserve"> </w:t>
            </w:r>
            <w:r w:rsidRPr="00853392">
              <w:rPr>
                <w:rFonts w:asciiTheme="minorHAnsi" w:hAnsiTheme="minorHAnsi" w:cstheme="minorHAnsi"/>
                <w:sz w:val="22"/>
                <w:szCs w:val="22"/>
              </w:rPr>
              <w:t>%</w:t>
            </w:r>
          </w:p>
        </w:tc>
      </w:tr>
    </w:tbl>
    <w:p w14:paraId="71858627" w14:textId="0F14B62A" w:rsidR="00B93FD9" w:rsidRPr="00853392" w:rsidRDefault="00DA7821" w:rsidP="00853392">
      <w:pPr>
        <w:pStyle w:val="ListParagraph"/>
        <w:numPr>
          <w:ilvl w:val="0"/>
          <w:numId w:val="24"/>
        </w:numPr>
        <w:spacing w:after="100" w:afterAutospacing="1"/>
        <w:contextualSpacing w:val="0"/>
        <w:rPr>
          <w:rFonts w:asciiTheme="minorHAnsi" w:hAnsiTheme="minorHAnsi" w:cstheme="minorHAnsi"/>
          <w:sz w:val="22"/>
          <w:szCs w:val="22"/>
        </w:rPr>
      </w:pPr>
      <w:r w:rsidRPr="00853392">
        <w:rPr>
          <w:rFonts w:asciiTheme="minorHAnsi" w:hAnsiTheme="minorHAnsi" w:cstheme="minorHAnsi"/>
          <w:sz w:val="22"/>
          <w:szCs w:val="22"/>
        </w:rPr>
        <w:t>La distribution régionale exclu</w:t>
      </w:r>
      <w:r w:rsidR="00B2578E">
        <w:rPr>
          <w:rFonts w:asciiTheme="minorHAnsi" w:hAnsiTheme="minorHAnsi" w:cstheme="minorHAnsi"/>
          <w:sz w:val="22"/>
          <w:szCs w:val="22"/>
        </w:rPr>
        <w:t>t</w:t>
      </w:r>
      <w:r w:rsidRPr="00853392">
        <w:rPr>
          <w:rFonts w:asciiTheme="minorHAnsi" w:hAnsiTheme="minorHAnsi" w:cstheme="minorHAnsi"/>
          <w:sz w:val="22"/>
          <w:szCs w:val="22"/>
        </w:rPr>
        <w:t xml:space="preserve"> les inconnu</w:t>
      </w:r>
      <w:r w:rsidR="00853392">
        <w:rPr>
          <w:rFonts w:asciiTheme="minorHAnsi" w:hAnsiTheme="minorHAnsi" w:cstheme="minorHAnsi"/>
          <w:sz w:val="22"/>
          <w:szCs w:val="22"/>
        </w:rPr>
        <w:t>s</w:t>
      </w:r>
      <w:r w:rsidR="00B93FD9">
        <w:rPr>
          <w:noProof/>
          <w:lang w:eastAsia="en-CA"/>
        </w:rPr>
        <w:br w:type="page"/>
      </w:r>
    </w:p>
    <w:p w14:paraId="78AFD664" w14:textId="77777777" w:rsidR="00853392" w:rsidRPr="00853392" w:rsidRDefault="00853392" w:rsidP="00853392">
      <w:pPr>
        <w:pStyle w:val="Heading1"/>
        <w:spacing w:before="120"/>
        <w:rPr>
          <w:noProof/>
          <w:sz w:val="40"/>
          <w:szCs w:val="40"/>
          <w:lang w:eastAsia="en-CA"/>
        </w:rPr>
      </w:pPr>
      <w:r w:rsidRPr="00853392">
        <w:rPr>
          <w:rFonts w:eastAsia="Times New Roman"/>
          <w:noProof/>
          <w:sz w:val="40"/>
          <w:szCs w:val="40"/>
          <w:lang w:eastAsia="en-CA"/>
        </w:rPr>
        <w:lastRenderedPageBreak/>
        <w:t>Dotation selon le type de processus</w:t>
      </w:r>
    </w:p>
    <w:p w14:paraId="5C117AC2" w14:textId="77777777" w:rsidR="00445B89" w:rsidRDefault="00B93FD9" w:rsidP="00445B89">
      <w:pPr>
        <w:keepNext/>
        <w:tabs>
          <w:tab w:val="left" w:pos="7839"/>
        </w:tabs>
        <w:jc w:val="center"/>
      </w:pPr>
      <w:r>
        <w:rPr>
          <w:noProof/>
          <w:lang w:eastAsia="en-CA"/>
        </w:rPr>
        <w:drawing>
          <wp:inline distT="0" distB="0" distL="0" distR="0" wp14:anchorId="6B1A51CC" wp14:editId="056C058E">
            <wp:extent cx="5648400" cy="3049200"/>
            <wp:effectExtent l="0" t="0" r="9525" b="18415"/>
            <wp:docPr id="1" name="Chart 1" descr="Dotation selon le type de processus&#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5875ED1" w14:textId="5CC76C13" w:rsidR="00B93FD9" w:rsidRPr="00445B89" w:rsidRDefault="00445B89" w:rsidP="00445B89">
      <w:pPr>
        <w:pStyle w:val="Caption"/>
        <w:spacing w:after="0"/>
        <w:jc w:val="center"/>
        <w:rPr>
          <w:rFonts w:asciiTheme="minorHAnsi" w:hAnsiTheme="minorHAnsi" w:cstheme="minorHAnsi"/>
          <w:i w:val="0"/>
          <w:iCs w:val="0"/>
          <w:color w:val="auto"/>
        </w:rPr>
      </w:pPr>
      <w:r w:rsidRPr="00445B89">
        <w:rPr>
          <w:rFonts w:asciiTheme="minorHAnsi" w:hAnsiTheme="minorHAnsi" w:cstheme="minorHAnsi"/>
          <w:i w:val="0"/>
          <w:iCs w:val="0"/>
          <w:color w:val="auto"/>
        </w:rPr>
        <w:t xml:space="preserve">Figure </w:t>
      </w:r>
      <w:r w:rsidRPr="00445B89">
        <w:rPr>
          <w:rFonts w:asciiTheme="minorHAnsi" w:hAnsiTheme="minorHAnsi" w:cstheme="minorHAnsi"/>
          <w:i w:val="0"/>
          <w:iCs w:val="0"/>
          <w:color w:val="auto"/>
        </w:rPr>
        <w:fldChar w:fldCharType="begin"/>
      </w:r>
      <w:r w:rsidRPr="00445B89">
        <w:rPr>
          <w:rFonts w:asciiTheme="minorHAnsi" w:hAnsiTheme="minorHAnsi" w:cstheme="minorHAnsi"/>
          <w:i w:val="0"/>
          <w:iCs w:val="0"/>
          <w:color w:val="auto"/>
        </w:rPr>
        <w:instrText xml:space="preserve"> SEQ Figure \* ARABIC </w:instrText>
      </w:r>
      <w:r w:rsidRPr="00445B89">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7</w:t>
      </w:r>
      <w:r w:rsidRPr="00445B89">
        <w:rPr>
          <w:rFonts w:asciiTheme="minorHAnsi" w:hAnsiTheme="minorHAnsi" w:cstheme="minorHAnsi"/>
          <w:i w:val="0"/>
          <w:iCs w:val="0"/>
          <w:color w:val="auto"/>
        </w:rPr>
        <w:fldChar w:fldCharType="end"/>
      </w:r>
      <w:r w:rsidRPr="00445B89">
        <w:rPr>
          <w:rFonts w:asciiTheme="minorHAnsi" w:hAnsiTheme="minorHAnsi" w:cstheme="minorHAnsi"/>
          <w:i w:val="0"/>
          <w:iCs w:val="0"/>
          <w:color w:val="auto"/>
        </w:rPr>
        <w:t xml:space="preserve"> - Dotation selon le type de processus</w:t>
      </w:r>
    </w:p>
    <w:p w14:paraId="6631F8C0" w14:textId="520020C9" w:rsidR="00445B89" w:rsidRPr="00445B89" w:rsidRDefault="00445B89" w:rsidP="00445B89">
      <w:pPr>
        <w:pStyle w:val="Caption"/>
        <w:keepNext/>
        <w:spacing w:before="240" w:after="0"/>
        <w:jc w:val="center"/>
        <w:rPr>
          <w:rFonts w:asciiTheme="minorHAnsi" w:hAnsiTheme="minorHAnsi" w:cstheme="minorHAnsi"/>
          <w:i w:val="0"/>
          <w:iCs w:val="0"/>
          <w:color w:val="auto"/>
        </w:rPr>
      </w:pPr>
      <w:r w:rsidRPr="00445B89">
        <w:rPr>
          <w:rFonts w:asciiTheme="minorHAnsi" w:hAnsiTheme="minorHAnsi" w:cstheme="minorHAnsi"/>
          <w:i w:val="0"/>
          <w:iCs w:val="0"/>
          <w:color w:val="auto"/>
        </w:rPr>
        <w:t xml:space="preserve">Tableau </w:t>
      </w:r>
      <w:r w:rsidRPr="00445B89">
        <w:rPr>
          <w:rFonts w:asciiTheme="minorHAnsi" w:hAnsiTheme="minorHAnsi" w:cstheme="minorHAnsi"/>
          <w:i w:val="0"/>
          <w:iCs w:val="0"/>
          <w:color w:val="auto"/>
        </w:rPr>
        <w:fldChar w:fldCharType="begin"/>
      </w:r>
      <w:r w:rsidRPr="00445B89">
        <w:rPr>
          <w:rFonts w:asciiTheme="minorHAnsi" w:hAnsiTheme="minorHAnsi" w:cstheme="minorHAnsi"/>
          <w:i w:val="0"/>
          <w:iCs w:val="0"/>
          <w:color w:val="auto"/>
        </w:rPr>
        <w:instrText xml:space="preserve"> SEQ Tableau \* ARABIC </w:instrText>
      </w:r>
      <w:r w:rsidRPr="00445B89">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11</w:t>
      </w:r>
      <w:r w:rsidRPr="00445B89">
        <w:rPr>
          <w:rFonts w:asciiTheme="minorHAnsi" w:hAnsiTheme="minorHAnsi" w:cstheme="minorHAnsi"/>
          <w:i w:val="0"/>
          <w:iCs w:val="0"/>
          <w:color w:val="auto"/>
        </w:rPr>
        <w:fldChar w:fldCharType="end"/>
      </w:r>
      <w:r w:rsidRPr="00445B89">
        <w:rPr>
          <w:rFonts w:asciiTheme="minorHAnsi" w:hAnsiTheme="minorHAnsi" w:cstheme="minorHAnsi"/>
          <w:i w:val="0"/>
          <w:iCs w:val="0"/>
          <w:color w:val="auto"/>
        </w:rPr>
        <w:t xml:space="preserve"> - Nombre et pourcentage des activités de dotation selon le type de processus et l’exercice financier</w:t>
      </w:r>
    </w:p>
    <w:tbl>
      <w:tblPr>
        <w:tblStyle w:val="TableGrid"/>
        <w:tblW w:w="5000" w:type="pct"/>
        <w:jc w:val="center"/>
        <w:tblLook w:val="0020" w:firstRow="1" w:lastRow="0" w:firstColumn="0" w:lastColumn="0" w:noHBand="0" w:noVBand="0"/>
        <w:tblDescription w:val="Dotation selon le type de processus de 2015 à 2020"/>
      </w:tblPr>
      <w:tblGrid>
        <w:gridCol w:w="2688"/>
        <w:gridCol w:w="4536"/>
        <w:gridCol w:w="2835"/>
        <w:gridCol w:w="4331"/>
      </w:tblGrid>
      <w:tr w:rsidR="00445B89" w:rsidRPr="00445B89" w14:paraId="73BBDEFB" w14:textId="77777777" w:rsidTr="00445B89">
        <w:trPr>
          <w:cantSplit/>
          <w:trHeight w:val="290"/>
          <w:tblHeader/>
          <w:jc w:val="center"/>
        </w:trPr>
        <w:tc>
          <w:tcPr>
            <w:tcW w:w="934" w:type="pct"/>
          </w:tcPr>
          <w:p w14:paraId="3EED649F" w14:textId="77777777" w:rsidR="00DA7821" w:rsidRPr="00445B89" w:rsidRDefault="00DA7821" w:rsidP="00445B89">
            <w:pPr>
              <w:pStyle w:val="TableTitle"/>
              <w:rPr>
                <w:color w:val="auto"/>
                <w:sz w:val="22"/>
                <w:szCs w:val="22"/>
              </w:rPr>
            </w:pPr>
            <w:r w:rsidRPr="00445B89">
              <w:rPr>
                <w:color w:val="auto"/>
                <w:sz w:val="22"/>
                <w:szCs w:val="22"/>
              </w:rPr>
              <w:t>Exercice financier</w:t>
            </w:r>
          </w:p>
        </w:tc>
        <w:tc>
          <w:tcPr>
            <w:tcW w:w="1576" w:type="pct"/>
          </w:tcPr>
          <w:p w14:paraId="343A0BB8" w14:textId="77777777" w:rsidR="00DA7821" w:rsidRPr="00445B89" w:rsidRDefault="00DA7821" w:rsidP="00445B89">
            <w:pPr>
              <w:pStyle w:val="TableTitle"/>
              <w:rPr>
                <w:color w:val="auto"/>
                <w:sz w:val="22"/>
                <w:szCs w:val="22"/>
              </w:rPr>
            </w:pPr>
            <w:r w:rsidRPr="00445B89">
              <w:rPr>
                <w:color w:val="auto"/>
                <w:sz w:val="22"/>
                <w:szCs w:val="22"/>
              </w:rPr>
              <w:t>Processus non annoncé (inconnus exclus)</w:t>
            </w:r>
          </w:p>
        </w:tc>
        <w:tc>
          <w:tcPr>
            <w:tcW w:w="985" w:type="pct"/>
          </w:tcPr>
          <w:p w14:paraId="31E05129" w14:textId="77777777" w:rsidR="00DA7821" w:rsidRPr="00445B89" w:rsidRDefault="00DA7821" w:rsidP="00445B89">
            <w:pPr>
              <w:pStyle w:val="TableTitle"/>
              <w:rPr>
                <w:color w:val="auto"/>
                <w:sz w:val="22"/>
                <w:szCs w:val="22"/>
              </w:rPr>
            </w:pPr>
            <w:r w:rsidRPr="00445B89">
              <w:rPr>
                <w:color w:val="auto"/>
                <w:sz w:val="22"/>
                <w:szCs w:val="22"/>
              </w:rPr>
              <w:t>Processus annoncés</w:t>
            </w:r>
          </w:p>
        </w:tc>
        <w:tc>
          <w:tcPr>
            <w:tcW w:w="1505" w:type="pct"/>
          </w:tcPr>
          <w:p w14:paraId="05965808" w14:textId="77777777" w:rsidR="00DA7821" w:rsidRPr="00445B89" w:rsidRDefault="00DA7821" w:rsidP="00445B89">
            <w:pPr>
              <w:pStyle w:val="TableTitle"/>
              <w:rPr>
                <w:color w:val="auto"/>
                <w:sz w:val="22"/>
                <w:szCs w:val="22"/>
              </w:rPr>
            </w:pPr>
            <w:r w:rsidRPr="00445B89">
              <w:rPr>
                <w:color w:val="auto"/>
                <w:sz w:val="22"/>
                <w:szCs w:val="22"/>
              </w:rPr>
              <w:t xml:space="preserve">Pourcentage de processus non annoncés </w:t>
            </w:r>
          </w:p>
        </w:tc>
      </w:tr>
      <w:tr w:rsidR="00445B89" w:rsidRPr="00445B89" w14:paraId="4BFF8563" w14:textId="77777777" w:rsidTr="00445B89">
        <w:trPr>
          <w:cantSplit/>
          <w:trHeight w:val="290"/>
          <w:tblHeader/>
          <w:jc w:val="center"/>
        </w:trPr>
        <w:tc>
          <w:tcPr>
            <w:tcW w:w="934" w:type="pct"/>
          </w:tcPr>
          <w:p w14:paraId="0966263E"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 xml:space="preserve">2015 à 2016 </w:t>
            </w:r>
          </w:p>
        </w:tc>
        <w:tc>
          <w:tcPr>
            <w:tcW w:w="1576" w:type="pct"/>
          </w:tcPr>
          <w:p w14:paraId="2ED5D118"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137</w:t>
            </w:r>
          </w:p>
        </w:tc>
        <w:tc>
          <w:tcPr>
            <w:tcW w:w="985" w:type="pct"/>
          </w:tcPr>
          <w:p w14:paraId="5BC364E0"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379</w:t>
            </w:r>
          </w:p>
        </w:tc>
        <w:tc>
          <w:tcPr>
            <w:tcW w:w="1505" w:type="pct"/>
          </w:tcPr>
          <w:p w14:paraId="7201D970" w14:textId="529A0559"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27</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w:t>
            </w:r>
          </w:p>
        </w:tc>
      </w:tr>
      <w:tr w:rsidR="00445B89" w:rsidRPr="00445B89" w14:paraId="2B4D1AAE" w14:textId="77777777" w:rsidTr="00445B89">
        <w:trPr>
          <w:cantSplit/>
          <w:trHeight w:val="290"/>
          <w:tblHeader/>
          <w:jc w:val="center"/>
        </w:trPr>
        <w:tc>
          <w:tcPr>
            <w:tcW w:w="934" w:type="pct"/>
          </w:tcPr>
          <w:p w14:paraId="24AD0FCB"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2016 à 2017</w:t>
            </w:r>
          </w:p>
        </w:tc>
        <w:tc>
          <w:tcPr>
            <w:tcW w:w="1576" w:type="pct"/>
          </w:tcPr>
          <w:p w14:paraId="1E4396A5"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161</w:t>
            </w:r>
          </w:p>
        </w:tc>
        <w:tc>
          <w:tcPr>
            <w:tcW w:w="985" w:type="pct"/>
          </w:tcPr>
          <w:p w14:paraId="21F6FEC0"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396</w:t>
            </w:r>
          </w:p>
        </w:tc>
        <w:tc>
          <w:tcPr>
            <w:tcW w:w="1505" w:type="pct"/>
          </w:tcPr>
          <w:p w14:paraId="1B97D82E" w14:textId="79CBFB66"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29</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w:t>
            </w:r>
          </w:p>
        </w:tc>
      </w:tr>
      <w:tr w:rsidR="00445B89" w:rsidRPr="00445B89" w14:paraId="5423C858" w14:textId="77777777" w:rsidTr="00445B89">
        <w:trPr>
          <w:cantSplit/>
          <w:trHeight w:val="290"/>
          <w:tblHeader/>
          <w:jc w:val="center"/>
        </w:trPr>
        <w:tc>
          <w:tcPr>
            <w:tcW w:w="934" w:type="pct"/>
          </w:tcPr>
          <w:p w14:paraId="48054101"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2017 à 2018</w:t>
            </w:r>
          </w:p>
        </w:tc>
        <w:tc>
          <w:tcPr>
            <w:tcW w:w="1576" w:type="pct"/>
          </w:tcPr>
          <w:p w14:paraId="0C9B9B42"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359</w:t>
            </w:r>
          </w:p>
        </w:tc>
        <w:tc>
          <w:tcPr>
            <w:tcW w:w="985" w:type="pct"/>
          </w:tcPr>
          <w:p w14:paraId="489FE8ED"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374</w:t>
            </w:r>
          </w:p>
        </w:tc>
        <w:tc>
          <w:tcPr>
            <w:tcW w:w="1505" w:type="pct"/>
          </w:tcPr>
          <w:p w14:paraId="39B79D8C" w14:textId="2178709E"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49</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w:t>
            </w:r>
          </w:p>
        </w:tc>
      </w:tr>
      <w:tr w:rsidR="00445B89" w:rsidRPr="00445B89" w14:paraId="22312B89" w14:textId="77777777" w:rsidTr="00445B89">
        <w:trPr>
          <w:cantSplit/>
          <w:trHeight w:val="290"/>
          <w:tblHeader/>
          <w:jc w:val="center"/>
        </w:trPr>
        <w:tc>
          <w:tcPr>
            <w:tcW w:w="934" w:type="pct"/>
          </w:tcPr>
          <w:p w14:paraId="7BC9B28E"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2018 à 2019</w:t>
            </w:r>
          </w:p>
        </w:tc>
        <w:tc>
          <w:tcPr>
            <w:tcW w:w="1576" w:type="pct"/>
          </w:tcPr>
          <w:p w14:paraId="03D3E295"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431</w:t>
            </w:r>
          </w:p>
        </w:tc>
        <w:tc>
          <w:tcPr>
            <w:tcW w:w="985" w:type="pct"/>
          </w:tcPr>
          <w:p w14:paraId="72A81E4E"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461</w:t>
            </w:r>
          </w:p>
        </w:tc>
        <w:tc>
          <w:tcPr>
            <w:tcW w:w="1505" w:type="pct"/>
          </w:tcPr>
          <w:p w14:paraId="369F8EAC" w14:textId="24851AEB"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48</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w:t>
            </w:r>
          </w:p>
        </w:tc>
      </w:tr>
      <w:tr w:rsidR="00445B89" w:rsidRPr="00445B89" w14:paraId="6EB49151" w14:textId="77777777" w:rsidTr="00445B89">
        <w:trPr>
          <w:cantSplit/>
          <w:trHeight w:val="290"/>
          <w:tblHeader/>
          <w:jc w:val="center"/>
        </w:trPr>
        <w:tc>
          <w:tcPr>
            <w:tcW w:w="934" w:type="pct"/>
          </w:tcPr>
          <w:p w14:paraId="535FF272"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2019 à 2020</w:t>
            </w:r>
          </w:p>
        </w:tc>
        <w:tc>
          <w:tcPr>
            <w:tcW w:w="1576" w:type="pct"/>
          </w:tcPr>
          <w:p w14:paraId="22E4EACA"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388</w:t>
            </w:r>
          </w:p>
        </w:tc>
        <w:tc>
          <w:tcPr>
            <w:tcW w:w="985" w:type="pct"/>
          </w:tcPr>
          <w:p w14:paraId="43100606"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465</w:t>
            </w:r>
          </w:p>
        </w:tc>
        <w:tc>
          <w:tcPr>
            <w:tcW w:w="1505" w:type="pct"/>
          </w:tcPr>
          <w:p w14:paraId="58C3E853" w14:textId="216661B8"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45</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w:t>
            </w:r>
          </w:p>
        </w:tc>
      </w:tr>
    </w:tbl>
    <w:p w14:paraId="2037B01D" w14:textId="77777777" w:rsidR="00DA7821" w:rsidRPr="00445B89" w:rsidRDefault="00DA7821" w:rsidP="00DA7821">
      <w:pPr>
        <w:pStyle w:val="ListParagraph"/>
        <w:numPr>
          <w:ilvl w:val="0"/>
          <w:numId w:val="22"/>
        </w:numPr>
        <w:spacing w:after="100" w:afterAutospacing="1"/>
        <w:contextualSpacing w:val="0"/>
        <w:rPr>
          <w:rFonts w:asciiTheme="minorHAnsi" w:hAnsiTheme="minorHAnsi" w:cstheme="minorHAnsi"/>
          <w:sz w:val="22"/>
          <w:szCs w:val="22"/>
        </w:rPr>
      </w:pPr>
      <w:r w:rsidRPr="00445B89">
        <w:rPr>
          <w:rFonts w:asciiTheme="minorHAnsi" w:hAnsiTheme="minorHAnsi" w:cstheme="minorHAnsi"/>
          <w:sz w:val="22"/>
          <w:szCs w:val="22"/>
        </w:rPr>
        <w:t>Comprend les nominations pour une période indéterminée et pour une durée déterminée.</w:t>
      </w:r>
    </w:p>
    <w:p w14:paraId="136BFA5E" w14:textId="77777777" w:rsidR="00DA7821" w:rsidRPr="00445B89" w:rsidRDefault="00DA7821" w:rsidP="00DA7821">
      <w:pPr>
        <w:pStyle w:val="ListParagraph"/>
        <w:numPr>
          <w:ilvl w:val="0"/>
          <w:numId w:val="22"/>
        </w:numPr>
        <w:spacing w:after="100" w:afterAutospacing="1"/>
        <w:contextualSpacing w:val="0"/>
        <w:rPr>
          <w:rFonts w:asciiTheme="minorHAnsi" w:hAnsiTheme="minorHAnsi" w:cstheme="minorHAnsi"/>
          <w:sz w:val="22"/>
          <w:szCs w:val="22"/>
        </w:rPr>
      </w:pPr>
      <w:r w:rsidRPr="00445B89">
        <w:rPr>
          <w:rFonts w:asciiTheme="minorHAnsi" w:hAnsiTheme="minorHAnsi" w:cstheme="minorHAnsi"/>
          <w:sz w:val="22"/>
          <w:szCs w:val="22"/>
        </w:rPr>
        <w:t>Exclut les déplacements latéraux et régressifs, les mutations et les nominations intérimaires de moins de 4 mois.</w:t>
      </w:r>
    </w:p>
    <w:p w14:paraId="3070939C" w14:textId="24878B26" w:rsidR="00445B89" w:rsidRDefault="00DA7821" w:rsidP="00445B89">
      <w:pPr>
        <w:pStyle w:val="ListParagraph"/>
        <w:numPr>
          <w:ilvl w:val="0"/>
          <w:numId w:val="22"/>
        </w:numPr>
        <w:spacing w:after="100" w:afterAutospacing="1"/>
        <w:contextualSpacing w:val="0"/>
        <w:rPr>
          <w:rFonts w:asciiTheme="minorHAnsi" w:hAnsiTheme="minorHAnsi" w:cstheme="minorHAnsi"/>
          <w:sz w:val="22"/>
          <w:szCs w:val="22"/>
        </w:rPr>
      </w:pPr>
      <w:r w:rsidRPr="00445B89">
        <w:rPr>
          <w:rFonts w:asciiTheme="minorHAnsi" w:hAnsiTheme="minorHAnsi" w:cstheme="minorHAnsi"/>
          <w:sz w:val="22"/>
          <w:szCs w:val="22"/>
        </w:rPr>
        <w:t>Inclut seulement les nominations où le type de processus est connu (62</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à 76</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des nominations).</w:t>
      </w:r>
      <w:r w:rsidR="00445B89">
        <w:rPr>
          <w:rFonts w:asciiTheme="minorHAnsi" w:hAnsiTheme="minorHAnsi" w:cstheme="minorHAnsi"/>
          <w:sz w:val="22"/>
          <w:szCs w:val="22"/>
        </w:rPr>
        <w:br w:type="page"/>
      </w:r>
    </w:p>
    <w:p w14:paraId="0AC0959A" w14:textId="77777777" w:rsidR="00445B89" w:rsidRPr="00445B89" w:rsidRDefault="00445B89" w:rsidP="00445B89">
      <w:pPr>
        <w:pStyle w:val="Heading1"/>
        <w:spacing w:before="120"/>
        <w:rPr>
          <w:sz w:val="40"/>
          <w:szCs w:val="40"/>
        </w:rPr>
      </w:pPr>
      <w:r w:rsidRPr="00445B89">
        <w:rPr>
          <w:rFonts w:eastAsia="Times New Roman"/>
          <w:sz w:val="40"/>
          <w:szCs w:val="40"/>
        </w:rPr>
        <w:lastRenderedPageBreak/>
        <w:t>Dotation selon le type de nomination</w:t>
      </w:r>
    </w:p>
    <w:p w14:paraId="00BEF18E" w14:textId="77777777" w:rsidR="00445B89" w:rsidRDefault="00397F78" w:rsidP="00445B89">
      <w:pPr>
        <w:keepNext/>
        <w:jc w:val="center"/>
      </w:pPr>
      <w:r w:rsidRPr="006E11FB">
        <w:rPr>
          <w:noProof/>
          <w:lang w:eastAsia="en-CA"/>
        </w:rPr>
        <w:drawing>
          <wp:inline distT="0" distB="0" distL="0" distR="0" wp14:anchorId="3CBD38EE" wp14:editId="501487CB">
            <wp:extent cx="5648400" cy="3049200"/>
            <wp:effectExtent l="0" t="0" r="9525" b="18415"/>
            <wp:docPr id="9" name="Chart 9" descr="Dotation selon le type de nomination&#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39588C0" w14:textId="33F652E6" w:rsidR="00397F78" w:rsidRPr="00445B89" w:rsidRDefault="00445B89" w:rsidP="00445B89">
      <w:pPr>
        <w:pStyle w:val="Caption"/>
        <w:spacing w:after="0"/>
        <w:jc w:val="center"/>
        <w:rPr>
          <w:rFonts w:asciiTheme="minorHAnsi" w:hAnsiTheme="minorHAnsi" w:cstheme="minorHAnsi"/>
          <w:i w:val="0"/>
          <w:iCs w:val="0"/>
          <w:color w:val="auto"/>
        </w:rPr>
      </w:pPr>
      <w:r w:rsidRPr="00445B89">
        <w:rPr>
          <w:rFonts w:asciiTheme="minorHAnsi" w:hAnsiTheme="minorHAnsi" w:cstheme="minorHAnsi"/>
          <w:i w:val="0"/>
          <w:iCs w:val="0"/>
          <w:color w:val="auto"/>
        </w:rPr>
        <w:t xml:space="preserve">Figure </w:t>
      </w:r>
      <w:r w:rsidRPr="00445B89">
        <w:rPr>
          <w:rFonts w:asciiTheme="minorHAnsi" w:hAnsiTheme="minorHAnsi" w:cstheme="minorHAnsi"/>
          <w:i w:val="0"/>
          <w:iCs w:val="0"/>
          <w:color w:val="auto"/>
        </w:rPr>
        <w:fldChar w:fldCharType="begin"/>
      </w:r>
      <w:r w:rsidRPr="00445B89">
        <w:rPr>
          <w:rFonts w:asciiTheme="minorHAnsi" w:hAnsiTheme="minorHAnsi" w:cstheme="minorHAnsi"/>
          <w:i w:val="0"/>
          <w:iCs w:val="0"/>
          <w:color w:val="auto"/>
        </w:rPr>
        <w:instrText xml:space="preserve"> SEQ Figure \* ARABIC </w:instrText>
      </w:r>
      <w:r w:rsidRPr="00445B89">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8</w:t>
      </w:r>
      <w:r w:rsidRPr="00445B89">
        <w:rPr>
          <w:rFonts w:asciiTheme="minorHAnsi" w:hAnsiTheme="minorHAnsi" w:cstheme="minorHAnsi"/>
          <w:i w:val="0"/>
          <w:iCs w:val="0"/>
          <w:color w:val="auto"/>
        </w:rPr>
        <w:fldChar w:fldCharType="end"/>
      </w:r>
      <w:r w:rsidRPr="00445B89">
        <w:rPr>
          <w:rFonts w:asciiTheme="minorHAnsi" w:hAnsiTheme="minorHAnsi" w:cstheme="minorHAnsi"/>
          <w:i w:val="0"/>
          <w:iCs w:val="0"/>
          <w:color w:val="auto"/>
        </w:rPr>
        <w:t xml:space="preserve"> - Dotation selon le type de nomination</w:t>
      </w:r>
    </w:p>
    <w:p w14:paraId="5D89F466" w14:textId="65CACA1F" w:rsidR="00445B89" w:rsidRPr="00445B89" w:rsidRDefault="00445B89" w:rsidP="00445B89">
      <w:pPr>
        <w:pStyle w:val="Caption"/>
        <w:keepNext/>
        <w:spacing w:before="240" w:after="0"/>
        <w:jc w:val="center"/>
        <w:rPr>
          <w:rFonts w:asciiTheme="minorHAnsi" w:hAnsiTheme="minorHAnsi" w:cstheme="minorHAnsi"/>
          <w:i w:val="0"/>
          <w:iCs w:val="0"/>
          <w:color w:val="auto"/>
        </w:rPr>
      </w:pPr>
      <w:r w:rsidRPr="00445B89">
        <w:rPr>
          <w:rFonts w:asciiTheme="minorHAnsi" w:hAnsiTheme="minorHAnsi" w:cstheme="minorHAnsi"/>
          <w:i w:val="0"/>
          <w:iCs w:val="0"/>
          <w:color w:val="auto"/>
        </w:rPr>
        <w:t xml:space="preserve">Tableau </w:t>
      </w:r>
      <w:r w:rsidRPr="00445B89">
        <w:rPr>
          <w:rFonts w:asciiTheme="minorHAnsi" w:hAnsiTheme="minorHAnsi" w:cstheme="minorHAnsi"/>
          <w:i w:val="0"/>
          <w:iCs w:val="0"/>
          <w:color w:val="auto"/>
        </w:rPr>
        <w:fldChar w:fldCharType="begin"/>
      </w:r>
      <w:r w:rsidRPr="00445B89">
        <w:rPr>
          <w:rFonts w:asciiTheme="minorHAnsi" w:hAnsiTheme="minorHAnsi" w:cstheme="minorHAnsi"/>
          <w:i w:val="0"/>
          <w:iCs w:val="0"/>
          <w:color w:val="auto"/>
        </w:rPr>
        <w:instrText xml:space="preserve"> SEQ Tableau \* ARABIC </w:instrText>
      </w:r>
      <w:r w:rsidRPr="00445B89">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12</w:t>
      </w:r>
      <w:r w:rsidRPr="00445B89">
        <w:rPr>
          <w:rFonts w:asciiTheme="minorHAnsi" w:hAnsiTheme="minorHAnsi" w:cstheme="minorHAnsi"/>
          <w:i w:val="0"/>
          <w:iCs w:val="0"/>
          <w:color w:val="auto"/>
        </w:rPr>
        <w:fldChar w:fldCharType="end"/>
      </w:r>
      <w:r w:rsidRPr="00445B89">
        <w:rPr>
          <w:rFonts w:asciiTheme="minorHAnsi" w:hAnsiTheme="minorHAnsi" w:cstheme="minorHAnsi"/>
          <w:i w:val="0"/>
          <w:iCs w:val="0"/>
          <w:color w:val="auto"/>
        </w:rPr>
        <w:t xml:space="preserve"> - Activités de dotation selon le type de nomination et </w:t>
      </w:r>
      <w:r w:rsidR="00B72C1E">
        <w:rPr>
          <w:rFonts w:asciiTheme="minorHAnsi" w:hAnsiTheme="minorHAnsi" w:cstheme="minorHAnsi"/>
          <w:i w:val="0"/>
          <w:iCs w:val="0"/>
          <w:color w:val="auto"/>
        </w:rPr>
        <w:t>l’</w:t>
      </w:r>
      <w:r w:rsidRPr="00445B89">
        <w:rPr>
          <w:rFonts w:asciiTheme="minorHAnsi" w:hAnsiTheme="minorHAnsi" w:cstheme="minorHAnsi"/>
          <w:i w:val="0"/>
          <w:iCs w:val="0"/>
          <w:color w:val="auto"/>
        </w:rPr>
        <w:t>exercice financier</w:t>
      </w:r>
    </w:p>
    <w:tbl>
      <w:tblPr>
        <w:tblStyle w:val="TableGrid"/>
        <w:tblW w:w="5000" w:type="pct"/>
        <w:jc w:val="center"/>
        <w:tblLook w:val="0020" w:firstRow="1" w:lastRow="0" w:firstColumn="0" w:lastColumn="0" w:noHBand="0" w:noVBand="0"/>
        <w:tblCaption w:val="Activités de dotation selon le type de nomination"/>
        <w:tblDescription w:val="Dotation selon le type de nomination de 2015 à 2020"/>
      </w:tblPr>
      <w:tblGrid>
        <w:gridCol w:w="1696"/>
        <w:gridCol w:w="1843"/>
        <w:gridCol w:w="2553"/>
        <w:gridCol w:w="3917"/>
        <w:gridCol w:w="2887"/>
        <w:gridCol w:w="1494"/>
      </w:tblGrid>
      <w:tr w:rsidR="00445B89" w:rsidRPr="00445B89" w14:paraId="0EF06073" w14:textId="77777777" w:rsidTr="00445B89">
        <w:trPr>
          <w:cantSplit/>
          <w:tblHeader/>
          <w:jc w:val="center"/>
        </w:trPr>
        <w:tc>
          <w:tcPr>
            <w:tcW w:w="589" w:type="pct"/>
          </w:tcPr>
          <w:p w14:paraId="5290BFFB" w14:textId="77777777" w:rsidR="00DA7821" w:rsidRPr="00445B89" w:rsidRDefault="00DA7821" w:rsidP="00445B89">
            <w:pPr>
              <w:pStyle w:val="TableTitle"/>
              <w:rPr>
                <w:color w:val="auto"/>
                <w:sz w:val="22"/>
                <w:szCs w:val="22"/>
              </w:rPr>
            </w:pPr>
            <w:r w:rsidRPr="00445B89">
              <w:rPr>
                <w:color w:val="auto"/>
                <w:sz w:val="22"/>
                <w:szCs w:val="22"/>
              </w:rPr>
              <w:t>Exercice financier</w:t>
            </w:r>
          </w:p>
        </w:tc>
        <w:tc>
          <w:tcPr>
            <w:tcW w:w="640" w:type="pct"/>
          </w:tcPr>
          <w:p w14:paraId="1621D2E8" w14:textId="77777777" w:rsidR="00DA7821" w:rsidRPr="00445B89" w:rsidRDefault="00DA7821" w:rsidP="00445B89">
            <w:pPr>
              <w:pStyle w:val="TableTitle"/>
              <w:rPr>
                <w:color w:val="auto"/>
                <w:sz w:val="22"/>
                <w:szCs w:val="22"/>
              </w:rPr>
            </w:pPr>
            <w:r w:rsidRPr="00445B89">
              <w:rPr>
                <w:color w:val="auto"/>
                <w:sz w:val="22"/>
                <w:szCs w:val="22"/>
              </w:rPr>
              <w:t>Promotions</w:t>
            </w:r>
          </w:p>
        </w:tc>
        <w:tc>
          <w:tcPr>
            <w:tcW w:w="887" w:type="pct"/>
          </w:tcPr>
          <w:p w14:paraId="2AA4D624" w14:textId="77777777" w:rsidR="00DA7821" w:rsidRPr="00445B89" w:rsidRDefault="00DA7821" w:rsidP="00445B89">
            <w:pPr>
              <w:pStyle w:val="TableTitle"/>
              <w:rPr>
                <w:color w:val="auto"/>
                <w:sz w:val="22"/>
                <w:szCs w:val="22"/>
              </w:rPr>
            </w:pPr>
            <w:r w:rsidRPr="00445B89">
              <w:rPr>
                <w:color w:val="auto"/>
                <w:sz w:val="22"/>
                <w:szCs w:val="22"/>
              </w:rPr>
              <w:t>Déplacements latéraux et régressifs</w:t>
            </w:r>
          </w:p>
        </w:tc>
        <w:tc>
          <w:tcPr>
            <w:tcW w:w="1361" w:type="pct"/>
          </w:tcPr>
          <w:p w14:paraId="10B7DDFA" w14:textId="77777777" w:rsidR="00DA7821" w:rsidRPr="00445B89" w:rsidRDefault="00DA7821" w:rsidP="00445B89">
            <w:pPr>
              <w:pStyle w:val="TableTitle"/>
              <w:rPr>
                <w:color w:val="auto"/>
                <w:sz w:val="22"/>
                <w:szCs w:val="22"/>
              </w:rPr>
            </w:pPr>
            <w:r w:rsidRPr="00445B89">
              <w:rPr>
                <w:color w:val="auto"/>
                <w:sz w:val="22"/>
                <w:szCs w:val="22"/>
              </w:rPr>
              <w:t>Nominations à la fonction publique (y compris les employés occasionnels et les étudiants)</w:t>
            </w:r>
          </w:p>
        </w:tc>
        <w:tc>
          <w:tcPr>
            <w:tcW w:w="1003" w:type="pct"/>
          </w:tcPr>
          <w:p w14:paraId="78CB6A74" w14:textId="77777777" w:rsidR="00DA7821" w:rsidRPr="00445B89" w:rsidRDefault="00DA7821" w:rsidP="00445B89">
            <w:pPr>
              <w:pStyle w:val="TableTitle"/>
              <w:rPr>
                <w:color w:val="auto"/>
                <w:sz w:val="22"/>
                <w:szCs w:val="22"/>
              </w:rPr>
            </w:pPr>
            <w:r w:rsidRPr="00445B89">
              <w:rPr>
                <w:color w:val="auto"/>
                <w:sz w:val="22"/>
                <w:szCs w:val="22"/>
              </w:rPr>
              <w:t>Nominations intérimaires (Excluant les nominations de moins de 4 mois)</w:t>
            </w:r>
          </w:p>
        </w:tc>
        <w:tc>
          <w:tcPr>
            <w:tcW w:w="519" w:type="pct"/>
          </w:tcPr>
          <w:p w14:paraId="2EBFCB8B" w14:textId="77777777" w:rsidR="00DA7821" w:rsidRPr="00445B89" w:rsidRDefault="00DA7821" w:rsidP="00445B89">
            <w:pPr>
              <w:pStyle w:val="TableTitle"/>
              <w:rPr>
                <w:color w:val="auto"/>
                <w:sz w:val="22"/>
                <w:szCs w:val="22"/>
              </w:rPr>
            </w:pPr>
            <w:r w:rsidRPr="00445B89">
              <w:rPr>
                <w:color w:val="auto"/>
                <w:sz w:val="22"/>
                <w:szCs w:val="22"/>
              </w:rPr>
              <w:t>Total</w:t>
            </w:r>
          </w:p>
        </w:tc>
      </w:tr>
      <w:tr w:rsidR="00445B89" w:rsidRPr="00445B89" w14:paraId="47DE8F13" w14:textId="77777777" w:rsidTr="00445B89">
        <w:trPr>
          <w:cantSplit/>
          <w:tblHeader/>
          <w:jc w:val="center"/>
        </w:trPr>
        <w:tc>
          <w:tcPr>
            <w:tcW w:w="589" w:type="pct"/>
          </w:tcPr>
          <w:p w14:paraId="36B0E429"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2015 à 2016</w:t>
            </w:r>
          </w:p>
        </w:tc>
        <w:tc>
          <w:tcPr>
            <w:tcW w:w="640" w:type="pct"/>
          </w:tcPr>
          <w:p w14:paraId="3B2DBE34"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302</w:t>
            </w:r>
          </w:p>
        </w:tc>
        <w:tc>
          <w:tcPr>
            <w:tcW w:w="887" w:type="pct"/>
          </w:tcPr>
          <w:p w14:paraId="64E6AB67"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233</w:t>
            </w:r>
          </w:p>
        </w:tc>
        <w:tc>
          <w:tcPr>
            <w:tcW w:w="1361" w:type="pct"/>
          </w:tcPr>
          <w:p w14:paraId="004A7872"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1 415</w:t>
            </w:r>
          </w:p>
        </w:tc>
        <w:tc>
          <w:tcPr>
            <w:tcW w:w="1003" w:type="pct"/>
          </w:tcPr>
          <w:p w14:paraId="43FB61B7"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213</w:t>
            </w:r>
          </w:p>
        </w:tc>
        <w:tc>
          <w:tcPr>
            <w:tcW w:w="519" w:type="pct"/>
          </w:tcPr>
          <w:p w14:paraId="1DE07B15"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2 163</w:t>
            </w:r>
          </w:p>
        </w:tc>
      </w:tr>
      <w:tr w:rsidR="00445B89" w:rsidRPr="00445B89" w14:paraId="10637E9F" w14:textId="77777777" w:rsidTr="00445B89">
        <w:trPr>
          <w:cantSplit/>
          <w:tblHeader/>
          <w:jc w:val="center"/>
        </w:trPr>
        <w:tc>
          <w:tcPr>
            <w:tcW w:w="589" w:type="pct"/>
          </w:tcPr>
          <w:p w14:paraId="40239974"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 xml:space="preserve">2016 à 2017 </w:t>
            </w:r>
          </w:p>
        </w:tc>
        <w:tc>
          <w:tcPr>
            <w:tcW w:w="640" w:type="pct"/>
          </w:tcPr>
          <w:p w14:paraId="30C2D0E8"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355</w:t>
            </w:r>
          </w:p>
        </w:tc>
        <w:tc>
          <w:tcPr>
            <w:tcW w:w="887" w:type="pct"/>
          </w:tcPr>
          <w:p w14:paraId="3CD51EFC"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312</w:t>
            </w:r>
          </w:p>
        </w:tc>
        <w:tc>
          <w:tcPr>
            <w:tcW w:w="1361" w:type="pct"/>
          </w:tcPr>
          <w:p w14:paraId="5712870E"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1 385</w:t>
            </w:r>
          </w:p>
        </w:tc>
        <w:tc>
          <w:tcPr>
            <w:tcW w:w="1003" w:type="pct"/>
          </w:tcPr>
          <w:p w14:paraId="7CD4184C"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184</w:t>
            </w:r>
          </w:p>
        </w:tc>
        <w:tc>
          <w:tcPr>
            <w:tcW w:w="519" w:type="pct"/>
          </w:tcPr>
          <w:p w14:paraId="6FB5113F"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2 236</w:t>
            </w:r>
          </w:p>
        </w:tc>
      </w:tr>
      <w:tr w:rsidR="00445B89" w:rsidRPr="00445B89" w14:paraId="7FC24ABD" w14:textId="77777777" w:rsidTr="00445B89">
        <w:trPr>
          <w:cantSplit/>
          <w:tblHeader/>
          <w:jc w:val="center"/>
        </w:trPr>
        <w:tc>
          <w:tcPr>
            <w:tcW w:w="589" w:type="pct"/>
          </w:tcPr>
          <w:p w14:paraId="53FD606B"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2017 à 2018</w:t>
            </w:r>
          </w:p>
        </w:tc>
        <w:tc>
          <w:tcPr>
            <w:tcW w:w="640" w:type="pct"/>
          </w:tcPr>
          <w:p w14:paraId="3A68CDBA"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404</w:t>
            </w:r>
          </w:p>
        </w:tc>
        <w:tc>
          <w:tcPr>
            <w:tcW w:w="887" w:type="pct"/>
          </w:tcPr>
          <w:p w14:paraId="61A91EC7"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304</w:t>
            </w:r>
          </w:p>
        </w:tc>
        <w:tc>
          <w:tcPr>
            <w:tcW w:w="1361" w:type="pct"/>
          </w:tcPr>
          <w:p w14:paraId="300E99B3"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1 550</w:t>
            </w:r>
          </w:p>
        </w:tc>
        <w:tc>
          <w:tcPr>
            <w:tcW w:w="1003" w:type="pct"/>
          </w:tcPr>
          <w:p w14:paraId="3B2B46F6"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126</w:t>
            </w:r>
          </w:p>
        </w:tc>
        <w:tc>
          <w:tcPr>
            <w:tcW w:w="519" w:type="pct"/>
          </w:tcPr>
          <w:p w14:paraId="064E2A88"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2 384</w:t>
            </w:r>
          </w:p>
        </w:tc>
      </w:tr>
      <w:tr w:rsidR="00445B89" w:rsidRPr="00445B89" w14:paraId="70C59E79" w14:textId="77777777" w:rsidTr="00445B89">
        <w:trPr>
          <w:cantSplit/>
          <w:tblHeader/>
          <w:jc w:val="center"/>
        </w:trPr>
        <w:tc>
          <w:tcPr>
            <w:tcW w:w="589" w:type="pct"/>
          </w:tcPr>
          <w:p w14:paraId="5BBA42B9"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2018 à 2019</w:t>
            </w:r>
          </w:p>
        </w:tc>
        <w:tc>
          <w:tcPr>
            <w:tcW w:w="640" w:type="pct"/>
          </w:tcPr>
          <w:p w14:paraId="139E9C09"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468</w:t>
            </w:r>
          </w:p>
        </w:tc>
        <w:tc>
          <w:tcPr>
            <w:tcW w:w="887" w:type="pct"/>
          </w:tcPr>
          <w:p w14:paraId="46D4BD2A"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323</w:t>
            </w:r>
          </w:p>
        </w:tc>
        <w:tc>
          <w:tcPr>
            <w:tcW w:w="1361" w:type="pct"/>
          </w:tcPr>
          <w:p w14:paraId="6A69E16D"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1 730</w:t>
            </w:r>
          </w:p>
        </w:tc>
        <w:tc>
          <w:tcPr>
            <w:tcW w:w="1003" w:type="pct"/>
          </w:tcPr>
          <w:p w14:paraId="7AFA0562"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177</w:t>
            </w:r>
          </w:p>
        </w:tc>
        <w:tc>
          <w:tcPr>
            <w:tcW w:w="519" w:type="pct"/>
          </w:tcPr>
          <w:p w14:paraId="64AD8B4B"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2 698</w:t>
            </w:r>
          </w:p>
        </w:tc>
      </w:tr>
      <w:tr w:rsidR="00445B89" w:rsidRPr="00445B89" w14:paraId="0C1E746A" w14:textId="77777777" w:rsidTr="00445B89">
        <w:trPr>
          <w:cantSplit/>
          <w:tblHeader/>
          <w:jc w:val="center"/>
        </w:trPr>
        <w:tc>
          <w:tcPr>
            <w:tcW w:w="589" w:type="pct"/>
          </w:tcPr>
          <w:p w14:paraId="685D8D2D"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2019 à 2020</w:t>
            </w:r>
          </w:p>
        </w:tc>
        <w:tc>
          <w:tcPr>
            <w:tcW w:w="640" w:type="pct"/>
          </w:tcPr>
          <w:p w14:paraId="67FDF60D"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567</w:t>
            </w:r>
          </w:p>
        </w:tc>
        <w:tc>
          <w:tcPr>
            <w:tcW w:w="887" w:type="pct"/>
          </w:tcPr>
          <w:p w14:paraId="14D5307C"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362</w:t>
            </w:r>
          </w:p>
        </w:tc>
        <w:tc>
          <w:tcPr>
            <w:tcW w:w="1361" w:type="pct"/>
          </w:tcPr>
          <w:p w14:paraId="51B1BDC4"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1 624</w:t>
            </w:r>
          </w:p>
        </w:tc>
        <w:tc>
          <w:tcPr>
            <w:tcW w:w="1003" w:type="pct"/>
          </w:tcPr>
          <w:p w14:paraId="2AC9F54D"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188</w:t>
            </w:r>
          </w:p>
        </w:tc>
        <w:tc>
          <w:tcPr>
            <w:tcW w:w="519" w:type="pct"/>
          </w:tcPr>
          <w:p w14:paraId="20D4506F"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2 741</w:t>
            </w:r>
          </w:p>
        </w:tc>
      </w:tr>
    </w:tbl>
    <w:p w14:paraId="07CC9991" w14:textId="4F2C0DCA" w:rsidR="00B93FD9" w:rsidRDefault="00B93FD9">
      <w:pPr>
        <w:spacing w:after="160" w:line="259" w:lineRule="auto"/>
      </w:pPr>
      <w:r>
        <w:br w:type="page"/>
      </w:r>
    </w:p>
    <w:p w14:paraId="06D001A1" w14:textId="77777777" w:rsidR="00445B89" w:rsidRPr="00E03915" w:rsidRDefault="00445B89" w:rsidP="00445B89">
      <w:pPr>
        <w:pStyle w:val="Heading1"/>
        <w:spacing w:before="120"/>
        <w:rPr>
          <w:sz w:val="40"/>
          <w:szCs w:val="40"/>
        </w:rPr>
      </w:pPr>
      <w:r w:rsidRPr="00E03915">
        <w:rPr>
          <w:rFonts w:eastAsia="Times New Roman"/>
          <w:sz w:val="40"/>
          <w:szCs w:val="40"/>
        </w:rPr>
        <w:lastRenderedPageBreak/>
        <w:t>Dotation selon la durée d'emploi</w:t>
      </w:r>
    </w:p>
    <w:p w14:paraId="2232E5D0" w14:textId="77777777" w:rsidR="00445B89" w:rsidRDefault="00B93FD9" w:rsidP="00445B89">
      <w:pPr>
        <w:keepNext/>
        <w:jc w:val="center"/>
      </w:pPr>
      <w:r w:rsidRPr="006E11FB">
        <w:rPr>
          <w:noProof/>
          <w:lang w:eastAsia="en-CA"/>
        </w:rPr>
        <w:drawing>
          <wp:inline distT="0" distB="0" distL="0" distR="0" wp14:anchorId="3351646B" wp14:editId="08106C75">
            <wp:extent cx="5648400" cy="3049200"/>
            <wp:effectExtent l="0" t="0" r="9525" b="18415"/>
            <wp:docPr id="3" name="Chart 3" descr="Dotation selon la durée d'emploi&#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CC4E51F" w14:textId="0507A6D8" w:rsidR="00B93FD9" w:rsidRPr="00445B89" w:rsidRDefault="00445B89" w:rsidP="00445B89">
      <w:pPr>
        <w:pStyle w:val="Caption"/>
        <w:spacing w:after="0"/>
        <w:jc w:val="center"/>
        <w:rPr>
          <w:rFonts w:asciiTheme="minorHAnsi" w:hAnsiTheme="minorHAnsi" w:cstheme="minorHAnsi"/>
          <w:i w:val="0"/>
          <w:iCs w:val="0"/>
          <w:color w:val="auto"/>
        </w:rPr>
      </w:pPr>
      <w:r w:rsidRPr="00445B89">
        <w:rPr>
          <w:rFonts w:asciiTheme="minorHAnsi" w:hAnsiTheme="minorHAnsi" w:cstheme="minorHAnsi"/>
          <w:i w:val="0"/>
          <w:iCs w:val="0"/>
          <w:color w:val="auto"/>
        </w:rPr>
        <w:t xml:space="preserve">Figure </w:t>
      </w:r>
      <w:r w:rsidRPr="00445B89">
        <w:rPr>
          <w:rFonts w:asciiTheme="minorHAnsi" w:hAnsiTheme="minorHAnsi" w:cstheme="minorHAnsi"/>
          <w:i w:val="0"/>
          <w:iCs w:val="0"/>
          <w:color w:val="auto"/>
        </w:rPr>
        <w:fldChar w:fldCharType="begin"/>
      </w:r>
      <w:r w:rsidRPr="00445B89">
        <w:rPr>
          <w:rFonts w:asciiTheme="minorHAnsi" w:hAnsiTheme="minorHAnsi" w:cstheme="minorHAnsi"/>
          <w:i w:val="0"/>
          <w:iCs w:val="0"/>
          <w:color w:val="auto"/>
        </w:rPr>
        <w:instrText xml:space="preserve"> SEQ Figure \* ARABIC </w:instrText>
      </w:r>
      <w:r w:rsidRPr="00445B89">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9</w:t>
      </w:r>
      <w:r w:rsidRPr="00445B89">
        <w:rPr>
          <w:rFonts w:asciiTheme="minorHAnsi" w:hAnsiTheme="minorHAnsi" w:cstheme="minorHAnsi"/>
          <w:i w:val="0"/>
          <w:iCs w:val="0"/>
          <w:color w:val="auto"/>
        </w:rPr>
        <w:fldChar w:fldCharType="end"/>
      </w:r>
      <w:r w:rsidRPr="00445B89">
        <w:rPr>
          <w:rFonts w:asciiTheme="minorHAnsi" w:hAnsiTheme="minorHAnsi" w:cstheme="minorHAnsi"/>
          <w:i w:val="0"/>
          <w:iCs w:val="0"/>
          <w:color w:val="auto"/>
        </w:rPr>
        <w:t xml:space="preserve"> - Dotation selon la durée d'emploi</w:t>
      </w:r>
    </w:p>
    <w:p w14:paraId="149EB904" w14:textId="3D07EF24" w:rsidR="00445B89" w:rsidRPr="00445B89" w:rsidRDefault="00445B89" w:rsidP="00445B89">
      <w:pPr>
        <w:pStyle w:val="Caption"/>
        <w:keepNext/>
        <w:spacing w:before="240" w:after="0"/>
        <w:jc w:val="center"/>
        <w:rPr>
          <w:rFonts w:asciiTheme="minorHAnsi" w:hAnsiTheme="minorHAnsi" w:cstheme="minorHAnsi"/>
          <w:i w:val="0"/>
          <w:iCs w:val="0"/>
          <w:color w:val="auto"/>
        </w:rPr>
      </w:pPr>
      <w:r w:rsidRPr="00445B89">
        <w:rPr>
          <w:rFonts w:asciiTheme="minorHAnsi" w:hAnsiTheme="minorHAnsi" w:cstheme="minorHAnsi"/>
          <w:i w:val="0"/>
          <w:iCs w:val="0"/>
          <w:color w:val="auto"/>
        </w:rPr>
        <w:t xml:space="preserve">Tableau </w:t>
      </w:r>
      <w:r w:rsidRPr="00445B89">
        <w:rPr>
          <w:rFonts w:asciiTheme="minorHAnsi" w:hAnsiTheme="minorHAnsi" w:cstheme="minorHAnsi"/>
          <w:i w:val="0"/>
          <w:iCs w:val="0"/>
          <w:color w:val="auto"/>
        </w:rPr>
        <w:fldChar w:fldCharType="begin"/>
      </w:r>
      <w:r w:rsidRPr="00445B89">
        <w:rPr>
          <w:rFonts w:asciiTheme="minorHAnsi" w:hAnsiTheme="minorHAnsi" w:cstheme="minorHAnsi"/>
          <w:i w:val="0"/>
          <w:iCs w:val="0"/>
          <w:color w:val="auto"/>
        </w:rPr>
        <w:instrText xml:space="preserve"> SEQ Tableau \* ARABIC </w:instrText>
      </w:r>
      <w:r w:rsidRPr="00445B89">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13</w:t>
      </w:r>
      <w:r w:rsidRPr="00445B89">
        <w:rPr>
          <w:rFonts w:asciiTheme="minorHAnsi" w:hAnsiTheme="minorHAnsi" w:cstheme="minorHAnsi"/>
          <w:i w:val="0"/>
          <w:iCs w:val="0"/>
          <w:color w:val="auto"/>
        </w:rPr>
        <w:fldChar w:fldCharType="end"/>
      </w:r>
      <w:r w:rsidRPr="00445B89">
        <w:rPr>
          <w:rFonts w:asciiTheme="minorHAnsi" w:hAnsiTheme="minorHAnsi" w:cstheme="minorHAnsi"/>
          <w:i w:val="0"/>
          <w:iCs w:val="0"/>
          <w:color w:val="auto"/>
        </w:rPr>
        <w:t xml:space="preserve"> - Activités de dotation selon la durée d’emploi et l’exercice financier</w:t>
      </w:r>
    </w:p>
    <w:tbl>
      <w:tblPr>
        <w:tblStyle w:val="TableGrid"/>
        <w:tblW w:w="5000" w:type="pct"/>
        <w:jc w:val="center"/>
        <w:tblLook w:val="0020" w:firstRow="1" w:lastRow="0" w:firstColumn="0" w:lastColumn="0" w:noHBand="0" w:noVBand="0"/>
        <w:tblDescription w:val="Dotation selon la durée d’emploi de 2015 à 2020"/>
      </w:tblPr>
      <w:tblGrid>
        <w:gridCol w:w="1839"/>
        <w:gridCol w:w="3117"/>
        <w:gridCol w:w="2694"/>
        <w:gridCol w:w="2694"/>
        <w:gridCol w:w="2302"/>
        <w:gridCol w:w="1744"/>
      </w:tblGrid>
      <w:tr w:rsidR="00445B89" w:rsidRPr="00445B89" w14:paraId="6A3ED4D8" w14:textId="77777777" w:rsidTr="00445B89">
        <w:trPr>
          <w:cantSplit/>
          <w:tblHeader/>
          <w:jc w:val="center"/>
        </w:trPr>
        <w:tc>
          <w:tcPr>
            <w:tcW w:w="639" w:type="pct"/>
          </w:tcPr>
          <w:p w14:paraId="6F433136" w14:textId="77777777" w:rsidR="00DA7821" w:rsidRPr="00445B89" w:rsidRDefault="00DA7821" w:rsidP="00445B89">
            <w:pPr>
              <w:pStyle w:val="TableTitle"/>
              <w:rPr>
                <w:color w:val="auto"/>
                <w:sz w:val="22"/>
                <w:szCs w:val="22"/>
              </w:rPr>
            </w:pPr>
            <w:r w:rsidRPr="00445B89">
              <w:rPr>
                <w:color w:val="auto"/>
                <w:sz w:val="22"/>
                <w:szCs w:val="22"/>
              </w:rPr>
              <w:t>Exercice financier</w:t>
            </w:r>
          </w:p>
        </w:tc>
        <w:tc>
          <w:tcPr>
            <w:tcW w:w="1083" w:type="pct"/>
          </w:tcPr>
          <w:p w14:paraId="7FC3C4E5" w14:textId="2F4A1FA0" w:rsidR="00DA7821" w:rsidRPr="00445B89" w:rsidRDefault="00DA7821" w:rsidP="00445B89">
            <w:pPr>
              <w:pStyle w:val="TableTitle"/>
              <w:rPr>
                <w:color w:val="auto"/>
                <w:sz w:val="22"/>
                <w:szCs w:val="22"/>
              </w:rPr>
            </w:pPr>
            <w:r w:rsidRPr="00445B89">
              <w:rPr>
                <w:color w:val="auto"/>
                <w:sz w:val="22"/>
                <w:szCs w:val="22"/>
              </w:rPr>
              <w:t xml:space="preserve">Activités de dotation pour des postes </w:t>
            </w:r>
            <w:r w:rsidR="00B72C1E">
              <w:rPr>
                <w:color w:val="auto"/>
                <w:sz w:val="22"/>
                <w:szCs w:val="22"/>
              </w:rPr>
              <w:t>de</w:t>
            </w:r>
            <w:r w:rsidRPr="00445B89">
              <w:rPr>
                <w:color w:val="auto"/>
                <w:sz w:val="22"/>
                <w:szCs w:val="22"/>
              </w:rPr>
              <w:t xml:space="preserve"> </w:t>
            </w:r>
            <w:r w:rsidR="00B72C1E">
              <w:rPr>
                <w:color w:val="auto"/>
                <w:sz w:val="22"/>
                <w:szCs w:val="22"/>
              </w:rPr>
              <w:t>durée</w:t>
            </w:r>
            <w:r w:rsidR="00B72C1E" w:rsidRPr="00445B89">
              <w:rPr>
                <w:color w:val="auto"/>
                <w:sz w:val="22"/>
                <w:szCs w:val="22"/>
              </w:rPr>
              <w:t xml:space="preserve"> </w:t>
            </w:r>
            <w:r w:rsidRPr="00445B89">
              <w:rPr>
                <w:color w:val="auto"/>
                <w:sz w:val="22"/>
                <w:szCs w:val="22"/>
              </w:rPr>
              <w:t>indéterminée</w:t>
            </w:r>
          </w:p>
        </w:tc>
        <w:tc>
          <w:tcPr>
            <w:tcW w:w="936" w:type="pct"/>
          </w:tcPr>
          <w:p w14:paraId="14659522" w14:textId="77777777" w:rsidR="00DA7821" w:rsidRPr="00445B89" w:rsidRDefault="00DA7821" w:rsidP="00445B89">
            <w:pPr>
              <w:pStyle w:val="TableTitle"/>
              <w:rPr>
                <w:color w:val="auto"/>
                <w:sz w:val="22"/>
                <w:szCs w:val="22"/>
              </w:rPr>
            </w:pPr>
            <w:r w:rsidRPr="00445B89">
              <w:rPr>
                <w:color w:val="auto"/>
                <w:sz w:val="22"/>
                <w:szCs w:val="22"/>
              </w:rPr>
              <w:t>Activités de dotation pour des postes de durée déterminée</w:t>
            </w:r>
          </w:p>
        </w:tc>
        <w:tc>
          <w:tcPr>
            <w:tcW w:w="936" w:type="pct"/>
          </w:tcPr>
          <w:p w14:paraId="1816EA48" w14:textId="49ABFFBC" w:rsidR="00DA7821" w:rsidRPr="00445B89" w:rsidRDefault="00DA7821" w:rsidP="00445B89">
            <w:pPr>
              <w:pStyle w:val="TableTitle"/>
              <w:rPr>
                <w:color w:val="auto"/>
                <w:sz w:val="22"/>
                <w:szCs w:val="22"/>
              </w:rPr>
            </w:pPr>
            <w:r w:rsidRPr="00445B89">
              <w:rPr>
                <w:color w:val="auto"/>
                <w:sz w:val="22"/>
                <w:szCs w:val="22"/>
              </w:rPr>
              <w:t>Activités de dotation pour les emplois occasionnels</w:t>
            </w:r>
          </w:p>
        </w:tc>
        <w:tc>
          <w:tcPr>
            <w:tcW w:w="800" w:type="pct"/>
          </w:tcPr>
          <w:p w14:paraId="42269716" w14:textId="77777777" w:rsidR="00DA7821" w:rsidRPr="00445B89" w:rsidRDefault="00DA7821" w:rsidP="00445B89">
            <w:pPr>
              <w:pStyle w:val="TableTitle"/>
              <w:rPr>
                <w:color w:val="auto"/>
                <w:sz w:val="22"/>
                <w:szCs w:val="22"/>
              </w:rPr>
            </w:pPr>
            <w:r w:rsidRPr="00445B89">
              <w:rPr>
                <w:color w:val="auto"/>
                <w:sz w:val="22"/>
                <w:szCs w:val="22"/>
              </w:rPr>
              <w:t>Activités de dotation pour les emplois étudiants</w:t>
            </w:r>
          </w:p>
        </w:tc>
        <w:tc>
          <w:tcPr>
            <w:tcW w:w="606" w:type="pct"/>
          </w:tcPr>
          <w:p w14:paraId="5D7EF30B" w14:textId="56824355" w:rsidR="00DA7821" w:rsidRPr="00445B89" w:rsidRDefault="00DA7821" w:rsidP="00445B89">
            <w:pPr>
              <w:pStyle w:val="TableTitle"/>
              <w:rPr>
                <w:color w:val="auto"/>
                <w:sz w:val="22"/>
                <w:szCs w:val="22"/>
              </w:rPr>
            </w:pPr>
            <w:r w:rsidRPr="00445B89">
              <w:rPr>
                <w:color w:val="auto"/>
                <w:sz w:val="22"/>
                <w:szCs w:val="22"/>
              </w:rPr>
              <w:t>Activités de dotation totale</w:t>
            </w:r>
            <w:r w:rsidR="00B72C1E">
              <w:rPr>
                <w:color w:val="auto"/>
                <w:sz w:val="22"/>
                <w:szCs w:val="22"/>
              </w:rPr>
              <w:t>s</w:t>
            </w:r>
          </w:p>
        </w:tc>
      </w:tr>
      <w:tr w:rsidR="00445B89" w:rsidRPr="00445B89" w14:paraId="75E5D794" w14:textId="77777777" w:rsidTr="00445B89">
        <w:trPr>
          <w:cantSplit/>
          <w:tblHeader/>
          <w:jc w:val="center"/>
        </w:trPr>
        <w:tc>
          <w:tcPr>
            <w:tcW w:w="639" w:type="pct"/>
          </w:tcPr>
          <w:p w14:paraId="0778593C"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2015 à 2016</w:t>
            </w:r>
          </w:p>
        </w:tc>
        <w:tc>
          <w:tcPr>
            <w:tcW w:w="1083" w:type="pct"/>
          </w:tcPr>
          <w:p w14:paraId="2F040274"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838</w:t>
            </w:r>
          </w:p>
        </w:tc>
        <w:tc>
          <w:tcPr>
            <w:tcW w:w="936" w:type="pct"/>
          </w:tcPr>
          <w:p w14:paraId="47DEE3B2"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192</w:t>
            </w:r>
          </w:p>
        </w:tc>
        <w:tc>
          <w:tcPr>
            <w:tcW w:w="936" w:type="pct"/>
          </w:tcPr>
          <w:p w14:paraId="4CD20F69"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626</w:t>
            </w:r>
          </w:p>
        </w:tc>
        <w:tc>
          <w:tcPr>
            <w:tcW w:w="800" w:type="pct"/>
          </w:tcPr>
          <w:p w14:paraId="31A610A1"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507</w:t>
            </w:r>
          </w:p>
        </w:tc>
        <w:tc>
          <w:tcPr>
            <w:tcW w:w="606" w:type="pct"/>
          </w:tcPr>
          <w:p w14:paraId="4AD8B007"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2 163</w:t>
            </w:r>
          </w:p>
        </w:tc>
      </w:tr>
      <w:tr w:rsidR="00445B89" w:rsidRPr="00445B89" w14:paraId="17BA561B" w14:textId="77777777" w:rsidTr="00445B89">
        <w:trPr>
          <w:cantSplit/>
          <w:tblHeader/>
          <w:jc w:val="center"/>
        </w:trPr>
        <w:tc>
          <w:tcPr>
            <w:tcW w:w="639" w:type="pct"/>
          </w:tcPr>
          <w:p w14:paraId="0D8C3D35" w14:textId="33ADD4A7" w:rsidR="00DA7821" w:rsidRPr="00445B89" w:rsidRDefault="00DA7821" w:rsidP="00CD64EE">
            <w:pPr>
              <w:tabs>
                <w:tab w:val="right" w:pos="3316"/>
              </w:tabs>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2016 à 2017</w:t>
            </w:r>
          </w:p>
        </w:tc>
        <w:tc>
          <w:tcPr>
            <w:tcW w:w="1083" w:type="pct"/>
          </w:tcPr>
          <w:p w14:paraId="5814D838"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981</w:t>
            </w:r>
          </w:p>
        </w:tc>
        <w:tc>
          <w:tcPr>
            <w:tcW w:w="936" w:type="pct"/>
          </w:tcPr>
          <w:p w14:paraId="32B7BE80"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223</w:t>
            </w:r>
          </w:p>
        </w:tc>
        <w:tc>
          <w:tcPr>
            <w:tcW w:w="936" w:type="pct"/>
          </w:tcPr>
          <w:p w14:paraId="4E140C64"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609</w:t>
            </w:r>
          </w:p>
        </w:tc>
        <w:tc>
          <w:tcPr>
            <w:tcW w:w="800" w:type="pct"/>
          </w:tcPr>
          <w:p w14:paraId="722C34A3"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423</w:t>
            </w:r>
          </w:p>
        </w:tc>
        <w:tc>
          <w:tcPr>
            <w:tcW w:w="606" w:type="pct"/>
          </w:tcPr>
          <w:p w14:paraId="24EC4907"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2 236</w:t>
            </w:r>
          </w:p>
        </w:tc>
      </w:tr>
      <w:tr w:rsidR="00445B89" w:rsidRPr="00445B89" w14:paraId="71002406" w14:textId="77777777" w:rsidTr="00445B89">
        <w:trPr>
          <w:cantSplit/>
          <w:tblHeader/>
          <w:jc w:val="center"/>
        </w:trPr>
        <w:tc>
          <w:tcPr>
            <w:tcW w:w="639" w:type="pct"/>
          </w:tcPr>
          <w:p w14:paraId="62860500"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2017 à 2018</w:t>
            </w:r>
          </w:p>
        </w:tc>
        <w:tc>
          <w:tcPr>
            <w:tcW w:w="1083" w:type="pct"/>
          </w:tcPr>
          <w:p w14:paraId="4A7ABDDF"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974</w:t>
            </w:r>
          </w:p>
        </w:tc>
        <w:tc>
          <w:tcPr>
            <w:tcW w:w="936" w:type="pct"/>
          </w:tcPr>
          <w:p w14:paraId="61D2EAED"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296</w:t>
            </w:r>
          </w:p>
        </w:tc>
        <w:tc>
          <w:tcPr>
            <w:tcW w:w="936" w:type="pct"/>
          </w:tcPr>
          <w:p w14:paraId="738B7AE8"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657</w:t>
            </w:r>
          </w:p>
        </w:tc>
        <w:tc>
          <w:tcPr>
            <w:tcW w:w="800" w:type="pct"/>
          </w:tcPr>
          <w:p w14:paraId="48F71D4D"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457</w:t>
            </w:r>
          </w:p>
        </w:tc>
        <w:tc>
          <w:tcPr>
            <w:tcW w:w="606" w:type="pct"/>
          </w:tcPr>
          <w:p w14:paraId="4B2BF919"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2 384</w:t>
            </w:r>
          </w:p>
        </w:tc>
      </w:tr>
      <w:tr w:rsidR="00445B89" w:rsidRPr="00445B89" w14:paraId="1AFA16E1" w14:textId="77777777" w:rsidTr="00445B89">
        <w:trPr>
          <w:cantSplit/>
          <w:tblHeader/>
          <w:jc w:val="center"/>
        </w:trPr>
        <w:tc>
          <w:tcPr>
            <w:tcW w:w="639" w:type="pct"/>
          </w:tcPr>
          <w:p w14:paraId="2D72E242"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2018 à 2019</w:t>
            </w:r>
          </w:p>
        </w:tc>
        <w:tc>
          <w:tcPr>
            <w:tcW w:w="1083" w:type="pct"/>
          </w:tcPr>
          <w:p w14:paraId="2B5EBCFE"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1 188</w:t>
            </w:r>
          </w:p>
        </w:tc>
        <w:tc>
          <w:tcPr>
            <w:tcW w:w="936" w:type="pct"/>
          </w:tcPr>
          <w:p w14:paraId="6C852CE5"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351</w:t>
            </w:r>
          </w:p>
        </w:tc>
        <w:tc>
          <w:tcPr>
            <w:tcW w:w="936" w:type="pct"/>
          </w:tcPr>
          <w:p w14:paraId="4C18381D"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674</w:t>
            </w:r>
          </w:p>
        </w:tc>
        <w:tc>
          <w:tcPr>
            <w:tcW w:w="800" w:type="pct"/>
          </w:tcPr>
          <w:p w14:paraId="582D922A"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485</w:t>
            </w:r>
          </w:p>
        </w:tc>
        <w:tc>
          <w:tcPr>
            <w:tcW w:w="606" w:type="pct"/>
          </w:tcPr>
          <w:p w14:paraId="674D4918"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2 698</w:t>
            </w:r>
          </w:p>
        </w:tc>
      </w:tr>
      <w:tr w:rsidR="00445B89" w:rsidRPr="00445B89" w14:paraId="71EEF6FE" w14:textId="77777777" w:rsidTr="00445B89">
        <w:trPr>
          <w:cantSplit/>
          <w:tblHeader/>
          <w:jc w:val="center"/>
        </w:trPr>
        <w:tc>
          <w:tcPr>
            <w:tcW w:w="639" w:type="pct"/>
          </w:tcPr>
          <w:p w14:paraId="074C8491"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2019 à 2020</w:t>
            </w:r>
          </w:p>
        </w:tc>
        <w:tc>
          <w:tcPr>
            <w:tcW w:w="1083" w:type="pct"/>
          </w:tcPr>
          <w:p w14:paraId="1D866573"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1 300</w:t>
            </w:r>
          </w:p>
        </w:tc>
        <w:tc>
          <w:tcPr>
            <w:tcW w:w="936" w:type="pct"/>
          </w:tcPr>
          <w:p w14:paraId="47EEBE26"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367</w:t>
            </w:r>
          </w:p>
        </w:tc>
        <w:tc>
          <w:tcPr>
            <w:tcW w:w="936" w:type="pct"/>
          </w:tcPr>
          <w:p w14:paraId="2D019BB0"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569</w:t>
            </w:r>
          </w:p>
        </w:tc>
        <w:tc>
          <w:tcPr>
            <w:tcW w:w="800" w:type="pct"/>
          </w:tcPr>
          <w:p w14:paraId="31BE6749"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505</w:t>
            </w:r>
          </w:p>
        </w:tc>
        <w:tc>
          <w:tcPr>
            <w:tcW w:w="606" w:type="pct"/>
          </w:tcPr>
          <w:p w14:paraId="708D25C5"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2 741</w:t>
            </w:r>
          </w:p>
        </w:tc>
      </w:tr>
    </w:tbl>
    <w:p w14:paraId="432797A8" w14:textId="77777777" w:rsidR="00A82B27" w:rsidRDefault="00A82B27" w:rsidP="00DA7821">
      <w:pPr>
        <w:contextualSpacing/>
        <w:rPr>
          <w:rStyle w:val="Strong"/>
          <w:rFonts w:asciiTheme="minorHAnsi" w:hAnsiTheme="minorHAnsi" w:cstheme="minorHAnsi"/>
          <w:sz w:val="22"/>
          <w:szCs w:val="18"/>
        </w:rPr>
        <w:sectPr w:rsidR="00A82B27" w:rsidSect="00D31933">
          <w:footerReference w:type="first" r:id="rId23"/>
          <w:pgSz w:w="15840" w:h="12240" w:orient="landscape" w:code="1"/>
          <w:pgMar w:top="720" w:right="720" w:bottom="720" w:left="720" w:header="709" w:footer="284" w:gutter="0"/>
          <w:cols w:space="708"/>
          <w:titlePg/>
          <w:docGrid w:linePitch="360"/>
        </w:sectPr>
      </w:pPr>
    </w:p>
    <w:p w14:paraId="640B96FE" w14:textId="5DCAABA4" w:rsidR="00DA7821" w:rsidRPr="00445B89" w:rsidRDefault="00DA7821" w:rsidP="00DA7821">
      <w:pPr>
        <w:contextualSpacing/>
        <w:rPr>
          <w:rStyle w:val="Strong"/>
          <w:rFonts w:asciiTheme="minorHAnsi" w:hAnsiTheme="minorHAnsi" w:cstheme="minorHAnsi"/>
          <w:sz w:val="22"/>
          <w:szCs w:val="18"/>
        </w:rPr>
      </w:pPr>
      <w:r w:rsidRPr="00445B89">
        <w:rPr>
          <w:rStyle w:val="Strong"/>
          <w:rFonts w:asciiTheme="minorHAnsi" w:hAnsiTheme="minorHAnsi" w:cstheme="minorHAnsi"/>
          <w:sz w:val="22"/>
          <w:szCs w:val="18"/>
        </w:rPr>
        <w:lastRenderedPageBreak/>
        <w:t>Sondage sur la dotation et l’impartialité politique (2018) – Principales constatations</w:t>
      </w:r>
    </w:p>
    <w:p w14:paraId="2BAC67F7" w14:textId="1592E6BE" w:rsidR="00DA7821" w:rsidRPr="00445B89" w:rsidRDefault="00DA7821" w:rsidP="00445B89">
      <w:pPr>
        <w:pStyle w:val="ListParagraph"/>
        <w:numPr>
          <w:ilvl w:val="0"/>
          <w:numId w:val="23"/>
        </w:numPr>
        <w:spacing w:after="0"/>
        <w:jc w:val="both"/>
        <w:rPr>
          <w:rFonts w:asciiTheme="minorHAnsi" w:hAnsiTheme="minorHAnsi" w:cstheme="minorHAnsi"/>
          <w:sz w:val="22"/>
          <w:szCs w:val="22"/>
        </w:rPr>
      </w:pPr>
      <w:r w:rsidRPr="00445B89">
        <w:rPr>
          <w:rFonts w:asciiTheme="minorHAnsi" w:hAnsiTheme="minorHAnsi" w:cstheme="minorHAnsi"/>
          <w:sz w:val="22"/>
          <w:szCs w:val="22"/>
        </w:rPr>
        <w:t>64,6</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xml:space="preserve"> des </w:t>
      </w:r>
      <w:r w:rsidRPr="00445B89">
        <w:rPr>
          <w:rStyle w:val="Strong"/>
          <w:rFonts w:asciiTheme="minorHAnsi" w:hAnsiTheme="minorHAnsi" w:cstheme="minorHAnsi"/>
          <w:sz w:val="22"/>
          <w:szCs w:val="18"/>
        </w:rPr>
        <w:t>employés</w:t>
      </w:r>
      <w:r w:rsidRPr="00445B89">
        <w:rPr>
          <w:rFonts w:asciiTheme="minorHAnsi" w:hAnsiTheme="minorHAnsi" w:cstheme="minorHAnsi"/>
          <w:sz w:val="22"/>
          <w:szCs w:val="22"/>
        </w:rPr>
        <w:t xml:space="preserve"> estiment que les personnes embauchées peuvent effectuer le travail, comparativement à 52,3</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dans les organisations de même taille et à 53,8</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dans la fonction publique fédérale.</w:t>
      </w:r>
    </w:p>
    <w:p w14:paraId="101D3278" w14:textId="298AA8C4" w:rsidR="00DA7821" w:rsidRPr="00445B89" w:rsidRDefault="00DA7821" w:rsidP="00445B89">
      <w:pPr>
        <w:pStyle w:val="ListParagraph"/>
        <w:numPr>
          <w:ilvl w:val="0"/>
          <w:numId w:val="23"/>
        </w:numPr>
        <w:spacing w:after="0"/>
        <w:jc w:val="both"/>
        <w:rPr>
          <w:rFonts w:asciiTheme="minorHAnsi" w:hAnsiTheme="minorHAnsi" w:cstheme="minorHAnsi"/>
          <w:sz w:val="22"/>
          <w:szCs w:val="22"/>
        </w:rPr>
      </w:pPr>
      <w:r w:rsidRPr="00445B89">
        <w:rPr>
          <w:rFonts w:asciiTheme="minorHAnsi" w:hAnsiTheme="minorHAnsi" w:cstheme="minorHAnsi"/>
          <w:sz w:val="22"/>
          <w:szCs w:val="22"/>
        </w:rPr>
        <w:t>55,5</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xml:space="preserve">% des </w:t>
      </w:r>
      <w:r w:rsidRPr="00445B89">
        <w:rPr>
          <w:rStyle w:val="Strong"/>
          <w:rFonts w:asciiTheme="minorHAnsi" w:hAnsiTheme="minorHAnsi" w:cstheme="minorHAnsi"/>
          <w:sz w:val="22"/>
          <w:szCs w:val="18"/>
        </w:rPr>
        <w:t>gestionnaires</w:t>
      </w:r>
      <w:r w:rsidRPr="00445B89">
        <w:rPr>
          <w:rFonts w:asciiTheme="minorHAnsi" w:hAnsiTheme="minorHAnsi" w:cstheme="minorHAnsi"/>
          <w:sz w:val="22"/>
          <w:szCs w:val="22"/>
        </w:rPr>
        <w:t xml:space="preserve"> estiment que la Nouvelle orientation en dotation a amélioré la façon d'embaucher et de nommer les candidats au sein de leur organisation, comparativement à 54,4</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dans les organisations de même taille et à 56,1</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dans la fonction publique fédérale.</w:t>
      </w:r>
    </w:p>
    <w:p w14:paraId="1B51F9B5" w14:textId="2DFE8368" w:rsidR="00445B89" w:rsidRDefault="00DA7821" w:rsidP="00831D62">
      <w:pPr>
        <w:pStyle w:val="ListParagraph"/>
        <w:numPr>
          <w:ilvl w:val="0"/>
          <w:numId w:val="23"/>
        </w:numPr>
        <w:spacing w:after="160" w:line="259" w:lineRule="auto"/>
        <w:jc w:val="both"/>
      </w:pPr>
      <w:r w:rsidRPr="00445B89">
        <w:rPr>
          <w:rFonts w:asciiTheme="minorHAnsi" w:hAnsiTheme="minorHAnsi" w:cstheme="minorHAnsi"/>
          <w:sz w:val="22"/>
          <w:szCs w:val="22"/>
        </w:rPr>
        <w:t>89,1</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xml:space="preserve">% des </w:t>
      </w:r>
      <w:r w:rsidRPr="00445B89">
        <w:rPr>
          <w:rStyle w:val="Strong"/>
          <w:rFonts w:asciiTheme="minorHAnsi" w:hAnsiTheme="minorHAnsi" w:cstheme="minorHAnsi"/>
          <w:sz w:val="22"/>
          <w:szCs w:val="18"/>
        </w:rPr>
        <w:t>gestionnaires</w:t>
      </w:r>
      <w:r w:rsidRPr="00445B89">
        <w:rPr>
          <w:rFonts w:asciiTheme="minorHAnsi" w:hAnsiTheme="minorHAnsi" w:cstheme="minorHAnsi"/>
          <w:sz w:val="22"/>
          <w:szCs w:val="22"/>
        </w:rPr>
        <w:t xml:space="preserve"> estiment qu'au sein de leur organisation, le processus administratif visant à pourvoir un poste est </w:t>
      </w:r>
      <w:r w:rsidRPr="00445B89">
        <w:rPr>
          <w:rStyle w:val="Strong"/>
          <w:rFonts w:asciiTheme="minorHAnsi" w:hAnsiTheme="minorHAnsi" w:cstheme="minorHAnsi"/>
          <w:sz w:val="22"/>
          <w:szCs w:val="18"/>
        </w:rPr>
        <w:t>lourd,</w:t>
      </w:r>
      <w:r w:rsidRPr="00445B89">
        <w:rPr>
          <w:rFonts w:asciiTheme="minorHAnsi" w:hAnsiTheme="minorHAnsi" w:cstheme="minorHAnsi"/>
          <w:sz w:val="22"/>
          <w:szCs w:val="22"/>
        </w:rPr>
        <w:t xml:space="preserve"> comparativement à 88,6</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dans les organisations de même taille et à 87,9</w:t>
      </w:r>
      <w:r w:rsidR="00B72C1E">
        <w:rPr>
          <w:rFonts w:asciiTheme="minorHAnsi" w:hAnsiTheme="minorHAnsi" w:cstheme="minorHAnsi"/>
          <w:sz w:val="22"/>
          <w:szCs w:val="22"/>
        </w:rPr>
        <w:t xml:space="preserve"> </w:t>
      </w:r>
      <w:r w:rsidRPr="00445B89">
        <w:rPr>
          <w:rFonts w:asciiTheme="minorHAnsi" w:hAnsiTheme="minorHAnsi" w:cstheme="minorHAnsi"/>
          <w:sz w:val="22"/>
          <w:szCs w:val="22"/>
        </w:rPr>
        <w:t>% dans la fonction publique fédérale.</w:t>
      </w:r>
      <w:r w:rsidR="00445B89">
        <w:br w:type="page"/>
      </w:r>
    </w:p>
    <w:p w14:paraId="2C95D7B4" w14:textId="77777777" w:rsidR="00445B89" w:rsidRPr="00E03915" w:rsidRDefault="00445B89" w:rsidP="00445B89">
      <w:pPr>
        <w:pStyle w:val="Heading1"/>
        <w:spacing w:before="120"/>
        <w:rPr>
          <w:sz w:val="40"/>
          <w:szCs w:val="40"/>
        </w:rPr>
      </w:pPr>
      <w:r w:rsidRPr="00E03915">
        <w:rPr>
          <w:rFonts w:eastAsia="Times New Roman"/>
          <w:sz w:val="40"/>
          <w:szCs w:val="40"/>
        </w:rPr>
        <w:lastRenderedPageBreak/>
        <w:t>Embauche d'étudiants</w:t>
      </w:r>
    </w:p>
    <w:p w14:paraId="27FB2157" w14:textId="77777777" w:rsidR="00445B89" w:rsidRDefault="00397F78" w:rsidP="00445B89">
      <w:pPr>
        <w:keepNext/>
        <w:jc w:val="center"/>
      </w:pPr>
      <w:r w:rsidRPr="006E11FB">
        <w:rPr>
          <w:noProof/>
          <w:lang w:eastAsia="en-CA"/>
        </w:rPr>
        <w:drawing>
          <wp:inline distT="0" distB="0" distL="0" distR="0" wp14:anchorId="7D4C057E" wp14:editId="066ED432">
            <wp:extent cx="5648400" cy="3049200"/>
            <wp:effectExtent l="0" t="0" r="9525" b="18415"/>
            <wp:docPr id="17" name="Chart 17" descr="Embauche d'étudiants&#1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AABD790" w14:textId="604F9711" w:rsidR="00397F78" w:rsidRPr="00445B89" w:rsidRDefault="00445B89" w:rsidP="00445B89">
      <w:pPr>
        <w:pStyle w:val="Caption"/>
        <w:spacing w:after="0"/>
        <w:jc w:val="center"/>
        <w:rPr>
          <w:rFonts w:asciiTheme="minorHAnsi" w:hAnsiTheme="minorHAnsi" w:cstheme="minorHAnsi"/>
          <w:i w:val="0"/>
          <w:iCs w:val="0"/>
          <w:color w:val="auto"/>
        </w:rPr>
      </w:pPr>
      <w:r w:rsidRPr="00445B89">
        <w:rPr>
          <w:rFonts w:asciiTheme="minorHAnsi" w:hAnsiTheme="minorHAnsi" w:cstheme="minorHAnsi"/>
          <w:i w:val="0"/>
          <w:iCs w:val="0"/>
          <w:color w:val="auto"/>
        </w:rPr>
        <w:t xml:space="preserve">Figure </w:t>
      </w:r>
      <w:r w:rsidRPr="00445B89">
        <w:rPr>
          <w:rFonts w:asciiTheme="minorHAnsi" w:hAnsiTheme="minorHAnsi" w:cstheme="minorHAnsi"/>
          <w:i w:val="0"/>
          <w:iCs w:val="0"/>
          <w:color w:val="auto"/>
        </w:rPr>
        <w:fldChar w:fldCharType="begin"/>
      </w:r>
      <w:r w:rsidRPr="00445B89">
        <w:rPr>
          <w:rFonts w:asciiTheme="minorHAnsi" w:hAnsiTheme="minorHAnsi" w:cstheme="minorHAnsi"/>
          <w:i w:val="0"/>
          <w:iCs w:val="0"/>
          <w:color w:val="auto"/>
        </w:rPr>
        <w:instrText xml:space="preserve"> SEQ Figure \* ARABIC </w:instrText>
      </w:r>
      <w:r w:rsidRPr="00445B89">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10</w:t>
      </w:r>
      <w:r w:rsidRPr="00445B89">
        <w:rPr>
          <w:rFonts w:asciiTheme="minorHAnsi" w:hAnsiTheme="minorHAnsi" w:cstheme="minorHAnsi"/>
          <w:i w:val="0"/>
          <w:iCs w:val="0"/>
          <w:color w:val="auto"/>
        </w:rPr>
        <w:fldChar w:fldCharType="end"/>
      </w:r>
      <w:r w:rsidRPr="00445B89">
        <w:rPr>
          <w:rFonts w:asciiTheme="minorHAnsi" w:hAnsiTheme="minorHAnsi" w:cstheme="minorHAnsi"/>
          <w:i w:val="0"/>
          <w:iCs w:val="0"/>
          <w:color w:val="auto"/>
        </w:rPr>
        <w:t xml:space="preserve"> - Embauche d'étudiants</w:t>
      </w:r>
    </w:p>
    <w:p w14:paraId="4D2EC8A8" w14:textId="0158F6AB" w:rsidR="00445B89" w:rsidRPr="00445B89" w:rsidRDefault="00445B89" w:rsidP="00445B89">
      <w:pPr>
        <w:pStyle w:val="Caption"/>
        <w:keepNext/>
        <w:spacing w:before="240" w:after="0"/>
        <w:jc w:val="center"/>
        <w:rPr>
          <w:rFonts w:asciiTheme="minorHAnsi" w:hAnsiTheme="minorHAnsi" w:cstheme="minorHAnsi"/>
          <w:i w:val="0"/>
          <w:iCs w:val="0"/>
          <w:color w:val="auto"/>
        </w:rPr>
      </w:pPr>
      <w:r w:rsidRPr="00445B89">
        <w:rPr>
          <w:rFonts w:asciiTheme="minorHAnsi" w:hAnsiTheme="minorHAnsi" w:cstheme="minorHAnsi"/>
          <w:i w:val="0"/>
          <w:iCs w:val="0"/>
          <w:color w:val="auto"/>
        </w:rPr>
        <w:t xml:space="preserve">Tableau </w:t>
      </w:r>
      <w:r w:rsidRPr="00445B89">
        <w:rPr>
          <w:rFonts w:asciiTheme="minorHAnsi" w:hAnsiTheme="minorHAnsi" w:cstheme="minorHAnsi"/>
          <w:i w:val="0"/>
          <w:iCs w:val="0"/>
          <w:color w:val="auto"/>
        </w:rPr>
        <w:fldChar w:fldCharType="begin"/>
      </w:r>
      <w:r w:rsidRPr="00445B89">
        <w:rPr>
          <w:rFonts w:asciiTheme="minorHAnsi" w:hAnsiTheme="minorHAnsi" w:cstheme="minorHAnsi"/>
          <w:i w:val="0"/>
          <w:iCs w:val="0"/>
          <w:color w:val="auto"/>
        </w:rPr>
        <w:instrText xml:space="preserve"> SEQ Tableau \* ARABIC </w:instrText>
      </w:r>
      <w:r w:rsidRPr="00445B89">
        <w:rPr>
          <w:rFonts w:asciiTheme="minorHAnsi" w:hAnsiTheme="minorHAnsi" w:cstheme="minorHAnsi"/>
          <w:i w:val="0"/>
          <w:iCs w:val="0"/>
          <w:color w:val="auto"/>
        </w:rPr>
        <w:fldChar w:fldCharType="separate"/>
      </w:r>
      <w:r w:rsidR="00D31933">
        <w:rPr>
          <w:rFonts w:asciiTheme="minorHAnsi" w:hAnsiTheme="minorHAnsi" w:cstheme="minorHAnsi"/>
          <w:i w:val="0"/>
          <w:iCs w:val="0"/>
          <w:noProof/>
          <w:color w:val="auto"/>
        </w:rPr>
        <w:t>14</w:t>
      </w:r>
      <w:r w:rsidRPr="00445B89">
        <w:rPr>
          <w:rFonts w:asciiTheme="minorHAnsi" w:hAnsiTheme="minorHAnsi" w:cstheme="minorHAnsi"/>
          <w:i w:val="0"/>
          <w:iCs w:val="0"/>
          <w:color w:val="auto"/>
        </w:rPr>
        <w:fldChar w:fldCharType="end"/>
      </w:r>
      <w:r w:rsidRPr="00445B89">
        <w:rPr>
          <w:rFonts w:asciiTheme="minorHAnsi" w:hAnsiTheme="minorHAnsi" w:cstheme="minorHAnsi"/>
          <w:i w:val="0"/>
          <w:iCs w:val="0"/>
          <w:color w:val="auto"/>
        </w:rPr>
        <w:t xml:space="preserve"> - Activités d’embauche d’étudiants selon le programme de recrutement et l’exercice financier</w:t>
      </w:r>
    </w:p>
    <w:tbl>
      <w:tblPr>
        <w:tblStyle w:val="TableGrid"/>
        <w:tblW w:w="5000" w:type="pct"/>
        <w:jc w:val="center"/>
        <w:tblLook w:val="0020" w:firstRow="1" w:lastRow="0" w:firstColumn="0" w:lastColumn="0" w:noHBand="0" w:noVBand="0"/>
        <w:tblDescription w:val="Embauches dans le cadre de programmes d’étudiants de 2015 à 2020"/>
      </w:tblPr>
      <w:tblGrid>
        <w:gridCol w:w="2759"/>
        <w:gridCol w:w="4607"/>
        <w:gridCol w:w="5345"/>
        <w:gridCol w:w="4057"/>
        <w:gridCol w:w="1942"/>
      </w:tblGrid>
      <w:tr w:rsidR="00445B89" w:rsidRPr="00445B89" w14:paraId="44962521" w14:textId="77777777" w:rsidTr="00D31933">
        <w:trPr>
          <w:cantSplit/>
          <w:tblHeader/>
          <w:jc w:val="center"/>
        </w:trPr>
        <w:tc>
          <w:tcPr>
            <w:tcW w:w="737" w:type="pct"/>
          </w:tcPr>
          <w:p w14:paraId="72D46FB4" w14:textId="77777777" w:rsidR="00DA7821" w:rsidRPr="00445B89" w:rsidRDefault="00DA7821" w:rsidP="00445B89">
            <w:pPr>
              <w:pStyle w:val="TableTitle"/>
              <w:rPr>
                <w:color w:val="auto"/>
                <w:sz w:val="22"/>
                <w:szCs w:val="22"/>
              </w:rPr>
            </w:pPr>
            <w:r w:rsidRPr="00445B89">
              <w:rPr>
                <w:color w:val="auto"/>
                <w:sz w:val="22"/>
                <w:szCs w:val="22"/>
              </w:rPr>
              <w:t>Exercice financier</w:t>
            </w:r>
          </w:p>
        </w:tc>
        <w:tc>
          <w:tcPr>
            <w:tcW w:w="1231" w:type="pct"/>
          </w:tcPr>
          <w:p w14:paraId="5ACE3510" w14:textId="77777777" w:rsidR="00DA7821" w:rsidRPr="00445B89" w:rsidRDefault="00DA7821" w:rsidP="00445B89">
            <w:pPr>
              <w:pStyle w:val="TableTitle"/>
              <w:rPr>
                <w:color w:val="auto"/>
                <w:sz w:val="22"/>
                <w:szCs w:val="22"/>
              </w:rPr>
            </w:pPr>
            <w:r w:rsidRPr="00445B89">
              <w:rPr>
                <w:color w:val="auto"/>
                <w:sz w:val="22"/>
                <w:szCs w:val="22"/>
              </w:rPr>
              <w:t xml:space="preserve">Programme fédéral d’expérience de travail étudiant </w:t>
            </w:r>
          </w:p>
        </w:tc>
        <w:tc>
          <w:tcPr>
            <w:tcW w:w="1428" w:type="pct"/>
          </w:tcPr>
          <w:p w14:paraId="33D69D93" w14:textId="77777777" w:rsidR="00DA7821" w:rsidRPr="00445B89" w:rsidRDefault="00DA7821" w:rsidP="00445B89">
            <w:pPr>
              <w:pStyle w:val="TableTitle"/>
              <w:rPr>
                <w:color w:val="auto"/>
                <w:sz w:val="22"/>
                <w:szCs w:val="22"/>
              </w:rPr>
            </w:pPr>
            <w:r w:rsidRPr="00445B89">
              <w:rPr>
                <w:color w:val="auto"/>
                <w:sz w:val="22"/>
                <w:szCs w:val="22"/>
              </w:rPr>
              <w:t xml:space="preserve">Programme postsecondaire d'enseignement coopératif/de stages </w:t>
            </w:r>
          </w:p>
        </w:tc>
        <w:tc>
          <w:tcPr>
            <w:tcW w:w="1084" w:type="pct"/>
          </w:tcPr>
          <w:p w14:paraId="4B67E66B" w14:textId="77777777" w:rsidR="00DA7821" w:rsidRPr="00445B89" w:rsidRDefault="00DA7821" w:rsidP="00445B89">
            <w:pPr>
              <w:pStyle w:val="TableTitle"/>
              <w:rPr>
                <w:color w:val="auto"/>
                <w:sz w:val="22"/>
                <w:szCs w:val="22"/>
              </w:rPr>
            </w:pPr>
            <w:r w:rsidRPr="00445B89">
              <w:rPr>
                <w:color w:val="auto"/>
                <w:sz w:val="22"/>
                <w:szCs w:val="22"/>
              </w:rPr>
              <w:t>Programme des adjoints de recherche</w:t>
            </w:r>
          </w:p>
        </w:tc>
        <w:tc>
          <w:tcPr>
            <w:tcW w:w="519" w:type="pct"/>
          </w:tcPr>
          <w:p w14:paraId="6BFF84CA" w14:textId="77777777" w:rsidR="00DA7821" w:rsidRPr="00445B89" w:rsidRDefault="00DA7821" w:rsidP="00445B89">
            <w:pPr>
              <w:pStyle w:val="TableTitle"/>
              <w:rPr>
                <w:color w:val="auto"/>
                <w:sz w:val="22"/>
                <w:szCs w:val="22"/>
              </w:rPr>
            </w:pPr>
            <w:r w:rsidRPr="00445B89">
              <w:rPr>
                <w:color w:val="auto"/>
                <w:sz w:val="22"/>
                <w:szCs w:val="22"/>
              </w:rPr>
              <w:t>Total</w:t>
            </w:r>
          </w:p>
        </w:tc>
      </w:tr>
      <w:tr w:rsidR="00445B89" w:rsidRPr="00445B89" w14:paraId="2FE2238B" w14:textId="77777777" w:rsidTr="00D31933">
        <w:trPr>
          <w:cantSplit/>
          <w:tblHeader/>
          <w:jc w:val="center"/>
        </w:trPr>
        <w:tc>
          <w:tcPr>
            <w:tcW w:w="737" w:type="pct"/>
          </w:tcPr>
          <w:p w14:paraId="4F1B449F"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2015 à 2016</w:t>
            </w:r>
          </w:p>
        </w:tc>
        <w:tc>
          <w:tcPr>
            <w:tcW w:w="1231" w:type="pct"/>
          </w:tcPr>
          <w:p w14:paraId="6424553C"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184</w:t>
            </w:r>
          </w:p>
        </w:tc>
        <w:tc>
          <w:tcPr>
            <w:tcW w:w="1428" w:type="pct"/>
          </w:tcPr>
          <w:p w14:paraId="60E6D7F4"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278</w:t>
            </w:r>
          </w:p>
        </w:tc>
        <w:tc>
          <w:tcPr>
            <w:tcW w:w="1084" w:type="pct"/>
          </w:tcPr>
          <w:p w14:paraId="12F7A0D5"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45</w:t>
            </w:r>
          </w:p>
        </w:tc>
        <w:tc>
          <w:tcPr>
            <w:tcW w:w="519" w:type="pct"/>
          </w:tcPr>
          <w:p w14:paraId="40E1C227"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507</w:t>
            </w:r>
          </w:p>
        </w:tc>
      </w:tr>
      <w:tr w:rsidR="00445B89" w:rsidRPr="00445B89" w14:paraId="3D8C2310" w14:textId="77777777" w:rsidTr="00D31933">
        <w:trPr>
          <w:cantSplit/>
          <w:tblHeader/>
          <w:jc w:val="center"/>
        </w:trPr>
        <w:tc>
          <w:tcPr>
            <w:tcW w:w="737" w:type="pct"/>
          </w:tcPr>
          <w:p w14:paraId="117A4904"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2016 à 2017</w:t>
            </w:r>
          </w:p>
        </w:tc>
        <w:tc>
          <w:tcPr>
            <w:tcW w:w="1231" w:type="pct"/>
          </w:tcPr>
          <w:p w14:paraId="1B4FD6CD"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139</w:t>
            </w:r>
          </w:p>
        </w:tc>
        <w:tc>
          <w:tcPr>
            <w:tcW w:w="1428" w:type="pct"/>
          </w:tcPr>
          <w:p w14:paraId="60F040BA"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242</w:t>
            </w:r>
          </w:p>
        </w:tc>
        <w:tc>
          <w:tcPr>
            <w:tcW w:w="1084" w:type="pct"/>
          </w:tcPr>
          <w:p w14:paraId="7BEFF9A1"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42</w:t>
            </w:r>
          </w:p>
        </w:tc>
        <w:tc>
          <w:tcPr>
            <w:tcW w:w="519" w:type="pct"/>
          </w:tcPr>
          <w:p w14:paraId="4048A26E"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423</w:t>
            </w:r>
          </w:p>
        </w:tc>
      </w:tr>
      <w:tr w:rsidR="00445B89" w:rsidRPr="00445B89" w14:paraId="0B13A903" w14:textId="77777777" w:rsidTr="00D31933">
        <w:trPr>
          <w:cantSplit/>
          <w:tblHeader/>
          <w:jc w:val="center"/>
        </w:trPr>
        <w:tc>
          <w:tcPr>
            <w:tcW w:w="737" w:type="pct"/>
          </w:tcPr>
          <w:p w14:paraId="4429F321"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2017 à 2018</w:t>
            </w:r>
          </w:p>
        </w:tc>
        <w:tc>
          <w:tcPr>
            <w:tcW w:w="1231" w:type="pct"/>
          </w:tcPr>
          <w:p w14:paraId="18611C6C"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168</w:t>
            </w:r>
          </w:p>
        </w:tc>
        <w:tc>
          <w:tcPr>
            <w:tcW w:w="1428" w:type="pct"/>
          </w:tcPr>
          <w:p w14:paraId="608C1022"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251</w:t>
            </w:r>
          </w:p>
        </w:tc>
        <w:tc>
          <w:tcPr>
            <w:tcW w:w="1084" w:type="pct"/>
          </w:tcPr>
          <w:p w14:paraId="7853CB54"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38</w:t>
            </w:r>
          </w:p>
        </w:tc>
        <w:tc>
          <w:tcPr>
            <w:tcW w:w="519" w:type="pct"/>
          </w:tcPr>
          <w:p w14:paraId="41AC53B2"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457</w:t>
            </w:r>
          </w:p>
        </w:tc>
      </w:tr>
      <w:tr w:rsidR="00445B89" w:rsidRPr="00445B89" w14:paraId="54DFC093" w14:textId="77777777" w:rsidTr="00D31933">
        <w:trPr>
          <w:cantSplit/>
          <w:tblHeader/>
          <w:jc w:val="center"/>
        </w:trPr>
        <w:tc>
          <w:tcPr>
            <w:tcW w:w="737" w:type="pct"/>
          </w:tcPr>
          <w:p w14:paraId="0C47874C"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2018 à 2019</w:t>
            </w:r>
          </w:p>
        </w:tc>
        <w:tc>
          <w:tcPr>
            <w:tcW w:w="1231" w:type="pct"/>
          </w:tcPr>
          <w:p w14:paraId="2F1E32B8"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175</w:t>
            </w:r>
          </w:p>
        </w:tc>
        <w:tc>
          <w:tcPr>
            <w:tcW w:w="1428" w:type="pct"/>
          </w:tcPr>
          <w:p w14:paraId="348C9AF4"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281</w:t>
            </w:r>
          </w:p>
        </w:tc>
        <w:tc>
          <w:tcPr>
            <w:tcW w:w="1084" w:type="pct"/>
          </w:tcPr>
          <w:p w14:paraId="112161E1"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29</w:t>
            </w:r>
          </w:p>
        </w:tc>
        <w:tc>
          <w:tcPr>
            <w:tcW w:w="519" w:type="pct"/>
          </w:tcPr>
          <w:p w14:paraId="48B4A30B"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485</w:t>
            </w:r>
          </w:p>
        </w:tc>
      </w:tr>
      <w:tr w:rsidR="00445B89" w:rsidRPr="00445B89" w14:paraId="3FF15739" w14:textId="77777777" w:rsidTr="00D31933">
        <w:trPr>
          <w:cantSplit/>
          <w:tblHeader/>
          <w:jc w:val="center"/>
        </w:trPr>
        <w:tc>
          <w:tcPr>
            <w:tcW w:w="737" w:type="pct"/>
          </w:tcPr>
          <w:p w14:paraId="26EBB09B" w14:textId="77777777" w:rsidR="00DA7821" w:rsidRPr="00445B89" w:rsidRDefault="00DA7821" w:rsidP="00CD64EE">
            <w:pPr>
              <w:autoSpaceDE w:val="0"/>
              <w:autoSpaceDN w:val="0"/>
              <w:adjustRightInd w:val="0"/>
              <w:rPr>
                <w:rFonts w:asciiTheme="minorHAnsi" w:hAnsiTheme="minorHAnsi" w:cstheme="minorHAnsi"/>
                <w:sz w:val="22"/>
                <w:szCs w:val="22"/>
              </w:rPr>
            </w:pPr>
            <w:r w:rsidRPr="00445B89">
              <w:rPr>
                <w:rFonts w:asciiTheme="minorHAnsi" w:hAnsiTheme="minorHAnsi" w:cstheme="minorHAnsi"/>
                <w:sz w:val="22"/>
                <w:szCs w:val="22"/>
              </w:rPr>
              <w:t>2019 à 2020</w:t>
            </w:r>
          </w:p>
        </w:tc>
        <w:tc>
          <w:tcPr>
            <w:tcW w:w="1231" w:type="pct"/>
          </w:tcPr>
          <w:p w14:paraId="3AE2DEAF"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177</w:t>
            </w:r>
          </w:p>
        </w:tc>
        <w:tc>
          <w:tcPr>
            <w:tcW w:w="1428" w:type="pct"/>
          </w:tcPr>
          <w:p w14:paraId="2C85B824"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316</w:t>
            </w:r>
          </w:p>
        </w:tc>
        <w:tc>
          <w:tcPr>
            <w:tcW w:w="1084" w:type="pct"/>
          </w:tcPr>
          <w:p w14:paraId="20F60B61"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12</w:t>
            </w:r>
          </w:p>
        </w:tc>
        <w:tc>
          <w:tcPr>
            <w:tcW w:w="519" w:type="pct"/>
          </w:tcPr>
          <w:p w14:paraId="1A1F5AF6" w14:textId="77777777" w:rsidR="00DA7821" w:rsidRPr="00445B89" w:rsidRDefault="00DA7821" w:rsidP="00CD64EE">
            <w:pPr>
              <w:autoSpaceDE w:val="0"/>
              <w:autoSpaceDN w:val="0"/>
              <w:adjustRightInd w:val="0"/>
              <w:jc w:val="center"/>
              <w:rPr>
                <w:rFonts w:asciiTheme="minorHAnsi" w:hAnsiTheme="minorHAnsi" w:cstheme="minorHAnsi"/>
                <w:sz w:val="22"/>
                <w:szCs w:val="22"/>
              </w:rPr>
            </w:pPr>
            <w:r w:rsidRPr="00445B89">
              <w:rPr>
                <w:rFonts w:asciiTheme="minorHAnsi" w:hAnsiTheme="minorHAnsi" w:cstheme="minorHAnsi"/>
                <w:sz w:val="22"/>
                <w:szCs w:val="22"/>
              </w:rPr>
              <w:t>505</w:t>
            </w:r>
          </w:p>
        </w:tc>
      </w:tr>
    </w:tbl>
    <w:p w14:paraId="4C2BB672" w14:textId="44032468" w:rsidR="00DA7821" w:rsidRDefault="00DA7821">
      <w:pPr>
        <w:spacing w:after="160" w:line="259" w:lineRule="auto"/>
      </w:pPr>
      <w:r>
        <w:br w:type="page"/>
      </w:r>
    </w:p>
    <w:p w14:paraId="57190E62" w14:textId="77777777" w:rsidR="00D31933" w:rsidRPr="00D31933" w:rsidRDefault="00D31933" w:rsidP="00D31933">
      <w:pPr>
        <w:pStyle w:val="Heading1"/>
        <w:spacing w:before="120"/>
        <w:rPr>
          <w:sz w:val="40"/>
          <w:szCs w:val="40"/>
        </w:rPr>
      </w:pPr>
      <w:r w:rsidRPr="00D31933">
        <w:rPr>
          <w:rFonts w:eastAsia="Times New Roman"/>
          <w:sz w:val="40"/>
          <w:szCs w:val="40"/>
        </w:rPr>
        <w:lastRenderedPageBreak/>
        <w:t>Activités d'embauche externe pour une période indéterminée et d'une durée déterminée : Programme de recrutement postsecondaire et embauche d'anciens étudiants</w:t>
      </w:r>
    </w:p>
    <w:p w14:paraId="0B77C630" w14:textId="77777777" w:rsidR="00D31933" w:rsidRDefault="00DA7821" w:rsidP="00D31933">
      <w:pPr>
        <w:pStyle w:val="Subtitle"/>
        <w:keepNext/>
        <w:jc w:val="center"/>
      </w:pPr>
      <w:r w:rsidRPr="006E11FB">
        <w:rPr>
          <w:noProof/>
          <w:lang w:eastAsia="en-CA"/>
        </w:rPr>
        <w:drawing>
          <wp:inline distT="0" distB="0" distL="0" distR="0" wp14:anchorId="52337754" wp14:editId="2210A153">
            <wp:extent cx="5648400" cy="3049200"/>
            <wp:effectExtent l="0" t="0" r="9525" b="18415"/>
            <wp:docPr id="2" name="Chart 2" descr="Activités d'embauche externe pour une période indéterminée et d'une durée déterminée : Programme de recrutement postsecondaire et embauche d'anciens étudiants&#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D79706D" w14:textId="63C28ADF" w:rsidR="00397F78" w:rsidRPr="00D31933" w:rsidRDefault="00D31933" w:rsidP="00D31933">
      <w:pPr>
        <w:pStyle w:val="Caption"/>
        <w:spacing w:after="0"/>
        <w:jc w:val="center"/>
        <w:rPr>
          <w:rFonts w:asciiTheme="minorHAnsi" w:hAnsiTheme="minorHAnsi" w:cstheme="minorHAnsi"/>
          <w:i w:val="0"/>
          <w:iCs w:val="0"/>
          <w:color w:val="auto"/>
        </w:rPr>
      </w:pPr>
      <w:r w:rsidRPr="00D31933">
        <w:rPr>
          <w:rFonts w:asciiTheme="minorHAnsi" w:hAnsiTheme="minorHAnsi" w:cstheme="minorHAnsi"/>
          <w:i w:val="0"/>
          <w:iCs w:val="0"/>
          <w:color w:val="auto"/>
        </w:rPr>
        <w:t xml:space="preserve">Figure </w:t>
      </w:r>
      <w:r w:rsidRPr="00D31933">
        <w:rPr>
          <w:rFonts w:asciiTheme="minorHAnsi" w:hAnsiTheme="minorHAnsi" w:cstheme="minorHAnsi"/>
          <w:i w:val="0"/>
          <w:iCs w:val="0"/>
          <w:color w:val="auto"/>
        </w:rPr>
        <w:fldChar w:fldCharType="begin"/>
      </w:r>
      <w:r w:rsidRPr="00D31933">
        <w:rPr>
          <w:rFonts w:asciiTheme="minorHAnsi" w:hAnsiTheme="minorHAnsi" w:cstheme="minorHAnsi"/>
          <w:i w:val="0"/>
          <w:iCs w:val="0"/>
          <w:color w:val="auto"/>
        </w:rPr>
        <w:instrText xml:space="preserve"> SEQ Figure \* ARABIC </w:instrText>
      </w:r>
      <w:r w:rsidRPr="00D31933">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11</w:t>
      </w:r>
      <w:r w:rsidRPr="00D31933">
        <w:rPr>
          <w:rFonts w:asciiTheme="minorHAnsi" w:hAnsiTheme="minorHAnsi" w:cstheme="minorHAnsi"/>
          <w:i w:val="0"/>
          <w:iCs w:val="0"/>
          <w:color w:val="auto"/>
        </w:rPr>
        <w:fldChar w:fldCharType="end"/>
      </w:r>
      <w:r w:rsidRPr="00D31933">
        <w:rPr>
          <w:rFonts w:asciiTheme="minorHAnsi" w:hAnsiTheme="minorHAnsi" w:cstheme="minorHAnsi"/>
          <w:i w:val="0"/>
          <w:iCs w:val="0"/>
          <w:color w:val="auto"/>
        </w:rPr>
        <w:t xml:space="preserve"> - Activités d'embauche externe pour une période indéterminée et d'une durée déterminée : Programme de recrutement postsecondaire et embauche d'anciens étudiants</w:t>
      </w:r>
    </w:p>
    <w:p w14:paraId="3E39F3B4" w14:textId="1C73E905" w:rsidR="00D31933" w:rsidRPr="00D31933" w:rsidRDefault="00D31933" w:rsidP="00D31933">
      <w:pPr>
        <w:pStyle w:val="Caption"/>
        <w:keepNext/>
        <w:spacing w:before="240" w:after="0"/>
        <w:jc w:val="center"/>
        <w:rPr>
          <w:rFonts w:asciiTheme="minorHAnsi" w:hAnsiTheme="minorHAnsi" w:cstheme="minorHAnsi"/>
          <w:i w:val="0"/>
          <w:iCs w:val="0"/>
          <w:color w:val="auto"/>
        </w:rPr>
      </w:pPr>
      <w:r w:rsidRPr="00D31933">
        <w:rPr>
          <w:rFonts w:asciiTheme="minorHAnsi" w:hAnsiTheme="minorHAnsi" w:cstheme="minorHAnsi"/>
          <w:i w:val="0"/>
          <w:iCs w:val="0"/>
          <w:color w:val="auto"/>
        </w:rPr>
        <w:t xml:space="preserve">Tableau </w:t>
      </w:r>
      <w:r w:rsidRPr="00D31933">
        <w:rPr>
          <w:rFonts w:asciiTheme="minorHAnsi" w:hAnsiTheme="minorHAnsi" w:cstheme="minorHAnsi"/>
          <w:i w:val="0"/>
          <w:iCs w:val="0"/>
          <w:color w:val="auto"/>
        </w:rPr>
        <w:fldChar w:fldCharType="begin"/>
      </w:r>
      <w:r w:rsidRPr="00D31933">
        <w:rPr>
          <w:rFonts w:asciiTheme="minorHAnsi" w:hAnsiTheme="minorHAnsi" w:cstheme="minorHAnsi"/>
          <w:i w:val="0"/>
          <w:iCs w:val="0"/>
          <w:color w:val="auto"/>
        </w:rPr>
        <w:instrText xml:space="preserve"> SEQ Tableau \* ARABIC </w:instrText>
      </w:r>
      <w:r w:rsidRPr="00D31933">
        <w:rPr>
          <w:rFonts w:asciiTheme="minorHAnsi" w:hAnsiTheme="minorHAnsi" w:cstheme="minorHAnsi"/>
          <w:i w:val="0"/>
          <w:iCs w:val="0"/>
          <w:color w:val="auto"/>
        </w:rPr>
        <w:fldChar w:fldCharType="separate"/>
      </w:r>
      <w:r w:rsidRPr="00D31933">
        <w:rPr>
          <w:rFonts w:asciiTheme="minorHAnsi" w:hAnsiTheme="minorHAnsi" w:cstheme="minorHAnsi"/>
          <w:i w:val="0"/>
          <w:iCs w:val="0"/>
          <w:noProof/>
          <w:color w:val="auto"/>
        </w:rPr>
        <w:t>15</w:t>
      </w:r>
      <w:r w:rsidRPr="00D31933">
        <w:rPr>
          <w:rFonts w:asciiTheme="minorHAnsi" w:hAnsiTheme="minorHAnsi" w:cstheme="minorHAnsi"/>
          <w:i w:val="0"/>
          <w:iCs w:val="0"/>
          <w:color w:val="auto"/>
        </w:rPr>
        <w:fldChar w:fldCharType="end"/>
      </w:r>
      <w:r w:rsidRPr="00D31933">
        <w:rPr>
          <w:rFonts w:asciiTheme="minorHAnsi" w:hAnsiTheme="minorHAnsi" w:cstheme="minorHAnsi"/>
          <w:i w:val="0"/>
          <w:iCs w:val="0"/>
          <w:color w:val="auto"/>
        </w:rPr>
        <w:t xml:space="preserve"> - Activités d'embauche externe pour une période indéterminée et d'une durée déterminée : Programme de recrutement postsecondaire et embauche d'anciens étudiants selon l’exercice financier</w:t>
      </w:r>
    </w:p>
    <w:tbl>
      <w:tblPr>
        <w:tblStyle w:val="TableGrid"/>
        <w:tblW w:w="5000" w:type="pct"/>
        <w:jc w:val="center"/>
        <w:tblLook w:val="0020" w:firstRow="1" w:lastRow="0" w:firstColumn="0" w:lastColumn="0" w:noHBand="0" w:noVBand="0"/>
        <w:tblDescription w:val="Programme de recrutement postsecondaire et embauche d'anciens étudiants"/>
      </w:tblPr>
      <w:tblGrid>
        <w:gridCol w:w="3204"/>
        <w:gridCol w:w="8217"/>
        <w:gridCol w:w="7289"/>
      </w:tblGrid>
      <w:tr w:rsidR="00D31933" w:rsidRPr="00D31933" w14:paraId="72C6608D" w14:textId="77777777" w:rsidTr="00D31933">
        <w:trPr>
          <w:cantSplit/>
          <w:tblHeader/>
          <w:jc w:val="center"/>
        </w:trPr>
        <w:tc>
          <w:tcPr>
            <w:tcW w:w="856" w:type="pct"/>
          </w:tcPr>
          <w:p w14:paraId="4E55D8FD" w14:textId="77777777" w:rsidR="00DA7821" w:rsidRPr="00D31933" w:rsidRDefault="00DA7821" w:rsidP="00D31933">
            <w:pPr>
              <w:pStyle w:val="TableTitle"/>
              <w:rPr>
                <w:color w:val="auto"/>
                <w:sz w:val="22"/>
                <w:szCs w:val="22"/>
              </w:rPr>
            </w:pPr>
            <w:r w:rsidRPr="00D31933">
              <w:rPr>
                <w:color w:val="auto"/>
                <w:sz w:val="22"/>
                <w:szCs w:val="22"/>
              </w:rPr>
              <w:t>Exercice financier</w:t>
            </w:r>
          </w:p>
        </w:tc>
        <w:tc>
          <w:tcPr>
            <w:tcW w:w="2196" w:type="pct"/>
          </w:tcPr>
          <w:p w14:paraId="4E722F76" w14:textId="77777777" w:rsidR="00DA7821" w:rsidRPr="00D31933" w:rsidRDefault="00DA7821" w:rsidP="00D31933">
            <w:pPr>
              <w:pStyle w:val="TableTitle"/>
              <w:rPr>
                <w:color w:val="auto"/>
                <w:sz w:val="22"/>
                <w:szCs w:val="22"/>
              </w:rPr>
            </w:pPr>
            <w:r w:rsidRPr="00D31933">
              <w:rPr>
                <w:color w:val="auto"/>
                <w:sz w:val="22"/>
                <w:szCs w:val="22"/>
              </w:rPr>
              <w:t>Embauches du programme de recrutement postsecondaire</w:t>
            </w:r>
          </w:p>
        </w:tc>
        <w:tc>
          <w:tcPr>
            <w:tcW w:w="1948" w:type="pct"/>
          </w:tcPr>
          <w:p w14:paraId="0D939BA2" w14:textId="77777777" w:rsidR="00DA7821" w:rsidRPr="00D31933" w:rsidRDefault="00DA7821" w:rsidP="00D31933">
            <w:pPr>
              <w:pStyle w:val="TableTitle"/>
              <w:rPr>
                <w:color w:val="auto"/>
                <w:sz w:val="22"/>
                <w:szCs w:val="22"/>
              </w:rPr>
            </w:pPr>
            <w:r w:rsidRPr="00D31933">
              <w:rPr>
                <w:color w:val="auto"/>
                <w:sz w:val="22"/>
                <w:szCs w:val="22"/>
              </w:rPr>
              <w:t>Embauches d’anciens étudiants</w:t>
            </w:r>
          </w:p>
        </w:tc>
      </w:tr>
      <w:tr w:rsidR="00D31933" w:rsidRPr="00D31933" w14:paraId="56FBC4AA" w14:textId="77777777" w:rsidTr="00D31933">
        <w:trPr>
          <w:cantSplit/>
          <w:tblHeader/>
          <w:jc w:val="center"/>
        </w:trPr>
        <w:tc>
          <w:tcPr>
            <w:tcW w:w="856" w:type="pct"/>
          </w:tcPr>
          <w:p w14:paraId="3F730519" w14:textId="77777777" w:rsidR="00DA7821" w:rsidRPr="00D31933" w:rsidRDefault="00DA7821" w:rsidP="00CD64EE">
            <w:pPr>
              <w:autoSpaceDE w:val="0"/>
              <w:autoSpaceDN w:val="0"/>
              <w:adjustRightInd w:val="0"/>
              <w:rPr>
                <w:rFonts w:asciiTheme="minorHAnsi" w:hAnsiTheme="minorHAnsi" w:cstheme="minorHAnsi"/>
                <w:sz w:val="22"/>
                <w:szCs w:val="22"/>
              </w:rPr>
            </w:pPr>
            <w:r w:rsidRPr="00D31933">
              <w:rPr>
                <w:rFonts w:asciiTheme="minorHAnsi" w:hAnsiTheme="minorHAnsi" w:cstheme="minorHAnsi"/>
                <w:sz w:val="22"/>
                <w:szCs w:val="22"/>
              </w:rPr>
              <w:t>2015 à 2016</w:t>
            </w:r>
          </w:p>
        </w:tc>
        <w:tc>
          <w:tcPr>
            <w:tcW w:w="2196" w:type="pct"/>
          </w:tcPr>
          <w:p w14:paraId="3A975DEF"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14</w:t>
            </w:r>
          </w:p>
        </w:tc>
        <w:tc>
          <w:tcPr>
            <w:tcW w:w="1948" w:type="pct"/>
          </w:tcPr>
          <w:p w14:paraId="5BFB6919"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65</w:t>
            </w:r>
          </w:p>
        </w:tc>
      </w:tr>
      <w:tr w:rsidR="00D31933" w:rsidRPr="00D31933" w14:paraId="15500795" w14:textId="77777777" w:rsidTr="00D31933">
        <w:trPr>
          <w:cantSplit/>
          <w:tblHeader/>
          <w:jc w:val="center"/>
        </w:trPr>
        <w:tc>
          <w:tcPr>
            <w:tcW w:w="856" w:type="pct"/>
          </w:tcPr>
          <w:p w14:paraId="13B48CC5" w14:textId="77777777" w:rsidR="00DA7821" w:rsidRPr="00D31933" w:rsidRDefault="00DA7821" w:rsidP="00CD64EE">
            <w:pPr>
              <w:autoSpaceDE w:val="0"/>
              <w:autoSpaceDN w:val="0"/>
              <w:adjustRightInd w:val="0"/>
              <w:rPr>
                <w:rFonts w:asciiTheme="minorHAnsi" w:hAnsiTheme="minorHAnsi" w:cstheme="minorHAnsi"/>
                <w:sz w:val="22"/>
                <w:szCs w:val="22"/>
              </w:rPr>
            </w:pPr>
            <w:r w:rsidRPr="00D31933">
              <w:rPr>
                <w:rFonts w:asciiTheme="minorHAnsi" w:hAnsiTheme="minorHAnsi" w:cstheme="minorHAnsi"/>
                <w:sz w:val="22"/>
                <w:szCs w:val="22"/>
              </w:rPr>
              <w:t>2016 à 2017</w:t>
            </w:r>
          </w:p>
        </w:tc>
        <w:tc>
          <w:tcPr>
            <w:tcW w:w="2196" w:type="pct"/>
          </w:tcPr>
          <w:p w14:paraId="10892155"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13</w:t>
            </w:r>
          </w:p>
        </w:tc>
        <w:tc>
          <w:tcPr>
            <w:tcW w:w="1948" w:type="pct"/>
          </w:tcPr>
          <w:p w14:paraId="77D08375"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75</w:t>
            </w:r>
          </w:p>
        </w:tc>
      </w:tr>
      <w:tr w:rsidR="00D31933" w:rsidRPr="00D31933" w14:paraId="399D6FDB" w14:textId="77777777" w:rsidTr="00D31933">
        <w:trPr>
          <w:cantSplit/>
          <w:tblHeader/>
          <w:jc w:val="center"/>
        </w:trPr>
        <w:tc>
          <w:tcPr>
            <w:tcW w:w="856" w:type="pct"/>
          </w:tcPr>
          <w:p w14:paraId="3A3F9E25" w14:textId="77777777" w:rsidR="00DA7821" w:rsidRPr="00D31933" w:rsidRDefault="00DA7821" w:rsidP="00CD64EE">
            <w:pPr>
              <w:autoSpaceDE w:val="0"/>
              <w:autoSpaceDN w:val="0"/>
              <w:adjustRightInd w:val="0"/>
              <w:rPr>
                <w:rFonts w:asciiTheme="minorHAnsi" w:hAnsiTheme="minorHAnsi" w:cstheme="minorHAnsi"/>
                <w:sz w:val="22"/>
                <w:szCs w:val="22"/>
              </w:rPr>
            </w:pPr>
            <w:r w:rsidRPr="00D31933">
              <w:rPr>
                <w:rFonts w:asciiTheme="minorHAnsi" w:hAnsiTheme="minorHAnsi" w:cstheme="minorHAnsi"/>
                <w:sz w:val="22"/>
                <w:szCs w:val="22"/>
              </w:rPr>
              <w:t>2017 à 2018</w:t>
            </w:r>
          </w:p>
        </w:tc>
        <w:tc>
          <w:tcPr>
            <w:tcW w:w="2196" w:type="pct"/>
          </w:tcPr>
          <w:p w14:paraId="35A2C211"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5</w:t>
            </w:r>
          </w:p>
        </w:tc>
        <w:tc>
          <w:tcPr>
            <w:tcW w:w="1948" w:type="pct"/>
          </w:tcPr>
          <w:p w14:paraId="3FFBCABC"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93</w:t>
            </w:r>
          </w:p>
        </w:tc>
      </w:tr>
      <w:tr w:rsidR="00D31933" w:rsidRPr="00D31933" w14:paraId="07530F48" w14:textId="77777777" w:rsidTr="00D31933">
        <w:trPr>
          <w:cantSplit/>
          <w:tblHeader/>
          <w:jc w:val="center"/>
        </w:trPr>
        <w:tc>
          <w:tcPr>
            <w:tcW w:w="856" w:type="pct"/>
          </w:tcPr>
          <w:p w14:paraId="67D8EB10" w14:textId="77777777" w:rsidR="00DA7821" w:rsidRPr="00D31933" w:rsidRDefault="00DA7821" w:rsidP="00CD64EE">
            <w:pPr>
              <w:autoSpaceDE w:val="0"/>
              <w:autoSpaceDN w:val="0"/>
              <w:adjustRightInd w:val="0"/>
              <w:rPr>
                <w:rFonts w:asciiTheme="minorHAnsi" w:hAnsiTheme="minorHAnsi" w:cstheme="minorHAnsi"/>
                <w:sz w:val="22"/>
                <w:szCs w:val="22"/>
              </w:rPr>
            </w:pPr>
            <w:r w:rsidRPr="00D31933">
              <w:rPr>
                <w:rFonts w:asciiTheme="minorHAnsi" w:hAnsiTheme="minorHAnsi" w:cstheme="minorHAnsi"/>
                <w:sz w:val="22"/>
                <w:szCs w:val="22"/>
              </w:rPr>
              <w:t>2018 à 2019</w:t>
            </w:r>
          </w:p>
        </w:tc>
        <w:tc>
          <w:tcPr>
            <w:tcW w:w="2196" w:type="pct"/>
          </w:tcPr>
          <w:p w14:paraId="07BEC219"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15</w:t>
            </w:r>
          </w:p>
        </w:tc>
        <w:tc>
          <w:tcPr>
            <w:tcW w:w="1948" w:type="pct"/>
          </w:tcPr>
          <w:p w14:paraId="3C28E12B"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126</w:t>
            </w:r>
          </w:p>
        </w:tc>
      </w:tr>
      <w:tr w:rsidR="00D31933" w:rsidRPr="00D31933" w14:paraId="38723F9D" w14:textId="77777777" w:rsidTr="00D31933">
        <w:trPr>
          <w:cantSplit/>
          <w:tblHeader/>
          <w:jc w:val="center"/>
        </w:trPr>
        <w:tc>
          <w:tcPr>
            <w:tcW w:w="856" w:type="pct"/>
          </w:tcPr>
          <w:p w14:paraId="187DFCC6" w14:textId="77777777" w:rsidR="00DA7821" w:rsidRPr="00D31933" w:rsidRDefault="00DA7821" w:rsidP="00CD64EE">
            <w:pPr>
              <w:autoSpaceDE w:val="0"/>
              <w:autoSpaceDN w:val="0"/>
              <w:adjustRightInd w:val="0"/>
              <w:rPr>
                <w:rFonts w:asciiTheme="minorHAnsi" w:hAnsiTheme="minorHAnsi" w:cstheme="minorHAnsi"/>
                <w:sz w:val="22"/>
                <w:szCs w:val="22"/>
              </w:rPr>
            </w:pPr>
            <w:r w:rsidRPr="00D31933">
              <w:rPr>
                <w:rFonts w:asciiTheme="minorHAnsi" w:hAnsiTheme="minorHAnsi" w:cstheme="minorHAnsi"/>
                <w:sz w:val="22"/>
                <w:szCs w:val="22"/>
              </w:rPr>
              <w:t>2019 à 2020</w:t>
            </w:r>
          </w:p>
        </w:tc>
        <w:tc>
          <w:tcPr>
            <w:tcW w:w="2196" w:type="pct"/>
          </w:tcPr>
          <w:p w14:paraId="3456F393"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5</w:t>
            </w:r>
          </w:p>
        </w:tc>
        <w:tc>
          <w:tcPr>
            <w:tcW w:w="1948" w:type="pct"/>
          </w:tcPr>
          <w:p w14:paraId="06CB185C" w14:textId="77777777" w:rsidR="00DA7821" w:rsidRPr="00D31933" w:rsidRDefault="00DA7821" w:rsidP="00CD64EE">
            <w:pPr>
              <w:autoSpaceDE w:val="0"/>
              <w:autoSpaceDN w:val="0"/>
              <w:adjustRightInd w:val="0"/>
              <w:jc w:val="center"/>
              <w:rPr>
                <w:rFonts w:asciiTheme="minorHAnsi" w:hAnsiTheme="minorHAnsi" w:cstheme="minorHAnsi"/>
                <w:sz w:val="22"/>
                <w:szCs w:val="22"/>
              </w:rPr>
            </w:pPr>
            <w:r w:rsidRPr="00D31933">
              <w:rPr>
                <w:rFonts w:asciiTheme="minorHAnsi" w:hAnsiTheme="minorHAnsi" w:cstheme="minorHAnsi"/>
                <w:sz w:val="22"/>
                <w:szCs w:val="22"/>
              </w:rPr>
              <w:t>120</w:t>
            </w:r>
          </w:p>
        </w:tc>
      </w:tr>
    </w:tbl>
    <w:p w14:paraId="04DAF34D" w14:textId="74C282EA" w:rsidR="00DA7821" w:rsidRPr="00D31933" w:rsidRDefault="00D31933" w:rsidP="00D31933">
      <w:pPr>
        <w:pStyle w:val="Heading1"/>
        <w:spacing w:before="120"/>
        <w:rPr>
          <w:sz w:val="40"/>
          <w:szCs w:val="40"/>
        </w:rPr>
      </w:pPr>
      <w:r w:rsidRPr="00D31933">
        <w:rPr>
          <w:sz w:val="40"/>
          <w:szCs w:val="40"/>
        </w:rPr>
        <w:lastRenderedPageBreak/>
        <w:t>Durée de dotation interne</w:t>
      </w:r>
    </w:p>
    <w:p w14:paraId="35D74264" w14:textId="77777777" w:rsidR="00D31933" w:rsidRDefault="00397F78" w:rsidP="00D31933">
      <w:pPr>
        <w:keepNext/>
      </w:pPr>
      <w:r w:rsidRPr="006E11FB">
        <w:rPr>
          <w:noProof/>
          <w:lang w:eastAsia="en-CA"/>
        </w:rPr>
        <w:drawing>
          <wp:inline distT="0" distB="0" distL="0" distR="0" wp14:anchorId="302B1D01" wp14:editId="07052F4E">
            <wp:extent cx="5648400" cy="3049200"/>
            <wp:effectExtent l="0" t="0" r="9525" b="18415"/>
            <wp:docPr id="22" name="Chart 22" descr="Durée de dotation interne Médiane pour la fonction publique = 175 jours, 2019-202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D31933" w:rsidRPr="006E11FB">
        <w:rPr>
          <w:noProof/>
          <w:lang w:eastAsia="en-CA"/>
        </w:rPr>
        <w:drawing>
          <wp:inline distT="0" distB="0" distL="0" distR="0" wp14:anchorId="6BEA0819" wp14:editId="0CCE0BC8">
            <wp:extent cx="5648400" cy="3049200"/>
            <wp:effectExtent l="0" t="0" r="9525" b="18415"/>
            <wp:docPr id="23" name="Chart 23" descr="Durée de dotation interne - Médiane pour &#10;Médiane pour les Ressources naturelles = 201 jours, 2019-202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C31F177" w14:textId="2C107F30" w:rsidR="00D31933" w:rsidRPr="00D31933" w:rsidRDefault="00D31933" w:rsidP="00D31933">
      <w:pPr>
        <w:pStyle w:val="Caption"/>
        <w:tabs>
          <w:tab w:val="left" w:pos="8930"/>
        </w:tabs>
        <w:spacing w:after="0"/>
        <w:rPr>
          <w:rFonts w:asciiTheme="minorHAnsi" w:hAnsiTheme="minorHAnsi" w:cstheme="minorHAnsi"/>
          <w:i w:val="0"/>
          <w:iCs w:val="0"/>
          <w:color w:val="auto"/>
        </w:rPr>
      </w:pPr>
      <w:r w:rsidRPr="00D31933">
        <w:rPr>
          <w:rFonts w:asciiTheme="minorHAnsi" w:hAnsiTheme="minorHAnsi" w:cstheme="minorHAnsi"/>
          <w:i w:val="0"/>
          <w:iCs w:val="0"/>
          <w:color w:val="auto"/>
        </w:rPr>
        <w:t xml:space="preserve">Figure </w:t>
      </w:r>
      <w:r w:rsidRPr="00D31933">
        <w:rPr>
          <w:rFonts w:asciiTheme="minorHAnsi" w:hAnsiTheme="minorHAnsi" w:cstheme="minorHAnsi"/>
          <w:i w:val="0"/>
          <w:iCs w:val="0"/>
          <w:color w:val="auto"/>
        </w:rPr>
        <w:fldChar w:fldCharType="begin"/>
      </w:r>
      <w:r w:rsidRPr="00D31933">
        <w:rPr>
          <w:rFonts w:asciiTheme="minorHAnsi" w:hAnsiTheme="minorHAnsi" w:cstheme="minorHAnsi"/>
          <w:i w:val="0"/>
          <w:iCs w:val="0"/>
          <w:color w:val="auto"/>
        </w:rPr>
        <w:instrText xml:space="preserve"> SEQ Figure \* ARABIC </w:instrText>
      </w:r>
      <w:r w:rsidRPr="00D31933">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12</w:t>
      </w:r>
      <w:r w:rsidRPr="00D31933">
        <w:rPr>
          <w:rFonts w:asciiTheme="minorHAnsi" w:hAnsiTheme="minorHAnsi" w:cstheme="minorHAnsi"/>
          <w:i w:val="0"/>
          <w:iCs w:val="0"/>
          <w:color w:val="auto"/>
        </w:rPr>
        <w:fldChar w:fldCharType="end"/>
      </w:r>
      <w:r w:rsidRPr="00D31933">
        <w:rPr>
          <w:rFonts w:asciiTheme="minorHAnsi" w:hAnsiTheme="minorHAnsi" w:cstheme="minorHAnsi"/>
          <w:i w:val="0"/>
          <w:iCs w:val="0"/>
          <w:color w:val="auto"/>
        </w:rPr>
        <w:t xml:space="preserve"> - Durée de dotation interne - Médiane pour la fonction publique = 175 jours, 2019-2020</w:t>
      </w:r>
      <w:r w:rsidRPr="00D31933">
        <w:rPr>
          <w:rFonts w:asciiTheme="minorHAnsi" w:hAnsiTheme="minorHAnsi" w:cstheme="minorHAnsi"/>
          <w:i w:val="0"/>
          <w:iCs w:val="0"/>
          <w:color w:val="auto"/>
        </w:rPr>
        <w:tab/>
        <w:t xml:space="preserve">Figure </w:t>
      </w:r>
      <w:r w:rsidRPr="00D31933">
        <w:rPr>
          <w:rFonts w:asciiTheme="minorHAnsi" w:hAnsiTheme="minorHAnsi" w:cstheme="minorHAnsi"/>
          <w:i w:val="0"/>
          <w:iCs w:val="0"/>
          <w:color w:val="auto"/>
        </w:rPr>
        <w:fldChar w:fldCharType="begin"/>
      </w:r>
      <w:r w:rsidRPr="00D31933">
        <w:rPr>
          <w:rFonts w:asciiTheme="minorHAnsi" w:hAnsiTheme="minorHAnsi" w:cstheme="minorHAnsi"/>
          <w:i w:val="0"/>
          <w:iCs w:val="0"/>
          <w:color w:val="auto"/>
        </w:rPr>
        <w:instrText xml:space="preserve"> SEQ Figure \* ARABIC </w:instrText>
      </w:r>
      <w:r w:rsidRPr="00D31933">
        <w:rPr>
          <w:rFonts w:asciiTheme="minorHAnsi" w:hAnsiTheme="minorHAnsi" w:cstheme="minorHAnsi"/>
          <w:i w:val="0"/>
          <w:iCs w:val="0"/>
          <w:color w:val="auto"/>
        </w:rPr>
        <w:fldChar w:fldCharType="separate"/>
      </w:r>
      <w:r w:rsidR="00325D14">
        <w:rPr>
          <w:rFonts w:asciiTheme="minorHAnsi" w:hAnsiTheme="minorHAnsi" w:cstheme="minorHAnsi"/>
          <w:i w:val="0"/>
          <w:iCs w:val="0"/>
          <w:noProof/>
          <w:color w:val="auto"/>
        </w:rPr>
        <w:t>13</w:t>
      </w:r>
      <w:r w:rsidRPr="00D31933">
        <w:rPr>
          <w:rFonts w:asciiTheme="minorHAnsi" w:hAnsiTheme="minorHAnsi" w:cstheme="minorHAnsi"/>
          <w:i w:val="0"/>
          <w:iCs w:val="0"/>
          <w:color w:val="auto"/>
        </w:rPr>
        <w:fldChar w:fldCharType="end"/>
      </w:r>
      <w:r w:rsidRPr="00D31933">
        <w:rPr>
          <w:rFonts w:asciiTheme="minorHAnsi" w:hAnsiTheme="minorHAnsi" w:cstheme="minorHAnsi"/>
          <w:i w:val="0"/>
          <w:iCs w:val="0"/>
          <w:color w:val="auto"/>
        </w:rPr>
        <w:t xml:space="preserve"> - Durée de dotation interne = Médiane pour les Ressources naturelles = 201 jours, 2019-2020</w:t>
      </w:r>
    </w:p>
    <w:p w14:paraId="7B5724DB" w14:textId="15E2B497" w:rsidR="00D31933" w:rsidRPr="00D31933" w:rsidRDefault="003F59CB" w:rsidP="00D31933">
      <w:pPr>
        <w:numPr>
          <w:ilvl w:val="1"/>
          <w:numId w:val="0"/>
        </w:numPr>
        <w:spacing w:before="240" w:after="120"/>
        <w:rPr>
          <w:rFonts w:asciiTheme="minorHAnsi" w:eastAsiaTheme="minorHAnsi" w:hAnsiTheme="minorHAnsi" w:cstheme="minorHAnsi"/>
          <w:sz w:val="22"/>
          <w:szCs w:val="22"/>
        </w:rPr>
      </w:pPr>
      <w:hyperlink w:anchor="Durée_de_dotation_interne" w:history="1">
        <w:r w:rsidR="00D31933" w:rsidRPr="00D31933">
          <w:rPr>
            <w:rStyle w:val="Hyperlink"/>
            <w:rFonts w:asciiTheme="minorHAnsi" w:eastAsiaTheme="minorHAnsi" w:hAnsiTheme="minorHAnsi" w:cstheme="minorHAnsi"/>
            <w:sz w:val="22"/>
            <w:szCs w:val="22"/>
          </w:rPr>
          <w:t>Tableau des données sur la durée de dotation interne disponible ici</w:t>
        </w:r>
      </w:hyperlink>
      <w:r w:rsidR="00D31933" w:rsidRPr="00D31933">
        <w:rPr>
          <w:rFonts w:asciiTheme="minorHAnsi" w:eastAsiaTheme="minorHAnsi" w:hAnsiTheme="minorHAnsi" w:cstheme="minorHAnsi"/>
          <w:sz w:val="22"/>
          <w:szCs w:val="22"/>
        </w:rPr>
        <w:t>.</w:t>
      </w:r>
    </w:p>
    <w:p w14:paraId="59747524" w14:textId="77777777" w:rsidR="00D31933" w:rsidRPr="00D31933" w:rsidRDefault="00D31933" w:rsidP="00DA7821">
      <w:pPr>
        <w:spacing w:before="100" w:beforeAutospacing="1" w:after="100" w:afterAutospacing="1"/>
        <w:rPr>
          <w:rFonts w:asciiTheme="minorHAnsi" w:hAnsiTheme="minorHAnsi" w:cstheme="minorHAnsi"/>
          <w:sz w:val="22"/>
          <w:szCs w:val="22"/>
        </w:rPr>
        <w:sectPr w:rsidR="00D31933" w:rsidRPr="00D31933" w:rsidSect="00D31933">
          <w:pgSz w:w="20160" w:h="12240" w:orient="landscape" w:code="5"/>
          <w:pgMar w:top="720" w:right="720" w:bottom="720" w:left="720" w:header="709" w:footer="284" w:gutter="0"/>
          <w:cols w:space="708"/>
          <w:titlePg/>
          <w:docGrid w:linePitch="360"/>
        </w:sectPr>
      </w:pPr>
    </w:p>
    <w:p w14:paraId="47D03A22" w14:textId="199796AE" w:rsidR="00DA7821" w:rsidRDefault="00DA7821" w:rsidP="00325D14">
      <w:pPr>
        <w:spacing w:after="120"/>
        <w:rPr>
          <w:rFonts w:asciiTheme="minorHAnsi" w:hAnsiTheme="minorHAnsi" w:cstheme="minorHAnsi"/>
          <w:sz w:val="22"/>
          <w:szCs w:val="22"/>
        </w:rPr>
      </w:pPr>
      <w:r w:rsidRPr="00D31933">
        <w:rPr>
          <w:rFonts w:asciiTheme="minorHAnsi" w:hAnsiTheme="minorHAnsi" w:cstheme="minorHAnsi"/>
          <w:sz w:val="22"/>
          <w:szCs w:val="22"/>
        </w:rPr>
        <w:t>La durée de dotation interne correspond au nombre de jours civils entre la date d'ouverture de l'annonce et la date de la première notification</w:t>
      </w:r>
    </w:p>
    <w:p w14:paraId="0D862D0B" w14:textId="77777777" w:rsidR="00325D14" w:rsidRPr="00D31933" w:rsidRDefault="00325D14" w:rsidP="00325D14">
      <w:pPr>
        <w:rPr>
          <w:rFonts w:asciiTheme="minorHAnsi" w:hAnsiTheme="minorHAnsi" w:cstheme="minorHAnsi"/>
          <w:sz w:val="22"/>
          <w:szCs w:val="22"/>
        </w:rPr>
      </w:pPr>
      <w:r w:rsidRPr="00D31933">
        <w:rPr>
          <w:rFonts w:asciiTheme="minorHAnsi" w:hAnsiTheme="minorHAnsi" w:cstheme="minorHAnsi"/>
          <w:sz w:val="22"/>
          <w:szCs w:val="22"/>
        </w:rPr>
        <w:t xml:space="preserve">La durée médiane de dotation interne pour la fonction publique (organisations assujetties à la </w:t>
      </w:r>
      <w:r w:rsidRPr="00D31933">
        <w:rPr>
          <w:rStyle w:val="Emphasis"/>
          <w:rFonts w:asciiTheme="minorHAnsi" w:hAnsiTheme="minorHAnsi" w:cstheme="minorHAnsi"/>
          <w:sz w:val="22"/>
          <w:szCs w:val="18"/>
        </w:rPr>
        <w:t>Loi sur l’emploi dans la fonction publique</w:t>
      </w:r>
      <w:r w:rsidRPr="00D31933">
        <w:rPr>
          <w:rFonts w:asciiTheme="minorHAnsi" w:hAnsiTheme="minorHAnsi" w:cstheme="minorHAnsi"/>
          <w:sz w:val="22"/>
          <w:szCs w:val="22"/>
        </w:rPr>
        <w:t>) pour l’exercice financier 2019 à 2020 est 175 jours</w:t>
      </w:r>
    </w:p>
    <w:p w14:paraId="1F23ABF8" w14:textId="52BCBFF6" w:rsidR="00DA7821" w:rsidRPr="00D31933" w:rsidRDefault="00D31933" w:rsidP="00D31933">
      <w:pPr>
        <w:spacing w:after="120"/>
        <w:rPr>
          <w:rStyle w:val="Strong"/>
          <w:rFonts w:asciiTheme="minorHAnsi" w:hAnsiTheme="minorHAnsi" w:cstheme="minorHAnsi"/>
          <w:sz w:val="22"/>
          <w:szCs w:val="18"/>
        </w:rPr>
      </w:pPr>
      <w:r w:rsidRPr="00D31933">
        <w:rPr>
          <w:rFonts w:asciiTheme="minorHAnsi" w:hAnsiTheme="minorHAnsi" w:cstheme="minorHAnsi"/>
          <w:b/>
          <w:sz w:val="22"/>
          <w:szCs w:val="22"/>
        </w:rPr>
        <w:br w:type="column"/>
      </w:r>
      <w:r w:rsidR="00DA7821" w:rsidRPr="00D31933">
        <w:rPr>
          <w:rStyle w:val="Strong"/>
          <w:rFonts w:asciiTheme="minorHAnsi" w:hAnsiTheme="minorHAnsi" w:cstheme="minorHAnsi"/>
          <w:sz w:val="22"/>
          <w:szCs w:val="18"/>
        </w:rPr>
        <w:t>Durée de dotation interne pour l’exercice financier de 2019 à 2020</w:t>
      </w:r>
    </w:p>
    <w:p w14:paraId="42B56309" w14:textId="77777777" w:rsidR="00DA7821" w:rsidRPr="00D31933" w:rsidRDefault="00DA7821" w:rsidP="00CD64EE">
      <w:pPr>
        <w:rPr>
          <w:rFonts w:asciiTheme="minorHAnsi" w:hAnsiTheme="minorHAnsi" w:cstheme="minorHAnsi"/>
          <w:sz w:val="22"/>
          <w:szCs w:val="22"/>
          <w:highlight w:val="yellow"/>
        </w:rPr>
      </w:pPr>
      <w:r w:rsidRPr="00D31933">
        <w:rPr>
          <w:rFonts w:asciiTheme="minorHAnsi" w:hAnsiTheme="minorHAnsi" w:cstheme="minorHAnsi"/>
          <w:sz w:val="22"/>
          <w:szCs w:val="22"/>
        </w:rPr>
        <w:t>La durée médiane de dotation interne à Ressources naturelles pour l’exercice financier 2019 à 2020 est 201 jours</w:t>
      </w:r>
    </w:p>
    <w:p w14:paraId="2B78C225" w14:textId="77777777" w:rsidR="00D31933" w:rsidRPr="00D31933" w:rsidRDefault="00D31933" w:rsidP="00397F78">
      <w:pPr>
        <w:rPr>
          <w:rFonts w:asciiTheme="minorHAnsi" w:hAnsiTheme="minorHAnsi" w:cstheme="minorHAnsi"/>
          <w:sz w:val="22"/>
          <w:szCs w:val="22"/>
        </w:rPr>
        <w:sectPr w:rsidR="00D31933" w:rsidRPr="00D31933" w:rsidSect="00D31933">
          <w:type w:val="continuous"/>
          <w:pgSz w:w="20160" w:h="12240" w:orient="landscape" w:code="5"/>
          <w:pgMar w:top="720" w:right="720" w:bottom="720" w:left="720" w:header="709" w:footer="284" w:gutter="0"/>
          <w:cols w:num="2" w:space="708"/>
          <w:titlePg/>
          <w:docGrid w:linePitch="360"/>
        </w:sectPr>
      </w:pPr>
    </w:p>
    <w:p w14:paraId="5717CB25" w14:textId="4080728D" w:rsidR="00325D14" w:rsidRPr="00325D14" w:rsidRDefault="00325D14" w:rsidP="00325D14">
      <w:pPr>
        <w:pStyle w:val="Heading1"/>
        <w:spacing w:before="120"/>
        <w:rPr>
          <w:sz w:val="40"/>
          <w:szCs w:val="40"/>
        </w:rPr>
      </w:pPr>
      <w:r w:rsidRPr="00325D14">
        <w:rPr>
          <w:sz w:val="40"/>
          <w:szCs w:val="40"/>
        </w:rPr>
        <w:lastRenderedPageBreak/>
        <w:t>Durée de dotation interne</w:t>
      </w:r>
    </w:p>
    <w:tbl>
      <w:tblPr>
        <w:tblStyle w:val="TableGrid"/>
        <w:tblpPr w:leftFromText="180" w:rightFromText="180" w:vertAnchor="text" w:tblpXSpec="center" w:tblpY="1"/>
        <w:tblOverlap w:val="never"/>
        <w:tblW w:w="5072" w:type="pct"/>
        <w:jc w:val="center"/>
        <w:tblLook w:val="0020" w:firstRow="1" w:lastRow="0" w:firstColumn="0" w:lastColumn="0" w:noHBand="0" w:noVBand="0"/>
        <w:tblDescription w:val="Durée des processus de dotation interne"/>
      </w:tblPr>
      <w:tblGrid>
        <w:gridCol w:w="2793"/>
        <w:gridCol w:w="4076"/>
        <w:gridCol w:w="4076"/>
      </w:tblGrid>
      <w:tr w:rsidR="00DA7821" w:rsidRPr="001442E2" w14:paraId="20D249E0" w14:textId="77777777" w:rsidTr="00325D14">
        <w:trPr>
          <w:cantSplit/>
          <w:trHeight w:val="290"/>
          <w:tblHeader/>
          <w:jc w:val="center"/>
        </w:trPr>
        <w:tc>
          <w:tcPr>
            <w:tcW w:w="735" w:type="pct"/>
          </w:tcPr>
          <w:p w14:paraId="3E4115E7" w14:textId="77777777" w:rsidR="00DA7821" w:rsidRPr="00325D14" w:rsidRDefault="00DA7821" w:rsidP="00325D14">
            <w:pPr>
              <w:pStyle w:val="TableTitle"/>
              <w:rPr>
                <w:color w:val="auto"/>
                <w:sz w:val="22"/>
                <w:szCs w:val="22"/>
              </w:rPr>
            </w:pPr>
            <w:bookmarkStart w:id="2" w:name="Durée_de_dotation_interne"/>
            <w:r w:rsidRPr="00325D14">
              <w:rPr>
                <w:color w:val="auto"/>
                <w:sz w:val="22"/>
                <w:szCs w:val="22"/>
              </w:rPr>
              <w:t>Nombre de jours civils</w:t>
            </w:r>
            <w:bookmarkEnd w:id="2"/>
          </w:p>
        </w:tc>
        <w:tc>
          <w:tcPr>
            <w:tcW w:w="1073" w:type="pct"/>
          </w:tcPr>
          <w:p w14:paraId="61F20679" w14:textId="77777777" w:rsidR="00DA7821" w:rsidRPr="00325D14" w:rsidRDefault="00DA7821" w:rsidP="00325D14">
            <w:pPr>
              <w:pStyle w:val="TableTitle"/>
              <w:rPr>
                <w:color w:val="auto"/>
                <w:sz w:val="22"/>
                <w:szCs w:val="22"/>
              </w:rPr>
            </w:pPr>
            <w:r w:rsidRPr="00325D14">
              <w:rPr>
                <w:color w:val="auto"/>
                <w:sz w:val="22"/>
                <w:szCs w:val="22"/>
              </w:rPr>
              <w:t xml:space="preserve">Le nombre de premières embauches internes dans un processus interne (durée de dotation interne) dans les organisations assujetties à la </w:t>
            </w:r>
            <w:r w:rsidRPr="00325D14">
              <w:rPr>
                <w:rStyle w:val="Emphasis"/>
                <w:color w:val="auto"/>
                <w:sz w:val="22"/>
                <w:szCs w:val="22"/>
              </w:rPr>
              <w:t>Loi sur l’emploi dans la fonction publique,</w:t>
            </w:r>
            <w:r w:rsidRPr="00325D14">
              <w:rPr>
                <w:color w:val="auto"/>
                <w:sz w:val="16"/>
                <w:szCs w:val="16"/>
              </w:rPr>
              <w:t xml:space="preserve"> </w:t>
            </w:r>
            <w:r w:rsidRPr="00325D14">
              <w:rPr>
                <w:color w:val="auto"/>
                <w:sz w:val="22"/>
                <w:szCs w:val="22"/>
              </w:rPr>
              <w:t>dans le nombre de jours civils spécifié</w:t>
            </w:r>
          </w:p>
        </w:tc>
        <w:tc>
          <w:tcPr>
            <w:tcW w:w="1073" w:type="pct"/>
          </w:tcPr>
          <w:p w14:paraId="1CEF3BB5" w14:textId="77777777" w:rsidR="00DA7821" w:rsidRPr="00325D14" w:rsidRDefault="00DA7821" w:rsidP="00325D14">
            <w:pPr>
              <w:pStyle w:val="TableTitle"/>
              <w:rPr>
                <w:color w:val="auto"/>
                <w:sz w:val="22"/>
                <w:szCs w:val="22"/>
              </w:rPr>
            </w:pPr>
            <w:r w:rsidRPr="00325D14">
              <w:rPr>
                <w:color w:val="auto"/>
                <w:sz w:val="22"/>
                <w:szCs w:val="22"/>
              </w:rPr>
              <w:t>Le nombre de premières embauches internes dans un processus interne (durée de dotation interne) dans l’organisation spécifiée, dans le nombre de jours civils spécifié</w:t>
            </w:r>
          </w:p>
        </w:tc>
      </w:tr>
      <w:tr w:rsidR="00DA7821" w:rsidRPr="001442E2" w14:paraId="1597ED82" w14:textId="77777777" w:rsidTr="00325D14">
        <w:trPr>
          <w:cantSplit/>
          <w:trHeight w:val="290"/>
          <w:tblHeader/>
          <w:jc w:val="center"/>
        </w:trPr>
        <w:tc>
          <w:tcPr>
            <w:tcW w:w="735" w:type="pct"/>
          </w:tcPr>
          <w:p w14:paraId="3E68D5EA"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0 jours civils</w:t>
            </w:r>
          </w:p>
        </w:tc>
        <w:tc>
          <w:tcPr>
            <w:tcW w:w="1073" w:type="pct"/>
          </w:tcPr>
          <w:p w14:paraId="56E34D0B"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c>
          <w:tcPr>
            <w:tcW w:w="1073" w:type="pct"/>
          </w:tcPr>
          <w:p w14:paraId="690F936F"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5AAECE69" w14:textId="77777777" w:rsidTr="00325D14">
        <w:trPr>
          <w:cantSplit/>
          <w:trHeight w:val="290"/>
          <w:tblHeader/>
          <w:jc w:val="center"/>
        </w:trPr>
        <w:tc>
          <w:tcPr>
            <w:tcW w:w="735" w:type="pct"/>
          </w:tcPr>
          <w:p w14:paraId="007F4216"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0 à 29 jours civils</w:t>
            </w:r>
          </w:p>
        </w:tc>
        <w:tc>
          <w:tcPr>
            <w:tcW w:w="1073" w:type="pct"/>
          </w:tcPr>
          <w:p w14:paraId="2D16FFC3"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13</w:t>
            </w:r>
          </w:p>
        </w:tc>
        <w:tc>
          <w:tcPr>
            <w:tcW w:w="1073" w:type="pct"/>
          </w:tcPr>
          <w:p w14:paraId="665EB767"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17041D0E" w14:textId="77777777" w:rsidTr="00325D14">
        <w:trPr>
          <w:cantSplit/>
          <w:trHeight w:val="290"/>
          <w:tblHeader/>
          <w:jc w:val="center"/>
        </w:trPr>
        <w:tc>
          <w:tcPr>
            <w:tcW w:w="735" w:type="pct"/>
          </w:tcPr>
          <w:p w14:paraId="7F316829"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30 à 59 jours civils</w:t>
            </w:r>
          </w:p>
        </w:tc>
        <w:tc>
          <w:tcPr>
            <w:tcW w:w="1073" w:type="pct"/>
          </w:tcPr>
          <w:p w14:paraId="2575DAD1"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106</w:t>
            </w:r>
          </w:p>
        </w:tc>
        <w:tc>
          <w:tcPr>
            <w:tcW w:w="1073" w:type="pct"/>
          </w:tcPr>
          <w:p w14:paraId="35584963"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w:t>
            </w:r>
          </w:p>
        </w:tc>
      </w:tr>
      <w:tr w:rsidR="00DA7821" w:rsidRPr="001442E2" w14:paraId="37979CE8" w14:textId="77777777" w:rsidTr="00325D14">
        <w:trPr>
          <w:cantSplit/>
          <w:trHeight w:val="290"/>
          <w:tblHeader/>
          <w:jc w:val="center"/>
        </w:trPr>
        <w:tc>
          <w:tcPr>
            <w:tcW w:w="735" w:type="pct"/>
          </w:tcPr>
          <w:p w14:paraId="13DB5D82"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60 à 89 jours civils</w:t>
            </w:r>
          </w:p>
        </w:tc>
        <w:tc>
          <w:tcPr>
            <w:tcW w:w="1073" w:type="pct"/>
          </w:tcPr>
          <w:p w14:paraId="619EF946"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256</w:t>
            </w:r>
          </w:p>
        </w:tc>
        <w:tc>
          <w:tcPr>
            <w:tcW w:w="1073" w:type="pct"/>
          </w:tcPr>
          <w:p w14:paraId="2ACDE359"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4</w:t>
            </w:r>
          </w:p>
        </w:tc>
      </w:tr>
      <w:tr w:rsidR="00DA7821" w:rsidRPr="001442E2" w14:paraId="16D33C12" w14:textId="77777777" w:rsidTr="00325D14">
        <w:trPr>
          <w:cantSplit/>
          <w:trHeight w:val="290"/>
          <w:tblHeader/>
          <w:jc w:val="center"/>
        </w:trPr>
        <w:tc>
          <w:tcPr>
            <w:tcW w:w="735" w:type="pct"/>
          </w:tcPr>
          <w:p w14:paraId="4E6B4660"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90 à 119 jours civils</w:t>
            </w:r>
          </w:p>
        </w:tc>
        <w:tc>
          <w:tcPr>
            <w:tcW w:w="1073" w:type="pct"/>
          </w:tcPr>
          <w:p w14:paraId="04779F67"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331</w:t>
            </w:r>
          </w:p>
        </w:tc>
        <w:tc>
          <w:tcPr>
            <w:tcW w:w="1073" w:type="pct"/>
          </w:tcPr>
          <w:p w14:paraId="7C2AF3AD"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9</w:t>
            </w:r>
          </w:p>
        </w:tc>
      </w:tr>
      <w:tr w:rsidR="00DA7821" w:rsidRPr="001442E2" w14:paraId="48A5AD33" w14:textId="77777777" w:rsidTr="00325D14">
        <w:trPr>
          <w:cantSplit/>
          <w:trHeight w:val="290"/>
          <w:tblHeader/>
          <w:jc w:val="center"/>
        </w:trPr>
        <w:tc>
          <w:tcPr>
            <w:tcW w:w="735" w:type="pct"/>
          </w:tcPr>
          <w:p w14:paraId="40B43AB5"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120 à 149 jours civils</w:t>
            </w:r>
          </w:p>
        </w:tc>
        <w:tc>
          <w:tcPr>
            <w:tcW w:w="1073" w:type="pct"/>
          </w:tcPr>
          <w:p w14:paraId="5D3D061F"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313</w:t>
            </w:r>
          </w:p>
        </w:tc>
        <w:tc>
          <w:tcPr>
            <w:tcW w:w="1073" w:type="pct"/>
          </w:tcPr>
          <w:p w14:paraId="0920C156"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2</w:t>
            </w:r>
          </w:p>
        </w:tc>
      </w:tr>
      <w:tr w:rsidR="00DA7821" w:rsidRPr="001442E2" w14:paraId="6D41DED0" w14:textId="77777777" w:rsidTr="00325D14">
        <w:trPr>
          <w:cantSplit/>
          <w:trHeight w:val="290"/>
          <w:tblHeader/>
          <w:jc w:val="center"/>
        </w:trPr>
        <w:tc>
          <w:tcPr>
            <w:tcW w:w="735" w:type="pct"/>
          </w:tcPr>
          <w:p w14:paraId="16F256C5"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150 à 179 jours civils</w:t>
            </w:r>
          </w:p>
        </w:tc>
        <w:tc>
          <w:tcPr>
            <w:tcW w:w="1073" w:type="pct"/>
          </w:tcPr>
          <w:p w14:paraId="69F783DA"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314</w:t>
            </w:r>
          </w:p>
        </w:tc>
        <w:tc>
          <w:tcPr>
            <w:tcW w:w="1073" w:type="pct"/>
          </w:tcPr>
          <w:p w14:paraId="578A3C8D"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6</w:t>
            </w:r>
          </w:p>
        </w:tc>
      </w:tr>
      <w:tr w:rsidR="00DA7821" w:rsidRPr="001442E2" w14:paraId="57905C9F" w14:textId="77777777" w:rsidTr="00325D14">
        <w:trPr>
          <w:cantSplit/>
          <w:trHeight w:val="290"/>
          <w:tblHeader/>
          <w:jc w:val="center"/>
        </w:trPr>
        <w:tc>
          <w:tcPr>
            <w:tcW w:w="735" w:type="pct"/>
          </w:tcPr>
          <w:p w14:paraId="130DB97E"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180 à 209 jours civils</w:t>
            </w:r>
          </w:p>
        </w:tc>
        <w:tc>
          <w:tcPr>
            <w:tcW w:w="1073" w:type="pct"/>
          </w:tcPr>
          <w:p w14:paraId="1091C7DB"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258</w:t>
            </w:r>
          </w:p>
        </w:tc>
        <w:tc>
          <w:tcPr>
            <w:tcW w:w="1073" w:type="pct"/>
          </w:tcPr>
          <w:p w14:paraId="43ACCF0F"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5</w:t>
            </w:r>
          </w:p>
        </w:tc>
      </w:tr>
      <w:tr w:rsidR="00DA7821" w:rsidRPr="001442E2" w14:paraId="6F0BC38D" w14:textId="77777777" w:rsidTr="00325D14">
        <w:trPr>
          <w:cantSplit/>
          <w:trHeight w:val="290"/>
          <w:tblHeader/>
          <w:jc w:val="center"/>
        </w:trPr>
        <w:tc>
          <w:tcPr>
            <w:tcW w:w="735" w:type="pct"/>
          </w:tcPr>
          <w:p w14:paraId="583E285C"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210 à 239 jours civils</w:t>
            </w:r>
          </w:p>
        </w:tc>
        <w:tc>
          <w:tcPr>
            <w:tcW w:w="1073" w:type="pct"/>
          </w:tcPr>
          <w:p w14:paraId="639F4123"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191</w:t>
            </w:r>
          </w:p>
        </w:tc>
        <w:tc>
          <w:tcPr>
            <w:tcW w:w="1073" w:type="pct"/>
          </w:tcPr>
          <w:p w14:paraId="6F92D53F"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5</w:t>
            </w:r>
          </w:p>
        </w:tc>
      </w:tr>
      <w:tr w:rsidR="00DA7821" w:rsidRPr="001442E2" w14:paraId="6C9198FB" w14:textId="77777777" w:rsidTr="00325D14">
        <w:trPr>
          <w:cantSplit/>
          <w:trHeight w:val="290"/>
          <w:tblHeader/>
          <w:jc w:val="center"/>
        </w:trPr>
        <w:tc>
          <w:tcPr>
            <w:tcW w:w="735" w:type="pct"/>
          </w:tcPr>
          <w:p w14:paraId="3159E731"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240 à 269 jours civils</w:t>
            </w:r>
          </w:p>
        </w:tc>
        <w:tc>
          <w:tcPr>
            <w:tcW w:w="1073" w:type="pct"/>
          </w:tcPr>
          <w:p w14:paraId="61071D16"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143</w:t>
            </w:r>
          </w:p>
        </w:tc>
        <w:tc>
          <w:tcPr>
            <w:tcW w:w="1073" w:type="pct"/>
          </w:tcPr>
          <w:p w14:paraId="68F3D079"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5</w:t>
            </w:r>
          </w:p>
        </w:tc>
      </w:tr>
      <w:tr w:rsidR="00DA7821" w:rsidRPr="001442E2" w14:paraId="3D0768F8" w14:textId="77777777" w:rsidTr="00325D14">
        <w:trPr>
          <w:cantSplit/>
          <w:trHeight w:val="290"/>
          <w:tblHeader/>
          <w:jc w:val="center"/>
        </w:trPr>
        <w:tc>
          <w:tcPr>
            <w:tcW w:w="735" w:type="pct"/>
          </w:tcPr>
          <w:p w14:paraId="28A6CC06"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270 à 299 jours civils</w:t>
            </w:r>
          </w:p>
        </w:tc>
        <w:tc>
          <w:tcPr>
            <w:tcW w:w="1073" w:type="pct"/>
          </w:tcPr>
          <w:p w14:paraId="21EDB8F4"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109</w:t>
            </w:r>
          </w:p>
        </w:tc>
        <w:tc>
          <w:tcPr>
            <w:tcW w:w="1073" w:type="pct"/>
          </w:tcPr>
          <w:p w14:paraId="37DD3A03"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3</w:t>
            </w:r>
          </w:p>
        </w:tc>
      </w:tr>
      <w:tr w:rsidR="00DA7821" w:rsidRPr="001442E2" w14:paraId="077B4C74" w14:textId="77777777" w:rsidTr="00325D14">
        <w:trPr>
          <w:cantSplit/>
          <w:trHeight w:val="290"/>
          <w:tblHeader/>
          <w:jc w:val="center"/>
        </w:trPr>
        <w:tc>
          <w:tcPr>
            <w:tcW w:w="735" w:type="pct"/>
          </w:tcPr>
          <w:p w14:paraId="6052D0CD"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300 à 329 jours civils</w:t>
            </w:r>
          </w:p>
        </w:tc>
        <w:tc>
          <w:tcPr>
            <w:tcW w:w="1073" w:type="pct"/>
          </w:tcPr>
          <w:p w14:paraId="64213917"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91</w:t>
            </w:r>
          </w:p>
        </w:tc>
        <w:tc>
          <w:tcPr>
            <w:tcW w:w="1073" w:type="pct"/>
          </w:tcPr>
          <w:p w14:paraId="6998016B"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w:t>
            </w:r>
          </w:p>
        </w:tc>
      </w:tr>
      <w:tr w:rsidR="00DA7821" w:rsidRPr="001442E2" w14:paraId="1B249104" w14:textId="77777777" w:rsidTr="00325D14">
        <w:trPr>
          <w:cantSplit/>
          <w:trHeight w:val="290"/>
          <w:tblHeader/>
          <w:jc w:val="center"/>
        </w:trPr>
        <w:tc>
          <w:tcPr>
            <w:tcW w:w="735" w:type="pct"/>
          </w:tcPr>
          <w:p w14:paraId="2030A4CE"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330 à 359 jours civils</w:t>
            </w:r>
          </w:p>
        </w:tc>
        <w:tc>
          <w:tcPr>
            <w:tcW w:w="1073" w:type="pct"/>
          </w:tcPr>
          <w:p w14:paraId="052F4230"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70</w:t>
            </w:r>
          </w:p>
        </w:tc>
        <w:tc>
          <w:tcPr>
            <w:tcW w:w="1073" w:type="pct"/>
          </w:tcPr>
          <w:p w14:paraId="010AECA1"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w:t>
            </w:r>
          </w:p>
        </w:tc>
      </w:tr>
      <w:tr w:rsidR="00DA7821" w:rsidRPr="001442E2" w14:paraId="1D7FEDAC" w14:textId="77777777" w:rsidTr="00325D14">
        <w:trPr>
          <w:cantSplit/>
          <w:trHeight w:val="290"/>
          <w:tblHeader/>
          <w:jc w:val="center"/>
        </w:trPr>
        <w:tc>
          <w:tcPr>
            <w:tcW w:w="735" w:type="pct"/>
          </w:tcPr>
          <w:p w14:paraId="64DC0697"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360 à 389 jours civils</w:t>
            </w:r>
          </w:p>
        </w:tc>
        <w:tc>
          <w:tcPr>
            <w:tcW w:w="1073" w:type="pct"/>
          </w:tcPr>
          <w:p w14:paraId="67F5C6C7"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49</w:t>
            </w:r>
          </w:p>
        </w:tc>
        <w:tc>
          <w:tcPr>
            <w:tcW w:w="1073" w:type="pct"/>
          </w:tcPr>
          <w:p w14:paraId="5AD7A273"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2</w:t>
            </w:r>
          </w:p>
        </w:tc>
      </w:tr>
      <w:tr w:rsidR="00DA7821" w:rsidRPr="001442E2" w14:paraId="1599A119" w14:textId="77777777" w:rsidTr="00325D14">
        <w:trPr>
          <w:cantSplit/>
          <w:trHeight w:val="290"/>
          <w:tblHeader/>
          <w:jc w:val="center"/>
        </w:trPr>
        <w:tc>
          <w:tcPr>
            <w:tcW w:w="735" w:type="pct"/>
          </w:tcPr>
          <w:p w14:paraId="4FCD956F"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390 à 419 jours civils</w:t>
            </w:r>
          </w:p>
        </w:tc>
        <w:tc>
          <w:tcPr>
            <w:tcW w:w="1073" w:type="pct"/>
          </w:tcPr>
          <w:p w14:paraId="1CEA94C6"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43</w:t>
            </w:r>
          </w:p>
        </w:tc>
        <w:tc>
          <w:tcPr>
            <w:tcW w:w="1073" w:type="pct"/>
          </w:tcPr>
          <w:p w14:paraId="6E5A3469"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3</w:t>
            </w:r>
          </w:p>
        </w:tc>
      </w:tr>
      <w:tr w:rsidR="00DA7821" w:rsidRPr="001442E2" w14:paraId="6778C040" w14:textId="77777777" w:rsidTr="00325D14">
        <w:trPr>
          <w:cantSplit/>
          <w:trHeight w:val="290"/>
          <w:tblHeader/>
          <w:jc w:val="center"/>
        </w:trPr>
        <w:tc>
          <w:tcPr>
            <w:tcW w:w="735" w:type="pct"/>
          </w:tcPr>
          <w:p w14:paraId="41C606C9"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420 à 449 jours civils</w:t>
            </w:r>
          </w:p>
        </w:tc>
        <w:tc>
          <w:tcPr>
            <w:tcW w:w="1073" w:type="pct"/>
          </w:tcPr>
          <w:p w14:paraId="64FF2A87"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41</w:t>
            </w:r>
          </w:p>
        </w:tc>
        <w:tc>
          <w:tcPr>
            <w:tcW w:w="1073" w:type="pct"/>
          </w:tcPr>
          <w:p w14:paraId="2C0F7142"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w:t>
            </w:r>
          </w:p>
        </w:tc>
      </w:tr>
      <w:tr w:rsidR="00DA7821" w:rsidRPr="001442E2" w14:paraId="67955B5F" w14:textId="77777777" w:rsidTr="00325D14">
        <w:trPr>
          <w:cantSplit/>
          <w:trHeight w:val="290"/>
          <w:tblHeader/>
          <w:jc w:val="center"/>
        </w:trPr>
        <w:tc>
          <w:tcPr>
            <w:tcW w:w="735" w:type="pct"/>
          </w:tcPr>
          <w:p w14:paraId="1E7437D6"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450 à 479 jours civils</w:t>
            </w:r>
          </w:p>
        </w:tc>
        <w:tc>
          <w:tcPr>
            <w:tcW w:w="1073" w:type="pct"/>
          </w:tcPr>
          <w:p w14:paraId="6B8EC563"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36</w:t>
            </w:r>
          </w:p>
        </w:tc>
        <w:tc>
          <w:tcPr>
            <w:tcW w:w="1073" w:type="pct"/>
          </w:tcPr>
          <w:p w14:paraId="5F374D17"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w:t>
            </w:r>
          </w:p>
        </w:tc>
      </w:tr>
      <w:tr w:rsidR="00DA7821" w:rsidRPr="001442E2" w14:paraId="5941EFBD" w14:textId="77777777" w:rsidTr="00325D14">
        <w:trPr>
          <w:cantSplit/>
          <w:trHeight w:val="290"/>
          <w:tblHeader/>
          <w:jc w:val="center"/>
        </w:trPr>
        <w:tc>
          <w:tcPr>
            <w:tcW w:w="735" w:type="pct"/>
          </w:tcPr>
          <w:p w14:paraId="67DF3A8E"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480 à 509 jours civils</w:t>
            </w:r>
          </w:p>
        </w:tc>
        <w:tc>
          <w:tcPr>
            <w:tcW w:w="1073" w:type="pct"/>
          </w:tcPr>
          <w:p w14:paraId="79D63AC4"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20</w:t>
            </w:r>
          </w:p>
        </w:tc>
        <w:tc>
          <w:tcPr>
            <w:tcW w:w="1073" w:type="pct"/>
          </w:tcPr>
          <w:p w14:paraId="2A996199"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4D192D07" w14:textId="77777777" w:rsidTr="00325D14">
        <w:trPr>
          <w:cantSplit/>
          <w:trHeight w:val="290"/>
          <w:tblHeader/>
          <w:jc w:val="center"/>
        </w:trPr>
        <w:tc>
          <w:tcPr>
            <w:tcW w:w="735" w:type="pct"/>
          </w:tcPr>
          <w:p w14:paraId="51971899"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 xml:space="preserve">510 à 539 jours civils </w:t>
            </w:r>
          </w:p>
        </w:tc>
        <w:tc>
          <w:tcPr>
            <w:tcW w:w="1073" w:type="pct"/>
          </w:tcPr>
          <w:p w14:paraId="2C9797D9"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15</w:t>
            </w:r>
          </w:p>
        </w:tc>
        <w:tc>
          <w:tcPr>
            <w:tcW w:w="1073" w:type="pct"/>
          </w:tcPr>
          <w:p w14:paraId="4EA939BF"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1DAEEC26" w14:textId="77777777" w:rsidTr="00325D14">
        <w:trPr>
          <w:cantSplit/>
          <w:trHeight w:val="290"/>
          <w:tblHeader/>
          <w:jc w:val="center"/>
        </w:trPr>
        <w:tc>
          <w:tcPr>
            <w:tcW w:w="735" w:type="pct"/>
          </w:tcPr>
          <w:p w14:paraId="59E13ACF"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540 à 569 jours civils</w:t>
            </w:r>
          </w:p>
        </w:tc>
        <w:tc>
          <w:tcPr>
            <w:tcW w:w="1073" w:type="pct"/>
          </w:tcPr>
          <w:p w14:paraId="309A0C2A"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23</w:t>
            </w:r>
          </w:p>
        </w:tc>
        <w:tc>
          <w:tcPr>
            <w:tcW w:w="1073" w:type="pct"/>
          </w:tcPr>
          <w:p w14:paraId="20D16F7E"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w:t>
            </w:r>
          </w:p>
        </w:tc>
      </w:tr>
      <w:tr w:rsidR="00DA7821" w:rsidRPr="001442E2" w14:paraId="3C3D6A23" w14:textId="77777777" w:rsidTr="00325D14">
        <w:trPr>
          <w:cantSplit/>
          <w:trHeight w:val="290"/>
          <w:tblHeader/>
          <w:jc w:val="center"/>
        </w:trPr>
        <w:tc>
          <w:tcPr>
            <w:tcW w:w="735" w:type="pct"/>
          </w:tcPr>
          <w:p w14:paraId="5AA62A32"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570 à 599 jours civils</w:t>
            </w:r>
          </w:p>
        </w:tc>
        <w:tc>
          <w:tcPr>
            <w:tcW w:w="1073" w:type="pct"/>
          </w:tcPr>
          <w:p w14:paraId="33ADA970"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20</w:t>
            </w:r>
          </w:p>
        </w:tc>
        <w:tc>
          <w:tcPr>
            <w:tcW w:w="1073" w:type="pct"/>
          </w:tcPr>
          <w:p w14:paraId="284A0F65"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1E1F822A" w14:textId="77777777" w:rsidTr="00325D14">
        <w:trPr>
          <w:cantSplit/>
          <w:trHeight w:val="290"/>
          <w:tblHeader/>
          <w:jc w:val="center"/>
        </w:trPr>
        <w:tc>
          <w:tcPr>
            <w:tcW w:w="735" w:type="pct"/>
          </w:tcPr>
          <w:p w14:paraId="1B1D8F64"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600 à 629 jours civils</w:t>
            </w:r>
          </w:p>
        </w:tc>
        <w:tc>
          <w:tcPr>
            <w:tcW w:w="1073" w:type="pct"/>
          </w:tcPr>
          <w:p w14:paraId="5812BE87"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18</w:t>
            </w:r>
          </w:p>
        </w:tc>
        <w:tc>
          <w:tcPr>
            <w:tcW w:w="1073" w:type="pct"/>
          </w:tcPr>
          <w:p w14:paraId="62241AA8"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0AF00784" w14:textId="77777777" w:rsidTr="00325D14">
        <w:trPr>
          <w:cantSplit/>
          <w:trHeight w:val="290"/>
          <w:tblHeader/>
          <w:jc w:val="center"/>
        </w:trPr>
        <w:tc>
          <w:tcPr>
            <w:tcW w:w="735" w:type="pct"/>
          </w:tcPr>
          <w:p w14:paraId="39D144A6"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630 à 659 jours civils</w:t>
            </w:r>
          </w:p>
        </w:tc>
        <w:tc>
          <w:tcPr>
            <w:tcW w:w="1073" w:type="pct"/>
          </w:tcPr>
          <w:p w14:paraId="2C436168"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11</w:t>
            </w:r>
          </w:p>
        </w:tc>
        <w:tc>
          <w:tcPr>
            <w:tcW w:w="1073" w:type="pct"/>
          </w:tcPr>
          <w:p w14:paraId="2FFCA91A"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41583F9A" w14:textId="77777777" w:rsidTr="00325D14">
        <w:trPr>
          <w:cantSplit/>
          <w:trHeight w:val="290"/>
          <w:tblHeader/>
          <w:jc w:val="center"/>
        </w:trPr>
        <w:tc>
          <w:tcPr>
            <w:tcW w:w="735" w:type="pct"/>
          </w:tcPr>
          <w:p w14:paraId="355D07DA"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660 à 689 jours civils</w:t>
            </w:r>
          </w:p>
        </w:tc>
        <w:tc>
          <w:tcPr>
            <w:tcW w:w="1073" w:type="pct"/>
          </w:tcPr>
          <w:p w14:paraId="4D03192D"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15</w:t>
            </w:r>
          </w:p>
        </w:tc>
        <w:tc>
          <w:tcPr>
            <w:tcW w:w="1073" w:type="pct"/>
          </w:tcPr>
          <w:p w14:paraId="0AE9AB2B"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56BA5BD6" w14:textId="77777777" w:rsidTr="00325D14">
        <w:trPr>
          <w:cantSplit/>
          <w:trHeight w:val="290"/>
          <w:tblHeader/>
          <w:jc w:val="center"/>
        </w:trPr>
        <w:tc>
          <w:tcPr>
            <w:tcW w:w="735" w:type="pct"/>
          </w:tcPr>
          <w:p w14:paraId="718CCC83"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690 à 719 jours civils</w:t>
            </w:r>
          </w:p>
        </w:tc>
        <w:tc>
          <w:tcPr>
            <w:tcW w:w="1073" w:type="pct"/>
          </w:tcPr>
          <w:p w14:paraId="418EA810"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6</w:t>
            </w:r>
          </w:p>
        </w:tc>
        <w:tc>
          <w:tcPr>
            <w:tcW w:w="1073" w:type="pct"/>
          </w:tcPr>
          <w:p w14:paraId="18D24C00"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4654172F" w14:textId="77777777" w:rsidTr="00325D14">
        <w:trPr>
          <w:cantSplit/>
          <w:trHeight w:val="302"/>
          <w:tblHeader/>
          <w:jc w:val="center"/>
        </w:trPr>
        <w:tc>
          <w:tcPr>
            <w:tcW w:w="735" w:type="pct"/>
          </w:tcPr>
          <w:p w14:paraId="466217A7"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720 à 749 jours civils</w:t>
            </w:r>
          </w:p>
        </w:tc>
        <w:tc>
          <w:tcPr>
            <w:tcW w:w="1073" w:type="pct"/>
          </w:tcPr>
          <w:p w14:paraId="3C32459F"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11</w:t>
            </w:r>
          </w:p>
        </w:tc>
        <w:tc>
          <w:tcPr>
            <w:tcW w:w="1073" w:type="pct"/>
          </w:tcPr>
          <w:p w14:paraId="6FA5CA70"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w:t>
            </w:r>
          </w:p>
        </w:tc>
      </w:tr>
      <w:tr w:rsidR="00DA7821" w:rsidRPr="001442E2" w14:paraId="478FCCCB" w14:textId="77777777" w:rsidTr="00325D14">
        <w:trPr>
          <w:cantSplit/>
          <w:trHeight w:val="290"/>
          <w:tblHeader/>
          <w:jc w:val="center"/>
        </w:trPr>
        <w:tc>
          <w:tcPr>
            <w:tcW w:w="735" w:type="pct"/>
          </w:tcPr>
          <w:p w14:paraId="230A4084"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750 à 779 jours civils</w:t>
            </w:r>
          </w:p>
        </w:tc>
        <w:tc>
          <w:tcPr>
            <w:tcW w:w="1073" w:type="pct"/>
          </w:tcPr>
          <w:p w14:paraId="5B59C4A5"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6</w:t>
            </w:r>
          </w:p>
        </w:tc>
        <w:tc>
          <w:tcPr>
            <w:tcW w:w="1073" w:type="pct"/>
          </w:tcPr>
          <w:p w14:paraId="1DD9CCBA"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2B03C8CE" w14:textId="77777777" w:rsidTr="00325D14">
        <w:trPr>
          <w:cantSplit/>
          <w:trHeight w:val="290"/>
          <w:tblHeader/>
          <w:jc w:val="center"/>
        </w:trPr>
        <w:tc>
          <w:tcPr>
            <w:tcW w:w="735" w:type="pct"/>
          </w:tcPr>
          <w:p w14:paraId="72B05DB0"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780 à 809 jours civils</w:t>
            </w:r>
          </w:p>
        </w:tc>
        <w:tc>
          <w:tcPr>
            <w:tcW w:w="1073" w:type="pct"/>
          </w:tcPr>
          <w:p w14:paraId="73070FE3"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5</w:t>
            </w:r>
          </w:p>
        </w:tc>
        <w:tc>
          <w:tcPr>
            <w:tcW w:w="1073" w:type="pct"/>
          </w:tcPr>
          <w:p w14:paraId="70F9677B"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5D100618" w14:textId="77777777" w:rsidTr="00325D14">
        <w:trPr>
          <w:cantSplit/>
          <w:trHeight w:val="290"/>
          <w:tblHeader/>
          <w:jc w:val="center"/>
        </w:trPr>
        <w:tc>
          <w:tcPr>
            <w:tcW w:w="735" w:type="pct"/>
          </w:tcPr>
          <w:p w14:paraId="4B3B48B3"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810 à 839 jours civils</w:t>
            </w:r>
          </w:p>
        </w:tc>
        <w:tc>
          <w:tcPr>
            <w:tcW w:w="1073" w:type="pct"/>
          </w:tcPr>
          <w:p w14:paraId="3C60C7E8"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6</w:t>
            </w:r>
          </w:p>
        </w:tc>
        <w:tc>
          <w:tcPr>
            <w:tcW w:w="1073" w:type="pct"/>
          </w:tcPr>
          <w:p w14:paraId="67E1D0B1"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108C5735" w14:textId="77777777" w:rsidTr="00325D14">
        <w:trPr>
          <w:cantSplit/>
          <w:trHeight w:val="290"/>
          <w:tblHeader/>
          <w:jc w:val="center"/>
        </w:trPr>
        <w:tc>
          <w:tcPr>
            <w:tcW w:w="735" w:type="pct"/>
          </w:tcPr>
          <w:p w14:paraId="4AC6A0DB"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840 à 869 jours civils</w:t>
            </w:r>
          </w:p>
        </w:tc>
        <w:tc>
          <w:tcPr>
            <w:tcW w:w="1073" w:type="pct"/>
          </w:tcPr>
          <w:p w14:paraId="4115DF1B"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10</w:t>
            </w:r>
          </w:p>
        </w:tc>
        <w:tc>
          <w:tcPr>
            <w:tcW w:w="1073" w:type="pct"/>
          </w:tcPr>
          <w:p w14:paraId="7F1CD7B6"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228BED92" w14:textId="77777777" w:rsidTr="00325D14">
        <w:trPr>
          <w:cantSplit/>
          <w:trHeight w:val="290"/>
          <w:tblHeader/>
          <w:jc w:val="center"/>
        </w:trPr>
        <w:tc>
          <w:tcPr>
            <w:tcW w:w="735" w:type="pct"/>
          </w:tcPr>
          <w:p w14:paraId="72FA49EB"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870 à 899 jours civils</w:t>
            </w:r>
          </w:p>
        </w:tc>
        <w:tc>
          <w:tcPr>
            <w:tcW w:w="1073" w:type="pct"/>
          </w:tcPr>
          <w:p w14:paraId="06F2A905"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1</w:t>
            </w:r>
          </w:p>
        </w:tc>
        <w:tc>
          <w:tcPr>
            <w:tcW w:w="1073" w:type="pct"/>
          </w:tcPr>
          <w:p w14:paraId="264AE6FB"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43C2801A" w14:textId="77777777" w:rsidTr="00325D14">
        <w:trPr>
          <w:cantSplit/>
          <w:trHeight w:val="290"/>
          <w:tblHeader/>
          <w:jc w:val="center"/>
        </w:trPr>
        <w:tc>
          <w:tcPr>
            <w:tcW w:w="735" w:type="pct"/>
          </w:tcPr>
          <w:p w14:paraId="6D25D154"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900 à 929 jours civils</w:t>
            </w:r>
          </w:p>
        </w:tc>
        <w:tc>
          <w:tcPr>
            <w:tcW w:w="1073" w:type="pct"/>
          </w:tcPr>
          <w:p w14:paraId="5EDC74CE"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4</w:t>
            </w:r>
          </w:p>
        </w:tc>
        <w:tc>
          <w:tcPr>
            <w:tcW w:w="1073" w:type="pct"/>
          </w:tcPr>
          <w:p w14:paraId="4A79F540"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7BD80679" w14:textId="77777777" w:rsidTr="00325D14">
        <w:trPr>
          <w:cantSplit/>
          <w:trHeight w:val="290"/>
          <w:tblHeader/>
          <w:jc w:val="center"/>
        </w:trPr>
        <w:tc>
          <w:tcPr>
            <w:tcW w:w="735" w:type="pct"/>
          </w:tcPr>
          <w:p w14:paraId="17B935D9"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930 à 959 jours civils</w:t>
            </w:r>
          </w:p>
        </w:tc>
        <w:tc>
          <w:tcPr>
            <w:tcW w:w="1073" w:type="pct"/>
          </w:tcPr>
          <w:p w14:paraId="3753757D"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5</w:t>
            </w:r>
          </w:p>
        </w:tc>
        <w:tc>
          <w:tcPr>
            <w:tcW w:w="1073" w:type="pct"/>
          </w:tcPr>
          <w:p w14:paraId="17CF03F8"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48B932F9" w14:textId="77777777" w:rsidTr="00325D14">
        <w:trPr>
          <w:cantSplit/>
          <w:trHeight w:val="290"/>
          <w:tblHeader/>
          <w:jc w:val="center"/>
        </w:trPr>
        <w:tc>
          <w:tcPr>
            <w:tcW w:w="735" w:type="pct"/>
          </w:tcPr>
          <w:p w14:paraId="297D57CE"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960 à 989 jours civils</w:t>
            </w:r>
          </w:p>
        </w:tc>
        <w:tc>
          <w:tcPr>
            <w:tcW w:w="1073" w:type="pct"/>
          </w:tcPr>
          <w:p w14:paraId="489E3973"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4</w:t>
            </w:r>
          </w:p>
        </w:tc>
        <w:tc>
          <w:tcPr>
            <w:tcW w:w="1073" w:type="pct"/>
          </w:tcPr>
          <w:p w14:paraId="790ED2C8"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r w:rsidR="00DA7821" w:rsidRPr="001442E2" w14:paraId="79145E48" w14:textId="77777777" w:rsidTr="00325D14">
        <w:trPr>
          <w:cantSplit/>
          <w:trHeight w:val="290"/>
          <w:tblHeader/>
          <w:jc w:val="center"/>
        </w:trPr>
        <w:tc>
          <w:tcPr>
            <w:tcW w:w="735" w:type="pct"/>
          </w:tcPr>
          <w:p w14:paraId="03E55F17" w14:textId="77777777" w:rsidR="00DA7821" w:rsidRPr="00325D14" w:rsidRDefault="00DA7821" w:rsidP="00325D14">
            <w:pPr>
              <w:autoSpaceDE w:val="0"/>
              <w:autoSpaceDN w:val="0"/>
              <w:adjustRightInd w:val="0"/>
              <w:rPr>
                <w:rFonts w:asciiTheme="minorHAnsi" w:hAnsiTheme="minorHAnsi" w:cstheme="minorHAnsi"/>
                <w:color w:val="000000"/>
                <w:sz w:val="22"/>
                <w:szCs w:val="22"/>
              </w:rPr>
            </w:pPr>
            <w:r w:rsidRPr="00325D14">
              <w:rPr>
                <w:rFonts w:asciiTheme="minorHAnsi" w:hAnsiTheme="minorHAnsi" w:cstheme="minorHAnsi"/>
                <w:color w:val="000000"/>
                <w:sz w:val="22"/>
                <w:szCs w:val="22"/>
              </w:rPr>
              <w:t>Plus de 990 jours civils</w:t>
            </w:r>
          </w:p>
        </w:tc>
        <w:tc>
          <w:tcPr>
            <w:tcW w:w="1073" w:type="pct"/>
          </w:tcPr>
          <w:p w14:paraId="117DA6A9"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43</w:t>
            </w:r>
          </w:p>
        </w:tc>
        <w:tc>
          <w:tcPr>
            <w:tcW w:w="1073" w:type="pct"/>
          </w:tcPr>
          <w:p w14:paraId="1C6F68CE" w14:textId="77777777" w:rsidR="00DA7821" w:rsidRPr="00325D14" w:rsidRDefault="00DA7821" w:rsidP="00325D14">
            <w:pPr>
              <w:autoSpaceDE w:val="0"/>
              <w:autoSpaceDN w:val="0"/>
              <w:adjustRightInd w:val="0"/>
              <w:jc w:val="center"/>
              <w:rPr>
                <w:rFonts w:asciiTheme="minorHAnsi" w:hAnsiTheme="minorHAnsi" w:cstheme="minorHAnsi"/>
                <w:color w:val="000000"/>
                <w:sz w:val="22"/>
                <w:szCs w:val="22"/>
              </w:rPr>
            </w:pPr>
            <w:r w:rsidRPr="00325D14">
              <w:rPr>
                <w:rFonts w:asciiTheme="minorHAnsi" w:hAnsiTheme="minorHAnsi" w:cstheme="minorHAnsi"/>
                <w:color w:val="000000"/>
                <w:sz w:val="22"/>
                <w:szCs w:val="22"/>
              </w:rPr>
              <w:t>0</w:t>
            </w:r>
          </w:p>
        </w:tc>
      </w:tr>
    </w:tbl>
    <w:p w14:paraId="176452DD" w14:textId="77777777" w:rsidR="00325D14" w:rsidRDefault="00325D14">
      <w:pPr>
        <w:spacing w:after="160" w:line="259" w:lineRule="auto"/>
        <w:sectPr w:rsidR="00325D14" w:rsidSect="00325D14">
          <w:pgSz w:w="12240" w:h="20160" w:code="5"/>
          <w:pgMar w:top="720" w:right="720" w:bottom="720" w:left="720" w:header="709" w:footer="284" w:gutter="0"/>
          <w:cols w:space="708"/>
          <w:titlePg/>
          <w:docGrid w:linePitch="360"/>
        </w:sectPr>
      </w:pPr>
    </w:p>
    <w:p w14:paraId="22F79672" w14:textId="4BA7E26A" w:rsidR="00DA7821" w:rsidRPr="00325D14" w:rsidRDefault="00325D14" w:rsidP="00325D14">
      <w:pPr>
        <w:pStyle w:val="Heading1"/>
        <w:spacing w:before="120"/>
        <w:rPr>
          <w:sz w:val="40"/>
          <w:szCs w:val="40"/>
        </w:rPr>
      </w:pPr>
      <w:r w:rsidRPr="00325D14">
        <w:rPr>
          <w:sz w:val="40"/>
          <w:szCs w:val="40"/>
        </w:rPr>
        <w:lastRenderedPageBreak/>
        <w:t>Durée de dotation externe</w:t>
      </w:r>
    </w:p>
    <w:p w14:paraId="1EB0CEF3" w14:textId="77777777" w:rsidR="00325D14" w:rsidRDefault="00DA7821" w:rsidP="00325D14">
      <w:pPr>
        <w:keepNext/>
      </w:pPr>
      <w:r w:rsidRPr="006E11FB">
        <w:rPr>
          <w:noProof/>
          <w:lang w:eastAsia="en-CA"/>
        </w:rPr>
        <w:drawing>
          <wp:inline distT="0" distB="0" distL="0" distR="0" wp14:anchorId="6367263D" wp14:editId="3EB615AB">
            <wp:extent cx="5648400" cy="3049200"/>
            <wp:effectExtent l="0" t="0" r="9525" b="18415"/>
            <wp:docPr id="21" name="Chart 21" descr="Durée de dotation externe Médiane pour la fonction publique = 203 jours. 2019-202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325D14" w:rsidRPr="006E11FB">
        <w:rPr>
          <w:noProof/>
          <w:lang w:eastAsia="en-CA"/>
        </w:rPr>
        <w:drawing>
          <wp:inline distT="0" distB="0" distL="0" distR="0" wp14:anchorId="768A2878" wp14:editId="454EC9F3">
            <wp:extent cx="5648400" cy="3049200"/>
            <wp:effectExtent l="0" t="0" r="9525" b="18415"/>
            <wp:docPr id="6" name="Chart 6" descr="Durée de dotation externe - Médiane pour Médiane pour les Ressources naturelles = 205 jours, 2019-202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9539EE3" w14:textId="706A21CC" w:rsidR="00325D14" w:rsidRPr="00325D14" w:rsidRDefault="00325D14" w:rsidP="00325D14">
      <w:pPr>
        <w:pStyle w:val="Caption"/>
        <w:tabs>
          <w:tab w:val="left" w:pos="8930"/>
        </w:tabs>
        <w:spacing w:after="0"/>
        <w:rPr>
          <w:rFonts w:asciiTheme="minorHAnsi" w:hAnsiTheme="minorHAnsi" w:cstheme="minorHAnsi"/>
          <w:i w:val="0"/>
          <w:iCs w:val="0"/>
          <w:color w:val="auto"/>
        </w:rPr>
      </w:pPr>
      <w:r w:rsidRPr="00325D14">
        <w:rPr>
          <w:rFonts w:asciiTheme="minorHAnsi" w:hAnsiTheme="minorHAnsi" w:cstheme="minorHAnsi"/>
          <w:i w:val="0"/>
          <w:iCs w:val="0"/>
          <w:color w:val="auto"/>
        </w:rPr>
        <w:t xml:space="preserve">Figure </w:t>
      </w:r>
      <w:r w:rsidRPr="00325D14">
        <w:rPr>
          <w:rFonts w:asciiTheme="minorHAnsi" w:hAnsiTheme="minorHAnsi" w:cstheme="minorHAnsi"/>
          <w:i w:val="0"/>
          <w:iCs w:val="0"/>
          <w:color w:val="auto"/>
        </w:rPr>
        <w:fldChar w:fldCharType="begin"/>
      </w:r>
      <w:r w:rsidRPr="00325D14">
        <w:rPr>
          <w:rFonts w:asciiTheme="minorHAnsi" w:hAnsiTheme="minorHAnsi" w:cstheme="minorHAnsi"/>
          <w:i w:val="0"/>
          <w:iCs w:val="0"/>
          <w:color w:val="auto"/>
        </w:rPr>
        <w:instrText xml:space="preserve"> SEQ Figure \* ARABIC </w:instrText>
      </w:r>
      <w:r w:rsidRPr="00325D14">
        <w:rPr>
          <w:rFonts w:asciiTheme="minorHAnsi" w:hAnsiTheme="minorHAnsi" w:cstheme="minorHAnsi"/>
          <w:i w:val="0"/>
          <w:iCs w:val="0"/>
          <w:color w:val="auto"/>
        </w:rPr>
        <w:fldChar w:fldCharType="separate"/>
      </w:r>
      <w:r w:rsidRPr="00325D14">
        <w:rPr>
          <w:rFonts w:asciiTheme="minorHAnsi" w:hAnsiTheme="minorHAnsi" w:cstheme="minorHAnsi"/>
          <w:i w:val="0"/>
          <w:iCs w:val="0"/>
          <w:noProof/>
          <w:color w:val="auto"/>
        </w:rPr>
        <w:t>14</w:t>
      </w:r>
      <w:r w:rsidRPr="00325D14">
        <w:rPr>
          <w:rFonts w:asciiTheme="minorHAnsi" w:hAnsiTheme="minorHAnsi" w:cstheme="minorHAnsi"/>
          <w:i w:val="0"/>
          <w:iCs w:val="0"/>
          <w:color w:val="auto"/>
        </w:rPr>
        <w:fldChar w:fldCharType="end"/>
      </w:r>
      <w:r w:rsidRPr="00325D14">
        <w:rPr>
          <w:rFonts w:asciiTheme="minorHAnsi" w:hAnsiTheme="minorHAnsi" w:cstheme="minorHAnsi"/>
          <w:i w:val="0"/>
          <w:iCs w:val="0"/>
          <w:color w:val="auto"/>
        </w:rPr>
        <w:t xml:space="preserve"> - Durée de dotation externe - Médiane pour la fonction publique = 203 jours, 2019-2020</w:t>
      </w:r>
      <w:r w:rsidRPr="00325D14">
        <w:rPr>
          <w:rFonts w:asciiTheme="minorHAnsi" w:hAnsiTheme="minorHAnsi" w:cstheme="minorHAnsi"/>
          <w:i w:val="0"/>
          <w:iCs w:val="0"/>
          <w:color w:val="auto"/>
        </w:rPr>
        <w:tab/>
        <w:t xml:space="preserve">Figure </w:t>
      </w:r>
      <w:r w:rsidRPr="00325D14">
        <w:rPr>
          <w:rFonts w:asciiTheme="minorHAnsi" w:hAnsiTheme="minorHAnsi" w:cstheme="minorHAnsi"/>
          <w:i w:val="0"/>
          <w:iCs w:val="0"/>
          <w:color w:val="auto"/>
        </w:rPr>
        <w:fldChar w:fldCharType="begin"/>
      </w:r>
      <w:r w:rsidRPr="00325D14">
        <w:rPr>
          <w:rFonts w:asciiTheme="minorHAnsi" w:hAnsiTheme="minorHAnsi" w:cstheme="minorHAnsi"/>
          <w:i w:val="0"/>
          <w:iCs w:val="0"/>
          <w:color w:val="auto"/>
        </w:rPr>
        <w:instrText xml:space="preserve"> SEQ Figure \* ARABIC </w:instrText>
      </w:r>
      <w:r w:rsidRPr="00325D14">
        <w:rPr>
          <w:rFonts w:asciiTheme="minorHAnsi" w:hAnsiTheme="minorHAnsi" w:cstheme="minorHAnsi"/>
          <w:i w:val="0"/>
          <w:iCs w:val="0"/>
          <w:color w:val="auto"/>
        </w:rPr>
        <w:fldChar w:fldCharType="separate"/>
      </w:r>
      <w:r w:rsidRPr="00325D14">
        <w:rPr>
          <w:rFonts w:asciiTheme="minorHAnsi" w:hAnsiTheme="minorHAnsi" w:cstheme="minorHAnsi"/>
          <w:i w:val="0"/>
          <w:iCs w:val="0"/>
          <w:noProof/>
          <w:color w:val="auto"/>
        </w:rPr>
        <w:t>15</w:t>
      </w:r>
      <w:r w:rsidRPr="00325D14">
        <w:rPr>
          <w:rFonts w:asciiTheme="minorHAnsi" w:hAnsiTheme="minorHAnsi" w:cstheme="minorHAnsi"/>
          <w:i w:val="0"/>
          <w:iCs w:val="0"/>
          <w:color w:val="auto"/>
        </w:rPr>
        <w:fldChar w:fldCharType="end"/>
      </w:r>
      <w:r w:rsidRPr="00325D14">
        <w:rPr>
          <w:rFonts w:asciiTheme="minorHAnsi" w:hAnsiTheme="minorHAnsi" w:cstheme="minorHAnsi"/>
          <w:i w:val="0"/>
          <w:iCs w:val="0"/>
          <w:color w:val="auto"/>
        </w:rPr>
        <w:t xml:space="preserve"> - Durée de dotation externe – Médiane pour les Ressources naturelles = 205 jours, 2019-2020</w:t>
      </w:r>
    </w:p>
    <w:p w14:paraId="28B84271" w14:textId="33D8B2F6" w:rsidR="00325D14" w:rsidRPr="00D31933" w:rsidRDefault="003F59CB" w:rsidP="00325D14">
      <w:pPr>
        <w:numPr>
          <w:ilvl w:val="1"/>
          <w:numId w:val="0"/>
        </w:numPr>
        <w:spacing w:before="240" w:after="120"/>
        <w:rPr>
          <w:rFonts w:asciiTheme="minorHAnsi" w:eastAsiaTheme="minorHAnsi" w:hAnsiTheme="minorHAnsi" w:cstheme="minorHAnsi"/>
          <w:sz w:val="22"/>
          <w:szCs w:val="22"/>
        </w:rPr>
      </w:pPr>
      <w:hyperlink w:anchor="Durée_de_dotation_externe" w:history="1">
        <w:r w:rsidR="00325D14" w:rsidRPr="00D31933">
          <w:rPr>
            <w:rStyle w:val="Hyperlink"/>
            <w:rFonts w:asciiTheme="minorHAnsi" w:eastAsiaTheme="minorHAnsi" w:hAnsiTheme="minorHAnsi" w:cstheme="minorHAnsi"/>
            <w:sz w:val="22"/>
            <w:szCs w:val="22"/>
          </w:rPr>
          <w:t xml:space="preserve">Tableau des données sur la durée de dotation </w:t>
        </w:r>
        <w:r w:rsidR="00325D14">
          <w:rPr>
            <w:rStyle w:val="Hyperlink"/>
            <w:rFonts w:asciiTheme="minorHAnsi" w:eastAsiaTheme="minorHAnsi" w:hAnsiTheme="minorHAnsi" w:cstheme="minorHAnsi"/>
            <w:sz w:val="22"/>
            <w:szCs w:val="22"/>
          </w:rPr>
          <w:t>ex</w:t>
        </w:r>
        <w:r w:rsidR="00325D14" w:rsidRPr="00D31933">
          <w:rPr>
            <w:rStyle w:val="Hyperlink"/>
            <w:rFonts w:asciiTheme="minorHAnsi" w:eastAsiaTheme="minorHAnsi" w:hAnsiTheme="minorHAnsi" w:cstheme="minorHAnsi"/>
            <w:sz w:val="22"/>
            <w:szCs w:val="22"/>
          </w:rPr>
          <w:t>terne disponible ici</w:t>
        </w:r>
      </w:hyperlink>
      <w:r w:rsidR="00325D14" w:rsidRPr="00D31933">
        <w:rPr>
          <w:rFonts w:asciiTheme="minorHAnsi" w:eastAsiaTheme="minorHAnsi" w:hAnsiTheme="minorHAnsi" w:cstheme="minorHAnsi"/>
          <w:sz w:val="22"/>
          <w:szCs w:val="22"/>
        </w:rPr>
        <w:t>.</w:t>
      </w:r>
    </w:p>
    <w:p w14:paraId="2D515951" w14:textId="77777777" w:rsidR="00325D14" w:rsidRDefault="00325D14" w:rsidP="00325D14">
      <w:pPr>
        <w:spacing w:before="240" w:after="120"/>
        <w:rPr>
          <w:rFonts w:asciiTheme="minorHAnsi" w:hAnsiTheme="minorHAnsi" w:cstheme="minorHAnsi"/>
          <w:sz w:val="22"/>
          <w:szCs w:val="22"/>
          <w:lang w:eastAsia="en-CA"/>
        </w:rPr>
        <w:sectPr w:rsidR="00325D14" w:rsidSect="00325D14">
          <w:pgSz w:w="20160" w:h="12240" w:orient="landscape" w:code="5"/>
          <w:pgMar w:top="720" w:right="720" w:bottom="720" w:left="720" w:header="709" w:footer="284" w:gutter="0"/>
          <w:cols w:space="708"/>
          <w:titlePg/>
          <w:docGrid w:linePitch="360"/>
        </w:sectPr>
      </w:pPr>
    </w:p>
    <w:p w14:paraId="4F3C3F20" w14:textId="4DE034AB" w:rsidR="00DA7821" w:rsidRPr="00325D14" w:rsidRDefault="00397F78" w:rsidP="00325D14">
      <w:pPr>
        <w:spacing w:after="120"/>
        <w:rPr>
          <w:rFonts w:asciiTheme="minorHAnsi" w:hAnsiTheme="minorHAnsi" w:cstheme="minorHAnsi"/>
          <w:sz w:val="22"/>
          <w:szCs w:val="22"/>
          <w:lang w:eastAsia="en-CA"/>
        </w:rPr>
      </w:pPr>
      <w:r w:rsidRPr="00325D14">
        <w:rPr>
          <w:rFonts w:asciiTheme="minorHAnsi" w:hAnsiTheme="minorHAnsi" w:cstheme="minorHAnsi"/>
          <w:sz w:val="22"/>
          <w:szCs w:val="22"/>
          <w:lang w:eastAsia="en-CA"/>
        </w:rPr>
        <w:t>La durée de dotation externe est calculée en tant que le nombre de jours civils entre la date d’ouverture de l’annonce et la date estimée de la première embauche externe</w:t>
      </w:r>
    </w:p>
    <w:p w14:paraId="5BE25FAF" w14:textId="77777777" w:rsidR="00325D14" w:rsidRPr="00325D14" w:rsidRDefault="00325D14" w:rsidP="00325D14">
      <w:pPr>
        <w:rPr>
          <w:rFonts w:asciiTheme="minorHAnsi" w:hAnsiTheme="minorHAnsi" w:cstheme="minorHAnsi"/>
          <w:sz w:val="22"/>
          <w:szCs w:val="22"/>
        </w:rPr>
      </w:pPr>
      <w:r w:rsidRPr="00325D14">
        <w:rPr>
          <w:rFonts w:asciiTheme="minorHAnsi" w:hAnsiTheme="minorHAnsi" w:cstheme="minorHAnsi"/>
          <w:sz w:val="22"/>
          <w:szCs w:val="22"/>
          <w:lang w:eastAsia="en-CA"/>
        </w:rPr>
        <w:t xml:space="preserve">La durée médiane de dotation externe pour la fonction publique (organisations assujetties à la </w:t>
      </w:r>
      <w:r w:rsidRPr="00325D14">
        <w:rPr>
          <w:rStyle w:val="Emphasis"/>
          <w:rFonts w:asciiTheme="minorHAnsi" w:hAnsiTheme="minorHAnsi" w:cstheme="minorHAnsi"/>
          <w:sz w:val="22"/>
          <w:szCs w:val="18"/>
        </w:rPr>
        <w:t>Loi sur l’emploi dans la fonction publique</w:t>
      </w:r>
      <w:r w:rsidRPr="00325D14">
        <w:rPr>
          <w:rFonts w:asciiTheme="minorHAnsi" w:hAnsiTheme="minorHAnsi" w:cstheme="minorHAnsi"/>
          <w:sz w:val="22"/>
          <w:szCs w:val="22"/>
          <w:lang w:eastAsia="en-CA"/>
        </w:rPr>
        <w:t xml:space="preserve"> (LEFP)) pour l’exercice financier 2019 à 2020 est 203 jours</w:t>
      </w:r>
    </w:p>
    <w:p w14:paraId="131787F7" w14:textId="5B083EAE" w:rsidR="00DA7821" w:rsidRPr="00325D14" w:rsidRDefault="00DA7821" w:rsidP="00325D14">
      <w:pPr>
        <w:spacing w:after="120"/>
        <w:rPr>
          <w:rStyle w:val="Strong"/>
          <w:rFonts w:asciiTheme="minorHAnsi" w:hAnsiTheme="minorHAnsi" w:cstheme="minorHAnsi"/>
          <w:sz w:val="22"/>
          <w:szCs w:val="18"/>
        </w:rPr>
      </w:pPr>
      <w:r w:rsidRPr="00325D14">
        <w:rPr>
          <w:rStyle w:val="Strong"/>
          <w:rFonts w:asciiTheme="minorHAnsi" w:hAnsiTheme="minorHAnsi" w:cstheme="minorHAnsi"/>
          <w:sz w:val="22"/>
          <w:szCs w:val="18"/>
        </w:rPr>
        <w:t>Durée de dotation externe pour l’exercice financier 2019 à 2020</w:t>
      </w:r>
    </w:p>
    <w:p w14:paraId="70DFCF07" w14:textId="77777777" w:rsidR="00DA7821" w:rsidRPr="00325D14" w:rsidRDefault="00DA7821" w:rsidP="00CD64EE">
      <w:pPr>
        <w:rPr>
          <w:rFonts w:asciiTheme="minorHAnsi" w:hAnsiTheme="minorHAnsi" w:cstheme="minorHAnsi"/>
          <w:sz w:val="22"/>
          <w:szCs w:val="22"/>
          <w:highlight w:val="yellow"/>
        </w:rPr>
      </w:pPr>
      <w:r w:rsidRPr="00325D14">
        <w:rPr>
          <w:rFonts w:asciiTheme="minorHAnsi" w:hAnsiTheme="minorHAnsi" w:cstheme="minorHAnsi"/>
          <w:sz w:val="22"/>
          <w:szCs w:val="22"/>
        </w:rPr>
        <w:t>La durée médiane de dotation externe à Ressources naturelles pour l’exercice financier 2019 à 2020 est 205 jours</w:t>
      </w:r>
    </w:p>
    <w:p w14:paraId="30924BCD" w14:textId="77777777" w:rsidR="00325D14" w:rsidRDefault="00325D14" w:rsidP="00DA7821">
      <w:pPr>
        <w:rPr>
          <w:rFonts w:asciiTheme="minorHAnsi" w:hAnsiTheme="minorHAnsi" w:cstheme="minorHAnsi"/>
          <w:sz w:val="22"/>
          <w:szCs w:val="22"/>
          <w:lang w:eastAsia="en-CA"/>
        </w:rPr>
        <w:sectPr w:rsidR="00325D14" w:rsidSect="00325D14">
          <w:type w:val="continuous"/>
          <w:pgSz w:w="20160" w:h="12240" w:orient="landscape" w:code="5"/>
          <w:pgMar w:top="720" w:right="720" w:bottom="720" w:left="720" w:header="709" w:footer="284" w:gutter="0"/>
          <w:cols w:num="2" w:space="708"/>
          <w:titlePg/>
          <w:docGrid w:linePitch="360"/>
        </w:sectPr>
      </w:pPr>
    </w:p>
    <w:p w14:paraId="7D1F7479" w14:textId="77777777" w:rsidR="00325D14" w:rsidRDefault="00325D14" w:rsidP="00DA7821">
      <w:pPr>
        <w:rPr>
          <w:rFonts w:asciiTheme="minorHAnsi" w:hAnsiTheme="minorHAnsi" w:cstheme="minorHAnsi"/>
          <w:sz w:val="22"/>
          <w:szCs w:val="22"/>
          <w:lang w:eastAsia="en-CA"/>
        </w:rPr>
        <w:sectPr w:rsidR="00325D14" w:rsidSect="00325D14">
          <w:type w:val="continuous"/>
          <w:pgSz w:w="20160" w:h="12240" w:orient="landscape" w:code="5"/>
          <w:pgMar w:top="720" w:right="720" w:bottom="720" w:left="720" w:header="709" w:footer="284" w:gutter="0"/>
          <w:cols w:space="708"/>
          <w:titlePg/>
          <w:docGrid w:linePitch="360"/>
        </w:sectPr>
      </w:pPr>
    </w:p>
    <w:p w14:paraId="738CDDCF" w14:textId="4C70F21E" w:rsidR="00DA7821" w:rsidRPr="00325D14" w:rsidRDefault="00325D14" w:rsidP="00325D14">
      <w:pPr>
        <w:pStyle w:val="Heading1"/>
        <w:spacing w:before="120"/>
        <w:rPr>
          <w:sz w:val="40"/>
          <w:szCs w:val="40"/>
        </w:rPr>
      </w:pPr>
      <w:r w:rsidRPr="00325D14">
        <w:rPr>
          <w:sz w:val="40"/>
          <w:szCs w:val="40"/>
        </w:rPr>
        <w:lastRenderedPageBreak/>
        <w:t>Durée de dotation externe</w:t>
      </w:r>
    </w:p>
    <w:tbl>
      <w:tblPr>
        <w:tblStyle w:val="TableGrid"/>
        <w:tblpPr w:leftFromText="180" w:rightFromText="180" w:vertAnchor="text" w:tblpXSpec="center" w:tblpY="1"/>
        <w:tblOverlap w:val="never"/>
        <w:tblW w:w="5000" w:type="pct"/>
        <w:jc w:val="center"/>
        <w:tblLook w:val="0020" w:firstRow="1" w:lastRow="0" w:firstColumn="0" w:lastColumn="0" w:noHBand="0" w:noVBand="0"/>
        <w:tblDescription w:val="Durée des processus de dotation externe"/>
      </w:tblPr>
      <w:tblGrid>
        <w:gridCol w:w="2780"/>
        <w:gridCol w:w="4007"/>
        <w:gridCol w:w="4003"/>
      </w:tblGrid>
      <w:tr w:rsidR="0000190F" w:rsidRPr="001442E2" w14:paraId="2D80DB23" w14:textId="77777777" w:rsidTr="00CD64EE">
        <w:trPr>
          <w:cantSplit/>
          <w:trHeight w:val="290"/>
          <w:tblHeader/>
          <w:jc w:val="center"/>
        </w:trPr>
        <w:tc>
          <w:tcPr>
            <w:tcW w:w="1288" w:type="pct"/>
          </w:tcPr>
          <w:p w14:paraId="27DF524C" w14:textId="77777777" w:rsidR="0000190F" w:rsidRPr="0000190F" w:rsidRDefault="0000190F" w:rsidP="0000190F">
            <w:pPr>
              <w:pStyle w:val="TableTitle"/>
              <w:rPr>
                <w:color w:val="auto"/>
                <w:sz w:val="22"/>
                <w:szCs w:val="22"/>
              </w:rPr>
            </w:pPr>
            <w:bookmarkStart w:id="3" w:name="Durée_de_dotation_externe"/>
            <w:r w:rsidRPr="0000190F">
              <w:rPr>
                <w:color w:val="auto"/>
                <w:sz w:val="22"/>
                <w:szCs w:val="22"/>
              </w:rPr>
              <w:t>Nombre de jours civils</w:t>
            </w:r>
            <w:bookmarkEnd w:id="3"/>
          </w:p>
        </w:tc>
        <w:tc>
          <w:tcPr>
            <w:tcW w:w="1857" w:type="pct"/>
          </w:tcPr>
          <w:p w14:paraId="3D65061A" w14:textId="77777777" w:rsidR="0000190F" w:rsidRPr="0000190F" w:rsidRDefault="0000190F" w:rsidP="0000190F">
            <w:pPr>
              <w:pStyle w:val="TableTitle"/>
              <w:rPr>
                <w:color w:val="auto"/>
                <w:sz w:val="22"/>
                <w:szCs w:val="22"/>
              </w:rPr>
            </w:pPr>
            <w:r w:rsidRPr="0000190F">
              <w:rPr>
                <w:color w:val="auto"/>
                <w:sz w:val="22"/>
                <w:szCs w:val="22"/>
              </w:rPr>
              <w:t>Le nombre de premières embauches externes dans un processus externe (durée de dotation externe) dans les organisations assujetties à la</w:t>
            </w:r>
            <w:r w:rsidRPr="0000190F">
              <w:rPr>
                <w:i/>
                <w:color w:val="auto"/>
                <w:sz w:val="22"/>
                <w:szCs w:val="22"/>
              </w:rPr>
              <w:t xml:space="preserve"> </w:t>
            </w:r>
            <w:r w:rsidRPr="00325D14">
              <w:rPr>
                <w:rStyle w:val="Emphasis"/>
                <w:color w:val="auto"/>
                <w:sz w:val="22"/>
                <w:szCs w:val="22"/>
              </w:rPr>
              <w:t>Loi sur l’emploi dans la fonction publique,</w:t>
            </w:r>
            <w:r w:rsidRPr="0000190F">
              <w:rPr>
                <w:i/>
                <w:color w:val="auto"/>
                <w:sz w:val="22"/>
                <w:szCs w:val="22"/>
              </w:rPr>
              <w:t xml:space="preserve"> </w:t>
            </w:r>
            <w:r w:rsidRPr="0000190F">
              <w:rPr>
                <w:color w:val="auto"/>
                <w:sz w:val="22"/>
                <w:szCs w:val="22"/>
              </w:rPr>
              <w:t>dans le nombre de jours civils spécifié</w:t>
            </w:r>
          </w:p>
        </w:tc>
        <w:tc>
          <w:tcPr>
            <w:tcW w:w="1855" w:type="pct"/>
          </w:tcPr>
          <w:p w14:paraId="67A7DAC6" w14:textId="77777777" w:rsidR="0000190F" w:rsidRPr="0000190F" w:rsidRDefault="0000190F" w:rsidP="0000190F">
            <w:pPr>
              <w:pStyle w:val="TableTitle"/>
              <w:rPr>
                <w:color w:val="auto"/>
                <w:sz w:val="22"/>
                <w:szCs w:val="22"/>
              </w:rPr>
            </w:pPr>
            <w:r w:rsidRPr="0000190F">
              <w:rPr>
                <w:color w:val="auto"/>
                <w:sz w:val="22"/>
                <w:szCs w:val="22"/>
              </w:rPr>
              <w:t>Le nombre de premières embauches externes dans un processus externe (durée de dotation externe) dans l’organisation spécifiée, dans le nombre de jours civils spécifié</w:t>
            </w:r>
          </w:p>
        </w:tc>
      </w:tr>
      <w:tr w:rsidR="0000190F" w:rsidRPr="001442E2" w14:paraId="1C07AFB3" w14:textId="77777777" w:rsidTr="00CD64EE">
        <w:trPr>
          <w:cantSplit/>
          <w:trHeight w:val="290"/>
          <w:tblHeader/>
          <w:jc w:val="center"/>
        </w:trPr>
        <w:tc>
          <w:tcPr>
            <w:tcW w:w="1288" w:type="pct"/>
          </w:tcPr>
          <w:p w14:paraId="43639532"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0 jours civils</w:t>
            </w:r>
          </w:p>
        </w:tc>
        <w:tc>
          <w:tcPr>
            <w:tcW w:w="1857" w:type="pct"/>
          </w:tcPr>
          <w:p w14:paraId="5E5F83F1"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c>
          <w:tcPr>
            <w:tcW w:w="1855" w:type="pct"/>
          </w:tcPr>
          <w:p w14:paraId="11559A28"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50D41FC4" w14:textId="77777777" w:rsidTr="00CD64EE">
        <w:trPr>
          <w:cantSplit/>
          <w:trHeight w:val="290"/>
          <w:tblHeader/>
          <w:jc w:val="center"/>
        </w:trPr>
        <w:tc>
          <w:tcPr>
            <w:tcW w:w="1288" w:type="pct"/>
          </w:tcPr>
          <w:p w14:paraId="6DEC1E39"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0 à 29 jours civils</w:t>
            </w:r>
          </w:p>
        </w:tc>
        <w:tc>
          <w:tcPr>
            <w:tcW w:w="1857" w:type="pct"/>
          </w:tcPr>
          <w:p w14:paraId="16505364"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55</w:t>
            </w:r>
          </w:p>
        </w:tc>
        <w:tc>
          <w:tcPr>
            <w:tcW w:w="1855" w:type="pct"/>
          </w:tcPr>
          <w:p w14:paraId="229BDF59"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2</w:t>
            </w:r>
          </w:p>
        </w:tc>
      </w:tr>
      <w:tr w:rsidR="0000190F" w:rsidRPr="001442E2" w14:paraId="64F4A4DD" w14:textId="77777777" w:rsidTr="00CD64EE">
        <w:trPr>
          <w:cantSplit/>
          <w:trHeight w:val="290"/>
          <w:tblHeader/>
          <w:jc w:val="center"/>
        </w:trPr>
        <w:tc>
          <w:tcPr>
            <w:tcW w:w="1288" w:type="pct"/>
          </w:tcPr>
          <w:p w14:paraId="74D37226"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30 à 59 jours civils</w:t>
            </w:r>
          </w:p>
        </w:tc>
        <w:tc>
          <w:tcPr>
            <w:tcW w:w="1857" w:type="pct"/>
          </w:tcPr>
          <w:p w14:paraId="6ECF14BD"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75</w:t>
            </w:r>
          </w:p>
        </w:tc>
        <w:tc>
          <w:tcPr>
            <w:tcW w:w="1855" w:type="pct"/>
          </w:tcPr>
          <w:p w14:paraId="195B7718"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2</w:t>
            </w:r>
          </w:p>
        </w:tc>
      </w:tr>
      <w:tr w:rsidR="0000190F" w:rsidRPr="001442E2" w14:paraId="5E68F2A4" w14:textId="77777777" w:rsidTr="00CD64EE">
        <w:trPr>
          <w:cantSplit/>
          <w:trHeight w:val="290"/>
          <w:tblHeader/>
          <w:jc w:val="center"/>
        </w:trPr>
        <w:tc>
          <w:tcPr>
            <w:tcW w:w="1288" w:type="pct"/>
          </w:tcPr>
          <w:p w14:paraId="1865A7A0"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60 à 89 jours civils</w:t>
            </w:r>
          </w:p>
        </w:tc>
        <w:tc>
          <w:tcPr>
            <w:tcW w:w="1857" w:type="pct"/>
          </w:tcPr>
          <w:p w14:paraId="0EDC69D6"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95</w:t>
            </w:r>
          </w:p>
        </w:tc>
        <w:tc>
          <w:tcPr>
            <w:tcW w:w="1855" w:type="pct"/>
          </w:tcPr>
          <w:p w14:paraId="38D4FFDF"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4</w:t>
            </w:r>
          </w:p>
        </w:tc>
      </w:tr>
      <w:tr w:rsidR="0000190F" w:rsidRPr="001442E2" w14:paraId="7BFE52AD" w14:textId="77777777" w:rsidTr="00CD64EE">
        <w:trPr>
          <w:cantSplit/>
          <w:trHeight w:val="290"/>
          <w:tblHeader/>
          <w:jc w:val="center"/>
        </w:trPr>
        <w:tc>
          <w:tcPr>
            <w:tcW w:w="1288" w:type="pct"/>
          </w:tcPr>
          <w:p w14:paraId="7B31553E"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90 à 119 jours civils</w:t>
            </w:r>
          </w:p>
        </w:tc>
        <w:tc>
          <w:tcPr>
            <w:tcW w:w="1857" w:type="pct"/>
          </w:tcPr>
          <w:p w14:paraId="2EA0194B"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108</w:t>
            </w:r>
          </w:p>
        </w:tc>
        <w:tc>
          <w:tcPr>
            <w:tcW w:w="1855" w:type="pct"/>
          </w:tcPr>
          <w:p w14:paraId="4EF73021"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2</w:t>
            </w:r>
          </w:p>
        </w:tc>
      </w:tr>
      <w:tr w:rsidR="0000190F" w:rsidRPr="001442E2" w14:paraId="3D5C7436" w14:textId="77777777" w:rsidTr="00CD64EE">
        <w:trPr>
          <w:cantSplit/>
          <w:trHeight w:val="290"/>
          <w:tblHeader/>
          <w:jc w:val="center"/>
        </w:trPr>
        <w:tc>
          <w:tcPr>
            <w:tcW w:w="1288" w:type="pct"/>
          </w:tcPr>
          <w:p w14:paraId="66B6BE3E"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120 à 149 jours civils</w:t>
            </w:r>
          </w:p>
        </w:tc>
        <w:tc>
          <w:tcPr>
            <w:tcW w:w="1857" w:type="pct"/>
          </w:tcPr>
          <w:p w14:paraId="0BAD330F"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166</w:t>
            </w:r>
          </w:p>
        </w:tc>
        <w:tc>
          <w:tcPr>
            <w:tcW w:w="1855" w:type="pct"/>
          </w:tcPr>
          <w:p w14:paraId="0E8C7475"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3</w:t>
            </w:r>
          </w:p>
        </w:tc>
      </w:tr>
      <w:tr w:rsidR="0000190F" w:rsidRPr="001442E2" w14:paraId="65DFCD3E" w14:textId="77777777" w:rsidTr="00CD64EE">
        <w:trPr>
          <w:cantSplit/>
          <w:trHeight w:val="290"/>
          <w:tblHeader/>
          <w:jc w:val="center"/>
        </w:trPr>
        <w:tc>
          <w:tcPr>
            <w:tcW w:w="1288" w:type="pct"/>
          </w:tcPr>
          <w:p w14:paraId="1EE30EF1"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150 à 179 jours civils</w:t>
            </w:r>
          </w:p>
        </w:tc>
        <w:tc>
          <w:tcPr>
            <w:tcW w:w="1857" w:type="pct"/>
          </w:tcPr>
          <w:p w14:paraId="07C0E66E"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164</w:t>
            </w:r>
          </w:p>
        </w:tc>
        <w:tc>
          <w:tcPr>
            <w:tcW w:w="1855" w:type="pct"/>
          </w:tcPr>
          <w:p w14:paraId="0E54CA41"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7</w:t>
            </w:r>
          </w:p>
        </w:tc>
      </w:tr>
      <w:tr w:rsidR="0000190F" w:rsidRPr="001442E2" w14:paraId="6B5C46B1" w14:textId="77777777" w:rsidTr="00CD64EE">
        <w:trPr>
          <w:cantSplit/>
          <w:trHeight w:val="290"/>
          <w:tblHeader/>
          <w:jc w:val="center"/>
        </w:trPr>
        <w:tc>
          <w:tcPr>
            <w:tcW w:w="1288" w:type="pct"/>
          </w:tcPr>
          <w:p w14:paraId="55D1B51D"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180 à 209 jours civils</w:t>
            </w:r>
          </w:p>
        </w:tc>
        <w:tc>
          <w:tcPr>
            <w:tcW w:w="1857" w:type="pct"/>
          </w:tcPr>
          <w:p w14:paraId="691E0175"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160</w:t>
            </w:r>
          </w:p>
        </w:tc>
        <w:tc>
          <w:tcPr>
            <w:tcW w:w="1855" w:type="pct"/>
          </w:tcPr>
          <w:p w14:paraId="3F2AE33C"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8</w:t>
            </w:r>
          </w:p>
        </w:tc>
      </w:tr>
      <w:tr w:rsidR="0000190F" w:rsidRPr="001442E2" w14:paraId="199AE9D0" w14:textId="77777777" w:rsidTr="00CD64EE">
        <w:trPr>
          <w:cantSplit/>
          <w:trHeight w:val="290"/>
          <w:tblHeader/>
          <w:jc w:val="center"/>
        </w:trPr>
        <w:tc>
          <w:tcPr>
            <w:tcW w:w="1288" w:type="pct"/>
          </w:tcPr>
          <w:p w14:paraId="4E10E298"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210 à 239 jours civils</w:t>
            </w:r>
          </w:p>
        </w:tc>
        <w:tc>
          <w:tcPr>
            <w:tcW w:w="1857" w:type="pct"/>
          </w:tcPr>
          <w:p w14:paraId="78D1C971"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133</w:t>
            </w:r>
          </w:p>
        </w:tc>
        <w:tc>
          <w:tcPr>
            <w:tcW w:w="1855" w:type="pct"/>
          </w:tcPr>
          <w:p w14:paraId="2329E74B"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3</w:t>
            </w:r>
          </w:p>
        </w:tc>
      </w:tr>
      <w:tr w:rsidR="0000190F" w:rsidRPr="001442E2" w14:paraId="5FE7491A" w14:textId="77777777" w:rsidTr="00CD64EE">
        <w:trPr>
          <w:cantSplit/>
          <w:trHeight w:val="290"/>
          <w:tblHeader/>
          <w:jc w:val="center"/>
        </w:trPr>
        <w:tc>
          <w:tcPr>
            <w:tcW w:w="1288" w:type="pct"/>
          </w:tcPr>
          <w:p w14:paraId="67088190"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240 à 269 jours civils</w:t>
            </w:r>
          </w:p>
        </w:tc>
        <w:tc>
          <w:tcPr>
            <w:tcW w:w="1857" w:type="pct"/>
          </w:tcPr>
          <w:p w14:paraId="4C5F6992"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122</w:t>
            </w:r>
          </w:p>
        </w:tc>
        <w:tc>
          <w:tcPr>
            <w:tcW w:w="1855" w:type="pct"/>
          </w:tcPr>
          <w:p w14:paraId="0361F456"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5</w:t>
            </w:r>
          </w:p>
        </w:tc>
      </w:tr>
      <w:tr w:rsidR="0000190F" w:rsidRPr="001442E2" w14:paraId="605CCDC3" w14:textId="77777777" w:rsidTr="00CD64EE">
        <w:trPr>
          <w:cantSplit/>
          <w:trHeight w:val="290"/>
          <w:tblHeader/>
          <w:jc w:val="center"/>
        </w:trPr>
        <w:tc>
          <w:tcPr>
            <w:tcW w:w="1288" w:type="pct"/>
          </w:tcPr>
          <w:p w14:paraId="46EC5DAF"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270 à 299 jours civils</w:t>
            </w:r>
          </w:p>
        </w:tc>
        <w:tc>
          <w:tcPr>
            <w:tcW w:w="1857" w:type="pct"/>
          </w:tcPr>
          <w:p w14:paraId="74D2EA59"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101</w:t>
            </w:r>
          </w:p>
        </w:tc>
        <w:tc>
          <w:tcPr>
            <w:tcW w:w="1855" w:type="pct"/>
          </w:tcPr>
          <w:p w14:paraId="5A754820"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6</w:t>
            </w:r>
          </w:p>
        </w:tc>
      </w:tr>
      <w:tr w:rsidR="0000190F" w:rsidRPr="001442E2" w14:paraId="4FA64B53" w14:textId="77777777" w:rsidTr="00CD64EE">
        <w:trPr>
          <w:cantSplit/>
          <w:trHeight w:val="290"/>
          <w:tblHeader/>
          <w:jc w:val="center"/>
        </w:trPr>
        <w:tc>
          <w:tcPr>
            <w:tcW w:w="1288" w:type="pct"/>
          </w:tcPr>
          <w:p w14:paraId="634E9F62"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300 à 329 jours civils</w:t>
            </w:r>
          </w:p>
        </w:tc>
        <w:tc>
          <w:tcPr>
            <w:tcW w:w="1857" w:type="pct"/>
          </w:tcPr>
          <w:p w14:paraId="5A4561DE"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80</w:t>
            </w:r>
          </w:p>
        </w:tc>
        <w:tc>
          <w:tcPr>
            <w:tcW w:w="1855" w:type="pct"/>
          </w:tcPr>
          <w:p w14:paraId="32C877BD"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w:t>
            </w:r>
          </w:p>
        </w:tc>
      </w:tr>
      <w:tr w:rsidR="0000190F" w:rsidRPr="001442E2" w14:paraId="0E96FB75" w14:textId="77777777" w:rsidTr="00CD64EE">
        <w:trPr>
          <w:cantSplit/>
          <w:trHeight w:val="290"/>
          <w:tblHeader/>
          <w:jc w:val="center"/>
        </w:trPr>
        <w:tc>
          <w:tcPr>
            <w:tcW w:w="1288" w:type="pct"/>
          </w:tcPr>
          <w:p w14:paraId="39A49BCD"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330 à 359 jours civils</w:t>
            </w:r>
          </w:p>
        </w:tc>
        <w:tc>
          <w:tcPr>
            <w:tcW w:w="1857" w:type="pct"/>
          </w:tcPr>
          <w:p w14:paraId="7AF9C97B"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61</w:t>
            </w:r>
          </w:p>
        </w:tc>
        <w:tc>
          <w:tcPr>
            <w:tcW w:w="1855" w:type="pct"/>
          </w:tcPr>
          <w:p w14:paraId="5BB374DC"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3</w:t>
            </w:r>
          </w:p>
        </w:tc>
      </w:tr>
      <w:tr w:rsidR="0000190F" w:rsidRPr="001442E2" w14:paraId="201457F1" w14:textId="77777777" w:rsidTr="00CD64EE">
        <w:trPr>
          <w:cantSplit/>
          <w:trHeight w:val="290"/>
          <w:tblHeader/>
          <w:jc w:val="center"/>
        </w:trPr>
        <w:tc>
          <w:tcPr>
            <w:tcW w:w="1288" w:type="pct"/>
          </w:tcPr>
          <w:p w14:paraId="513981AF"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360 à 389 jours civils</w:t>
            </w:r>
          </w:p>
        </w:tc>
        <w:tc>
          <w:tcPr>
            <w:tcW w:w="1857" w:type="pct"/>
          </w:tcPr>
          <w:p w14:paraId="2630E9AC"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50</w:t>
            </w:r>
          </w:p>
        </w:tc>
        <w:tc>
          <w:tcPr>
            <w:tcW w:w="1855" w:type="pct"/>
          </w:tcPr>
          <w:p w14:paraId="3D812FD2"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2</w:t>
            </w:r>
          </w:p>
        </w:tc>
      </w:tr>
      <w:tr w:rsidR="0000190F" w:rsidRPr="001442E2" w14:paraId="43B714B2" w14:textId="77777777" w:rsidTr="00CD64EE">
        <w:trPr>
          <w:cantSplit/>
          <w:trHeight w:val="290"/>
          <w:tblHeader/>
          <w:jc w:val="center"/>
        </w:trPr>
        <w:tc>
          <w:tcPr>
            <w:tcW w:w="1288" w:type="pct"/>
          </w:tcPr>
          <w:p w14:paraId="477E8B6C"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390 à 419 jours civils</w:t>
            </w:r>
          </w:p>
        </w:tc>
        <w:tc>
          <w:tcPr>
            <w:tcW w:w="1857" w:type="pct"/>
          </w:tcPr>
          <w:p w14:paraId="5CB78407"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45</w:t>
            </w:r>
          </w:p>
        </w:tc>
        <w:tc>
          <w:tcPr>
            <w:tcW w:w="1855" w:type="pct"/>
          </w:tcPr>
          <w:p w14:paraId="0750D990"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3</w:t>
            </w:r>
          </w:p>
        </w:tc>
      </w:tr>
      <w:tr w:rsidR="0000190F" w:rsidRPr="001442E2" w14:paraId="37CD39C3" w14:textId="77777777" w:rsidTr="00CD64EE">
        <w:trPr>
          <w:cantSplit/>
          <w:trHeight w:val="290"/>
          <w:tblHeader/>
          <w:jc w:val="center"/>
        </w:trPr>
        <w:tc>
          <w:tcPr>
            <w:tcW w:w="1288" w:type="pct"/>
          </w:tcPr>
          <w:p w14:paraId="61A1D105"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420 à 449 jours civils</w:t>
            </w:r>
          </w:p>
        </w:tc>
        <w:tc>
          <w:tcPr>
            <w:tcW w:w="1857" w:type="pct"/>
          </w:tcPr>
          <w:p w14:paraId="17DC9D49"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34</w:t>
            </w:r>
          </w:p>
        </w:tc>
        <w:tc>
          <w:tcPr>
            <w:tcW w:w="1855" w:type="pct"/>
          </w:tcPr>
          <w:p w14:paraId="058AC5A7"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w:t>
            </w:r>
          </w:p>
        </w:tc>
      </w:tr>
      <w:tr w:rsidR="0000190F" w:rsidRPr="001442E2" w14:paraId="35875D4C" w14:textId="77777777" w:rsidTr="00CD64EE">
        <w:trPr>
          <w:cantSplit/>
          <w:trHeight w:val="290"/>
          <w:tblHeader/>
          <w:jc w:val="center"/>
        </w:trPr>
        <w:tc>
          <w:tcPr>
            <w:tcW w:w="1288" w:type="pct"/>
          </w:tcPr>
          <w:p w14:paraId="572DBA1E"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450 à 479 jours civils</w:t>
            </w:r>
          </w:p>
        </w:tc>
        <w:tc>
          <w:tcPr>
            <w:tcW w:w="1857" w:type="pct"/>
          </w:tcPr>
          <w:p w14:paraId="1049E74B"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34</w:t>
            </w:r>
          </w:p>
        </w:tc>
        <w:tc>
          <w:tcPr>
            <w:tcW w:w="1855" w:type="pct"/>
          </w:tcPr>
          <w:p w14:paraId="7E3AEC47"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47874DCD" w14:textId="77777777" w:rsidTr="00CD64EE">
        <w:trPr>
          <w:cantSplit/>
          <w:trHeight w:val="290"/>
          <w:tblHeader/>
          <w:jc w:val="center"/>
        </w:trPr>
        <w:tc>
          <w:tcPr>
            <w:tcW w:w="1288" w:type="pct"/>
          </w:tcPr>
          <w:p w14:paraId="2513100B"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480 à 509 jours civils</w:t>
            </w:r>
          </w:p>
        </w:tc>
        <w:tc>
          <w:tcPr>
            <w:tcW w:w="1857" w:type="pct"/>
          </w:tcPr>
          <w:p w14:paraId="675B2AE5"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21</w:t>
            </w:r>
          </w:p>
        </w:tc>
        <w:tc>
          <w:tcPr>
            <w:tcW w:w="1855" w:type="pct"/>
          </w:tcPr>
          <w:p w14:paraId="2F89762C"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w:t>
            </w:r>
          </w:p>
        </w:tc>
      </w:tr>
      <w:tr w:rsidR="0000190F" w:rsidRPr="001442E2" w14:paraId="6FD3A812" w14:textId="77777777" w:rsidTr="00CD64EE">
        <w:trPr>
          <w:cantSplit/>
          <w:trHeight w:val="290"/>
          <w:tblHeader/>
          <w:jc w:val="center"/>
        </w:trPr>
        <w:tc>
          <w:tcPr>
            <w:tcW w:w="1288" w:type="pct"/>
          </w:tcPr>
          <w:p w14:paraId="2CC086D1"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 xml:space="preserve">510 à 539 jours civils </w:t>
            </w:r>
          </w:p>
        </w:tc>
        <w:tc>
          <w:tcPr>
            <w:tcW w:w="1857" w:type="pct"/>
          </w:tcPr>
          <w:p w14:paraId="7100D57E"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16</w:t>
            </w:r>
          </w:p>
        </w:tc>
        <w:tc>
          <w:tcPr>
            <w:tcW w:w="1855" w:type="pct"/>
          </w:tcPr>
          <w:p w14:paraId="480B2D3F"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57AD9AF3" w14:textId="77777777" w:rsidTr="00CD64EE">
        <w:trPr>
          <w:cantSplit/>
          <w:trHeight w:val="290"/>
          <w:tblHeader/>
          <w:jc w:val="center"/>
        </w:trPr>
        <w:tc>
          <w:tcPr>
            <w:tcW w:w="1288" w:type="pct"/>
          </w:tcPr>
          <w:p w14:paraId="25E3A0BE"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540 à 569 jours civils</w:t>
            </w:r>
          </w:p>
        </w:tc>
        <w:tc>
          <w:tcPr>
            <w:tcW w:w="1857" w:type="pct"/>
          </w:tcPr>
          <w:p w14:paraId="289A6993"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19</w:t>
            </w:r>
          </w:p>
        </w:tc>
        <w:tc>
          <w:tcPr>
            <w:tcW w:w="1855" w:type="pct"/>
          </w:tcPr>
          <w:p w14:paraId="46D0E9FE"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4AFFBCAD" w14:textId="77777777" w:rsidTr="00CD64EE">
        <w:trPr>
          <w:cantSplit/>
          <w:trHeight w:val="290"/>
          <w:tblHeader/>
          <w:jc w:val="center"/>
        </w:trPr>
        <w:tc>
          <w:tcPr>
            <w:tcW w:w="1288" w:type="pct"/>
          </w:tcPr>
          <w:p w14:paraId="3A1E48C6"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570 à 599 jours civils</w:t>
            </w:r>
          </w:p>
        </w:tc>
        <w:tc>
          <w:tcPr>
            <w:tcW w:w="1857" w:type="pct"/>
          </w:tcPr>
          <w:p w14:paraId="36DAAE5E"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13</w:t>
            </w:r>
          </w:p>
        </w:tc>
        <w:tc>
          <w:tcPr>
            <w:tcW w:w="1855" w:type="pct"/>
          </w:tcPr>
          <w:p w14:paraId="7E602F33"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53A961EC" w14:textId="77777777" w:rsidTr="00CD64EE">
        <w:trPr>
          <w:cantSplit/>
          <w:trHeight w:val="290"/>
          <w:tblHeader/>
          <w:jc w:val="center"/>
        </w:trPr>
        <w:tc>
          <w:tcPr>
            <w:tcW w:w="1288" w:type="pct"/>
          </w:tcPr>
          <w:p w14:paraId="4FF60A25"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600 à 629 jours civils</w:t>
            </w:r>
          </w:p>
        </w:tc>
        <w:tc>
          <w:tcPr>
            <w:tcW w:w="1857" w:type="pct"/>
          </w:tcPr>
          <w:p w14:paraId="2CF00A5B"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7</w:t>
            </w:r>
          </w:p>
        </w:tc>
        <w:tc>
          <w:tcPr>
            <w:tcW w:w="1855" w:type="pct"/>
          </w:tcPr>
          <w:p w14:paraId="0FCA0187"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73E9049B" w14:textId="77777777" w:rsidTr="00CD64EE">
        <w:trPr>
          <w:cantSplit/>
          <w:trHeight w:val="290"/>
          <w:tblHeader/>
          <w:jc w:val="center"/>
        </w:trPr>
        <w:tc>
          <w:tcPr>
            <w:tcW w:w="1288" w:type="pct"/>
          </w:tcPr>
          <w:p w14:paraId="241E7852"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630 à 659 jours civils</w:t>
            </w:r>
          </w:p>
        </w:tc>
        <w:tc>
          <w:tcPr>
            <w:tcW w:w="1857" w:type="pct"/>
          </w:tcPr>
          <w:p w14:paraId="3FFAB69C"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7</w:t>
            </w:r>
          </w:p>
        </w:tc>
        <w:tc>
          <w:tcPr>
            <w:tcW w:w="1855" w:type="pct"/>
          </w:tcPr>
          <w:p w14:paraId="103C49D4"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223F4A83" w14:textId="77777777" w:rsidTr="00CD64EE">
        <w:trPr>
          <w:cantSplit/>
          <w:trHeight w:val="290"/>
          <w:tblHeader/>
          <w:jc w:val="center"/>
        </w:trPr>
        <w:tc>
          <w:tcPr>
            <w:tcW w:w="1288" w:type="pct"/>
          </w:tcPr>
          <w:p w14:paraId="4D62B029"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660 à 689 jours civils</w:t>
            </w:r>
          </w:p>
        </w:tc>
        <w:tc>
          <w:tcPr>
            <w:tcW w:w="1857" w:type="pct"/>
          </w:tcPr>
          <w:p w14:paraId="5E0CE67D"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4</w:t>
            </w:r>
          </w:p>
        </w:tc>
        <w:tc>
          <w:tcPr>
            <w:tcW w:w="1855" w:type="pct"/>
          </w:tcPr>
          <w:p w14:paraId="2FF34232"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51D3677C" w14:textId="77777777" w:rsidTr="00CD64EE">
        <w:trPr>
          <w:cantSplit/>
          <w:trHeight w:val="290"/>
          <w:tblHeader/>
          <w:jc w:val="center"/>
        </w:trPr>
        <w:tc>
          <w:tcPr>
            <w:tcW w:w="1288" w:type="pct"/>
          </w:tcPr>
          <w:p w14:paraId="711A4EF7"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690 à 719 jours civils</w:t>
            </w:r>
          </w:p>
        </w:tc>
        <w:tc>
          <w:tcPr>
            <w:tcW w:w="1857" w:type="pct"/>
          </w:tcPr>
          <w:p w14:paraId="19544F98"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11</w:t>
            </w:r>
          </w:p>
        </w:tc>
        <w:tc>
          <w:tcPr>
            <w:tcW w:w="1855" w:type="pct"/>
          </w:tcPr>
          <w:p w14:paraId="527E496B"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4A83AE2D" w14:textId="77777777" w:rsidTr="00CD64EE">
        <w:trPr>
          <w:cantSplit/>
          <w:trHeight w:val="302"/>
          <w:tblHeader/>
          <w:jc w:val="center"/>
        </w:trPr>
        <w:tc>
          <w:tcPr>
            <w:tcW w:w="1288" w:type="pct"/>
          </w:tcPr>
          <w:p w14:paraId="3635E32E"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720 à 749 jours civils</w:t>
            </w:r>
          </w:p>
        </w:tc>
        <w:tc>
          <w:tcPr>
            <w:tcW w:w="1857" w:type="pct"/>
          </w:tcPr>
          <w:p w14:paraId="4C591B1A"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6</w:t>
            </w:r>
          </w:p>
        </w:tc>
        <w:tc>
          <w:tcPr>
            <w:tcW w:w="1855" w:type="pct"/>
          </w:tcPr>
          <w:p w14:paraId="1171818D"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w:t>
            </w:r>
          </w:p>
        </w:tc>
      </w:tr>
      <w:tr w:rsidR="0000190F" w:rsidRPr="001442E2" w14:paraId="12AFDC7F" w14:textId="77777777" w:rsidTr="00CD64EE">
        <w:trPr>
          <w:cantSplit/>
          <w:trHeight w:val="290"/>
          <w:tblHeader/>
          <w:jc w:val="center"/>
        </w:trPr>
        <w:tc>
          <w:tcPr>
            <w:tcW w:w="1288" w:type="pct"/>
          </w:tcPr>
          <w:p w14:paraId="38BDD7C7"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750 à 779 jours civils</w:t>
            </w:r>
          </w:p>
        </w:tc>
        <w:tc>
          <w:tcPr>
            <w:tcW w:w="1857" w:type="pct"/>
          </w:tcPr>
          <w:p w14:paraId="660BC88E"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2</w:t>
            </w:r>
          </w:p>
        </w:tc>
        <w:tc>
          <w:tcPr>
            <w:tcW w:w="1855" w:type="pct"/>
          </w:tcPr>
          <w:p w14:paraId="6D19D290"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63FF1D3D" w14:textId="77777777" w:rsidTr="00CD64EE">
        <w:trPr>
          <w:cantSplit/>
          <w:trHeight w:val="290"/>
          <w:tblHeader/>
          <w:jc w:val="center"/>
        </w:trPr>
        <w:tc>
          <w:tcPr>
            <w:tcW w:w="1288" w:type="pct"/>
          </w:tcPr>
          <w:p w14:paraId="7FAAA31D"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780 à 809 jours civils</w:t>
            </w:r>
          </w:p>
        </w:tc>
        <w:tc>
          <w:tcPr>
            <w:tcW w:w="1857" w:type="pct"/>
          </w:tcPr>
          <w:p w14:paraId="50408B77"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4</w:t>
            </w:r>
          </w:p>
        </w:tc>
        <w:tc>
          <w:tcPr>
            <w:tcW w:w="1855" w:type="pct"/>
          </w:tcPr>
          <w:p w14:paraId="57333EDA"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69495EB6" w14:textId="77777777" w:rsidTr="00CD64EE">
        <w:trPr>
          <w:cantSplit/>
          <w:trHeight w:val="290"/>
          <w:tblHeader/>
          <w:jc w:val="center"/>
        </w:trPr>
        <w:tc>
          <w:tcPr>
            <w:tcW w:w="1288" w:type="pct"/>
          </w:tcPr>
          <w:p w14:paraId="4D11AA84"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810 à 839 jours civils</w:t>
            </w:r>
          </w:p>
        </w:tc>
        <w:tc>
          <w:tcPr>
            <w:tcW w:w="1857" w:type="pct"/>
          </w:tcPr>
          <w:p w14:paraId="39C75F5F"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4</w:t>
            </w:r>
          </w:p>
        </w:tc>
        <w:tc>
          <w:tcPr>
            <w:tcW w:w="1855" w:type="pct"/>
          </w:tcPr>
          <w:p w14:paraId="30A29C0D"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100F6DF6" w14:textId="77777777" w:rsidTr="00CD64EE">
        <w:trPr>
          <w:cantSplit/>
          <w:trHeight w:val="290"/>
          <w:tblHeader/>
          <w:jc w:val="center"/>
        </w:trPr>
        <w:tc>
          <w:tcPr>
            <w:tcW w:w="1288" w:type="pct"/>
          </w:tcPr>
          <w:p w14:paraId="3EC34A9A"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840 à 869 jours civils</w:t>
            </w:r>
          </w:p>
        </w:tc>
        <w:tc>
          <w:tcPr>
            <w:tcW w:w="1857" w:type="pct"/>
          </w:tcPr>
          <w:p w14:paraId="6511D1A8"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c>
          <w:tcPr>
            <w:tcW w:w="1855" w:type="pct"/>
          </w:tcPr>
          <w:p w14:paraId="77A50075"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2E700725" w14:textId="77777777" w:rsidTr="00CD64EE">
        <w:trPr>
          <w:cantSplit/>
          <w:trHeight w:val="290"/>
          <w:tblHeader/>
          <w:jc w:val="center"/>
        </w:trPr>
        <w:tc>
          <w:tcPr>
            <w:tcW w:w="1288" w:type="pct"/>
          </w:tcPr>
          <w:p w14:paraId="3AFA27BF"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870 à 899 jours civils</w:t>
            </w:r>
          </w:p>
        </w:tc>
        <w:tc>
          <w:tcPr>
            <w:tcW w:w="1857" w:type="pct"/>
          </w:tcPr>
          <w:p w14:paraId="29D398C3"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1</w:t>
            </w:r>
          </w:p>
        </w:tc>
        <w:tc>
          <w:tcPr>
            <w:tcW w:w="1855" w:type="pct"/>
          </w:tcPr>
          <w:p w14:paraId="35984A88"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31A85A47" w14:textId="77777777" w:rsidTr="00CD64EE">
        <w:trPr>
          <w:cantSplit/>
          <w:trHeight w:val="290"/>
          <w:tblHeader/>
          <w:jc w:val="center"/>
        </w:trPr>
        <w:tc>
          <w:tcPr>
            <w:tcW w:w="1288" w:type="pct"/>
          </w:tcPr>
          <w:p w14:paraId="1ACED1B6"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900 à 929 jours civils</w:t>
            </w:r>
          </w:p>
        </w:tc>
        <w:tc>
          <w:tcPr>
            <w:tcW w:w="1857" w:type="pct"/>
          </w:tcPr>
          <w:p w14:paraId="0B500099"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c>
          <w:tcPr>
            <w:tcW w:w="1855" w:type="pct"/>
          </w:tcPr>
          <w:p w14:paraId="17339A04"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741482AF" w14:textId="77777777" w:rsidTr="00CD64EE">
        <w:trPr>
          <w:cantSplit/>
          <w:trHeight w:val="290"/>
          <w:tblHeader/>
          <w:jc w:val="center"/>
        </w:trPr>
        <w:tc>
          <w:tcPr>
            <w:tcW w:w="1288" w:type="pct"/>
          </w:tcPr>
          <w:p w14:paraId="229C32EE"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930 à 959 jours civils</w:t>
            </w:r>
          </w:p>
        </w:tc>
        <w:tc>
          <w:tcPr>
            <w:tcW w:w="1857" w:type="pct"/>
          </w:tcPr>
          <w:p w14:paraId="5D5AA5D5"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c>
          <w:tcPr>
            <w:tcW w:w="1855" w:type="pct"/>
          </w:tcPr>
          <w:p w14:paraId="7998C041"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7B6B3633" w14:textId="77777777" w:rsidTr="00CD64EE">
        <w:trPr>
          <w:cantSplit/>
          <w:trHeight w:val="290"/>
          <w:tblHeader/>
          <w:jc w:val="center"/>
        </w:trPr>
        <w:tc>
          <w:tcPr>
            <w:tcW w:w="1288" w:type="pct"/>
          </w:tcPr>
          <w:p w14:paraId="51E66431"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960 à 989 jours civils</w:t>
            </w:r>
          </w:p>
        </w:tc>
        <w:tc>
          <w:tcPr>
            <w:tcW w:w="1857" w:type="pct"/>
          </w:tcPr>
          <w:p w14:paraId="0E9E85F1"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c>
          <w:tcPr>
            <w:tcW w:w="1855" w:type="pct"/>
          </w:tcPr>
          <w:p w14:paraId="728535BB"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r w:rsidR="0000190F" w:rsidRPr="001442E2" w14:paraId="61FD0FF8" w14:textId="77777777" w:rsidTr="00CD64EE">
        <w:trPr>
          <w:cantSplit/>
          <w:trHeight w:val="290"/>
          <w:tblHeader/>
          <w:jc w:val="center"/>
        </w:trPr>
        <w:tc>
          <w:tcPr>
            <w:tcW w:w="1288" w:type="pct"/>
          </w:tcPr>
          <w:p w14:paraId="5B0B38B0" w14:textId="77777777" w:rsidR="0000190F" w:rsidRPr="00325D14" w:rsidRDefault="0000190F" w:rsidP="0000190F">
            <w:pPr>
              <w:autoSpaceDE w:val="0"/>
              <w:autoSpaceDN w:val="0"/>
              <w:adjustRightInd w:val="0"/>
              <w:rPr>
                <w:rFonts w:asciiTheme="minorHAnsi" w:hAnsiTheme="minorHAnsi" w:cstheme="minorHAnsi"/>
                <w:sz w:val="22"/>
                <w:szCs w:val="22"/>
              </w:rPr>
            </w:pPr>
            <w:r w:rsidRPr="00325D14">
              <w:rPr>
                <w:rFonts w:asciiTheme="minorHAnsi" w:hAnsiTheme="minorHAnsi" w:cstheme="minorHAnsi"/>
                <w:sz w:val="22"/>
                <w:szCs w:val="22"/>
              </w:rPr>
              <w:t>Plus de 990 jours civils</w:t>
            </w:r>
          </w:p>
        </w:tc>
        <w:tc>
          <w:tcPr>
            <w:tcW w:w="1857" w:type="pct"/>
          </w:tcPr>
          <w:p w14:paraId="588AA302"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c>
          <w:tcPr>
            <w:tcW w:w="1855" w:type="pct"/>
          </w:tcPr>
          <w:p w14:paraId="599C7338" w14:textId="77777777" w:rsidR="0000190F" w:rsidRPr="00325D14" w:rsidRDefault="0000190F" w:rsidP="0000190F">
            <w:pPr>
              <w:autoSpaceDE w:val="0"/>
              <w:autoSpaceDN w:val="0"/>
              <w:adjustRightInd w:val="0"/>
              <w:jc w:val="center"/>
              <w:rPr>
                <w:rFonts w:asciiTheme="minorHAnsi" w:hAnsiTheme="minorHAnsi" w:cstheme="minorHAnsi"/>
                <w:sz w:val="22"/>
                <w:szCs w:val="22"/>
              </w:rPr>
            </w:pPr>
            <w:r w:rsidRPr="00325D14">
              <w:rPr>
                <w:rFonts w:asciiTheme="minorHAnsi" w:hAnsiTheme="minorHAnsi" w:cstheme="minorHAnsi"/>
                <w:sz w:val="22"/>
                <w:szCs w:val="22"/>
              </w:rPr>
              <w:t>0</w:t>
            </w:r>
          </w:p>
        </w:tc>
      </w:tr>
    </w:tbl>
    <w:p w14:paraId="5AD55484" w14:textId="77777777" w:rsidR="00DA7821" w:rsidRDefault="00DA7821">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br w:type="page"/>
      </w:r>
    </w:p>
    <w:p w14:paraId="34CCF7DF" w14:textId="5714FA5B" w:rsidR="00397F78" w:rsidRPr="00022744" w:rsidRDefault="00397F78" w:rsidP="00DA7821">
      <w:pPr>
        <w:pStyle w:val="Heading1"/>
      </w:pPr>
      <w:r w:rsidRPr="00022744">
        <w:lastRenderedPageBreak/>
        <w:t>Notes techniques :</w:t>
      </w:r>
    </w:p>
    <w:p w14:paraId="6A1DB733" w14:textId="7A715F74" w:rsidR="00397F78" w:rsidRPr="00397F78" w:rsidRDefault="00397F78" w:rsidP="00DA7821">
      <w:pPr>
        <w:pStyle w:val="ListParagraph"/>
        <w:numPr>
          <w:ilvl w:val="0"/>
          <w:numId w:val="26"/>
        </w:numPr>
        <w:spacing w:after="0"/>
        <w:ind w:left="426" w:hanging="426"/>
        <w:contextualSpacing w:val="0"/>
        <w:rPr>
          <w:rFonts w:asciiTheme="minorHAnsi" w:hAnsiTheme="minorHAnsi" w:cstheme="minorHAnsi"/>
          <w:sz w:val="22"/>
          <w:szCs w:val="22"/>
        </w:rPr>
      </w:pPr>
      <w:r w:rsidRPr="00397F78">
        <w:rPr>
          <w:rFonts w:asciiTheme="minorHAnsi" w:eastAsiaTheme="minorHAnsi" w:hAnsiTheme="minorHAnsi" w:cstheme="minorHAnsi"/>
          <w:bCs/>
          <w:sz w:val="22"/>
          <w:szCs w:val="22"/>
        </w:rPr>
        <w:t xml:space="preserve">Le temps nécessaire à la dotation - Nominations internes (TND-NI) est le nombre médian de jours civils entre la date d'ouverture d'une annonce interne et la date du premier avis de nomination ou de proposition de nomination (PANA) du Système de ressourcement de la fonction publique (SRFP) pour les postes internes de durée déterminée et ceux pour une période indéterminée. </w:t>
      </w:r>
      <w:r w:rsidRPr="00397F78">
        <w:rPr>
          <w:rFonts w:asciiTheme="minorHAnsi" w:hAnsiTheme="minorHAnsi" w:cstheme="minorHAnsi"/>
          <w:sz w:val="22"/>
          <w:szCs w:val="22"/>
        </w:rPr>
        <w:t>Les PANA ne sont pas requis pour toutes les activités de dotation interne. Par conséquent, cette mesure se limite aux rapports sur les nominations promotionnel</w:t>
      </w:r>
      <w:r w:rsidR="00694F09">
        <w:rPr>
          <w:rFonts w:asciiTheme="minorHAnsi" w:hAnsiTheme="minorHAnsi" w:cstheme="minorHAnsi"/>
          <w:sz w:val="22"/>
          <w:szCs w:val="22"/>
        </w:rPr>
        <w:t>le</w:t>
      </w:r>
      <w:r w:rsidRPr="00397F78">
        <w:rPr>
          <w:rFonts w:asciiTheme="minorHAnsi" w:hAnsiTheme="minorHAnsi" w:cstheme="minorHAnsi"/>
          <w:sz w:val="22"/>
          <w:szCs w:val="22"/>
        </w:rPr>
        <w:t>s internes.</w:t>
      </w:r>
    </w:p>
    <w:p w14:paraId="110A17B7" w14:textId="77777777" w:rsidR="00397F78" w:rsidRPr="00397F78" w:rsidRDefault="00397F78" w:rsidP="00DA7821">
      <w:pPr>
        <w:pStyle w:val="ListParagraph"/>
        <w:numPr>
          <w:ilvl w:val="0"/>
          <w:numId w:val="13"/>
        </w:numPr>
        <w:spacing w:after="0"/>
        <w:ind w:left="360"/>
        <w:rPr>
          <w:rFonts w:asciiTheme="minorHAnsi" w:eastAsiaTheme="minorHAnsi" w:hAnsiTheme="minorHAnsi" w:cstheme="minorHAnsi"/>
          <w:bCs/>
          <w:sz w:val="22"/>
          <w:szCs w:val="22"/>
        </w:rPr>
      </w:pPr>
      <w:r w:rsidRPr="00397F78">
        <w:rPr>
          <w:rFonts w:asciiTheme="minorHAnsi" w:eastAsiaTheme="minorHAnsi" w:hAnsiTheme="minorHAnsi" w:cstheme="minorHAnsi"/>
          <w:bCs/>
          <w:sz w:val="22"/>
          <w:szCs w:val="22"/>
        </w:rPr>
        <w:t xml:space="preserve">Le temps nécessaire à la dotation - Nominations externes (TND-NE) est le nombre médian de jours civils entre la date d'ouverture d'une annonce externe et la date de la première nomination estimative d'une personne de l'extérieur d'une organisation assujettie à la </w:t>
      </w:r>
      <w:r w:rsidRPr="00DA7821">
        <w:rPr>
          <w:rStyle w:val="Emphasis"/>
          <w:rFonts w:asciiTheme="minorHAnsi" w:eastAsiaTheme="minorHAnsi" w:hAnsiTheme="minorHAnsi" w:cstheme="minorHAnsi"/>
          <w:sz w:val="22"/>
          <w:szCs w:val="18"/>
        </w:rPr>
        <w:t>Loi sur l'emploi dans la fonction publique</w:t>
      </w:r>
      <w:r w:rsidRPr="00DA7821">
        <w:rPr>
          <w:rFonts w:asciiTheme="minorHAnsi" w:eastAsiaTheme="minorHAnsi" w:hAnsiTheme="minorHAnsi" w:cstheme="minorHAnsi"/>
          <w:bCs/>
          <w:i/>
          <w:sz w:val="20"/>
        </w:rPr>
        <w:t xml:space="preserve"> </w:t>
      </w:r>
      <w:r w:rsidRPr="00397F78">
        <w:rPr>
          <w:rFonts w:asciiTheme="minorHAnsi" w:eastAsiaTheme="minorHAnsi" w:hAnsiTheme="minorHAnsi" w:cstheme="minorHAnsi"/>
          <w:bCs/>
          <w:sz w:val="22"/>
          <w:szCs w:val="22"/>
        </w:rPr>
        <w:t>pour les postes de durée déterminée et ceux pour une période indéterminée. Parce que le lien des données entre les systèmes utilise un jumelage probabiliste, des erreurs de mesure sont donc possibles.</w:t>
      </w:r>
    </w:p>
    <w:p w14:paraId="6C4B4365" w14:textId="77777777" w:rsidR="00397F78" w:rsidRPr="00397F78" w:rsidRDefault="00397F78" w:rsidP="00DA7821">
      <w:pPr>
        <w:pStyle w:val="ListParagraph"/>
        <w:numPr>
          <w:ilvl w:val="0"/>
          <w:numId w:val="13"/>
        </w:numPr>
        <w:spacing w:after="120"/>
        <w:ind w:left="360"/>
        <w:rPr>
          <w:rFonts w:asciiTheme="minorHAnsi" w:eastAsiaTheme="minorHAnsi" w:hAnsiTheme="minorHAnsi" w:cstheme="minorHAnsi"/>
          <w:bCs/>
          <w:sz w:val="22"/>
          <w:szCs w:val="22"/>
        </w:rPr>
      </w:pPr>
      <w:r w:rsidRPr="00397F78">
        <w:rPr>
          <w:rFonts w:asciiTheme="minorHAnsi" w:eastAsiaTheme="minorHAnsi" w:hAnsiTheme="minorHAnsi" w:cstheme="minorHAnsi"/>
          <w:bCs/>
          <w:sz w:val="22"/>
          <w:szCs w:val="22"/>
        </w:rPr>
        <w:t>Seules les nominations d'une durée déterminée et les nominations pour une période indéterminée sont incluses (les mutations, les nominations d’employés occasionnels et les nominations intérimaires sont exclues).</w:t>
      </w:r>
    </w:p>
    <w:p w14:paraId="1E656C8F" w14:textId="77777777" w:rsidR="00397F78" w:rsidRPr="00022744" w:rsidRDefault="00397F78" w:rsidP="00DA7821">
      <w:pPr>
        <w:pStyle w:val="Heading1"/>
      </w:pPr>
      <w:r w:rsidRPr="00022744">
        <w:t>Source :</w:t>
      </w:r>
    </w:p>
    <w:p w14:paraId="34026EF6" w14:textId="77777777" w:rsidR="00397F78" w:rsidRPr="00397F78" w:rsidRDefault="00397F78" w:rsidP="00DA7821">
      <w:pPr>
        <w:pStyle w:val="ListParagraph"/>
        <w:numPr>
          <w:ilvl w:val="0"/>
          <w:numId w:val="13"/>
        </w:numPr>
        <w:spacing w:after="0"/>
        <w:ind w:left="360"/>
        <w:rPr>
          <w:rFonts w:asciiTheme="minorHAnsi" w:eastAsiaTheme="minorHAnsi" w:hAnsiTheme="minorHAnsi" w:cstheme="minorHAnsi"/>
          <w:bCs/>
          <w:sz w:val="22"/>
          <w:szCs w:val="22"/>
        </w:rPr>
      </w:pPr>
      <w:r w:rsidRPr="00397F78">
        <w:rPr>
          <w:rFonts w:asciiTheme="minorHAnsi" w:eastAsiaTheme="minorHAnsi" w:hAnsiTheme="minorHAnsi" w:cstheme="minorHAnsi"/>
          <w:bCs/>
          <w:sz w:val="22"/>
          <w:szCs w:val="22"/>
        </w:rPr>
        <w:t>Les données sur les activités d’embauche et de dotation sont tirées des renseignements du Fichier des titulaires du Secrétariat du Conseil du Trésor du Canada.  Le Fichier des titulaires est extrait du système de rémunération de Services publics et Approvisionnement Canada.  Les données constituent une estimation des activités d’embauche et de dotation des organisations.</w:t>
      </w:r>
    </w:p>
    <w:p w14:paraId="0C592AE0" w14:textId="77777777" w:rsidR="00397F78" w:rsidRPr="00397F78" w:rsidRDefault="00397F78" w:rsidP="00DA7821">
      <w:pPr>
        <w:pStyle w:val="ListParagraph"/>
        <w:numPr>
          <w:ilvl w:val="0"/>
          <w:numId w:val="13"/>
        </w:numPr>
        <w:spacing w:after="0"/>
        <w:ind w:left="360"/>
        <w:rPr>
          <w:rFonts w:asciiTheme="minorHAnsi" w:eastAsiaTheme="minorHAnsi" w:hAnsiTheme="minorHAnsi" w:cstheme="minorHAnsi"/>
          <w:bCs/>
          <w:sz w:val="22"/>
          <w:szCs w:val="22"/>
        </w:rPr>
      </w:pPr>
      <w:r w:rsidRPr="00397F78">
        <w:rPr>
          <w:rFonts w:asciiTheme="minorHAnsi" w:eastAsiaTheme="minorHAnsi" w:hAnsiTheme="minorHAnsi" w:cstheme="minorHAnsi"/>
          <w:bCs/>
          <w:sz w:val="22"/>
          <w:szCs w:val="22"/>
        </w:rPr>
        <w:t>L’information du Système de gestion de l’information sur les priorités et du Système de ressourcement de la fonction publique est également utilisée pour déterminer si les processus de dotation sont annoncés ou non annoncés, et pour calculer la durée du processus de dotation.</w:t>
      </w:r>
    </w:p>
    <w:p w14:paraId="34FE4C08" w14:textId="77777777" w:rsidR="00397F78" w:rsidRPr="00397F78" w:rsidRDefault="00397F78" w:rsidP="003A5A28">
      <w:pPr>
        <w:pStyle w:val="ListParagraph"/>
        <w:numPr>
          <w:ilvl w:val="0"/>
          <w:numId w:val="13"/>
        </w:numPr>
        <w:spacing w:after="0"/>
        <w:ind w:left="360"/>
        <w:rPr>
          <w:rFonts w:asciiTheme="minorHAnsi" w:eastAsiaTheme="minorHAnsi" w:hAnsiTheme="minorHAnsi" w:cstheme="minorHAnsi"/>
          <w:bCs/>
          <w:sz w:val="22"/>
          <w:szCs w:val="22"/>
        </w:rPr>
      </w:pPr>
      <w:r w:rsidRPr="00397F78">
        <w:rPr>
          <w:rFonts w:asciiTheme="minorHAnsi" w:eastAsiaTheme="minorHAnsi" w:hAnsiTheme="minorHAnsi" w:cstheme="minorHAnsi"/>
          <w:bCs/>
          <w:sz w:val="22"/>
          <w:szCs w:val="22"/>
        </w:rPr>
        <w:t>Ces données ne correspondent pas nécessairement aux donnés sur les ressources humaines de chaque organisation en raison des différences de méthodologie et des périodes visées par l’analyse.</w:t>
      </w:r>
    </w:p>
    <w:p w14:paraId="2B7F3FA3" w14:textId="2CA88BCE" w:rsidR="001442E2" w:rsidRPr="001442E2" w:rsidRDefault="001442E2" w:rsidP="001442E2">
      <w:pPr>
        <w:pStyle w:val="ListParagraph"/>
        <w:numPr>
          <w:ilvl w:val="0"/>
          <w:numId w:val="25"/>
        </w:numPr>
        <w:spacing w:after="0"/>
        <w:ind w:left="360"/>
        <w:rPr>
          <w:rFonts w:asciiTheme="minorHAnsi" w:hAnsiTheme="minorHAnsi" w:cstheme="minorHAnsi"/>
          <w:sz w:val="22"/>
          <w:szCs w:val="22"/>
        </w:rPr>
      </w:pPr>
      <w:r w:rsidRPr="001442E2">
        <w:rPr>
          <w:rFonts w:asciiTheme="minorHAnsi" w:hAnsiTheme="minorHAnsi" w:cstheme="minorHAnsi"/>
          <w:sz w:val="22"/>
          <w:szCs w:val="22"/>
        </w:rPr>
        <w:t>Le temps nécessaire à la dotation – Nominations internes (TND-NI) est le nombre médian de jours civils entre la date d’ouverture d’une annonce interne et la date du premier avis de nomination ou de proposition de nomination (PANA) du Système de ressourcement de la fonction publique pour les postes internes de durée déterminée et indéterminée. Les PANA ne sont pas requis pour toutes les activités de dotation interne. Par conséquent, cette mesure se limite aux rapports sur les nominations promotionnel</w:t>
      </w:r>
      <w:r w:rsidR="00694F09">
        <w:rPr>
          <w:rFonts w:asciiTheme="minorHAnsi" w:hAnsiTheme="minorHAnsi" w:cstheme="minorHAnsi"/>
          <w:sz w:val="22"/>
          <w:szCs w:val="22"/>
        </w:rPr>
        <w:t>le</w:t>
      </w:r>
      <w:r w:rsidRPr="001442E2">
        <w:rPr>
          <w:rFonts w:asciiTheme="minorHAnsi" w:hAnsiTheme="minorHAnsi" w:cstheme="minorHAnsi"/>
          <w:sz w:val="22"/>
          <w:szCs w:val="22"/>
        </w:rPr>
        <w:t>s internes</w:t>
      </w:r>
    </w:p>
    <w:p w14:paraId="4BB91A52" w14:textId="77777777" w:rsidR="001442E2" w:rsidRPr="001442E2" w:rsidRDefault="001442E2" w:rsidP="001442E2">
      <w:pPr>
        <w:pStyle w:val="ListParagraph"/>
        <w:numPr>
          <w:ilvl w:val="0"/>
          <w:numId w:val="25"/>
        </w:numPr>
        <w:spacing w:after="0"/>
        <w:ind w:left="360"/>
        <w:rPr>
          <w:rFonts w:asciiTheme="minorHAnsi" w:hAnsiTheme="minorHAnsi" w:cstheme="minorHAnsi"/>
          <w:sz w:val="22"/>
          <w:szCs w:val="22"/>
        </w:rPr>
      </w:pPr>
      <w:r w:rsidRPr="001442E2">
        <w:rPr>
          <w:rFonts w:asciiTheme="minorHAnsi" w:hAnsiTheme="minorHAnsi" w:cstheme="minorHAnsi"/>
          <w:sz w:val="22"/>
          <w:szCs w:val="22"/>
        </w:rPr>
        <w:t>Seules les nominations à des postes de durée déterminée et les nominations à des postes pour une période indéterminée sont incluses (les mutations, les nominations occasionnelles et les nominations intérimaires sont exclues)</w:t>
      </w:r>
    </w:p>
    <w:p w14:paraId="173387EB" w14:textId="77777777" w:rsidR="001442E2" w:rsidRPr="001442E2" w:rsidRDefault="001442E2" w:rsidP="001442E2">
      <w:pPr>
        <w:pStyle w:val="ListParagraph"/>
        <w:numPr>
          <w:ilvl w:val="0"/>
          <w:numId w:val="25"/>
        </w:numPr>
        <w:spacing w:after="0"/>
        <w:ind w:left="360"/>
        <w:rPr>
          <w:rFonts w:asciiTheme="minorHAnsi" w:hAnsiTheme="minorHAnsi" w:cstheme="minorHAnsi"/>
          <w:sz w:val="22"/>
          <w:szCs w:val="22"/>
        </w:rPr>
      </w:pPr>
      <w:r w:rsidRPr="001442E2">
        <w:rPr>
          <w:rFonts w:asciiTheme="minorHAnsi" w:hAnsiTheme="minorHAnsi" w:cstheme="minorHAnsi"/>
          <w:sz w:val="22"/>
          <w:szCs w:val="22"/>
        </w:rPr>
        <w:t xml:space="preserve">Le temps nécessaire à la dotation - Nominations externes (TND-NE) est le nombre médian de jours civils entre la date d'ouverture d'une annonce externe et la date de la première nomination estimative d'une personne de l'extérieur d'une organisation assujettie à la </w:t>
      </w:r>
      <w:r w:rsidRPr="003A5A28">
        <w:rPr>
          <w:rStyle w:val="Emphasis"/>
          <w:rFonts w:asciiTheme="minorHAnsi" w:hAnsiTheme="minorHAnsi" w:cstheme="minorHAnsi"/>
          <w:sz w:val="22"/>
          <w:szCs w:val="18"/>
        </w:rPr>
        <w:t>Loi sur l'emploi dans la fonction publique</w:t>
      </w:r>
      <w:r w:rsidRPr="003A5A28">
        <w:rPr>
          <w:rFonts w:asciiTheme="minorHAnsi" w:hAnsiTheme="minorHAnsi" w:cstheme="minorHAnsi"/>
          <w:sz w:val="20"/>
        </w:rPr>
        <w:t xml:space="preserve"> </w:t>
      </w:r>
      <w:r w:rsidRPr="001442E2">
        <w:rPr>
          <w:rFonts w:asciiTheme="minorHAnsi" w:hAnsiTheme="minorHAnsi" w:cstheme="minorHAnsi"/>
          <w:sz w:val="22"/>
          <w:szCs w:val="22"/>
        </w:rPr>
        <w:t>pour les postes de durée déterminée et pour les postes pour une période indéterminée. Seules les nominations d’une durée déterminée et les nominations pour une période indéterminée sont incluses (les mutations, les nominations occasionnelles et les nominations intérimaires sont exclues)</w:t>
      </w:r>
    </w:p>
    <w:p w14:paraId="2EF20AD4" w14:textId="77777777" w:rsidR="001442E2" w:rsidRPr="001442E2" w:rsidRDefault="001442E2" w:rsidP="001442E2">
      <w:pPr>
        <w:pStyle w:val="ListParagraph"/>
        <w:numPr>
          <w:ilvl w:val="0"/>
          <w:numId w:val="25"/>
        </w:numPr>
        <w:spacing w:after="0"/>
        <w:ind w:left="360"/>
        <w:rPr>
          <w:rFonts w:asciiTheme="minorHAnsi" w:hAnsiTheme="minorHAnsi" w:cstheme="minorHAnsi"/>
          <w:sz w:val="22"/>
          <w:szCs w:val="22"/>
        </w:rPr>
      </w:pPr>
      <w:r w:rsidRPr="001442E2">
        <w:rPr>
          <w:rFonts w:asciiTheme="minorHAnsi" w:hAnsiTheme="minorHAnsi" w:cstheme="minorHAnsi"/>
          <w:sz w:val="22"/>
          <w:szCs w:val="22"/>
        </w:rPr>
        <w:t>Parce que le lien des données entre les systèmes utilise un jumelage probabiliste, des erreurs de mesure sont donc possibles</w:t>
      </w:r>
    </w:p>
    <w:p w14:paraId="1B3A9AA4" w14:textId="77777777" w:rsidR="001442E2" w:rsidRPr="001442E2" w:rsidRDefault="001442E2" w:rsidP="001442E2">
      <w:pPr>
        <w:pStyle w:val="ListParagraph"/>
        <w:numPr>
          <w:ilvl w:val="0"/>
          <w:numId w:val="25"/>
        </w:numPr>
        <w:spacing w:after="0"/>
        <w:ind w:left="360"/>
        <w:rPr>
          <w:rFonts w:asciiTheme="minorHAnsi" w:hAnsiTheme="minorHAnsi" w:cstheme="minorHAnsi"/>
          <w:sz w:val="22"/>
          <w:szCs w:val="22"/>
        </w:rPr>
      </w:pPr>
      <w:r w:rsidRPr="001442E2">
        <w:rPr>
          <w:rFonts w:asciiTheme="minorHAnsi" w:hAnsiTheme="minorHAnsi" w:cstheme="minorHAnsi"/>
          <w:sz w:val="22"/>
          <w:szCs w:val="22"/>
        </w:rPr>
        <w:t>Les données sur les activités d’embauche et de dotation sont tirées des renseignements du Fichier des titulaires du Secrétariat du Conseil du Trésor du Canada.  Le Fichier des titulaires est extrait du système de rémunération de Services publics et Approvisionnement Canada.  Les données constituent une estimation des activités d’embauche et de dotation des organisations.</w:t>
      </w:r>
    </w:p>
    <w:p w14:paraId="324B499D" w14:textId="77777777" w:rsidR="001442E2" w:rsidRPr="001442E2" w:rsidRDefault="001442E2" w:rsidP="001442E2">
      <w:pPr>
        <w:pStyle w:val="ListParagraph"/>
        <w:numPr>
          <w:ilvl w:val="0"/>
          <w:numId w:val="25"/>
        </w:numPr>
        <w:spacing w:after="0"/>
        <w:ind w:left="360"/>
        <w:rPr>
          <w:rFonts w:asciiTheme="minorHAnsi" w:hAnsiTheme="minorHAnsi" w:cstheme="minorHAnsi"/>
          <w:sz w:val="22"/>
          <w:szCs w:val="22"/>
        </w:rPr>
      </w:pPr>
      <w:r w:rsidRPr="001442E2">
        <w:rPr>
          <w:rFonts w:asciiTheme="minorHAnsi" w:hAnsiTheme="minorHAnsi" w:cstheme="minorHAnsi"/>
          <w:sz w:val="22"/>
          <w:szCs w:val="22"/>
        </w:rPr>
        <w:t>L’information du Système de gestion de l’information sur les priorités et du Système de ressourcement de la fonction publique est également utilisée pour déterminer si les processus de dotation sont annoncés ou non annoncés, et pour calculer la durée du processus de dotation.</w:t>
      </w:r>
    </w:p>
    <w:p w14:paraId="0D53E32E" w14:textId="77777777" w:rsidR="001442E2" w:rsidRPr="001442E2" w:rsidRDefault="001442E2" w:rsidP="001442E2">
      <w:pPr>
        <w:pStyle w:val="ListParagraph"/>
        <w:numPr>
          <w:ilvl w:val="0"/>
          <w:numId w:val="25"/>
        </w:numPr>
        <w:spacing w:after="0"/>
        <w:ind w:left="360"/>
        <w:rPr>
          <w:rFonts w:asciiTheme="minorHAnsi" w:hAnsiTheme="minorHAnsi" w:cstheme="minorHAnsi"/>
          <w:sz w:val="22"/>
          <w:szCs w:val="22"/>
        </w:rPr>
      </w:pPr>
      <w:r w:rsidRPr="001442E2">
        <w:rPr>
          <w:rFonts w:asciiTheme="minorHAnsi" w:hAnsiTheme="minorHAnsi" w:cstheme="minorHAnsi"/>
          <w:sz w:val="22"/>
          <w:szCs w:val="22"/>
        </w:rPr>
        <w:t>Ces données ne correspondent pas nécessairement aux donnés sur les ressources humaines de chaque organisation en raison des différences de méthodologie et des périodes visées par l’analyse.</w:t>
      </w:r>
    </w:p>
    <w:sectPr w:rsidR="001442E2" w:rsidRPr="001442E2" w:rsidSect="00325D14">
      <w:pgSz w:w="12240" w:h="20160" w:code="5"/>
      <w:pgMar w:top="720" w:right="720" w:bottom="720" w:left="720"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C9699" w14:textId="77777777" w:rsidR="003F59CB" w:rsidRDefault="003F59CB" w:rsidP="0051557E">
      <w:r>
        <w:separator/>
      </w:r>
    </w:p>
  </w:endnote>
  <w:endnote w:type="continuationSeparator" w:id="0">
    <w:p w14:paraId="2EF7A200" w14:textId="77777777" w:rsidR="003F59CB" w:rsidRDefault="003F59CB" w:rsidP="00515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022837"/>
      <w:docPartObj>
        <w:docPartGallery w:val="Page Numbers (Bottom of Page)"/>
        <w:docPartUnique/>
      </w:docPartObj>
    </w:sdtPr>
    <w:sdtEndPr/>
    <w:sdtContent>
      <w:p w14:paraId="377B0F9D" w14:textId="750CCFF0" w:rsidR="003B1C67" w:rsidRDefault="003B1C67">
        <w:pPr>
          <w:pStyle w:val="Footer"/>
        </w:pPr>
        <w:r>
          <w:fldChar w:fldCharType="begin"/>
        </w:r>
        <w:r>
          <w:instrText>PAGE   \* MERGEFORMAT</w:instrText>
        </w:r>
        <w:r>
          <w:fldChar w:fldCharType="separate"/>
        </w:r>
        <w:r>
          <w:rPr>
            <w:lang w:val="fr-FR"/>
          </w:rPr>
          <w:t>2</w:t>
        </w:r>
        <w:r>
          <w:fldChar w:fldCharType="end"/>
        </w:r>
      </w:p>
    </w:sdtContent>
  </w:sdt>
  <w:p w14:paraId="3312701B" w14:textId="4D30F1A1" w:rsidR="003B1C67" w:rsidRDefault="003B1C67" w:rsidP="000D76E7">
    <w:pPr>
      <w:pStyle w:val="Footer"/>
      <w:jc w:val="right"/>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1120388"/>
      <w:docPartObj>
        <w:docPartGallery w:val="Page Numbers (Bottom of Page)"/>
        <w:docPartUnique/>
      </w:docPartObj>
    </w:sdtPr>
    <w:sdtEndPr/>
    <w:sdtContent>
      <w:p w14:paraId="226741EB" w14:textId="56ADD280" w:rsidR="003B1C67" w:rsidRDefault="003B1C67">
        <w:pPr>
          <w:pStyle w:val="Footer"/>
        </w:pPr>
        <w:r>
          <w:fldChar w:fldCharType="begin"/>
        </w:r>
        <w:r>
          <w:instrText>PAGE   \* MERGEFORMAT</w:instrText>
        </w:r>
        <w:r>
          <w:fldChar w:fldCharType="separate"/>
        </w:r>
        <w:r>
          <w:rPr>
            <w:lang w:val="fr-FR"/>
          </w:rPr>
          <w:t>2</w:t>
        </w:r>
        <w:r>
          <w:fldChar w:fldCharType="end"/>
        </w:r>
      </w:p>
    </w:sdtContent>
  </w:sdt>
  <w:p w14:paraId="655169B0" w14:textId="77777777" w:rsidR="003B1C67" w:rsidRDefault="003B1C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8979687"/>
      <w:docPartObj>
        <w:docPartGallery w:val="Page Numbers (Bottom of Page)"/>
        <w:docPartUnique/>
      </w:docPartObj>
    </w:sdtPr>
    <w:sdtEndPr/>
    <w:sdtContent>
      <w:p w14:paraId="4FDBE975" w14:textId="5D6FCBDD" w:rsidR="003B1C67" w:rsidRDefault="003B1C67">
        <w:pPr>
          <w:pStyle w:val="Footer"/>
        </w:pPr>
        <w:r>
          <w:fldChar w:fldCharType="begin"/>
        </w:r>
        <w:r>
          <w:instrText>PAGE   \* MERGEFORMAT</w:instrText>
        </w:r>
        <w:r>
          <w:fldChar w:fldCharType="separate"/>
        </w:r>
        <w:r>
          <w:rPr>
            <w:lang w:val="fr-FR"/>
          </w:rPr>
          <w:t>2</w:t>
        </w:r>
        <w:r>
          <w:fldChar w:fldCharType="end"/>
        </w:r>
      </w:p>
    </w:sdtContent>
  </w:sdt>
  <w:p w14:paraId="4306CC87" w14:textId="77777777" w:rsidR="003B1C67" w:rsidRPr="00CF4572" w:rsidRDefault="003B1C67" w:rsidP="00CF4572">
    <w:pPr>
      <w:pStyle w:val="Footer"/>
      <w:jc w:val="center"/>
      <w:rPr>
        <w:rFonts w:ascii="Calibri" w:hAnsi="Calibri" w:cs="Calibr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996ED" w14:textId="77777777" w:rsidR="003F59CB" w:rsidRDefault="003F59CB" w:rsidP="0051557E">
      <w:r>
        <w:separator/>
      </w:r>
    </w:p>
  </w:footnote>
  <w:footnote w:type="continuationSeparator" w:id="0">
    <w:p w14:paraId="6CA8C2D6" w14:textId="77777777" w:rsidR="003F59CB" w:rsidRDefault="003F59CB" w:rsidP="0051557E">
      <w:r>
        <w:continuationSeparator/>
      </w:r>
    </w:p>
  </w:footnote>
  <w:footnote w:id="1">
    <w:p w14:paraId="3B2EC167" w14:textId="39C6ACDA" w:rsidR="003B1C67" w:rsidRPr="007F3BF9" w:rsidRDefault="003B1C67" w:rsidP="007F1D49">
      <w:pPr>
        <w:pStyle w:val="FootnoteText"/>
        <w:rPr>
          <w:rFonts w:asciiTheme="minorHAnsi" w:hAnsiTheme="minorHAnsi" w:cstheme="minorHAnsi"/>
        </w:rPr>
      </w:pPr>
      <w:r w:rsidRPr="007F3BF9">
        <w:rPr>
          <w:rStyle w:val="FootnoteReference"/>
          <w:rFonts w:asciiTheme="minorHAnsi" w:hAnsiTheme="minorHAnsi" w:cstheme="minorHAnsi"/>
        </w:rPr>
        <w:footnoteRef/>
      </w:r>
      <w:r w:rsidRPr="007F3BF9">
        <w:rPr>
          <w:rFonts w:asciiTheme="minorHAnsi" w:hAnsiTheme="minorHAnsi"/>
        </w:rPr>
        <w:t xml:space="preserve"> Au 31 août 2020</w:t>
      </w:r>
    </w:p>
  </w:footnote>
  <w:footnote w:id="2">
    <w:p w14:paraId="0BBE6A15" w14:textId="1A82459E" w:rsidR="003B1C67" w:rsidRPr="007F3BF9" w:rsidRDefault="003B1C67" w:rsidP="007F1D49">
      <w:pPr>
        <w:pStyle w:val="FootnoteText"/>
        <w:rPr>
          <w:rFonts w:asciiTheme="minorHAnsi" w:hAnsiTheme="minorHAnsi" w:cstheme="minorHAnsi"/>
        </w:rPr>
      </w:pPr>
      <w:r w:rsidRPr="007F3BF9">
        <w:rPr>
          <w:rStyle w:val="FootnoteReference"/>
          <w:rFonts w:asciiTheme="minorHAnsi" w:hAnsiTheme="minorHAnsi" w:cstheme="minorHAnsi"/>
        </w:rPr>
        <w:footnoteRef/>
      </w:r>
      <w:r w:rsidRPr="007F3BF9">
        <w:rPr>
          <w:rFonts w:asciiTheme="minorHAnsi" w:hAnsiTheme="minorHAnsi"/>
        </w:rPr>
        <w:t xml:space="preserve"> Au 31 août 2020</w:t>
      </w:r>
    </w:p>
  </w:footnote>
  <w:footnote w:id="3">
    <w:p w14:paraId="22F85D0E" w14:textId="562EEC6D" w:rsidR="003B1C67" w:rsidRPr="00A21E06" w:rsidRDefault="003B1C67" w:rsidP="007F1D49">
      <w:pPr>
        <w:pStyle w:val="FootnoteText"/>
      </w:pPr>
      <w:r w:rsidRPr="007F3BF9">
        <w:rPr>
          <w:rStyle w:val="FootnoteReference"/>
          <w:rFonts w:asciiTheme="minorHAnsi" w:hAnsiTheme="minorHAnsi" w:cstheme="minorHAnsi"/>
        </w:rPr>
        <w:footnoteRef/>
      </w:r>
      <w:r w:rsidRPr="007F3BF9">
        <w:rPr>
          <w:rFonts w:asciiTheme="minorHAnsi" w:hAnsiTheme="minorHAnsi"/>
        </w:rPr>
        <w:t xml:space="preserve"> Au 31 août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1DDF"/>
    <w:multiLevelType w:val="hybridMultilevel"/>
    <w:tmpl w:val="D29ADE6E"/>
    <w:lvl w:ilvl="0" w:tplc="10090001">
      <w:start w:val="1"/>
      <w:numFmt w:val="bullet"/>
      <w:lvlText w:val=""/>
      <w:lvlJc w:val="left"/>
      <w:pPr>
        <w:ind w:left="720" w:hanging="360"/>
      </w:pPr>
      <w:rPr>
        <w:rFonts w:ascii="Symbol" w:hAnsi="Symbol" w:hint="default"/>
      </w:rPr>
    </w:lvl>
    <w:lvl w:ilvl="1" w:tplc="E084BEB6">
      <w:numFmt w:val="bullet"/>
      <w:lvlText w:val="-"/>
      <w:lvlJc w:val="left"/>
      <w:pPr>
        <w:ind w:left="1440" w:hanging="360"/>
      </w:pPr>
      <w:rPr>
        <w:rFonts w:ascii="Arial" w:eastAsia="Times New Roman" w:hAnsi="Arial"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2B1D0E"/>
    <w:multiLevelType w:val="hybridMultilevel"/>
    <w:tmpl w:val="9DE4B7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663C21"/>
    <w:multiLevelType w:val="hybridMultilevel"/>
    <w:tmpl w:val="0256ED0E"/>
    <w:lvl w:ilvl="0" w:tplc="CE5C5B68">
      <w:start w:val="1"/>
      <w:numFmt w:val="bullet"/>
      <w:lvlText w:val="•"/>
      <w:lvlJc w:val="left"/>
      <w:pPr>
        <w:ind w:left="1004" w:hanging="360"/>
      </w:pPr>
      <w:rPr>
        <w:rFonts w:ascii="Arial" w:hAnsi="Aria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3" w15:restartNumberingAfterBreak="0">
    <w:nsid w:val="10827FDF"/>
    <w:multiLevelType w:val="hybridMultilevel"/>
    <w:tmpl w:val="C9DC9884"/>
    <w:lvl w:ilvl="0" w:tplc="1009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4745A0D"/>
    <w:multiLevelType w:val="hybridMultilevel"/>
    <w:tmpl w:val="CFE4E61A"/>
    <w:lvl w:ilvl="0" w:tplc="4D7CDC26">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BB64CBB"/>
    <w:multiLevelType w:val="hybridMultilevel"/>
    <w:tmpl w:val="F43C42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F5C35B7"/>
    <w:multiLevelType w:val="hybridMultilevel"/>
    <w:tmpl w:val="EA1CE7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FB057C6"/>
    <w:multiLevelType w:val="hybridMultilevel"/>
    <w:tmpl w:val="EF6A7D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47966E7"/>
    <w:multiLevelType w:val="hybridMultilevel"/>
    <w:tmpl w:val="F76C962E"/>
    <w:lvl w:ilvl="0" w:tplc="CE5C5B68">
      <w:start w:val="1"/>
      <w:numFmt w:val="bullet"/>
      <w:lvlText w:val="•"/>
      <w:lvlJc w:val="left"/>
      <w:pPr>
        <w:tabs>
          <w:tab w:val="num" w:pos="720"/>
        </w:tabs>
        <w:ind w:left="720" w:hanging="360"/>
      </w:pPr>
      <w:rPr>
        <w:rFonts w:ascii="Arial" w:hAnsi="Arial" w:hint="default"/>
      </w:rPr>
    </w:lvl>
    <w:lvl w:ilvl="1" w:tplc="F7F66436">
      <w:start w:val="76"/>
      <w:numFmt w:val="bullet"/>
      <w:lvlText w:val="•"/>
      <w:lvlJc w:val="left"/>
      <w:pPr>
        <w:tabs>
          <w:tab w:val="num" w:pos="1440"/>
        </w:tabs>
        <w:ind w:left="1440" w:hanging="360"/>
      </w:pPr>
      <w:rPr>
        <w:rFonts w:ascii="Arial" w:hAnsi="Arial" w:hint="default"/>
      </w:rPr>
    </w:lvl>
    <w:lvl w:ilvl="2" w:tplc="CEF41514" w:tentative="1">
      <w:start w:val="1"/>
      <w:numFmt w:val="bullet"/>
      <w:lvlText w:val="•"/>
      <w:lvlJc w:val="left"/>
      <w:pPr>
        <w:tabs>
          <w:tab w:val="num" w:pos="2160"/>
        </w:tabs>
        <w:ind w:left="2160" w:hanging="360"/>
      </w:pPr>
      <w:rPr>
        <w:rFonts w:ascii="Arial" w:hAnsi="Arial" w:hint="default"/>
      </w:rPr>
    </w:lvl>
    <w:lvl w:ilvl="3" w:tplc="F482A62E" w:tentative="1">
      <w:start w:val="1"/>
      <w:numFmt w:val="bullet"/>
      <w:lvlText w:val="•"/>
      <w:lvlJc w:val="left"/>
      <w:pPr>
        <w:tabs>
          <w:tab w:val="num" w:pos="2880"/>
        </w:tabs>
        <w:ind w:left="2880" w:hanging="360"/>
      </w:pPr>
      <w:rPr>
        <w:rFonts w:ascii="Arial" w:hAnsi="Arial" w:hint="default"/>
      </w:rPr>
    </w:lvl>
    <w:lvl w:ilvl="4" w:tplc="9AFC614C" w:tentative="1">
      <w:start w:val="1"/>
      <w:numFmt w:val="bullet"/>
      <w:lvlText w:val="•"/>
      <w:lvlJc w:val="left"/>
      <w:pPr>
        <w:tabs>
          <w:tab w:val="num" w:pos="3600"/>
        </w:tabs>
        <w:ind w:left="3600" w:hanging="360"/>
      </w:pPr>
      <w:rPr>
        <w:rFonts w:ascii="Arial" w:hAnsi="Arial" w:hint="default"/>
      </w:rPr>
    </w:lvl>
    <w:lvl w:ilvl="5" w:tplc="2CF65ECC" w:tentative="1">
      <w:start w:val="1"/>
      <w:numFmt w:val="bullet"/>
      <w:lvlText w:val="•"/>
      <w:lvlJc w:val="left"/>
      <w:pPr>
        <w:tabs>
          <w:tab w:val="num" w:pos="4320"/>
        </w:tabs>
        <w:ind w:left="4320" w:hanging="360"/>
      </w:pPr>
      <w:rPr>
        <w:rFonts w:ascii="Arial" w:hAnsi="Arial" w:hint="default"/>
      </w:rPr>
    </w:lvl>
    <w:lvl w:ilvl="6" w:tplc="41D4D958" w:tentative="1">
      <w:start w:val="1"/>
      <w:numFmt w:val="bullet"/>
      <w:lvlText w:val="•"/>
      <w:lvlJc w:val="left"/>
      <w:pPr>
        <w:tabs>
          <w:tab w:val="num" w:pos="5040"/>
        </w:tabs>
        <w:ind w:left="5040" w:hanging="360"/>
      </w:pPr>
      <w:rPr>
        <w:rFonts w:ascii="Arial" w:hAnsi="Arial" w:hint="default"/>
      </w:rPr>
    </w:lvl>
    <w:lvl w:ilvl="7" w:tplc="C680DA1A" w:tentative="1">
      <w:start w:val="1"/>
      <w:numFmt w:val="bullet"/>
      <w:lvlText w:val="•"/>
      <w:lvlJc w:val="left"/>
      <w:pPr>
        <w:tabs>
          <w:tab w:val="num" w:pos="5760"/>
        </w:tabs>
        <w:ind w:left="5760" w:hanging="360"/>
      </w:pPr>
      <w:rPr>
        <w:rFonts w:ascii="Arial" w:hAnsi="Arial" w:hint="default"/>
      </w:rPr>
    </w:lvl>
    <w:lvl w:ilvl="8" w:tplc="BED0E66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5EA4878"/>
    <w:multiLevelType w:val="hybridMultilevel"/>
    <w:tmpl w:val="C9AE9D96"/>
    <w:lvl w:ilvl="0" w:tplc="1009000D">
      <w:start w:val="1"/>
      <w:numFmt w:val="bullet"/>
      <w:lvlText w:val=""/>
      <w:lvlJc w:val="left"/>
      <w:pPr>
        <w:ind w:left="720" w:hanging="360"/>
      </w:pPr>
      <w:rPr>
        <w:rFonts w:ascii="Wingdings" w:hAnsi="Wingdings" w:hint="default"/>
        <w:color w:val="auto"/>
        <w:lang w:val="en-CA"/>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770252F"/>
    <w:multiLevelType w:val="hybridMultilevel"/>
    <w:tmpl w:val="8DD812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98E5A3D"/>
    <w:multiLevelType w:val="hybridMultilevel"/>
    <w:tmpl w:val="70D89B88"/>
    <w:lvl w:ilvl="0" w:tplc="10090001">
      <w:start w:val="1"/>
      <w:numFmt w:val="bullet"/>
      <w:lvlText w:val=""/>
      <w:lvlJc w:val="left"/>
      <w:pPr>
        <w:ind w:left="360" w:hanging="360"/>
      </w:pPr>
      <w:rPr>
        <w:rFonts w:ascii="Symbol" w:hAnsi="Symbol" w:hint="default"/>
      </w:rPr>
    </w:lvl>
    <w:lvl w:ilvl="1" w:tplc="363019FC">
      <w:numFmt w:val="bullet"/>
      <w:lvlText w:val="-"/>
      <w:lvlJc w:val="left"/>
      <w:pPr>
        <w:ind w:left="1080" w:hanging="360"/>
      </w:pPr>
      <w:rPr>
        <w:rFonts w:ascii="Arial" w:eastAsia="Times New Roman" w:hAnsi="Arial" w:cs="Arial"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2BC84B0D"/>
    <w:multiLevelType w:val="hybridMultilevel"/>
    <w:tmpl w:val="EEFE1F2C"/>
    <w:lvl w:ilvl="0" w:tplc="4D7CDC26">
      <w:start w:val="1"/>
      <w:numFmt w:val="bullet"/>
      <w:lvlText w:val=""/>
      <w:lvlJc w:val="left"/>
      <w:pPr>
        <w:ind w:left="1083" w:hanging="360"/>
      </w:pPr>
      <w:rPr>
        <w:rFonts w:ascii="Symbol" w:hAnsi="Symbol" w:hint="default"/>
        <w:color w:val="auto"/>
      </w:rPr>
    </w:lvl>
    <w:lvl w:ilvl="1" w:tplc="10090003" w:tentative="1">
      <w:start w:val="1"/>
      <w:numFmt w:val="bullet"/>
      <w:lvlText w:val="o"/>
      <w:lvlJc w:val="left"/>
      <w:pPr>
        <w:ind w:left="1803" w:hanging="360"/>
      </w:pPr>
      <w:rPr>
        <w:rFonts w:ascii="Courier New" w:hAnsi="Courier New" w:cs="Courier New" w:hint="default"/>
      </w:rPr>
    </w:lvl>
    <w:lvl w:ilvl="2" w:tplc="10090005" w:tentative="1">
      <w:start w:val="1"/>
      <w:numFmt w:val="bullet"/>
      <w:lvlText w:val=""/>
      <w:lvlJc w:val="left"/>
      <w:pPr>
        <w:ind w:left="2523" w:hanging="360"/>
      </w:pPr>
      <w:rPr>
        <w:rFonts w:ascii="Wingdings" w:hAnsi="Wingdings" w:hint="default"/>
      </w:rPr>
    </w:lvl>
    <w:lvl w:ilvl="3" w:tplc="10090001" w:tentative="1">
      <w:start w:val="1"/>
      <w:numFmt w:val="bullet"/>
      <w:lvlText w:val=""/>
      <w:lvlJc w:val="left"/>
      <w:pPr>
        <w:ind w:left="3243" w:hanging="360"/>
      </w:pPr>
      <w:rPr>
        <w:rFonts w:ascii="Symbol" w:hAnsi="Symbol" w:hint="default"/>
      </w:rPr>
    </w:lvl>
    <w:lvl w:ilvl="4" w:tplc="10090003" w:tentative="1">
      <w:start w:val="1"/>
      <w:numFmt w:val="bullet"/>
      <w:lvlText w:val="o"/>
      <w:lvlJc w:val="left"/>
      <w:pPr>
        <w:ind w:left="3963" w:hanging="360"/>
      </w:pPr>
      <w:rPr>
        <w:rFonts w:ascii="Courier New" w:hAnsi="Courier New" w:cs="Courier New" w:hint="default"/>
      </w:rPr>
    </w:lvl>
    <w:lvl w:ilvl="5" w:tplc="10090005" w:tentative="1">
      <w:start w:val="1"/>
      <w:numFmt w:val="bullet"/>
      <w:lvlText w:val=""/>
      <w:lvlJc w:val="left"/>
      <w:pPr>
        <w:ind w:left="4683" w:hanging="360"/>
      </w:pPr>
      <w:rPr>
        <w:rFonts w:ascii="Wingdings" w:hAnsi="Wingdings" w:hint="default"/>
      </w:rPr>
    </w:lvl>
    <w:lvl w:ilvl="6" w:tplc="10090001" w:tentative="1">
      <w:start w:val="1"/>
      <w:numFmt w:val="bullet"/>
      <w:lvlText w:val=""/>
      <w:lvlJc w:val="left"/>
      <w:pPr>
        <w:ind w:left="5403" w:hanging="360"/>
      </w:pPr>
      <w:rPr>
        <w:rFonts w:ascii="Symbol" w:hAnsi="Symbol" w:hint="default"/>
      </w:rPr>
    </w:lvl>
    <w:lvl w:ilvl="7" w:tplc="10090003" w:tentative="1">
      <w:start w:val="1"/>
      <w:numFmt w:val="bullet"/>
      <w:lvlText w:val="o"/>
      <w:lvlJc w:val="left"/>
      <w:pPr>
        <w:ind w:left="6123" w:hanging="360"/>
      </w:pPr>
      <w:rPr>
        <w:rFonts w:ascii="Courier New" w:hAnsi="Courier New" w:cs="Courier New" w:hint="default"/>
      </w:rPr>
    </w:lvl>
    <w:lvl w:ilvl="8" w:tplc="10090005" w:tentative="1">
      <w:start w:val="1"/>
      <w:numFmt w:val="bullet"/>
      <w:lvlText w:val=""/>
      <w:lvlJc w:val="left"/>
      <w:pPr>
        <w:ind w:left="6843" w:hanging="360"/>
      </w:pPr>
      <w:rPr>
        <w:rFonts w:ascii="Wingdings" w:hAnsi="Wingdings" w:hint="default"/>
      </w:rPr>
    </w:lvl>
  </w:abstractNum>
  <w:abstractNum w:abstractNumId="13" w15:restartNumberingAfterBreak="0">
    <w:nsid w:val="2CF03C3D"/>
    <w:multiLevelType w:val="hybridMultilevel"/>
    <w:tmpl w:val="4A6CA702"/>
    <w:lvl w:ilvl="0" w:tplc="0C0C0003">
      <w:start w:val="1"/>
      <w:numFmt w:val="bullet"/>
      <w:lvlText w:val="o"/>
      <w:lvlJc w:val="left"/>
      <w:pPr>
        <w:ind w:left="1080" w:hanging="360"/>
      </w:pPr>
      <w:rPr>
        <w:rFonts w:ascii="Courier New" w:hAnsi="Courier New" w:cs="Courier New" w:hint="default"/>
        <w:color w:val="auto"/>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2E040480"/>
    <w:multiLevelType w:val="hybridMultilevel"/>
    <w:tmpl w:val="CDE6962E"/>
    <w:lvl w:ilvl="0" w:tplc="4D7CDC26">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EE721B5"/>
    <w:multiLevelType w:val="hybridMultilevel"/>
    <w:tmpl w:val="C4F459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05B4CB3"/>
    <w:multiLevelType w:val="hybridMultilevel"/>
    <w:tmpl w:val="4B3837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7A6417"/>
    <w:multiLevelType w:val="hybridMultilevel"/>
    <w:tmpl w:val="39FABF78"/>
    <w:lvl w:ilvl="0" w:tplc="2AA66DAA">
      <w:numFmt w:val="bullet"/>
      <w:lvlText w:val="-"/>
      <w:lvlJc w:val="left"/>
      <w:pPr>
        <w:ind w:left="1800" w:hanging="360"/>
      </w:pPr>
      <w:rPr>
        <w:rFonts w:ascii="Arial" w:eastAsiaTheme="minorHAnsi" w:hAnsi="Arial" w:cs="Arial" w:hint="default"/>
        <w:color w:val="auto"/>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8" w15:restartNumberingAfterBreak="0">
    <w:nsid w:val="3112405F"/>
    <w:multiLevelType w:val="hybridMultilevel"/>
    <w:tmpl w:val="68A28780"/>
    <w:lvl w:ilvl="0" w:tplc="7C82211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495783A"/>
    <w:multiLevelType w:val="hybridMultilevel"/>
    <w:tmpl w:val="3AAA19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6ED6957"/>
    <w:multiLevelType w:val="hybridMultilevel"/>
    <w:tmpl w:val="EDBCE650"/>
    <w:lvl w:ilvl="0" w:tplc="4D7CDC26">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E44718C"/>
    <w:multiLevelType w:val="hybridMultilevel"/>
    <w:tmpl w:val="DF1E189A"/>
    <w:lvl w:ilvl="0" w:tplc="E084BEB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B63083"/>
    <w:multiLevelType w:val="hybridMultilevel"/>
    <w:tmpl w:val="85FEF5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8576C7"/>
    <w:multiLevelType w:val="hybridMultilevel"/>
    <w:tmpl w:val="A0EAA5EE"/>
    <w:lvl w:ilvl="0" w:tplc="10090001">
      <w:start w:val="1"/>
      <w:numFmt w:val="bullet"/>
      <w:lvlText w:val=""/>
      <w:lvlJc w:val="left"/>
      <w:pPr>
        <w:ind w:left="720" w:hanging="360"/>
      </w:pPr>
      <w:rPr>
        <w:rFonts w:ascii="Symbol" w:hAnsi="Symbol" w:hint="default"/>
      </w:rPr>
    </w:lvl>
    <w:lvl w:ilvl="1" w:tplc="E084BEB6">
      <w:numFmt w:val="bullet"/>
      <w:lvlText w:val="-"/>
      <w:lvlJc w:val="left"/>
      <w:pPr>
        <w:ind w:left="1440" w:hanging="360"/>
      </w:pPr>
      <w:rPr>
        <w:rFonts w:ascii="Arial" w:eastAsia="Times New Roman" w:hAnsi="Arial"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7DC19D5"/>
    <w:multiLevelType w:val="hybridMultilevel"/>
    <w:tmpl w:val="F3D258B6"/>
    <w:lvl w:ilvl="0" w:tplc="10090005">
      <w:start w:val="1"/>
      <w:numFmt w:val="bullet"/>
      <w:lvlText w:val=""/>
      <w:lvlJc w:val="left"/>
      <w:pPr>
        <w:ind w:left="720" w:hanging="360"/>
      </w:pPr>
      <w:rPr>
        <w:rFonts w:ascii="Wingdings" w:hAnsi="Wingdings" w:hint="default"/>
      </w:rPr>
    </w:lvl>
    <w:lvl w:ilvl="1" w:tplc="2AA66DAA">
      <w:numFmt w:val="bullet"/>
      <w:lvlText w:val="-"/>
      <w:lvlJc w:val="left"/>
      <w:pPr>
        <w:ind w:left="1440" w:hanging="360"/>
      </w:pPr>
      <w:rPr>
        <w:rFonts w:ascii="Arial" w:eastAsiaTheme="minorHAnsi" w:hAnsi="Arial"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8F242B8"/>
    <w:multiLevelType w:val="hybridMultilevel"/>
    <w:tmpl w:val="884AF698"/>
    <w:lvl w:ilvl="0" w:tplc="10090001">
      <w:start w:val="1"/>
      <w:numFmt w:val="bullet"/>
      <w:lvlText w:val=""/>
      <w:lvlJc w:val="left"/>
      <w:pPr>
        <w:ind w:left="720" w:hanging="360"/>
      </w:pPr>
      <w:rPr>
        <w:rFonts w:ascii="Symbol" w:hAnsi="Symbol" w:hint="default"/>
      </w:rPr>
    </w:lvl>
    <w:lvl w:ilvl="1" w:tplc="E084BEB6">
      <w:numFmt w:val="bullet"/>
      <w:lvlText w:val="-"/>
      <w:lvlJc w:val="left"/>
      <w:pPr>
        <w:ind w:left="1440" w:hanging="360"/>
      </w:pPr>
      <w:rPr>
        <w:rFonts w:ascii="Arial" w:eastAsia="Times New Roman" w:hAnsi="Arial"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39B18DE"/>
    <w:multiLevelType w:val="hybridMultilevel"/>
    <w:tmpl w:val="304081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48C45B4"/>
    <w:multiLevelType w:val="hybridMultilevel"/>
    <w:tmpl w:val="84146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5392DC6"/>
    <w:multiLevelType w:val="hybridMultilevel"/>
    <w:tmpl w:val="2090ADEA"/>
    <w:lvl w:ilvl="0" w:tplc="4D7CDC26">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2603743"/>
    <w:multiLevelType w:val="hybridMultilevel"/>
    <w:tmpl w:val="80F83EE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63656CB2"/>
    <w:multiLevelType w:val="hybridMultilevel"/>
    <w:tmpl w:val="6DFE1124"/>
    <w:lvl w:ilvl="0" w:tplc="4D7CDC26">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0F636F"/>
    <w:multiLevelType w:val="hybridMultilevel"/>
    <w:tmpl w:val="D0EC74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276730E"/>
    <w:multiLevelType w:val="hybridMultilevel"/>
    <w:tmpl w:val="97562B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3333A32"/>
    <w:multiLevelType w:val="hybridMultilevel"/>
    <w:tmpl w:val="877639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780D54F1"/>
    <w:multiLevelType w:val="hybridMultilevel"/>
    <w:tmpl w:val="F3C68F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8E94D26"/>
    <w:multiLevelType w:val="hybridMultilevel"/>
    <w:tmpl w:val="C4C2CE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9405FD1"/>
    <w:multiLevelType w:val="hybridMultilevel"/>
    <w:tmpl w:val="26BA2C4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F857333"/>
    <w:multiLevelType w:val="hybridMultilevel"/>
    <w:tmpl w:val="564E671E"/>
    <w:lvl w:ilvl="0" w:tplc="2AA66DAA">
      <w:numFmt w:val="bullet"/>
      <w:lvlText w:val="-"/>
      <w:lvlJc w:val="left"/>
      <w:pPr>
        <w:ind w:left="1080" w:hanging="360"/>
      </w:pPr>
      <w:rPr>
        <w:rFonts w:ascii="Arial" w:eastAsiaTheme="minorHAnsi"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21"/>
  </w:num>
  <w:num w:numId="2">
    <w:abstractNumId w:val="5"/>
  </w:num>
  <w:num w:numId="3">
    <w:abstractNumId w:val="0"/>
  </w:num>
  <w:num w:numId="4">
    <w:abstractNumId w:val="31"/>
  </w:num>
  <w:num w:numId="5">
    <w:abstractNumId w:val="26"/>
  </w:num>
  <w:num w:numId="6">
    <w:abstractNumId w:val="35"/>
  </w:num>
  <w:num w:numId="7">
    <w:abstractNumId w:val="25"/>
  </w:num>
  <w:num w:numId="8">
    <w:abstractNumId w:val="23"/>
  </w:num>
  <w:num w:numId="9">
    <w:abstractNumId w:val="19"/>
  </w:num>
  <w:num w:numId="10">
    <w:abstractNumId w:val="34"/>
  </w:num>
  <w:num w:numId="11">
    <w:abstractNumId w:val="10"/>
  </w:num>
  <w:num w:numId="12">
    <w:abstractNumId w:val="32"/>
  </w:num>
  <w:num w:numId="13">
    <w:abstractNumId w:val="8"/>
  </w:num>
  <w:num w:numId="14">
    <w:abstractNumId w:val="6"/>
  </w:num>
  <w:num w:numId="15">
    <w:abstractNumId w:val="22"/>
  </w:num>
  <w:num w:numId="16">
    <w:abstractNumId w:val="7"/>
  </w:num>
  <w:num w:numId="17">
    <w:abstractNumId w:val="27"/>
  </w:num>
  <w:num w:numId="18">
    <w:abstractNumId w:val="1"/>
  </w:num>
  <w:num w:numId="19">
    <w:abstractNumId w:val="36"/>
  </w:num>
  <w:num w:numId="20">
    <w:abstractNumId w:val="9"/>
  </w:num>
  <w:num w:numId="21">
    <w:abstractNumId w:val="15"/>
  </w:num>
  <w:num w:numId="22">
    <w:abstractNumId w:val="11"/>
  </w:num>
  <w:num w:numId="23">
    <w:abstractNumId w:val="29"/>
  </w:num>
  <w:num w:numId="24">
    <w:abstractNumId w:val="33"/>
  </w:num>
  <w:num w:numId="25">
    <w:abstractNumId w:val="16"/>
  </w:num>
  <w:num w:numId="26">
    <w:abstractNumId w:val="2"/>
  </w:num>
  <w:num w:numId="27">
    <w:abstractNumId w:val="18"/>
  </w:num>
  <w:num w:numId="28">
    <w:abstractNumId w:val="24"/>
  </w:num>
  <w:num w:numId="29">
    <w:abstractNumId w:val="37"/>
  </w:num>
  <w:num w:numId="30">
    <w:abstractNumId w:val="28"/>
  </w:num>
  <w:num w:numId="31">
    <w:abstractNumId w:val="17"/>
  </w:num>
  <w:num w:numId="32">
    <w:abstractNumId w:val="20"/>
  </w:num>
  <w:num w:numId="33">
    <w:abstractNumId w:val="4"/>
  </w:num>
  <w:num w:numId="34">
    <w:abstractNumId w:val="30"/>
  </w:num>
  <w:num w:numId="35">
    <w:abstractNumId w:val="14"/>
  </w:num>
  <w:num w:numId="36">
    <w:abstractNumId w:val="12"/>
  </w:num>
  <w:num w:numId="37">
    <w:abstractNumId w:val="3"/>
  </w:num>
  <w:num w:numId="38">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8D3"/>
    <w:rsid w:val="0000190F"/>
    <w:rsid w:val="00005F5A"/>
    <w:rsid w:val="00015B47"/>
    <w:rsid w:val="000225BD"/>
    <w:rsid w:val="00022744"/>
    <w:rsid w:val="000272A9"/>
    <w:rsid w:val="000370B0"/>
    <w:rsid w:val="000377FD"/>
    <w:rsid w:val="00037889"/>
    <w:rsid w:val="00037946"/>
    <w:rsid w:val="00042038"/>
    <w:rsid w:val="000465B2"/>
    <w:rsid w:val="00051433"/>
    <w:rsid w:val="00052FE3"/>
    <w:rsid w:val="0005342F"/>
    <w:rsid w:val="00054942"/>
    <w:rsid w:val="00062226"/>
    <w:rsid w:val="00072A3C"/>
    <w:rsid w:val="00084A32"/>
    <w:rsid w:val="00086179"/>
    <w:rsid w:val="00086418"/>
    <w:rsid w:val="00086FEC"/>
    <w:rsid w:val="000A021D"/>
    <w:rsid w:val="000A5B54"/>
    <w:rsid w:val="000A6CE5"/>
    <w:rsid w:val="000A6F52"/>
    <w:rsid w:val="000C2D2F"/>
    <w:rsid w:val="000C3E48"/>
    <w:rsid w:val="000C7E04"/>
    <w:rsid w:val="000D4E10"/>
    <w:rsid w:val="000D76E7"/>
    <w:rsid w:val="000E70A9"/>
    <w:rsid w:val="0010202F"/>
    <w:rsid w:val="00117D89"/>
    <w:rsid w:val="001232AF"/>
    <w:rsid w:val="00131781"/>
    <w:rsid w:val="001402D4"/>
    <w:rsid w:val="00142639"/>
    <w:rsid w:val="00143FEF"/>
    <w:rsid w:val="001442E2"/>
    <w:rsid w:val="001456F7"/>
    <w:rsid w:val="00146540"/>
    <w:rsid w:val="00150FE7"/>
    <w:rsid w:val="001520FE"/>
    <w:rsid w:val="00154343"/>
    <w:rsid w:val="0015465D"/>
    <w:rsid w:val="00156B50"/>
    <w:rsid w:val="00157E41"/>
    <w:rsid w:val="00163622"/>
    <w:rsid w:val="001636F8"/>
    <w:rsid w:val="001679B0"/>
    <w:rsid w:val="00171E20"/>
    <w:rsid w:val="00177795"/>
    <w:rsid w:val="00190FDB"/>
    <w:rsid w:val="001A2BA0"/>
    <w:rsid w:val="001B355D"/>
    <w:rsid w:val="001B470C"/>
    <w:rsid w:val="001B7506"/>
    <w:rsid w:val="001C63D8"/>
    <w:rsid w:val="001D5063"/>
    <w:rsid w:val="001D5EDB"/>
    <w:rsid w:val="001D7553"/>
    <w:rsid w:val="001E0786"/>
    <w:rsid w:val="001E761B"/>
    <w:rsid w:val="001F7461"/>
    <w:rsid w:val="00204B8C"/>
    <w:rsid w:val="00205526"/>
    <w:rsid w:val="00210749"/>
    <w:rsid w:val="00215B48"/>
    <w:rsid w:val="00230B45"/>
    <w:rsid w:val="00231DFC"/>
    <w:rsid w:val="00236552"/>
    <w:rsid w:val="002373BE"/>
    <w:rsid w:val="00244CD0"/>
    <w:rsid w:val="00246364"/>
    <w:rsid w:val="00252A8D"/>
    <w:rsid w:val="002530A7"/>
    <w:rsid w:val="00262923"/>
    <w:rsid w:val="00280CCC"/>
    <w:rsid w:val="00290A92"/>
    <w:rsid w:val="00293111"/>
    <w:rsid w:val="00294BED"/>
    <w:rsid w:val="00296E54"/>
    <w:rsid w:val="002A76BE"/>
    <w:rsid w:val="002B6EDC"/>
    <w:rsid w:val="002C1703"/>
    <w:rsid w:val="002D29D7"/>
    <w:rsid w:val="002D3DA7"/>
    <w:rsid w:val="002D653E"/>
    <w:rsid w:val="002E2944"/>
    <w:rsid w:val="002E521A"/>
    <w:rsid w:val="00304BC2"/>
    <w:rsid w:val="00307643"/>
    <w:rsid w:val="003133DC"/>
    <w:rsid w:val="00322F28"/>
    <w:rsid w:val="00325D14"/>
    <w:rsid w:val="00326D75"/>
    <w:rsid w:val="00343A90"/>
    <w:rsid w:val="00345205"/>
    <w:rsid w:val="0037069A"/>
    <w:rsid w:val="003711EF"/>
    <w:rsid w:val="00380BDE"/>
    <w:rsid w:val="00382F5B"/>
    <w:rsid w:val="00384972"/>
    <w:rsid w:val="003971A4"/>
    <w:rsid w:val="00397A4A"/>
    <w:rsid w:val="00397F78"/>
    <w:rsid w:val="003A5A28"/>
    <w:rsid w:val="003A5FB2"/>
    <w:rsid w:val="003B1C67"/>
    <w:rsid w:val="003B6DDE"/>
    <w:rsid w:val="003C08D9"/>
    <w:rsid w:val="003D2545"/>
    <w:rsid w:val="003D3FDC"/>
    <w:rsid w:val="003D6D80"/>
    <w:rsid w:val="003D7FCC"/>
    <w:rsid w:val="003E6B72"/>
    <w:rsid w:val="003F14A6"/>
    <w:rsid w:val="003F59CB"/>
    <w:rsid w:val="00400C6F"/>
    <w:rsid w:val="00401C32"/>
    <w:rsid w:val="004144B3"/>
    <w:rsid w:val="00421A54"/>
    <w:rsid w:val="00432348"/>
    <w:rsid w:val="00440642"/>
    <w:rsid w:val="00443566"/>
    <w:rsid w:val="00445B89"/>
    <w:rsid w:val="00452E60"/>
    <w:rsid w:val="00456A0D"/>
    <w:rsid w:val="00461BC6"/>
    <w:rsid w:val="00463875"/>
    <w:rsid w:val="00463970"/>
    <w:rsid w:val="00467596"/>
    <w:rsid w:val="00476EF5"/>
    <w:rsid w:val="00481404"/>
    <w:rsid w:val="00483866"/>
    <w:rsid w:val="0049421B"/>
    <w:rsid w:val="004A00BC"/>
    <w:rsid w:val="004A550B"/>
    <w:rsid w:val="004A696C"/>
    <w:rsid w:val="004A7FAA"/>
    <w:rsid w:val="004B039E"/>
    <w:rsid w:val="004B2F46"/>
    <w:rsid w:val="004C130B"/>
    <w:rsid w:val="004D0E5C"/>
    <w:rsid w:val="004D54D0"/>
    <w:rsid w:val="004E06C6"/>
    <w:rsid w:val="00504289"/>
    <w:rsid w:val="0051557E"/>
    <w:rsid w:val="005156F1"/>
    <w:rsid w:val="00521689"/>
    <w:rsid w:val="00522F95"/>
    <w:rsid w:val="005272DB"/>
    <w:rsid w:val="00530A59"/>
    <w:rsid w:val="0054266A"/>
    <w:rsid w:val="005449BC"/>
    <w:rsid w:val="00547467"/>
    <w:rsid w:val="0055113F"/>
    <w:rsid w:val="00561166"/>
    <w:rsid w:val="00561A14"/>
    <w:rsid w:val="00565A37"/>
    <w:rsid w:val="0056643A"/>
    <w:rsid w:val="0056750B"/>
    <w:rsid w:val="005712BB"/>
    <w:rsid w:val="005719F2"/>
    <w:rsid w:val="005730DF"/>
    <w:rsid w:val="005734A0"/>
    <w:rsid w:val="00580FEF"/>
    <w:rsid w:val="0058273B"/>
    <w:rsid w:val="005855AB"/>
    <w:rsid w:val="00586C61"/>
    <w:rsid w:val="00586E1D"/>
    <w:rsid w:val="00590A8C"/>
    <w:rsid w:val="005966C1"/>
    <w:rsid w:val="005B00F8"/>
    <w:rsid w:val="005B3CFC"/>
    <w:rsid w:val="005B7E30"/>
    <w:rsid w:val="005C0483"/>
    <w:rsid w:val="005C4788"/>
    <w:rsid w:val="005C5EFF"/>
    <w:rsid w:val="005D260F"/>
    <w:rsid w:val="005D4281"/>
    <w:rsid w:val="005F0C01"/>
    <w:rsid w:val="005F158E"/>
    <w:rsid w:val="00600B94"/>
    <w:rsid w:val="006261D5"/>
    <w:rsid w:val="006277B2"/>
    <w:rsid w:val="00630459"/>
    <w:rsid w:val="006308B9"/>
    <w:rsid w:val="00630BB1"/>
    <w:rsid w:val="006818DC"/>
    <w:rsid w:val="00694F09"/>
    <w:rsid w:val="00695DED"/>
    <w:rsid w:val="006A26D7"/>
    <w:rsid w:val="006A45E1"/>
    <w:rsid w:val="006B1A50"/>
    <w:rsid w:val="006B3DDE"/>
    <w:rsid w:val="006B5254"/>
    <w:rsid w:val="006B6CE3"/>
    <w:rsid w:val="006C2FDB"/>
    <w:rsid w:val="006C300F"/>
    <w:rsid w:val="006D0A24"/>
    <w:rsid w:val="006D45DC"/>
    <w:rsid w:val="006D7C02"/>
    <w:rsid w:val="006E5632"/>
    <w:rsid w:val="00707AFE"/>
    <w:rsid w:val="00710A5C"/>
    <w:rsid w:val="00720DED"/>
    <w:rsid w:val="00725F5E"/>
    <w:rsid w:val="00726417"/>
    <w:rsid w:val="00731A77"/>
    <w:rsid w:val="00736695"/>
    <w:rsid w:val="007378D3"/>
    <w:rsid w:val="0074458B"/>
    <w:rsid w:val="00747BBC"/>
    <w:rsid w:val="00753A22"/>
    <w:rsid w:val="00755A01"/>
    <w:rsid w:val="00757EDB"/>
    <w:rsid w:val="007632B1"/>
    <w:rsid w:val="0076524A"/>
    <w:rsid w:val="00766E18"/>
    <w:rsid w:val="00782840"/>
    <w:rsid w:val="00784F59"/>
    <w:rsid w:val="007A2288"/>
    <w:rsid w:val="007C263C"/>
    <w:rsid w:val="007C7D31"/>
    <w:rsid w:val="007E03E7"/>
    <w:rsid w:val="007E61DE"/>
    <w:rsid w:val="007F1D49"/>
    <w:rsid w:val="007F3BF9"/>
    <w:rsid w:val="008064AE"/>
    <w:rsid w:val="00810B3D"/>
    <w:rsid w:val="00820F29"/>
    <w:rsid w:val="008228F2"/>
    <w:rsid w:val="00831D62"/>
    <w:rsid w:val="00831F92"/>
    <w:rsid w:val="008331C2"/>
    <w:rsid w:val="00834053"/>
    <w:rsid w:val="008356AD"/>
    <w:rsid w:val="00853392"/>
    <w:rsid w:val="008739EF"/>
    <w:rsid w:val="00877997"/>
    <w:rsid w:val="00893E1D"/>
    <w:rsid w:val="008A41F7"/>
    <w:rsid w:val="008B5F70"/>
    <w:rsid w:val="008B7C1E"/>
    <w:rsid w:val="008C0839"/>
    <w:rsid w:val="008D0CAB"/>
    <w:rsid w:val="008D32C9"/>
    <w:rsid w:val="008E6DD1"/>
    <w:rsid w:val="008F0DCE"/>
    <w:rsid w:val="008F477B"/>
    <w:rsid w:val="008F5203"/>
    <w:rsid w:val="008F75EB"/>
    <w:rsid w:val="00914093"/>
    <w:rsid w:val="009154CC"/>
    <w:rsid w:val="00916961"/>
    <w:rsid w:val="009225C4"/>
    <w:rsid w:val="00926382"/>
    <w:rsid w:val="00930175"/>
    <w:rsid w:val="009308B3"/>
    <w:rsid w:val="00930EF6"/>
    <w:rsid w:val="00932646"/>
    <w:rsid w:val="00941AA1"/>
    <w:rsid w:val="00953CEB"/>
    <w:rsid w:val="00956646"/>
    <w:rsid w:val="00956953"/>
    <w:rsid w:val="00967AF5"/>
    <w:rsid w:val="00972F32"/>
    <w:rsid w:val="00974671"/>
    <w:rsid w:val="0097491B"/>
    <w:rsid w:val="009800DD"/>
    <w:rsid w:val="0098248A"/>
    <w:rsid w:val="009850B7"/>
    <w:rsid w:val="00990779"/>
    <w:rsid w:val="00997D3F"/>
    <w:rsid w:val="009A29F0"/>
    <w:rsid w:val="009A2D1C"/>
    <w:rsid w:val="009A350C"/>
    <w:rsid w:val="009A5626"/>
    <w:rsid w:val="009B22BE"/>
    <w:rsid w:val="009C285D"/>
    <w:rsid w:val="009D293F"/>
    <w:rsid w:val="009D4D02"/>
    <w:rsid w:val="009E1123"/>
    <w:rsid w:val="009E641A"/>
    <w:rsid w:val="009F5000"/>
    <w:rsid w:val="00A015FD"/>
    <w:rsid w:val="00A01BC7"/>
    <w:rsid w:val="00A0495B"/>
    <w:rsid w:val="00A06F93"/>
    <w:rsid w:val="00A10C03"/>
    <w:rsid w:val="00A11775"/>
    <w:rsid w:val="00A14ACF"/>
    <w:rsid w:val="00A15A6D"/>
    <w:rsid w:val="00A33E1E"/>
    <w:rsid w:val="00A3677B"/>
    <w:rsid w:val="00A44204"/>
    <w:rsid w:val="00A5057E"/>
    <w:rsid w:val="00A64EEB"/>
    <w:rsid w:val="00A7366F"/>
    <w:rsid w:val="00A77330"/>
    <w:rsid w:val="00A82B27"/>
    <w:rsid w:val="00AA03F8"/>
    <w:rsid w:val="00AA09A9"/>
    <w:rsid w:val="00AA57D4"/>
    <w:rsid w:val="00AB0F35"/>
    <w:rsid w:val="00AB52EC"/>
    <w:rsid w:val="00AB740B"/>
    <w:rsid w:val="00AC4983"/>
    <w:rsid w:val="00AC5D04"/>
    <w:rsid w:val="00AC7DC1"/>
    <w:rsid w:val="00AD242D"/>
    <w:rsid w:val="00AD27C0"/>
    <w:rsid w:val="00AE4739"/>
    <w:rsid w:val="00AE4D3A"/>
    <w:rsid w:val="00AE59A8"/>
    <w:rsid w:val="00AE71A6"/>
    <w:rsid w:val="00AF0484"/>
    <w:rsid w:val="00B0227B"/>
    <w:rsid w:val="00B11B55"/>
    <w:rsid w:val="00B11FA2"/>
    <w:rsid w:val="00B132A9"/>
    <w:rsid w:val="00B15E73"/>
    <w:rsid w:val="00B24B41"/>
    <w:rsid w:val="00B2578E"/>
    <w:rsid w:val="00B328D3"/>
    <w:rsid w:val="00B328FB"/>
    <w:rsid w:val="00B56B84"/>
    <w:rsid w:val="00B7220B"/>
    <w:rsid w:val="00B72C1E"/>
    <w:rsid w:val="00B75354"/>
    <w:rsid w:val="00B76438"/>
    <w:rsid w:val="00B768E7"/>
    <w:rsid w:val="00B93FD9"/>
    <w:rsid w:val="00B9764B"/>
    <w:rsid w:val="00BA5EF2"/>
    <w:rsid w:val="00BB1974"/>
    <w:rsid w:val="00BB1BE2"/>
    <w:rsid w:val="00BB3387"/>
    <w:rsid w:val="00BB54EC"/>
    <w:rsid w:val="00BC1799"/>
    <w:rsid w:val="00BC2499"/>
    <w:rsid w:val="00BC2A8C"/>
    <w:rsid w:val="00BC5521"/>
    <w:rsid w:val="00BC56F3"/>
    <w:rsid w:val="00BC7AFD"/>
    <w:rsid w:val="00BD0485"/>
    <w:rsid w:val="00BD384B"/>
    <w:rsid w:val="00BE3BD9"/>
    <w:rsid w:val="00BE79E6"/>
    <w:rsid w:val="00BF28EE"/>
    <w:rsid w:val="00BF575E"/>
    <w:rsid w:val="00C0157E"/>
    <w:rsid w:val="00C03650"/>
    <w:rsid w:val="00C05C03"/>
    <w:rsid w:val="00C07A0F"/>
    <w:rsid w:val="00C07F74"/>
    <w:rsid w:val="00C10402"/>
    <w:rsid w:val="00C14ACA"/>
    <w:rsid w:val="00C1596D"/>
    <w:rsid w:val="00C262BB"/>
    <w:rsid w:val="00C27518"/>
    <w:rsid w:val="00C3275A"/>
    <w:rsid w:val="00C367A6"/>
    <w:rsid w:val="00C408E8"/>
    <w:rsid w:val="00C41BF4"/>
    <w:rsid w:val="00C41DDE"/>
    <w:rsid w:val="00C52119"/>
    <w:rsid w:val="00C562F1"/>
    <w:rsid w:val="00C56876"/>
    <w:rsid w:val="00C62C32"/>
    <w:rsid w:val="00C727B4"/>
    <w:rsid w:val="00C73191"/>
    <w:rsid w:val="00C73AFF"/>
    <w:rsid w:val="00C75177"/>
    <w:rsid w:val="00C82E11"/>
    <w:rsid w:val="00C8417D"/>
    <w:rsid w:val="00C91AC5"/>
    <w:rsid w:val="00C94251"/>
    <w:rsid w:val="00CA12D3"/>
    <w:rsid w:val="00CA52CE"/>
    <w:rsid w:val="00CA6A76"/>
    <w:rsid w:val="00CB1381"/>
    <w:rsid w:val="00CB4401"/>
    <w:rsid w:val="00CB7539"/>
    <w:rsid w:val="00CC0EC1"/>
    <w:rsid w:val="00CC5803"/>
    <w:rsid w:val="00CC6400"/>
    <w:rsid w:val="00CD3EE9"/>
    <w:rsid w:val="00CD64EE"/>
    <w:rsid w:val="00CF23B7"/>
    <w:rsid w:val="00CF3227"/>
    <w:rsid w:val="00CF4572"/>
    <w:rsid w:val="00D025D3"/>
    <w:rsid w:val="00D15C5C"/>
    <w:rsid w:val="00D2095C"/>
    <w:rsid w:val="00D26C85"/>
    <w:rsid w:val="00D31933"/>
    <w:rsid w:val="00D33113"/>
    <w:rsid w:val="00D33833"/>
    <w:rsid w:val="00D349E3"/>
    <w:rsid w:val="00D41BA9"/>
    <w:rsid w:val="00D4675F"/>
    <w:rsid w:val="00D619D4"/>
    <w:rsid w:val="00D63760"/>
    <w:rsid w:val="00D65576"/>
    <w:rsid w:val="00D67CC0"/>
    <w:rsid w:val="00D67CC2"/>
    <w:rsid w:val="00D72D5E"/>
    <w:rsid w:val="00D73015"/>
    <w:rsid w:val="00D742F5"/>
    <w:rsid w:val="00D75344"/>
    <w:rsid w:val="00D80168"/>
    <w:rsid w:val="00D8567D"/>
    <w:rsid w:val="00D919FE"/>
    <w:rsid w:val="00DA0C0E"/>
    <w:rsid w:val="00DA0C46"/>
    <w:rsid w:val="00DA4866"/>
    <w:rsid w:val="00DA5149"/>
    <w:rsid w:val="00DA5CFE"/>
    <w:rsid w:val="00DA7821"/>
    <w:rsid w:val="00DB24CC"/>
    <w:rsid w:val="00DB3EB4"/>
    <w:rsid w:val="00DB6829"/>
    <w:rsid w:val="00DC0DFE"/>
    <w:rsid w:val="00DC1044"/>
    <w:rsid w:val="00DC1AD6"/>
    <w:rsid w:val="00DC61CA"/>
    <w:rsid w:val="00DD04F0"/>
    <w:rsid w:val="00DD38B6"/>
    <w:rsid w:val="00DD66EE"/>
    <w:rsid w:val="00DF5B08"/>
    <w:rsid w:val="00E03915"/>
    <w:rsid w:val="00E21E43"/>
    <w:rsid w:val="00E246BC"/>
    <w:rsid w:val="00E2539D"/>
    <w:rsid w:val="00E4148F"/>
    <w:rsid w:val="00E426E5"/>
    <w:rsid w:val="00E62E02"/>
    <w:rsid w:val="00E76AED"/>
    <w:rsid w:val="00E8066F"/>
    <w:rsid w:val="00E97540"/>
    <w:rsid w:val="00EA1CBB"/>
    <w:rsid w:val="00EA3E69"/>
    <w:rsid w:val="00EB2837"/>
    <w:rsid w:val="00ED7144"/>
    <w:rsid w:val="00ED7F0A"/>
    <w:rsid w:val="00EE678E"/>
    <w:rsid w:val="00EF4841"/>
    <w:rsid w:val="00EF78F6"/>
    <w:rsid w:val="00F0212D"/>
    <w:rsid w:val="00F10C53"/>
    <w:rsid w:val="00F22A45"/>
    <w:rsid w:val="00F264C9"/>
    <w:rsid w:val="00F27792"/>
    <w:rsid w:val="00F428A2"/>
    <w:rsid w:val="00F6112B"/>
    <w:rsid w:val="00F63A28"/>
    <w:rsid w:val="00F64B02"/>
    <w:rsid w:val="00F71D05"/>
    <w:rsid w:val="00F74124"/>
    <w:rsid w:val="00F83089"/>
    <w:rsid w:val="00F836C6"/>
    <w:rsid w:val="00F84BD6"/>
    <w:rsid w:val="00FA6951"/>
    <w:rsid w:val="00FB1D2D"/>
    <w:rsid w:val="00FB2648"/>
    <w:rsid w:val="00FB3272"/>
    <w:rsid w:val="00FB656A"/>
    <w:rsid w:val="00FD242A"/>
    <w:rsid w:val="00FD71E0"/>
    <w:rsid w:val="00FE3670"/>
    <w:rsid w:val="00FE46E2"/>
    <w:rsid w:val="00FF528D"/>
    <w:rsid w:val="00FF64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846BA"/>
  <w15:chartTrackingRefBased/>
  <w15:docId w15:val="{E24ECDFB-05E4-47DD-AC98-43C33ACA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2BB"/>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4B2F46"/>
    <w:pPr>
      <w:keepNext/>
      <w:spacing w:before="240" w:after="120"/>
      <w:outlineLvl w:val="0"/>
    </w:pPr>
    <w:rPr>
      <w:rFonts w:asciiTheme="majorHAnsi" w:eastAsiaTheme="majorEastAsia" w:hAnsiTheme="majorHAnsi" w:cstheme="majorBidi"/>
      <w:sz w:val="48"/>
      <w:szCs w:val="48"/>
    </w:rPr>
  </w:style>
  <w:style w:type="paragraph" w:styleId="Heading2">
    <w:name w:val="heading 2"/>
    <w:basedOn w:val="Normal"/>
    <w:next w:val="Normal"/>
    <w:link w:val="Heading2Char"/>
    <w:uiPriority w:val="9"/>
    <w:unhideWhenUsed/>
    <w:qFormat/>
    <w:rsid w:val="004B2F46"/>
    <w:pPr>
      <w:keepNext/>
      <w:spacing w:after="120"/>
      <w:outlineLvl w:val="1"/>
    </w:pPr>
    <w:rPr>
      <w:rFonts w:ascii="Segoe UI" w:eastAsiaTheme="majorEastAsia" w:hAnsi="Segoe UI" w:cs="Segoe UI"/>
      <w:b/>
      <w:color w:val="5B315E" w:themeColor="accent2"/>
      <w:sz w:val="32"/>
      <w:szCs w:val="32"/>
    </w:rPr>
  </w:style>
  <w:style w:type="paragraph" w:styleId="Heading3">
    <w:name w:val="heading 3"/>
    <w:basedOn w:val="Normal"/>
    <w:next w:val="Normal"/>
    <w:link w:val="Heading3Char"/>
    <w:uiPriority w:val="9"/>
    <w:unhideWhenUsed/>
    <w:qFormat/>
    <w:rsid w:val="004B2F46"/>
    <w:pPr>
      <w:keepNext/>
      <w:spacing w:before="40" w:after="120"/>
      <w:outlineLvl w:val="2"/>
    </w:pPr>
    <w:rPr>
      <w:rFonts w:ascii="Segoe UI Semibold" w:eastAsiaTheme="majorEastAsia" w:hAnsi="Segoe UI Semibold" w:cs="Segoe UI Semibold"/>
      <w:szCs w:val="24"/>
    </w:rPr>
  </w:style>
  <w:style w:type="paragraph" w:styleId="Heading4">
    <w:name w:val="heading 4"/>
    <w:basedOn w:val="Normal"/>
    <w:next w:val="Normal"/>
    <w:link w:val="Heading4Char"/>
    <w:uiPriority w:val="9"/>
    <w:unhideWhenUsed/>
    <w:qFormat/>
    <w:rsid w:val="00210749"/>
    <w:pPr>
      <w:keepNext/>
      <w:spacing w:before="40"/>
      <w:outlineLvl w:val="3"/>
    </w:pPr>
    <w:rPr>
      <w:rFonts w:asciiTheme="majorHAnsi" w:eastAsiaTheme="majorEastAsia" w:hAnsiTheme="majorHAnsi" w:cstheme="majorBidi"/>
      <w:iCs/>
      <w:color w:val="54575A" w:themeColor="text2"/>
    </w:rPr>
  </w:style>
  <w:style w:type="paragraph" w:styleId="Heading5">
    <w:name w:val="heading 5"/>
    <w:basedOn w:val="Normal"/>
    <w:next w:val="Normal"/>
    <w:link w:val="Heading5Char"/>
    <w:uiPriority w:val="9"/>
    <w:unhideWhenUsed/>
    <w:qFormat/>
    <w:rsid w:val="00210749"/>
    <w:pPr>
      <w:keepNext/>
      <w:spacing w:before="40"/>
      <w:outlineLvl w:val="4"/>
    </w:pPr>
    <w:rPr>
      <w:rFonts w:asciiTheme="majorHAnsi" w:eastAsiaTheme="majorEastAsia" w:hAnsiTheme="majorHAnsi" w:cstheme="majorBidi"/>
      <w:color w:val="9F004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749"/>
    <w:pPr>
      <w:tabs>
        <w:tab w:val="center" w:pos="4680"/>
        <w:tab w:val="right" w:pos="9360"/>
      </w:tabs>
    </w:pPr>
  </w:style>
  <w:style w:type="character" w:customStyle="1" w:styleId="HeaderChar">
    <w:name w:val="Header Char"/>
    <w:basedOn w:val="DefaultParagraphFont"/>
    <w:link w:val="Header"/>
    <w:uiPriority w:val="99"/>
    <w:rsid w:val="00210749"/>
    <w:rPr>
      <w:color w:val="54575A" w:themeColor="text1"/>
      <w:lang w:val="fr-CA"/>
    </w:rPr>
  </w:style>
  <w:style w:type="paragraph" w:styleId="Footer">
    <w:name w:val="footer"/>
    <w:basedOn w:val="Normal"/>
    <w:link w:val="FooterChar"/>
    <w:uiPriority w:val="99"/>
    <w:unhideWhenUsed/>
    <w:rsid w:val="00210749"/>
    <w:pPr>
      <w:tabs>
        <w:tab w:val="center" w:pos="4680"/>
        <w:tab w:val="right" w:pos="9360"/>
      </w:tabs>
    </w:pPr>
  </w:style>
  <w:style w:type="character" w:customStyle="1" w:styleId="FooterChar">
    <w:name w:val="Footer Char"/>
    <w:basedOn w:val="DefaultParagraphFont"/>
    <w:link w:val="Footer"/>
    <w:uiPriority w:val="99"/>
    <w:rsid w:val="00210749"/>
    <w:rPr>
      <w:color w:val="54575A" w:themeColor="text1"/>
      <w:lang w:val="fr-CA"/>
    </w:rPr>
  </w:style>
  <w:style w:type="paragraph" w:styleId="BalloonText">
    <w:name w:val="Balloon Text"/>
    <w:basedOn w:val="Normal"/>
    <w:link w:val="BalloonTextChar"/>
    <w:uiPriority w:val="99"/>
    <w:semiHidden/>
    <w:unhideWhenUsed/>
    <w:rsid w:val="002107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749"/>
    <w:rPr>
      <w:rFonts w:ascii="Segoe UI" w:hAnsi="Segoe UI" w:cs="Segoe UI"/>
      <w:color w:val="54575A" w:themeColor="text1"/>
      <w:sz w:val="18"/>
      <w:szCs w:val="18"/>
      <w:lang w:val="fr-CA"/>
    </w:rPr>
  </w:style>
  <w:style w:type="paragraph" w:customStyle="1" w:styleId="ColumnTitle">
    <w:name w:val="Column Title"/>
    <w:basedOn w:val="Normal"/>
    <w:qFormat/>
    <w:rsid w:val="00210749"/>
    <w:rPr>
      <w:rFonts w:ascii="Segoe UI Semibold" w:hAnsi="Segoe UI Semibold" w:cs="Segoe UI Semibold"/>
      <w:color w:val="F2F2F2" w:themeColor="background2"/>
      <w:szCs w:val="24"/>
    </w:rPr>
  </w:style>
  <w:style w:type="paragraph" w:customStyle="1" w:styleId="DataText">
    <w:name w:val="Data Text"/>
    <w:basedOn w:val="Normal"/>
    <w:qFormat/>
    <w:rsid w:val="00210749"/>
  </w:style>
  <w:style w:type="character" w:styleId="FootnoteReference">
    <w:name w:val="footnote reference"/>
    <w:basedOn w:val="DefaultParagraphFont"/>
    <w:uiPriority w:val="99"/>
    <w:semiHidden/>
    <w:unhideWhenUsed/>
    <w:rsid w:val="00210749"/>
    <w:rPr>
      <w:vertAlign w:val="superscript"/>
    </w:rPr>
  </w:style>
  <w:style w:type="paragraph" w:styleId="FootnoteText">
    <w:name w:val="footnote text"/>
    <w:basedOn w:val="Normal"/>
    <w:link w:val="FootnoteTextChar"/>
    <w:uiPriority w:val="99"/>
    <w:unhideWhenUsed/>
    <w:rsid w:val="00210749"/>
    <w:rPr>
      <w:sz w:val="20"/>
    </w:rPr>
  </w:style>
  <w:style w:type="character" w:customStyle="1" w:styleId="FootnoteTextChar">
    <w:name w:val="Footnote Text Char"/>
    <w:basedOn w:val="DefaultParagraphFont"/>
    <w:link w:val="FootnoteText"/>
    <w:uiPriority w:val="99"/>
    <w:rsid w:val="00210749"/>
    <w:rPr>
      <w:color w:val="54575A" w:themeColor="text1"/>
      <w:sz w:val="20"/>
      <w:szCs w:val="20"/>
      <w:lang w:val="fr-CA"/>
    </w:rPr>
  </w:style>
  <w:style w:type="character" w:customStyle="1" w:styleId="Heading1Char">
    <w:name w:val="Heading 1 Char"/>
    <w:basedOn w:val="DefaultParagraphFont"/>
    <w:link w:val="Heading1"/>
    <w:uiPriority w:val="9"/>
    <w:rsid w:val="004B2F46"/>
    <w:rPr>
      <w:rFonts w:asciiTheme="majorHAnsi" w:eastAsiaTheme="majorEastAsia" w:hAnsiTheme="majorHAnsi" w:cstheme="majorBidi"/>
      <w:sz w:val="48"/>
      <w:szCs w:val="48"/>
    </w:rPr>
  </w:style>
  <w:style w:type="character" w:customStyle="1" w:styleId="Heading2Char">
    <w:name w:val="Heading 2 Char"/>
    <w:basedOn w:val="DefaultParagraphFont"/>
    <w:link w:val="Heading2"/>
    <w:uiPriority w:val="9"/>
    <w:rsid w:val="004B2F46"/>
    <w:rPr>
      <w:rFonts w:ascii="Segoe UI" w:eastAsiaTheme="majorEastAsia" w:hAnsi="Segoe UI" w:cs="Segoe UI"/>
      <w:b/>
      <w:color w:val="5B315E" w:themeColor="accent2"/>
      <w:sz w:val="32"/>
      <w:szCs w:val="32"/>
      <w:lang w:val="fr-CA"/>
    </w:rPr>
  </w:style>
  <w:style w:type="character" w:customStyle="1" w:styleId="Heading3Char">
    <w:name w:val="Heading 3 Char"/>
    <w:basedOn w:val="DefaultParagraphFont"/>
    <w:link w:val="Heading3"/>
    <w:uiPriority w:val="9"/>
    <w:rsid w:val="004B2F46"/>
    <w:rPr>
      <w:rFonts w:ascii="Segoe UI Semibold" w:eastAsiaTheme="majorEastAsia" w:hAnsi="Segoe UI Semibold" w:cs="Segoe UI Semibold"/>
      <w:sz w:val="24"/>
      <w:szCs w:val="24"/>
    </w:rPr>
  </w:style>
  <w:style w:type="paragraph" w:customStyle="1" w:styleId="Heading3forBox">
    <w:name w:val="Heading 3 for Box"/>
    <w:basedOn w:val="Normal"/>
    <w:qFormat/>
    <w:rsid w:val="00210749"/>
    <w:rPr>
      <w:rFonts w:ascii="Segoe UI Semibold" w:eastAsiaTheme="majorEastAsia" w:hAnsi="Segoe UI Semibold" w:cs="Segoe UI Semibold"/>
      <w:color w:val="FFFFFF" w:themeColor="background1"/>
      <w:szCs w:val="24"/>
    </w:rPr>
  </w:style>
  <w:style w:type="character" w:customStyle="1" w:styleId="Heading4Char">
    <w:name w:val="Heading 4 Char"/>
    <w:basedOn w:val="DefaultParagraphFont"/>
    <w:link w:val="Heading4"/>
    <w:uiPriority w:val="9"/>
    <w:rsid w:val="00210749"/>
    <w:rPr>
      <w:rFonts w:asciiTheme="majorHAnsi" w:eastAsiaTheme="majorEastAsia" w:hAnsiTheme="majorHAnsi" w:cstheme="majorBidi"/>
      <w:iCs/>
      <w:color w:val="54575A" w:themeColor="text2"/>
      <w:lang w:val="fr-CA"/>
    </w:rPr>
  </w:style>
  <w:style w:type="character" w:customStyle="1" w:styleId="Heading5Char">
    <w:name w:val="Heading 5 Char"/>
    <w:basedOn w:val="DefaultParagraphFont"/>
    <w:link w:val="Heading5"/>
    <w:uiPriority w:val="9"/>
    <w:rsid w:val="00210749"/>
    <w:rPr>
      <w:rFonts w:asciiTheme="majorHAnsi" w:eastAsiaTheme="majorEastAsia" w:hAnsiTheme="majorHAnsi" w:cstheme="majorBidi"/>
      <w:color w:val="9F0040" w:themeColor="accent1" w:themeShade="BF"/>
      <w:lang w:val="fr-CA"/>
    </w:rPr>
  </w:style>
  <w:style w:type="paragraph" w:styleId="ListParagraph">
    <w:name w:val="List Paragraph"/>
    <w:aliases w:val="table bullets,List Paragraph1,Recommendation,List Paragraph11,L,List Paragraph2,CV text,Table text,F5 List Paragraph,Dot pt,List Paragraph111,Medium Grid 1 - Accent 21,Numbered Paragraph,Bullet text,Bullet 1,Numbered Para 1,3,Liste 1"/>
    <w:basedOn w:val="Normal"/>
    <w:link w:val="ListParagraphChar"/>
    <w:uiPriority w:val="34"/>
    <w:qFormat/>
    <w:rsid w:val="00210749"/>
    <w:pPr>
      <w:spacing w:after="320"/>
      <w:contextualSpacing/>
    </w:pPr>
  </w:style>
  <w:style w:type="paragraph" w:customStyle="1" w:styleId="NormalWhiteforBox">
    <w:name w:val="Normal White for Box"/>
    <w:basedOn w:val="Normal"/>
    <w:qFormat/>
    <w:rsid w:val="00210749"/>
  </w:style>
  <w:style w:type="paragraph" w:customStyle="1" w:styleId="Numberedlist">
    <w:name w:val="Numbered list"/>
    <w:basedOn w:val="ListParagraph"/>
    <w:qFormat/>
    <w:rsid w:val="00210749"/>
  </w:style>
  <w:style w:type="paragraph" w:styleId="Subtitle">
    <w:name w:val="Subtitle"/>
    <w:basedOn w:val="Normal"/>
    <w:next w:val="Normal"/>
    <w:link w:val="SubtitleChar"/>
    <w:uiPriority w:val="11"/>
    <w:qFormat/>
    <w:rsid w:val="00210749"/>
    <w:rPr>
      <w:rFonts w:ascii="Segoe UI Light" w:hAnsi="Segoe UI Light" w:cs="Segoe UI Light"/>
      <w:sz w:val="36"/>
      <w:szCs w:val="36"/>
    </w:rPr>
  </w:style>
  <w:style w:type="character" w:customStyle="1" w:styleId="SubtitleChar">
    <w:name w:val="Subtitle Char"/>
    <w:basedOn w:val="DefaultParagraphFont"/>
    <w:link w:val="Subtitle"/>
    <w:uiPriority w:val="11"/>
    <w:rsid w:val="00210749"/>
    <w:rPr>
      <w:rFonts w:ascii="Segoe UI Light" w:hAnsi="Segoe UI Light" w:cs="Segoe UI Light"/>
      <w:color w:val="54575A" w:themeColor="text1"/>
      <w:sz w:val="36"/>
      <w:szCs w:val="36"/>
      <w:lang w:val="fr-CA"/>
    </w:rPr>
  </w:style>
  <w:style w:type="table" w:styleId="TableGrid">
    <w:name w:val="Table Grid"/>
    <w:basedOn w:val="TableNormal"/>
    <w:uiPriority w:val="39"/>
    <w:rsid w:val="00210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Heading2"/>
    <w:qFormat/>
    <w:rsid w:val="00210749"/>
    <w:rPr>
      <w:rFonts w:ascii="Segoe UI Semibold" w:hAnsi="Segoe UI Semibold"/>
      <w:b w:val="0"/>
      <w:color w:val="54575A" w:themeColor="text1"/>
    </w:rPr>
  </w:style>
  <w:style w:type="paragraph" w:styleId="Title">
    <w:name w:val="Title"/>
    <w:basedOn w:val="Normal"/>
    <w:next w:val="Normal"/>
    <w:link w:val="TitleChar"/>
    <w:autoRedefine/>
    <w:uiPriority w:val="10"/>
    <w:qFormat/>
    <w:rsid w:val="00CC6400"/>
    <w:pPr>
      <w:spacing w:after="600"/>
      <w:contextualSpacing/>
      <w:jc w:val="center"/>
    </w:pPr>
    <w:rPr>
      <w:rFonts w:asciiTheme="majorHAnsi" w:eastAsiaTheme="majorEastAsia" w:hAnsiTheme="majorHAnsi" w:cstheme="majorHAnsi"/>
      <w:spacing w:val="-10"/>
      <w:kern w:val="28"/>
      <w:sz w:val="36"/>
      <w:szCs w:val="36"/>
    </w:rPr>
  </w:style>
  <w:style w:type="character" w:customStyle="1" w:styleId="TitleChar">
    <w:name w:val="Title Char"/>
    <w:basedOn w:val="DefaultParagraphFont"/>
    <w:link w:val="Title"/>
    <w:uiPriority w:val="10"/>
    <w:rsid w:val="00CC6400"/>
    <w:rPr>
      <w:rFonts w:asciiTheme="majorHAnsi" w:eastAsiaTheme="majorEastAsia" w:hAnsiTheme="majorHAnsi" w:cstheme="majorHAnsi"/>
      <w:spacing w:val="-10"/>
      <w:kern w:val="28"/>
      <w:sz w:val="36"/>
      <w:szCs w:val="36"/>
    </w:rPr>
  </w:style>
  <w:style w:type="paragraph" w:customStyle="1" w:styleId="Style2">
    <w:name w:val="Style2"/>
    <w:basedOn w:val="Normal"/>
    <w:link w:val="Style2Char"/>
    <w:qFormat/>
    <w:rsid w:val="007378D3"/>
    <w:pPr>
      <w:shd w:val="clear" w:color="auto" w:fill="F2F2F2"/>
    </w:pPr>
    <w:rPr>
      <w:rFonts w:ascii="Arial" w:hAnsi="Arial" w:cs="Arial"/>
      <w:b/>
      <w:color w:val="009999"/>
      <w:spacing w:val="-10"/>
    </w:rPr>
  </w:style>
  <w:style w:type="character" w:customStyle="1" w:styleId="Style2Char">
    <w:name w:val="Style2 Char"/>
    <w:basedOn w:val="DefaultParagraphFont"/>
    <w:link w:val="Style2"/>
    <w:rsid w:val="007378D3"/>
    <w:rPr>
      <w:rFonts w:ascii="Arial" w:eastAsia="Times New Roman" w:hAnsi="Arial" w:cs="Arial"/>
      <w:b/>
      <w:color w:val="009999"/>
      <w:spacing w:val="-10"/>
      <w:shd w:val="clear" w:color="auto" w:fill="F2F2F2"/>
    </w:rPr>
  </w:style>
  <w:style w:type="paragraph" w:customStyle="1" w:styleId="Style4">
    <w:name w:val="Style4"/>
    <w:basedOn w:val="Normal"/>
    <w:link w:val="Style4Char"/>
    <w:qFormat/>
    <w:rsid w:val="007378D3"/>
    <w:rPr>
      <w:rFonts w:ascii="Arial" w:hAnsi="Arial" w:cs="Arial"/>
      <w:u w:val="single"/>
      <w:lang w:eastAsia="en-CA"/>
    </w:rPr>
  </w:style>
  <w:style w:type="character" w:customStyle="1" w:styleId="Style4Char">
    <w:name w:val="Style4 Char"/>
    <w:basedOn w:val="DefaultParagraphFont"/>
    <w:link w:val="Style4"/>
    <w:rsid w:val="007378D3"/>
    <w:rPr>
      <w:rFonts w:ascii="Arial" w:eastAsia="Times New Roman" w:hAnsi="Arial" w:cs="Arial"/>
      <w:u w:val="single"/>
      <w:lang w:eastAsia="en-CA"/>
    </w:rPr>
  </w:style>
  <w:style w:type="paragraph" w:styleId="NormalWeb">
    <w:name w:val="Normal (Web)"/>
    <w:basedOn w:val="Normal"/>
    <w:uiPriority w:val="99"/>
    <w:unhideWhenUsed/>
    <w:rsid w:val="007378D3"/>
    <w:pPr>
      <w:spacing w:before="100" w:beforeAutospacing="1" w:after="100" w:afterAutospacing="1"/>
    </w:pPr>
    <w:rPr>
      <w:rFonts w:ascii="Verdana" w:hAnsi="Verdana"/>
      <w:szCs w:val="24"/>
    </w:rPr>
  </w:style>
  <w:style w:type="paragraph" w:customStyle="1" w:styleId="Level1">
    <w:name w:val="Level 1"/>
    <w:basedOn w:val="Normal"/>
    <w:uiPriority w:val="99"/>
    <w:rsid w:val="007378D3"/>
    <w:pPr>
      <w:widowControl w:val="0"/>
    </w:pPr>
  </w:style>
  <w:style w:type="character" w:styleId="Hyperlink">
    <w:name w:val="Hyperlink"/>
    <w:uiPriority w:val="99"/>
    <w:unhideWhenUsed/>
    <w:rsid w:val="007378D3"/>
    <w:rPr>
      <w:color w:val="0563C1"/>
      <w:u w:val="single"/>
    </w:rPr>
  </w:style>
  <w:style w:type="paragraph" w:styleId="NoSpacing">
    <w:name w:val="No Spacing"/>
    <w:uiPriority w:val="1"/>
    <w:qFormat/>
    <w:rsid w:val="00072A3C"/>
    <w:pPr>
      <w:spacing w:after="120" w:line="240" w:lineRule="auto"/>
    </w:pPr>
    <w:rPr>
      <w:rFonts w:eastAsia="Times New Roman" w:cstheme="minorHAnsi"/>
    </w:rPr>
  </w:style>
  <w:style w:type="paragraph" w:customStyle="1" w:styleId="Style1">
    <w:name w:val="Style1"/>
    <w:basedOn w:val="Normal"/>
    <w:link w:val="Style1Char"/>
    <w:qFormat/>
    <w:rsid w:val="007378D3"/>
    <w:pPr>
      <w:pBdr>
        <w:bottom w:val="single" w:sz="4" w:space="1" w:color="92D050"/>
      </w:pBdr>
      <w:autoSpaceDE w:val="0"/>
      <w:autoSpaceDN w:val="0"/>
      <w:adjustRightInd w:val="0"/>
      <w:ind w:right="50"/>
    </w:pPr>
    <w:rPr>
      <w:rFonts w:ascii="Arial" w:hAnsi="Arial" w:cs="Arial"/>
      <w:b/>
      <w:caps/>
      <w:color w:val="92D050"/>
    </w:rPr>
  </w:style>
  <w:style w:type="character" w:customStyle="1" w:styleId="Style1Char">
    <w:name w:val="Style1 Char"/>
    <w:basedOn w:val="DefaultParagraphFont"/>
    <w:link w:val="Style1"/>
    <w:rsid w:val="007378D3"/>
    <w:rPr>
      <w:rFonts w:ascii="Arial" w:eastAsia="Times New Roman" w:hAnsi="Arial" w:cs="Arial"/>
      <w:b/>
      <w:caps/>
      <w:color w:val="92D050"/>
    </w:rPr>
  </w:style>
  <w:style w:type="paragraph" w:customStyle="1" w:styleId="Style6">
    <w:name w:val="Style6"/>
    <w:basedOn w:val="Normal"/>
    <w:link w:val="Style6Char"/>
    <w:qFormat/>
    <w:rsid w:val="007378D3"/>
    <w:pPr>
      <w:jc w:val="center"/>
    </w:pPr>
    <w:rPr>
      <w:rFonts w:ascii="Arial" w:hAnsi="Arial" w:cs="Arial"/>
      <w:b/>
      <w:color w:val="009999"/>
      <w:szCs w:val="24"/>
    </w:rPr>
  </w:style>
  <w:style w:type="paragraph" w:customStyle="1" w:styleId="Style7">
    <w:name w:val="Style7"/>
    <w:basedOn w:val="Normal"/>
    <w:link w:val="Style7Char"/>
    <w:qFormat/>
    <w:rsid w:val="007378D3"/>
    <w:pPr>
      <w:jc w:val="center"/>
    </w:pPr>
    <w:rPr>
      <w:rFonts w:ascii="Arial" w:hAnsi="Arial" w:cs="Arial"/>
      <w:color w:val="009999"/>
      <w:szCs w:val="32"/>
    </w:rPr>
  </w:style>
  <w:style w:type="character" w:customStyle="1" w:styleId="Style6Char">
    <w:name w:val="Style6 Char"/>
    <w:basedOn w:val="DefaultParagraphFont"/>
    <w:link w:val="Style6"/>
    <w:rsid w:val="007378D3"/>
    <w:rPr>
      <w:rFonts w:ascii="Arial" w:eastAsia="Times New Roman" w:hAnsi="Arial" w:cs="Arial"/>
      <w:b/>
      <w:color w:val="009999"/>
      <w:sz w:val="24"/>
      <w:szCs w:val="24"/>
      <w:lang w:val="fr-CA"/>
    </w:rPr>
  </w:style>
  <w:style w:type="paragraph" w:customStyle="1" w:styleId="Style8">
    <w:name w:val="Style8"/>
    <w:basedOn w:val="Normal"/>
    <w:link w:val="Style8Char"/>
    <w:qFormat/>
    <w:rsid w:val="007378D3"/>
    <w:rPr>
      <w:rFonts w:ascii="Arial" w:hAnsi="Arial" w:cs="Arial"/>
      <w:color w:val="767171"/>
      <w:sz w:val="16"/>
    </w:rPr>
  </w:style>
  <w:style w:type="character" w:customStyle="1" w:styleId="Style7Char">
    <w:name w:val="Style7 Char"/>
    <w:basedOn w:val="DefaultParagraphFont"/>
    <w:link w:val="Style7"/>
    <w:rsid w:val="007378D3"/>
    <w:rPr>
      <w:rFonts w:ascii="Arial" w:eastAsia="Times New Roman" w:hAnsi="Arial" w:cs="Arial"/>
      <w:color w:val="009999"/>
      <w:szCs w:val="32"/>
      <w:lang w:val="fr-CA"/>
    </w:rPr>
  </w:style>
  <w:style w:type="paragraph" w:customStyle="1" w:styleId="Style9">
    <w:name w:val="Style9"/>
    <w:basedOn w:val="Normal"/>
    <w:link w:val="Style9Char"/>
    <w:qFormat/>
    <w:rsid w:val="007378D3"/>
    <w:rPr>
      <w:rFonts w:ascii="Arial" w:hAnsi="Arial" w:cs="Arial"/>
      <w:b/>
      <w:color w:val="009999"/>
      <w:spacing w:val="-10"/>
    </w:rPr>
  </w:style>
  <w:style w:type="character" w:customStyle="1" w:styleId="Style8Char">
    <w:name w:val="Style8 Char"/>
    <w:basedOn w:val="DefaultParagraphFont"/>
    <w:link w:val="Style8"/>
    <w:rsid w:val="007378D3"/>
    <w:rPr>
      <w:rFonts w:ascii="Arial" w:eastAsia="Times New Roman" w:hAnsi="Arial" w:cs="Arial"/>
      <w:color w:val="767171"/>
      <w:sz w:val="16"/>
    </w:rPr>
  </w:style>
  <w:style w:type="character" w:customStyle="1" w:styleId="Style9Char">
    <w:name w:val="Style9 Char"/>
    <w:basedOn w:val="DefaultParagraphFont"/>
    <w:link w:val="Style9"/>
    <w:rsid w:val="007378D3"/>
    <w:rPr>
      <w:rFonts w:ascii="Arial" w:eastAsia="Times New Roman" w:hAnsi="Arial" w:cs="Arial"/>
      <w:b/>
      <w:color w:val="009999"/>
      <w:spacing w:val="-10"/>
    </w:rPr>
  </w:style>
  <w:style w:type="character" w:styleId="FollowedHyperlink">
    <w:name w:val="FollowedHyperlink"/>
    <w:basedOn w:val="DefaultParagraphFont"/>
    <w:uiPriority w:val="99"/>
    <w:semiHidden/>
    <w:unhideWhenUsed/>
    <w:rsid w:val="002D653E"/>
    <w:rPr>
      <w:color w:val="A5A5A5" w:themeColor="followedHyperlink"/>
      <w:u w:val="single"/>
    </w:rPr>
  </w:style>
  <w:style w:type="character" w:styleId="Strong">
    <w:name w:val="Strong"/>
    <w:basedOn w:val="DefaultParagraphFont"/>
    <w:uiPriority w:val="22"/>
    <w:qFormat/>
    <w:rsid w:val="00953CEB"/>
    <w:rPr>
      <w:b/>
      <w:bCs/>
    </w:rPr>
  </w:style>
  <w:style w:type="table" w:customStyle="1" w:styleId="Grilledutableau1">
    <w:name w:val="Grille du tableau1"/>
    <w:basedOn w:val="TableNormal"/>
    <w:next w:val="TableGrid"/>
    <w:uiPriority w:val="39"/>
    <w:rsid w:val="000A6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4841"/>
    <w:rPr>
      <w:sz w:val="16"/>
      <w:szCs w:val="16"/>
    </w:rPr>
  </w:style>
  <w:style w:type="paragraph" w:styleId="CommentText">
    <w:name w:val="annotation text"/>
    <w:basedOn w:val="Normal"/>
    <w:link w:val="CommentTextChar"/>
    <w:uiPriority w:val="99"/>
    <w:semiHidden/>
    <w:unhideWhenUsed/>
    <w:rsid w:val="00EF4841"/>
    <w:rPr>
      <w:sz w:val="20"/>
    </w:rPr>
  </w:style>
  <w:style w:type="character" w:customStyle="1" w:styleId="CommentTextChar">
    <w:name w:val="Comment Text Char"/>
    <w:basedOn w:val="DefaultParagraphFont"/>
    <w:link w:val="CommentText"/>
    <w:uiPriority w:val="99"/>
    <w:semiHidden/>
    <w:rsid w:val="00EF4841"/>
    <w:rPr>
      <w:rFonts w:ascii="Times New Roman" w:eastAsia="Times New Roman" w:hAnsi="Times New Roman" w:cs="Times New Roman"/>
      <w:sz w:val="20"/>
      <w:szCs w:val="20"/>
      <w:lang w:val="fr-CA"/>
    </w:rPr>
  </w:style>
  <w:style w:type="paragraph" w:styleId="CommentSubject">
    <w:name w:val="annotation subject"/>
    <w:basedOn w:val="CommentText"/>
    <w:next w:val="CommentText"/>
    <w:link w:val="CommentSubjectChar"/>
    <w:uiPriority w:val="99"/>
    <w:semiHidden/>
    <w:unhideWhenUsed/>
    <w:rsid w:val="00EF4841"/>
    <w:rPr>
      <w:b/>
      <w:bCs/>
    </w:rPr>
  </w:style>
  <w:style w:type="character" w:customStyle="1" w:styleId="CommentSubjectChar">
    <w:name w:val="Comment Subject Char"/>
    <w:basedOn w:val="CommentTextChar"/>
    <w:link w:val="CommentSubject"/>
    <w:uiPriority w:val="99"/>
    <w:semiHidden/>
    <w:rsid w:val="00EF4841"/>
    <w:rPr>
      <w:rFonts w:ascii="Times New Roman" w:eastAsia="Times New Roman" w:hAnsi="Times New Roman" w:cs="Times New Roman"/>
      <w:b/>
      <w:bCs/>
      <w:sz w:val="20"/>
      <w:szCs w:val="20"/>
      <w:lang w:val="fr-CA"/>
    </w:rPr>
  </w:style>
  <w:style w:type="character" w:customStyle="1" w:styleId="ListParagraphChar">
    <w:name w:val="List Paragraph Char"/>
    <w:aliases w:val="table bullets Char,List Paragraph1 Char,Recommendation Char,List Paragraph11 Char,L Char,List Paragraph2 Char,CV text Char,Table text Char,F5 List Paragraph Char,Dot pt Char,List Paragraph111 Char,Medium Grid 1 - Accent 21 Char"/>
    <w:link w:val="ListParagraph"/>
    <w:uiPriority w:val="34"/>
    <w:qFormat/>
    <w:rsid w:val="00461BC6"/>
    <w:rPr>
      <w:rFonts w:ascii="Times New Roman" w:eastAsia="Times New Roman" w:hAnsi="Times New Roman" w:cs="Times New Roman"/>
      <w:sz w:val="24"/>
      <w:szCs w:val="20"/>
      <w:lang w:val="fr-CA"/>
    </w:rPr>
  </w:style>
  <w:style w:type="paragraph" w:styleId="PlainText">
    <w:name w:val="Plain Text"/>
    <w:basedOn w:val="Normal"/>
    <w:link w:val="PlainTextChar"/>
    <w:uiPriority w:val="99"/>
    <w:unhideWhenUsed/>
    <w:rsid w:val="00461BC6"/>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461BC6"/>
    <w:rPr>
      <w:rFonts w:ascii="Calibri" w:hAnsi="Calibri" w:cs="Calibri"/>
    </w:rPr>
  </w:style>
  <w:style w:type="character" w:customStyle="1" w:styleId="Style3">
    <w:name w:val="Style3"/>
    <w:basedOn w:val="DefaultParagraphFont"/>
    <w:uiPriority w:val="1"/>
    <w:rsid w:val="000465B2"/>
    <w:rPr>
      <w:rFonts w:ascii="Arial" w:hAnsi="Arial"/>
      <w:color w:val="auto"/>
      <w:sz w:val="22"/>
    </w:rPr>
  </w:style>
  <w:style w:type="character" w:customStyle="1" w:styleId="Style11">
    <w:name w:val="Style11"/>
    <w:basedOn w:val="DefaultParagraphFont"/>
    <w:uiPriority w:val="1"/>
    <w:qFormat/>
    <w:rsid w:val="00755A01"/>
    <w:rPr>
      <w:rFonts w:ascii="Arial" w:hAnsi="Arial"/>
      <w:color w:val="54575A" w:themeColor="text1"/>
      <w:sz w:val="22"/>
    </w:rPr>
  </w:style>
  <w:style w:type="character" w:styleId="Emphasis">
    <w:name w:val="Emphasis"/>
    <w:basedOn w:val="DefaultParagraphFont"/>
    <w:uiPriority w:val="20"/>
    <w:qFormat/>
    <w:rsid w:val="0074458B"/>
    <w:rPr>
      <w:i/>
      <w:iCs/>
    </w:rPr>
  </w:style>
  <w:style w:type="paragraph" w:styleId="Caption">
    <w:name w:val="caption"/>
    <w:basedOn w:val="Normal"/>
    <w:next w:val="Normal"/>
    <w:uiPriority w:val="35"/>
    <w:unhideWhenUsed/>
    <w:qFormat/>
    <w:rsid w:val="00810B3D"/>
    <w:pPr>
      <w:spacing w:after="200"/>
    </w:pPr>
    <w:rPr>
      <w:i/>
      <w:iCs/>
      <w:color w:val="54575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50059">
      <w:bodyDiv w:val="1"/>
      <w:marLeft w:val="0"/>
      <w:marRight w:val="0"/>
      <w:marTop w:val="0"/>
      <w:marBottom w:val="0"/>
      <w:divBdr>
        <w:top w:val="none" w:sz="0" w:space="0" w:color="auto"/>
        <w:left w:val="none" w:sz="0" w:space="0" w:color="auto"/>
        <w:bottom w:val="none" w:sz="0" w:space="0" w:color="auto"/>
        <w:right w:val="none" w:sz="0" w:space="0" w:color="auto"/>
      </w:divBdr>
    </w:div>
    <w:div w:id="123275428">
      <w:bodyDiv w:val="1"/>
      <w:marLeft w:val="0"/>
      <w:marRight w:val="0"/>
      <w:marTop w:val="0"/>
      <w:marBottom w:val="0"/>
      <w:divBdr>
        <w:top w:val="none" w:sz="0" w:space="0" w:color="auto"/>
        <w:left w:val="none" w:sz="0" w:space="0" w:color="auto"/>
        <w:bottom w:val="none" w:sz="0" w:space="0" w:color="auto"/>
        <w:right w:val="none" w:sz="0" w:space="0" w:color="auto"/>
      </w:divBdr>
    </w:div>
    <w:div w:id="229847356">
      <w:bodyDiv w:val="1"/>
      <w:marLeft w:val="0"/>
      <w:marRight w:val="0"/>
      <w:marTop w:val="0"/>
      <w:marBottom w:val="0"/>
      <w:divBdr>
        <w:top w:val="none" w:sz="0" w:space="0" w:color="auto"/>
        <w:left w:val="none" w:sz="0" w:space="0" w:color="auto"/>
        <w:bottom w:val="none" w:sz="0" w:space="0" w:color="auto"/>
        <w:right w:val="none" w:sz="0" w:space="0" w:color="auto"/>
      </w:divBdr>
    </w:div>
    <w:div w:id="339429105">
      <w:bodyDiv w:val="1"/>
      <w:marLeft w:val="0"/>
      <w:marRight w:val="0"/>
      <w:marTop w:val="0"/>
      <w:marBottom w:val="0"/>
      <w:divBdr>
        <w:top w:val="none" w:sz="0" w:space="0" w:color="auto"/>
        <w:left w:val="none" w:sz="0" w:space="0" w:color="auto"/>
        <w:bottom w:val="none" w:sz="0" w:space="0" w:color="auto"/>
        <w:right w:val="none" w:sz="0" w:space="0" w:color="auto"/>
      </w:divBdr>
    </w:div>
    <w:div w:id="370040188">
      <w:bodyDiv w:val="1"/>
      <w:marLeft w:val="0"/>
      <w:marRight w:val="0"/>
      <w:marTop w:val="0"/>
      <w:marBottom w:val="0"/>
      <w:divBdr>
        <w:top w:val="none" w:sz="0" w:space="0" w:color="auto"/>
        <w:left w:val="none" w:sz="0" w:space="0" w:color="auto"/>
        <w:bottom w:val="none" w:sz="0" w:space="0" w:color="auto"/>
        <w:right w:val="none" w:sz="0" w:space="0" w:color="auto"/>
      </w:divBdr>
    </w:div>
    <w:div w:id="622351730">
      <w:bodyDiv w:val="1"/>
      <w:marLeft w:val="0"/>
      <w:marRight w:val="0"/>
      <w:marTop w:val="0"/>
      <w:marBottom w:val="0"/>
      <w:divBdr>
        <w:top w:val="none" w:sz="0" w:space="0" w:color="auto"/>
        <w:left w:val="none" w:sz="0" w:space="0" w:color="auto"/>
        <w:bottom w:val="none" w:sz="0" w:space="0" w:color="auto"/>
        <w:right w:val="none" w:sz="0" w:space="0" w:color="auto"/>
      </w:divBdr>
    </w:div>
    <w:div w:id="702823860">
      <w:bodyDiv w:val="1"/>
      <w:marLeft w:val="0"/>
      <w:marRight w:val="0"/>
      <w:marTop w:val="0"/>
      <w:marBottom w:val="0"/>
      <w:divBdr>
        <w:top w:val="none" w:sz="0" w:space="0" w:color="auto"/>
        <w:left w:val="none" w:sz="0" w:space="0" w:color="auto"/>
        <w:bottom w:val="none" w:sz="0" w:space="0" w:color="auto"/>
        <w:right w:val="none" w:sz="0" w:space="0" w:color="auto"/>
      </w:divBdr>
    </w:div>
    <w:div w:id="925499589">
      <w:bodyDiv w:val="1"/>
      <w:marLeft w:val="0"/>
      <w:marRight w:val="0"/>
      <w:marTop w:val="0"/>
      <w:marBottom w:val="0"/>
      <w:divBdr>
        <w:top w:val="none" w:sz="0" w:space="0" w:color="auto"/>
        <w:left w:val="none" w:sz="0" w:space="0" w:color="auto"/>
        <w:bottom w:val="none" w:sz="0" w:space="0" w:color="auto"/>
        <w:right w:val="none" w:sz="0" w:space="0" w:color="auto"/>
      </w:divBdr>
    </w:div>
    <w:div w:id="1203178321">
      <w:bodyDiv w:val="1"/>
      <w:marLeft w:val="0"/>
      <w:marRight w:val="0"/>
      <w:marTop w:val="0"/>
      <w:marBottom w:val="0"/>
      <w:divBdr>
        <w:top w:val="none" w:sz="0" w:space="0" w:color="auto"/>
        <w:left w:val="none" w:sz="0" w:space="0" w:color="auto"/>
        <w:bottom w:val="none" w:sz="0" w:space="0" w:color="auto"/>
        <w:right w:val="none" w:sz="0" w:space="0" w:color="auto"/>
      </w:divBdr>
    </w:div>
    <w:div w:id="1248150099">
      <w:bodyDiv w:val="1"/>
      <w:marLeft w:val="0"/>
      <w:marRight w:val="0"/>
      <w:marTop w:val="0"/>
      <w:marBottom w:val="0"/>
      <w:divBdr>
        <w:top w:val="none" w:sz="0" w:space="0" w:color="auto"/>
        <w:left w:val="none" w:sz="0" w:space="0" w:color="auto"/>
        <w:bottom w:val="none" w:sz="0" w:space="0" w:color="auto"/>
        <w:right w:val="none" w:sz="0" w:space="0" w:color="auto"/>
      </w:divBdr>
    </w:div>
    <w:div w:id="1647202427">
      <w:bodyDiv w:val="1"/>
      <w:marLeft w:val="0"/>
      <w:marRight w:val="0"/>
      <w:marTop w:val="0"/>
      <w:marBottom w:val="0"/>
      <w:divBdr>
        <w:top w:val="none" w:sz="0" w:space="0" w:color="auto"/>
        <w:left w:val="none" w:sz="0" w:space="0" w:color="auto"/>
        <w:bottom w:val="none" w:sz="0" w:space="0" w:color="auto"/>
        <w:right w:val="none" w:sz="0" w:space="0" w:color="auto"/>
      </w:divBdr>
    </w:div>
    <w:div w:id="1839996945">
      <w:bodyDiv w:val="1"/>
      <w:marLeft w:val="0"/>
      <w:marRight w:val="0"/>
      <w:marTop w:val="0"/>
      <w:marBottom w:val="0"/>
      <w:divBdr>
        <w:top w:val="none" w:sz="0" w:space="0" w:color="auto"/>
        <w:left w:val="none" w:sz="0" w:space="0" w:color="auto"/>
        <w:bottom w:val="none" w:sz="0" w:space="0" w:color="auto"/>
        <w:right w:val="none" w:sz="0" w:space="0" w:color="auto"/>
      </w:divBdr>
    </w:div>
    <w:div w:id="1875338729">
      <w:bodyDiv w:val="1"/>
      <w:marLeft w:val="0"/>
      <w:marRight w:val="0"/>
      <w:marTop w:val="0"/>
      <w:marBottom w:val="0"/>
      <w:divBdr>
        <w:top w:val="none" w:sz="0" w:space="0" w:color="auto"/>
        <w:left w:val="none" w:sz="0" w:space="0" w:color="auto"/>
        <w:bottom w:val="none" w:sz="0" w:space="0" w:color="auto"/>
        <w:right w:val="none" w:sz="0" w:space="0" w:color="auto"/>
      </w:divBdr>
    </w:div>
    <w:div w:id="199491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ada.ca/fr/gouvernement/fonctionpublique/mieux-etre-inclusion-diversite-fonction-publique/diversite-equite-matiere-emploi/equite-emploi-rapports-annuel/equite-emploi-fonction-publique-canada-2018-2019.html" TargetMode="External"/><Relationship Id="rId13" Type="http://schemas.openxmlformats.org/officeDocument/2006/relationships/image" Target="media/image1.jpeg"/><Relationship Id="rId18" Type="http://schemas.openxmlformats.org/officeDocument/2006/relationships/chart" Target="charts/chart5.xml"/><Relationship Id="rId26"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4.xml"/><Relationship Id="rId25"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oter" Target="footer3.xml"/><Relationship Id="rId28" Type="http://schemas.openxmlformats.org/officeDocument/2006/relationships/chart" Target="charts/chart14.xml"/><Relationship Id="rId10" Type="http://schemas.openxmlformats.org/officeDocument/2006/relationships/hyperlink" Target="https://gcdocs.gc.ca/psc-cfp/llisapi.dll/Overview/10126716" TargetMode="External"/><Relationship Id="rId19" Type="http://schemas.openxmlformats.org/officeDocument/2006/relationships/chart" Target="charts/chart6.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canada.ca/en/public-service-commission/services/staffing-assessment-tools-resources/human-resources-specialists-hiring-managers/recruitment-options-managers/student-recruitment/federal-student-work-experience-program.html" TargetMode="Externa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3.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SC-CFP\Templates\PSC-Letterhead-Corpo2019.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4.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5.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6.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7.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8.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9.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CA" sz="1200" b="1"/>
              <a:t>Population selon la durée d'emploi au 31 mars 2020</a:t>
            </a:r>
          </a:p>
        </c:rich>
      </c:tx>
      <c:layout>
        <c:manualLayout>
          <c:xMode val="edge"/>
          <c:yMode val="edge"/>
          <c:x val="0.19680357653999353"/>
          <c:y val="1.5584415584415584E-2"/>
        </c:manualLayout>
      </c:layout>
      <c:overlay val="1"/>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2225561684641545"/>
          <c:y val="9.350649350649351E-2"/>
          <c:w val="0.8438565211696043"/>
          <c:h val="0.6100861028735044"/>
        </c:manualLayout>
      </c:layout>
      <c:barChart>
        <c:barDir val="col"/>
        <c:grouping val="stacked"/>
        <c:varyColors val="0"/>
        <c:ser>
          <c:idx val="0"/>
          <c:order val="0"/>
          <c:tx>
            <c:strRef>
              <c:f>Sheet1!$B$1</c:f>
              <c:strCache>
                <c:ptCount val="1"/>
                <c:pt idx="0">
                  <c:v>Indéterminée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 2015
(N=4 147) </c:v>
                </c:pt>
                <c:pt idx="1">
                  <c:v> 2016
(N=4 191) </c:v>
                </c:pt>
                <c:pt idx="2">
                  <c:v> 2017
(N=4 451) </c:v>
                </c:pt>
                <c:pt idx="3">
                  <c:v> 2018
(N=4 537) </c:v>
                </c:pt>
                <c:pt idx="4">
                  <c:v>2019
(N=4 571)</c:v>
                </c:pt>
                <c:pt idx="5">
                  <c:v>2020
(N=4 701)</c:v>
                </c:pt>
              </c:strCache>
            </c:strRef>
          </c:cat>
          <c:val>
            <c:numRef>
              <c:f>Sheet1!$B$2:$B$7</c:f>
              <c:numCache>
                <c:formatCode>#\ ###</c:formatCode>
                <c:ptCount val="6"/>
                <c:pt idx="0">
                  <c:v>3507</c:v>
                </c:pt>
                <c:pt idx="1">
                  <c:v>3505</c:v>
                </c:pt>
                <c:pt idx="2">
                  <c:v>3629</c:v>
                </c:pt>
                <c:pt idx="3">
                  <c:v>3597</c:v>
                </c:pt>
                <c:pt idx="4">
                  <c:v>3707</c:v>
                </c:pt>
                <c:pt idx="5">
                  <c:v>3841</c:v>
                </c:pt>
              </c:numCache>
            </c:numRef>
          </c:val>
          <c:extLst>
            <c:ext xmlns:c16="http://schemas.microsoft.com/office/drawing/2014/chart" uri="{C3380CC4-5D6E-409C-BE32-E72D297353CC}">
              <c16:uniqueId val="{00000000-1DA3-4923-A4E7-A2D1725794FA}"/>
            </c:ext>
          </c:extLst>
        </c:ser>
        <c:ser>
          <c:idx val="1"/>
          <c:order val="1"/>
          <c:tx>
            <c:strRef>
              <c:f>Sheet1!$C$1</c:f>
              <c:strCache>
                <c:ptCount val="1"/>
                <c:pt idx="0">
                  <c:v>Déterminée</c:v>
                </c:pt>
              </c:strCache>
            </c:strRef>
          </c:tx>
          <c:spPr>
            <a:solidFill>
              <a:schemeClr val="accent2"/>
            </a:solidFill>
            <a:ln>
              <a:noFill/>
            </a:ln>
            <a:effectLst/>
          </c:spPr>
          <c:invertIfNegative val="0"/>
          <c:dLbls>
            <c:dLbl>
              <c:idx val="0"/>
              <c:layout>
                <c:manualLayout>
                  <c:x val="0"/>
                  <c:y val="3.1168831168831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A3-4923-A4E7-A2D1725794FA}"/>
                </c:ext>
              </c:extLst>
            </c:dLbl>
            <c:dLbl>
              <c:idx val="1"/>
              <c:layout>
                <c:manualLayout>
                  <c:x val="0"/>
                  <c:y val="3.11688311688311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DA3-4923-A4E7-A2D1725794FA}"/>
                </c:ext>
              </c:extLst>
            </c:dLbl>
            <c:dLbl>
              <c:idx val="2"/>
              <c:layout>
                <c:manualLayout>
                  <c:x val="0"/>
                  <c:y val="3.11688311688311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DA3-4923-A4E7-A2D1725794FA}"/>
                </c:ext>
              </c:extLst>
            </c:dLbl>
            <c:dLbl>
              <c:idx val="3"/>
              <c:layout>
                <c:manualLayout>
                  <c:x val="0"/>
                  <c:y val="3.1168831168831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DA3-4923-A4E7-A2D1725794FA}"/>
                </c:ext>
              </c:extLst>
            </c:dLbl>
            <c:dLbl>
              <c:idx val="4"/>
              <c:layout>
                <c:manualLayout>
                  <c:x val="0"/>
                  <c:y val="3.6363636363636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DA3-4923-A4E7-A2D1725794FA}"/>
                </c:ext>
              </c:extLst>
            </c:dLbl>
            <c:dLbl>
              <c:idx val="5"/>
              <c:layout>
                <c:manualLayout>
                  <c:x val="0"/>
                  <c:y val="2.59740259740259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DA3-4923-A4E7-A2D1725794FA}"/>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 2015
(N=4 147) </c:v>
                </c:pt>
                <c:pt idx="1">
                  <c:v> 2016
(N=4 191) </c:v>
                </c:pt>
                <c:pt idx="2">
                  <c:v> 2017
(N=4 451) </c:v>
                </c:pt>
                <c:pt idx="3">
                  <c:v> 2018
(N=4 537) </c:v>
                </c:pt>
                <c:pt idx="4">
                  <c:v>2019
(N=4 571)</c:v>
                </c:pt>
                <c:pt idx="5">
                  <c:v>2020
(N=4 701)</c:v>
                </c:pt>
              </c:strCache>
            </c:strRef>
          </c:cat>
          <c:val>
            <c:numRef>
              <c:f>Sheet1!$C$2:$C$7</c:f>
              <c:numCache>
                <c:formatCode>#\ ###</c:formatCode>
                <c:ptCount val="6"/>
                <c:pt idx="0">
                  <c:v>176</c:v>
                </c:pt>
                <c:pt idx="1">
                  <c:v>214</c:v>
                </c:pt>
                <c:pt idx="2">
                  <c:v>295</c:v>
                </c:pt>
                <c:pt idx="3">
                  <c:v>365</c:v>
                </c:pt>
                <c:pt idx="4">
                  <c:v>406</c:v>
                </c:pt>
                <c:pt idx="5">
                  <c:v>413</c:v>
                </c:pt>
              </c:numCache>
            </c:numRef>
          </c:val>
          <c:extLst>
            <c:ext xmlns:c16="http://schemas.microsoft.com/office/drawing/2014/chart" uri="{C3380CC4-5D6E-409C-BE32-E72D297353CC}">
              <c16:uniqueId val="{00000007-1DA3-4923-A4E7-A2D1725794FA}"/>
            </c:ext>
          </c:extLst>
        </c:ser>
        <c:ser>
          <c:idx val="2"/>
          <c:order val="2"/>
          <c:tx>
            <c:strRef>
              <c:f>Sheet1!$D$1</c:f>
              <c:strCache>
                <c:ptCount val="1"/>
                <c:pt idx="0">
                  <c:v>Occasionnel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 2015
(N=4 147) </c:v>
                </c:pt>
                <c:pt idx="1">
                  <c:v> 2016
(N=4 191) </c:v>
                </c:pt>
                <c:pt idx="2">
                  <c:v> 2017
(N=4 451) </c:v>
                </c:pt>
                <c:pt idx="3">
                  <c:v> 2018
(N=4 537) </c:v>
                </c:pt>
                <c:pt idx="4">
                  <c:v>2019
(N=4 571)</c:v>
                </c:pt>
                <c:pt idx="5">
                  <c:v>2020
(N=4 701)</c:v>
                </c:pt>
              </c:strCache>
            </c:strRef>
          </c:cat>
          <c:val>
            <c:numRef>
              <c:f>Sheet1!$D$2:$D$7</c:f>
              <c:numCache>
                <c:formatCode>#\ ###</c:formatCode>
                <c:ptCount val="6"/>
                <c:pt idx="0">
                  <c:v>298</c:v>
                </c:pt>
                <c:pt idx="1">
                  <c:v>302</c:v>
                </c:pt>
                <c:pt idx="2">
                  <c:v>363</c:v>
                </c:pt>
                <c:pt idx="3">
                  <c:v>384</c:v>
                </c:pt>
                <c:pt idx="4">
                  <c:v>294</c:v>
                </c:pt>
                <c:pt idx="5">
                  <c:v>286</c:v>
                </c:pt>
              </c:numCache>
            </c:numRef>
          </c:val>
          <c:extLst>
            <c:ext xmlns:c16="http://schemas.microsoft.com/office/drawing/2014/chart" uri="{C3380CC4-5D6E-409C-BE32-E72D297353CC}">
              <c16:uniqueId val="{00000008-1DA3-4923-A4E7-A2D1725794FA}"/>
            </c:ext>
          </c:extLst>
        </c:ser>
        <c:ser>
          <c:idx val="3"/>
          <c:order val="3"/>
          <c:tx>
            <c:strRef>
              <c:f>Sheet1!$E$1</c:f>
              <c:strCache>
                <c:ptCount val="1"/>
                <c:pt idx="0">
                  <c:v>Étudiant</c:v>
                </c:pt>
              </c:strCache>
            </c:strRef>
          </c:tx>
          <c:spPr>
            <a:solidFill>
              <a:schemeClr val="accent4"/>
            </a:solidFill>
            <a:ln>
              <a:noFill/>
            </a:ln>
            <a:effectLst/>
          </c:spPr>
          <c:invertIfNegative val="0"/>
          <c:dLbls>
            <c:dLbl>
              <c:idx val="0"/>
              <c:layout>
                <c:manualLayout>
                  <c:x val="0"/>
                  <c:y val="-3.11688311688311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DA3-4923-A4E7-A2D1725794FA}"/>
                </c:ext>
              </c:extLst>
            </c:dLbl>
            <c:dLbl>
              <c:idx val="1"/>
              <c:layout>
                <c:manualLayout>
                  <c:x val="-5.6479117521715313E-17"/>
                  <c:y val="-4.15584415584415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DA3-4923-A4E7-A2D1725794FA}"/>
                </c:ext>
              </c:extLst>
            </c:dLbl>
            <c:dLbl>
              <c:idx val="2"/>
              <c:layout>
                <c:manualLayout>
                  <c:x val="0"/>
                  <c:y val="-4.15584415584415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DA3-4923-A4E7-A2D1725794FA}"/>
                </c:ext>
              </c:extLst>
            </c:dLbl>
            <c:dLbl>
              <c:idx val="3"/>
              <c:layout>
                <c:manualLayout>
                  <c:x val="0"/>
                  <c:y val="-3.6363636363636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DA3-4923-A4E7-A2D1725794FA}"/>
                </c:ext>
              </c:extLst>
            </c:dLbl>
            <c:dLbl>
              <c:idx val="4"/>
              <c:layout>
                <c:manualLayout>
                  <c:x val="0"/>
                  <c:y val="-3.6363636363636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DA3-4923-A4E7-A2D1725794FA}"/>
                </c:ext>
              </c:extLst>
            </c:dLbl>
            <c:dLbl>
              <c:idx val="5"/>
              <c:layout>
                <c:manualLayout>
                  <c:x val="0"/>
                  <c:y val="-3.6363636363636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DA3-4923-A4E7-A2D1725794F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 2015
(N=4 147) </c:v>
                </c:pt>
                <c:pt idx="1">
                  <c:v> 2016
(N=4 191) </c:v>
                </c:pt>
                <c:pt idx="2">
                  <c:v> 2017
(N=4 451) </c:v>
                </c:pt>
                <c:pt idx="3">
                  <c:v> 2018
(N=4 537) </c:v>
                </c:pt>
                <c:pt idx="4">
                  <c:v>2019
(N=4 571)</c:v>
                </c:pt>
                <c:pt idx="5">
                  <c:v>2020
(N=4 701)</c:v>
                </c:pt>
              </c:strCache>
            </c:strRef>
          </c:cat>
          <c:val>
            <c:numRef>
              <c:f>Sheet1!$E$2:$E$7</c:f>
              <c:numCache>
                <c:formatCode>#\ ###</c:formatCode>
                <c:ptCount val="6"/>
                <c:pt idx="0">
                  <c:v>166</c:v>
                </c:pt>
                <c:pt idx="1">
                  <c:v>170</c:v>
                </c:pt>
                <c:pt idx="2">
                  <c:v>164</c:v>
                </c:pt>
                <c:pt idx="3">
                  <c:v>191</c:v>
                </c:pt>
                <c:pt idx="4">
                  <c:v>164</c:v>
                </c:pt>
                <c:pt idx="5">
                  <c:v>161</c:v>
                </c:pt>
              </c:numCache>
            </c:numRef>
          </c:val>
          <c:extLst>
            <c:ext xmlns:c16="http://schemas.microsoft.com/office/drawing/2014/chart" uri="{C3380CC4-5D6E-409C-BE32-E72D297353CC}">
              <c16:uniqueId val="{0000000F-1DA3-4923-A4E7-A2D1725794FA}"/>
            </c:ext>
          </c:extLst>
        </c:ser>
        <c:dLbls>
          <c:dLblPos val="ctr"/>
          <c:showLegendKey val="0"/>
          <c:showVal val="1"/>
          <c:showCatName val="0"/>
          <c:showSerName val="0"/>
          <c:showPercent val="0"/>
          <c:showBubbleSize val="0"/>
        </c:dLbls>
        <c:gapWidth val="150"/>
        <c:overlap val="100"/>
        <c:axId val="805063896"/>
        <c:axId val="805064288"/>
      </c:barChart>
      <c:catAx>
        <c:axId val="805063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805064288"/>
        <c:crosses val="autoZero"/>
        <c:auto val="1"/>
        <c:lblAlgn val="ctr"/>
        <c:lblOffset val="100"/>
        <c:noMultiLvlLbl val="0"/>
      </c:catAx>
      <c:valAx>
        <c:axId val="805064288"/>
        <c:scaling>
          <c:orientation val="minMax"/>
        </c:scaling>
        <c:delete val="0"/>
        <c:axPos val="l"/>
        <c:numFmt formatCode="#\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805063896"/>
        <c:crosses val="autoZero"/>
        <c:crossBetween val="between"/>
      </c:valAx>
      <c:spPr>
        <a:noFill/>
        <a:ln>
          <a:noFill/>
        </a:ln>
        <a:effectLst/>
      </c:spPr>
    </c:plotArea>
    <c:legend>
      <c:legendPos val="b"/>
      <c:layout>
        <c:manualLayout>
          <c:xMode val="edge"/>
          <c:yMode val="edge"/>
          <c:x val="0.13638008742437693"/>
          <c:y val="0.88116821760916253"/>
          <c:w val="0.77653126076430834"/>
          <c:h val="8.7662951222006347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a:t>Population selon le profil linguistique au 31 mars 2020</a:t>
            </a:r>
          </a:p>
          <a:p>
            <a:pPr>
              <a:defRPr sz="1200"/>
            </a:pPr>
            <a:r>
              <a:rPr lang="en-US" sz="1200"/>
              <a:t> (N=4 701)</a:t>
            </a:r>
            <a:endParaRPr lang="en-CA" sz="1200"/>
          </a:p>
        </c:rich>
      </c:tx>
      <c:layout>
        <c:manualLayout>
          <c:xMode val="edge"/>
          <c:yMode val="edge"/>
          <c:x val="0.14725646205219109"/>
          <c:y val="3.352977616928321E-3"/>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9.1595553173654358E-3"/>
          <c:y val="0.28853377023524235"/>
          <c:w val="0.99084044468263455"/>
          <c:h val="0.58773454948566217"/>
        </c:manualLayout>
      </c:layout>
      <c:pieChart>
        <c:varyColors val="1"/>
        <c:ser>
          <c:idx val="0"/>
          <c:order val="0"/>
          <c:tx>
            <c:strRef>
              <c:f>Sheet1!$B$1</c:f>
              <c:strCache>
                <c:ptCount val="1"/>
                <c:pt idx="0">
                  <c:v>Population selon le profil linguistique au 31 mars 2018</c:v>
                </c:pt>
              </c:strCache>
            </c:strRef>
          </c:tx>
          <c:spPr>
            <a:ln w="0">
              <a:noFill/>
            </a:ln>
            <a:effectLst/>
          </c:spPr>
          <c:dPt>
            <c:idx val="0"/>
            <c:bubble3D val="0"/>
            <c:spPr>
              <a:solidFill>
                <a:schemeClr val="accent2"/>
              </a:solidFill>
              <a:ln w="0">
                <a:noFill/>
              </a:ln>
              <a:effectLst/>
            </c:spPr>
            <c:extLst>
              <c:ext xmlns:c16="http://schemas.microsoft.com/office/drawing/2014/chart" uri="{C3380CC4-5D6E-409C-BE32-E72D297353CC}">
                <c16:uniqueId val="{00000001-2D19-41E9-BFE1-358DE9BC7BD7}"/>
              </c:ext>
            </c:extLst>
          </c:dPt>
          <c:dPt>
            <c:idx val="1"/>
            <c:bubble3D val="0"/>
            <c:spPr>
              <a:solidFill>
                <a:schemeClr val="accent1"/>
              </a:solidFill>
              <a:ln w="0">
                <a:noFill/>
              </a:ln>
              <a:effectLst/>
            </c:spPr>
            <c:extLst>
              <c:ext xmlns:c16="http://schemas.microsoft.com/office/drawing/2014/chart" uri="{C3380CC4-5D6E-409C-BE32-E72D297353CC}">
                <c16:uniqueId val="{00000003-2D19-41E9-BFE1-358DE9BC7BD7}"/>
              </c:ext>
            </c:extLst>
          </c:dPt>
          <c:dLbls>
            <c:dLbl>
              <c:idx val="0"/>
              <c:layout>
                <c:manualLayout>
                  <c:x val="-0.11343804537521823"/>
                  <c:y val="-0.14995231574314088"/>
                </c:manualLayout>
              </c:layout>
              <c:showLegendKey val="0"/>
              <c:showVal val="0"/>
              <c:showCatName val="1"/>
              <c:showSerName val="0"/>
              <c:showPercent val="1"/>
              <c:showBubbleSize val="0"/>
              <c:extLst>
                <c:ext xmlns:c15="http://schemas.microsoft.com/office/drawing/2012/chart" uri="{CE6537A1-D6FC-4f65-9D91-7224C49458BB}">
                  <c15:layout>
                    <c:manualLayout>
                      <c:w val="0.33813263525305409"/>
                      <c:h val="0.24974120082815734"/>
                    </c:manualLayout>
                  </c15:layout>
                </c:ext>
                <c:ext xmlns:c16="http://schemas.microsoft.com/office/drawing/2014/chart" uri="{C3380CC4-5D6E-409C-BE32-E72D297353CC}">
                  <c16:uniqueId val="{00000001-2D19-41E9-BFE1-358DE9BC7BD7}"/>
                </c:ext>
              </c:extLst>
            </c:dLbl>
            <c:dLbl>
              <c:idx val="1"/>
              <c:layout>
                <c:manualLayout>
                  <c:x val="0.14834205933682373"/>
                  <c:y val="8.4267455698472479E-2"/>
                </c:manualLayout>
              </c:layout>
              <c:showLegendKey val="0"/>
              <c:showVal val="0"/>
              <c:showCatName val="1"/>
              <c:showSerName val="0"/>
              <c:showPercent val="1"/>
              <c:showBubbleSize val="0"/>
              <c:extLst>
                <c:ext xmlns:c15="http://schemas.microsoft.com/office/drawing/2012/chart" uri="{CE6537A1-D6FC-4f65-9D91-7224C49458BB}">
                  <c15:layout>
                    <c:manualLayout>
                      <c:w val="0.39048865619546247"/>
                      <c:h val="0.18633540372670807"/>
                    </c:manualLayout>
                  </c15:layout>
                </c:ext>
                <c:ext xmlns:c16="http://schemas.microsoft.com/office/drawing/2014/chart" uri="{C3380CC4-5D6E-409C-BE32-E72D297353CC}">
                  <c16:uniqueId val="{00000003-2D19-41E9-BFE1-358DE9BC7BD7}"/>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2"/>
                <c:pt idx="0">
                  <c:v>Bilingue</c:v>
                </c:pt>
                <c:pt idx="1">
                  <c:v>Unilingue</c:v>
                </c:pt>
              </c:strCache>
            </c:strRef>
          </c:cat>
          <c:val>
            <c:numRef>
              <c:f>Sheet1!$B$2:$B$3</c:f>
              <c:numCache>
                <c:formatCode>0</c:formatCode>
                <c:ptCount val="2"/>
                <c:pt idx="0">
                  <c:v>1139</c:v>
                </c:pt>
                <c:pt idx="1">
                  <c:v>1786</c:v>
                </c:pt>
              </c:numCache>
            </c:numRef>
          </c:val>
          <c:extLst>
            <c:ext xmlns:c16="http://schemas.microsoft.com/office/drawing/2014/chart" uri="{C3380CC4-5D6E-409C-BE32-E72D297353CC}">
              <c16:uniqueId val="{00000004-2D19-41E9-BFE1-358DE9BC7BD7}"/>
            </c:ext>
          </c:extLst>
        </c:ser>
        <c:dLbls>
          <c:showLegendKey val="0"/>
          <c:showVal val="0"/>
          <c:showCatName val="0"/>
          <c:showSerName val="0"/>
          <c:showPercent val="0"/>
          <c:showBubbleSize val="0"/>
          <c:showLeaderLines val="1"/>
        </c:dLbls>
        <c:firstSliceAng val="42"/>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US" sz="1200" b="1">
                <a:solidFill>
                  <a:sysClr val="windowText" lastClr="000000"/>
                </a:solidFill>
              </a:rPr>
              <a:t>Population selon le groupe professionnel au 31 mars 2020</a:t>
            </a:r>
          </a:p>
          <a:p>
            <a:pPr>
              <a:defRPr sz="1200" b="1"/>
            </a:pPr>
            <a:r>
              <a:rPr lang="en-US" sz="1200" b="1">
                <a:solidFill>
                  <a:sysClr val="windowText" lastClr="000000"/>
                </a:solidFill>
              </a:rPr>
              <a:t>(N=4 701)</a:t>
            </a:r>
          </a:p>
        </c:rich>
      </c:tx>
      <c:layout>
        <c:manualLayout>
          <c:xMode val="edge"/>
          <c:yMode val="edge"/>
          <c:x val="0.10110764087449962"/>
          <c:y val="5.1079996323416775E-3"/>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3.2974903153141777E-2"/>
          <c:y val="0.35969484049985762"/>
          <c:w val="0.90543204445812986"/>
          <c:h val="0.63063165742414495"/>
        </c:manualLayout>
      </c:layout>
      <c:pieChart>
        <c:varyColors val="1"/>
        <c:ser>
          <c:idx val="0"/>
          <c:order val="0"/>
          <c:tx>
            <c:strRef>
              <c:f>Sheet1!$B$1</c:f>
              <c:strCache>
                <c:ptCount val="1"/>
                <c:pt idx="0">
                  <c:v>Population selon le groupe professionnel au 31 mars 2018</c:v>
                </c:pt>
              </c:strCache>
            </c:strRef>
          </c:tx>
          <c:spPr>
            <a:ln w="3175"/>
          </c:spPr>
          <c:dPt>
            <c:idx val="0"/>
            <c:bubble3D val="0"/>
            <c:spPr>
              <a:solidFill>
                <a:schemeClr val="accent2"/>
              </a:solidFill>
              <a:ln w="3175">
                <a:solidFill>
                  <a:schemeClr val="lt1"/>
                </a:solidFill>
              </a:ln>
              <a:effectLst/>
            </c:spPr>
            <c:extLst>
              <c:ext xmlns:c16="http://schemas.microsoft.com/office/drawing/2014/chart" uri="{C3380CC4-5D6E-409C-BE32-E72D297353CC}">
                <c16:uniqueId val="{00000001-40E3-4893-81E9-B214D4FC0558}"/>
              </c:ext>
            </c:extLst>
          </c:dPt>
          <c:dPt>
            <c:idx val="1"/>
            <c:bubble3D val="0"/>
            <c:spPr>
              <a:solidFill>
                <a:schemeClr val="accent1"/>
              </a:solidFill>
              <a:ln w="3175">
                <a:solidFill>
                  <a:schemeClr val="lt1"/>
                </a:solidFill>
              </a:ln>
              <a:effectLst/>
            </c:spPr>
            <c:extLst>
              <c:ext xmlns:c16="http://schemas.microsoft.com/office/drawing/2014/chart" uri="{C3380CC4-5D6E-409C-BE32-E72D297353CC}">
                <c16:uniqueId val="{00000003-40E3-4893-81E9-B214D4FC0558}"/>
              </c:ext>
            </c:extLst>
          </c:dPt>
          <c:dPt>
            <c:idx val="2"/>
            <c:bubble3D val="0"/>
            <c:spPr>
              <a:solidFill>
                <a:schemeClr val="accent6">
                  <a:lumMod val="40000"/>
                  <a:lumOff val="60000"/>
                </a:schemeClr>
              </a:solidFill>
              <a:ln w="3175">
                <a:solidFill>
                  <a:schemeClr val="lt1"/>
                </a:solidFill>
              </a:ln>
              <a:effectLst/>
            </c:spPr>
            <c:extLst>
              <c:ext xmlns:c16="http://schemas.microsoft.com/office/drawing/2014/chart" uri="{C3380CC4-5D6E-409C-BE32-E72D297353CC}">
                <c16:uniqueId val="{00000005-40E3-4893-81E9-B214D4FC0558}"/>
              </c:ext>
            </c:extLst>
          </c:dPt>
          <c:dPt>
            <c:idx val="3"/>
            <c:bubble3D val="0"/>
            <c:spPr>
              <a:solidFill>
                <a:schemeClr val="accent4"/>
              </a:solidFill>
              <a:ln w="3175">
                <a:solidFill>
                  <a:schemeClr val="lt1"/>
                </a:solidFill>
              </a:ln>
              <a:effectLst/>
            </c:spPr>
            <c:extLst>
              <c:ext xmlns:c16="http://schemas.microsoft.com/office/drawing/2014/chart" uri="{C3380CC4-5D6E-409C-BE32-E72D297353CC}">
                <c16:uniqueId val="{00000007-40E3-4893-81E9-B214D4FC0558}"/>
              </c:ext>
            </c:extLst>
          </c:dPt>
          <c:dPt>
            <c:idx val="4"/>
            <c:bubble3D val="0"/>
            <c:spPr>
              <a:solidFill>
                <a:schemeClr val="accent3"/>
              </a:solidFill>
              <a:ln w="3175">
                <a:solidFill>
                  <a:schemeClr val="lt1"/>
                </a:solidFill>
              </a:ln>
              <a:effectLst/>
            </c:spPr>
            <c:extLst>
              <c:ext xmlns:c16="http://schemas.microsoft.com/office/drawing/2014/chart" uri="{C3380CC4-5D6E-409C-BE32-E72D297353CC}">
                <c16:uniqueId val="{00000009-40E3-4893-81E9-B214D4FC0558}"/>
              </c:ext>
            </c:extLst>
          </c:dPt>
          <c:dPt>
            <c:idx val="5"/>
            <c:bubble3D val="0"/>
            <c:spPr>
              <a:solidFill>
                <a:schemeClr val="accent6"/>
              </a:solidFill>
              <a:ln w="3175">
                <a:solidFill>
                  <a:schemeClr val="lt1"/>
                </a:solidFill>
              </a:ln>
              <a:effectLst/>
            </c:spPr>
            <c:extLst>
              <c:ext xmlns:c16="http://schemas.microsoft.com/office/drawing/2014/chart" uri="{C3380CC4-5D6E-409C-BE32-E72D297353CC}">
                <c16:uniqueId val="{0000000B-40E3-4893-81E9-B214D4FC0558}"/>
              </c:ext>
            </c:extLst>
          </c:dPt>
          <c:dLbls>
            <c:dLbl>
              <c:idx val="0"/>
              <c:layout>
                <c:manualLayout>
                  <c:x val="-7.3557145959705653E-2"/>
                  <c:y val="-8.476023655159169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81783194355356"/>
                      <c:h val="0.15113540790580321"/>
                    </c:manualLayout>
                  </c15:layout>
                </c:ext>
                <c:ext xmlns:c16="http://schemas.microsoft.com/office/drawing/2014/chart" uri="{C3380CC4-5D6E-409C-BE32-E72D297353CC}">
                  <c16:uniqueId val="{00000001-40E3-4893-81E9-B214D4FC0558}"/>
                </c:ext>
              </c:extLst>
            </c:dLbl>
            <c:dLbl>
              <c:idx val="1"/>
              <c:layout>
                <c:manualLayout>
                  <c:x val="0.2011173184357542"/>
                  <c:y val="-0.11854162198596781"/>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40E3-4893-81E9-B214D4FC0558}"/>
                </c:ext>
              </c:extLst>
            </c:dLbl>
            <c:dLbl>
              <c:idx val="2"/>
              <c:layout>
                <c:manualLayout>
                  <c:x val="5.9590316573556797E-2"/>
                  <c:y val="3.6749491916622311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705897135198526"/>
                      <c:h val="0.18653716923516855"/>
                    </c:manualLayout>
                  </c15:layout>
                </c:ext>
                <c:ext xmlns:c16="http://schemas.microsoft.com/office/drawing/2014/chart" uri="{C3380CC4-5D6E-409C-BE32-E72D297353CC}">
                  <c16:uniqueId val="{00000005-40E3-4893-81E9-B214D4FC0558}"/>
                </c:ext>
              </c:extLst>
            </c:dLbl>
            <c:dLbl>
              <c:idx val="3"/>
              <c:layout>
                <c:manualLayout>
                  <c:x val="8.1936978548072553E-2"/>
                  <c:y val="0.1105605768150576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0205167173252284"/>
                      <c:h val="0.13359273670557717"/>
                    </c:manualLayout>
                  </c15:layout>
                </c:ext>
                <c:ext xmlns:c16="http://schemas.microsoft.com/office/drawing/2014/chart" uri="{C3380CC4-5D6E-409C-BE32-E72D297353CC}">
                  <c16:uniqueId val="{00000007-40E3-4893-81E9-B214D4FC0558}"/>
                </c:ext>
              </c:extLst>
            </c:dLbl>
            <c:dLbl>
              <c:idx val="5"/>
              <c:layout>
                <c:manualLayout>
                  <c:x val="-0.16"/>
                  <c:y val="6.1969218828191223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B-40E3-4893-81E9-B214D4FC0558}"/>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EC</c:v>
                </c:pt>
                <c:pt idx="1">
                  <c:v>AS</c:v>
                </c:pt>
                <c:pt idx="2">
                  <c:v>SE</c:v>
                </c:pt>
                <c:pt idx="3">
                  <c:v>EG</c:v>
                </c:pt>
                <c:pt idx="4">
                  <c:v>EN</c:v>
                </c:pt>
                <c:pt idx="5">
                  <c:v>Autre</c:v>
                </c:pt>
              </c:strCache>
            </c:strRef>
          </c:cat>
          <c:val>
            <c:numRef>
              <c:f>Sheet1!$B$2:$B$7</c:f>
              <c:numCache>
                <c:formatCode>General</c:formatCode>
                <c:ptCount val="6"/>
                <c:pt idx="0">
                  <c:v>748</c:v>
                </c:pt>
                <c:pt idx="1">
                  <c:v>613</c:v>
                </c:pt>
                <c:pt idx="2">
                  <c:v>533</c:v>
                </c:pt>
                <c:pt idx="3">
                  <c:v>459</c:v>
                </c:pt>
                <c:pt idx="4">
                  <c:v>433</c:v>
                </c:pt>
                <c:pt idx="5">
                  <c:v>1754</c:v>
                </c:pt>
              </c:numCache>
            </c:numRef>
          </c:val>
          <c:extLst>
            <c:ext xmlns:c16="http://schemas.microsoft.com/office/drawing/2014/chart" uri="{C3380CC4-5D6E-409C-BE32-E72D297353CC}">
              <c16:uniqueId val="{0000000C-40E3-4893-81E9-B214D4FC0558}"/>
            </c:ext>
          </c:extLst>
        </c:ser>
        <c:dLbls>
          <c:dLblPos val="bestFit"/>
          <c:showLegendKey val="0"/>
          <c:showVal val="1"/>
          <c:showCatName val="0"/>
          <c:showSerName val="0"/>
          <c:showPercent val="0"/>
          <c:showBubbleSize val="0"/>
          <c:showLeaderLines val="1"/>
        </c:dLbls>
        <c:firstSliceAng val="141"/>
      </c:pieChart>
      <c:spPr>
        <a:noFill/>
        <a:ln>
          <a:noFill/>
        </a:ln>
        <a:effectLst/>
      </c:spPr>
    </c:plotArea>
    <c:plotVisOnly val="1"/>
    <c:dispBlanksAs val="gap"/>
    <c:showDLblsOverMax val="0"/>
  </c:chart>
  <c:spPr>
    <a:solidFill>
      <a:schemeClr val="bg1"/>
    </a:solidFill>
    <a:ln w="9525" cap="flat" cmpd="sng" algn="ctr">
      <a:solidFill>
        <a:sysClr val="windowText" lastClr="000000">
          <a:lumMod val="25000"/>
          <a:lumOff val="75000"/>
        </a:sysClr>
      </a:solidFill>
      <a:round/>
    </a:ln>
    <a:effectLst/>
  </c:spPr>
  <c:txPr>
    <a:bodyPr/>
    <a:lstStyle/>
    <a:p>
      <a:pPr>
        <a:defRPr sz="800">
          <a:solidFill>
            <a:sysClr val="windowText" lastClr="000000"/>
          </a:solidFill>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a:t>Population selon la région au 31 mars 2020 (N=4 701)</a:t>
            </a:r>
            <a:endParaRPr lang="en-CA" sz="1200"/>
          </a:p>
        </c:rich>
      </c:tx>
      <c:layout>
        <c:manualLayout>
          <c:xMode val="edge"/>
          <c:yMode val="edge"/>
          <c:x val="0.13508932351198036"/>
          <c:y val="2.0703933747412008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8.3640109502441232E-2"/>
          <c:y val="0.22221760323437831"/>
          <c:w val="0.84333349635643373"/>
          <c:h val="0.70579860488143109"/>
        </c:manualLayout>
      </c:layout>
      <c:pieChart>
        <c:varyColors val="1"/>
        <c:ser>
          <c:idx val="0"/>
          <c:order val="0"/>
          <c:tx>
            <c:strRef>
              <c:f>Sheet1!$B$1</c:f>
              <c:strCache>
                <c:ptCount val="1"/>
                <c:pt idx="0">
                  <c:v>Population selon la région au 31 mars 2018</c:v>
                </c:pt>
              </c:strCache>
            </c:strRef>
          </c:tx>
          <c:spPr>
            <a:effectLst/>
          </c:spPr>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175">
                <a:solidFill>
                  <a:schemeClr val="lt1"/>
                </a:solidFill>
              </a:ln>
              <a:effectLst/>
            </c:spPr>
            <c:extLst>
              <c:ext xmlns:c16="http://schemas.microsoft.com/office/drawing/2014/chart" uri="{C3380CC4-5D6E-409C-BE32-E72D297353CC}">
                <c16:uniqueId val="{00000001-A1BA-4F63-A340-2929C21FC2D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A1BA-4F63-A340-2929C21FC2DC}"/>
              </c:ext>
            </c:extLst>
          </c:dPt>
          <c:dLbls>
            <c:dLbl>
              <c:idx val="0"/>
              <c:layout>
                <c:manualLayout>
                  <c:x val="-0.1003584229390681"/>
                  <c:y val="-0.19151138716356117"/>
                </c:manualLayout>
              </c:layout>
              <c:showLegendKey val="0"/>
              <c:showVal val="0"/>
              <c:showCatName val="1"/>
              <c:showSerName val="0"/>
              <c:showPercent val="1"/>
              <c:showBubbleSize val="0"/>
              <c:extLst>
                <c:ext xmlns:c15="http://schemas.microsoft.com/office/drawing/2012/chart" uri="{CE6537A1-D6FC-4f65-9D91-7224C49458BB}">
                  <c15:layout>
                    <c:manualLayout>
                      <c:w val="0.37992831541218636"/>
                      <c:h val="0.24456521739130435"/>
                    </c:manualLayout>
                  </c15:layout>
                </c:ext>
                <c:ext xmlns:c16="http://schemas.microsoft.com/office/drawing/2014/chart" uri="{C3380CC4-5D6E-409C-BE32-E72D297353CC}">
                  <c16:uniqueId val="{00000001-A1BA-4F63-A340-2929C21FC2DC}"/>
                </c:ext>
              </c:extLst>
            </c:dLbl>
            <c:dLbl>
              <c:idx val="1"/>
              <c:layout>
                <c:manualLayout>
                  <c:x val="0.27986171083453276"/>
                  <c:y val="0.13989460556560865"/>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1BA-4F63-A340-2929C21FC2DC}"/>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Extérieur de la RCN</c:v>
                </c:pt>
                <c:pt idx="1">
                  <c:v>RCN</c:v>
                </c:pt>
              </c:strCache>
            </c:strRef>
          </c:cat>
          <c:val>
            <c:numRef>
              <c:f>Sheet1!$B$2:$B$3</c:f>
              <c:numCache>
                <c:formatCode>0</c:formatCode>
                <c:ptCount val="2"/>
                <c:pt idx="0">
                  <c:v>1437</c:v>
                </c:pt>
                <c:pt idx="1">
                  <c:v>2794</c:v>
                </c:pt>
              </c:numCache>
            </c:numRef>
          </c:val>
          <c:extLst>
            <c:ext xmlns:c16="http://schemas.microsoft.com/office/drawing/2014/chart" uri="{C3380CC4-5D6E-409C-BE32-E72D297353CC}">
              <c16:uniqueId val="{00000004-A1BA-4F63-A340-2929C21FC2DC}"/>
            </c:ext>
          </c:extLst>
        </c:ser>
        <c:dLbls>
          <c:showLegendKey val="0"/>
          <c:showVal val="0"/>
          <c:showCatName val="0"/>
          <c:showSerName val="0"/>
          <c:showPercent val="0"/>
          <c:showBubbleSize val="0"/>
          <c:showLeaderLines val="1"/>
        </c:dLbls>
        <c:firstSliceAng val="7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US" sz="1200" b="1"/>
              <a:t>Embauche externe pour une période indéterminée selon le groupe professionnel,</a:t>
            </a:r>
          </a:p>
          <a:p>
            <a:pPr>
              <a:defRPr sz="1200" b="1"/>
            </a:pPr>
            <a:r>
              <a:rPr lang="en-US" sz="1200" b="1"/>
              <a:t> 2019-2020 (N=237)</a:t>
            </a:r>
          </a:p>
        </c:rich>
      </c:tx>
      <c:layout>
        <c:manualLayout>
          <c:xMode val="edge"/>
          <c:yMode val="edge"/>
          <c:x val="0.14968643412327082"/>
          <c:y val="2.5746584826502987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9.6746349618420852E-2"/>
          <c:y val="0.41203486023456493"/>
          <c:w val="0.8966533531134695"/>
          <c:h val="0.48715812098290862"/>
        </c:manualLayout>
      </c:layout>
      <c:doughnutChart>
        <c:varyColors val="1"/>
        <c:ser>
          <c:idx val="0"/>
          <c:order val="0"/>
          <c:tx>
            <c:strRef>
              <c:f>Sheet1!$B$1</c:f>
              <c:strCache>
                <c:ptCount val="1"/>
                <c:pt idx="0">
                  <c:v>Embauche externe pour une période indéterminée selon le groupe professionnel</c:v>
                </c:pt>
              </c:strCache>
            </c:strRef>
          </c:tx>
          <c:spPr>
            <a:ln>
              <a:noFill/>
            </a:ln>
          </c:spPr>
          <c:dPt>
            <c:idx val="0"/>
            <c:bubble3D val="0"/>
            <c:spPr>
              <a:solidFill>
                <a:schemeClr val="accent2"/>
              </a:solidFill>
              <a:ln w="19050">
                <a:noFill/>
              </a:ln>
              <a:effectLst/>
            </c:spPr>
            <c:extLst>
              <c:ext xmlns:c16="http://schemas.microsoft.com/office/drawing/2014/chart" uri="{C3380CC4-5D6E-409C-BE32-E72D297353CC}">
                <c16:uniqueId val="{00000001-E56C-4F50-81FC-7D683A0CAAEB}"/>
              </c:ext>
            </c:extLst>
          </c:dPt>
          <c:dPt>
            <c:idx val="1"/>
            <c:bubble3D val="0"/>
            <c:spPr>
              <a:solidFill>
                <a:schemeClr val="accent1"/>
              </a:solidFill>
              <a:ln w="19050">
                <a:noFill/>
              </a:ln>
              <a:effectLst/>
            </c:spPr>
            <c:extLst>
              <c:ext xmlns:c16="http://schemas.microsoft.com/office/drawing/2014/chart" uri="{C3380CC4-5D6E-409C-BE32-E72D297353CC}">
                <c16:uniqueId val="{00000003-E56C-4F50-81FC-7D683A0CAAEB}"/>
              </c:ext>
            </c:extLst>
          </c:dPt>
          <c:dPt>
            <c:idx val="2"/>
            <c:bubble3D val="0"/>
            <c:spPr>
              <a:solidFill>
                <a:schemeClr val="accent3"/>
              </a:solidFill>
              <a:ln w="19050">
                <a:noFill/>
              </a:ln>
              <a:effectLst/>
            </c:spPr>
            <c:extLst>
              <c:ext xmlns:c16="http://schemas.microsoft.com/office/drawing/2014/chart" uri="{C3380CC4-5D6E-409C-BE32-E72D297353CC}">
                <c16:uniqueId val="{00000005-E56C-4F50-81FC-7D683A0CAAEB}"/>
              </c:ext>
            </c:extLst>
          </c:dPt>
          <c:dPt>
            <c:idx val="3"/>
            <c:bubble3D val="0"/>
            <c:spPr>
              <a:solidFill>
                <a:schemeClr val="accent6"/>
              </a:solidFill>
              <a:ln w="19050">
                <a:noFill/>
              </a:ln>
              <a:effectLst/>
            </c:spPr>
            <c:extLst>
              <c:ext xmlns:c16="http://schemas.microsoft.com/office/drawing/2014/chart" uri="{C3380CC4-5D6E-409C-BE32-E72D297353CC}">
                <c16:uniqueId val="{00000007-E56C-4F50-81FC-7D683A0CAAEB}"/>
              </c:ext>
            </c:extLst>
          </c:dPt>
          <c:dLbls>
            <c:dLbl>
              <c:idx val="0"/>
              <c:layout>
                <c:manualLayout>
                  <c:x val="2.8985253654887341E-2"/>
                  <c:y val="1.438509132373249E-4"/>
                </c:manualLayout>
              </c:layout>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4085815360036511"/>
                      <c:h val="0.13880863317282188"/>
                    </c:manualLayout>
                  </c15:layout>
                </c:ext>
                <c:ext xmlns:c16="http://schemas.microsoft.com/office/drawing/2014/chart" uri="{C3380CC4-5D6E-409C-BE32-E72D297353CC}">
                  <c16:uniqueId val="{00000001-E56C-4F50-81FC-7D683A0CAAEB}"/>
                </c:ext>
              </c:extLst>
            </c:dLbl>
            <c:dLbl>
              <c:idx val="1"/>
              <c:layout>
                <c:manualLayout>
                  <c:x val="-8.4932861653162928E-3"/>
                  <c:y val="3.5162507000249649E-3"/>
                </c:manualLayout>
              </c:layout>
              <c:spPr>
                <a:noFill/>
                <a:ln>
                  <a:noFill/>
                </a:ln>
                <a:effectLst/>
              </c:spPr>
              <c:txPr>
                <a:bodyPr rot="0" spcFirstLastPara="1" vertOverflow="clip" horzOverflow="clip" vert="horz" wrap="square" lIns="36576" tIns="18288" rIns="36576" bIns="18288"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3123446393897562"/>
                      <c:h val="0.16763557277114552"/>
                    </c:manualLayout>
                  </c15:layout>
                </c:ext>
                <c:ext xmlns:c16="http://schemas.microsoft.com/office/drawing/2014/chart" uri="{C3380CC4-5D6E-409C-BE32-E72D297353CC}">
                  <c16:uniqueId val="{00000003-E56C-4F50-81FC-7D683A0CAAEB}"/>
                </c:ext>
              </c:extLst>
            </c:dLbl>
            <c:dLbl>
              <c:idx val="2"/>
              <c:layout>
                <c:manualLayout>
                  <c:x val="-5.4542457555124598E-3"/>
                  <c:y val="-3.937696764282482E-3"/>
                </c:manualLayout>
              </c:layout>
              <c:spPr>
                <a:noFill/>
                <a:ln>
                  <a:noFill/>
                </a:ln>
                <a:effectLst/>
              </c:spPr>
              <c:txPr>
                <a:bodyPr rot="0" spcFirstLastPara="1" vertOverflow="clip" horzOverflow="clip" vert="horz" wrap="square" lIns="36576" tIns="18288" rIns="36576" bIns="18288"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5-E56C-4F50-81FC-7D683A0CAAEB}"/>
                </c:ext>
              </c:extLst>
            </c:dLbl>
            <c:dLbl>
              <c:idx val="3"/>
              <c:spPr>
                <a:noFill/>
                <a:ln>
                  <a:noFill/>
                </a:ln>
                <a:effectLst/>
              </c:spPr>
              <c:txPr>
                <a:bodyPr rot="0" spcFirstLastPara="1" vertOverflow="clip" horzOverflow="clip" vert="horz" wrap="square" lIns="36576" tIns="18288" rIns="36576" bIns="18288"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E56C-4F50-81FC-7D683A0CAAEB}"/>
                </c:ext>
              </c:extLst>
            </c:dLbl>
            <c:spPr>
              <a:solidFill>
                <a:sysClr val="window" lastClr="FFFFFF"/>
              </a:solidFill>
              <a:ln>
                <a:noFill/>
              </a:ln>
              <a:effectLst/>
            </c:spPr>
            <c:txPr>
              <a:bodyPr rot="0" spcFirstLastPara="1" vertOverflow="clip" horzOverflow="clip" vert="horz" wrap="square" lIns="36576" tIns="18288" rIns="36576" bIns="18288"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EC</c:v>
                </c:pt>
                <c:pt idx="1">
                  <c:v>AS</c:v>
                </c:pt>
                <c:pt idx="2">
                  <c:v>EN</c:v>
                </c:pt>
                <c:pt idx="3">
                  <c:v>Autre</c:v>
                </c:pt>
              </c:strCache>
            </c:strRef>
          </c:cat>
          <c:val>
            <c:numRef>
              <c:f>Sheet1!$B$2:$B$5</c:f>
              <c:numCache>
                <c:formatCode>General</c:formatCode>
                <c:ptCount val="4"/>
                <c:pt idx="0">
                  <c:v>87</c:v>
                </c:pt>
                <c:pt idx="1">
                  <c:v>43</c:v>
                </c:pt>
                <c:pt idx="2">
                  <c:v>22</c:v>
                </c:pt>
                <c:pt idx="3">
                  <c:v>85</c:v>
                </c:pt>
              </c:numCache>
            </c:numRef>
          </c:val>
          <c:extLst>
            <c:ext xmlns:c16="http://schemas.microsoft.com/office/drawing/2014/chart" uri="{C3380CC4-5D6E-409C-BE32-E72D297353CC}">
              <c16:uniqueId val="{00000008-E56C-4F50-81FC-7D683A0CAAEB}"/>
            </c:ext>
          </c:extLst>
        </c:ser>
        <c:dLbls>
          <c:showLegendKey val="0"/>
          <c:showVal val="0"/>
          <c:showCatName val="0"/>
          <c:showSerName val="0"/>
          <c:showPercent val="0"/>
          <c:showBubbleSize val="0"/>
          <c:showLeaderLines val="0"/>
        </c:dLbls>
        <c:firstSliceAng val="120"/>
        <c:holeSize val="50"/>
      </c:doughnutChart>
      <c:spPr>
        <a:noFill/>
        <a:ln>
          <a:noFill/>
        </a:ln>
        <a:effectLst/>
      </c:spPr>
    </c:plotArea>
    <c:plotVisOnly val="1"/>
    <c:dispBlanksAs val="gap"/>
    <c:showDLblsOverMax val="0"/>
  </c:chart>
  <c:spPr>
    <a:solidFill>
      <a:schemeClr val="bg1"/>
    </a:solidFill>
    <a:ln w="9525" cap="flat" cmpd="sng" algn="ctr">
      <a:solidFill>
        <a:sysClr val="windowText" lastClr="000000">
          <a:lumMod val="25000"/>
          <a:lumOff val="75000"/>
        </a:sysClr>
      </a:solidFill>
      <a:round/>
    </a:ln>
    <a:effectLst/>
  </c:spPr>
  <c:txPr>
    <a:bodyPr/>
    <a:lstStyle/>
    <a:p>
      <a:pPr>
        <a:defRPr>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CA" sz="1200"/>
              <a:t>Dotation selon la région</a:t>
            </a:r>
          </a:p>
        </c:rich>
      </c:tx>
      <c:layout>
        <c:manualLayout>
          <c:xMode val="edge"/>
          <c:yMode val="edge"/>
          <c:x val="0.31305054795782106"/>
          <c:y val="2.4056959472493554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0951817700419027"/>
          <c:y val="0.12158656628431981"/>
          <c:w val="0.84333349635643373"/>
          <c:h val="0.61671174519323513"/>
        </c:manualLayout>
      </c:layout>
      <c:barChart>
        <c:barDir val="col"/>
        <c:grouping val="clustered"/>
        <c:varyColors val="0"/>
        <c:ser>
          <c:idx val="0"/>
          <c:order val="0"/>
          <c:tx>
            <c:strRef>
              <c:f>Sheet1!$B$1</c:f>
              <c:strCache>
                <c:ptCount val="1"/>
                <c:pt idx="0">
                  <c:v>Région de la capitale nationale (RCN)</c:v>
                </c:pt>
              </c:strCache>
            </c:strRef>
          </c:tx>
          <c:spPr>
            <a:solidFill>
              <a:schemeClr val="accent2"/>
            </a:solidFill>
            <a:ln>
              <a:noFill/>
            </a:ln>
            <a:effectLst>
              <a:outerShdw blurRad="57150" dist="19050" dir="5400000" algn="ctr" rotWithShape="0">
                <a:srgbClr val="000000">
                  <a:alpha val="63000"/>
                </a:srgbClr>
              </a:outerShdw>
            </a:effectLst>
          </c:spPr>
          <c:invertIfNegative val="0"/>
          <c:dLbls>
            <c:dLbl>
              <c:idx val="0"/>
              <c:layout>
                <c:manualLayout>
                  <c:x val="-7.0912188608002946E-3"/>
                  <c:y val="1.37056707212609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E5-4E80-A8FC-9AA12E673D98}"/>
                </c:ext>
              </c:extLst>
            </c:dLbl>
            <c:dLbl>
              <c:idx val="1"/>
              <c:layout>
                <c:manualLayout>
                  <c:x val="-1.2152921674264367E-2"/>
                  <c:y val="1.39932739690732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E5-4E80-A8FC-9AA12E673D98}"/>
                </c:ext>
              </c:extLst>
            </c:dLbl>
            <c:dLbl>
              <c:idx val="2"/>
              <c:layout>
                <c:manualLayout>
                  <c:x val="-9.0459087350923915E-3"/>
                  <c:y val="1.39215080554540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E5-4E80-A8FC-9AA12E673D98}"/>
                </c:ext>
              </c:extLst>
            </c:dLbl>
            <c:dLbl>
              <c:idx val="3"/>
              <c:layout>
                <c:manualLayout>
                  <c:x val="-7.8394805912420183E-3"/>
                  <c:y val="1.44870018710398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EE5-4E80-A8FC-9AA12E673D98}"/>
                </c:ext>
              </c:extLst>
            </c:dLbl>
            <c:dLbl>
              <c:idx val="4"/>
              <c:layout>
                <c:manualLayout>
                  <c:x val="-3.6549707602339179E-3"/>
                  <c:y val="1.0279253040945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EE5-4E80-A8FC-9AA12E673D98}"/>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c:v>
                </c:pt>
                <c:pt idx="1">
                  <c:v>2016-2017</c:v>
                </c:pt>
                <c:pt idx="2">
                  <c:v>2017-2018</c:v>
                </c:pt>
                <c:pt idx="3">
                  <c:v>2018-2019</c:v>
                </c:pt>
                <c:pt idx="4">
                  <c:v>2019-2020</c:v>
                </c:pt>
              </c:strCache>
            </c:strRef>
          </c:cat>
          <c:val>
            <c:numRef>
              <c:f>Sheet1!$B$2:$B$6</c:f>
              <c:numCache>
                <c:formatCode>0%</c:formatCode>
                <c:ptCount val="5"/>
                <c:pt idx="0">
                  <c:v>0.64</c:v>
                </c:pt>
                <c:pt idx="1">
                  <c:v>0.77</c:v>
                </c:pt>
                <c:pt idx="2">
                  <c:v>0.77</c:v>
                </c:pt>
                <c:pt idx="3">
                  <c:v>0.79</c:v>
                </c:pt>
                <c:pt idx="4">
                  <c:v>0.75</c:v>
                </c:pt>
              </c:numCache>
            </c:numRef>
          </c:val>
          <c:extLst>
            <c:ext xmlns:c16="http://schemas.microsoft.com/office/drawing/2014/chart" uri="{C3380CC4-5D6E-409C-BE32-E72D297353CC}">
              <c16:uniqueId val="{00000005-BEE5-4E80-A8FC-9AA12E673D98}"/>
            </c:ext>
          </c:extLst>
        </c:ser>
        <c:ser>
          <c:idx val="1"/>
          <c:order val="1"/>
          <c:tx>
            <c:strRef>
              <c:f>Sheet1!$C$1</c:f>
              <c:strCache>
                <c:ptCount val="1"/>
                <c:pt idx="0">
                  <c:v>Extérieur de la Région de la capitale nationale (RCN)</c:v>
                </c:pt>
              </c:strCache>
            </c:strRef>
          </c:tx>
          <c:spPr>
            <a:solidFill>
              <a:schemeClr val="accent1"/>
            </a:solidFill>
            <a:ln>
              <a:noFill/>
            </a:ln>
            <a:effectLst>
              <a:outerShdw blurRad="57150" dist="19050" dir="5400000" algn="ctr" rotWithShape="0">
                <a:srgbClr val="000000">
                  <a:alpha val="63000"/>
                </a:srgbClr>
              </a:outerShdw>
            </a:effectLst>
          </c:spPr>
          <c:invertIfNegative val="0"/>
          <c:dLbls>
            <c:dLbl>
              <c:idx val="0"/>
              <c:layout>
                <c:manualLayout>
                  <c:x val="1.0800294700004537E-2"/>
                  <c:y val="7.84002136789608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EE5-4E80-A8FC-9AA12E673D98}"/>
                </c:ext>
              </c:extLst>
            </c:dLbl>
            <c:dLbl>
              <c:idx val="1"/>
              <c:layout>
                <c:manualLayout>
                  <c:x val="1.9152046783625733E-2"/>
                  <c:y val="1.52586203407801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EE5-4E80-A8FC-9AA12E673D98}"/>
                </c:ext>
              </c:extLst>
            </c:dLbl>
            <c:dLbl>
              <c:idx val="2"/>
              <c:layout>
                <c:manualLayout>
                  <c:x val="1.0964912280701754E-2"/>
                  <c:y val="1.52586203407801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EE5-4E80-A8FC-9AA12E673D98}"/>
                </c:ext>
              </c:extLst>
            </c:dLbl>
            <c:dLbl>
              <c:idx val="3"/>
              <c:layout>
                <c:manualLayout>
                  <c:x val="1.4784500621632822E-2"/>
                  <c:y val="7.140438608442747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EE5-4E80-A8FC-9AA12E673D98}"/>
                </c:ext>
              </c:extLst>
            </c:dLbl>
            <c:dLbl>
              <c:idx val="4"/>
              <c:layout>
                <c:manualLayout>
                  <c:x val="1.096491228070162E-2"/>
                  <c:y val="1.02792530409456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EE5-4E80-A8FC-9AA12E673D98}"/>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c:v>
                </c:pt>
                <c:pt idx="1">
                  <c:v>2016-2017</c:v>
                </c:pt>
                <c:pt idx="2">
                  <c:v>2017-2018</c:v>
                </c:pt>
                <c:pt idx="3">
                  <c:v>2018-2019</c:v>
                </c:pt>
                <c:pt idx="4">
                  <c:v>2019-2020</c:v>
                </c:pt>
              </c:strCache>
            </c:strRef>
          </c:cat>
          <c:val>
            <c:numRef>
              <c:f>Sheet1!$C$2:$C$6</c:f>
              <c:numCache>
                <c:formatCode>0%</c:formatCode>
                <c:ptCount val="5"/>
                <c:pt idx="0">
                  <c:v>0.36</c:v>
                </c:pt>
                <c:pt idx="1">
                  <c:v>0.23</c:v>
                </c:pt>
                <c:pt idx="2">
                  <c:v>0.23</c:v>
                </c:pt>
                <c:pt idx="3">
                  <c:v>0.21</c:v>
                </c:pt>
                <c:pt idx="4">
                  <c:v>0.25</c:v>
                </c:pt>
              </c:numCache>
            </c:numRef>
          </c:val>
          <c:extLst>
            <c:ext xmlns:c16="http://schemas.microsoft.com/office/drawing/2014/chart" uri="{C3380CC4-5D6E-409C-BE32-E72D297353CC}">
              <c16:uniqueId val="{0000000B-BEE5-4E80-A8FC-9AA12E673D98}"/>
            </c:ext>
          </c:extLst>
        </c:ser>
        <c:dLbls>
          <c:showLegendKey val="0"/>
          <c:showVal val="0"/>
          <c:showCatName val="0"/>
          <c:showSerName val="0"/>
          <c:showPercent val="0"/>
          <c:showBubbleSize val="0"/>
        </c:dLbls>
        <c:gapWidth val="150"/>
        <c:axId val="523823984"/>
        <c:axId val="523820848"/>
      </c:barChart>
      <c:catAx>
        <c:axId val="5238239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20848"/>
        <c:crosses val="autoZero"/>
        <c:auto val="1"/>
        <c:lblAlgn val="ctr"/>
        <c:lblOffset val="100"/>
        <c:noMultiLvlLbl val="0"/>
      </c:catAx>
      <c:valAx>
        <c:axId val="523820848"/>
        <c:scaling>
          <c:orientation val="minMax"/>
          <c:max val="1"/>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23984"/>
        <c:crosses val="autoZero"/>
        <c:crossBetween val="between"/>
      </c:valAx>
      <c:spPr>
        <a:noFill/>
        <a:ln>
          <a:noFill/>
        </a:ln>
        <a:effectLst/>
      </c:spPr>
    </c:plotArea>
    <c:legend>
      <c:legendPos val="b"/>
      <c:layout>
        <c:manualLayout>
          <c:xMode val="edge"/>
          <c:yMode val="edge"/>
          <c:x val="8.3406144955564754E-2"/>
          <c:y val="0.83428252297655869"/>
          <c:w val="0.8251991527374869"/>
          <c:h val="0.1090787927678305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CA" sz="1200"/>
              <a:t>Dotation selon le type de processus</a:t>
            </a:r>
          </a:p>
        </c:rich>
      </c:tx>
      <c:layout>
        <c:manualLayout>
          <c:xMode val="edge"/>
          <c:yMode val="edge"/>
          <c:x val="0.26553599648211512"/>
          <c:y val="1.7204124111863093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8.9229225927910855E-2"/>
          <c:y val="7.0190301079591358E-2"/>
          <c:w val="0.84333349635643373"/>
          <c:h val="0.55160980926724579"/>
        </c:manualLayout>
      </c:layout>
      <c:barChart>
        <c:barDir val="col"/>
        <c:grouping val="clustered"/>
        <c:varyColors val="0"/>
        <c:ser>
          <c:idx val="0"/>
          <c:order val="0"/>
          <c:tx>
            <c:strRef>
              <c:f>Sheet1!$B$1</c:f>
              <c:strCache>
                <c:ptCount val="1"/>
                <c:pt idx="0">
                  <c:v>Non annoncé (ne tient pas compte des types de processus inconnus)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1.4072089156394733E-2"/>
                  <c:y val="1.71320884015760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C5C-4223-A4D3-26401A6EFA73}"/>
                </c:ext>
              </c:extLst>
            </c:dLbl>
            <c:dLbl>
              <c:idx val="1"/>
              <c:layout>
                <c:manualLayout>
                  <c:x val="-4.8428632284838744E-3"/>
                  <c:y val="2.8760324781228625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C5C-4223-A4D3-26401A6EFA73}"/>
                </c:ext>
              </c:extLst>
            </c:dLbl>
            <c:dLbl>
              <c:idx val="2"/>
              <c:layout>
                <c:manualLayout>
                  <c:x val="-1.6026713938244629E-2"/>
                  <c:y val="1.39215080554540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C5C-4223-A4D3-26401A6EFA73}"/>
                </c:ext>
              </c:extLst>
            </c:dLbl>
            <c:dLbl>
              <c:idx val="3"/>
              <c:layout>
                <c:manualLayout>
                  <c:x val="-2.2294870209286666E-2"/>
                  <c:y val="1.44870018710398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C5C-4223-A4D3-26401A6EFA73}"/>
                </c:ext>
              </c:extLst>
            </c:dLbl>
            <c:dLbl>
              <c:idx val="4"/>
              <c:layout>
                <c:manualLayout>
                  <c:x val="-1.3961605584642234E-2"/>
                  <c:y val="1.37056707212609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C5C-4223-A4D3-26401A6EFA73}"/>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c:v>
                </c:pt>
                <c:pt idx="1">
                  <c:v>2016-2017</c:v>
                </c:pt>
                <c:pt idx="2">
                  <c:v>2017-2018</c:v>
                </c:pt>
                <c:pt idx="3">
                  <c:v>2018-2019</c:v>
                </c:pt>
                <c:pt idx="4">
                  <c:v>2019-2020</c:v>
                </c:pt>
              </c:strCache>
            </c:strRef>
          </c:cat>
          <c:val>
            <c:numRef>
              <c:f>Sheet1!$B$2:$B$6</c:f>
              <c:numCache>
                <c:formatCode>#\ ###</c:formatCode>
                <c:ptCount val="5"/>
                <c:pt idx="0">
                  <c:v>137</c:v>
                </c:pt>
                <c:pt idx="1">
                  <c:v>161</c:v>
                </c:pt>
                <c:pt idx="2">
                  <c:v>359</c:v>
                </c:pt>
                <c:pt idx="3">
                  <c:v>431</c:v>
                </c:pt>
                <c:pt idx="4">
                  <c:v>388</c:v>
                </c:pt>
              </c:numCache>
            </c:numRef>
          </c:val>
          <c:extLst>
            <c:ext xmlns:c16="http://schemas.microsoft.com/office/drawing/2014/chart" uri="{C3380CC4-5D6E-409C-BE32-E72D297353CC}">
              <c16:uniqueId val="{00000005-8C5C-4223-A4D3-26401A6EFA73}"/>
            </c:ext>
          </c:extLst>
        </c:ser>
        <c:ser>
          <c:idx val="1"/>
          <c:order val="1"/>
          <c:tx>
            <c:strRef>
              <c:f>Sheet1!$C$1</c:f>
              <c:strCache>
                <c:ptCount val="1"/>
                <c:pt idx="0">
                  <c:v>Annoncé</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3.4904013961605585E-3"/>
                  <c:y val="1.81192744088417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C5C-4223-A4D3-26401A6EFA73}"/>
                </c:ext>
              </c:extLst>
            </c:dLbl>
            <c:dLbl>
              <c:idx val="1"/>
              <c:layout>
                <c:manualLayout>
                  <c:x val="-2.7777548748815417E-3"/>
                  <c:y val="1.52585395952670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C5C-4223-A4D3-26401A6EFA73}"/>
                </c:ext>
              </c:extLst>
            </c:dLbl>
            <c:dLbl>
              <c:idx val="2"/>
              <c:layout>
                <c:manualLayout>
                  <c:x val="-6.9808027923211171E-3"/>
                  <c:y val="1.18322026604649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C5C-4223-A4D3-26401A6EFA73}"/>
                </c:ext>
              </c:extLst>
            </c:dLbl>
            <c:dLbl>
              <c:idx val="3"/>
              <c:layout>
                <c:manualLayout>
                  <c:x val="-3.4904013961605585E-3"/>
                  <c:y val="1.39932739690732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C5C-4223-A4D3-26401A6EFA73}"/>
                </c:ext>
              </c:extLst>
            </c:dLbl>
            <c:dLbl>
              <c:idx val="4"/>
              <c:layout>
                <c:manualLayout>
                  <c:x val="1.0471204188481676E-2"/>
                  <c:y val="1.0279253040945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C5C-4223-A4D3-26401A6EFA73}"/>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c:v>
                </c:pt>
                <c:pt idx="1">
                  <c:v>2016-2017</c:v>
                </c:pt>
                <c:pt idx="2">
                  <c:v>2017-2018</c:v>
                </c:pt>
                <c:pt idx="3">
                  <c:v>2018-2019</c:v>
                </c:pt>
                <c:pt idx="4">
                  <c:v>2019-2020</c:v>
                </c:pt>
              </c:strCache>
            </c:strRef>
          </c:cat>
          <c:val>
            <c:numRef>
              <c:f>Sheet1!$C$2:$C$6</c:f>
              <c:numCache>
                <c:formatCode>#\ ###</c:formatCode>
                <c:ptCount val="5"/>
                <c:pt idx="0">
                  <c:v>379</c:v>
                </c:pt>
                <c:pt idx="1">
                  <c:v>396</c:v>
                </c:pt>
                <c:pt idx="2">
                  <c:v>374</c:v>
                </c:pt>
                <c:pt idx="3">
                  <c:v>461</c:v>
                </c:pt>
                <c:pt idx="4">
                  <c:v>465</c:v>
                </c:pt>
              </c:numCache>
            </c:numRef>
          </c:val>
          <c:extLst>
            <c:ext xmlns:c16="http://schemas.microsoft.com/office/drawing/2014/chart" uri="{C3380CC4-5D6E-409C-BE32-E72D297353CC}">
              <c16:uniqueId val="{0000000B-8C5C-4223-A4D3-26401A6EFA73}"/>
            </c:ext>
          </c:extLst>
        </c:ser>
        <c:dLbls>
          <c:showLegendKey val="0"/>
          <c:showVal val="0"/>
          <c:showCatName val="0"/>
          <c:showSerName val="0"/>
          <c:showPercent val="0"/>
          <c:showBubbleSize val="0"/>
        </c:dLbls>
        <c:gapWidth val="150"/>
        <c:axId val="523818104"/>
        <c:axId val="523821240"/>
      </c:barChart>
      <c:lineChart>
        <c:grouping val="standard"/>
        <c:varyColors val="0"/>
        <c:ser>
          <c:idx val="2"/>
          <c:order val="2"/>
          <c:tx>
            <c:strRef>
              <c:f>Sheet1!$D$1</c:f>
              <c:strCache>
                <c:ptCount val="1"/>
                <c:pt idx="0">
                  <c:v>% de processus non annoncés</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dLbls>
            <c:dLbl>
              <c:idx val="0"/>
              <c:layout>
                <c:manualLayout>
                  <c:x val="-6.4861352701907196E-2"/>
                  <c:y val="-2.39418625056787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C5C-4223-A4D3-26401A6EFA73}"/>
                </c:ext>
              </c:extLst>
            </c:dLbl>
            <c:dLbl>
              <c:idx val="1"/>
              <c:layout>
                <c:manualLayout>
                  <c:x val="-5.7834313712472322E-2"/>
                  <c:y val="-3.55437761489979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C5C-4223-A4D3-26401A6EFA73}"/>
                </c:ext>
              </c:extLst>
            </c:dLbl>
            <c:dLbl>
              <c:idx val="2"/>
              <c:layout>
                <c:manualLayout>
                  <c:x val="-6.2038568956283582E-2"/>
                  <c:y val="-2.5218499426792686E-2"/>
                </c:manualLayout>
              </c:layout>
              <c:showLegendKey val="0"/>
              <c:showVal val="1"/>
              <c:showCatName val="0"/>
              <c:showSerName val="0"/>
              <c:showPercent val="0"/>
              <c:showBubbleSize val="0"/>
              <c:extLst>
                <c:ext xmlns:c15="http://schemas.microsoft.com/office/drawing/2012/chart" uri="{CE6537A1-D6FC-4f65-9D91-7224C49458BB}">
                  <c15:layout>
                    <c:manualLayout>
                      <c:w val="5.1500931692138818E-2"/>
                      <c:h val="5.4030410331181007E-2"/>
                    </c:manualLayout>
                  </c15:layout>
                </c:ext>
                <c:ext xmlns:c16="http://schemas.microsoft.com/office/drawing/2014/chart" uri="{C3380CC4-5D6E-409C-BE32-E72D297353CC}">
                  <c16:uniqueId val="{0000000E-8C5C-4223-A4D3-26401A6EFA73}"/>
                </c:ext>
              </c:extLst>
            </c:dLbl>
            <c:dLbl>
              <c:idx val="3"/>
              <c:layout>
                <c:manualLayout>
                  <c:x val="-7.4152066070275371E-2"/>
                  <c:y val="-2.64719094454464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C5C-4223-A4D3-26401A6EFA73}"/>
                </c:ext>
              </c:extLst>
            </c:dLbl>
            <c:dLbl>
              <c:idx val="4"/>
              <c:layout>
                <c:manualLayout>
                  <c:x val="-5.5846422338568937E-2"/>
                  <c:y val="-3.08377591228370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C5C-4223-A4D3-26401A6EFA73}"/>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c:v>
                </c:pt>
                <c:pt idx="1">
                  <c:v>2016-2017</c:v>
                </c:pt>
                <c:pt idx="2">
                  <c:v>2017-2018</c:v>
                </c:pt>
                <c:pt idx="3">
                  <c:v>2018-2019</c:v>
                </c:pt>
                <c:pt idx="4">
                  <c:v>2019-2020</c:v>
                </c:pt>
              </c:strCache>
            </c:strRef>
          </c:cat>
          <c:val>
            <c:numRef>
              <c:f>Sheet1!$D$2:$D$6</c:f>
              <c:numCache>
                <c:formatCode>0%</c:formatCode>
                <c:ptCount val="5"/>
                <c:pt idx="0">
                  <c:v>0.27</c:v>
                </c:pt>
                <c:pt idx="1">
                  <c:v>0.28999999999999998</c:v>
                </c:pt>
                <c:pt idx="2">
                  <c:v>0.49</c:v>
                </c:pt>
                <c:pt idx="3">
                  <c:v>0.48</c:v>
                </c:pt>
                <c:pt idx="4">
                  <c:v>0.45</c:v>
                </c:pt>
              </c:numCache>
            </c:numRef>
          </c:val>
          <c:smooth val="0"/>
          <c:extLst>
            <c:ext xmlns:c16="http://schemas.microsoft.com/office/drawing/2014/chart" uri="{C3380CC4-5D6E-409C-BE32-E72D297353CC}">
              <c16:uniqueId val="{00000011-8C5C-4223-A4D3-26401A6EFA73}"/>
            </c:ext>
          </c:extLst>
        </c:ser>
        <c:dLbls>
          <c:showLegendKey val="0"/>
          <c:showVal val="0"/>
          <c:showCatName val="0"/>
          <c:showSerName val="0"/>
          <c:showPercent val="0"/>
          <c:showBubbleSize val="0"/>
        </c:dLbls>
        <c:marker val="1"/>
        <c:smooth val="0"/>
        <c:axId val="523825160"/>
        <c:axId val="523814968"/>
      </c:lineChart>
      <c:catAx>
        <c:axId val="5238181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21240"/>
        <c:crosses val="autoZero"/>
        <c:auto val="1"/>
        <c:lblAlgn val="ctr"/>
        <c:lblOffset val="100"/>
        <c:noMultiLvlLbl val="0"/>
      </c:catAx>
      <c:valAx>
        <c:axId val="523821240"/>
        <c:scaling>
          <c:orientation val="minMax"/>
        </c:scaling>
        <c:delete val="0"/>
        <c:axPos val="l"/>
        <c:numFmt formatCode="#\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18104"/>
        <c:crosses val="autoZero"/>
        <c:crossBetween val="between"/>
      </c:valAx>
      <c:valAx>
        <c:axId val="523814968"/>
        <c:scaling>
          <c:orientation val="minMax"/>
          <c:max val="0.8"/>
          <c:min val="0.2"/>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25160"/>
        <c:crosses val="max"/>
        <c:crossBetween val="between"/>
        <c:majorUnit val="0.1"/>
      </c:valAx>
      <c:catAx>
        <c:axId val="523825160"/>
        <c:scaling>
          <c:orientation val="minMax"/>
        </c:scaling>
        <c:delete val="1"/>
        <c:axPos val="b"/>
        <c:numFmt formatCode="General" sourceLinked="1"/>
        <c:majorTickMark val="out"/>
        <c:minorTickMark val="none"/>
        <c:tickLblPos val="nextTo"/>
        <c:crossAx val="523814968"/>
        <c:crosses val="autoZero"/>
        <c:auto val="1"/>
        <c:lblAlgn val="ctr"/>
        <c:lblOffset val="100"/>
        <c:noMultiLvlLbl val="0"/>
      </c:catAx>
      <c:spPr>
        <a:noFill/>
        <a:ln>
          <a:noFill/>
        </a:ln>
        <a:effectLst/>
      </c:spPr>
    </c:plotArea>
    <c:legend>
      <c:legendPos val="b"/>
      <c:layout>
        <c:manualLayout>
          <c:xMode val="edge"/>
          <c:yMode val="edge"/>
          <c:x val="1.3961605584642234E-2"/>
          <c:y val="0.67666732317897038"/>
          <c:w val="0.98603839441535779"/>
          <c:h val="0.1609517046153442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CA" sz="1200"/>
              <a:t>Dotation selon le type de nomination</a:t>
            </a:r>
          </a:p>
        </c:rich>
      </c:tx>
      <c:layout>
        <c:manualLayout>
          <c:xMode val="edge"/>
          <c:yMode val="edge"/>
          <c:x val="0.26583333333333331"/>
          <c:y val="2.4615384615384615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view3D>
      <c:rotX val="0"/>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740835520559928"/>
          <c:y val="0.1339700040434969"/>
          <c:w val="0.84333349635643373"/>
          <c:h val="0.55364490207954775"/>
        </c:manualLayout>
      </c:layout>
      <c:bar3DChart>
        <c:barDir val="col"/>
        <c:grouping val="clustered"/>
        <c:varyColors val="0"/>
        <c:ser>
          <c:idx val="0"/>
          <c:order val="0"/>
          <c:tx>
            <c:strRef>
              <c:f>Sheet1!$B$1</c:f>
              <c:strCache>
                <c:ptCount val="1"/>
                <c:pt idx="0">
                  <c:v>Promotions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1.1111111111111112E-2"/>
                  <c:y val="1.9600242277407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22D-4F2F-ADAA-87758C48D14A}"/>
                </c:ext>
              </c:extLst>
            </c:dLbl>
            <c:dLbl>
              <c:idx val="1"/>
              <c:layout>
                <c:manualLayout>
                  <c:x val="-1.1111111111111162E-2"/>
                  <c:y val="2.38853220270543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2D-4F2F-ADAA-87758C48D14A}"/>
                </c:ext>
              </c:extLst>
            </c:dLbl>
            <c:dLbl>
              <c:idx val="2"/>
              <c:layout>
                <c:manualLayout>
                  <c:x val="-1.1111111111111162E-2"/>
                  <c:y val="2.76228548354531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22D-4F2F-ADAA-87758C48D14A}"/>
                </c:ext>
              </c:extLst>
            </c:dLbl>
            <c:dLbl>
              <c:idx val="3"/>
              <c:layout>
                <c:manualLayout>
                  <c:x val="-5.5555555555555558E-3"/>
                  <c:y val="2.38853220270543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2D-4F2F-ADAA-87758C48D14A}"/>
                </c:ext>
              </c:extLst>
            </c:dLbl>
            <c:dLbl>
              <c:idx val="4"/>
              <c:layout>
                <c:manualLayout>
                  <c:x val="-1.6666666666666666E-2"/>
                  <c:y val="2.4615384615384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22D-4F2F-ADAA-87758C48D14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Sheet1!$A$3:$A$7</c:f>
              <c:strCache>
                <c:ptCount val="5"/>
                <c:pt idx="0">
                  <c:v>2015-2016
(N=2 163)</c:v>
                </c:pt>
                <c:pt idx="1">
                  <c:v>2016-2017 
(N=2 236)</c:v>
                </c:pt>
                <c:pt idx="2">
                  <c:v>2017-2018
(N=2 384)</c:v>
                </c:pt>
                <c:pt idx="3">
                  <c:v>2018-2019
(N=2 698)</c:v>
                </c:pt>
                <c:pt idx="4">
                  <c:v>2019-2020
(N=2 741)</c:v>
                </c:pt>
              </c:strCache>
            </c:strRef>
          </c:cat>
          <c:val>
            <c:numRef>
              <c:f>Sheet1!$B$3:$B$7</c:f>
              <c:numCache>
                <c:formatCode>#\ ###</c:formatCode>
                <c:ptCount val="5"/>
                <c:pt idx="0">
                  <c:v>302</c:v>
                </c:pt>
                <c:pt idx="1">
                  <c:v>355</c:v>
                </c:pt>
                <c:pt idx="2">
                  <c:v>404</c:v>
                </c:pt>
                <c:pt idx="3">
                  <c:v>468</c:v>
                </c:pt>
                <c:pt idx="4">
                  <c:v>567</c:v>
                </c:pt>
              </c:numCache>
            </c:numRef>
          </c:val>
          <c:extLst>
            <c:ext xmlns:c16="http://schemas.microsoft.com/office/drawing/2014/chart" uri="{C3380CC4-5D6E-409C-BE32-E72D297353CC}">
              <c16:uniqueId val="{00000005-222D-4F2F-ADAA-87758C48D14A}"/>
            </c:ext>
          </c:extLst>
        </c:ser>
        <c:ser>
          <c:idx val="1"/>
          <c:order val="1"/>
          <c:tx>
            <c:strRef>
              <c:f>Sheet1!$C$1</c:f>
              <c:strCache>
                <c:ptCount val="1"/>
                <c:pt idx="0">
                  <c:v>Déplacements latéraux et régressifs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0"/>
                  <c:y val="2.76228548354532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22D-4F2F-ADAA-87758C48D14A}"/>
                </c:ext>
              </c:extLst>
            </c:dLbl>
            <c:dLbl>
              <c:idx val="1"/>
              <c:layout>
                <c:manualLayout>
                  <c:x val="2.7777777777777779E-3"/>
                  <c:y val="2.4067837674136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22D-4F2F-ADAA-87758C48D14A}"/>
                </c:ext>
              </c:extLst>
            </c:dLbl>
            <c:dLbl>
              <c:idx val="2"/>
              <c:layout>
                <c:manualLayout>
                  <c:x val="5.5555555555555558E-3"/>
                  <c:y val="2.81704017767009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22D-4F2F-ADAA-87758C48D14A}"/>
                </c:ext>
              </c:extLst>
            </c:dLbl>
            <c:dLbl>
              <c:idx val="3"/>
              <c:layout>
                <c:manualLayout>
                  <c:x val="5.5555555555555558E-3"/>
                  <c:y val="1.54976781748435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22D-4F2F-ADAA-87758C48D14A}"/>
                </c:ext>
              </c:extLst>
            </c:dLbl>
            <c:dLbl>
              <c:idx val="4"/>
              <c:layout>
                <c:manualLayout>
                  <c:x val="2.7777777777777779E-3"/>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22D-4F2F-ADAA-87758C48D14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Sheet1!$A$3:$A$7</c:f>
              <c:strCache>
                <c:ptCount val="5"/>
                <c:pt idx="0">
                  <c:v>2015-2016
(N=2 163)</c:v>
                </c:pt>
                <c:pt idx="1">
                  <c:v>2016-2017 
(N=2 236)</c:v>
                </c:pt>
                <c:pt idx="2">
                  <c:v>2017-2018
(N=2 384)</c:v>
                </c:pt>
                <c:pt idx="3">
                  <c:v>2018-2019
(N=2 698)</c:v>
                </c:pt>
                <c:pt idx="4">
                  <c:v>2019-2020
(N=2 741)</c:v>
                </c:pt>
              </c:strCache>
            </c:strRef>
          </c:cat>
          <c:val>
            <c:numRef>
              <c:f>Sheet1!$C$3:$C$7</c:f>
              <c:numCache>
                <c:formatCode>#\ ###</c:formatCode>
                <c:ptCount val="5"/>
                <c:pt idx="0">
                  <c:v>233</c:v>
                </c:pt>
                <c:pt idx="1">
                  <c:v>312</c:v>
                </c:pt>
                <c:pt idx="2">
                  <c:v>304</c:v>
                </c:pt>
                <c:pt idx="3">
                  <c:v>323</c:v>
                </c:pt>
                <c:pt idx="4">
                  <c:v>362</c:v>
                </c:pt>
              </c:numCache>
            </c:numRef>
          </c:val>
          <c:extLst>
            <c:ext xmlns:c16="http://schemas.microsoft.com/office/drawing/2014/chart" uri="{C3380CC4-5D6E-409C-BE32-E72D297353CC}">
              <c16:uniqueId val="{0000000B-222D-4F2F-ADAA-87758C48D14A}"/>
            </c:ext>
          </c:extLst>
        </c:ser>
        <c:ser>
          <c:idx val="2"/>
          <c:order val="2"/>
          <c:tx>
            <c:strRef>
              <c:f>Sheet1!$D$1</c:f>
              <c:strCache>
                <c:ptCount val="1"/>
                <c:pt idx="0">
                  <c:v>Nominations à la fonction publique (y compris les employés occasionnels et les étudiants)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8.2852143482059644E-4"/>
                  <c:y val="1.2005007066424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22D-4F2F-ADAA-87758C48D14A}"/>
                </c:ext>
              </c:extLst>
            </c:dLbl>
            <c:dLbl>
              <c:idx val="1"/>
              <c:layout>
                <c:manualLayout>
                  <c:x val="2.7777777777777779E-3"/>
                  <c:y val="2.38853220270542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22D-4F2F-ADAA-87758C48D14A}"/>
                </c:ext>
              </c:extLst>
            </c:dLbl>
            <c:dLbl>
              <c:idx val="2"/>
              <c:layout>
                <c:manualLayout>
                  <c:x val="2.7777777777777779E-3"/>
                  <c:y val="2.3702806379971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22D-4F2F-ADAA-87758C48D14A}"/>
                </c:ext>
              </c:extLst>
            </c:dLbl>
            <c:dLbl>
              <c:idx val="3"/>
              <c:layout>
                <c:manualLayout>
                  <c:x val="8.285214348205456E-4"/>
                  <c:y val="1.56801938219261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22D-4F2F-ADAA-87758C48D14A}"/>
                </c:ext>
              </c:extLst>
            </c:dLbl>
            <c:dLbl>
              <c:idx val="4"/>
              <c:layout>
                <c:manualLayout>
                  <c:x val="-1.0185067526415994E-16"/>
                  <c:y val="1.6410256410256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22D-4F2F-ADAA-87758C48D14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Sheet1!$A$3:$A$7</c:f>
              <c:strCache>
                <c:ptCount val="5"/>
                <c:pt idx="0">
                  <c:v>2015-2016
(N=2 163)</c:v>
                </c:pt>
                <c:pt idx="1">
                  <c:v>2016-2017 
(N=2 236)</c:v>
                </c:pt>
                <c:pt idx="2">
                  <c:v>2017-2018
(N=2 384)</c:v>
                </c:pt>
                <c:pt idx="3">
                  <c:v>2018-2019
(N=2 698)</c:v>
                </c:pt>
                <c:pt idx="4">
                  <c:v>2019-2020
(N=2 741)</c:v>
                </c:pt>
              </c:strCache>
            </c:strRef>
          </c:cat>
          <c:val>
            <c:numRef>
              <c:f>Sheet1!$D$3:$D$7</c:f>
              <c:numCache>
                <c:formatCode>#\ ###</c:formatCode>
                <c:ptCount val="5"/>
                <c:pt idx="0">
                  <c:v>1415</c:v>
                </c:pt>
                <c:pt idx="1">
                  <c:v>1385</c:v>
                </c:pt>
                <c:pt idx="2">
                  <c:v>1550</c:v>
                </c:pt>
                <c:pt idx="3">
                  <c:v>1730</c:v>
                </c:pt>
                <c:pt idx="4">
                  <c:v>1624</c:v>
                </c:pt>
              </c:numCache>
            </c:numRef>
          </c:val>
          <c:extLst>
            <c:ext xmlns:c16="http://schemas.microsoft.com/office/drawing/2014/chart" uri="{C3380CC4-5D6E-409C-BE32-E72D297353CC}">
              <c16:uniqueId val="{00000011-222D-4F2F-ADAA-87758C48D14A}"/>
            </c:ext>
          </c:extLst>
        </c:ser>
        <c:ser>
          <c:idx val="3"/>
          <c:order val="3"/>
          <c:tx>
            <c:strRef>
              <c:f>Sheet1!$E$1</c:f>
              <c:strCache>
                <c:ptCount val="1"/>
                <c:pt idx="0">
                  <c:v>Nominations intérimaires (Excluant les nominations de moins de quatre mois)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8.3333333333333332E-3"/>
                  <c:y val="2.03303048657379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222D-4F2F-ADAA-87758C48D14A}"/>
                </c:ext>
              </c:extLst>
            </c:dLbl>
            <c:dLbl>
              <c:idx val="1"/>
              <c:layout>
                <c:manualLayout>
                  <c:x val="2.7777777777778286E-3"/>
                  <c:y val="2.47979002624672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222D-4F2F-ADAA-87758C48D14A}"/>
                </c:ext>
              </c:extLst>
            </c:dLbl>
            <c:dLbl>
              <c:idx val="2"/>
              <c:layout>
                <c:manualLayout>
                  <c:x val="8.285214348205456E-4"/>
                  <c:y val="2.03926509186350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222D-4F2F-ADAA-87758C48D14A}"/>
                </c:ext>
              </c:extLst>
            </c:dLbl>
            <c:dLbl>
              <c:idx val="3"/>
              <c:layout>
                <c:manualLayout>
                  <c:x val="3.6062992125984253E-3"/>
                  <c:y val="1.97827579244901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222D-4F2F-ADAA-87758C48D14A}"/>
                </c:ext>
              </c:extLst>
            </c:dLbl>
            <c:dLbl>
              <c:idx val="4"/>
              <c:layout>
                <c:manualLayout>
                  <c:x val="1.6666666666666767E-2"/>
                  <c:y val="1.64102564102563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222D-4F2F-ADAA-87758C48D14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Sheet1!$A$3:$A$7</c:f>
              <c:strCache>
                <c:ptCount val="5"/>
                <c:pt idx="0">
                  <c:v>2015-2016
(N=2 163)</c:v>
                </c:pt>
                <c:pt idx="1">
                  <c:v>2016-2017 
(N=2 236)</c:v>
                </c:pt>
                <c:pt idx="2">
                  <c:v>2017-2018
(N=2 384)</c:v>
                </c:pt>
                <c:pt idx="3">
                  <c:v>2018-2019
(N=2 698)</c:v>
                </c:pt>
                <c:pt idx="4">
                  <c:v>2019-2020
(N=2 741)</c:v>
                </c:pt>
              </c:strCache>
            </c:strRef>
          </c:cat>
          <c:val>
            <c:numRef>
              <c:f>Sheet1!$E$3:$E$7</c:f>
              <c:numCache>
                <c:formatCode>#\ ###</c:formatCode>
                <c:ptCount val="5"/>
                <c:pt idx="0">
                  <c:v>213</c:v>
                </c:pt>
                <c:pt idx="1">
                  <c:v>184</c:v>
                </c:pt>
                <c:pt idx="2">
                  <c:v>126</c:v>
                </c:pt>
                <c:pt idx="3">
                  <c:v>177</c:v>
                </c:pt>
                <c:pt idx="4">
                  <c:v>188</c:v>
                </c:pt>
              </c:numCache>
            </c:numRef>
          </c:val>
          <c:extLst>
            <c:ext xmlns:c16="http://schemas.microsoft.com/office/drawing/2014/chart" uri="{C3380CC4-5D6E-409C-BE32-E72D297353CC}">
              <c16:uniqueId val="{00000017-222D-4F2F-ADAA-87758C48D14A}"/>
            </c:ext>
          </c:extLst>
        </c:ser>
        <c:dLbls>
          <c:showLegendKey val="0"/>
          <c:showVal val="0"/>
          <c:showCatName val="0"/>
          <c:showSerName val="0"/>
          <c:showPercent val="0"/>
          <c:showBubbleSize val="0"/>
        </c:dLbls>
        <c:gapWidth val="150"/>
        <c:shape val="box"/>
        <c:axId val="523813792"/>
        <c:axId val="523813400"/>
        <c:axId val="0"/>
      </c:bar3DChart>
      <c:catAx>
        <c:axId val="5238137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13400"/>
        <c:crosses val="autoZero"/>
        <c:auto val="0"/>
        <c:lblAlgn val="ctr"/>
        <c:lblOffset val="100"/>
        <c:noMultiLvlLbl val="0"/>
      </c:catAx>
      <c:valAx>
        <c:axId val="523813400"/>
        <c:scaling>
          <c:orientation val="minMax"/>
        </c:scaling>
        <c:delete val="0"/>
        <c:axPos val="l"/>
        <c:numFmt formatCode="#\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13792"/>
        <c:crosses val="autoZero"/>
        <c:crossBetween val="between"/>
      </c:valAx>
      <c:spPr>
        <a:noFill/>
        <a:ln>
          <a:noFill/>
        </a:ln>
        <a:effectLst/>
      </c:spPr>
    </c:plotArea>
    <c:legend>
      <c:legendPos val="r"/>
      <c:layout>
        <c:manualLayout>
          <c:xMode val="edge"/>
          <c:yMode val="edge"/>
          <c:x val="0"/>
          <c:y val="0.80998182919442763"/>
          <c:w val="1"/>
          <c:h val="0.1900181708055723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CA" sz="1200"/>
              <a:t>Dotation selon la durée d'emploi</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view3D>
      <c:rotX val="0"/>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740835520559928"/>
          <c:y val="0.12312247122955784"/>
          <c:w val="0.86277799650043729"/>
          <c:h val="0.58764740561275985"/>
        </c:manualLayout>
      </c:layout>
      <c:bar3DChart>
        <c:barDir val="col"/>
        <c:grouping val="clustered"/>
        <c:varyColors val="0"/>
        <c:ser>
          <c:idx val="0"/>
          <c:order val="0"/>
          <c:tx>
            <c:strRef>
              <c:f>Sheet1!$B$1</c:f>
              <c:strCache>
                <c:ptCount val="1"/>
                <c:pt idx="0">
                  <c:v>Indéterminée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0"/>
                  <c:y val="1.96001568012544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DBB-46EF-AD57-F66C075472E7}"/>
                </c:ext>
              </c:extLst>
            </c:dLbl>
            <c:dLbl>
              <c:idx val="1"/>
              <c:layout>
                <c:manualLayout>
                  <c:x val="-2.7777777777778798E-3"/>
                  <c:y val="1.96001568012543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DBB-46EF-AD57-F66C075472E7}"/>
                </c:ext>
              </c:extLst>
            </c:dLbl>
            <c:dLbl>
              <c:idx val="2"/>
              <c:layout>
                <c:manualLayout>
                  <c:x val="-2.7777777777778798E-3"/>
                  <c:y val="1.97827579244901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DBB-46EF-AD57-F66C075472E7}"/>
                </c:ext>
              </c:extLst>
            </c:dLbl>
            <c:dLbl>
              <c:idx val="3"/>
              <c:layout>
                <c:manualLayout>
                  <c:x val="-2.7777777777777779E-3"/>
                  <c:y val="1.9600242277407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DBB-46EF-AD57-F66C075472E7}"/>
                </c:ext>
              </c:extLst>
            </c:dLbl>
            <c:dLbl>
              <c:idx val="4"/>
              <c:layout>
                <c:manualLayout>
                  <c:x val="0"/>
                  <c:y val="8.20512820512821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DBB-46EF-AD57-F66C075472E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(N=2 163)</c:v>
                </c:pt>
                <c:pt idx="1">
                  <c:v>2016-2017
 (N=2 236)</c:v>
                </c:pt>
                <c:pt idx="2">
                  <c:v>2017-2018
 (N=2 384)</c:v>
                </c:pt>
                <c:pt idx="3">
                  <c:v>2018-2019
(N=2 698)</c:v>
                </c:pt>
                <c:pt idx="4">
                  <c:v>2019-2020
(N=2 741)</c:v>
                </c:pt>
              </c:strCache>
            </c:strRef>
          </c:cat>
          <c:val>
            <c:numRef>
              <c:f>Sheet1!$B$2:$B$6</c:f>
              <c:numCache>
                <c:formatCode>#\ ###</c:formatCode>
                <c:ptCount val="5"/>
                <c:pt idx="0">
                  <c:v>838</c:v>
                </c:pt>
                <c:pt idx="1">
                  <c:v>981</c:v>
                </c:pt>
                <c:pt idx="2">
                  <c:v>974</c:v>
                </c:pt>
                <c:pt idx="3">
                  <c:v>1188</c:v>
                </c:pt>
                <c:pt idx="4">
                  <c:v>1300</c:v>
                </c:pt>
              </c:numCache>
            </c:numRef>
          </c:val>
          <c:extLst>
            <c:ext xmlns:c16="http://schemas.microsoft.com/office/drawing/2014/chart" uri="{C3380CC4-5D6E-409C-BE32-E72D297353CC}">
              <c16:uniqueId val="{00000005-7DBB-46EF-AD57-F66C075472E7}"/>
            </c:ext>
          </c:extLst>
        </c:ser>
        <c:ser>
          <c:idx val="1"/>
          <c:order val="1"/>
          <c:tx>
            <c:strRef>
              <c:f>Sheet1!$C$1</c:f>
              <c:strCache>
                <c:ptCount val="1"/>
                <c:pt idx="0">
                  <c:v>Déterminée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2.7777777777777523E-3"/>
                  <c:y val="2.0147789218655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DBB-46EF-AD57-F66C075472E7}"/>
                </c:ext>
              </c:extLst>
            </c:dLbl>
            <c:dLbl>
              <c:idx val="1"/>
              <c:layout>
                <c:manualLayout>
                  <c:x val="2.7777777777777779E-3"/>
                  <c:y val="1.9600242277407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DBB-46EF-AD57-F66C075472E7}"/>
                </c:ext>
              </c:extLst>
            </c:dLbl>
            <c:dLbl>
              <c:idx val="2"/>
              <c:layout>
                <c:manualLayout>
                  <c:x val="2.7777777777777779E-3"/>
                  <c:y val="2.3702806379971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DBB-46EF-AD57-F66C075472E7}"/>
                </c:ext>
              </c:extLst>
            </c:dLbl>
            <c:dLbl>
              <c:idx val="3"/>
              <c:layout>
                <c:manualLayout>
                  <c:x val="5.5555555555555558E-3"/>
                  <c:y val="1.96002422774075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DBB-46EF-AD57-F66C075472E7}"/>
                </c:ext>
              </c:extLst>
            </c:dLbl>
            <c:dLbl>
              <c:idx val="4"/>
              <c:layout>
                <c:manualLayout>
                  <c:x val="-1.0185067526415994E-16"/>
                  <c:y val="2.4615384615384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DBB-46EF-AD57-F66C075472E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(N=2 163)</c:v>
                </c:pt>
                <c:pt idx="1">
                  <c:v>2016-2017
 (N=2 236)</c:v>
                </c:pt>
                <c:pt idx="2">
                  <c:v>2017-2018
 (N=2 384)</c:v>
                </c:pt>
                <c:pt idx="3">
                  <c:v>2018-2019
(N=2 698)</c:v>
                </c:pt>
                <c:pt idx="4">
                  <c:v>2019-2020
(N=2 741)</c:v>
                </c:pt>
              </c:strCache>
            </c:strRef>
          </c:cat>
          <c:val>
            <c:numRef>
              <c:f>Sheet1!$C$2:$C$6</c:f>
              <c:numCache>
                <c:formatCode>#\ ###</c:formatCode>
                <c:ptCount val="5"/>
                <c:pt idx="0">
                  <c:v>192</c:v>
                </c:pt>
                <c:pt idx="1">
                  <c:v>223</c:v>
                </c:pt>
                <c:pt idx="2">
                  <c:v>296</c:v>
                </c:pt>
                <c:pt idx="3">
                  <c:v>351</c:v>
                </c:pt>
                <c:pt idx="4">
                  <c:v>367</c:v>
                </c:pt>
              </c:numCache>
            </c:numRef>
          </c:val>
          <c:extLst>
            <c:ext xmlns:c16="http://schemas.microsoft.com/office/drawing/2014/chart" uri="{C3380CC4-5D6E-409C-BE32-E72D297353CC}">
              <c16:uniqueId val="{0000000B-7DBB-46EF-AD57-F66C075472E7}"/>
            </c:ext>
          </c:extLst>
        </c:ser>
        <c:ser>
          <c:idx val="2"/>
          <c:order val="2"/>
          <c:tx>
            <c:strRef>
              <c:f>Sheet1!$D$1</c:f>
              <c:strCache>
                <c:ptCount val="1"/>
                <c:pt idx="0">
                  <c:v>Occasionnel</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8.3333333333333332E-3"/>
                  <c:y val="2.3702806379971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DBB-46EF-AD57-F66C075472E7}"/>
                </c:ext>
              </c:extLst>
            </c:dLbl>
            <c:dLbl>
              <c:idx val="1"/>
              <c:layout>
                <c:manualLayout>
                  <c:x val="-1.1111111111111112E-2"/>
                  <c:y val="1.9600242277407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DBB-46EF-AD57-F66C075472E7}"/>
                </c:ext>
              </c:extLst>
            </c:dLbl>
            <c:dLbl>
              <c:idx val="2"/>
              <c:layout>
                <c:manualLayout>
                  <c:x val="-9.7222222222222224E-3"/>
                  <c:y val="2.3702967898243488E-2"/>
                </c:manualLayout>
              </c:layout>
              <c:showLegendKey val="0"/>
              <c:showVal val="1"/>
              <c:showCatName val="0"/>
              <c:showSerName val="0"/>
              <c:showPercent val="0"/>
              <c:showBubbleSize val="0"/>
              <c:extLst>
                <c:ext xmlns:c15="http://schemas.microsoft.com/office/drawing/2012/chart" uri="{CE6537A1-D6FC-4f65-9D91-7224C49458BB}">
                  <c15:layout>
                    <c:manualLayout>
                      <c:w val="7.576399825021872E-2"/>
                      <c:h val="5.7374520492630719E-2"/>
                    </c:manualLayout>
                  </c15:layout>
                </c:ext>
                <c:ext xmlns:c16="http://schemas.microsoft.com/office/drawing/2014/chart" uri="{C3380CC4-5D6E-409C-BE32-E72D297353CC}">
                  <c16:uniqueId val="{0000000E-7DBB-46EF-AD57-F66C075472E7}"/>
                </c:ext>
              </c:extLst>
            </c:dLbl>
            <c:dLbl>
              <c:idx val="3"/>
              <c:layout>
                <c:manualLayout>
                  <c:x val="-8.3333333333334356E-3"/>
                  <c:y val="2.38853220270543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DBB-46EF-AD57-F66C075472E7}"/>
                </c:ext>
              </c:extLst>
            </c:dLbl>
            <c:dLbl>
              <c:idx val="4"/>
              <c:layout>
                <c:manualLayout>
                  <c:x val="-5.5555555555554534E-3"/>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7DBB-46EF-AD57-F66C075472E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(N=2 163)</c:v>
                </c:pt>
                <c:pt idx="1">
                  <c:v>2016-2017
 (N=2 236)</c:v>
                </c:pt>
                <c:pt idx="2">
                  <c:v>2017-2018
 (N=2 384)</c:v>
                </c:pt>
                <c:pt idx="3">
                  <c:v>2018-2019
(N=2 698)</c:v>
                </c:pt>
                <c:pt idx="4">
                  <c:v>2019-2020
(N=2 741)</c:v>
                </c:pt>
              </c:strCache>
            </c:strRef>
          </c:cat>
          <c:val>
            <c:numRef>
              <c:f>Sheet1!$D$2:$D$6</c:f>
              <c:numCache>
                <c:formatCode>#\ ###</c:formatCode>
                <c:ptCount val="5"/>
                <c:pt idx="0">
                  <c:v>626</c:v>
                </c:pt>
                <c:pt idx="1">
                  <c:v>609</c:v>
                </c:pt>
                <c:pt idx="2">
                  <c:v>657</c:v>
                </c:pt>
                <c:pt idx="3">
                  <c:v>674</c:v>
                </c:pt>
                <c:pt idx="4">
                  <c:v>569</c:v>
                </c:pt>
              </c:numCache>
            </c:numRef>
          </c:val>
          <c:extLst>
            <c:ext xmlns:c16="http://schemas.microsoft.com/office/drawing/2014/chart" uri="{C3380CC4-5D6E-409C-BE32-E72D297353CC}">
              <c16:uniqueId val="{00000011-7DBB-46EF-AD57-F66C075472E7}"/>
            </c:ext>
          </c:extLst>
        </c:ser>
        <c:ser>
          <c:idx val="3"/>
          <c:order val="3"/>
          <c:tx>
            <c:strRef>
              <c:f>Sheet1!$E$1</c:f>
              <c:strCache>
                <c:ptCount val="1"/>
                <c:pt idx="0">
                  <c:v>Étudiant</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5.5555555555555558E-3"/>
                  <c:y val="2.35202907328890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7DBB-46EF-AD57-F66C075472E7}"/>
                </c:ext>
              </c:extLst>
            </c:dLbl>
            <c:dLbl>
              <c:idx val="1"/>
              <c:layout>
                <c:manualLayout>
                  <c:x val="2.7777777777777779E-3"/>
                  <c:y val="2.35202907328892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7DBB-46EF-AD57-F66C075472E7}"/>
                </c:ext>
              </c:extLst>
            </c:dLbl>
            <c:dLbl>
              <c:idx val="2"/>
              <c:layout>
                <c:manualLayout>
                  <c:x val="0"/>
                  <c:y val="2.4067837674136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7DBB-46EF-AD57-F66C075472E7}"/>
                </c:ext>
              </c:extLst>
            </c:dLbl>
            <c:dLbl>
              <c:idx val="3"/>
              <c:layout>
                <c:manualLayout>
                  <c:x val="5.5555555555555558E-3"/>
                  <c:y val="2.3702806379971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7DBB-46EF-AD57-F66C075472E7}"/>
                </c:ext>
              </c:extLst>
            </c:dLbl>
            <c:dLbl>
              <c:idx val="4"/>
              <c:layout>
                <c:manualLayout>
                  <c:x val="5.5555555555555558E-3"/>
                  <c:y val="2.05128205128203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7DBB-46EF-AD57-F66C075472E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(N=2 163)</c:v>
                </c:pt>
                <c:pt idx="1">
                  <c:v>2016-2017
 (N=2 236)</c:v>
                </c:pt>
                <c:pt idx="2">
                  <c:v>2017-2018
 (N=2 384)</c:v>
                </c:pt>
                <c:pt idx="3">
                  <c:v>2018-2019
(N=2 698)</c:v>
                </c:pt>
                <c:pt idx="4">
                  <c:v>2019-2020
(N=2 741)</c:v>
                </c:pt>
              </c:strCache>
            </c:strRef>
          </c:cat>
          <c:val>
            <c:numRef>
              <c:f>Sheet1!$E$2:$E$6</c:f>
              <c:numCache>
                <c:formatCode>#\ ###</c:formatCode>
                <c:ptCount val="5"/>
                <c:pt idx="0">
                  <c:v>507</c:v>
                </c:pt>
                <c:pt idx="1">
                  <c:v>423</c:v>
                </c:pt>
                <c:pt idx="2">
                  <c:v>457</c:v>
                </c:pt>
                <c:pt idx="3">
                  <c:v>485</c:v>
                </c:pt>
                <c:pt idx="4">
                  <c:v>505</c:v>
                </c:pt>
              </c:numCache>
            </c:numRef>
          </c:val>
          <c:extLst>
            <c:ext xmlns:c16="http://schemas.microsoft.com/office/drawing/2014/chart" uri="{C3380CC4-5D6E-409C-BE32-E72D297353CC}">
              <c16:uniqueId val="{00000017-7DBB-46EF-AD57-F66C075472E7}"/>
            </c:ext>
          </c:extLst>
        </c:ser>
        <c:dLbls>
          <c:showLegendKey val="0"/>
          <c:showVal val="1"/>
          <c:showCatName val="0"/>
          <c:showSerName val="0"/>
          <c:showPercent val="0"/>
          <c:showBubbleSize val="0"/>
        </c:dLbls>
        <c:gapWidth val="150"/>
        <c:shape val="box"/>
        <c:axId val="523823200"/>
        <c:axId val="523818496"/>
        <c:axId val="0"/>
      </c:bar3DChart>
      <c:catAx>
        <c:axId val="5238232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18496"/>
        <c:crosses val="autoZero"/>
        <c:auto val="1"/>
        <c:lblAlgn val="ctr"/>
        <c:lblOffset val="100"/>
        <c:noMultiLvlLbl val="0"/>
      </c:catAx>
      <c:valAx>
        <c:axId val="523818496"/>
        <c:scaling>
          <c:orientation val="minMax"/>
        </c:scaling>
        <c:delete val="0"/>
        <c:axPos val="l"/>
        <c:numFmt formatCode="#\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23200"/>
        <c:crosses val="autoZero"/>
        <c:crossBetween val="between"/>
      </c:valAx>
      <c:spPr>
        <a:noFill/>
        <a:ln>
          <a:noFill/>
        </a:ln>
        <a:effectLst/>
      </c:spPr>
    </c:plotArea>
    <c:legend>
      <c:legendPos val="r"/>
      <c:layout>
        <c:manualLayout>
          <c:xMode val="edge"/>
          <c:yMode val="edge"/>
          <c:x val="0.1"/>
          <c:y val="0.84398433272763984"/>
          <c:w val="0.81944444444444442"/>
          <c:h val="9.03746253592075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CA" sz="1200" b="1"/>
              <a:t>Embauche d'étudiants</a:t>
            </a:r>
          </a:p>
        </c:rich>
      </c:tx>
      <c:layout>
        <c:manualLayout>
          <c:xMode val="edge"/>
          <c:yMode val="edge"/>
          <c:x val="0.38937348683016648"/>
          <c:y val="2.6861201816550686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1946256204627399"/>
          <c:y val="0.10525709900230237"/>
          <c:w val="0.83536289996604629"/>
          <c:h val="0.58717180352455944"/>
        </c:manualLayout>
      </c:layout>
      <c:barChart>
        <c:barDir val="col"/>
        <c:grouping val="stacked"/>
        <c:varyColors val="0"/>
        <c:ser>
          <c:idx val="0"/>
          <c:order val="0"/>
          <c:tx>
            <c:strRef>
              <c:f>Sheet1!$B$1</c:f>
              <c:strCache>
                <c:ptCount val="1"/>
                <c:pt idx="0">
                  <c:v>Programme fédéral d'expérience de travail étudiant (PFETÉ)</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(N=507)</c:v>
                </c:pt>
                <c:pt idx="1">
                  <c:v>2016-2017
 (N=423)</c:v>
                </c:pt>
                <c:pt idx="2">
                  <c:v>2017-2018
 (N=457)</c:v>
                </c:pt>
                <c:pt idx="3">
                  <c:v>2018-2019
(N=485)</c:v>
                </c:pt>
                <c:pt idx="4">
                  <c:v>2019-2020
(N=505)</c:v>
                </c:pt>
              </c:strCache>
            </c:strRef>
          </c:cat>
          <c:val>
            <c:numRef>
              <c:f>Sheet1!$B$2:$B$6</c:f>
              <c:numCache>
                <c:formatCode>General</c:formatCode>
                <c:ptCount val="5"/>
                <c:pt idx="0">
                  <c:v>184</c:v>
                </c:pt>
                <c:pt idx="1">
                  <c:v>139</c:v>
                </c:pt>
                <c:pt idx="2">
                  <c:v>168</c:v>
                </c:pt>
                <c:pt idx="3" formatCode="0">
                  <c:v>175</c:v>
                </c:pt>
                <c:pt idx="4" formatCode="0">
                  <c:v>177</c:v>
                </c:pt>
              </c:numCache>
            </c:numRef>
          </c:val>
          <c:extLst>
            <c:ext xmlns:c16="http://schemas.microsoft.com/office/drawing/2014/chart" uri="{C3380CC4-5D6E-409C-BE32-E72D297353CC}">
              <c16:uniqueId val="{00000000-B60F-4536-AEFD-C28E3D245B43}"/>
            </c:ext>
          </c:extLst>
        </c:ser>
        <c:ser>
          <c:idx val="1"/>
          <c:order val="1"/>
          <c:tx>
            <c:strRef>
              <c:f>Sheet1!$C$1</c:f>
              <c:strCache>
                <c:ptCount val="1"/>
                <c:pt idx="0">
                  <c:v>Programme post secondaire d'enseignement coopératif/stage (COOP)</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(N=507)</c:v>
                </c:pt>
                <c:pt idx="1">
                  <c:v>2016-2017
 (N=423)</c:v>
                </c:pt>
                <c:pt idx="2">
                  <c:v>2017-2018
 (N=457)</c:v>
                </c:pt>
                <c:pt idx="3">
                  <c:v>2018-2019
(N=485)</c:v>
                </c:pt>
                <c:pt idx="4">
                  <c:v>2019-2020
(N=505)</c:v>
                </c:pt>
              </c:strCache>
            </c:strRef>
          </c:cat>
          <c:val>
            <c:numRef>
              <c:f>Sheet1!$C$2:$C$6</c:f>
              <c:numCache>
                <c:formatCode>General</c:formatCode>
                <c:ptCount val="5"/>
                <c:pt idx="0">
                  <c:v>278</c:v>
                </c:pt>
                <c:pt idx="1">
                  <c:v>242</c:v>
                </c:pt>
                <c:pt idx="2">
                  <c:v>251</c:v>
                </c:pt>
                <c:pt idx="3" formatCode="0">
                  <c:v>281</c:v>
                </c:pt>
                <c:pt idx="4" formatCode="0">
                  <c:v>316</c:v>
                </c:pt>
              </c:numCache>
            </c:numRef>
          </c:val>
          <c:extLst>
            <c:ext xmlns:c16="http://schemas.microsoft.com/office/drawing/2014/chart" uri="{C3380CC4-5D6E-409C-BE32-E72D297353CC}">
              <c16:uniqueId val="{00000001-B60F-4536-AEFD-C28E3D245B43}"/>
            </c:ext>
          </c:extLst>
        </c:ser>
        <c:ser>
          <c:idx val="2"/>
          <c:order val="2"/>
          <c:tx>
            <c:strRef>
              <c:f>Sheet1!$D$1</c:f>
              <c:strCache>
                <c:ptCount val="1"/>
                <c:pt idx="0">
                  <c:v>Programme des adjoints de recherche (PAR)</c:v>
                </c:pt>
              </c:strCache>
            </c:strRef>
          </c:tx>
          <c:spPr>
            <a:solidFill>
              <a:schemeClr val="accent3"/>
            </a:solidFill>
            <a:ln>
              <a:noFill/>
            </a:ln>
            <a:effectLst/>
          </c:spPr>
          <c:invertIfNegative val="0"/>
          <c:dLbls>
            <c:dLbl>
              <c:idx val="0"/>
              <c:layout>
                <c:manualLayout>
                  <c:x val="8.2135523613963424E-3"/>
                  <c:y val="-4.10141685309470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60F-4536-AEFD-C28E3D245B43}"/>
                </c:ext>
              </c:extLst>
            </c:dLbl>
            <c:dLbl>
              <c:idx val="1"/>
              <c:layout>
                <c:manualLayout>
                  <c:x val="0"/>
                  <c:y val="-4.10141685309470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60F-4536-AEFD-C28E3D245B43}"/>
                </c:ext>
              </c:extLst>
            </c:dLbl>
            <c:dLbl>
              <c:idx val="2"/>
              <c:layout>
                <c:manualLayout>
                  <c:x val="0"/>
                  <c:y val="-3.72856077554064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60F-4536-AEFD-C28E3D245B43}"/>
                </c:ext>
              </c:extLst>
            </c:dLbl>
            <c:dLbl>
              <c:idx val="3"/>
              <c:layout>
                <c:manualLayout>
                  <c:x val="0"/>
                  <c:y val="-3.72856077554064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60F-4536-AEFD-C28E3D245B43}"/>
                </c:ext>
              </c:extLst>
            </c:dLbl>
            <c:dLbl>
              <c:idx val="4"/>
              <c:layout>
                <c:manualLayout>
                  <c:x val="4.1067761806980012E-3"/>
                  <c:y val="-2.98284862043251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60F-4536-AEFD-C28E3D245B43}"/>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
 (N=507)</c:v>
                </c:pt>
                <c:pt idx="1">
                  <c:v>2016-2017
 (N=423)</c:v>
                </c:pt>
                <c:pt idx="2">
                  <c:v>2017-2018
 (N=457)</c:v>
                </c:pt>
                <c:pt idx="3">
                  <c:v>2018-2019
(N=485)</c:v>
                </c:pt>
                <c:pt idx="4">
                  <c:v>2019-2020
(N=505)</c:v>
                </c:pt>
              </c:strCache>
            </c:strRef>
          </c:cat>
          <c:val>
            <c:numRef>
              <c:f>Sheet1!$D$2:$D$6</c:f>
              <c:numCache>
                <c:formatCode>General</c:formatCode>
                <c:ptCount val="5"/>
                <c:pt idx="0">
                  <c:v>45</c:v>
                </c:pt>
                <c:pt idx="1">
                  <c:v>42</c:v>
                </c:pt>
                <c:pt idx="2">
                  <c:v>38</c:v>
                </c:pt>
                <c:pt idx="3" formatCode="0">
                  <c:v>29</c:v>
                </c:pt>
                <c:pt idx="4" formatCode="0">
                  <c:v>12</c:v>
                </c:pt>
              </c:numCache>
            </c:numRef>
          </c:val>
          <c:extLst>
            <c:ext xmlns:c16="http://schemas.microsoft.com/office/drawing/2014/chart" uri="{C3380CC4-5D6E-409C-BE32-E72D297353CC}">
              <c16:uniqueId val="{00000007-B60F-4536-AEFD-C28E3D245B43}"/>
            </c:ext>
          </c:extLst>
        </c:ser>
        <c:dLbls>
          <c:dLblPos val="ctr"/>
          <c:showLegendKey val="0"/>
          <c:showVal val="1"/>
          <c:showCatName val="0"/>
          <c:showSerName val="0"/>
          <c:showPercent val="0"/>
          <c:showBubbleSize val="0"/>
        </c:dLbls>
        <c:gapWidth val="150"/>
        <c:overlap val="100"/>
        <c:axId val="523813008"/>
        <c:axId val="523817712"/>
      </c:barChart>
      <c:catAx>
        <c:axId val="52381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17712"/>
        <c:crosses val="autoZero"/>
        <c:auto val="1"/>
        <c:lblAlgn val="ctr"/>
        <c:lblOffset val="100"/>
        <c:noMultiLvlLbl val="0"/>
      </c:catAx>
      <c:valAx>
        <c:axId val="5238177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13008"/>
        <c:crosses val="autoZero"/>
        <c:crossBetween val="between"/>
      </c:valAx>
      <c:spPr>
        <a:noFill/>
        <a:ln>
          <a:noFill/>
        </a:ln>
        <a:effectLst/>
      </c:spPr>
    </c:plotArea>
    <c:legend>
      <c:legendPos val="b"/>
      <c:layout>
        <c:manualLayout>
          <c:xMode val="edge"/>
          <c:yMode val="edge"/>
          <c:x val="4.4100955553040477E-3"/>
          <c:y val="0.80836371963571652"/>
          <c:w val="0.97885948034729742"/>
          <c:h val="0.1504210044214271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CA" sz="1200"/>
              <a:t>Activités d'embauche externe pour une période indéterminée et d'une durée déterminée : Programme de recrutement postsecondaire et embauche d'anciens étudiants</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view3D>
      <c:rotX val="0"/>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7963032789915352E-2"/>
          <c:y val="0.25508169181202217"/>
          <c:w val="0.90621744112971792"/>
          <c:h val="0.44171789231306924"/>
        </c:manualLayout>
      </c:layout>
      <c:bar3DChart>
        <c:barDir val="col"/>
        <c:grouping val="clustered"/>
        <c:varyColors val="0"/>
        <c:ser>
          <c:idx val="0"/>
          <c:order val="0"/>
          <c:tx>
            <c:strRef>
              <c:f>Sheet1!$B$1</c:f>
              <c:strCache>
                <c:ptCount val="1"/>
                <c:pt idx="0">
                  <c:v>Recrutement postsecondaire (RP)</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1.841620626151013E-2"/>
                  <c:y val="1.11898545318910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B16-4DE5-9B79-47CB51653FEC}"/>
                </c:ext>
              </c:extLst>
            </c:dLbl>
            <c:dLbl>
              <c:idx val="1"/>
              <c:layout>
                <c:manualLayout>
                  <c:x val="-1.4732965009208104E-2"/>
                  <c:y val="1.11898545318910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B16-4DE5-9B79-47CB51653FE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c:v>
                </c:pt>
                <c:pt idx="1">
                  <c:v>2016-2017</c:v>
                </c:pt>
                <c:pt idx="2">
                  <c:v>2017-2018</c:v>
                </c:pt>
                <c:pt idx="3">
                  <c:v>2018-2019</c:v>
                </c:pt>
                <c:pt idx="4">
                  <c:v>2019-2020</c:v>
                </c:pt>
              </c:strCache>
            </c:strRef>
          </c:cat>
          <c:val>
            <c:numRef>
              <c:f>Sheet1!$B$2:$B$6</c:f>
              <c:numCache>
                <c:formatCode>_-* #,##0_-;\-* #,##0_-;_-* "-"??_-;_-@_-</c:formatCode>
                <c:ptCount val="5"/>
                <c:pt idx="0">
                  <c:v>14</c:v>
                </c:pt>
                <c:pt idx="1">
                  <c:v>13</c:v>
                </c:pt>
                <c:pt idx="2">
                  <c:v>5</c:v>
                </c:pt>
                <c:pt idx="3" formatCode="_(* #,##0_);_(* \(#,##0\);_(* &quot;-&quot;_);_(@_)">
                  <c:v>15</c:v>
                </c:pt>
                <c:pt idx="4" formatCode="_(* #,##0_);_(* \(#,##0\);_(* &quot;-&quot;_);_(@_)">
                  <c:v>5</c:v>
                </c:pt>
              </c:numCache>
            </c:numRef>
          </c:val>
          <c:extLst>
            <c:ext xmlns:c16="http://schemas.microsoft.com/office/drawing/2014/chart" uri="{C3380CC4-5D6E-409C-BE32-E72D297353CC}">
              <c16:uniqueId val="{00000002-CB16-4DE5-9B79-47CB51653FEC}"/>
            </c:ext>
          </c:extLst>
        </c:ser>
        <c:ser>
          <c:idx val="1"/>
          <c:order val="1"/>
          <c:tx>
            <c:strRef>
              <c:f>Sheet1!$C$1</c:f>
              <c:strCache>
                <c:ptCount val="1"/>
                <c:pt idx="0">
                  <c:v>Embauche d'anciens étudiants*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2015-2016</c:v>
                </c:pt>
                <c:pt idx="1">
                  <c:v>2016-2017</c:v>
                </c:pt>
                <c:pt idx="2">
                  <c:v>2017-2018</c:v>
                </c:pt>
                <c:pt idx="3">
                  <c:v>2018-2019</c:v>
                </c:pt>
                <c:pt idx="4">
                  <c:v>2019-2020</c:v>
                </c:pt>
              </c:strCache>
            </c:strRef>
          </c:cat>
          <c:val>
            <c:numRef>
              <c:f>Sheet1!$C$2:$C$6</c:f>
              <c:numCache>
                <c:formatCode>_-* #,##0_-;\-* #,##0_-;_-* "-"??_-;_-@_-</c:formatCode>
                <c:ptCount val="5"/>
                <c:pt idx="0">
                  <c:v>65</c:v>
                </c:pt>
                <c:pt idx="1">
                  <c:v>75</c:v>
                </c:pt>
                <c:pt idx="2">
                  <c:v>93</c:v>
                </c:pt>
                <c:pt idx="3" formatCode="_(* #,##0_);_(* \(#,##0\);_(* &quot;-&quot;_);_(@_)">
                  <c:v>126</c:v>
                </c:pt>
                <c:pt idx="4" formatCode="_(* #,##0_);_(* \(#,##0\);_(* &quot;-&quot;_);_(@_)">
                  <c:v>120</c:v>
                </c:pt>
              </c:numCache>
            </c:numRef>
          </c:val>
          <c:extLst>
            <c:ext xmlns:c16="http://schemas.microsoft.com/office/drawing/2014/chart" uri="{C3380CC4-5D6E-409C-BE32-E72D297353CC}">
              <c16:uniqueId val="{00000003-CB16-4DE5-9B79-47CB51653FEC}"/>
            </c:ext>
          </c:extLst>
        </c:ser>
        <c:dLbls>
          <c:showLegendKey val="0"/>
          <c:showVal val="1"/>
          <c:showCatName val="0"/>
          <c:showSerName val="0"/>
          <c:showPercent val="0"/>
          <c:showBubbleSize val="0"/>
        </c:dLbls>
        <c:gapWidth val="150"/>
        <c:shape val="box"/>
        <c:axId val="523815360"/>
        <c:axId val="523814184"/>
        <c:axId val="0"/>
      </c:bar3DChart>
      <c:catAx>
        <c:axId val="5238153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14184"/>
        <c:crosses val="autoZero"/>
        <c:auto val="1"/>
        <c:lblAlgn val="ctr"/>
        <c:lblOffset val="100"/>
        <c:noMultiLvlLbl val="0"/>
      </c:catAx>
      <c:valAx>
        <c:axId val="523814184"/>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15360"/>
        <c:crosses val="autoZero"/>
        <c:crossBetween val="between"/>
        <c:minorUnit val="1"/>
      </c:valAx>
      <c:spPr>
        <a:noFill/>
        <a:ln>
          <a:noFill/>
        </a:ln>
        <a:effectLst/>
      </c:spPr>
    </c:plotArea>
    <c:legend>
      <c:legendPos val="r"/>
      <c:layout>
        <c:manualLayout>
          <c:xMode val="edge"/>
          <c:yMode val="edge"/>
          <c:x val="4.702680967107524E-2"/>
          <c:y val="0.79415189659235808"/>
          <c:w val="0.88258285263088621"/>
          <c:h val="9.03746253592075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CA" sz="1200"/>
              <a:t>Durée de dotation interne</a:t>
            </a:r>
          </a:p>
          <a:p>
            <a:pPr>
              <a:defRPr sz="1200"/>
            </a:pPr>
            <a:r>
              <a:rPr lang="en-CA" sz="1200"/>
              <a:t>Médiane pour la fonction publique = 175 jours</a:t>
            </a:r>
          </a:p>
          <a:p>
            <a:pPr>
              <a:defRPr sz="1200"/>
            </a:pPr>
            <a:r>
              <a:rPr lang="en-CA" sz="1200"/>
              <a:t> 2019-2020</a:t>
            </a:r>
          </a:p>
        </c:rich>
      </c:tx>
      <c:layout>
        <c:manualLayout>
          <c:xMode val="edge"/>
          <c:yMode val="edge"/>
          <c:x val="0.19102453102453099"/>
          <c:y val="3.6182590578239574E-3"/>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0560475395121065"/>
          <c:y val="0.21433521840697753"/>
          <c:w val="0.85778504959607327"/>
          <c:h val="0.53656772284907683"/>
        </c:manualLayout>
      </c:layout>
      <c:barChart>
        <c:barDir val="col"/>
        <c:grouping val="stacked"/>
        <c:varyColors val="0"/>
        <c:ser>
          <c:idx val="0"/>
          <c:order val="0"/>
          <c:tx>
            <c:strRef>
              <c:f>Sheet1!$B$1</c:f>
              <c:strCache>
                <c:ptCount val="1"/>
                <c:pt idx="0">
                  <c:v>Jours civils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Sheet1!$A$2:$A$36</c:f>
              <c:strCache>
                <c:ptCount val="35"/>
                <c:pt idx="0">
                  <c:v>0</c:v>
                </c:pt>
                <c:pt idx="1">
                  <c:v>0-29</c:v>
                </c:pt>
                <c:pt idx="2">
                  <c:v>30-59</c:v>
                </c:pt>
                <c:pt idx="3">
                  <c:v>60-89</c:v>
                </c:pt>
                <c:pt idx="4">
                  <c:v>90-119</c:v>
                </c:pt>
                <c:pt idx="5">
                  <c:v>120-149</c:v>
                </c:pt>
                <c:pt idx="6">
                  <c:v>150-179</c:v>
                </c:pt>
                <c:pt idx="7">
                  <c:v>180-209</c:v>
                </c:pt>
                <c:pt idx="8">
                  <c:v>210-239</c:v>
                </c:pt>
                <c:pt idx="9">
                  <c:v>240-269</c:v>
                </c:pt>
                <c:pt idx="10">
                  <c:v>270-299</c:v>
                </c:pt>
                <c:pt idx="11">
                  <c:v>300-329</c:v>
                </c:pt>
                <c:pt idx="12">
                  <c:v>330-359</c:v>
                </c:pt>
                <c:pt idx="13">
                  <c:v>360-389</c:v>
                </c:pt>
                <c:pt idx="14">
                  <c:v>390-419</c:v>
                </c:pt>
                <c:pt idx="15">
                  <c:v>420-449</c:v>
                </c:pt>
                <c:pt idx="16">
                  <c:v>450-479</c:v>
                </c:pt>
                <c:pt idx="17">
                  <c:v>480-509</c:v>
                </c:pt>
                <c:pt idx="18">
                  <c:v>510-539</c:v>
                </c:pt>
                <c:pt idx="19">
                  <c:v>540-569</c:v>
                </c:pt>
                <c:pt idx="20">
                  <c:v>570-599</c:v>
                </c:pt>
                <c:pt idx="21">
                  <c:v>600-629</c:v>
                </c:pt>
                <c:pt idx="22">
                  <c:v>630-659</c:v>
                </c:pt>
                <c:pt idx="23">
                  <c:v>660-689</c:v>
                </c:pt>
                <c:pt idx="24">
                  <c:v>690-719</c:v>
                </c:pt>
                <c:pt idx="25">
                  <c:v>720-749</c:v>
                </c:pt>
                <c:pt idx="26">
                  <c:v>750-779</c:v>
                </c:pt>
                <c:pt idx="27">
                  <c:v>780-809</c:v>
                </c:pt>
                <c:pt idx="28">
                  <c:v>810-839</c:v>
                </c:pt>
                <c:pt idx="29">
                  <c:v>840-869</c:v>
                </c:pt>
                <c:pt idx="30">
                  <c:v>870-899</c:v>
                </c:pt>
                <c:pt idx="31">
                  <c:v>900-929</c:v>
                </c:pt>
                <c:pt idx="32">
                  <c:v>930-959</c:v>
                </c:pt>
                <c:pt idx="33">
                  <c:v>960-989</c:v>
                </c:pt>
                <c:pt idx="34">
                  <c:v>&gt;990</c:v>
                </c:pt>
              </c:strCache>
            </c:strRef>
          </c:cat>
          <c:val>
            <c:numRef>
              <c:f>Sheet1!$B$2:$B$36</c:f>
              <c:numCache>
                <c:formatCode>General</c:formatCode>
                <c:ptCount val="35"/>
                <c:pt idx="0">
                  <c:v>0</c:v>
                </c:pt>
                <c:pt idx="1">
                  <c:v>13</c:v>
                </c:pt>
                <c:pt idx="2">
                  <c:v>106</c:v>
                </c:pt>
                <c:pt idx="3">
                  <c:v>256</c:v>
                </c:pt>
                <c:pt idx="4">
                  <c:v>331</c:v>
                </c:pt>
                <c:pt idx="5">
                  <c:v>313</c:v>
                </c:pt>
                <c:pt idx="6">
                  <c:v>314</c:v>
                </c:pt>
                <c:pt idx="7">
                  <c:v>258</c:v>
                </c:pt>
                <c:pt idx="8">
                  <c:v>191</c:v>
                </c:pt>
                <c:pt idx="9">
                  <c:v>143</c:v>
                </c:pt>
                <c:pt idx="10">
                  <c:v>109</c:v>
                </c:pt>
                <c:pt idx="11">
                  <c:v>91</c:v>
                </c:pt>
                <c:pt idx="12">
                  <c:v>70</c:v>
                </c:pt>
                <c:pt idx="13">
                  <c:v>49</c:v>
                </c:pt>
                <c:pt idx="14">
                  <c:v>43</c:v>
                </c:pt>
                <c:pt idx="15">
                  <c:v>41</c:v>
                </c:pt>
                <c:pt idx="16">
                  <c:v>36</c:v>
                </c:pt>
                <c:pt idx="17">
                  <c:v>20</c:v>
                </c:pt>
                <c:pt idx="18">
                  <c:v>15</c:v>
                </c:pt>
                <c:pt idx="19">
                  <c:v>23</c:v>
                </c:pt>
                <c:pt idx="20">
                  <c:v>20</c:v>
                </c:pt>
                <c:pt idx="21">
                  <c:v>18</c:v>
                </c:pt>
                <c:pt idx="22">
                  <c:v>11</c:v>
                </c:pt>
                <c:pt idx="23">
                  <c:v>15</c:v>
                </c:pt>
                <c:pt idx="24">
                  <c:v>6</c:v>
                </c:pt>
                <c:pt idx="25">
                  <c:v>11</c:v>
                </c:pt>
                <c:pt idx="26">
                  <c:v>6</c:v>
                </c:pt>
                <c:pt idx="27">
                  <c:v>5</c:v>
                </c:pt>
                <c:pt idx="28">
                  <c:v>6</c:v>
                </c:pt>
                <c:pt idx="29">
                  <c:v>10</c:v>
                </c:pt>
                <c:pt idx="30">
                  <c:v>1</c:v>
                </c:pt>
                <c:pt idx="31">
                  <c:v>4</c:v>
                </c:pt>
                <c:pt idx="32">
                  <c:v>5</c:v>
                </c:pt>
                <c:pt idx="33">
                  <c:v>4</c:v>
                </c:pt>
                <c:pt idx="34">
                  <c:v>43</c:v>
                </c:pt>
              </c:numCache>
            </c:numRef>
          </c:val>
          <c:extLst>
            <c:ext xmlns:c16="http://schemas.microsoft.com/office/drawing/2014/chart" uri="{C3380CC4-5D6E-409C-BE32-E72D297353CC}">
              <c16:uniqueId val="{00000000-6440-4A03-B006-C0ED56E0347C}"/>
            </c:ext>
          </c:extLst>
        </c:ser>
        <c:dLbls>
          <c:showLegendKey val="0"/>
          <c:showVal val="0"/>
          <c:showCatName val="0"/>
          <c:showSerName val="0"/>
          <c:showPercent val="0"/>
          <c:showBubbleSize val="0"/>
        </c:dLbls>
        <c:gapWidth val="150"/>
        <c:overlap val="100"/>
        <c:axId val="523822416"/>
        <c:axId val="523823592"/>
      </c:barChart>
      <c:catAx>
        <c:axId val="52382241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t>Jours civils</a:t>
                </a:r>
              </a:p>
            </c:rich>
          </c:tx>
          <c:layout>
            <c:manualLayout>
              <c:xMode val="edge"/>
              <c:yMode val="edge"/>
              <c:x val="0.44497346922543773"/>
              <c:y val="0.917113041282210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23592"/>
        <c:crosses val="autoZero"/>
        <c:auto val="1"/>
        <c:lblAlgn val="ctr"/>
        <c:lblOffset val="100"/>
        <c:noMultiLvlLbl val="0"/>
      </c:catAx>
      <c:valAx>
        <c:axId val="523823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t>Fréquence</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22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CA" sz="1200"/>
              <a:t>Durée de dotation interne - Médiane pour </a:t>
            </a:r>
          </a:p>
          <a:p>
            <a:pPr>
              <a:defRPr sz="1200"/>
            </a:pPr>
            <a:r>
              <a:rPr lang="en-CA" sz="1200"/>
              <a:t>Médiane pour les Ressources naturelles = 201 jours</a:t>
            </a:r>
          </a:p>
          <a:p>
            <a:pPr>
              <a:defRPr sz="1200"/>
            </a:pPr>
            <a:r>
              <a:rPr lang="en-CA" sz="1200"/>
              <a:t> 2019-2020</a:t>
            </a:r>
          </a:p>
        </c:rich>
      </c:tx>
      <c:layout>
        <c:manualLayout>
          <c:xMode val="edge"/>
          <c:yMode val="edge"/>
          <c:x val="0.23431457431457431"/>
          <c:y val="3.6182062608027653E-3"/>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0560475395121065"/>
          <c:y val="0.21433521840697753"/>
          <c:w val="0.85778504959607327"/>
          <c:h val="0.53656772284907683"/>
        </c:manualLayout>
      </c:layout>
      <c:barChart>
        <c:barDir val="col"/>
        <c:grouping val="stacked"/>
        <c:varyColors val="0"/>
        <c:ser>
          <c:idx val="0"/>
          <c:order val="0"/>
          <c:tx>
            <c:strRef>
              <c:f>Sheet1!$B$1</c:f>
              <c:strCache>
                <c:ptCount val="1"/>
                <c:pt idx="0">
                  <c:v>Duration in Calendar Days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Sheet1!$A$2:$A$36</c:f>
              <c:strCache>
                <c:ptCount val="35"/>
                <c:pt idx="0">
                  <c:v>0</c:v>
                </c:pt>
                <c:pt idx="1">
                  <c:v>0-29</c:v>
                </c:pt>
                <c:pt idx="2">
                  <c:v>30-59</c:v>
                </c:pt>
                <c:pt idx="3">
                  <c:v>60-89</c:v>
                </c:pt>
                <c:pt idx="4">
                  <c:v>90-119</c:v>
                </c:pt>
                <c:pt idx="5">
                  <c:v>120-149</c:v>
                </c:pt>
                <c:pt idx="6">
                  <c:v>150-179</c:v>
                </c:pt>
                <c:pt idx="7">
                  <c:v>180-209</c:v>
                </c:pt>
                <c:pt idx="8">
                  <c:v>210-239</c:v>
                </c:pt>
                <c:pt idx="9">
                  <c:v>240-269</c:v>
                </c:pt>
                <c:pt idx="10">
                  <c:v>270-299</c:v>
                </c:pt>
                <c:pt idx="11">
                  <c:v>300-329</c:v>
                </c:pt>
                <c:pt idx="12">
                  <c:v>330-359</c:v>
                </c:pt>
                <c:pt idx="13">
                  <c:v>360-389</c:v>
                </c:pt>
                <c:pt idx="14">
                  <c:v>390-419</c:v>
                </c:pt>
                <c:pt idx="15">
                  <c:v>420-449</c:v>
                </c:pt>
                <c:pt idx="16">
                  <c:v>450-479</c:v>
                </c:pt>
                <c:pt idx="17">
                  <c:v>480-509</c:v>
                </c:pt>
                <c:pt idx="18">
                  <c:v>510-539</c:v>
                </c:pt>
                <c:pt idx="19">
                  <c:v>540-569</c:v>
                </c:pt>
                <c:pt idx="20">
                  <c:v>570-599</c:v>
                </c:pt>
                <c:pt idx="21">
                  <c:v>600-629</c:v>
                </c:pt>
                <c:pt idx="22">
                  <c:v>630-659</c:v>
                </c:pt>
                <c:pt idx="23">
                  <c:v>660-689</c:v>
                </c:pt>
                <c:pt idx="24">
                  <c:v>690-719</c:v>
                </c:pt>
                <c:pt idx="25">
                  <c:v>720-749</c:v>
                </c:pt>
                <c:pt idx="26">
                  <c:v>750-779</c:v>
                </c:pt>
                <c:pt idx="27">
                  <c:v>780-809</c:v>
                </c:pt>
                <c:pt idx="28">
                  <c:v>810-839</c:v>
                </c:pt>
                <c:pt idx="29">
                  <c:v>840-869</c:v>
                </c:pt>
                <c:pt idx="30">
                  <c:v>870-899</c:v>
                </c:pt>
                <c:pt idx="31">
                  <c:v>900-929</c:v>
                </c:pt>
                <c:pt idx="32">
                  <c:v>930-959</c:v>
                </c:pt>
                <c:pt idx="33">
                  <c:v>960-989</c:v>
                </c:pt>
                <c:pt idx="34">
                  <c:v>&gt;990</c:v>
                </c:pt>
              </c:strCache>
            </c:strRef>
          </c:cat>
          <c:val>
            <c:numRef>
              <c:f>Sheet1!$B$2:$B$36</c:f>
              <c:numCache>
                <c:formatCode>General</c:formatCode>
                <c:ptCount val="35"/>
                <c:pt idx="0">
                  <c:v>0</c:v>
                </c:pt>
                <c:pt idx="1">
                  <c:v>0</c:v>
                </c:pt>
                <c:pt idx="2">
                  <c:v>1</c:v>
                </c:pt>
                <c:pt idx="3">
                  <c:v>4</c:v>
                </c:pt>
                <c:pt idx="4">
                  <c:v>9</c:v>
                </c:pt>
                <c:pt idx="5">
                  <c:v>2</c:v>
                </c:pt>
                <c:pt idx="6">
                  <c:v>6</c:v>
                </c:pt>
                <c:pt idx="7">
                  <c:v>5</c:v>
                </c:pt>
                <c:pt idx="8">
                  <c:v>5</c:v>
                </c:pt>
                <c:pt idx="9">
                  <c:v>5</c:v>
                </c:pt>
                <c:pt idx="10">
                  <c:v>3</c:v>
                </c:pt>
                <c:pt idx="11">
                  <c:v>1</c:v>
                </c:pt>
                <c:pt idx="12">
                  <c:v>1</c:v>
                </c:pt>
                <c:pt idx="13">
                  <c:v>2</c:v>
                </c:pt>
                <c:pt idx="14">
                  <c:v>3</c:v>
                </c:pt>
                <c:pt idx="15">
                  <c:v>1</c:v>
                </c:pt>
                <c:pt idx="16">
                  <c:v>1</c:v>
                </c:pt>
                <c:pt idx="17">
                  <c:v>0</c:v>
                </c:pt>
                <c:pt idx="18">
                  <c:v>0</c:v>
                </c:pt>
                <c:pt idx="19">
                  <c:v>1</c:v>
                </c:pt>
                <c:pt idx="20">
                  <c:v>0</c:v>
                </c:pt>
                <c:pt idx="21">
                  <c:v>0</c:v>
                </c:pt>
                <c:pt idx="22">
                  <c:v>0</c:v>
                </c:pt>
                <c:pt idx="23">
                  <c:v>0</c:v>
                </c:pt>
                <c:pt idx="24">
                  <c:v>0</c:v>
                </c:pt>
                <c:pt idx="25">
                  <c:v>1</c:v>
                </c:pt>
                <c:pt idx="26">
                  <c:v>0</c:v>
                </c:pt>
                <c:pt idx="27">
                  <c:v>0</c:v>
                </c:pt>
                <c:pt idx="28">
                  <c:v>0</c:v>
                </c:pt>
                <c:pt idx="29">
                  <c:v>0</c:v>
                </c:pt>
                <c:pt idx="30">
                  <c:v>0</c:v>
                </c:pt>
                <c:pt idx="31">
                  <c:v>0</c:v>
                </c:pt>
                <c:pt idx="32">
                  <c:v>0</c:v>
                </c:pt>
                <c:pt idx="33">
                  <c:v>0</c:v>
                </c:pt>
                <c:pt idx="34">
                  <c:v>0</c:v>
                </c:pt>
              </c:numCache>
            </c:numRef>
          </c:val>
          <c:extLst>
            <c:ext xmlns:c16="http://schemas.microsoft.com/office/drawing/2014/chart" uri="{C3380CC4-5D6E-409C-BE32-E72D297353CC}">
              <c16:uniqueId val="{00000000-E564-4471-AB20-B6574AF389DF}"/>
            </c:ext>
          </c:extLst>
        </c:ser>
        <c:dLbls>
          <c:showLegendKey val="0"/>
          <c:showVal val="0"/>
          <c:showCatName val="0"/>
          <c:showSerName val="0"/>
          <c:showPercent val="0"/>
          <c:showBubbleSize val="0"/>
        </c:dLbls>
        <c:gapWidth val="150"/>
        <c:overlap val="100"/>
        <c:axId val="614271408"/>
        <c:axId val="614261216"/>
      </c:barChart>
      <c:catAx>
        <c:axId val="614271408"/>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t>Jours civils</a:t>
                </a:r>
              </a:p>
            </c:rich>
          </c:tx>
          <c:layout>
            <c:manualLayout>
              <c:xMode val="edge"/>
              <c:yMode val="edge"/>
              <c:x val="0.44497346922543773"/>
              <c:y val="0.917113041282210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14261216"/>
        <c:crosses val="autoZero"/>
        <c:auto val="1"/>
        <c:lblAlgn val="ctr"/>
        <c:lblOffset val="100"/>
        <c:noMultiLvlLbl val="0"/>
      </c:catAx>
      <c:valAx>
        <c:axId val="614261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t>Fréquence</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14271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CA" sz="1200"/>
              <a:t>Durée de dotation externe</a:t>
            </a:r>
          </a:p>
          <a:p>
            <a:pPr>
              <a:defRPr sz="1200"/>
            </a:pPr>
            <a:r>
              <a:rPr lang="en-CA" sz="1200"/>
              <a:t>Médiane pour la fonction publique = 203 jours</a:t>
            </a:r>
          </a:p>
          <a:p>
            <a:pPr>
              <a:defRPr sz="1200"/>
            </a:pPr>
            <a:r>
              <a:rPr lang="en-CA" sz="1200"/>
              <a:t> 2019-2020</a:t>
            </a:r>
          </a:p>
        </c:rich>
      </c:tx>
      <c:layout>
        <c:manualLayout>
          <c:xMode val="edge"/>
          <c:yMode val="edge"/>
          <c:x val="0.25163059163059165"/>
          <c:y val="1.2782062036059926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0560475395121065"/>
          <c:y val="0.21433521840697753"/>
          <c:w val="0.85778504959607327"/>
          <c:h val="0.53656772284907683"/>
        </c:manualLayout>
      </c:layout>
      <c:barChart>
        <c:barDir val="col"/>
        <c:grouping val="stacked"/>
        <c:varyColors val="0"/>
        <c:ser>
          <c:idx val="0"/>
          <c:order val="0"/>
          <c:tx>
            <c:strRef>
              <c:f>Sheet1!$B$1</c:f>
              <c:strCache>
                <c:ptCount val="1"/>
                <c:pt idx="0">
                  <c:v>Duration in Calendar Days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Sheet1!$A$2:$A$36</c:f>
              <c:strCache>
                <c:ptCount val="35"/>
                <c:pt idx="0">
                  <c:v>0</c:v>
                </c:pt>
                <c:pt idx="1">
                  <c:v>0-29</c:v>
                </c:pt>
                <c:pt idx="2">
                  <c:v>30-59</c:v>
                </c:pt>
                <c:pt idx="3">
                  <c:v>60-89</c:v>
                </c:pt>
                <c:pt idx="4">
                  <c:v>90-119</c:v>
                </c:pt>
                <c:pt idx="5">
                  <c:v>120-149</c:v>
                </c:pt>
                <c:pt idx="6">
                  <c:v>150-179</c:v>
                </c:pt>
                <c:pt idx="7">
                  <c:v>180-209</c:v>
                </c:pt>
                <c:pt idx="8">
                  <c:v>210-239</c:v>
                </c:pt>
                <c:pt idx="9">
                  <c:v>240-269</c:v>
                </c:pt>
                <c:pt idx="10">
                  <c:v>270-299</c:v>
                </c:pt>
                <c:pt idx="11">
                  <c:v>300-329</c:v>
                </c:pt>
                <c:pt idx="12">
                  <c:v>330-359</c:v>
                </c:pt>
                <c:pt idx="13">
                  <c:v>360-389</c:v>
                </c:pt>
                <c:pt idx="14">
                  <c:v>390-419</c:v>
                </c:pt>
                <c:pt idx="15">
                  <c:v>420-449</c:v>
                </c:pt>
                <c:pt idx="16">
                  <c:v>450-479</c:v>
                </c:pt>
                <c:pt idx="17">
                  <c:v>480-509</c:v>
                </c:pt>
                <c:pt idx="18">
                  <c:v>510-539</c:v>
                </c:pt>
                <c:pt idx="19">
                  <c:v>540-569</c:v>
                </c:pt>
                <c:pt idx="20">
                  <c:v>570-599</c:v>
                </c:pt>
                <c:pt idx="21">
                  <c:v>600-629</c:v>
                </c:pt>
                <c:pt idx="22">
                  <c:v>630-659</c:v>
                </c:pt>
                <c:pt idx="23">
                  <c:v>660-689</c:v>
                </c:pt>
                <c:pt idx="24">
                  <c:v>690-719</c:v>
                </c:pt>
                <c:pt idx="25">
                  <c:v>720-749</c:v>
                </c:pt>
                <c:pt idx="26">
                  <c:v>750-779</c:v>
                </c:pt>
                <c:pt idx="27">
                  <c:v>780-809</c:v>
                </c:pt>
                <c:pt idx="28">
                  <c:v>810-839</c:v>
                </c:pt>
                <c:pt idx="29">
                  <c:v>840-869</c:v>
                </c:pt>
                <c:pt idx="30">
                  <c:v>870-899</c:v>
                </c:pt>
                <c:pt idx="31">
                  <c:v>900-929</c:v>
                </c:pt>
                <c:pt idx="32">
                  <c:v>930-959</c:v>
                </c:pt>
                <c:pt idx="33">
                  <c:v>960-989</c:v>
                </c:pt>
                <c:pt idx="34">
                  <c:v>&gt;990</c:v>
                </c:pt>
              </c:strCache>
            </c:strRef>
          </c:cat>
          <c:val>
            <c:numRef>
              <c:f>Sheet1!$B$2:$B$36</c:f>
              <c:numCache>
                <c:formatCode>General</c:formatCode>
                <c:ptCount val="35"/>
                <c:pt idx="0">
                  <c:v>0</c:v>
                </c:pt>
                <c:pt idx="1">
                  <c:v>55</c:v>
                </c:pt>
                <c:pt idx="2">
                  <c:v>75</c:v>
                </c:pt>
                <c:pt idx="3">
                  <c:v>95</c:v>
                </c:pt>
                <c:pt idx="4">
                  <c:v>108</c:v>
                </c:pt>
                <c:pt idx="5">
                  <c:v>166</c:v>
                </c:pt>
                <c:pt idx="6">
                  <c:v>164</c:v>
                </c:pt>
                <c:pt idx="7">
                  <c:v>160</c:v>
                </c:pt>
                <c:pt idx="8">
                  <c:v>133</c:v>
                </c:pt>
                <c:pt idx="9">
                  <c:v>122</c:v>
                </c:pt>
                <c:pt idx="10">
                  <c:v>101</c:v>
                </c:pt>
                <c:pt idx="11">
                  <c:v>80</c:v>
                </c:pt>
                <c:pt idx="12">
                  <c:v>61</c:v>
                </c:pt>
                <c:pt idx="13">
                  <c:v>50</c:v>
                </c:pt>
                <c:pt idx="14">
                  <c:v>45</c:v>
                </c:pt>
                <c:pt idx="15">
                  <c:v>34</c:v>
                </c:pt>
                <c:pt idx="16">
                  <c:v>34</c:v>
                </c:pt>
                <c:pt idx="17">
                  <c:v>21</c:v>
                </c:pt>
                <c:pt idx="18">
                  <c:v>16</c:v>
                </c:pt>
                <c:pt idx="19">
                  <c:v>19</c:v>
                </c:pt>
                <c:pt idx="20">
                  <c:v>13</c:v>
                </c:pt>
                <c:pt idx="21">
                  <c:v>7</c:v>
                </c:pt>
                <c:pt idx="22">
                  <c:v>7</c:v>
                </c:pt>
                <c:pt idx="23">
                  <c:v>4</c:v>
                </c:pt>
                <c:pt idx="24">
                  <c:v>11</c:v>
                </c:pt>
                <c:pt idx="25">
                  <c:v>6</c:v>
                </c:pt>
                <c:pt idx="26">
                  <c:v>2</c:v>
                </c:pt>
                <c:pt idx="27">
                  <c:v>4</c:v>
                </c:pt>
                <c:pt idx="28">
                  <c:v>4</c:v>
                </c:pt>
                <c:pt idx="29">
                  <c:v>0</c:v>
                </c:pt>
                <c:pt idx="30">
                  <c:v>1</c:v>
                </c:pt>
                <c:pt idx="31">
                  <c:v>0</c:v>
                </c:pt>
                <c:pt idx="32">
                  <c:v>0</c:v>
                </c:pt>
                <c:pt idx="33">
                  <c:v>0</c:v>
                </c:pt>
                <c:pt idx="34">
                  <c:v>0</c:v>
                </c:pt>
              </c:numCache>
            </c:numRef>
          </c:val>
          <c:extLst>
            <c:ext xmlns:c16="http://schemas.microsoft.com/office/drawing/2014/chart" uri="{C3380CC4-5D6E-409C-BE32-E72D297353CC}">
              <c16:uniqueId val="{00000000-6C2B-4DB6-82C6-2F6B41D73298}"/>
            </c:ext>
          </c:extLst>
        </c:ser>
        <c:dLbls>
          <c:showLegendKey val="0"/>
          <c:showVal val="0"/>
          <c:showCatName val="0"/>
          <c:showSerName val="0"/>
          <c:showPercent val="0"/>
          <c:showBubbleSize val="0"/>
        </c:dLbls>
        <c:gapWidth val="150"/>
        <c:overlap val="100"/>
        <c:axId val="523824376"/>
        <c:axId val="523815752"/>
      </c:barChart>
      <c:catAx>
        <c:axId val="52382437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t>Jours civils</a:t>
                </a:r>
              </a:p>
            </c:rich>
          </c:tx>
          <c:layout>
            <c:manualLayout>
              <c:xMode val="edge"/>
              <c:yMode val="edge"/>
              <c:x val="0.44497346922543773"/>
              <c:y val="0.917113041282210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15752"/>
        <c:crosses val="autoZero"/>
        <c:auto val="1"/>
        <c:lblAlgn val="ctr"/>
        <c:lblOffset val="100"/>
        <c:noMultiLvlLbl val="0"/>
      </c:catAx>
      <c:valAx>
        <c:axId val="523815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t>Fréquence</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3824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CA" sz="1200"/>
              <a:t>Durée de dotation externe - Médiane pour </a:t>
            </a:r>
          </a:p>
          <a:p>
            <a:pPr>
              <a:defRPr sz="1200"/>
            </a:pPr>
            <a:r>
              <a:rPr lang="en-CA" sz="1200"/>
              <a:t>Médiane pour les Ressources naturelles = 205 jours</a:t>
            </a:r>
          </a:p>
          <a:p>
            <a:pPr>
              <a:defRPr sz="1200"/>
            </a:pPr>
            <a:r>
              <a:rPr lang="en-CA" sz="1200"/>
              <a:t> 2019-2020</a:t>
            </a:r>
          </a:p>
        </c:rich>
      </c:tx>
      <c:layout>
        <c:manualLayout>
          <c:xMode val="edge"/>
          <c:yMode val="edge"/>
          <c:x val="0.24297258297258298"/>
          <c:y val="8.2639670041244843E-3"/>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0560475395121065"/>
          <c:y val="0.21433521840697753"/>
          <c:w val="0.85778504959607327"/>
          <c:h val="0.53656772284907683"/>
        </c:manualLayout>
      </c:layout>
      <c:barChart>
        <c:barDir val="col"/>
        <c:grouping val="stacked"/>
        <c:varyColors val="0"/>
        <c:ser>
          <c:idx val="0"/>
          <c:order val="0"/>
          <c:tx>
            <c:strRef>
              <c:f>Sheet1!$B$1</c:f>
              <c:strCache>
                <c:ptCount val="1"/>
                <c:pt idx="0">
                  <c:v>Duration in Calendar Days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Sheet1!$A$2:$A$36</c:f>
              <c:strCache>
                <c:ptCount val="35"/>
                <c:pt idx="0">
                  <c:v>0</c:v>
                </c:pt>
                <c:pt idx="1">
                  <c:v>0-29</c:v>
                </c:pt>
                <c:pt idx="2">
                  <c:v>30-59</c:v>
                </c:pt>
                <c:pt idx="3">
                  <c:v>60-89</c:v>
                </c:pt>
                <c:pt idx="4">
                  <c:v>90-119</c:v>
                </c:pt>
                <c:pt idx="5">
                  <c:v>120-149</c:v>
                </c:pt>
                <c:pt idx="6">
                  <c:v>150-179</c:v>
                </c:pt>
                <c:pt idx="7">
                  <c:v>180-209</c:v>
                </c:pt>
                <c:pt idx="8">
                  <c:v>210-239</c:v>
                </c:pt>
                <c:pt idx="9">
                  <c:v>240-269</c:v>
                </c:pt>
                <c:pt idx="10">
                  <c:v>270-299</c:v>
                </c:pt>
                <c:pt idx="11">
                  <c:v>300-329</c:v>
                </c:pt>
                <c:pt idx="12">
                  <c:v>330-359</c:v>
                </c:pt>
                <c:pt idx="13">
                  <c:v>360-389</c:v>
                </c:pt>
                <c:pt idx="14">
                  <c:v>390-419</c:v>
                </c:pt>
                <c:pt idx="15">
                  <c:v>420-449</c:v>
                </c:pt>
                <c:pt idx="16">
                  <c:v>450-479</c:v>
                </c:pt>
                <c:pt idx="17">
                  <c:v>480-509</c:v>
                </c:pt>
                <c:pt idx="18">
                  <c:v>510-539</c:v>
                </c:pt>
                <c:pt idx="19">
                  <c:v>540-569</c:v>
                </c:pt>
                <c:pt idx="20">
                  <c:v>570-599</c:v>
                </c:pt>
                <c:pt idx="21">
                  <c:v>600-629</c:v>
                </c:pt>
                <c:pt idx="22">
                  <c:v>630-659</c:v>
                </c:pt>
                <c:pt idx="23">
                  <c:v>660-689</c:v>
                </c:pt>
                <c:pt idx="24">
                  <c:v>690-719</c:v>
                </c:pt>
                <c:pt idx="25">
                  <c:v>720-749</c:v>
                </c:pt>
                <c:pt idx="26">
                  <c:v>750-779</c:v>
                </c:pt>
                <c:pt idx="27">
                  <c:v>780-809</c:v>
                </c:pt>
                <c:pt idx="28">
                  <c:v>810-839</c:v>
                </c:pt>
                <c:pt idx="29">
                  <c:v>840-869</c:v>
                </c:pt>
                <c:pt idx="30">
                  <c:v>870-899</c:v>
                </c:pt>
                <c:pt idx="31">
                  <c:v>900-929</c:v>
                </c:pt>
                <c:pt idx="32">
                  <c:v>930-959</c:v>
                </c:pt>
                <c:pt idx="33">
                  <c:v>960-989</c:v>
                </c:pt>
                <c:pt idx="34">
                  <c:v>&gt;990</c:v>
                </c:pt>
              </c:strCache>
            </c:strRef>
          </c:cat>
          <c:val>
            <c:numRef>
              <c:f>Sheet1!$B$2:$B$36</c:f>
              <c:numCache>
                <c:formatCode>General</c:formatCode>
                <c:ptCount val="35"/>
                <c:pt idx="0">
                  <c:v>0</c:v>
                </c:pt>
                <c:pt idx="1">
                  <c:v>2</c:v>
                </c:pt>
                <c:pt idx="2">
                  <c:v>2</c:v>
                </c:pt>
                <c:pt idx="3">
                  <c:v>4</c:v>
                </c:pt>
                <c:pt idx="4">
                  <c:v>2</c:v>
                </c:pt>
                <c:pt idx="5">
                  <c:v>3</c:v>
                </c:pt>
                <c:pt idx="6">
                  <c:v>7</c:v>
                </c:pt>
                <c:pt idx="7">
                  <c:v>8</c:v>
                </c:pt>
                <c:pt idx="8">
                  <c:v>3</c:v>
                </c:pt>
                <c:pt idx="9">
                  <c:v>5</c:v>
                </c:pt>
                <c:pt idx="10">
                  <c:v>6</c:v>
                </c:pt>
                <c:pt idx="11">
                  <c:v>1</c:v>
                </c:pt>
                <c:pt idx="12">
                  <c:v>3</c:v>
                </c:pt>
                <c:pt idx="13">
                  <c:v>2</c:v>
                </c:pt>
                <c:pt idx="14">
                  <c:v>3</c:v>
                </c:pt>
                <c:pt idx="15">
                  <c:v>1</c:v>
                </c:pt>
                <c:pt idx="16">
                  <c:v>0</c:v>
                </c:pt>
                <c:pt idx="17">
                  <c:v>1</c:v>
                </c:pt>
                <c:pt idx="18">
                  <c:v>0</c:v>
                </c:pt>
                <c:pt idx="19">
                  <c:v>0</c:v>
                </c:pt>
                <c:pt idx="20">
                  <c:v>0</c:v>
                </c:pt>
                <c:pt idx="21">
                  <c:v>0</c:v>
                </c:pt>
                <c:pt idx="22">
                  <c:v>0</c:v>
                </c:pt>
                <c:pt idx="23">
                  <c:v>0</c:v>
                </c:pt>
                <c:pt idx="24">
                  <c:v>0</c:v>
                </c:pt>
                <c:pt idx="25">
                  <c:v>1</c:v>
                </c:pt>
                <c:pt idx="26">
                  <c:v>0</c:v>
                </c:pt>
                <c:pt idx="27">
                  <c:v>0</c:v>
                </c:pt>
                <c:pt idx="28">
                  <c:v>0</c:v>
                </c:pt>
                <c:pt idx="29">
                  <c:v>0</c:v>
                </c:pt>
                <c:pt idx="30">
                  <c:v>0</c:v>
                </c:pt>
                <c:pt idx="31">
                  <c:v>0</c:v>
                </c:pt>
                <c:pt idx="32">
                  <c:v>0</c:v>
                </c:pt>
                <c:pt idx="33">
                  <c:v>0</c:v>
                </c:pt>
                <c:pt idx="34">
                  <c:v>0</c:v>
                </c:pt>
              </c:numCache>
            </c:numRef>
          </c:val>
          <c:extLst>
            <c:ext xmlns:c16="http://schemas.microsoft.com/office/drawing/2014/chart" uri="{C3380CC4-5D6E-409C-BE32-E72D297353CC}">
              <c16:uniqueId val="{00000000-D064-45C3-A6A3-2669117FBF2D}"/>
            </c:ext>
          </c:extLst>
        </c:ser>
        <c:dLbls>
          <c:showLegendKey val="0"/>
          <c:showVal val="0"/>
          <c:showCatName val="0"/>
          <c:showSerName val="0"/>
          <c:showPercent val="0"/>
          <c:showBubbleSize val="0"/>
        </c:dLbls>
        <c:gapWidth val="150"/>
        <c:overlap val="100"/>
        <c:axId val="614271800"/>
        <c:axId val="614272192"/>
      </c:barChart>
      <c:catAx>
        <c:axId val="614271800"/>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t>Jours civils</a:t>
                </a:r>
              </a:p>
            </c:rich>
          </c:tx>
          <c:layout>
            <c:manualLayout>
              <c:xMode val="edge"/>
              <c:yMode val="edge"/>
              <c:x val="0.44497346922543773"/>
              <c:y val="0.917113041282210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14272192"/>
        <c:crosses val="autoZero"/>
        <c:auto val="1"/>
        <c:lblAlgn val="ctr"/>
        <c:lblOffset val="100"/>
        <c:noMultiLvlLbl val="0"/>
      </c:catAx>
      <c:valAx>
        <c:axId val="614272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t>Fréquence</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14271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0.00725</cdr:x>
      <cdr:y>0.92924</cdr:y>
    </cdr:from>
    <cdr:to>
      <cdr:x>0.97183</cdr:x>
      <cdr:y>0.99965</cdr:y>
    </cdr:to>
    <cdr:sp macro="" textlink="">
      <cdr:nvSpPr>
        <cdr:cNvPr id="2" name="Text Box 1"/>
        <cdr:cNvSpPr txBox="1"/>
      </cdr:nvSpPr>
      <cdr:spPr>
        <a:xfrm xmlns:a="http://schemas.openxmlformats.org/drawingml/2006/main">
          <a:off x="25192" y="3444240"/>
          <a:ext cx="3351645" cy="2609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lnSpc>
              <a:spcPts val="900"/>
            </a:lnSpc>
          </a:pPr>
          <a:r>
            <a:rPr lang="en-CA" sz="850" baseline="0"/>
            <a:t>inconnus= 1 776</a:t>
          </a:r>
          <a:endParaRPr lang="en-CA" sz="850"/>
        </a:p>
      </cdr:txBody>
    </cdr:sp>
  </cdr:relSizeAnchor>
</c:userShapes>
</file>

<file path=word/drawings/drawing2.xml><?xml version="1.0" encoding="utf-8"?>
<c:userShapes xmlns:c="http://schemas.openxmlformats.org/drawingml/2006/chart">
  <cdr:relSizeAnchor xmlns:cdr="http://schemas.openxmlformats.org/drawingml/2006/chartDrawing">
    <cdr:from>
      <cdr:x>0.06578</cdr:x>
      <cdr:y>0.92943</cdr:y>
    </cdr:from>
    <cdr:to>
      <cdr:x>0.88917</cdr:x>
      <cdr:y>1</cdr:y>
    </cdr:to>
    <cdr:sp macro="" textlink="">
      <cdr:nvSpPr>
        <cdr:cNvPr id="5" name="Text Box 1"/>
        <cdr:cNvSpPr txBox="1"/>
      </cdr:nvSpPr>
      <cdr:spPr>
        <a:xfrm xmlns:a="http://schemas.openxmlformats.org/drawingml/2006/main">
          <a:off x="112152" y="2275164"/>
          <a:ext cx="1403869" cy="17276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en-CA" sz="850"/>
            <a:t>Inconnus= 161</a:t>
          </a:r>
        </a:p>
      </cdr:txBody>
    </cdr:sp>
  </cdr:relSizeAnchor>
</c:userShapes>
</file>

<file path=word/drawings/drawing3.xml><?xml version="1.0" encoding="utf-8"?>
<c:userShapes xmlns:c="http://schemas.openxmlformats.org/drawingml/2006/chart">
  <cdr:relSizeAnchor xmlns:cdr="http://schemas.openxmlformats.org/drawingml/2006/chartDrawing">
    <cdr:from>
      <cdr:x>0.00725</cdr:x>
      <cdr:y>0.92924</cdr:y>
    </cdr:from>
    <cdr:to>
      <cdr:x>0.97183</cdr:x>
      <cdr:y>0.99965</cdr:y>
    </cdr:to>
    <cdr:sp macro="" textlink="">
      <cdr:nvSpPr>
        <cdr:cNvPr id="2" name="Text Box 1"/>
        <cdr:cNvSpPr txBox="1"/>
      </cdr:nvSpPr>
      <cdr:spPr>
        <a:xfrm xmlns:a="http://schemas.openxmlformats.org/drawingml/2006/main">
          <a:off x="25192" y="3444240"/>
          <a:ext cx="3351645" cy="2609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lnSpc>
              <a:spcPts val="900"/>
            </a:lnSpc>
          </a:pPr>
          <a:r>
            <a:rPr lang="en-CA" sz="850" baseline="0"/>
            <a:t>inconnus= 470</a:t>
          </a:r>
          <a:endParaRPr lang="en-CA" sz="850"/>
        </a:p>
      </cdr:txBody>
    </cdr:sp>
  </cdr:relSizeAnchor>
</c:userShapes>
</file>

<file path=word/drawings/drawing4.xml><?xml version="1.0" encoding="utf-8"?>
<c:userShapes xmlns:c="http://schemas.openxmlformats.org/drawingml/2006/chart">
  <cdr:relSizeAnchor xmlns:cdr="http://schemas.openxmlformats.org/drawingml/2006/chartDrawing">
    <cdr:from>
      <cdr:x>0.00725</cdr:x>
      <cdr:y>0.92924</cdr:y>
    </cdr:from>
    <cdr:to>
      <cdr:x>0.97183</cdr:x>
      <cdr:y>0.99965</cdr:y>
    </cdr:to>
    <cdr:sp macro="" textlink="">
      <cdr:nvSpPr>
        <cdr:cNvPr id="2" name="Text Box 1"/>
        <cdr:cNvSpPr txBox="1"/>
      </cdr:nvSpPr>
      <cdr:spPr>
        <a:xfrm xmlns:a="http://schemas.openxmlformats.org/drawingml/2006/main">
          <a:off x="25192" y="3444240"/>
          <a:ext cx="3351645" cy="2609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900"/>
            </a:lnSpc>
          </a:pPr>
          <a:r>
            <a:rPr lang="en-CA" sz="850"/>
            <a:t>-</a:t>
          </a:r>
          <a:r>
            <a:rPr lang="en-CA" sz="850" baseline="0"/>
            <a:t>Distribution régionale exclus les inconnus</a:t>
          </a:r>
          <a:endParaRPr lang="en-CA" sz="850"/>
        </a:p>
      </cdr:txBody>
    </cdr:sp>
  </cdr:relSizeAnchor>
</c:userShapes>
</file>

<file path=word/drawings/drawing5.xml><?xml version="1.0" encoding="utf-8"?>
<c:userShapes xmlns:c="http://schemas.openxmlformats.org/drawingml/2006/chart">
  <cdr:relSizeAnchor xmlns:cdr="http://schemas.openxmlformats.org/drawingml/2006/chartDrawing">
    <cdr:from>
      <cdr:x>0.00725</cdr:x>
      <cdr:y>0.81233</cdr:y>
    </cdr:from>
    <cdr:to>
      <cdr:x>0.97183</cdr:x>
      <cdr:y>0.99965</cdr:y>
    </cdr:to>
    <cdr:sp macro="" textlink="">
      <cdr:nvSpPr>
        <cdr:cNvPr id="2" name="Text Box 1"/>
        <cdr:cNvSpPr txBox="1"/>
      </cdr:nvSpPr>
      <cdr:spPr>
        <a:xfrm xmlns:a="http://schemas.openxmlformats.org/drawingml/2006/main">
          <a:off x="40950" y="2476500"/>
          <a:ext cx="5448262" cy="57106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900"/>
            </a:lnSpc>
          </a:pPr>
          <a:r>
            <a:rPr lang="en-CA" sz="850"/>
            <a:t>-</a:t>
          </a:r>
          <a:r>
            <a:rPr lang="en-CA" sz="850" baseline="0"/>
            <a:t>Comprend les nominations pour une période indéterminée et pour une période déterminée</a:t>
          </a:r>
        </a:p>
        <a:p xmlns:a="http://schemas.openxmlformats.org/drawingml/2006/main">
          <a:pPr>
            <a:lnSpc>
              <a:spcPts val="900"/>
            </a:lnSpc>
          </a:pPr>
          <a:r>
            <a:rPr lang="en-CA" sz="850" baseline="0"/>
            <a:t>-Exclut les déplacements latéraux et régressifs, les mutations et les nominations intérimaires de moins de quatre mois</a:t>
          </a:r>
        </a:p>
        <a:p xmlns:a="http://schemas.openxmlformats.org/drawingml/2006/main">
          <a:pPr>
            <a:lnSpc>
              <a:spcPts val="900"/>
            </a:lnSpc>
          </a:pPr>
          <a:r>
            <a:rPr lang="en-CA" sz="850" baseline="0">
              <a:solidFill>
                <a:sysClr val="windowText" lastClr="000000"/>
              </a:solidFill>
            </a:rPr>
            <a:t>-Inclut seulement les nominations où le type de processus est connu (62 % à 76 % des nominations)</a:t>
          </a:r>
          <a:endParaRPr lang="en-CA" sz="850">
            <a:solidFill>
              <a:sysClr val="windowText" lastClr="000000"/>
            </a:solidFill>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0.012</cdr:x>
      <cdr:y>0.87778</cdr:y>
    </cdr:from>
    <cdr:to>
      <cdr:x>0.99721</cdr:x>
      <cdr:y>1</cdr:y>
    </cdr:to>
    <cdr:sp macro="" textlink="">
      <cdr:nvSpPr>
        <cdr:cNvPr id="2" name="Text Box 1" descr="*Aux fins du rapport, les anciens étudiants incluent les participants au programme (COOP et PFETE) nommés dans le cadre d'un processus non annoncé.&#10;&#10;"/>
        <cdr:cNvSpPr txBox="1"/>
      </cdr:nvSpPr>
      <cdr:spPr>
        <a:xfrm xmlns:a="http://schemas.openxmlformats.org/drawingml/2006/main">
          <a:off x="41041" y="2905125"/>
          <a:ext cx="3368909" cy="404495"/>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CA" sz="800"/>
            <a:t>* Embauche avec expérience acquise dans les programmes fédéraux de recrutement étudiant dans les 10 dernières années.</a:t>
          </a:r>
        </a:p>
      </cdr:txBody>
    </cdr:sp>
  </cdr:relSizeAnchor>
</c:userShapes>
</file>

<file path=word/drawings/drawing7.xml><?xml version="1.0" encoding="utf-8"?>
<c:userShapes xmlns:c="http://schemas.openxmlformats.org/drawingml/2006/chart">
  <cdr:relSizeAnchor xmlns:cdr="http://schemas.openxmlformats.org/drawingml/2006/chartDrawing">
    <cdr:from>
      <cdr:x>0.10431</cdr:x>
      <cdr:y>0.78143</cdr:y>
    </cdr:from>
    <cdr:to>
      <cdr:x>0.96444</cdr:x>
      <cdr:y>1</cdr:y>
    </cdr:to>
    <cdr:sp macro="" textlink="">
      <cdr:nvSpPr>
        <cdr:cNvPr id="3" name="Text Box 2" descr="Calendar Days Axis titles for organization specific external time to staff graphic"/>
        <cdr:cNvSpPr txBox="1"/>
      </cdr:nvSpPr>
      <cdr:spPr>
        <a:xfrm xmlns:a="http://schemas.openxmlformats.org/drawingml/2006/main">
          <a:off x="474918" y="2531661"/>
          <a:ext cx="3916129" cy="7081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CA" sz="900"/>
        </a:p>
      </cdr:txBody>
    </cdr:sp>
  </cdr:relSizeAnchor>
  <cdr:relSizeAnchor xmlns:cdr="http://schemas.openxmlformats.org/drawingml/2006/chartDrawing">
    <cdr:from>
      <cdr:x>0.26529</cdr:x>
      <cdr:y>0.19986</cdr:y>
    </cdr:from>
    <cdr:to>
      <cdr:x>0.26668</cdr:x>
      <cdr:y>0.74988</cdr:y>
    </cdr:to>
    <cdr:cxnSp macro="">
      <cdr:nvCxnSpPr>
        <cdr:cNvPr id="5" name="Straight Connector 4" descr="Median line fof the specified organization's internal time to staff graphic"/>
        <cdr:cNvCxnSpPr/>
      </cdr:nvCxnSpPr>
      <cdr:spPr>
        <a:xfrm xmlns:a="http://schemas.openxmlformats.org/drawingml/2006/main" flipV="1">
          <a:off x="1167400" y="536834"/>
          <a:ext cx="6117" cy="1477381"/>
        </a:xfrm>
        <a:prstGeom xmlns:a="http://schemas.openxmlformats.org/drawingml/2006/main" prst="line">
          <a:avLst/>
        </a:prstGeom>
        <a:ln xmlns:a="http://schemas.openxmlformats.org/drawingml/2006/main">
          <a:solidFill>
            <a:srgbClr val="FF0000"/>
          </a:solidFill>
        </a:l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userShapes>
</file>

<file path=word/drawings/drawing8.xml><?xml version="1.0" encoding="utf-8"?>
<c:userShapes xmlns:c="http://schemas.openxmlformats.org/drawingml/2006/chart">
  <cdr:relSizeAnchor xmlns:cdr="http://schemas.openxmlformats.org/drawingml/2006/chartDrawing">
    <cdr:from>
      <cdr:x>0.10431</cdr:x>
      <cdr:y>0.78143</cdr:y>
    </cdr:from>
    <cdr:to>
      <cdr:x>0.96444</cdr:x>
      <cdr:y>1</cdr:y>
    </cdr:to>
    <cdr:sp macro="" textlink="">
      <cdr:nvSpPr>
        <cdr:cNvPr id="3" name="Text Box 2" descr="Calendar Days Axis titles for organization specific external time to staff graphic"/>
        <cdr:cNvSpPr txBox="1"/>
      </cdr:nvSpPr>
      <cdr:spPr>
        <a:xfrm xmlns:a="http://schemas.openxmlformats.org/drawingml/2006/main">
          <a:off x="474918" y="2531661"/>
          <a:ext cx="3916129" cy="7081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CA" sz="900"/>
        </a:p>
      </cdr:txBody>
    </cdr:sp>
  </cdr:relSizeAnchor>
  <cdr:relSizeAnchor xmlns:cdr="http://schemas.openxmlformats.org/drawingml/2006/chartDrawing">
    <cdr:from>
      <cdr:x>0.28498</cdr:x>
      <cdr:y>0.20089</cdr:y>
    </cdr:from>
    <cdr:to>
      <cdr:x>0.28637</cdr:x>
      <cdr:y>0.75091</cdr:y>
    </cdr:to>
    <cdr:cxnSp macro="">
      <cdr:nvCxnSpPr>
        <cdr:cNvPr id="5" name="Straight Connector 4" descr="Median line fof the specified organization's internal time to staff graphic"/>
        <cdr:cNvCxnSpPr/>
      </cdr:nvCxnSpPr>
      <cdr:spPr>
        <a:xfrm xmlns:a="http://schemas.openxmlformats.org/drawingml/2006/main" flipV="1">
          <a:off x="1254082" y="549160"/>
          <a:ext cx="6117" cy="1503576"/>
        </a:xfrm>
        <a:prstGeom xmlns:a="http://schemas.openxmlformats.org/drawingml/2006/main" prst="line">
          <a:avLst/>
        </a:prstGeom>
        <a:ln xmlns:a="http://schemas.openxmlformats.org/drawingml/2006/main">
          <a:solidFill>
            <a:srgbClr val="FF0000"/>
          </a:solidFill>
        </a:l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userShapes>
</file>

<file path=word/drawings/drawing9.xml><?xml version="1.0" encoding="utf-8"?>
<c:userShapes xmlns:c="http://schemas.openxmlformats.org/drawingml/2006/chart">
  <cdr:relSizeAnchor xmlns:cdr="http://schemas.openxmlformats.org/drawingml/2006/chartDrawing">
    <cdr:from>
      <cdr:x>0.10431</cdr:x>
      <cdr:y>0.78143</cdr:y>
    </cdr:from>
    <cdr:to>
      <cdr:x>0.96444</cdr:x>
      <cdr:y>1</cdr:y>
    </cdr:to>
    <cdr:sp macro="" textlink="">
      <cdr:nvSpPr>
        <cdr:cNvPr id="3" name="Text Box 2" descr="Calendar Days Axis titles for organization specific external time to staff graphic"/>
        <cdr:cNvSpPr txBox="1"/>
      </cdr:nvSpPr>
      <cdr:spPr>
        <a:xfrm xmlns:a="http://schemas.openxmlformats.org/drawingml/2006/main">
          <a:off x="474918" y="2531661"/>
          <a:ext cx="3916129" cy="7081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CA" sz="900"/>
        </a:p>
      </cdr:txBody>
    </cdr:sp>
  </cdr:relSizeAnchor>
  <cdr:relSizeAnchor xmlns:cdr="http://schemas.openxmlformats.org/drawingml/2006/chartDrawing">
    <cdr:from>
      <cdr:x>0.28693</cdr:x>
      <cdr:y>0.19986</cdr:y>
    </cdr:from>
    <cdr:to>
      <cdr:x>0.28832</cdr:x>
      <cdr:y>0.74988</cdr:y>
    </cdr:to>
    <cdr:cxnSp macro="">
      <cdr:nvCxnSpPr>
        <cdr:cNvPr id="5" name="Straight Connector 4" descr="Median line fof the specified organization's internal time to staff graphic"/>
        <cdr:cNvCxnSpPr/>
      </cdr:nvCxnSpPr>
      <cdr:spPr>
        <a:xfrm xmlns:a="http://schemas.openxmlformats.org/drawingml/2006/main" flipV="1">
          <a:off x="1262650" y="553968"/>
          <a:ext cx="6117" cy="1524532"/>
        </a:xfrm>
        <a:prstGeom xmlns:a="http://schemas.openxmlformats.org/drawingml/2006/main" prst="line">
          <a:avLst/>
        </a:prstGeom>
        <a:ln xmlns:a="http://schemas.openxmlformats.org/drawingml/2006/main">
          <a:solidFill>
            <a:srgbClr val="FF0000"/>
          </a:solidFill>
        </a:l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userShapes>
</file>

<file path=word/drawings/drawing10.xml><?xml version="1.0" encoding="utf-8"?>
<c:userShapes xmlns:c="http://schemas.openxmlformats.org/drawingml/2006/chart">
  <cdr:relSizeAnchor xmlns:cdr="http://schemas.openxmlformats.org/drawingml/2006/chartDrawing">
    <cdr:from>
      <cdr:x>0.10431</cdr:x>
      <cdr:y>0.78143</cdr:y>
    </cdr:from>
    <cdr:to>
      <cdr:x>0.96444</cdr:x>
      <cdr:y>1</cdr:y>
    </cdr:to>
    <cdr:sp macro="" textlink="">
      <cdr:nvSpPr>
        <cdr:cNvPr id="3" name="Text Box 2" descr="Calendar Days Axis titles for organization specific external time to staff graphic"/>
        <cdr:cNvSpPr txBox="1"/>
      </cdr:nvSpPr>
      <cdr:spPr>
        <a:xfrm xmlns:a="http://schemas.openxmlformats.org/drawingml/2006/main">
          <a:off x="474918" y="2531661"/>
          <a:ext cx="3916129" cy="7081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CA" sz="900"/>
        </a:p>
      </cdr:txBody>
    </cdr:sp>
  </cdr:relSizeAnchor>
  <cdr:relSizeAnchor xmlns:cdr="http://schemas.openxmlformats.org/drawingml/2006/chartDrawing">
    <cdr:from>
      <cdr:x>0.29059</cdr:x>
      <cdr:y>0.20117</cdr:y>
    </cdr:from>
    <cdr:to>
      <cdr:x>0.29198</cdr:x>
      <cdr:y>0.75119</cdr:y>
    </cdr:to>
    <cdr:cxnSp macro="">
      <cdr:nvCxnSpPr>
        <cdr:cNvPr id="5" name="Straight Connector 4" descr="Median line fof the specified organization's internal time to staff graphic"/>
        <cdr:cNvCxnSpPr/>
      </cdr:nvCxnSpPr>
      <cdr:spPr>
        <a:xfrm xmlns:a="http://schemas.openxmlformats.org/drawingml/2006/main" flipV="1">
          <a:off x="1278747" y="549933"/>
          <a:ext cx="6117" cy="1503576"/>
        </a:xfrm>
        <a:prstGeom xmlns:a="http://schemas.openxmlformats.org/drawingml/2006/main" prst="line">
          <a:avLst/>
        </a:prstGeom>
        <a:ln xmlns:a="http://schemas.openxmlformats.org/drawingml/2006/main">
          <a:solidFill>
            <a:srgbClr val="FF0000"/>
          </a:solidFill>
        </a:l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0C390C1927A45F4A866C797C77019EB"/>
        <w:category>
          <w:name w:val="Général"/>
          <w:gallery w:val="placeholder"/>
        </w:category>
        <w:types>
          <w:type w:val="bbPlcHdr"/>
        </w:types>
        <w:behaviors>
          <w:behavior w:val="content"/>
        </w:behaviors>
        <w:guid w:val="{51D66994-0777-48FE-A26E-E951F9D0BBCD}"/>
      </w:docPartPr>
      <w:docPartBody>
        <w:p w:rsidR="00C04640" w:rsidRDefault="0086646F" w:rsidP="0086646F">
          <w:pPr>
            <w:pStyle w:val="70C390C1927A45F4A866C797C77019EB"/>
          </w:pPr>
          <w:r w:rsidRPr="002B4FFD">
            <w:rPr>
              <w:rFonts w:eastAsia="Arial" w:cs="Arial"/>
              <w:color w:val="A6A6A6" w:themeColor="background1" w:themeShade="A6"/>
              <w:kern w:val="2"/>
              <w:lang w:val="en-US" w:eastAsia="ja-JP"/>
              <w14:ligatures w14:val="standard"/>
            </w:rPr>
            <w:t>[name]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46F"/>
    <w:rsid w:val="00002875"/>
    <w:rsid w:val="00052701"/>
    <w:rsid w:val="00057B68"/>
    <w:rsid w:val="00144B12"/>
    <w:rsid w:val="002458BC"/>
    <w:rsid w:val="00285088"/>
    <w:rsid w:val="00287A33"/>
    <w:rsid w:val="002A011B"/>
    <w:rsid w:val="002C7926"/>
    <w:rsid w:val="00423B45"/>
    <w:rsid w:val="004F6C61"/>
    <w:rsid w:val="00552588"/>
    <w:rsid w:val="005A779E"/>
    <w:rsid w:val="005B6912"/>
    <w:rsid w:val="00622E2D"/>
    <w:rsid w:val="006A4045"/>
    <w:rsid w:val="006E63B5"/>
    <w:rsid w:val="00786BE0"/>
    <w:rsid w:val="007B588E"/>
    <w:rsid w:val="007E3385"/>
    <w:rsid w:val="0086646F"/>
    <w:rsid w:val="00893061"/>
    <w:rsid w:val="008F027B"/>
    <w:rsid w:val="00960203"/>
    <w:rsid w:val="00A30515"/>
    <w:rsid w:val="00B2415B"/>
    <w:rsid w:val="00B67751"/>
    <w:rsid w:val="00BE1916"/>
    <w:rsid w:val="00C04640"/>
    <w:rsid w:val="00C24B41"/>
    <w:rsid w:val="00CA27EC"/>
    <w:rsid w:val="00D11CCF"/>
    <w:rsid w:val="00D17167"/>
    <w:rsid w:val="00D7690A"/>
    <w:rsid w:val="00DF6107"/>
    <w:rsid w:val="00E059A3"/>
    <w:rsid w:val="00F1793B"/>
    <w:rsid w:val="00F5436F"/>
    <w:rsid w:val="00F642C7"/>
    <w:rsid w:val="00F90313"/>
    <w:rsid w:val="00FE04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0C390C1927A45F4A866C797C77019EB">
    <w:name w:val="70C390C1927A45F4A866C797C77019EB"/>
    <w:rsid w:val="008664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CFP-PSC-Theme2019-fromWord">
  <a:themeElements>
    <a:clrScheme name="CFP-PSC-2019">
      <a:dk1>
        <a:srgbClr val="54575A"/>
      </a:dk1>
      <a:lt1>
        <a:sysClr val="window" lastClr="FFFFFF"/>
      </a:lt1>
      <a:dk2>
        <a:srgbClr val="54575A"/>
      </a:dk2>
      <a:lt2>
        <a:srgbClr val="F2F2F2"/>
      </a:lt2>
      <a:accent1>
        <a:srgbClr val="D50057"/>
      </a:accent1>
      <a:accent2>
        <a:srgbClr val="5B315E"/>
      </a:accent2>
      <a:accent3>
        <a:srgbClr val="0099A8"/>
      </a:accent3>
      <a:accent4>
        <a:srgbClr val="FF5100"/>
      </a:accent4>
      <a:accent5>
        <a:srgbClr val="C2D500"/>
      </a:accent5>
      <a:accent6>
        <a:srgbClr val="F7BE00"/>
      </a:accent6>
      <a:hlink>
        <a:srgbClr val="0099A8"/>
      </a:hlink>
      <a:folHlink>
        <a:srgbClr val="A5A5A5"/>
      </a:folHlink>
    </a:clrScheme>
    <a:fontScheme name="Custom 2">
      <a:majorFont>
        <a:latin typeface="Segoe UI Light"/>
        <a:ea typeface=""/>
        <a:cs typeface=""/>
      </a:majorFont>
      <a:minorFont>
        <a:latin typeface="Segoe UI Semi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6071E-1F5A-4474-A22F-F66298FC7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PSC-Letterhead-Corpo2019.dotx</Template>
  <TotalTime>1</TotalTime>
  <Pages>31</Pages>
  <Words>6526</Words>
  <Characters>37203</Characters>
  <Application>Microsoft Office Word</Application>
  <DocSecurity>0</DocSecurity>
  <Lines>310</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CFP-PSC</Company>
  <LinksUpToDate>false</LinksUpToDate>
  <CharactersWithSpaces>43642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Ferreira</dc:creator>
  <cp:keywords/>
  <dc:description/>
  <cp:lastModifiedBy>Snjezana Kulic</cp:lastModifiedBy>
  <cp:revision>2</cp:revision>
  <dcterms:created xsi:type="dcterms:W3CDTF">2022-03-04T21:27:00Z</dcterms:created>
  <dcterms:modified xsi:type="dcterms:W3CDTF">2022-03-04T21:27:00Z</dcterms:modified>
</cp:coreProperties>
</file>