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drawings/drawing1.xml" ContentType="application/vnd.openxmlformats-officedocument.drawingml.chartshapes+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drawings/drawing2.xml" ContentType="application/vnd.openxmlformats-officedocument.drawingml.chartshapes+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drawings/drawing3.xml" ContentType="application/vnd.openxmlformats-officedocument.drawingml.chartshapes+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drawings/drawing4.xml" ContentType="application/vnd.openxmlformats-officedocument.drawingml.chartshapes+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drawings/drawing5.xml" ContentType="application/vnd.openxmlformats-officedocument.drawingml.chartshapes+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drawings/drawing6.xml" ContentType="application/vnd.openxmlformats-officedocument.drawingml.chartshapes+xml"/>
  <Override PartName="/word/charts/chart13.xml" ContentType="application/vnd.openxmlformats-officedocument.drawingml.chart+xml"/>
  <Override PartName="/word/charts/style13.xml" ContentType="application/vnd.ms-office.chartstyle+xml"/>
  <Override PartName="/word/charts/colors13.xml" ContentType="application/vnd.ms-office.chartcolorstyle+xml"/>
  <Override PartName="/word/drawings/drawing7.xml" ContentType="application/vnd.openxmlformats-officedocument.drawingml.chartshapes+xml"/>
  <Override PartName="/word/charts/chart14.xml" ContentType="application/vnd.openxmlformats-officedocument.drawingml.chart+xml"/>
  <Override PartName="/word/charts/style14.xml" ContentType="application/vnd.ms-office.chartstyle+xml"/>
  <Override PartName="/word/charts/colors14.xml" ContentType="application/vnd.ms-office.chartcolorstyle+xml"/>
  <Override PartName="/word/drawings/drawing8.xml" ContentType="application/vnd.openxmlformats-officedocument.drawingml.chartshapes+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824E4F" w14:textId="038A046A" w:rsidR="006462B0" w:rsidRPr="002D39D0" w:rsidRDefault="00614B04" w:rsidP="006462B0">
      <w:pPr>
        <w:pStyle w:val="Title"/>
        <w:spacing w:before="0" w:line="240" w:lineRule="auto"/>
        <w:jc w:val="center"/>
        <w:rPr>
          <w:sz w:val="52"/>
          <w:szCs w:val="52"/>
        </w:rPr>
      </w:pPr>
      <w:r w:rsidRPr="002D39D0">
        <w:rPr>
          <w:sz w:val="52"/>
          <w:szCs w:val="52"/>
        </w:rPr>
        <w:t>R</w:t>
      </w:r>
      <w:r w:rsidR="00021C16" w:rsidRPr="002D39D0">
        <w:rPr>
          <w:sz w:val="52"/>
          <w:szCs w:val="52"/>
        </w:rPr>
        <w:t>éunion du</w:t>
      </w:r>
      <w:r w:rsidRPr="002D39D0">
        <w:rPr>
          <w:sz w:val="52"/>
          <w:szCs w:val="52"/>
        </w:rPr>
        <w:t xml:space="preserve"> </w:t>
      </w:r>
      <w:r w:rsidR="002D39D0">
        <w:rPr>
          <w:sz w:val="52"/>
          <w:szCs w:val="52"/>
        </w:rPr>
        <w:t>p</w:t>
      </w:r>
      <w:r w:rsidR="00B53077" w:rsidRPr="002D39D0">
        <w:rPr>
          <w:sz w:val="52"/>
          <w:szCs w:val="52"/>
        </w:rPr>
        <w:t xml:space="preserve">résident </w:t>
      </w:r>
      <w:r w:rsidR="00021C16" w:rsidRPr="002D39D0">
        <w:rPr>
          <w:sz w:val="52"/>
          <w:szCs w:val="52"/>
        </w:rPr>
        <w:t>avec</w:t>
      </w:r>
    </w:p>
    <w:p w14:paraId="1602D46A" w14:textId="77777777" w:rsidR="00614B04" w:rsidRPr="002D39D0" w:rsidRDefault="00614B04" w:rsidP="006462B0">
      <w:pPr>
        <w:pStyle w:val="Title"/>
        <w:spacing w:before="0" w:line="240" w:lineRule="auto"/>
        <w:jc w:val="center"/>
        <w:rPr>
          <w:sz w:val="52"/>
          <w:szCs w:val="52"/>
        </w:rPr>
      </w:pPr>
      <w:r w:rsidRPr="002D39D0">
        <w:rPr>
          <w:sz w:val="52"/>
          <w:szCs w:val="52"/>
        </w:rPr>
        <w:t>M</w:t>
      </w:r>
      <w:r w:rsidR="00B53077" w:rsidRPr="002D39D0">
        <w:rPr>
          <w:sz w:val="52"/>
          <w:szCs w:val="52"/>
        </w:rPr>
        <w:t>arta</w:t>
      </w:r>
      <w:r w:rsidRPr="002D39D0">
        <w:rPr>
          <w:sz w:val="52"/>
          <w:szCs w:val="52"/>
        </w:rPr>
        <w:t xml:space="preserve"> M</w:t>
      </w:r>
      <w:r w:rsidR="00B53077" w:rsidRPr="002D39D0">
        <w:rPr>
          <w:sz w:val="52"/>
          <w:szCs w:val="52"/>
        </w:rPr>
        <w:t>organ</w:t>
      </w:r>
      <w:r w:rsidRPr="002D39D0">
        <w:rPr>
          <w:sz w:val="52"/>
          <w:szCs w:val="52"/>
        </w:rPr>
        <w:t>, S</w:t>
      </w:r>
      <w:r w:rsidR="00B53077" w:rsidRPr="002D39D0">
        <w:rPr>
          <w:sz w:val="52"/>
          <w:szCs w:val="52"/>
        </w:rPr>
        <w:t>ous</w:t>
      </w:r>
      <w:r w:rsidRPr="002D39D0">
        <w:rPr>
          <w:sz w:val="52"/>
          <w:szCs w:val="52"/>
        </w:rPr>
        <w:t>-M</w:t>
      </w:r>
      <w:r w:rsidR="00B53077" w:rsidRPr="002D39D0">
        <w:rPr>
          <w:sz w:val="52"/>
          <w:szCs w:val="52"/>
        </w:rPr>
        <w:t>inistre d</w:t>
      </w:r>
      <w:r w:rsidRPr="002D39D0">
        <w:rPr>
          <w:sz w:val="52"/>
          <w:szCs w:val="52"/>
        </w:rPr>
        <w:t>’A</w:t>
      </w:r>
      <w:r w:rsidR="00B53077" w:rsidRPr="002D39D0">
        <w:rPr>
          <w:sz w:val="52"/>
          <w:szCs w:val="52"/>
        </w:rPr>
        <w:t>ffaires</w:t>
      </w:r>
      <w:r w:rsidRPr="002D39D0">
        <w:rPr>
          <w:sz w:val="52"/>
          <w:szCs w:val="52"/>
        </w:rPr>
        <w:t xml:space="preserve"> M</w:t>
      </w:r>
      <w:r w:rsidR="00B53077" w:rsidRPr="002D39D0">
        <w:rPr>
          <w:sz w:val="52"/>
          <w:szCs w:val="52"/>
        </w:rPr>
        <w:t>ondiales</w:t>
      </w:r>
      <w:r w:rsidRPr="002D39D0">
        <w:rPr>
          <w:sz w:val="52"/>
          <w:szCs w:val="52"/>
        </w:rPr>
        <w:t xml:space="preserve"> C</w:t>
      </w:r>
      <w:r w:rsidR="00B53077" w:rsidRPr="002D39D0">
        <w:rPr>
          <w:sz w:val="52"/>
          <w:szCs w:val="52"/>
        </w:rPr>
        <w:t>anada</w:t>
      </w:r>
    </w:p>
    <w:p w14:paraId="059BA454" w14:textId="77777777" w:rsidR="00614B04" w:rsidRPr="002D39D0" w:rsidRDefault="00614B04" w:rsidP="00614B04">
      <w:pPr>
        <w:pStyle w:val="Title"/>
        <w:spacing w:before="0" w:line="240" w:lineRule="auto"/>
        <w:jc w:val="center"/>
        <w:rPr>
          <w:sz w:val="52"/>
          <w:szCs w:val="52"/>
        </w:rPr>
      </w:pPr>
      <w:r w:rsidRPr="002D39D0">
        <w:rPr>
          <w:sz w:val="52"/>
          <w:szCs w:val="52"/>
        </w:rPr>
        <w:t>10 décembre 2019</w:t>
      </w:r>
    </w:p>
    <w:p w14:paraId="3EFBD85F" w14:textId="77777777" w:rsidR="00614B04" w:rsidRPr="002D39D0" w:rsidRDefault="00614B04" w:rsidP="007C1E3E">
      <w:pPr>
        <w:pStyle w:val="Heading1"/>
        <w:spacing w:after="120"/>
      </w:pPr>
      <w:r w:rsidRPr="002D39D0">
        <w:t xml:space="preserve">Introduction </w:t>
      </w:r>
    </w:p>
    <w:p w14:paraId="5EA894A5" w14:textId="77777777" w:rsidR="000F48C6" w:rsidRPr="002D39D0" w:rsidRDefault="00614B04" w:rsidP="000F48C6">
      <w:pPr>
        <w:pStyle w:val="Heading2"/>
        <w:tabs>
          <w:tab w:val="left" w:pos="5610"/>
        </w:tabs>
        <w:spacing w:after="120"/>
      </w:pPr>
      <w:r w:rsidRPr="002D39D0">
        <w:t>Administrateur général</w:t>
      </w:r>
    </w:p>
    <w:p w14:paraId="045B5982" w14:textId="77777777" w:rsidR="00614B04" w:rsidRPr="002D39D0" w:rsidRDefault="00614B04" w:rsidP="007C1E3E">
      <w:pPr>
        <w:spacing w:after="120"/>
        <w:rPr>
          <w:rFonts w:asciiTheme="minorHAnsi" w:hAnsiTheme="minorHAnsi" w:cstheme="minorHAnsi"/>
          <w:sz w:val="22"/>
        </w:rPr>
      </w:pPr>
      <w:r w:rsidRPr="002D39D0">
        <w:rPr>
          <w:rFonts w:asciiTheme="minorHAnsi" w:hAnsiTheme="minorHAnsi" w:cstheme="minorHAnsi"/>
          <w:sz w:val="22"/>
        </w:rPr>
        <w:t xml:space="preserve">Le 6 mai 2019, Mme Marta Morgan a été nommée sous-ministre d’Affaires mondiales Canada (AMC). </w:t>
      </w:r>
    </w:p>
    <w:p w14:paraId="3F85825B" w14:textId="77777777" w:rsidR="00614B04" w:rsidRPr="002D39D0" w:rsidRDefault="00614B04" w:rsidP="00A95A8A">
      <w:pPr>
        <w:pStyle w:val="Heading3"/>
        <w:spacing w:after="120"/>
        <w:rPr>
          <w:u w:val="single"/>
        </w:rPr>
      </w:pPr>
      <w:r w:rsidRPr="002D39D0">
        <w:t xml:space="preserve">Sous-ministre championne des relations universitaires </w:t>
      </w:r>
    </w:p>
    <w:p w14:paraId="7FE6A463" w14:textId="77777777" w:rsidR="00614B04" w:rsidRPr="002D39D0" w:rsidRDefault="00614B04" w:rsidP="007C1E3E">
      <w:pPr>
        <w:autoSpaceDE w:val="0"/>
        <w:autoSpaceDN w:val="0"/>
        <w:adjustRightInd w:val="0"/>
        <w:spacing w:after="120"/>
        <w:ind w:right="50"/>
        <w:rPr>
          <w:rFonts w:asciiTheme="minorHAnsi" w:hAnsiTheme="minorHAnsi" w:cstheme="minorHAnsi"/>
          <w:sz w:val="22"/>
          <w:szCs w:val="22"/>
        </w:rPr>
      </w:pPr>
      <w:r w:rsidRPr="002D39D0">
        <w:rPr>
          <w:rFonts w:asciiTheme="minorHAnsi" w:hAnsiTheme="minorHAnsi" w:cstheme="minorHAnsi"/>
          <w:sz w:val="22"/>
          <w:szCs w:val="22"/>
        </w:rPr>
        <w:t>À titre de sous-ministre championne des relations universitaires, M</w:t>
      </w:r>
      <w:r w:rsidRPr="002D39D0">
        <w:rPr>
          <w:rFonts w:asciiTheme="minorHAnsi" w:hAnsiTheme="minorHAnsi" w:cstheme="minorHAnsi"/>
          <w:sz w:val="22"/>
          <w:szCs w:val="22"/>
          <w:vertAlign w:val="superscript"/>
        </w:rPr>
        <w:t>me</w:t>
      </w:r>
      <w:r w:rsidRPr="002D39D0">
        <w:rPr>
          <w:rFonts w:asciiTheme="minorHAnsi" w:hAnsiTheme="minorHAnsi" w:cstheme="minorHAnsi"/>
          <w:sz w:val="22"/>
          <w:szCs w:val="22"/>
        </w:rPr>
        <w:t xml:space="preserve"> Morgan joue un rôle clé dans le renouvellement de la fonction publique en établissant des relations entre la Commission de la fonction publique (CFP) et l’Université Simon Fraser (SFU). </w:t>
      </w:r>
    </w:p>
    <w:p w14:paraId="4E3D672B" w14:textId="77777777" w:rsidR="00614B04" w:rsidRPr="002D39D0" w:rsidRDefault="00614B04" w:rsidP="007C1E3E">
      <w:pPr>
        <w:autoSpaceDE w:val="0"/>
        <w:autoSpaceDN w:val="0"/>
        <w:adjustRightInd w:val="0"/>
        <w:spacing w:after="120"/>
        <w:ind w:right="50"/>
        <w:rPr>
          <w:rFonts w:asciiTheme="minorHAnsi" w:hAnsiTheme="minorHAnsi" w:cstheme="minorHAnsi"/>
          <w:sz w:val="22"/>
          <w:szCs w:val="22"/>
        </w:rPr>
      </w:pPr>
      <w:r w:rsidRPr="002D39D0">
        <w:rPr>
          <w:rFonts w:asciiTheme="minorHAnsi" w:hAnsiTheme="minorHAnsi" w:cstheme="minorHAnsi"/>
          <w:sz w:val="22"/>
          <w:szCs w:val="22"/>
        </w:rPr>
        <w:t>M</w:t>
      </w:r>
      <w:r w:rsidRPr="002D39D0">
        <w:rPr>
          <w:rFonts w:asciiTheme="minorHAnsi" w:hAnsiTheme="minorHAnsi" w:cstheme="minorHAnsi"/>
          <w:sz w:val="22"/>
          <w:szCs w:val="22"/>
          <w:vertAlign w:val="superscript"/>
        </w:rPr>
        <w:t>me</w:t>
      </w:r>
      <w:r w:rsidRPr="002D39D0">
        <w:rPr>
          <w:rFonts w:asciiTheme="minorHAnsi" w:hAnsiTheme="minorHAnsi" w:cstheme="minorHAnsi"/>
          <w:sz w:val="22"/>
          <w:szCs w:val="22"/>
        </w:rPr>
        <w:t> Morgan est une championne active ayant participé à de nombreux événements en 2018 et 2019. Depuis le 1</w:t>
      </w:r>
      <w:r w:rsidRPr="002D39D0">
        <w:rPr>
          <w:rFonts w:asciiTheme="minorHAnsi" w:hAnsiTheme="minorHAnsi" w:cstheme="minorHAnsi"/>
          <w:sz w:val="22"/>
          <w:szCs w:val="22"/>
          <w:vertAlign w:val="superscript"/>
        </w:rPr>
        <w:t>er</w:t>
      </w:r>
      <w:r w:rsidRPr="002D39D0">
        <w:rPr>
          <w:rFonts w:asciiTheme="minorHAnsi" w:hAnsiTheme="minorHAnsi" w:cstheme="minorHAnsi"/>
          <w:sz w:val="22"/>
          <w:szCs w:val="22"/>
        </w:rPr>
        <w:t> avril 2019, la CFP a participé à six événements à la SFU en appui au renouvellement de la fonction publique :</w:t>
      </w:r>
    </w:p>
    <w:p w14:paraId="24ABCA8B" w14:textId="77777777" w:rsidR="00614B04" w:rsidRPr="002D39D0" w:rsidRDefault="00614B04" w:rsidP="007C1E3E">
      <w:pPr>
        <w:pStyle w:val="ListParagraph"/>
        <w:numPr>
          <w:ilvl w:val="0"/>
          <w:numId w:val="5"/>
        </w:numPr>
        <w:autoSpaceDE w:val="0"/>
        <w:autoSpaceDN w:val="0"/>
        <w:adjustRightInd w:val="0"/>
        <w:spacing w:after="0" w:line="259" w:lineRule="auto"/>
        <w:ind w:right="50"/>
        <w:rPr>
          <w:rFonts w:asciiTheme="minorHAnsi" w:hAnsiTheme="minorHAnsi" w:cstheme="minorHAnsi"/>
          <w:sz w:val="22"/>
          <w:szCs w:val="22"/>
        </w:rPr>
      </w:pPr>
      <w:r w:rsidRPr="002D39D0">
        <w:rPr>
          <w:rFonts w:asciiTheme="minorHAnsi" w:hAnsiTheme="minorHAnsi" w:cstheme="minorHAnsi"/>
          <w:sz w:val="22"/>
          <w:szCs w:val="22"/>
        </w:rPr>
        <w:t>1</w:t>
      </w:r>
      <w:r w:rsidRPr="002D39D0">
        <w:rPr>
          <w:rFonts w:asciiTheme="minorHAnsi" w:hAnsiTheme="minorHAnsi" w:cstheme="minorHAnsi"/>
          <w:sz w:val="22"/>
          <w:szCs w:val="22"/>
          <w:vertAlign w:val="superscript"/>
        </w:rPr>
        <w:t>er</w:t>
      </w:r>
      <w:r w:rsidRPr="002D39D0">
        <w:rPr>
          <w:rFonts w:asciiTheme="minorHAnsi" w:hAnsiTheme="minorHAnsi" w:cstheme="minorHAnsi"/>
          <w:sz w:val="22"/>
          <w:szCs w:val="22"/>
        </w:rPr>
        <w:t xml:space="preserve"> avril 2019 : SFU </w:t>
      </w:r>
      <w:proofErr w:type="spellStart"/>
      <w:r w:rsidRPr="002D39D0">
        <w:rPr>
          <w:rFonts w:asciiTheme="minorHAnsi" w:hAnsiTheme="minorHAnsi" w:cstheme="minorHAnsi"/>
          <w:sz w:val="22"/>
          <w:szCs w:val="22"/>
        </w:rPr>
        <w:t>Beedie</w:t>
      </w:r>
      <w:proofErr w:type="spellEnd"/>
      <w:r w:rsidRPr="002D39D0">
        <w:rPr>
          <w:rFonts w:asciiTheme="minorHAnsi" w:hAnsiTheme="minorHAnsi" w:cstheme="minorHAnsi"/>
          <w:sz w:val="22"/>
          <w:szCs w:val="22"/>
        </w:rPr>
        <w:t xml:space="preserve"> « </w:t>
      </w:r>
      <w:proofErr w:type="spellStart"/>
      <w:r w:rsidRPr="002D39D0">
        <w:rPr>
          <w:rFonts w:asciiTheme="minorHAnsi" w:hAnsiTheme="minorHAnsi" w:cstheme="minorHAnsi"/>
          <w:sz w:val="22"/>
          <w:szCs w:val="22"/>
        </w:rPr>
        <w:t>Meet</w:t>
      </w:r>
      <w:proofErr w:type="spellEnd"/>
      <w:r w:rsidRPr="002D39D0">
        <w:rPr>
          <w:rFonts w:asciiTheme="minorHAnsi" w:hAnsiTheme="minorHAnsi" w:cstheme="minorHAnsi"/>
          <w:sz w:val="22"/>
          <w:szCs w:val="22"/>
        </w:rPr>
        <w:t xml:space="preserve"> the Pros » (Rencontre avec les experts) – organisée par l’École de commerce </w:t>
      </w:r>
      <w:proofErr w:type="spellStart"/>
      <w:r w:rsidRPr="002D39D0">
        <w:rPr>
          <w:rFonts w:asciiTheme="minorHAnsi" w:hAnsiTheme="minorHAnsi" w:cstheme="minorHAnsi"/>
          <w:sz w:val="22"/>
          <w:szCs w:val="22"/>
        </w:rPr>
        <w:t>Beedie</w:t>
      </w:r>
      <w:proofErr w:type="spellEnd"/>
      <w:r w:rsidRPr="002D39D0">
        <w:rPr>
          <w:rFonts w:asciiTheme="minorHAnsi" w:hAnsiTheme="minorHAnsi" w:cstheme="minorHAnsi"/>
          <w:sz w:val="22"/>
          <w:szCs w:val="22"/>
        </w:rPr>
        <w:t xml:space="preserve"> de la SFU</w:t>
      </w:r>
    </w:p>
    <w:p w14:paraId="6D85FBE1" w14:textId="77777777" w:rsidR="00614B04" w:rsidRPr="002D39D0" w:rsidRDefault="00614B04" w:rsidP="00614B04">
      <w:pPr>
        <w:pStyle w:val="ListParagraph"/>
        <w:numPr>
          <w:ilvl w:val="0"/>
          <w:numId w:val="5"/>
        </w:numPr>
        <w:spacing w:after="0"/>
        <w:contextualSpacing w:val="0"/>
        <w:rPr>
          <w:rFonts w:asciiTheme="minorHAnsi" w:hAnsiTheme="minorHAnsi" w:cstheme="minorHAnsi"/>
          <w:sz w:val="22"/>
          <w:szCs w:val="22"/>
        </w:rPr>
      </w:pPr>
      <w:r w:rsidRPr="002D39D0">
        <w:rPr>
          <w:rFonts w:asciiTheme="minorHAnsi" w:hAnsiTheme="minorHAnsi" w:cstheme="minorHAnsi"/>
          <w:sz w:val="22"/>
          <w:szCs w:val="22"/>
        </w:rPr>
        <w:t>16 mai 2019 : Rencontre avec la SFU pour explorer leur programme en français et pour discuter du recrutement, des meilleures pratiques d’apprentissage intégré au travail, des possibilités et des défis pour les étudiants et les diplômés</w:t>
      </w:r>
    </w:p>
    <w:p w14:paraId="481CC838" w14:textId="77777777" w:rsidR="00614B04" w:rsidRPr="002D39D0" w:rsidRDefault="00614B04" w:rsidP="00614B04">
      <w:pPr>
        <w:pStyle w:val="ListParagraph"/>
        <w:numPr>
          <w:ilvl w:val="0"/>
          <w:numId w:val="5"/>
        </w:numPr>
        <w:spacing w:after="0"/>
        <w:contextualSpacing w:val="0"/>
        <w:rPr>
          <w:rFonts w:asciiTheme="minorHAnsi" w:hAnsiTheme="minorHAnsi" w:cstheme="minorHAnsi"/>
          <w:sz w:val="22"/>
          <w:szCs w:val="22"/>
        </w:rPr>
      </w:pPr>
      <w:r w:rsidRPr="002D39D0">
        <w:rPr>
          <w:rFonts w:asciiTheme="minorHAnsi" w:hAnsiTheme="minorHAnsi" w:cstheme="minorHAnsi"/>
          <w:sz w:val="22"/>
          <w:szCs w:val="22"/>
        </w:rPr>
        <w:t>18 juillet 2019 : Rencontre avec la SFU concernant la façon dont la CFP continuera à soutenir les étudiants du programme d’enseignement coopératif de la SFU et pour discuter de l’intérêt de la SFU pour l’événement de dotation rapide du printemps 2020</w:t>
      </w:r>
    </w:p>
    <w:p w14:paraId="1339F253" w14:textId="77777777" w:rsidR="00614B04" w:rsidRPr="002D39D0" w:rsidRDefault="00614B04" w:rsidP="00614B04">
      <w:pPr>
        <w:pStyle w:val="ListParagraph"/>
        <w:numPr>
          <w:ilvl w:val="0"/>
          <w:numId w:val="5"/>
        </w:numPr>
        <w:spacing w:after="0"/>
        <w:contextualSpacing w:val="0"/>
        <w:rPr>
          <w:rFonts w:asciiTheme="minorHAnsi" w:hAnsiTheme="minorHAnsi" w:cstheme="minorHAnsi"/>
          <w:sz w:val="22"/>
          <w:szCs w:val="22"/>
        </w:rPr>
      </w:pPr>
      <w:r w:rsidRPr="002D39D0">
        <w:rPr>
          <w:rFonts w:asciiTheme="minorHAnsi" w:hAnsiTheme="minorHAnsi" w:cstheme="minorHAnsi"/>
          <w:sz w:val="22"/>
          <w:szCs w:val="22"/>
        </w:rPr>
        <w:t>18 et 19 juillet 2019 : SFU « </w:t>
      </w:r>
      <w:proofErr w:type="spellStart"/>
      <w:r w:rsidRPr="002D39D0">
        <w:rPr>
          <w:rFonts w:asciiTheme="minorHAnsi" w:hAnsiTheme="minorHAnsi" w:cstheme="minorHAnsi"/>
          <w:sz w:val="22"/>
          <w:szCs w:val="22"/>
        </w:rPr>
        <w:t>Meet</w:t>
      </w:r>
      <w:proofErr w:type="spellEnd"/>
      <w:r w:rsidRPr="002D39D0">
        <w:rPr>
          <w:rFonts w:asciiTheme="minorHAnsi" w:hAnsiTheme="minorHAnsi" w:cstheme="minorHAnsi"/>
          <w:sz w:val="22"/>
          <w:szCs w:val="22"/>
        </w:rPr>
        <w:t xml:space="preserve"> the Pros » (Rencontre avec les experts) – deux séances d’information pour les étudiants, principalement en finance, en comptabilité, en vérification et en ressources humaines</w:t>
      </w:r>
    </w:p>
    <w:p w14:paraId="311215CC" w14:textId="77777777" w:rsidR="00614B04" w:rsidRPr="002D39D0" w:rsidRDefault="00614B04" w:rsidP="00614B04">
      <w:pPr>
        <w:pStyle w:val="ListParagraph"/>
        <w:numPr>
          <w:ilvl w:val="0"/>
          <w:numId w:val="5"/>
        </w:numPr>
        <w:spacing w:after="0"/>
        <w:contextualSpacing w:val="0"/>
        <w:rPr>
          <w:rFonts w:asciiTheme="minorHAnsi" w:hAnsiTheme="minorHAnsi" w:cstheme="minorHAnsi"/>
          <w:sz w:val="22"/>
          <w:szCs w:val="22"/>
        </w:rPr>
      </w:pPr>
      <w:r w:rsidRPr="002D39D0">
        <w:rPr>
          <w:rFonts w:asciiTheme="minorHAnsi" w:hAnsiTheme="minorHAnsi" w:cstheme="minorHAnsi"/>
          <w:sz w:val="22"/>
          <w:szCs w:val="22"/>
        </w:rPr>
        <w:t>25 et 26 septembre 2019 : Grande foire de la SFU</w:t>
      </w:r>
    </w:p>
    <w:p w14:paraId="1DDAFD11" w14:textId="77777777" w:rsidR="00614B04" w:rsidRPr="002D39D0" w:rsidRDefault="00614B04" w:rsidP="007C1E3E">
      <w:pPr>
        <w:pStyle w:val="ListParagraph"/>
        <w:numPr>
          <w:ilvl w:val="0"/>
          <w:numId w:val="5"/>
        </w:numPr>
        <w:spacing w:after="120"/>
        <w:contextualSpacing w:val="0"/>
        <w:rPr>
          <w:rFonts w:asciiTheme="minorHAnsi" w:hAnsiTheme="minorHAnsi" w:cstheme="minorHAnsi"/>
          <w:sz w:val="22"/>
          <w:szCs w:val="22"/>
        </w:rPr>
      </w:pPr>
      <w:r w:rsidRPr="002D39D0">
        <w:rPr>
          <w:rFonts w:asciiTheme="minorHAnsi" w:hAnsiTheme="minorHAnsi" w:cstheme="minorHAnsi"/>
          <w:sz w:val="22"/>
          <w:szCs w:val="22"/>
        </w:rPr>
        <w:t>10 octobre 2019 : Événement de dotation rapide de l’Université de la Colombie-Britannique (UBC) – AMC a réalisé des entrevues auprès d’étudiants du programme coopératif de l’UBC lors de l’événement</w:t>
      </w:r>
    </w:p>
    <w:p w14:paraId="155E6DD9" w14:textId="77777777" w:rsidR="00614B04" w:rsidRPr="002D39D0" w:rsidRDefault="00614B04" w:rsidP="007C1E3E">
      <w:pPr>
        <w:spacing w:after="120"/>
        <w:rPr>
          <w:rFonts w:asciiTheme="minorHAnsi" w:hAnsiTheme="minorHAnsi" w:cstheme="minorHAnsi"/>
          <w:sz w:val="22"/>
          <w:szCs w:val="22"/>
        </w:rPr>
      </w:pPr>
      <w:r w:rsidRPr="002D39D0">
        <w:rPr>
          <w:rFonts w:asciiTheme="minorHAnsi" w:hAnsiTheme="minorHAnsi" w:cstheme="minorHAnsi"/>
          <w:sz w:val="22"/>
          <w:szCs w:val="22"/>
        </w:rPr>
        <w:t>De plus, AMC a été invitée à participer à l’initiative des étudiants ambassadeurs, mais n’en a pas embauché. Toutefois, Emploi et Développement social Canada a embauché deux étudiants ambassadeurs de la SFU pour so</w:t>
      </w:r>
      <w:r w:rsidR="00BB40A9" w:rsidRPr="002D39D0">
        <w:rPr>
          <w:rFonts w:asciiTheme="minorHAnsi" w:hAnsiTheme="minorHAnsi" w:cstheme="minorHAnsi"/>
          <w:sz w:val="22"/>
          <w:szCs w:val="22"/>
        </w:rPr>
        <w:t>n propre ministère à Vancouver.</w:t>
      </w:r>
    </w:p>
    <w:p w14:paraId="62A8E96F" w14:textId="77777777" w:rsidR="00614B04" w:rsidRPr="002D39D0" w:rsidRDefault="00614B04" w:rsidP="00A95A8A">
      <w:pPr>
        <w:pStyle w:val="Heading3"/>
        <w:spacing w:after="120"/>
        <w:rPr>
          <w:u w:val="single"/>
        </w:rPr>
      </w:pPr>
      <w:r w:rsidRPr="002D39D0">
        <w:t xml:space="preserve">Championne du recrutement de leaders en politiques </w:t>
      </w:r>
    </w:p>
    <w:p w14:paraId="05102BBB" w14:textId="77777777" w:rsidR="00614B04" w:rsidRPr="002D39D0" w:rsidRDefault="00614B04" w:rsidP="007C1E3E">
      <w:pPr>
        <w:autoSpaceDE w:val="0"/>
        <w:autoSpaceDN w:val="0"/>
        <w:adjustRightInd w:val="0"/>
        <w:spacing w:after="120"/>
        <w:ind w:right="50"/>
        <w:rPr>
          <w:rFonts w:asciiTheme="minorHAnsi" w:hAnsiTheme="minorHAnsi" w:cstheme="minorHAnsi"/>
          <w:strike/>
          <w:sz w:val="22"/>
          <w:szCs w:val="22"/>
        </w:rPr>
      </w:pPr>
      <w:r w:rsidRPr="002D39D0">
        <w:rPr>
          <w:rFonts w:asciiTheme="minorHAnsi" w:hAnsiTheme="minorHAnsi" w:cstheme="minorHAnsi"/>
          <w:sz w:val="22"/>
          <w:szCs w:val="22"/>
        </w:rPr>
        <w:t>M</w:t>
      </w:r>
      <w:r w:rsidRPr="002D39D0">
        <w:rPr>
          <w:rFonts w:asciiTheme="minorHAnsi" w:hAnsiTheme="minorHAnsi" w:cstheme="minorHAnsi"/>
          <w:sz w:val="22"/>
          <w:szCs w:val="22"/>
          <w:vertAlign w:val="superscript"/>
        </w:rPr>
        <w:t>me</w:t>
      </w:r>
      <w:r w:rsidRPr="002D39D0">
        <w:rPr>
          <w:rFonts w:asciiTheme="minorHAnsi" w:hAnsiTheme="minorHAnsi" w:cstheme="minorHAnsi"/>
          <w:sz w:val="22"/>
          <w:szCs w:val="22"/>
        </w:rPr>
        <w:t> Morgan est la championne du recrut</w:t>
      </w:r>
      <w:r w:rsidR="00BB40A9" w:rsidRPr="002D39D0">
        <w:rPr>
          <w:rFonts w:asciiTheme="minorHAnsi" w:hAnsiTheme="minorHAnsi" w:cstheme="minorHAnsi"/>
          <w:sz w:val="22"/>
          <w:szCs w:val="22"/>
        </w:rPr>
        <w:t>ement de leaders en politiques.</w:t>
      </w:r>
    </w:p>
    <w:p w14:paraId="586A67B2" w14:textId="77777777" w:rsidR="00614B04" w:rsidRPr="002D39D0" w:rsidRDefault="00614B04" w:rsidP="007C1E3E">
      <w:pPr>
        <w:autoSpaceDE w:val="0"/>
        <w:autoSpaceDN w:val="0"/>
        <w:adjustRightInd w:val="0"/>
        <w:spacing w:after="120"/>
        <w:ind w:right="50"/>
        <w:rPr>
          <w:rFonts w:asciiTheme="minorHAnsi" w:hAnsiTheme="minorHAnsi" w:cstheme="minorHAnsi"/>
          <w:sz w:val="22"/>
          <w:szCs w:val="22"/>
        </w:rPr>
      </w:pPr>
      <w:r w:rsidRPr="002D39D0">
        <w:rPr>
          <w:rFonts w:asciiTheme="minorHAnsi" w:hAnsiTheme="minorHAnsi" w:cstheme="minorHAnsi"/>
          <w:sz w:val="22"/>
          <w:szCs w:val="22"/>
        </w:rPr>
        <w:lastRenderedPageBreak/>
        <w:t xml:space="preserve">À la suite de l’évaluation du programme de recrutement de leaders en politiques, la CFP communiquera avec l’École afin de lui fournir un soutien pour la campagne de l’an prochain. Les détails énoncés dans le protocole d’entente n’ont pas encore été mis au point. </w:t>
      </w:r>
    </w:p>
    <w:p w14:paraId="5CC68755" w14:textId="69F76B75" w:rsidR="00C42F1B" w:rsidRPr="007C1E3E" w:rsidRDefault="00C42F1B" w:rsidP="007C1E3E">
      <w:pPr>
        <w:pStyle w:val="Caption"/>
        <w:keepNext/>
        <w:spacing w:after="0"/>
        <w:rPr>
          <w:rFonts w:asciiTheme="minorHAnsi" w:hAnsiTheme="minorHAnsi" w:cstheme="minorHAnsi"/>
        </w:rPr>
      </w:pPr>
      <w:r w:rsidRPr="007C1E3E">
        <w:rPr>
          <w:rFonts w:asciiTheme="minorHAnsi" w:hAnsiTheme="minorHAnsi" w:cstheme="minorHAnsi"/>
          <w:i w:val="0"/>
          <w:color w:val="auto"/>
        </w:rPr>
        <w:t xml:space="preserve">Table </w:t>
      </w:r>
      <w:r w:rsidRPr="007C1E3E">
        <w:rPr>
          <w:rFonts w:asciiTheme="minorHAnsi" w:hAnsiTheme="minorHAnsi" w:cstheme="minorHAnsi"/>
          <w:i w:val="0"/>
          <w:color w:val="auto"/>
        </w:rPr>
        <w:fldChar w:fldCharType="begin"/>
      </w:r>
      <w:r w:rsidRPr="007C1E3E">
        <w:rPr>
          <w:rFonts w:asciiTheme="minorHAnsi" w:hAnsiTheme="minorHAnsi" w:cstheme="minorHAnsi"/>
          <w:i w:val="0"/>
          <w:color w:val="auto"/>
        </w:rPr>
        <w:instrText xml:space="preserve"> SEQ Table \* ARABIC </w:instrText>
      </w:r>
      <w:r w:rsidRPr="007C1E3E">
        <w:rPr>
          <w:rFonts w:asciiTheme="minorHAnsi" w:hAnsiTheme="minorHAnsi" w:cstheme="minorHAnsi"/>
          <w:i w:val="0"/>
          <w:color w:val="auto"/>
        </w:rPr>
        <w:fldChar w:fldCharType="separate"/>
      </w:r>
      <w:r w:rsidRPr="007C1E3E">
        <w:rPr>
          <w:rFonts w:asciiTheme="minorHAnsi" w:hAnsiTheme="minorHAnsi" w:cstheme="minorHAnsi"/>
          <w:i w:val="0"/>
          <w:noProof/>
          <w:color w:val="auto"/>
        </w:rPr>
        <w:t>1</w:t>
      </w:r>
      <w:r w:rsidRPr="007C1E3E">
        <w:rPr>
          <w:rFonts w:asciiTheme="minorHAnsi" w:hAnsiTheme="minorHAnsi" w:cstheme="minorHAnsi"/>
          <w:i w:val="0"/>
          <w:color w:val="auto"/>
        </w:rPr>
        <w:fldChar w:fldCharType="end"/>
      </w:r>
      <w:r w:rsidRPr="007C1E3E">
        <w:rPr>
          <w:rFonts w:asciiTheme="minorHAnsi" w:hAnsiTheme="minorHAnsi" w:cstheme="minorHAnsi"/>
          <w:i w:val="0"/>
          <w:color w:val="auto"/>
        </w:rPr>
        <w:t xml:space="preserve"> - Bassins de talents émergeants</w:t>
      </w:r>
    </w:p>
    <w:tbl>
      <w:tblPr>
        <w:tblStyle w:val="TableGrid"/>
        <w:tblW w:w="5154" w:type="pct"/>
        <w:jc w:val="center"/>
        <w:tblLayout w:type="fixed"/>
        <w:tblLook w:val="04A0" w:firstRow="1" w:lastRow="0" w:firstColumn="1" w:lastColumn="0" w:noHBand="0" w:noVBand="1"/>
        <w:tblDescription w:val="Bassins de talents émergeants de 2017 à aujourd'hui"/>
      </w:tblPr>
      <w:tblGrid>
        <w:gridCol w:w="1413"/>
        <w:gridCol w:w="1236"/>
        <w:gridCol w:w="1456"/>
        <w:gridCol w:w="1135"/>
        <w:gridCol w:w="1633"/>
        <w:gridCol w:w="1488"/>
        <w:gridCol w:w="1557"/>
      </w:tblGrid>
      <w:tr w:rsidR="00333BC5" w:rsidRPr="00333BC5" w14:paraId="6641280F" w14:textId="77777777" w:rsidTr="004721CE">
        <w:trPr>
          <w:cantSplit/>
          <w:tblHeader/>
          <w:jc w:val="center"/>
        </w:trPr>
        <w:tc>
          <w:tcPr>
            <w:tcW w:w="712" w:type="pct"/>
          </w:tcPr>
          <w:p w14:paraId="7A845AB1" w14:textId="77777777" w:rsidR="009A216A" w:rsidRPr="00333BC5" w:rsidRDefault="009A216A" w:rsidP="007C1E3E">
            <w:pPr>
              <w:pStyle w:val="TableTitle"/>
              <w:contextualSpacing/>
              <w:rPr>
                <w:rFonts w:cs="Segoe UI Semibold"/>
                <w:szCs w:val="22"/>
              </w:rPr>
            </w:pPr>
            <w:r w:rsidRPr="00333BC5">
              <w:rPr>
                <w:rFonts w:cs="Segoe UI Semibold"/>
                <w:b w:val="0"/>
                <w:szCs w:val="22"/>
              </w:rPr>
              <w:t>Année</w:t>
            </w:r>
          </w:p>
        </w:tc>
        <w:tc>
          <w:tcPr>
            <w:tcW w:w="623" w:type="pct"/>
          </w:tcPr>
          <w:p w14:paraId="42983B20" w14:textId="77777777" w:rsidR="009A216A" w:rsidRPr="00333BC5" w:rsidRDefault="009A216A" w:rsidP="007C1E3E">
            <w:pPr>
              <w:pStyle w:val="TableTitle"/>
              <w:contextualSpacing/>
              <w:rPr>
                <w:rFonts w:cs="Segoe UI Semibold"/>
                <w:szCs w:val="22"/>
              </w:rPr>
            </w:pPr>
            <w:r w:rsidRPr="00333BC5">
              <w:rPr>
                <w:rFonts w:cs="Segoe UI Semibold"/>
                <w:b w:val="0"/>
                <w:szCs w:val="22"/>
              </w:rPr>
              <w:t>Nombre de candidats qualifiés</w:t>
            </w:r>
          </w:p>
        </w:tc>
        <w:tc>
          <w:tcPr>
            <w:tcW w:w="734" w:type="pct"/>
          </w:tcPr>
          <w:p w14:paraId="65211A28" w14:textId="77777777" w:rsidR="009A216A" w:rsidRPr="00333BC5" w:rsidRDefault="009A216A" w:rsidP="007C1E3E">
            <w:pPr>
              <w:pStyle w:val="TableTitle"/>
              <w:contextualSpacing/>
              <w:rPr>
                <w:rFonts w:cs="Segoe UI Semibold"/>
                <w:szCs w:val="22"/>
              </w:rPr>
            </w:pPr>
            <w:r w:rsidRPr="00333BC5">
              <w:rPr>
                <w:rFonts w:cs="Segoe UI Semibold"/>
                <w:b w:val="0"/>
                <w:szCs w:val="22"/>
              </w:rPr>
              <w:t>Embauchés à partir du bassin</w:t>
            </w:r>
          </w:p>
        </w:tc>
        <w:tc>
          <w:tcPr>
            <w:tcW w:w="572" w:type="pct"/>
          </w:tcPr>
          <w:p w14:paraId="41F56113" w14:textId="77777777" w:rsidR="009A216A" w:rsidRPr="00333BC5" w:rsidRDefault="009A216A" w:rsidP="007C1E3E">
            <w:pPr>
              <w:pStyle w:val="TableTitle"/>
              <w:contextualSpacing/>
              <w:rPr>
                <w:rFonts w:cs="Segoe UI Semibold"/>
                <w:szCs w:val="22"/>
              </w:rPr>
            </w:pPr>
            <w:r w:rsidRPr="00333BC5">
              <w:rPr>
                <w:rFonts w:cs="Segoe UI Semibold"/>
                <w:b w:val="0"/>
                <w:szCs w:val="22"/>
              </w:rPr>
              <w:t>Types de contrats</w:t>
            </w:r>
          </w:p>
        </w:tc>
        <w:tc>
          <w:tcPr>
            <w:tcW w:w="823" w:type="pct"/>
          </w:tcPr>
          <w:p w14:paraId="7D99E8FF" w14:textId="77777777" w:rsidR="009A216A" w:rsidRPr="00333BC5" w:rsidRDefault="009A216A" w:rsidP="007C1E3E">
            <w:pPr>
              <w:pStyle w:val="TableTitle"/>
              <w:contextualSpacing/>
              <w:rPr>
                <w:rFonts w:cs="Segoe UI Semibold"/>
                <w:szCs w:val="22"/>
              </w:rPr>
            </w:pPr>
            <w:r w:rsidRPr="00333BC5">
              <w:rPr>
                <w:rFonts w:cs="Segoe UI Semibold"/>
                <w:b w:val="0"/>
                <w:szCs w:val="22"/>
              </w:rPr>
              <w:t xml:space="preserve">Candidats disponibles </w:t>
            </w:r>
          </w:p>
        </w:tc>
        <w:tc>
          <w:tcPr>
            <w:tcW w:w="750" w:type="pct"/>
          </w:tcPr>
          <w:p w14:paraId="148C6956" w14:textId="77777777" w:rsidR="009A216A" w:rsidRPr="00333BC5" w:rsidRDefault="009A216A" w:rsidP="007C1E3E">
            <w:pPr>
              <w:pStyle w:val="TableTitle"/>
              <w:contextualSpacing/>
              <w:rPr>
                <w:rFonts w:cs="Segoe UI Semibold"/>
                <w:szCs w:val="22"/>
              </w:rPr>
            </w:pPr>
            <w:r w:rsidRPr="00333BC5">
              <w:rPr>
                <w:rFonts w:cs="Segoe UI Semibold"/>
                <w:b w:val="0"/>
                <w:szCs w:val="22"/>
              </w:rPr>
              <w:t>Candidats non disponibles</w:t>
            </w:r>
          </w:p>
        </w:tc>
        <w:tc>
          <w:tcPr>
            <w:tcW w:w="785" w:type="pct"/>
          </w:tcPr>
          <w:p w14:paraId="69B1D4E4" w14:textId="77777777" w:rsidR="009A216A" w:rsidRPr="00333BC5" w:rsidRDefault="009A216A" w:rsidP="007C1E3E">
            <w:pPr>
              <w:pStyle w:val="TableTitle"/>
              <w:contextualSpacing/>
              <w:rPr>
                <w:rFonts w:cs="Segoe UI Semibold"/>
                <w:szCs w:val="22"/>
              </w:rPr>
            </w:pPr>
            <w:r w:rsidRPr="00333BC5">
              <w:rPr>
                <w:rFonts w:cs="Segoe UI Semibold"/>
                <w:b w:val="0"/>
                <w:szCs w:val="22"/>
              </w:rPr>
              <w:t>Références</w:t>
            </w:r>
          </w:p>
        </w:tc>
      </w:tr>
      <w:tr w:rsidR="00333BC5" w:rsidRPr="002D39D0" w14:paraId="123EE228" w14:textId="77777777" w:rsidTr="004721CE">
        <w:trPr>
          <w:cantSplit/>
          <w:tblHeader/>
          <w:jc w:val="center"/>
        </w:trPr>
        <w:tc>
          <w:tcPr>
            <w:tcW w:w="712" w:type="pct"/>
          </w:tcPr>
          <w:p w14:paraId="6CAAC39A" w14:textId="77777777" w:rsidR="009A216A" w:rsidRPr="002D39D0" w:rsidRDefault="009A216A" w:rsidP="0043319E">
            <w:pPr>
              <w:contextualSpacing/>
              <w:rPr>
                <w:rFonts w:ascii="Segoe UI Semilight" w:hAnsi="Segoe UI Semilight" w:cs="Segoe UI Semilight"/>
                <w:sz w:val="22"/>
                <w:szCs w:val="22"/>
              </w:rPr>
            </w:pPr>
            <w:r w:rsidRPr="002D39D0">
              <w:rPr>
                <w:rFonts w:ascii="Segoe UI Semilight" w:hAnsi="Segoe UI Semilight" w:cs="Segoe UI Semilight"/>
                <w:sz w:val="22"/>
                <w:szCs w:val="22"/>
              </w:rPr>
              <w:t>2017-2018</w:t>
            </w:r>
          </w:p>
        </w:tc>
        <w:tc>
          <w:tcPr>
            <w:tcW w:w="623" w:type="pct"/>
          </w:tcPr>
          <w:p w14:paraId="6E1EEA52" w14:textId="77777777" w:rsidR="009A216A" w:rsidRPr="002D39D0" w:rsidRDefault="009A216A" w:rsidP="0043319E">
            <w:pPr>
              <w:contextualSpacing/>
              <w:jc w:val="center"/>
              <w:rPr>
                <w:rFonts w:ascii="Segoe UI Semilight" w:hAnsi="Segoe UI Semilight" w:cs="Segoe UI Semilight"/>
                <w:sz w:val="22"/>
                <w:szCs w:val="22"/>
              </w:rPr>
            </w:pPr>
            <w:r w:rsidRPr="002D39D0">
              <w:rPr>
                <w:rFonts w:ascii="Segoe UI Semilight" w:hAnsi="Segoe UI Semilight" w:cs="Segoe UI Semilight"/>
                <w:sz w:val="22"/>
                <w:szCs w:val="22"/>
              </w:rPr>
              <w:t>15</w:t>
            </w:r>
          </w:p>
        </w:tc>
        <w:tc>
          <w:tcPr>
            <w:tcW w:w="734" w:type="pct"/>
          </w:tcPr>
          <w:p w14:paraId="331043E6" w14:textId="77777777" w:rsidR="009A216A" w:rsidRPr="002D39D0" w:rsidRDefault="009A216A" w:rsidP="0043319E">
            <w:pPr>
              <w:contextualSpacing/>
              <w:jc w:val="center"/>
              <w:rPr>
                <w:rFonts w:ascii="Segoe UI Semilight" w:hAnsi="Segoe UI Semilight" w:cs="Segoe UI Semilight"/>
                <w:sz w:val="22"/>
                <w:szCs w:val="22"/>
              </w:rPr>
            </w:pPr>
            <w:r w:rsidRPr="002D39D0">
              <w:rPr>
                <w:rFonts w:ascii="Segoe UI Semilight" w:hAnsi="Segoe UI Semilight" w:cs="Segoe UI Semilight"/>
                <w:sz w:val="22"/>
                <w:szCs w:val="22"/>
              </w:rPr>
              <w:t>7</w:t>
            </w:r>
          </w:p>
        </w:tc>
        <w:tc>
          <w:tcPr>
            <w:tcW w:w="572" w:type="pct"/>
          </w:tcPr>
          <w:p w14:paraId="1209AEFE" w14:textId="74AF5689" w:rsidR="0043319E" w:rsidRPr="002D39D0" w:rsidRDefault="0043319E" w:rsidP="0043319E">
            <w:pPr>
              <w:contextualSpacing/>
              <w:jc w:val="center"/>
              <w:rPr>
                <w:rFonts w:asciiTheme="minorHAnsi" w:hAnsiTheme="minorHAnsi" w:cstheme="minorHAnsi"/>
                <w:sz w:val="22"/>
                <w:szCs w:val="22"/>
              </w:rPr>
            </w:pPr>
            <w:r w:rsidRPr="002D39D0">
              <w:rPr>
                <w:rFonts w:asciiTheme="minorHAnsi" w:hAnsiTheme="minorHAnsi" w:cstheme="minorHAnsi"/>
                <w:sz w:val="22"/>
                <w:szCs w:val="22"/>
              </w:rPr>
              <w:t>6 indéterminés</w:t>
            </w:r>
          </w:p>
          <w:p w14:paraId="188AF0FC" w14:textId="77777777" w:rsidR="009A216A" w:rsidRPr="002D39D0" w:rsidRDefault="0043319E" w:rsidP="0043319E">
            <w:pPr>
              <w:contextualSpacing/>
              <w:jc w:val="center"/>
              <w:rPr>
                <w:rFonts w:ascii="Segoe UI Semilight" w:hAnsi="Segoe UI Semilight" w:cs="Segoe UI Semilight"/>
                <w:sz w:val="22"/>
                <w:szCs w:val="22"/>
              </w:rPr>
            </w:pPr>
            <w:r w:rsidRPr="002D39D0">
              <w:rPr>
                <w:rFonts w:asciiTheme="minorHAnsi" w:hAnsiTheme="minorHAnsi" w:cstheme="minorHAnsi"/>
                <w:sz w:val="22"/>
                <w:szCs w:val="22"/>
              </w:rPr>
              <w:t>1 déterminé (jusqu’en février 2020)</w:t>
            </w:r>
          </w:p>
        </w:tc>
        <w:tc>
          <w:tcPr>
            <w:tcW w:w="823" w:type="pct"/>
          </w:tcPr>
          <w:p w14:paraId="254BBB8E" w14:textId="6A55DFA0" w:rsidR="009A216A" w:rsidRPr="002D39D0" w:rsidRDefault="009A216A" w:rsidP="0043319E">
            <w:pPr>
              <w:contextualSpacing/>
              <w:jc w:val="center"/>
              <w:rPr>
                <w:rFonts w:ascii="Segoe UI Semilight" w:hAnsi="Segoe UI Semilight" w:cs="Segoe UI Semilight"/>
                <w:sz w:val="22"/>
                <w:szCs w:val="22"/>
              </w:rPr>
            </w:pPr>
            <w:r w:rsidRPr="002D39D0">
              <w:rPr>
                <w:rFonts w:ascii="Segoe UI Semilight" w:hAnsi="Segoe UI Semilight" w:cs="Segoe UI Semilight"/>
                <w:sz w:val="22"/>
                <w:szCs w:val="22"/>
              </w:rPr>
              <w:t>3 (dans les 6 prochains mois)</w:t>
            </w:r>
          </w:p>
          <w:p w14:paraId="24C40647" w14:textId="3E79A697" w:rsidR="009A216A" w:rsidRPr="002D39D0" w:rsidRDefault="009A216A" w:rsidP="00B44852">
            <w:pPr>
              <w:contextualSpacing/>
              <w:jc w:val="center"/>
              <w:rPr>
                <w:rFonts w:ascii="Segoe UI Semilight" w:hAnsi="Segoe UI Semilight" w:cs="Segoe UI Semilight"/>
                <w:sz w:val="22"/>
                <w:szCs w:val="22"/>
              </w:rPr>
            </w:pPr>
            <w:r w:rsidRPr="002D39D0">
              <w:rPr>
                <w:rFonts w:ascii="Segoe UI Semilight" w:hAnsi="Segoe UI Semilight" w:cs="Segoe UI Semilight"/>
                <w:sz w:val="22"/>
                <w:szCs w:val="22"/>
              </w:rPr>
              <w:t>4 (plus tard en 2020)</w:t>
            </w:r>
            <w:r w:rsidR="00C500D2" w:rsidRPr="002D39D0">
              <w:rPr>
                <w:rFonts w:ascii="Segoe UI Semilight" w:hAnsi="Segoe UI Semilight" w:cs="Segoe UI Semilight"/>
                <w:sz w:val="22"/>
                <w:szCs w:val="22"/>
              </w:rPr>
              <w:t xml:space="preserve"> </w:t>
            </w:r>
          </w:p>
        </w:tc>
        <w:tc>
          <w:tcPr>
            <w:tcW w:w="750" w:type="pct"/>
          </w:tcPr>
          <w:p w14:paraId="0F3197B4" w14:textId="77777777" w:rsidR="009A216A" w:rsidRPr="002D39D0" w:rsidRDefault="009A216A" w:rsidP="0043319E">
            <w:pPr>
              <w:tabs>
                <w:tab w:val="left" w:pos="4395"/>
              </w:tabs>
              <w:contextualSpacing/>
              <w:jc w:val="center"/>
              <w:rPr>
                <w:rFonts w:ascii="Segoe UI Semilight" w:hAnsi="Segoe UI Semilight" w:cs="Segoe UI Semilight"/>
                <w:sz w:val="22"/>
                <w:szCs w:val="22"/>
              </w:rPr>
            </w:pPr>
            <w:r w:rsidRPr="002D39D0">
              <w:rPr>
                <w:rFonts w:ascii="Segoe UI Semilight" w:hAnsi="Segoe UI Semilight" w:cs="Segoe UI Semilight"/>
                <w:sz w:val="22"/>
                <w:szCs w:val="22"/>
              </w:rPr>
              <w:t xml:space="preserve">1 (candidat retiré de </w:t>
            </w:r>
            <w:proofErr w:type="spellStart"/>
            <w:r w:rsidRPr="002D39D0">
              <w:rPr>
                <w:rFonts w:ascii="Segoe UI Semilight" w:hAnsi="Segoe UI Semilight" w:cs="Segoe UI Semilight"/>
                <w:sz w:val="22"/>
                <w:szCs w:val="22"/>
              </w:rPr>
              <w:t>GCpédia</w:t>
            </w:r>
            <w:proofErr w:type="spellEnd"/>
            <w:r w:rsidRPr="002D39D0">
              <w:rPr>
                <w:rFonts w:ascii="Segoe UI Semilight" w:hAnsi="Segoe UI Semilight" w:cs="Segoe UI Semilight"/>
                <w:sz w:val="22"/>
                <w:szCs w:val="22"/>
              </w:rPr>
              <w:t>)</w:t>
            </w:r>
          </w:p>
        </w:tc>
        <w:tc>
          <w:tcPr>
            <w:tcW w:w="785" w:type="pct"/>
          </w:tcPr>
          <w:p w14:paraId="7C9599EC" w14:textId="3E004258" w:rsidR="009A216A" w:rsidRPr="002D39D0" w:rsidRDefault="009A216A" w:rsidP="004721CE">
            <w:pPr>
              <w:tabs>
                <w:tab w:val="left" w:pos="4395"/>
              </w:tabs>
              <w:ind w:left="108"/>
              <w:contextualSpacing/>
              <w:rPr>
                <w:rFonts w:ascii="Segoe UI Semilight" w:hAnsi="Segoe UI Semilight" w:cs="Segoe UI Semilight"/>
                <w:sz w:val="22"/>
                <w:szCs w:val="22"/>
              </w:rPr>
            </w:pPr>
            <w:r w:rsidRPr="002D39D0">
              <w:rPr>
                <w:rFonts w:ascii="Segoe UI Semilight" w:hAnsi="Segoe UI Semilight" w:cs="Segoe UI Semilight"/>
                <w:sz w:val="22"/>
                <w:szCs w:val="22"/>
              </w:rPr>
              <w:t>9 (pour 5 candidats disponible</w:t>
            </w:r>
            <w:r w:rsidR="00333BC5">
              <w:rPr>
                <w:rFonts w:ascii="Segoe UI Semilight" w:hAnsi="Segoe UI Semilight" w:cs="Segoe UI Semilight"/>
                <w:sz w:val="22"/>
                <w:szCs w:val="22"/>
              </w:rPr>
              <w:t>s</w:t>
            </w:r>
            <w:r w:rsidRPr="002D39D0">
              <w:rPr>
                <w:rFonts w:ascii="Segoe UI Semilight" w:hAnsi="Segoe UI Semilight" w:cs="Segoe UI Semilight"/>
                <w:sz w:val="22"/>
                <w:szCs w:val="22"/>
              </w:rPr>
              <w:t>)</w:t>
            </w:r>
          </w:p>
        </w:tc>
      </w:tr>
      <w:tr w:rsidR="00333BC5" w:rsidRPr="002D39D0" w14:paraId="3E7CAA60" w14:textId="77777777" w:rsidTr="004721CE">
        <w:trPr>
          <w:cantSplit/>
          <w:tblHeader/>
          <w:jc w:val="center"/>
        </w:trPr>
        <w:tc>
          <w:tcPr>
            <w:tcW w:w="712" w:type="pct"/>
          </w:tcPr>
          <w:p w14:paraId="1176CFE8" w14:textId="77777777" w:rsidR="009A216A" w:rsidRPr="002D39D0" w:rsidRDefault="009A216A" w:rsidP="0043319E">
            <w:pPr>
              <w:contextualSpacing/>
              <w:rPr>
                <w:rFonts w:ascii="Segoe UI Semilight" w:hAnsi="Segoe UI Semilight" w:cs="Segoe UI Semilight"/>
                <w:sz w:val="22"/>
                <w:szCs w:val="22"/>
              </w:rPr>
            </w:pPr>
            <w:r w:rsidRPr="002D39D0">
              <w:rPr>
                <w:rFonts w:ascii="Segoe UI Semilight" w:hAnsi="Segoe UI Semilight" w:cs="Segoe UI Semilight"/>
                <w:sz w:val="22"/>
                <w:szCs w:val="22"/>
              </w:rPr>
              <w:t>2018-2019</w:t>
            </w:r>
          </w:p>
        </w:tc>
        <w:tc>
          <w:tcPr>
            <w:tcW w:w="623" w:type="pct"/>
          </w:tcPr>
          <w:p w14:paraId="1612B3AD" w14:textId="77777777" w:rsidR="009A216A" w:rsidRPr="002D39D0" w:rsidRDefault="009A216A" w:rsidP="0043319E">
            <w:pPr>
              <w:contextualSpacing/>
              <w:jc w:val="center"/>
              <w:rPr>
                <w:rFonts w:ascii="Segoe UI Semilight" w:hAnsi="Segoe UI Semilight" w:cs="Segoe UI Semilight"/>
                <w:sz w:val="22"/>
                <w:szCs w:val="22"/>
              </w:rPr>
            </w:pPr>
            <w:r w:rsidRPr="002D39D0">
              <w:rPr>
                <w:rFonts w:ascii="Segoe UI Semilight" w:hAnsi="Segoe UI Semilight" w:cs="Segoe UI Semilight"/>
                <w:sz w:val="22"/>
                <w:szCs w:val="22"/>
              </w:rPr>
              <w:t>26</w:t>
            </w:r>
          </w:p>
        </w:tc>
        <w:tc>
          <w:tcPr>
            <w:tcW w:w="734" w:type="pct"/>
          </w:tcPr>
          <w:p w14:paraId="6683B6C2" w14:textId="77777777" w:rsidR="009A216A" w:rsidRPr="002D39D0" w:rsidRDefault="009A216A" w:rsidP="0043319E">
            <w:pPr>
              <w:contextualSpacing/>
              <w:jc w:val="center"/>
              <w:rPr>
                <w:rFonts w:ascii="Segoe UI Semilight" w:hAnsi="Segoe UI Semilight" w:cs="Segoe UI Semilight"/>
                <w:sz w:val="22"/>
                <w:szCs w:val="22"/>
              </w:rPr>
            </w:pPr>
            <w:r w:rsidRPr="002D39D0">
              <w:rPr>
                <w:rFonts w:ascii="Segoe UI Semilight" w:hAnsi="Segoe UI Semilight" w:cs="Segoe UI Semilight"/>
                <w:sz w:val="22"/>
                <w:szCs w:val="22"/>
              </w:rPr>
              <w:t>0</w:t>
            </w:r>
          </w:p>
        </w:tc>
        <w:tc>
          <w:tcPr>
            <w:tcW w:w="572" w:type="pct"/>
          </w:tcPr>
          <w:p w14:paraId="6607122E" w14:textId="72413350" w:rsidR="009A216A" w:rsidRPr="002D39D0" w:rsidRDefault="000F7753" w:rsidP="0043319E">
            <w:pPr>
              <w:contextualSpacing/>
              <w:jc w:val="center"/>
              <w:rPr>
                <w:rFonts w:ascii="Segoe UI Semilight" w:hAnsi="Segoe UI Semilight" w:cs="Segoe UI Semilight"/>
                <w:sz w:val="22"/>
                <w:szCs w:val="22"/>
              </w:rPr>
            </w:pPr>
            <w:r w:rsidRPr="002D39D0">
              <w:rPr>
                <w:rFonts w:ascii="Segoe UI Semilight" w:hAnsi="Segoe UI Semilight" w:cs="Segoe UI Semilight"/>
                <w:sz w:val="22"/>
                <w:szCs w:val="22"/>
              </w:rPr>
              <w:t>0</w:t>
            </w:r>
          </w:p>
        </w:tc>
        <w:tc>
          <w:tcPr>
            <w:tcW w:w="823" w:type="pct"/>
          </w:tcPr>
          <w:p w14:paraId="38516985" w14:textId="77777777" w:rsidR="00B44852" w:rsidRPr="002D39D0" w:rsidRDefault="00B44852" w:rsidP="00B44852">
            <w:pPr>
              <w:contextualSpacing/>
              <w:jc w:val="center"/>
              <w:rPr>
                <w:rFonts w:ascii="Segoe UI Semilight" w:hAnsi="Segoe UI Semilight" w:cs="Segoe UI Semilight"/>
                <w:sz w:val="22"/>
                <w:szCs w:val="22"/>
              </w:rPr>
            </w:pPr>
            <w:r w:rsidRPr="002D39D0">
              <w:rPr>
                <w:rFonts w:ascii="Segoe UI Semilight" w:hAnsi="Segoe UI Semilight" w:cs="Segoe UI Semilight"/>
                <w:sz w:val="22"/>
                <w:szCs w:val="22"/>
              </w:rPr>
              <w:t>9 (à partir du 8 août 2019)</w:t>
            </w:r>
          </w:p>
          <w:p w14:paraId="2649E1FE" w14:textId="77777777" w:rsidR="00B44852" w:rsidRPr="002D39D0" w:rsidRDefault="00B44852" w:rsidP="00B44852">
            <w:pPr>
              <w:contextualSpacing/>
              <w:jc w:val="center"/>
              <w:rPr>
                <w:rFonts w:ascii="Segoe UI Semilight" w:hAnsi="Segoe UI Semilight" w:cs="Segoe UI Semilight"/>
                <w:sz w:val="22"/>
                <w:szCs w:val="22"/>
              </w:rPr>
            </w:pPr>
            <w:r w:rsidRPr="002D39D0">
              <w:rPr>
                <w:rFonts w:ascii="Segoe UI Semilight" w:hAnsi="Segoe UI Semilight" w:cs="Segoe UI Semilight"/>
                <w:sz w:val="22"/>
                <w:szCs w:val="22"/>
              </w:rPr>
              <w:t>23 (à partir de janvier 2020)</w:t>
            </w:r>
          </w:p>
          <w:p w14:paraId="7B6F9C78" w14:textId="7252052B" w:rsidR="009A216A" w:rsidRPr="002D39D0" w:rsidRDefault="009A216A" w:rsidP="0043319E">
            <w:pPr>
              <w:contextualSpacing/>
              <w:jc w:val="center"/>
              <w:rPr>
                <w:rFonts w:ascii="Segoe UI Semilight" w:hAnsi="Segoe UI Semilight" w:cs="Segoe UI Semilight"/>
                <w:sz w:val="22"/>
                <w:szCs w:val="22"/>
              </w:rPr>
            </w:pPr>
          </w:p>
        </w:tc>
        <w:tc>
          <w:tcPr>
            <w:tcW w:w="750" w:type="pct"/>
          </w:tcPr>
          <w:p w14:paraId="03D2A793" w14:textId="77777777" w:rsidR="009A216A" w:rsidRPr="002D39D0" w:rsidRDefault="009A216A" w:rsidP="0043319E">
            <w:pPr>
              <w:contextualSpacing/>
              <w:jc w:val="center"/>
              <w:rPr>
                <w:rFonts w:ascii="Segoe UI Semilight" w:hAnsi="Segoe UI Semilight" w:cs="Segoe UI Semilight"/>
                <w:sz w:val="22"/>
                <w:szCs w:val="22"/>
              </w:rPr>
            </w:pPr>
            <w:r w:rsidRPr="002D39D0">
              <w:rPr>
                <w:rFonts w:ascii="Segoe UI Semilight" w:hAnsi="Segoe UI Semilight" w:cs="Segoe UI Semilight"/>
                <w:sz w:val="22"/>
                <w:szCs w:val="22"/>
              </w:rPr>
              <w:t>0</w:t>
            </w:r>
          </w:p>
        </w:tc>
        <w:tc>
          <w:tcPr>
            <w:tcW w:w="785" w:type="pct"/>
          </w:tcPr>
          <w:p w14:paraId="43736F2B" w14:textId="77777777" w:rsidR="009A216A" w:rsidRPr="002D39D0" w:rsidRDefault="009A216A" w:rsidP="0043319E">
            <w:pPr>
              <w:contextualSpacing/>
              <w:jc w:val="center"/>
              <w:rPr>
                <w:rFonts w:ascii="Segoe UI Semilight" w:hAnsi="Segoe UI Semilight" w:cs="Segoe UI Semilight"/>
                <w:sz w:val="22"/>
                <w:szCs w:val="22"/>
              </w:rPr>
            </w:pPr>
            <w:r w:rsidRPr="002D39D0">
              <w:rPr>
                <w:rFonts w:ascii="Segoe UI Semilight" w:hAnsi="Segoe UI Semilight" w:cs="Segoe UI Semilight"/>
                <w:sz w:val="22"/>
                <w:szCs w:val="22"/>
              </w:rPr>
              <w:t>0</w:t>
            </w:r>
          </w:p>
        </w:tc>
      </w:tr>
      <w:tr w:rsidR="00333BC5" w:rsidRPr="002D39D0" w14:paraId="460461A4" w14:textId="77777777" w:rsidTr="004721CE">
        <w:trPr>
          <w:cantSplit/>
          <w:tblHeader/>
          <w:jc w:val="center"/>
        </w:trPr>
        <w:tc>
          <w:tcPr>
            <w:tcW w:w="712" w:type="pct"/>
          </w:tcPr>
          <w:p w14:paraId="4FA0F1FA" w14:textId="6B0E8DCE" w:rsidR="009A216A" w:rsidRPr="002D39D0" w:rsidRDefault="00AA7791" w:rsidP="0043319E">
            <w:pPr>
              <w:contextualSpacing/>
              <w:rPr>
                <w:rFonts w:ascii="Segoe UI Semilight" w:hAnsi="Segoe UI Semilight" w:cs="Segoe UI Semilight"/>
                <w:sz w:val="22"/>
                <w:szCs w:val="22"/>
              </w:rPr>
            </w:pPr>
            <w:r w:rsidRPr="002D39D0">
              <w:rPr>
                <w:rFonts w:ascii="Segoe UI Semilight" w:hAnsi="Segoe UI Semilight" w:cs="Segoe UI Semilight"/>
                <w:sz w:val="22"/>
                <w:szCs w:val="22"/>
              </w:rPr>
              <w:t xml:space="preserve">Janvier </w:t>
            </w:r>
            <w:r w:rsidR="009A216A" w:rsidRPr="002D39D0">
              <w:rPr>
                <w:rFonts w:ascii="Segoe UI Semilight" w:hAnsi="Segoe UI Semilight" w:cs="Segoe UI Semilight"/>
                <w:sz w:val="22"/>
                <w:szCs w:val="22"/>
              </w:rPr>
              <w:t>2019 à aujourd’hui</w:t>
            </w:r>
          </w:p>
        </w:tc>
        <w:tc>
          <w:tcPr>
            <w:tcW w:w="623" w:type="pct"/>
          </w:tcPr>
          <w:p w14:paraId="6C6FDA23" w14:textId="11F02E25" w:rsidR="009A216A" w:rsidRPr="002D39D0" w:rsidRDefault="000F7753" w:rsidP="00B44852">
            <w:pPr>
              <w:contextualSpacing/>
              <w:jc w:val="center"/>
              <w:rPr>
                <w:rFonts w:ascii="Segoe UI Semilight" w:hAnsi="Segoe UI Semilight" w:cs="Segoe UI Semilight"/>
                <w:sz w:val="22"/>
                <w:szCs w:val="22"/>
              </w:rPr>
            </w:pPr>
            <w:r w:rsidRPr="002D39D0">
              <w:rPr>
                <w:rFonts w:ascii="Segoe UI Semilight" w:hAnsi="Segoe UI Semilight" w:cs="Segoe UI Semilight"/>
                <w:sz w:val="22"/>
                <w:szCs w:val="22"/>
              </w:rPr>
              <w:t>0</w:t>
            </w:r>
          </w:p>
        </w:tc>
        <w:tc>
          <w:tcPr>
            <w:tcW w:w="734" w:type="pct"/>
          </w:tcPr>
          <w:p w14:paraId="1A105426" w14:textId="77777777" w:rsidR="009A216A" w:rsidRPr="002D39D0" w:rsidRDefault="009A216A" w:rsidP="0043319E">
            <w:pPr>
              <w:contextualSpacing/>
              <w:jc w:val="center"/>
              <w:rPr>
                <w:rFonts w:ascii="Segoe UI Semilight" w:hAnsi="Segoe UI Semilight" w:cs="Segoe UI Semilight"/>
                <w:sz w:val="22"/>
                <w:szCs w:val="22"/>
              </w:rPr>
            </w:pPr>
            <w:r w:rsidRPr="002D39D0">
              <w:rPr>
                <w:rFonts w:ascii="Segoe UI Semilight" w:hAnsi="Segoe UI Semilight" w:cs="Segoe UI Semilight"/>
                <w:sz w:val="22"/>
                <w:szCs w:val="22"/>
              </w:rPr>
              <w:t>1 (la référence a été effectuée en 2018)</w:t>
            </w:r>
          </w:p>
        </w:tc>
        <w:tc>
          <w:tcPr>
            <w:tcW w:w="572" w:type="pct"/>
          </w:tcPr>
          <w:p w14:paraId="7F78EAC7" w14:textId="4626F345" w:rsidR="009A216A" w:rsidRPr="002D39D0" w:rsidRDefault="000F7753" w:rsidP="0043319E">
            <w:pPr>
              <w:contextualSpacing/>
              <w:jc w:val="center"/>
              <w:rPr>
                <w:rFonts w:ascii="Segoe UI Semilight" w:hAnsi="Segoe UI Semilight" w:cs="Segoe UI Semilight"/>
                <w:sz w:val="22"/>
                <w:szCs w:val="22"/>
              </w:rPr>
            </w:pPr>
            <w:r w:rsidRPr="002D39D0">
              <w:rPr>
                <w:rFonts w:ascii="Segoe UI Semilight" w:hAnsi="Segoe UI Semilight" w:cs="Segoe UI Semilight"/>
                <w:sz w:val="22"/>
                <w:szCs w:val="22"/>
              </w:rPr>
              <w:t>0</w:t>
            </w:r>
          </w:p>
        </w:tc>
        <w:tc>
          <w:tcPr>
            <w:tcW w:w="823" w:type="pct"/>
          </w:tcPr>
          <w:p w14:paraId="5CD3BE3D" w14:textId="5F4F6FE3" w:rsidR="009A216A" w:rsidRPr="002D39D0" w:rsidRDefault="000F7753" w:rsidP="0043319E">
            <w:pPr>
              <w:contextualSpacing/>
              <w:jc w:val="center"/>
              <w:rPr>
                <w:rFonts w:ascii="Segoe UI Semilight" w:hAnsi="Segoe UI Semilight" w:cs="Segoe UI Semilight"/>
                <w:sz w:val="22"/>
                <w:szCs w:val="22"/>
              </w:rPr>
            </w:pPr>
            <w:r w:rsidRPr="002D39D0">
              <w:rPr>
                <w:rFonts w:ascii="Segoe UI Semilight" w:hAnsi="Segoe UI Semilight" w:cs="Segoe UI Semilight"/>
                <w:sz w:val="22"/>
                <w:szCs w:val="22"/>
              </w:rPr>
              <w:t>0</w:t>
            </w:r>
          </w:p>
        </w:tc>
        <w:tc>
          <w:tcPr>
            <w:tcW w:w="750" w:type="pct"/>
          </w:tcPr>
          <w:p w14:paraId="4236245E" w14:textId="77777777" w:rsidR="009A216A" w:rsidRPr="002D39D0" w:rsidRDefault="009A216A" w:rsidP="0043319E">
            <w:pPr>
              <w:contextualSpacing/>
              <w:jc w:val="center"/>
              <w:rPr>
                <w:rFonts w:ascii="Segoe UI Semilight" w:hAnsi="Segoe UI Semilight" w:cs="Segoe UI Semilight"/>
                <w:sz w:val="22"/>
                <w:szCs w:val="22"/>
              </w:rPr>
            </w:pPr>
            <w:r w:rsidRPr="002D39D0">
              <w:rPr>
                <w:rFonts w:ascii="Segoe UI Semilight" w:hAnsi="Segoe UI Semilight" w:cs="Segoe UI Semilight"/>
                <w:sz w:val="22"/>
                <w:szCs w:val="22"/>
              </w:rPr>
              <w:t>0</w:t>
            </w:r>
          </w:p>
        </w:tc>
        <w:tc>
          <w:tcPr>
            <w:tcW w:w="785" w:type="pct"/>
          </w:tcPr>
          <w:p w14:paraId="321E0DCE" w14:textId="77777777" w:rsidR="009A216A" w:rsidRPr="002D39D0" w:rsidRDefault="009A216A" w:rsidP="0043319E">
            <w:pPr>
              <w:contextualSpacing/>
              <w:jc w:val="center"/>
              <w:rPr>
                <w:rFonts w:ascii="Segoe UI Semilight" w:hAnsi="Segoe UI Semilight" w:cs="Segoe UI Semilight"/>
                <w:sz w:val="22"/>
                <w:szCs w:val="22"/>
              </w:rPr>
            </w:pPr>
            <w:r w:rsidRPr="002D39D0">
              <w:rPr>
                <w:rFonts w:ascii="Segoe UI Semilight" w:hAnsi="Segoe UI Semilight" w:cs="Segoe UI Semilight"/>
                <w:sz w:val="22"/>
                <w:szCs w:val="22"/>
              </w:rPr>
              <w:t>7</w:t>
            </w:r>
          </w:p>
        </w:tc>
      </w:tr>
    </w:tbl>
    <w:p w14:paraId="419E36B1" w14:textId="25DE3973" w:rsidR="00C42F1B" w:rsidRPr="007C1E3E" w:rsidRDefault="00C42F1B" w:rsidP="004A588A">
      <w:pPr>
        <w:pStyle w:val="Caption"/>
        <w:keepNext/>
        <w:spacing w:after="240"/>
        <w:rPr>
          <w:rFonts w:asciiTheme="minorHAnsi" w:hAnsiTheme="minorHAnsi" w:cstheme="minorHAnsi"/>
        </w:rPr>
      </w:pPr>
      <w:r w:rsidRPr="007C1E3E">
        <w:rPr>
          <w:rFonts w:asciiTheme="minorHAnsi" w:hAnsiTheme="minorHAnsi" w:cstheme="minorHAnsi"/>
          <w:i w:val="0"/>
          <w:color w:val="auto"/>
        </w:rPr>
        <w:t xml:space="preserve">Table </w:t>
      </w:r>
      <w:r w:rsidRPr="007C1E3E">
        <w:rPr>
          <w:rFonts w:asciiTheme="minorHAnsi" w:hAnsiTheme="minorHAnsi" w:cstheme="minorHAnsi"/>
          <w:i w:val="0"/>
          <w:color w:val="auto"/>
        </w:rPr>
        <w:fldChar w:fldCharType="begin"/>
      </w:r>
      <w:r w:rsidRPr="007C1E3E">
        <w:rPr>
          <w:rFonts w:asciiTheme="minorHAnsi" w:hAnsiTheme="minorHAnsi" w:cstheme="minorHAnsi"/>
          <w:i w:val="0"/>
          <w:color w:val="auto"/>
        </w:rPr>
        <w:instrText xml:space="preserve"> SEQ Table \* ARABIC </w:instrText>
      </w:r>
      <w:r w:rsidRPr="007C1E3E">
        <w:rPr>
          <w:rFonts w:asciiTheme="minorHAnsi" w:hAnsiTheme="minorHAnsi" w:cstheme="minorHAnsi"/>
          <w:i w:val="0"/>
          <w:color w:val="auto"/>
        </w:rPr>
        <w:fldChar w:fldCharType="separate"/>
      </w:r>
      <w:r w:rsidRPr="007C1E3E">
        <w:rPr>
          <w:rFonts w:asciiTheme="minorHAnsi" w:hAnsiTheme="minorHAnsi" w:cstheme="minorHAnsi"/>
          <w:i w:val="0"/>
          <w:noProof/>
          <w:color w:val="auto"/>
        </w:rPr>
        <w:t>2</w:t>
      </w:r>
      <w:r w:rsidRPr="007C1E3E">
        <w:rPr>
          <w:rFonts w:asciiTheme="minorHAnsi" w:hAnsiTheme="minorHAnsi" w:cstheme="minorHAnsi"/>
          <w:i w:val="0"/>
          <w:color w:val="auto"/>
        </w:rPr>
        <w:fldChar w:fldCharType="end"/>
      </w:r>
      <w:r w:rsidRPr="007C1E3E">
        <w:rPr>
          <w:rFonts w:asciiTheme="minorHAnsi" w:hAnsiTheme="minorHAnsi" w:cstheme="minorHAnsi"/>
          <w:i w:val="0"/>
          <w:color w:val="auto"/>
        </w:rPr>
        <w:t xml:space="preserve"> - Recrutement de leaders en politiques</w:t>
      </w:r>
    </w:p>
    <w:tbl>
      <w:tblPr>
        <w:tblStyle w:val="TableGrid"/>
        <w:tblW w:w="5000" w:type="pct"/>
        <w:jc w:val="center"/>
        <w:tblLook w:val="04A0" w:firstRow="1" w:lastRow="0" w:firstColumn="1" w:lastColumn="0" w:noHBand="0" w:noVBand="1"/>
        <w:tblDescription w:val="Recrutement de leaders en politiques de 2017 à aujourd'hui"/>
      </w:tblPr>
      <w:tblGrid>
        <w:gridCol w:w="1555"/>
        <w:gridCol w:w="1476"/>
        <w:gridCol w:w="1684"/>
        <w:gridCol w:w="1697"/>
        <w:gridCol w:w="1615"/>
        <w:gridCol w:w="1595"/>
      </w:tblGrid>
      <w:tr w:rsidR="001605A5" w:rsidRPr="004721CE" w14:paraId="0286CE77" w14:textId="77777777" w:rsidTr="007C1E3E">
        <w:trPr>
          <w:cantSplit/>
          <w:tblHeader/>
          <w:jc w:val="center"/>
        </w:trPr>
        <w:tc>
          <w:tcPr>
            <w:tcW w:w="808" w:type="pct"/>
          </w:tcPr>
          <w:p w14:paraId="1E0E5030" w14:textId="77777777" w:rsidR="006974BF" w:rsidRPr="00333BC5" w:rsidRDefault="006974BF" w:rsidP="007C1E3E">
            <w:pPr>
              <w:pStyle w:val="TableTitle"/>
              <w:rPr>
                <w:rFonts w:cs="Segoe UI Semibold"/>
              </w:rPr>
            </w:pPr>
            <w:r w:rsidRPr="00333BC5">
              <w:rPr>
                <w:rFonts w:cs="Segoe UI Semibold"/>
                <w:b w:val="0"/>
              </w:rPr>
              <w:t>Année</w:t>
            </w:r>
          </w:p>
        </w:tc>
        <w:tc>
          <w:tcPr>
            <w:tcW w:w="767" w:type="pct"/>
          </w:tcPr>
          <w:p w14:paraId="26271117" w14:textId="77777777" w:rsidR="006974BF" w:rsidRPr="00333BC5" w:rsidRDefault="006974BF" w:rsidP="007C1E3E">
            <w:pPr>
              <w:pStyle w:val="TableTitle"/>
              <w:rPr>
                <w:rFonts w:cs="Segoe UI Semibold"/>
              </w:rPr>
            </w:pPr>
            <w:r w:rsidRPr="00333BC5">
              <w:rPr>
                <w:rFonts w:cs="Segoe UI Semibold"/>
                <w:b w:val="0"/>
              </w:rPr>
              <w:t>Nombre de candidats qualifiés</w:t>
            </w:r>
          </w:p>
        </w:tc>
        <w:tc>
          <w:tcPr>
            <w:tcW w:w="875" w:type="pct"/>
          </w:tcPr>
          <w:p w14:paraId="43C7560E" w14:textId="77777777" w:rsidR="006974BF" w:rsidRPr="00333BC5" w:rsidRDefault="006974BF" w:rsidP="007C1E3E">
            <w:pPr>
              <w:pStyle w:val="TableTitle"/>
              <w:rPr>
                <w:rFonts w:cs="Segoe UI Semibold"/>
              </w:rPr>
            </w:pPr>
            <w:r w:rsidRPr="00333BC5">
              <w:rPr>
                <w:rFonts w:cs="Segoe UI Semibold"/>
                <w:b w:val="0"/>
              </w:rPr>
              <w:t>Embauchés à partir du bassin</w:t>
            </w:r>
          </w:p>
        </w:tc>
        <w:tc>
          <w:tcPr>
            <w:tcW w:w="882" w:type="pct"/>
          </w:tcPr>
          <w:p w14:paraId="513D217D" w14:textId="77777777" w:rsidR="006974BF" w:rsidRPr="00333BC5" w:rsidRDefault="006974BF" w:rsidP="007C1E3E">
            <w:pPr>
              <w:pStyle w:val="TableTitle"/>
              <w:rPr>
                <w:rFonts w:cs="Segoe UI Semibold"/>
              </w:rPr>
            </w:pPr>
            <w:r w:rsidRPr="00333BC5">
              <w:rPr>
                <w:rFonts w:cs="Segoe UI Semibold"/>
                <w:b w:val="0"/>
              </w:rPr>
              <w:t xml:space="preserve">Candidats disponibles </w:t>
            </w:r>
          </w:p>
        </w:tc>
        <w:tc>
          <w:tcPr>
            <w:tcW w:w="839" w:type="pct"/>
          </w:tcPr>
          <w:p w14:paraId="313AA069" w14:textId="77777777" w:rsidR="006974BF" w:rsidRPr="00517044" w:rsidRDefault="006974BF" w:rsidP="007C1E3E">
            <w:pPr>
              <w:pStyle w:val="TableTitle"/>
              <w:rPr>
                <w:rFonts w:cs="Segoe UI Semibold"/>
              </w:rPr>
            </w:pPr>
            <w:r w:rsidRPr="00110CE3">
              <w:rPr>
                <w:rFonts w:cs="Segoe UI Semibold"/>
                <w:b w:val="0"/>
              </w:rPr>
              <w:t>Candidats non disponibles</w:t>
            </w:r>
          </w:p>
        </w:tc>
        <w:tc>
          <w:tcPr>
            <w:tcW w:w="829" w:type="pct"/>
          </w:tcPr>
          <w:p w14:paraId="3128BA7B" w14:textId="77777777" w:rsidR="006974BF" w:rsidRPr="004721CE" w:rsidRDefault="006974BF" w:rsidP="007C1E3E">
            <w:pPr>
              <w:pStyle w:val="TableTitle"/>
              <w:rPr>
                <w:rFonts w:cs="Segoe UI Semibold"/>
              </w:rPr>
            </w:pPr>
            <w:r w:rsidRPr="00517044">
              <w:rPr>
                <w:rFonts w:cs="Segoe UI Semibold"/>
                <w:b w:val="0"/>
              </w:rPr>
              <w:t>Références</w:t>
            </w:r>
          </w:p>
        </w:tc>
      </w:tr>
      <w:tr w:rsidR="001605A5" w:rsidRPr="002D39D0" w14:paraId="5D3ACACA" w14:textId="77777777" w:rsidTr="007C1E3E">
        <w:trPr>
          <w:cantSplit/>
          <w:tblHeader/>
          <w:jc w:val="center"/>
        </w:trPr>
        <w:tc>
          <w:tcPr>
            <w:tcW w:w="808" w:type="pct"/>
          </w:tcPr>
          <w:p w14:paraId="08AB4D2D" w14:textId="77777777" w:rsidR="006974BF" w:rsidRPr="002D39D0" w:rsidRDefault="006974BF" w:rsidP="0043319E">
            <w:pPr>
              <w:rPr>
                <w:rFonts w:ascii="Segoe UI Semilight" w:hAnsi="Segoe UI Semilight" w:cs="Segoe UI Semilight"/>
                <w:sz w:val="22"/>
                <w:szCs w:val="22"/>
              </w:rPr>
            </w:pPr>
            <w:r w:rsidRPr="002D39D0">
              <w:rPr>
                <w:rFonts w:ascii="Segoe UI Semilight" w:hAnsi="Segoe UI Semilight" w:cs="Segoe UI Semilight"/>
                <w:sz w:val="22"/>
                <w:szCs w:val="22"/>
              </w:rPr>
              <w:t>2017-2018</w:t>
            </w:r>
          </w:p>
        </w:tc>
        <w:tc>
          <w:tcPr>
            <w:tcW w:w="767" w:type="pct"/>
          </w:tcPr>
          <w:p w14:paraId="2EBC75B1" w14:textId="77777777" w:rsidR="006974BF" w:rsidRPr="002D39D0" w:rsidRDefault="006974BF" w:rsidP="0043319E">
            <w:pPr>
              <w:jc w:val="center"/>
              <w:rPr>
                <w:rFonts w:ascii="Segoe UI Semilight" w:hAnsi="Segoe UI Semilight" w:cs="Segoe UI Semilight"/>
                <w:sz w:val="22"/>
                <w:szCs w:val="22"/>
              </w:rPr>
            </w:pPr>
            <w:r w:rsidRPr="007C1E3E">
              <w:rPr>
                <w:rFonts w:ascii="Segoe UI Semilight" w:hAnsi="Segoe UI Semilight" w:cs="Segoe UI Semilight"/>
                <w:sz w:val="22"/>
                <w:szCs w:val="22"/>
              </w:rPr>
              <w:t>27</w:t>
            </w:r>
          </w:p>
        </w:tc>
        <w:tc>
          <w:tcPr>
            <w:tcW w:w="875" w:type="pct"/>
          </w:tcPr>
          <w:p w14:paraId="0EFBD692" w14:textId="77777777" w:rsidR="006974BF" w:rsidRPr="002D39D0" w:rsidRDefault="006974BF" w:rsidP="0043319E">
            <w:pPr>
              <w:jc w:val="center"/>
              <w:rPr>
                <w:rFonts w:ascii="Segoe UI Semilight" w:hAnsi="Segoe UI Semilight" w:cs="Segoe UI Semilight"/>
                <w:sz w:val="22"/>
                <w:szCs w:val="22"/>
              </w:rPr>
            </w:pPr>
            <w:r w:rsidRPr="007C1E3E">
              <w:rPr>
                <w:rFonts w:ascii="Segoe UI Semilight" w:hAnsi="Segoe UI Semilight" w:cs="Segoe UI Semilight"/>
                <w:sz w:val="22"/>
                <w:szCs w:val="22"/>
              </w:rPr>
              <w:t>8</w:t>
            </w:r>
          </w:p>
        </w:tc>
        <w:tc>
          <w:tcPr>
            <w:tcW w:w="882" w:type="pct"/>
          </w:tcPr>
          <w:p w14:paraId="6E634A02" w14:textId="4E1894F4" w:rsidR="006974BF" w:rsidRPr="002D39D0" w:rsidRDefault="006974BF" w:rsidP="0043319E">
            <w:pPr>
              <w:jc w:val="center"/>
              <w:rPr>
                <w:rFonts w:ascii="Segoe UI Semilight" w:hAnsi="Segoe UI Semilight" w:cs="Segoe UI Semilight"/>
                <w:sz w:val="22"/>
                <w:szCs w:val="22"/>
              </w:rPr>
            </w:pPr>
            <w:r w:rsidRPr="007C1E3E">
              <w:rPr>
                <w:rFonts w:ascii="Segoe UI Semilight" w:hAnsi="Segoe UI Semilight" w:cs="Segoe UI Semilight"/>
                <w:sz w:val="22"/>
                <w:szCs w:val="22"/>
              </w:rPr>
              <w:t>12</w:t>
            </w:r>
            <w:r w:rsidRPr="002D39D0">
              <w:rPr>
                <w:rFonts w:ascii="Segoe UI Semilight" w:hAnsi="Segoe UI Semilight" w:cs="Segoe UI Semilight"/>
                <w:sz w:val="22"/>
                <w:szCs w:val="22"/>
              </w:rPr>
              <w:t xml:space="preserve"> (dans les 6 prochains mois)</w:t>
            </w:r>
          </w:p>
          <w:p w14:paraId="721B224D" w14:textId="77777777" w:rsidR="006974BF" w:rsidRPr="002D39D0" w:rsidRDefault="006974BF" w:rsidP="0043319E">
            <w:pPr>
              <w:jc w:val="center"/>
              <w:rPr>
                <w:rFonts w:ascii="Segoe UI Semilight" w:hAnsi="Segoe UI Semilight" w:cs="Segoe UI Semilight"/>
                <w:sz w:val="22"/>
                <w:szCs w:val="22"/>
              </w:rPr>
            </w:pPr>
            <w:r w:rsidRPr="002D39D0">
              <w:rPr>
                <w:rFonts w:ascii="Segoe UI Semilight" w:hAnsi="Segoe UI Semilight" w:cs="Segoe UI Semilight"/>
                <w:sz w:val="22"/>
                <w:szCs w:val="22"/>
              </w:rPr>
              <w:t xml:space="preserve">4 (plus tard en 2020) </w:t>
            </w:r>
            <w:r w:rsidRPr="007C1E3E">
              <w:rPr>
                <w:rFonts w:ascii="Segoe UI Semilight" w:hAnsi="Segoe UI Semilight" w:cs="Segoe UI Semilight"/>
                <w:sz w:val="22"/>
                <w:szCs w:val="22"/>
              </w:rPr>
              <w:t>*</w:t>
            </w:r>
          </w:p>
        </w:tc>
        <w:tc>
          <w:tcPr>
            <w:tcW w:w="839" w:type="pct"/>
          </w:tcPr>
          <w:p w14:paraId="15FFD80A" w14:textId="77777777" w:rsidR="006974BF" w:rsidRPr="002D39D0" w:rsidRDefault="006974BF" w:rsidP="0043319E">
            <w:pPr>
              <w:tabs>
                <w:tab w:val="left" w:pos="4395"/>
              </w:tabs>
              <w:jc w:val="center"/>
              <w:rPr>
                <w:rFonts w:ascii="Segoe UI Semilight" w:hAnsi="Segoe UI Semilight" w:cs="Segoe UI Semilight"/>
                <w:sz w:val="22"/>
                <w:szCs w:val="22"/>
              </w:rPr>
            </w:pPr>
            <w:r w:rsidRPr="007C1E3E">
              <w:rPr>
                <w:rFonts w:ascii="Segoe UI Semilight" w:hAnsi="Segoe UI Semilight" w:cs="Segoe UI Semilight"/>
                <w:sz w:val="22"/>
                <w:szCs w:val="22"/>
              </w:rPr>
              <w:t>3</w:t>
            </w:r>
          </w:p>
        </w:tc>
        <w:tc>
          <w:tcPr>
            <w:tcW w:w="829" w:type="pct"/>
          </w:tcPr>
          <w:p w14:paraId="130FB90C" w14:textId="77777777" w:rsidR="006974BF" w:rsidRPr="002D39D0" w:rsidRDefault="006974BF" w:rsidP="0043319E">
            <w:pPr>
              <w:tabs>
                <w:tab w:val="left" w:pos="4395"/>
              </w:tabs>
              <w:ind w:left="108"/>
              <w:jc w:val="center"/>
              <w:rPr>
                <w:rFonts w:ascii="Segoe UI Semilight" w:hAnsi="Segoe UI Semilight" w:cs="Segoe UI Semilight"/>
                <w:sz w:val="22"/>
                <w:szCs w:val="22"/>
              </w:rPr>
            </w:pPr>
            <w:r w:rsidRPr="007C1E3E">
              <w:rPr>
                <w:rFonts w:ascii="Segoe UI Semilight" w:hAnsi="Segoe UI Semilight" w:cs="Segoe UI Semilight"/>
                <w:sz w:val="22"/>
                <w:szCs w:val="22"/>
              </w:rPr>
              <w:t>15</w:t>
            </w:r>
            <w:r w:rsidRPr="002D39D0">
              <w:rPr>
                <w:rFonts w:ascii="Segoe UI Semilight" w:hAnsi="Segoe UI Semilight" w:cs="Segoe UI Semilight"/>
                <w:sz w:val="22"/>
                <w:szCs w:val="22"/>
              </w:rPr>
              <w:t xml:space="preserve"> (pour </w:t>
            </w:r>
            <w:r w:rsidRPr="007C1E3E">
              <w:rPr>
                <w:rFonts w:ascii="Segoe UI Semilight" w:hAnsi="Segoe UI Semilight" w:cs="Segoe UI Semilight"/>
                <w:sz w:val="22"/>
                <w:szCs w:val="22"/>
              </w:rPr>
              <w:t>11</w:t>
            </w:r>
            <w:r w:rsidRPr="002D39D0">
              <w:rPr>
                <w:rFonts w:ascii="Segoe UI Semilight" w:hAnsi="Segoe UI Semilight" w:cs="Segoe UI Semilight"/>
                <w:sz w:val="22"/>
                <w:szCs w:val="22"/>
              </w:rPr>
              <w:t> candidats disponibles)</w:t>
            </w:r>
          </w:p>
        </w:tc>
      </w:tr>
      <w:tr w:rsidR="001605A5" w:rsidRPr="002D39D0" w14:paraId="377FF76E" w14:textId="77777777" w:rsidTr="007C1E3E">
        <w:trPr>
          <w:cantSplit/>
          <w:tblHeader/>
          <w:jc w:val="center"/>
        </w:trPr>
        <w:tc>
          <w:tcPr>
            <w:tcW w:w="808" w:type="pct"/>
          </w:tcPr>
          <w:p w14:paraId="33828186" w14:textId="77777777" w:rsidR="006974BF" w:rsidRPr="002D39D0" w:rsidRDefault="006974BF" w:rsidP="0043319E">
            <w:pPr>
              <w:rPr>
                <w:rFonts w:ascii="Segoe UI Semilight" w:hAnsi="Segoe UI Semilight" w:cs="Segoe UI Semilight"/>
                <w:sz w:val="22"/>
                <w:szCs w:val="22"/>
              </w:rPr>
            </w:pPr>
            <w:r w:rsidRPr="002D39D0">
              <w:rPr>
                <w:rFonts w:ascii="Segoe UI Semilight" w:hAnsi="Segoe UI Semilight" w:cs="Segoe UI Semilight"/>
                <w:sz w:val="22"/>
                <w:szCs w:val="22"/>
              </w:rPr>
              <w:t>2018-2019</w:t>
            </w:r>
          </w:p>
        </w:tc>
        <w:tc>
          <w:tcPr>
            <w:tcW w:w="767" w:type="pct"/>
          </w:tcPr>
          <w:p w14:paraId="30AFB8DD" w14:textId="77777777" w:rsidR="006974BF" w:rsidRPr="002D39D0" w:rsidRDefault="006974BF" w:rsidP="0043319E">
            <w:pPr>
              <w:jc w:val="center"/>
              <w:rPr>
                <w:rFonts w:ascii="Segoe UI Semilight" w:hAnsi="Segoe UI Semilight" w:cs="Segoe UI Semilight"/>
                <w:sz w:val="22"/>
                <w:szCs w:val="22"/>
              </w:rPr>
            </w:pPr>
            <w:r w:rsidRPr="007C1E3E">
              <w:rPr>
                <w:rFonts w:ascii="Segoe UI Semilight" w:hAnsi="Segoe UI Semilight" w:cs="Segoe UI Semilight"/>
                <w:sz w:val="22"/>
                <w:szCs w:val="22"/>
              </w:rPr>
              <w:t>37</w:t>
            </w:r>
          </w:p>
        </w:tc>
        <w:tc>
          <w:tcPr>
            <w:tcW w:w="875" w:type="pct"/>
          </w:tcPr>
          <w:p w14:paraId="6053BF30" w14:textId="77777777" w:rsidR="006974BF" w:rsidRPr="002D39D0" w:rsidRDefault="006974BF" w:rsidP="0043319E">
            <w:pPr>
              <w:jc w:val="center"/>
              <w:rPr>
                <w:rFonts w:ascii="Segoe UI Semilight" w:hAnsi="Segoe UI Semilight" w:cs="Segoe UI Semilight"/>
                <w:sz w:val="22"/>
                <w:szCs w:val="22"/>
              </w:rPr>
            </w:pPr>
            <w:r w:rsidRPr="002D39D0">
              <w:rPr>
                <w:rFonts w:ascii="Segoe UI Semilight" w:hAnsi="Segoe UI Semilight" w:cs="Segoe UI Semilight"/>
                <w:sz w:val="22"/>
                <w:szCs w:val="22"/>
              </w:rPr>
              <w:t>0</w:t>
            </w:r>
          </w:p>
        </w:tc>
        <w:tc>
          <w:tcPr>
            <w:tcW w:w="882" w:type="pct"/>
          </w:tcPr>
          <w:p w14:paraId="07DA8A87" w14:textId="3FF3B4D1" w:rsidR="006974BF" w:rsidRPr="002D39D0" w:rsidRDefault="000F7753" w:rsidP="0043319E">
            <w:pPr>
              <w:jc w:val="center"/>
              <w:rPr>
                <w:rFonts w:ascii="Segoe UI Semilight" w:hAnsi="Segoe UI Semilight" w:cs="Segoe UI Semilight"/>
                <w:sz w:val="22"/>
                <w:szCs w:val="22"/>
              </w:rPr>
            </w:pPr>
            <w:r w:rsidRPr="002D39D0">
              <w:rPr>
                <w:rFonts w:ascii="Segoe UI Semilight" w:hAnsi="Segoe UI Semilight" w:cs="Segoe UI Semilight"/>
                <w:sz w:val="22"/>
                <w:szCs w:val="22"/>
              </w:rPr>
              <w:t>0</w:t>
            </w:r>
          </w:p>
        </w:tc>
        <w:tc>
          <w:tcPr>
            <w:tcW w:w="839" w:type="pct"/>
          </w:tcPr>
          <w:p w14:paraId="66011AB5" w14:textId="77777777" w:rsidR="006974BF" w:rsidRPr="002D39D0" w:rsidRDefault="006974BF" w:rsidP="0043319E">
            <w:pPr>
              <w:jc w:val="center"/>
              <w:rPr>
                <w:rFonts w:ascii="Segoe UI Semilight" w:hAnsi="Segoe UI Semilight" w:cs="Segoe UI Semilight"/>
                <w:sz w:val="22"/>
                <w:szCs w:val="22"/>
              </w:rPr>
            </w:pPr>
            <w:r w:rsidRPr="002D39D0">
              <w:rPr>
                <w:rFonts w:ascii="Segoe UI Semilight" w:hAnsi="Segoe UI Semilight" w:cs="Segoe UI Semilight"/>
                <w:sz w:val="22"/>
                <w:szCs w:val="22"/>
              </w:rPr>
              <w:t>0</w:t>
            </w:r>
          </w:p>
        </w:tc>
        <w:tc>
          <w:tcPr>
            <w:tcW w:w="829" w:type="pct"/>
          </w:tcPr>
          <w:p w14:paraId="536A7E66" w14:textId="77777777" w:rsidR="006974BF" w:rsidRPr="002D39D0" w:rsidRDefault="006974BF" w:rsidP="0043319E">
            <w:pPr>
              <w:jc w:val="center"/>
              <w:rPr>
                <w:rFonts w:ascii="Segoe UI Semilight" w:hAnsi="Segoe UI Semilight" w:cs="Segoe UI Semilight"/>
                <w:sz w:val="22"/>
                <w:szCs w:val="22"/>
              </w:rPr>
            </w:pPr>
            <w:r w:rsidRPr="002D39D0">
              <w:rPr>
                <w:rFonts w:ascii="Segoe UI Semilight" w:hAnsi="Segoe UI Semilight" w:cs="Segoe UI Semilight"/>
                <w:sz w:val="22"/>
                <w:szCs w:val="22"/>
              </w:rPr>
              <w:t>0</w:t>
            </w:r>
          </w:p>
        </w:tc>
      </w:tr>
      <w:tr w:rsidR="001605A5" w:rsidRPr="002D39D0" w14:paraId="61ADFE59" w14:textId="77777777" w:rsidTr="007C1E3E">
        <w:trPr>
          <w:cantSplit/>
          <w:tblHeader/>
          <w:jc w:val="center"/>
        </w:trPr>
        <w:tc>
          <w:tcPr>
            <w:tcW w:w="808" w:type="pct"/>
          </w:tcPr>
          <w:p w14:paraId="434411C6" w14:textId="6A8DAC48" w:rsidR="006974BF" w:rsidRPr="002D39D0" w:rsidRDefault="000F7753" w:rsidP="0043319E">
            <w:pPr>
              <w:rPr>
                <w:rFonts w:ascii="Segoe UI Semilight" w:hAnsi="Segoe UI Semilight" w:cs="Segoe UI Semilight"/>
                <w:sz w:val="22"/>
                <w:szCs w:val="22"/>
              </w:rPr>
            </w:pPr>
            <w:r w:rsidRPr="002D39D0">
              <w:rPr>
                <w:rFonts w:ascii="Segoe UI Semilight" w:hAnsi="Segoe UI Semilight" w:cs="Segoe UI Semilight"/>
                <w:sz w:val="22"/>
                <w:szCs w:val="22"/>
              </w:rPr>
              <w:t xml:space="preserve">Janvier </w:t>
            </w:r>
            <w:r w:rsidR="006974BF" w:rsidRPr="002D39D0">
              <w:rPr>
                <w:rFonts w:ascii="Segoe UI Semilight" w:hAnsi="Segoe UI Semilight" w:cs="Segoe UI Semilight"/>
                <w:sz w:val="22"/>
                <w:szCs w:val="22"/>
              </w:rPr>
              <w:t>2019 à aujourd’hui</w:t>
            </w:r>
          </w:p>
        </w:tc>
        <w:tc>
          <w:tcPr>
            <w:tcW w:w="767" w:type="pct"/>
          </w:tcPr>
          <w:p w14:paraId="256AB877" w14:textId="7D3F5BD8" w:rsidR="006974BF" w:rsidRPr="002D39D0" w:rsidRDefault="000F7753" w:rsidP="0043319E">
            <w:pPr>
              <w:jc w:val="center"/>
              <w:rPr>
                <w:rFonts w:ascii="Segoe UI Semilight" w:hAnsi="Segoe UI Semilight" w:cs="Segoe UI Semilight"/>
                <w:sz w:val="22"/>
                <w:szCs w:val="22"/>
              </w:rPr>
            </w:pPr>
            <w:r w:rsidRPr="002D39D0">
              <w:rPr>
                <w:rFonts w:ascii="Segoe UI Semilight" w:hAnsi="Segoe UI Semilight" w:cs="Segoe UI Semilight"/>
                <w:sz w:val="22"/>
                <w:szCs w:val="22"/>
              </w:rPr>
              <w:t>0</w:t>
            </w:r>
          </w:p>
        </w:tc>
        <w:tc>
          <w:tcPr>
            <w:tcW w:w="875" w:type="pct"/>
          </w:tcPr>
          <w:p w14:paraId="0A33776A" w14:textId="77777777" w:rsidR="006974BF" w:rsidRPr="002D39D0" w:rsidRDefault="006974BF" w:rsidP="0043319E">
            <w:pPr>
              <w:jc w:val="center"/>
              <w:rPr>
                <w:rFonts w:ascii="Segoe UI Semilight" w:hAnsi="Segoe UI Semilight" w:cs="Segoe UI Semilight"/>
                <w:sz w:val="22"/>
                <w:szCs w:val="22"/>
              </w:rPr>
            </w:pPr>
            <w:r w:rsidRPr="007C1E3E">
              <w:rPr>
                <w:rFonts w:ascii="Segoe UI Semilight" w:hAnsi="Segoe UI Semilight" w:cs="Segoe UI Semilight"/>
                <w:sz w:val="22"/>
                <w:szCs w:val="22"/>
              </w:rPr>
              <w:t>0</w:t>
            </w:r>
          </w:p>
        </w:tc>
        <w:tc>
          <w:tcPr>
            <w:tcW w:w="882" w:type="pct"/>
          </w:tcPr>
          <w:p w14:paraId="7378CA3D" w14:textId="320CD24A" w:rsidR="006974BF" w:rsidRPr="002D39D0" w:rsidRDefault="00B44852" w:rsidP="0043319E">
            <w:pPr>
              <w:jc w:val="center"/>
              <w:rPr>
                <w:rFonts w:ascii="Segoe UI Semilight" w:hAnsi="Segoe UI Semilight" w:cs="Segoe UI Semilight"/>
                <w:sz w:val="22"/>
                <w:szCs w:val="22"/>
              </w:rPr>
            </w:pPr>
            <w:r w:rsidRPr="002D39D0">
              <w:rPr>
                <w:rFonts w:ascii="Segoe UI Semilight" w:hAnsi="Segoe UI Semilight" w:cs="Segoe UI Semilight"/>
                <w:sz w:val="22"/>
                <w:szCs w:val="22"/>
              </w:rPr>
              <w:t>-</w:t>
            </w:r>
          </w:p>
        </w:tc>
        <w:tc>
          <w:tcPr>
            <w:tcW w:w="839" w:type="pct"/>
          </w:tcPr>
          <w:p w14:paraId="7BF370DB" w14:textId="77777777" w:rsidR="006974BF" w:rsidRPr="002D39D0" w:rsidRDefault="006974BF" w:rsidP="0043319E">
            <w:pPr>
              <w:jc w:val="center"/>
              <w:rPr>
                <w:rFonts w:ascii="Segoe UI Semilight" w:hAnsi="Segoe UI Semilight" w:cs="Segoe UI Semilight"/>
                <w:sz w:val="22"/>
                <w:szCs w:val="22"/>
              </w:rPr>
            </w:pPr>
            <w:r w:rsidRPr="002D39D0">
              <w:rPr>
                <w:rFonts w:ascii="Segoe UI Semilight" w:hAnsi="Segoe UI Semilight" w:cs="Segoe UI Semilight"/>
                <w:sz w:val="22"/>
                <w:szCs w:val="22"/>
              </w:rPr>
              <w:t>0</w:t>
            </w:r>
          </w:p>
        </w:tc>
        <w:tc>
          <w:tcPr>
            <w:tcW w:w="829" w:type="pct"/>
          </w:tcPr>
          <w:p w14:paraId="453D7493" w14:textId="77777777" w:rsidR="006974BF" w:rsidRPr="002D39D0" w:rsidRDefault="006974BF" w:rsidP="0043319E">
            <w:pPr>
              <w:jc w:val="center"/>
              <w:rPr>
                <w:rFonts w:ascii="Segoe UI Semilight" w:hAnsi="Segoe UI Semilight" w:cs="Segoe UI Semilight"/>
                <w:sz w:val="22"/>
                <w:szCs w:val="22"/>
              </w:rPr>
            </w:pPr>
            <w:r w:rsidRPr="007C1E3E">
              <w:rPr>
                <w:rFonts w:ascii="Segoe UI Semilight" w:hAnsi="Segoe UI Semilight" w:cs="Segoe UI Semilight"/>
                <w:sz w:val="22"/>
                <w:szCs w:val="22"/>
              </w:rPr>
              <w:t>1</w:t>
            </w:r>
          </w:p>
        </w:tc>
      </w:tr>
    </w:tbl>
    <w:p w14:paraId="6B037917" w14:textId="77777777" w:rsidR="006974BF" w:rsidRPr="007C1E3E" w:rsidRDefault="006974BF" w:rsidP="007C1E3E">
      <w:pPr>
        <w:tabs>
          <w:tab w:val="left" w:pos="4395"/>
        </w:tabs>
        <w:spacing w:after="120"/>
        <w:ind w:left="113"/>
        <w:rPr>
          <w:rFonts w:ascii="Segoe UI Semilight" w:hAnsi="Segoe UI Semilight" w:cs="Segoe UI Semilight"/>
          <w:sz w:val="22"/>
        </w:rPr>
      </w:pPr>
      <w:r w:rsidRPr="007C1E3E">
        <w:rPr>
          <w:rFonts w:ascii="Segoe UI Semilight" w:hAnsi="Segoe UI Semilight" w:cs="Segoe UI Semilight"/>
          <w:sz w:val="22"/>
        </w:rPr>
        <w:t>* Le bassin 2017</w:t>
      </w:r>
      <w:r w:rsidRPr="007C1E3E">
        <w:rPr>
          <w:rFonts w:ascii="Segoe UI Semilight" w:hAnsi="Segoe UI Semilight" w:cs="Segoe UI Semilight"/>
          <w:sz w:val="22"/>
        </w:rPr>
        <w:noBreakHyphen/>
        <w:t>2018 vient à échéance en décembre 2020.</w:t>
      </w:r>
    </w:p>
    <w:p w14:paraId="3D58F33B" w14:textId="77777777" w:rsidR="00614B04" w:rsidRPr="002D39D0" w:rsidRDefault="00BB40A9" w:rsidP="007C1E3E">
      <w:pPr>
        <w:pStyle w:val="Heading1"/>
        <w:spacing w:after="120"/>
      </w:pPr>
      <w:r w:rsidRPr="002D39D0">
        <w:lastRenderedPageBreak/>
        <w:t>C</w:t>
      </w:r>
      <w:r w:rsidR="00614B04" w:rsidRPr="002D39D0">
        <w:t>ontexte organisationnel</w:t>
      </w:r>
    </w:p>
    <w:p w14:paraId="18780251" w14:textId="77777777" w:rsidR="00614B04" w:rsidRPr="002D39D0" w:rsidRDefault="00614B04" w:rsidP="00A95A8A">
      <w:pPr>
        <w:pStyle w:val="Heading2"/>
        <w:spacing w:after="120"/>
        <w:rPr>
          <w:u w:val="single"/>
        </w:rPr>
      </w:pPr>
      <w:r w:rsidRPr="002D39D0">
        <w:t>Mandat</w:t>
      </w:r>
    </w:p>
    <w:p w14:paraId="4EFD95C5" w14:textId="77777777" w:rsidR="00614B04" w:rsidRPr="002D39D0" w:rsidRDefault="00614B04" w:rsidP="007C1E3E">
      <w:pPr>
        <w:spacing w:after="120"/>
        <w:rPr>
          <w:rFonts w:asciiTheme="minorHAnsi" w:hAnsiTheme="minorHAnsi" w:cstheme="minorHAnsi"/>
          <w:color w:val="000000"/>
          <w:sz w:val="22"/>
          <w:szCs w:val="22"/>
        </w:rPr>
      </w:pPr>
      <w:r w:rsidRPr="002D39D0">
        <w:rPr>
          <w:rFonts w:asciiTheme="minorHAnsi" w:hAnsiTheme="minorHAnsi" w:cstheme="minorHAnsi"/>
          <w:color w:val="000000"/>
          <w:sz w:val="22"/>
          <w:szCs w:val="22"/>
        </w:rPr>
        <w:t>AMC gère les relations diplomatiques du Canada, fournit des services consulaires aux Canadiens, fait la promotion du commerce international au Canada et dirige l’aide humanitaire et l’aide au développement international du Canada.</w:t>
      </w:r>
    </w:p>
    <w:p w14:paraId="7167972E" w14:textId="77777777" w:rsidR="00614B04" w:rsidRPr="002D39D0" w:rsidRDefault="00614B04" w:rsidP="007C1E3E">
      <w:pPr>
        <w:spacing w:after="120"/>
        <w:rPr>
          <w:rFonts w:asciiTheme="minorHAnsi" w:hAnsiTheme="minorHAnsi" w:cstheme="minorHAnsi"/>
          <w:color w:val="000000"/>
          <w:sz w:val="22"/>
          <w:szCs w:val="22"/>
        </w:rPr>
      </w:pPr>
      <w:r w:rsidRPr="002D39D0">
        <w:rPr>
          <w:rFonts w:asciiTheme="minorHAnsi" w:hAnsiTheme="minorHAnsi" w:cstheme="minorHAnsi"/>
          <w:color w:val="000000"/>
          <w:sz w:val="22"/>
          <w:szCs w:val="22"/>
        </w:rPr>
        <w:t>Par ailleurs, AMC préserve et soutient la prospérité et la sécurité du Canada, et contribue à un monde plus juste, plus inclusif et plus durable, en tenant compte des différences entre les sexes. Le ministère met en œuvre la politique étrangère féministe du Canada et sa série de politiques, initiatives et programmes internationaux féministes dans le cadre de tous ses engagements en matière de diplomatie, de commerce, de sécurité, de développement et de services consulaires. La politique étrangère féministe reconnaît que le fait de favoriser des sociétés ouvertes, inclusives et fondées sur les droits, dans lesquelles toutes les personnes, quel que soit leur genre, peuvent pleinement tirer parti d’une participation égale à la vie économique, politique, sociale et culturelle, constitue un moyen efficace de construire un monde plus sûr et plus prospère.</w:t>
      </w:r>
    </w:p>
    <w:p w14:paraId="2E1FC024" w14:textId="77777777" w:rsidR="00614B04" w:rsidRPr="002D39D0" w:rsidRDefault="00614B04" w:rsidP="007C1E3E">
      <w:pPr>
        <w:pStyle w:val="Heading2"/>
        <w:spacing w:after="120"/>
        <w:rPr>
          <w:u w:val="single"/>
        </w:rPr>
      </w:pPr>
      <w:r w:rsidRPr="002D39D0">
        <w:t>Défis</w:t>
      </w:r>
    </w:p>
    <w:p w14:paraId="131AE572" w14:textId="77777777" w:rsidR="00614B04" w:rsidRPr="002D39D0" w:rsidRDefault="00614B04" w:rsidP="007C1E3E">
      <w:pPr>
        <w:spacing w:after="120"/>
        <w:contextualSpacing/>
        <w:rPr>
          <w:rFonts w:asciiTheme="minorHAnsi" w:hAnsiTheme="minorHAnsi" w:cstheme="minorHAnsi"/>
          <w:color w:val="000000"/>
          <w:sz w:val="22"/>
          <w:szCs w:val="22"/>
        </w:rPr>
      </w:pPr>
      <w:r w:rsidRPr="002D39D0">
        <w:rPr>
          <w:rFonts w:asciiTheme="minorHAnsi" w:hAnsiTheme="minorHAnsi" w:cstheme="minorHAnsi"/>
          <w:color w:val="000000"/>
          <w:sz w:val="22"/>
          <w:szCs w:val="22"/>
        </w:rPr>
        <w:t xml:space="preserve">AMC a des défis de recrutement et de maintien en poste pour les groupes professionnels CS, FI, IS et PG. Elle a également des besoins dans le groupe professionnel FS. Le dernier processus FS a eu lieu dans le groupe et au niveau FS-03 et s’est terminé le 4 septembre 2019. Un processus interne FS-01 a été lancé simultanément avec </w:t>
      </w:r>
      <w:r w:rsidRPr="002D39D0">
        <w:rPr>
          <w:rFonts w:asciiTheme="minorHAnsi" w:hAnsiTheme="minorHAnsi" w:cstheme="minorHAnsi"/>
          <w:sz w:val="22"/>
          <w:szCs w:val="22"/>
        </w:rPr>
        <w:t xml:space="preserve">la campagne de recrutement postsecondaire de 2019. </w:t>
      </w:r>
      <w:r w:rsidRPr="002D39D0">
        <w:rPr>
          <w:rFonts w:asciiTheme="minorHAnsi" w:hAnsiTheme="minorHAnsi" w:cstheme="minorHAnsi"/>
          <w:color w:val="000000"/>
          <w:sz w:val="22"/>
          <w:szCs w:val="22"/>
        </w:rPr>
        <w:t>AMC prévoit également lancer un processus FS-02 (au printemps prochain)</w:t>
      </w:r>
      <w:r w:rsidR="00BB40A9" w:rsidRPr="002D39D0">
        <w:rPr>
          <w:rFonts w:asciiTheme="minorHAnsi" w:hAnsiTheme="minorHAnsi" w:cstheme="minorHAnsi"/>
          <w:sz w:val="22"/>
          <w:szCs w:val="22"/>
        </w:rPr>
        <w:t>.</w:t>
      </w:r>
    </w:p>
    <w:p w14:paraId="09E0FB04" w14:textId="77777777" w:rsidR="00614B04" w:rsidRPr="002D39D0" w:rsidRDefault="00BB40A9" w:rsidP="007C1E3E">
      <w:pPr>
        <w:pStyle w:val="Heading1"/>
        <w:spacing w:after="120"/>
      </w:pPr>
      <w:r w:rsidRPr="002D39D0">
        <w:t>E</w:t>
      </w:r>
      <w:r w:rsidR="00614B04" w:rsidRPr="002D39D0">
        <w:t>ffectif et activités de dotation</w:t>
      </w:r>
    </w:p>
    <w:p w14:paraId="170A8F90" w14:textId="77777777" w:rsidR="00614B04" w:rsidRPr="002D39D0" w:rsidRDefault="00614B04" w:rsidP="00A95A8A">
      <w:pPr>
        <w:pStyle w:val="Heading2"/>
        <w:spacing w:after="120"/>
        <w:rPr>
          <w:u w:val="single"/>
        </w:rPr>
      </w:pPr>
      <w:r w:rsidRPr="002D39D0">
        <w:t>Effectif</w:t>
      </w:r>
    </w:p>
    <w:p w14:paraId="0B324941" w14:textId="77777777" w:rsidR="00614B04" w:rsidRPr="002D39D0" w:rsidRDefault="00614B04" w:rsidP="007C1E3E">
      <w:pPr>
        <w:pStyle w:val="NoSpacing"/>
        <w:spacing w:after="120"/>
        <w:rPr>
          <w:rFonts w:asciiTheme="minorHAnsi" w:hAnsiTheme="minorHAnsi" w:cstheme="minorHAnsi"/>
          <w:color w:val="000000"/>
          <w:sz w:val="22"/>
          <w:szCs w:val="22"/>
        </w:rPr>
      </w:pPr>
      <w:r w:rsidRPr="002D39D0">
        <w:rPr>
          <w:rFonts w:asciiTheme="minorHAnsi" w:hAnsiTheme="minorHAnsi" w:cstheme="minorHAnsi"/>
          <w:color w:val="000000"/>
          <w:sz w:val="22"/>
          <w:szCs w:val="22"/>
        </w:rPr>
        <w:t>AMC est une grande organisation qui compte 6 556 employés (en date du 31 mars 2019). La majorité des employés sont nommés pour une période indéterminée et se trouvent dans la région de la capitale nationale. L’effectif est établi comme suit :</w:t>
      </w:r>
    </w:p>
    <w:p w14:paraId="2330F019" w14:textId="77777777" w:rsidR="00614B04" w:rsidRPr="002D39D0" w:rsidRDefault="00614B04" w:rsidP="007C1E3E">
      <w:pPr>
        <w:pStyle w:val="ListParagraph"/>
        <w:numPr>
          <w:ilvl w:val="0"/>
          <w:numId w:val="7"/>
        </w:numPr>
        <w:spacing w:after="0"/>
        <w:rPr>
          <w:rFonts w:asciiTheme="minorHAnsi" w:hAnsiTheme="minorHAnsi" w:cstheme="minorHAnsi"/>
          <w:color w:val="000000"/>
          <w:sz w:val="22"/>
          <w:szCs w:val="22"/>
        </w:rPr>
      </w:pPr>
      <w:r w:rsidRPr="002D39D0">
        <w:rPr>
          <w:rFonts w:asciiTheme="minorHAnsi" w:hAnsiTheme="minorHAnsi" w:cstheme="minorHAnsi"/>
          <w:color w:val="000000"/>
          <w:sz w:val="22"/>
          <w:szCs w:val="22"/>
        </w:rPr>
        <w:t>5 408 employés nommés pour une période indéterminée;</w:t>
      </w:r>
    </w:p>
    <w:p w14:paraId="2777AC60" w14:textId="77777777" w:rsidR="00614B04" w:rsidRPr="002D39D0" w:rsidRDefault="00614B04" w:rsidP="00614B04">
      <w:pPr>
        <w:pStyle w:val="ListParagraph"/>
        <w:numPr>
          <w:ilvl w:val="0"/>
          <w:numId w:val="7"/>
        </w:numPr>
        <w:spacing w:after="0"/>
        <w:rPr>
          <w:rFonts w:asciiTheme="minorHAnsi" w:hAnsiTheme="minorHAnsi" w:cstheme="minorHAnsi"/>
          <w:color w:val="000000"/>
          <w:sz w:val="22"/>
          <w:szCs w:val="22"/>
        </w:rPr>
      </w:pPr>
      <w:r w:rsidRPr="002D39D0">
        <w:rPr>
          <w:rFonts w:asciiTheme="minorHAnsi" w:hAnsiTheme="minorHAnsi" w:cstheme="minorHAnsi"/>
          <w:color w:val="000000"/>
          <w:sz w:val="22"/>
          <w:szCs w:val="22"/>
        </w:rPr>
        <w:t>475 employés nommés pour une période déterminée;</w:t>
      </w:r>
    </w:p>
    <w:p w14:paraId="351CA8AE" w14:textId="77777777" w:rsidR="00614B04" w:rsidRPr="002D39D0" w:rsidRDefault="00614B04" w:rsidP="00614B04">
      <w:pPr>
        <w:pStyle w:val="ListParagraph"/>
        <w:numPr>
          <w:ilvl w:val="0"/>
          <w:numId w:val="7"/>
        </w:numPr>
        <w:spacing w:after="0"/>
        <w:rPr>
          <w:rFonts w:asciiTheme="minorHAnsi" w:hAnsiTheme="minorHAnsi" w:cstheme="minorHAnsi"/>
          <w:color w:val="000000"/>
          <w:sz w:val="22"/>
          <w:szCs w:val="22"/>
        </w:rPr>
      </w:pPr>
      <w:r w:rsidRPr="002D39D0">
        <w:rPr>
          <w:rFonts w:asciiTheme="minorHAnsi" w:hAnsiTheme="minorHAnsi" w:cstheme="minorHAnsi"/>
          <w:color w:val="000000"/>
          <w:sz w:val="22"/>
          <w:szCs w:val="22"/>
        </w:rPr>
        <w:t>396 employés occasionnels;</w:t>
      </w:r>
    </w:p>
    <w:p w14:paraId="277FF1D4" w14:textId="77777777" w:rsidR="00614B04" w:rsidRPr="002D39D0" w:rsidRDefault="00614B04" w:rsidP="007C1E3E">
      <w:pPr>
        <w:pStyle w:val="ListParagraph"/>
        <w:numPr>
          <w:ilvl w:val="0"/>
          <w:numId w:val="7"/>
        </w:numPr>
        <w:spacing w:after="120"/>
        <w:rPr>
          <w:rFonts w:asciiTheme="minorHAnsi" w:hAnsiTheme="minorHAnsi" w:cstheme="minorHAnsi"/>
          <w:color w:val="000000"/>
          <w:sz w:val="22"/>
          <w:szCs w:val="22"/>
        </w:rPr>
      </w:pPr>
      <w:r w:rsidRPr="002D39D0">
        <w:rPr>
          <w:rFonts w:asciiTheme="minorHAnsi" w:hAnsiTheme="minorHAnsi" w:cstheme="minorHAnsi"/>
          <w:color w:val="000000"/>
          <w:sz w:val="22"/>
          <w:szCs w:val="22"/>
        </w:rPr>
        <w:t>277 étudiants.</w:t>
      </w:r>
    </w:p>
    <w:p w14:paraId="726D2AF4" w14:textId="77777777" w:rsidR="00614B04" w:rsidRPr="002D39D0" w:rsidRDefault="00614B04" w:rsidP="006462B0">
      <w:pPr>
        <w:spacing w:before="120"/>
        <w:rPr>
          <w:rFonts w:asciiTheme="minorHAnsi" w:hAnsiTheme="minorHAnsi" w:cstheme="minorHAnsi"/>
          <w:color w:val="000000"/>
          <w:sz w:val="22"/>
          <w:szCs w:val="22"/>
        </w:rPr>
      </w:pPr>
      <w:r w:rsidRPr="002D39D0">
        <w:rPr>
          <w:rFonts w:asciiTheme="minorHAnsi" w:hAnsiTheme="minorHAnsi" w:cstheme="minorHAnsi"/>
          <w:color w:val="000000"/>
          <w:sz w:val="22"/>
          <w:szCs w:val="22"/>
        </w:rPr>
        <w:t xml:space="preserve">La CFP travaille actuellement en étroite collaboration avec AMC pour moderniser le cadre réglementaire concernant les employés recrutés sur place (ERP). Il y a environ 5 000 ERP dans 178 missions réparties dans plus de 112 juridictions. Depuis 1967, les ERP sont exclus de l’application de la </w:t>
      </w:r>
      <w:r w:rsidRPr="007C1E3E">
        <w:rPr>
          <w:rStyle w:val="Emphasis"/>
        </w:rPr>
        <w:t>Loi sur l’emploi dans la fonction publique</w:t>
      </w:r>
      <w:r w:rsidR="00BB40A9" w:rsidRPr="007C1E3E">
        <w:rPr>
          <w:rFonts w:asciiTheme="minorHAnsi" w:hAnsiTheme="minorHAnsi" w:cstheme="minorHAnsi"/>
          <w:color w:val="000000"/>
          <w:sz w:val="20"/>
          <w:szCs w:val="22"/>
        </w:rPr>
        <w:t xml:space="preserve"> </w:t>
      </w:r>
      <w:r w:rsidR="00BB40A9" w:rsidRPr="002D39D0">
        <w:rPr>
          <w:rFonts w:asciiTheme="minorHAnsi" w:hAnsiTheme="minorHAnsi" w:cstheme="minorHAnsi"/>
          <w:color w:val="000000"/>
          <w:sz w:val="22"/>
          <w:szCs w:val="22"/>
        </w:rPr>
        <w:t>par un décret d’exemption.</w:t>
      </w:r>
    </w:p>
    <w:p w14:paraId="6115C3C8" w14:textId="77777777" w:rsidR="00614B04" w:rsidRPr="002D39D0" w:rsidRDefault="00614B04" w:rsidP="007C1E3E">
      <w:pPr>
        <w:pStyle w:val="Heading2"/>
        <w:spacing w:after="120"/>
        <w:rPr>
          <w:u w:val="single"/>
        </w:rPr>
      </w:pPr>
      <w:r w:rsidRPr="002D39D0">
        <w:t>Activités de dotation</w:t>
      </w:r>
    </w:p>
    <w:p w14:paraId="1B04B44A" w14:textId="77777777" w:rsidR="00614B04" w:rsidRPr="002D39D0" w:rsidRDefault="00614B04" w:rsidP="007C1E3E">
      <w:pPr>
        <w:spacing w:after="120"/>
        <w:rPr>
          <w:rFonts w:asciiTheme="minorHAnsi" w:hAnsiTheme="minorHAnsi" w:cstheme="minorHAnsi"/>
          <w:color w:val="000000"/>
          <w:sz w:val="22"/>
          <w:szCs w:val="22"/>
        </w:rPr>
      </w:pPr>
      <w:r w:rsidRPr="002D39D0">
        <w:rPr>
          <w:rFonts w:asciiTheme="minorHAnsi" w:hAnsiTheme="minorHAnsi" w:cstheme="minorHAnsi"/>
          <w:color w:val="000000"/>
          <w:sz w:val="22"/>
          <w:szCs w:val="22"/>
        </w:rPr>
        <w:t xml:space="preserve">En 2018-2019, AMC a procédé à un total de 4 552 activités de dotation : </w:t>
      </w:r>
    </w:p>
    <w:p w14:paraId="1E852C30" w14:textId="77777777" w:rsidR="00614B04" w:rsidRPr="002D39D0" w:rsidRDefault="00614B04" w:rsidP="007C1E3E">
      <w:pPr>
        <w:numPr>
          <w:ilvl w:val="0"/>
          <w:numId w:val="4"/>
        </w:numPr>
        <w:rPr>
          <w:rFonts w:asciiTheme="minorHAnsi" w:hAnsiTheme="minorHAnsi" w:cstheme="minorHAnsi"/>
          <w:color w:val="000000"/>
          <w:sz w:val="22"/>
          <w:szCs w:val="22"/>
        </w:rPr>
      </w:pPr>
      <w:r w:rsidRPr="002D39D0">
        <w:rPr>
          <w:rFonts w:asciiTheme="minorHAnsi" w:hAnsiTheme="minorHAnsi" w:cstheme="minorHAnsi"/>
          <w:color w:val="000000"/>
          <w:sz w:val="22"/>
          <w:szCs w:val="22"/>
        </w:rPr>
        <w:t xml:space="preserve">552 nominations à la fonction publique; </w:t>
      </w:r>
    </w:p>
    <w:p w14:paraId="75FCF4D7" w14:textId="77777777" w:rsidR="00614B04" w:rsidRPr="002D39D0" w:rsidRDefault="00614B04" w:rsidP="00614B04">
      <w:pPr>
        <w:numPr>
          <w:ilvl w:val="0"/>
          <w:numId w:val="4"/>
        </w:numPr>
        <w:rPr>
          <w:rFonts w:asciiTheme="minorHAnsi" w:hAnsiTheme="minorHAnsi" w:cstheme="minorHAnsi"/>
          <w:color w:val="000000"/>
          <w:sz w:val="22"/>
          <w:szCs w:val="22"/>
        </w:rPr>
      </w:pPr>
      <w:r w:rsidRPr="002D39D0">
        <w:rPr>
          <w:rFonts w:asciiTheme="minorHAnsi" w:hAnsiTheme="minorHAnsi" w:cstheme="minorHAnsi"/>
          <w:color w:val="000000"/>
          <w:sz w:val="22"/>
          <w:szCs w:val="22"/>
        </w:rPr>
        <w:t>650 promotions;</w:t>
      </w:r>
    </w:p>
    <w:p w14:paraId="0449E048" w14:textId="77777777" w:rsidR="00614B04" w:rsidRPr="002D39D0" w:rsidRDefault="00614B04" w:rsidP="00614B04">
      <w:pPr>
        <w:numPr>
          <w:ilvl w:val="0"/>
          <w:numId w:val="4"/>
        </w:numPr>
        <w:rPr>
          <w:rFonts w:asciiTheme="minorHAnsi" w:hAnsiTheme="minorHAnsi" w:cstheme="minorHAnsi"/>
          <w:color w:val="000000"/>
          <w:sz w:val="22"/>
          <w:szCs w:val="22"/>
        </w:rPr>
      </w:pPr>
      <w:r w:rsidRPr="002D39D0">
        <w:rPr>
          <w:rFonts w:asciiTheme="minorHAnsi" w:hAnsiTheme="minorHAnsi" w:cstheme="minorHAnsi"/>
          <w:color w:val="000000"/>
          <w:sz w:val="22"/>
          <w:szCs w:val="22"/>
        </w:rPr>
        <w:lastRenderedPageBreak/>
        <w:t xml:space="preserve">803 nominations intérimaires; </w:t>
      </w:r>
    </w:p>
    <w:p w14:paraId="212DED85" w14:textId="77777777" w:rsidR="00614B04" w:rsidRPr="002D39D0" w:rsidRDefault="00614B04" w:rsidP="00614B04">
      <w:pPr>
        <w:numPr>
          <w:ilvl w:val="0"/>
          <w:numId w:val="4"/>
        </w:numPr>
        <w:rPr>
          <w:rFonts w:asciiTheme="minorHAnsi" w:hAnsiTheme="minorHAnsi" w:cstheme="minorHAnsi"/>
          <w:color w:val="000000"/>
          <w:sz w:val="22"/>
          <w:szCs w:val="22"/>
        </w:rPr>
      </w:pPr>
      <w:r w:rsidRPr="002D39D0">
        <w:rPr>
          <w:rFonts w:asciiTheme="minorHAnsi" w:hAnsiTheme="minorHAnsi" w:cstheme="minorHAnsi"/>
          <w:color w:val="000000"/>
          <w:sz w:val="22"/>
          <w:szCs w:val="22"/>
        </w:rPr>
        <w:t>826 nominations d’employés occasionnels;</w:t>
      </w:r>
    </w:p>
    <w:p w14:paraId="79FDC61A" w14:textId="77777777" w:rsidR="00614B04" w:rsidRPr="002D39D0" w:rsidRDefault="00614B04" w:rsidP="00614B04">
      <w:pPr>
        <w:numPr>
          <w:ilvl w:val="0"/>
          <w:numId w:val="4"/>
        </w:numPr>
        <w:rPr>
          <w:rFonts w:asciiTheme="minorHAnsi" w:hAnsiTheme="minorHAnsi" w:cstheme="minorHAnsi"/>
          <w:color w:val="000000"/>
          <w:sz w:val="22"/>
          <w:szCs w:val="22"/>
        </w:rPr>
      </w:pPr>
      <w:r w:rsidRPr="002D39D0">
        <w:rPr>
          <w:rFonts w:asciiTheme="minorHAnsi" w:hAnsiTheme="minorHAnsi" w:cstheme="minorHAnsi"/>
          <w:color w:val="000000"/>
          <w:sz w:val="22"/>
          <w:szCs w:val="22"/>
        </w:rPr>
        <w:t xml:space="preserve">553 nominations d’étudiants; </w:t>
      </w:r>
    </w:p>
    <w:p w14:paraId="17A5DBE4" w14:textId="77777777" w:rsidR="00614B04" w:rsidRPr="002D39D0" w:rsidRDefault="00614B04" w:rsidP="007C1E3E">
      <w:pPr>
        <w:numPr>
          <w:ilvl w:val="0"/>
          <w:numId w:val="4"/>
        </w:numPr>
        <w:spacing w:after="120"/>
        <w:rPr>
          <w:rFonts w:asciiTheme="minorHAnsi" w:hAnsiTheme="minorHAnsi" w:cstheme="minorHAnsi"/>
          <w:color w:val="000000"/>
          <w:sz w:val="22"/>
          <w:szCs w:val="22"/>
        </w:rPr>
      </w:pPr>
      <w:r w:rsidRPr="002D39D0">
        <w:rPr>
          <w:rFonts w:asciiTheme="minorHAnsi" w:hAnsiTheme="minorHAnsi" w:cstheme="minorHAnsi"/>
          <w:color w:val="000000"/>
          <w:sz w:val="22"/>
          <w:szCs w:val="22"/>
        </w:rPr>
        <w:t xml:space="preserve">1 168 mutations latérales et descendantes. </w:t>
      </w:r>
    </w:p>
    <w:p w14:paraId="50F18AD3" w14:textId="77777777" w:rsidR="00614B04" w:rsidRPr="002D39D0" w:rsidRDefault="00614B04" w:rsidP="007C1E3E">
      <w:pPr>
        <w:pStyle w:val="NoSpacing"/>
        <w:spacing w:after="120"/>
        <w:rPr>
          <w:rFonts w:asciiTheme="minorHAnsi" w:hAnsiTheme="minorHAnsi" w:cstheme="minorHAnsi"/>
          <w:color w:val="000000"/>
          <w:sz w:val="22"/>
          <w:szCs w:val="22"/>
        </w:rPr>
      </w:pPr>
      <w:r w:rsidRPr="002D39D0">
        <w:rPr>
          <w:rFonts w:asciiTheme="minorHAnsi" w:hAnsiTheme="minorHAnsi" w:cstheme="minorHAnsi"/>
          <w:color w:val="000000"/>
          <w:sz w:val="22"/>
          <w:szCs w:val="22"/>
        </w:rPr>
        <w:t>Un grand nombre d’employés occasionnels ont été embauchés pour le Sommet du G7, en juin 2018. Ce type d’employé peut aussi être embauché pour d’autres besoins, comme les urgences et le suivi médiatique permanent.</w:t>
      </w:r>
    </w:p>
    <w:p w14:paraId="5D67A80D" w14:textId="77777777" w:rsidR="00614B04" w:rsidRPr="002D39D0" w:rsidRDefault="00614B04" w:rsidP="007C1E3E">
      <w:pPr>
        <w:pStyle w:val="NoSpacing"/>
        <w:spacing w:after="120"/>
        <w:rPr>
          <w:rFonts w:asciiTheme="minorHAnsi" w:hAnsiTheme="minorHAnsi" w:cstheme="minorHAnsi"/>
          <w:color w:val="000000"/>
          <w:sz w:val="22"/>
          <w:szCs w:val="22"/>
        </w:rPr>
      </w:pPr>
      <w:r w:rsidRPr="002D39D0">
        <w:rPr>
          <w:rFonts w:asciiTheme="minorHAnsi" w:hAnsiTheme="minorHAnsi" w:cstheme="minorHAnsi"/>
          <w:color w:val="000000"/>
          <w:sz w:val="22"/>
          <w:szCs w:val="22"/>
        </w:rPr>
        <w:t>En ce qui concerne le recours aux programmes ciblés de la CFP :</w:t>
      </w:r>
    </w:p>
    <w:p w14:paraId="6CA6EE09" w14:textId="77777777" w:rsidR="00614B04" w:rsidRPr="002D39D0" w:rsidRDefault="00614B04" w:rsidP="00614B04">
      <w:pPr>
        <w:pStyle w:val="NoSpacing"/>
        <w:numPr>
          <w:ilvl w:val="0"/>
          <w:numId w:val="8"/>
        </w:numPr>
        <w:rPr>
          <w:rFonts w:asciiTheme="minorHAnsi" w:hAnsiTheme="minorHAnsi" w:cstheme="minorHAnsi"/>
          <w:color w:val="000000"/>
          <w:sz w:val="22"/>
          <w:szCs w:val="22"/>
        </w:rPr>
      </w:pPr>
      <w:r w:rsidRPr="002D39D0">
        <w:rPr>
          <w:rFonts w:asciiTheme="minorHAnsi" w:hAnsiTheme="minorHAnsi" w:cstheme="minorHAnsi"/>
          <w:color w:val="000000"/>
          <w:sz w:val="22"/>
          <w:szCs w:val="22"/>
        </w:rPr>
        <w:t>AMC n’a déterminé aucun poste à pourvoir dans le cadre du Programme fédéral de stages pour les Canadiens en situation de handicap.</w:t>
      </w:r>
    </w:p>
    <w:p w14:paraId="5B06BE03" w14:textId="77777777" w:rsidR="00614B04" w:rsidRPr="002D39D0" w:rsidRDefault="00614B04" w:rsidP="00614B04">
      <w:pPr>
        <w:pStyle w:val="NoSpacing"/>
        <w:numPr>
          <w:ilvl w:val="0"/>
          <w:numId w:val="8"/>
        </w:numPr>
        <w:rPr>
          <w:rFonts w:asciiTheme="minorHAnsi" w:hAnsiTheme="minorHAnsi" w:cstheme="minorHAnsi"/>
          <w:color w:val="000000"/>
          <w:sz w:val="22"/>
          <w:szCs w:val="22"/>
        </w:rPr>
      </w:pPr>
      <w:r w:rsidRPr="002D39D0">
        <w:rPr>
          <w:rFonts w:asciiTheme="minorHAnsi" w:hAnsiTheme="minorHAnsi" w:cstheme="minorHAnsi"/>
          <w:color w:val="000000"/>
          <w:sz w:val="22"/>
          <w:szCs w:val="22"/>
        </w:rPr>
        <w:t>AMC a présenté trois demandes d’embauche à partir du répertoire d’Occasion d’emploi pour étudiants en situation de handicap en 2019. Il y a eu une embauche à partir de ce répertoire.</w:t>
      </w:r>
    </w:p>
    <w:p w14:paraId="2CB464EA" w14:textId="77777777" w:rsidR="00614B04" w:rsidRPr="002D39D0" w:rsidRDefault="00614B04" w:rsidP="007C1E3E">
      <w:pPr>
        <w:pStyle w:val="NoSpacing"/>
        <w:numPr>
          <w:ilvl w:val="0"/>
          <w:numId w:val="8"/>
        </w:numPr>
        <w:spacing w:after="120"/>
        <w:rPr>
          <w:rFonts w:asciiTheme="minorHAnsi" w:hAnsiTheme="minorHAnsi" w:cstheme="minorHAnsi"/>
          <w:color w:val="000000"/>
          <w:sz w:val="22"/>
          <w:szCs w:val="22"/>
        </w:rPr>
      </w:pPr>
      <w:r w:rsidRPr="002D39D0">
        <w:rPr>
          <w:rFonts w:asciiTheme="minorHAnsi" w:hAnsiTheme="minorHAnsi" w:cstheme="minorHAnsi"/>
          <w:color w:val="000000"/>
          <w:sz w:val="22"/>
          <w:szCs w:val="22"/>
        </w:rPr>
        <w:t>AMC a soumis deux demandes à partir du répertoire des emplois pour étudiants autochtones en 2019, et a embauché un étudiant de ce répertoire.</w:t>
      </w:r>
    </w:p>
    <w:p w14:paraId="1F902719" w14:textId="523019BB" w:rsidR="00614B04" w:rsidRPr="002D39D0" w:rsidRDefault="00614B04" w:rsidP="007C1E3E">
      <w:pPr>
        <w:pStyle w:val="NoSpacing"/>
        <w:spacing w:after="120"/>
        <w:rPr>
          <w:rFonts w:asciiTheme="minorHAnsi" w:hAnsiTheme="minorHAnsi" w:cstheme="minorHAnsi"/>
          <w:sz w:val="22"/>
          <w:szCs w:val="22"/>
        </w:rPr>
      </w:pPr>
      <w:r w:rsidRPr="002D39D0">
        <w:rPr>
          <w:rFonts w:asciiTheme="minorHAnsi" w:hAnsiTheme="minorHAnsi" w:cstheme="minorHAnsi"/>
          <w:sz w:val="22"/>
          <w:szCs w:val="22"/>
        </w:rPr>
        <w:t xml:space="preserve">Veuillez consulter </w:t>
      </w:r>
      <w:hyperlink w:anchor="AnnexA" w:history="1">
        <w:r w:rsidR="009B24C7" w:rsidRPr="004721CE">
          <w:rPr>
            <w:rStyle w:val="Hyperlink"/>
            <w:rFonts w:asciiTheme="minorHAnsi" w:hAnsiTheme="minorHAnsi" w:cstheme="minorHAnsi"/>
            <w:sz w:val="22"/>
            <w:szCs w:val="22"/>
          </w:rPr>
          <w:t>l’</w:t>
        </w:r>
        <w:r w:rsidR="006462B0" w:rsidRPr="004721CE">
          <w:rPr>
            <w:rStyle w:val="Hyperlink"/>
            <w:rFonts w:asciiTheme="minorHAnsi" w:hAnsiTheme="minorHAnsi" w:cstheme="minorHAnsi"/>
            <w:sz w:val="22"/>
            <w:szCs w:val="22"/>
          </w:rPr>
          <w:t>annexe</w:t>
        </w:r>
        <w:r w:rsidR="00787D25" w:rsidRPr="004721CE">
          <w:rPr>
            <w:rStyle w:val="Hyperlink"/>
            <w:rFonts w:asciiTheme="minorHAnsi" w:hAnsiTheme="minorHAnsi" w:cstheme="minorHAnsi"/>
            <w:sz w:val="22"/>
            <w:szCs w:val="22"/>
          </w:rPr>
          <w:t xml:space="preserve"> A</w:t>
        </w:r>
      </w:hyperlink>
      <w:r w:rsidRPr="00110CE3">
        <w:rPr>
          <w:rFonts w:asciiTheme="minorHAnsi" w:hAnsiTheme="minorHAnsi" w:cstheme="minorHAnsi"/>
          <w:sz w:val="22"/>
          <w:szCs w:val="22"/>
        </w:rPr>
        <w:t xml:space="preserve"> </w:t>
      </w:r>
      <w:r w:rsidRPr="002D39D0">
        <w:rPr>
          <w:rFonts w:asciiTheme="minorHAnsi" w:hAnsiTheme="minorHAnsi" w:cstheme="minorHAnsi"/>
          <w:sz w:val="22"/>
          <w:szCs w:val="22"/>
        </w:rPr>
        <w:t xml:space="preserve">pour </w:t>
      </w:r>
      <w:r w:rsidR="00C22851">
        <w:rPr>
          <w:rFonts w:asciiTheme="minorHAnsi" w:hAnsiTheme="minorHAnsi" w:cstheme="minorHAnsi"/>
          <w:sz w:val="22"/>
          <w:szCs w:val="22"/>
        </w:rPr>
        <w:t xml:space="preserve">obtenir </w:t>
      </w:r>
      <w:r w:rsidRPr="002D39D0">
        <w:rPr>
          <w:rFonts w:asciiTheme="minorHAnsi" w:hAnsiTheme="minorHAnsi" w:cstheme="minorHAnsi"/>
          <w:sz w:val="22"/>
          <w:szCs w:val="22"/>
        </w:rPr>
        <w:t>plus de détails</w:t>
      </w:r>
      <w:r w:rsidR="006462B0" w:rsidRPr="002D39D0">
        <w:rPr>
          <w:rFonts w:asciiTheme="minorHAnsi" w:hAnsiTheme="minorHAnsi" w:cstheme="minorHAnsi"/>
          <w:sz w:val="22"/>
          <w:szCs w:val="22"/>
        </w:rPr>
        <w:t xml:space="preserve"> sur les activités de dotation</w:t>
      </w:r>
      <w:r w:rsidRPr="002D39D0">
        <w:rPr>
          <w:rFonts w:asciiTheme="minorHAnsi" w:hAnsiTheme="minorHAnsi" w:cstheme="minorHAnsi"/>
          <w:sz w:val="22"/>
          <w:szCs w:val="22"/>
        </w:rPr>
        <w:t>.</w:t>
      </w:r>
    </w:p>
    <w:p w14:paraId="7838A57F" w14:textId="77777777" w:rsidR="00614B04" w:rsidRPr="002D39D0" w:rsidRDefault="00F3383E" w:rsidP="007C1E3E">
      <w:pPr>
        <w:pStyle w:val="Heading1"/>
        <w:spacing w:after="120"/>
      </w:pPr>
      <w:r w:rsidRPr="002D39D0">
        <w:t>Durée du processus</w:t>
      </w:r>
      <w:r w:rsidR="00BB40A9" w:rsidRPr="002D39D0">
        <w:t xml:space="preserve"> de dotation</w:t>
      </w:r>
    </w:p>
    <w:p w14:paraId="3031FAEA" w14:textId="77777777" w:rsidR="00614B04" w:rsidRPr="002D39D0" w:rsidRDefault="00614B04" w:rsidP="007C1E3E">
      <w:pPr>
        <w:pStyle w:val="NormalWeb"/>
        <w:spacing w:before="0" w:beforeAutospacing="0" w:after="120" w:afterAutospacing="0"/>
        <w:rPr>
          <w:rFonts w:asciiTheme="minorHAnsi" w:hAnsiTheme="minorHAnsi" w:cstheme="minorHAnsi"/>
          <w:color w:val="000000"/>
          <w:sz w:val="22"/>
          <w:szCs w:val="22"/>
        </w:rPr>
      </w:pPr>
      <w:r w:rsidRPr="002D39D0">
        <w:rPr>
          <w:rFonts w:asciiTheme="minorHAnsi" w:hAnsiTheme="minorHAnsi" w:cstheme="minorHAnsi"/>
          <w:sz w:val="22"/>
          <w:szCs w:val="22"/>
        </w:rPr>
        <w:t xml:space="preserve">En 2018-2019, AMC </w:t>
      </w:r>
      <w:r w:rsidRPr="002D39D0">
        <w:rPr>
          <w:rFonts w:asciiTheme="minorHAnsi" w:hAnsiTheme="minorHAnsi" w:cstheme="minorHAnsi"/>
          <w:color w:val="222222"/>
          <w:sz w:val="22"/>
          <w:szCs w:val="22"/>
        </w:rPr>
        <w:t xml:space="preserve">avait un délai médian de dotation de 189 jours pour les nominations internes, ce qui est supérieur à la médiane de la fonction publique, soit 176 jours. </w:t>
      </w:r>
    </w:p>
    <w:p w14:paraId="0873AD91" w14:textId="77777777" w:rsidR="00614B04" w:rsidRPr="002D39D0" w:rsidRDefault="00614B04" w:rsidP="007C1E3E">
      <w:pPr>
        <w:pStyle w:val="NoSpacing"/>
        <w:spacing w:after="120"/>
        <w:rPr>
          <w:rFonts w:asciiTheme="minorHAnsi" w:hAnsiTheme="minorHAnsi" w:cstheme="minorHAnsi"/>
          <w:color w:val="222222"/>
          <w:sz w:val="22"/>
          <w:szCs w:val="22"/>
        </w:rPr>
      </w:pPr>
      <w:r w:rsidRPr="002D39D0">
        <w:rPr>
          <w:rFonts w:asciiTheme="minorHAnsi" w:hAnsiTheme="minorHAnsi" w:cstheme="minorHAnsi"/>
          <w:color w:val="000000"/>
          <w:sz w:val="22"/>
          <w:szCs w:val="22"/>
        </w:rPr>
        <w:t xml:space="preserve">En raison du nombre limité de processus de nomination externes annoncés menés par AMC en 2018-2019, </w:t>
      </w:r>
      <w:r w:rsidRPr="002D39D0">
        <w:rPr>
          <w:rFonts w:asciiTheme="minorHAnsi" w:hAnsiTheme="minorHAnsi" w:cstheme="minorHAnsi"/>
          <w:sz w:val="22"/>
          <w:szCs w:val="22"/>
        </w:rPr>
        <w:t>les données sont insuffisantes pour fournir des renseignements sur le délai de dotation pour les nominations externes.</w:t>
      </w:r>
      <w:r w:rsidRPr="002D39D0">
        <w:rPr>
          <w:rFonts w:asciiTheme="minorHAnsi" w:hAnsiTheme="minorHAnsi" w:cstheme="minorHAnsi"/>
          <w:color w:val="222222"/>
          <w:sz w:val="22"/>
          <w:szCs w:val="22"/>
        </w:rPr>
        <w:t xml:space="preserve"> </w:t>
      </w:r>
    </w:p>
    <w:p w14:paraId="2DEAA68F" w14:textId="77777777" w:rsidR="00614B04" w:rsidRPr="002D39D0" w:rsidRDefault="00BB40A9" w:rsidP="007C1E3E">
      <w:pPr>
        <w:pStyle w:val="Heading1"/>
        <w:spacing w:after="120"/>
      </w:pPr>
      <w:r w:rsidRPr="002D39D0">
        <w:t>C</w:t>
      </w:r>
      <w:r w:rsidR="00614B04" w:rsidRPr="002D39D0">
        <w:t>adre de dotation</w:t>
      </w:r>
    </w:p>
    <w:p w14:paraId="1E048A7A" w14:textId="77777777" w:rsidR="00614B04" w:rsidRPr="002D39D0" w:rsidRDefault="00614B04" w:rsidP="00A95A8A">
      <w:pPr>
        <w:pStyle w:val="Heading2"/>
        <w:spacing w:after="120"/>
      </w:pPr>
      <w:r w:rsidRPr="002D39D0">
        <w:t>Mise en œuvre de la Nouvelle orientation en dotation</w:t>
      </w:r>
    </w:p>
    <w:p w14:paraId="2F412B96" w14:textId="77777777" w:rsidR="00614B04" w:rsidRPr="002D39D0" w:rsidRDefault="00614B04" w:rsidP="007C1E3E">
      <w:pPr>
        <w:pStyle w:val="NormalWeb"/>
        <w:spacing w:before="0" w:beforeAutospacing="0" w:after="120" w:afterAutospacing="0"/>
        <w:rPr>
          <w:rFonts w:asciiTheme="minorHAnsi" w:eastAsiaTheme="minorHAnsi" w:hAnsiTheme="minorHAnsi" w:cstheme="minorHAnsi"/>
          <w:sz w:val="22"/>
          <w:szCs w:val="22"/>
        </w:rPr>
      </w:pPr>
      <w:r w:rsidRPr="002D39D0">
        <w:rPr>
          <w:rFonts w:asciiTheme="minorHAnsi" w:hAnsiTheme="minorHAnsi" w:cstheme="minorHAnsi"/>
          <w:sz w:val="22"/>
          <w:szCs w:val="22"/>
        </w:rPr>
        <w:t>AMC a fourni à la CFP le cadre de dotation qu’elle a mis en œuvre en 2016. Malgré les latitudes de la Nouvelle orientation en dotation (NOD), les conseillers en RH d’AMC ont remarqué une certaine résistance de la part des gestionnaires subdélégués, et il demeure difficile de mettre en œuvre de nouvelles ap</w:t>
      </w:r>
      <w:r w:rsidR="00BB40A9" w:rsidRPr="002D39D0">
        <w:rPr>
          <w:rFonts w:asciiTheme="minorHAnsi" w:hAnsiTheme="minorHAnsi" w:cstheme="minorHAnsi"/>
          <w:sz w:val="22"/>
          <w:szCs w:val="22"/>
        </w:rPr>
        <w:t>proches en matière de dotation.</w:t>
      </w:r>
    </w:p>
    <w:p w14:paraId="7231D4FC" w14:textId="3A9E29E1" w:rsidR="00614B04" w:rsidRPr="002D39D0" w:rsidRDefault="00F3383E" w:rsidP="007C1E3E">
      <w:pPr>
        <w:pStyle w:val="Heading1"/>
        <w:spacing w:after="120"/>
      </w:pPr>
      <w:proofErr w:type="gramStart"/>
      <w:r w:rsidRPr="002D39D0">
        <w:lastRenderedPageBreak/>
        <w:t>Rapport prévus</w:t>
      </w:r>
      <w:proofErr w:type="gramEnd"/>
      <w:r w:rsidRPr="002D39D0">
        <w:t xml:space="preserve"> par l’annexe D de l’</w:t>
      </w:r>
      <w:r w:rsidR="00C5048D">
        <w:t>I</w:t>
      </w:r>
      <w:r w:rsidRPr="002D39D0">
        <w:t>nstrument de délégation et de responsabilisation en matière de nomination</w:t>
      </w:r>
    </w:p>
    <w:p w14:paraId="7CC4A9ED" w14:textId="77777777" w:rsidR="00614B04" w:rsidRPr="002D39D0" w:rsidRDefault="00F3383E" w:rsidP="00A95A8A">
      <w:pPr>
        <w:pStyle w:val="Heading2"/>
        <w:spacing w:after="120"/>
      </w:pPr>
      <w:r w:rsidRPr="002D39D0">
        <w:t>Recours au Décret d’exemption concernant les langues officielles dans la fonction publique et au Règlement sur les langues officielles – nominations dans la fonction publique</w:t>
      </w:r>
    </w:p>
    <w:p w14:paraId="1FB7D5F9" w14:textId="77777777" w:rsidR="00614B04" w:rsidRPr="002D39D0" w:rsidRDefault="00614B04" w:rsidP="004721CE">
      <w:pPr>
        <w:pStyle w:val="NoSpacing"/>
        <w:spacing w:after="120"/>
        <w:rPr>
          <w:rFonts w:asciiTheme="minorHAnsi" w:hAnsiTheme="minorHAnsi" w:cstheme="minorHAnsi"/>
          <w:color w:val="222222"/>
          <w:sz w:val="22"/>
          <w:szCs w:val="22"/>
        </w:rPr>
      </w:pPr>
      <w:r w:rsidRPr="002D39D0">
        <w:rPr>
          <w:rFonts w:asciiTheme="minorHAnsi" w:hAnsiTheme="minorHAnsi" w:cstheme="minorHAnsi"/>
          <w:color w:val="222222"/>
          <w:sz w:val="22"/>
          <w:szCs w:val="22"/>
        </w:rPr>
        <w:t xml:space="preserve">AMC a signalé que l’organisation a approuvé une prolongation en vertu du </w:t>
      </w:r>
      <w:r w:rsidRPr="002D39D0">
        <w:rPr>
          <w:rStyle w:val="Emphasis"/>
          <w:rFonts w:cstheme="minorHAnsi"/>
        </w:rPr>
        <w:t>Règlement sur les langues officielles – nominations dans la fonction publique</w:t>
      </w:r>
      <w:r w:rsidRPr="002D39D0">
        <w:rPr>
          <w:rFonts w:asciiTheme="minorHAnsi" w:hAnsiTheme="minorHAnsi" w:cstheme="minorHAnsi"/>
          <w:color w:val="222222"/>
          <w:sz w:val="20"/>
          <w:szCs w:val="22"/>
        </w:rPr>
        <w:t xml:space="preserve"> </w:t>
      </w:r>
      <w:r w:rsidRPr="002D39D0">
        <w:rPr>
          <w:rFonts w:asciiTheme="minorHAnsi" w:hAnsiTheme="minorHAnsi" w:cstheme="minorHAnsi"/>
          <w:color w:val="222222"/>
          <w:sz w:val="22"/>
          <w:szCs w:val="22"/>
        </w:rPr>
        <w:t>pour la période du 1</w:t>
      </w:r>
      <w:r w:rsidRPr="002D39D0">
        <w:rPr>
          <w:rFonts w:asciiTheme="minorHAnsi" w:hAnsiTheme="minorHAnsi" w:cstheme="minorHAnsi"/>
          <w:color w:val="222222"/>
          <w:sz w:val="22"/>
          <w:szCs w:val="22"/>
          <w:vertAlign w:val="superscript"/>
        </w:rPr>
        <w:t>er</w:t>
      </w:r>
      <w:r w:rsidRPr="002D39D0">
        <w:rPr>
          <w:rFonts w:asciiTheme="minorHAnsi" w:hAnsiTheme="minorHAnsi" w:cstheme="minorHAnsi"/>
          <w:color w:val="222222"/>
          <w:sz w:val="22"/>
          <w:szCs w:val="22"/>
        </w:rPr>
        <w:t xml:space="preserve"> avril 2018 au 31 mars 2019. </w:t>
      </w:r>
    </w:p>
    <w:p w14:paraId="6A986215" w14:textId="77777777" w:rsidR="00614B04" w:rsidRPr="002D39D0" w:rsidRDefault="00614B04" w:rsidP="007C1E3E">
      <w:pPr>
        <w:pStyle w:val="NoSpacing"/>
        <w:spacing w:after="120"/>
        <w:rPr>
          <w:rFonts w:asciiTheme="minorHAnsi" w:hAnsiTheme="minorHAnsi" w:cstheme="minorHAnsi"/>
          <w:color w:val="222222"/>
          <w:sz w:val="22"/>
          <w:szCs w:val="22"/>
        </w:rPr>
      </w:pPr>
      <w:r w:rsidRPr="002D39D0">
        <w:rPr>
          <w:rFonts w:asciiTheme="minorHAnsi" w:hAnsiTheme="minorHAnsi" w:cstheme="minorHAnsi"/>
          <w:color w:val="222222"/>
          <w:sz w:val="22"/>
          <w:szCs w:val="22"/>
        </w:rPr>
        <w:t>Entre le 3 avril 2012 et le 31 mars 2015, pour les employés touchés par le réaménagement des effectifs (fonctionnaires qui participent à un échange de postes ou qui bénéficient d’un droit de priorité de fonctionnaire excédentaire ou de personne mise en disponibilité), les résultats de l’évaluation de langue seconde (ELS) vieux de plus de cinq ans ont été réputés valides, sous réserve de confirmation dans un délai de 12 mois suivant l’échange de postes ou la nomination par priorité. AMC a un cas en suspens de confirmation d’ELS où, malgré ses efforts pour recommander l’employé à des gestionnaires d’autres directions générales d’AMC, l’organisation n’a pas réussi à trouver un poste pour lequel l’anglais est essentiel pour l’employé. L’employé a demandé une formation linguistique, et l’organisation examine maintenant les options. Aucune mesure n’est requise de la CFP pour le moment.</w:t>
      </w:r>
    </w:p>
    <w:p w14:paraId="72F7BB68" w14:textId="77777777" w:rsidR="00614B04" w:rsidRPr="002D39D0" w:rsidRDefault="00F3383E" w:rsidP="007C1E3E">
      <w:pPr>
        <w:pStyle w:val="Heading2"/>
        <w:spacing w:after="120"/>
      </w:pPr>
      <w:r w:rsidRPr="002D39D0">
        <w:t>Exceptions approuvées par l’Administrateur général aux exigences de la zone nationale de sélection pour un processus de nomination externe annoncé</w:t>
      </w:r>
    </w:p>
    <w:p w14:paraId="24DD87AF" w14:textId="77777777" w:rsidR="00614B04" w:rsidRPr="002D39D0" w:rsidRDefault="00614B04" w:rsidP="007C1E3E">
      <w:pPr>
        <w:pStyle w:val="NoSpacing"/>
        <w:spacing w:after="120"/>
        <w:rPr>
          <w:rFonts w:asciiTheme="minorHAnsi" w:hAnsiTheme="minorHAnsi" w:cstheme="minorHAnsi"/>
          <w:i/>
          <w:color w:val="000000"/>
          <w:sz w:val="22"/>
          <w:szCs w:val="22"/>
        </w:rPr>
      </w:pPr>
      <w:r w:rsidRPr="002D39D0">
        <w:rPr>
          <w:rFonts w:asciiTheme="minorHAnsi" w:hAnsiTheme="minorHAnsi" w:cstheme="minorHAnsi"/>
          <w:color w:val="000000"/>
          <w:sz w:val="22"/>
          <w:szCs w:val="22"/>
        </w:rPr>
        <w:t>L’AG d’AMC n’a approuvé aucune exception à la zone nationale de sélection.</w:t>
      </w:r>
    </w:p>
    <w:p w14:paraId="61AB04A3" w14:textId="77777777" w:rsidR="00614B04" w:rsidRPr="002D39D0" w:rsidRDefault="00614B04" w:rsidP="007C1E3E">
      <w:pPr>
        <w:pStyle w:val="Heading2"/>
        <w:spacing w:before="0" w:after="120"/>
      </w:pPr>
      <w:r w:rsidRPr="002D39D0">
        <w:t>Résultats de l’évaluation cyclique</w:t>
      </w:r>
      <w:r w:rsidR="00F3383E" w:rsidRPr="002D39D0">
        <w:t xml:space="preserve"> de l’organisation</w:t>
      </w:r>
    </w:p>
    <w:p w14:paraId="78DDC6AA" w14:textId="77777777" w:rsidR="00614B04" w:rsidRPr="002D39D0" w:rsidRDefault="00614B04" w:rsidP="007C1E3E">
      <w:pPr>
        <w:spacing w:after="120"/>
        <w:rPr>
          <w:rFonts w:asciiTheme="minorHAnsi" w:hAnsiTheme="minorHAnsi" w:cstheme="minorHAnsi"/>
          <w:sz w:val="22"/>
          <w:szCs w:val="22"/>
        </w:rPr>
      </w:pPr>
      <w:r w:rsidRPr="002D39D0">
        <w:rPr>
          <w:rFonts w:asciiTheme="minorHAnsi" w:hAnsiTheme="minorHAnsi" w:cstheme="minorHAnsi"/>
          <w:sz w:val="22"/>
          <w:szCs w:val="22"/>
        </w:rPr>
        <w:t>AMC a l’intention de fournir sa première évaluation cyclique avant la fin de l’exercice 2021</w:t>
      </w:r>
      <w:r w:rsidRPr="002D39D0">
        <w:rPr>
          <w:rFonts w:asciiTheme="minorHAnsi" w:hAnsiTheme="minorHAnsi" w:cstheme="minorHAnsi"/>
          <w:sz w:val="22"/>
          <w:szCs w:val="22"/>
        </w:rPr>
        <w:noBreakHyphen/>
        <w:t>2022.</w:t>
      </w:r>
    </w:p>
    <w:p w14:paraId="6F1B65B6" w14:textId="77777777" w:rsidR="00614B04" w:rsidRPr="002D39D0" w:rsidRDefault="00614B04" w:rsidP="007C1E3E">
      <w:pPr>
        <w:spacing w:after="120"/>
        <w:rPr>
          <w:rFonts w:asciiTheme="minorHAnsi" w:hAnsiTheme="minorHAnsi" w:cstheme="minorHAnsi"/>
          <w:sz w:val="22"/>
          <w:szCs w:val="22"/>
        </w:rPr>
      </w:pPr>
      <w:r w:rsidRPr="002D39D0">
        <w:rPr>
          <w:rFonts w:asciiTheme="minorHAnsi" w:hAnsiTheme="minorHAnsi" w:cstheme="minorHAnsi"/>
          <w:sz w:val="22"/>
          <w:szCs w:val="22"/>
        </w:rPr>
        <w:t>Depuis la mise en œuvre de la NOD, AMC a observé une augmentation de ses processus non annoncés, particulièrement au sein des groupes professionnels FI et PG. Les processus non annoncés d’AMC représentaient 52 % des nominations en 2018</w:t>
      </w:r>
      <w:r w:rsidRPr="002D39D0">
        <w:rPr>
          <w:rFonts w:asciiTheme="minorHAnsi" w:hAnsiTheme="minorHAnsi" w:cstheme="minorHAnsi"/>
          <w:sz w:val="22"/>
          <w:szCs w:val="22"/>
        </w:rPr>
        <w:noBreakHyphen/>
        <w:t>2019, comparativement à 33 % en 2016-2017. AMC a indiqué que cette question sera examinée dans le cadre de son exercice de surveillance.</w:t>
      </w:r>
    </w:p>
    <w:p w14:paraId="0919DDFF" w14:textId="77777777" w:rsidR="00614B04" w:rsidRPr="002D39D0" w:rsidRDefault="00614B04" w:rsidP="007C1E3E">
      <w:pPr>
        <w:pStyle w:val="Heading2"/>
        <w:spacing w:after="120"/>
      </w:pPr>
      <w:r w:rsidRPr="002D39D0">
        <w:t>Demandes de renseignements et tendances</w:t>
      </w:r>
    </w:p>
    <w:p w14:paraId="40664240" w14:textId="77777777" w:rsidR="00614B04" w:rsidRPr="002D39D0" w:rsidRDefault="00614B04" w:rsidP="007C1E3E">
      <w:pPr>
        <w:shd w:val="clear" w:color="auto" w:fill="FFFFFF" w:themeFill="background1"/>
        <w:spacing w:after="120"/>
        <w:rPr>
          <w:rFonts w:asciiTheme="minorHAnsi" w:hAnsiTheme="minorHAnsi" w:cstheme="minorHAnsi"/>
          <w:sz w:val="22"/>
          <w:szCs w:val="22"/>
        </w:rPr>
      </w:pPr>
      <w:r w:rsidRPr="002D39D0">
        <w:rPr>
          <w:rFonts w:asciiTheme="minorHAnsi" w:hAnsiTheme="minorHAnsi" w:cstheme="minorHAnsi"/>
          <w:sz w:val="22"/>
          <w:szCs w:val="22"/>
        </w:rPr>
        <w:t>Du 1</w:t>
      </w:r>
      <w:r w:rsidRPr="002D39D0">
        <w:rPr>
          <w:rFonts w:asciiTheme="minorHAnsi" w:hAnsiTheme="minorHAnsi" w:cstheme="minorHAnsi"/>
          <w:sz w:val="22"/>
          <w:szCs w:val="22"/>
          <w:vertAlign w:val="superscript"/>
        </w:rPr>
        <w:t>er</w:t>
      </w:r>
      <w:r w:rsidRPr="002D39D0">
        <w:rPr>
          <w:rFonts w:asciiTheme="minorHAnsi" w:hAnsiTheme="minorHAnsi" w:cstheme="minorHAnsi"/>
          <w:sz w:val="22"/>
          <w:szCs w:val="22"/>
        </w:rPr>
        <w:t xml:space="preserve"> avril 2017 au 31 janvier 2019, la CFP a reçu un total de 63 demandes de renseignements d’AMC. Ces demandes portaient sur 19 sujets différents, mais principalement sur la </w:t>
      </w:r>
      <w:r w:rsidRPr="002D39D0">
        <w:rPr>
          <w:rStyle w:val="Emphasis"/>
          <w:rFonts w:cstheme="minorHAnsi"/>
        </w:rPr>
        <w:t>Loi sur l’emploi dans la fonction publique</w:t>
      </w:r>
      <w:r w:rsidRPr="002D39D0">
        <w:rPr>
          <w:rFonts w:asciiTheme="minorHAnsi" w:hAnsiTheme="minorHAnsi" w:cstheme="minorHAnsi"/>
          <w:sz w:val="22"/>
          <w:szCs w:val="22"/>
        </w:rPr>
        <w:t> (LEFP) et l’évaluation dans le cadre du processus de dotation.</w:t>
      </w:r>
    </w:p>
    <w:p w14:paraId="2E085716" w14:textId="77777777" w:rsidR="00614B04" w:rsidRPr="002D39D0" w:rsidRDefault="00BB40A9" w:rsidP="007C1E3E">
      <w:pPr>
        <w:pStyle w:val="Heading1"/>
        <w:spacing w:after="120"/>
      </w:pPr>
      <w:r w:rsidRPr="002D39D0">
        <w:lastRenderedPageBreak/>
        <w:t>S</w:t>
      </w:r>
      <w:r w:rsidR="00614B04" w:rsidRPr="002D39D0">
        <w:t>urveillance</w:t>
      </w:r>
    </w:p>
    <w:p w14:paraId="1101A58F" w14:textId="77777777" w:rsidR="00614B04" w:rsidRPr="002D39D0" w:rsidRDefault="00614B04" w:rsidP="00A95A8A">
      <w:pPr>
        <w:pStyle w:val="Heading2"/>
        <w:spacing w:after="120"/>
        <w:rPr>
          <w:u w:val="single"/>
        </w:rPr>
      </w:pPr>
      <w:r w:rsidRPr="002D39D0">
        <w:t xml:space="preserve">Vérifications </w:t>
      </w:r>
    </w:p>
    <w:p w14:paraId="07392C21" w14:textId="77777777" w:rsidR="00614B04" w:rsidRPr="002D39D0" w:rsidRDefault="00614B04" w:rsidP="007C1E3E">
      <w:pPr>
        <w:pStyle w:val="NoSpacing"/>
        <w:spacing w:after="120"/>
        <w:rPr>
          <w:rFonts w:asciiTheme="minorHAnsi" w:hAnsiTheme="minorHAnsi" w:cstheme="minorHAnsi"/>
          <w:color w:val="000000"/>
          <w:sz w:val="22"/>
          <w:szCs w:val="22"/>
        </w:rPr>
      </w:pPr>
      <w:r w:rsidRPr="002D39D0">
        <w:rPr>
          <w:rFonts w:asciiTheme="minorHAnsi" w:hAnsiTheme="minorHAnsi" w:cstheme="minorHAnsi"/>
          <w:color w:val="000000"/>
          <w:sz w:val="22"/>
          <w:szCs w:val="22"/>
        </w:rPr>
        <w:t>En 2011, AMC a fait l’objet d’une vérification par la CFP. En août 2015, la CFP a déterminé qu’elle était satisfaite des progrès réalisés par l’organisation dans la mise en œuvre des recommandations de la vérification.</w:t>
      </w:r>
    </w:p>
    <w:p w14:paraId="375EA4E9" w14:textId="77777777" w:rsidR="00614B04" w:rsidRPr="002D39D0" w:rsidRDefault="00614B04" w:rsidP="007C1E3E">
      <w:pPr>
        <w:pStyle w:val="NoSpacing"/>
        <w:spacing w:after="120"/>
        <w:rPr>
          <w:rFonts w:asciiTheme="minorHAnsi" w:hAnsiTheme="minorHAnsi" w:cstheme="minorHAnsi"/>
          <w:color w:val="000000"/>
          <w:sz w:val="22"/>
          <w:szCs w:val="22"/>
        </w:rPr>
      </w:pPr>
      <w:r w:rsidRPr="002D39D0">
        <w:rPr>
          <w:rFonts w:asciiTheme="minorHAnsi" w:hAnsiTheme="minorHAnsi" w:cstheme="minorHAnsi"/>
          <w:color w:val="000000"/>
          <w:sz w:val="22"/>
          <w:szCs w:val="22"/>
        </w:rPr>
        <w:t xml:space="preserve">AMC faisait partie de la vérification de la dotation pour l’ensemble du système, dont le rapport final a été publié en décembre 2018. </w:t>
      </w:r>
    </w:p>
    <w:p w14:paraId="47C63547" w14:textId="60B97155" w:rsidR="00CD5B65" w:rsidRDefault="00614B04" w:rsidP="007C1E3E">
      <w:pPr>
        <w:pStyle w:val="NoSpacing"/>
        <w:spacing w:after="120"/>
      </w:pPr>
      <w:r w:rsidRPr="002D39D0">
        <w:rPr>
          <w:rFonts w:asciiTheme="minorHAnsi" w:hAnsiTheme="minorHAnsi" w:cstheme="minorHAnsi"/>
          <w:color w:val="000000"/>
          <w:sz w:val="22"/>
          <w:szCs w:val="22"/>
        </w:rPr>
        <w:t>AMC fait partie des 30 organisations sélectionnées aux fins de la vérification de la représentation des groupes visés par l’équité en matière d’emploi dans les activités de recrutement qui est en cours.</w:t>
      </w:r>
    </w:p>
    <w:p w14:paraId="19F6C441" w14:textId="77777777" w:rsidR="00614B04" w:rsidRPr="002D39D0" w:rsidRDefault="00614B04" w:rsidP="007C1E3E">
      <w:pPr>
        <w:pStyle w:val="Heading2"/>
        <w:spacing w:after="120"/>
        <w:rPr>
          <w:u w:val="single"/>
        </w:rPr>
      </w:pPr>
      <w:r w:rsidRPr="002D39D0">
        <w:t>Enquêtes</w:t>
      </w:r>
    </w:p>
    <w:p w14:paraId="2AD3B4D3" w14:textId="77777777" w:rsidR="00614B04" w:rsidRPr="002D39D0" w:rsidRDefault="00614B04" w:rsidP="00CD5B65">
      <w:pPr>
        <w:pStyle w:val="NoSpacing"/>
        <w:spacing w:after="120"/>
        <w:rPr>
          <w:rFonts w:asciiTheme="minorHAnsi" w:hAnsiTheme="minorHAnsi" w:cstheme="minorHAnsi"/>
          <w:color w:val="000000"/>
          <w:sz w:val="22"/>
          <w:szCs w:val="22"/>
        </w:rPr>
      </w:pPr>
      <w:r w:rsidRPr="002D39D0">
        <w:rPr>
          <w:rFonts w:asciiTheme="minorHAnsi" w:hAnsiTheme="minorHAnsi" w:cstheme="minorHAnsi"/>
          <w:color w:val="000000"/>
          <w:sz w:val="22"/>
          <w:szCs w:val="22"/>
        </w:rPr>
        <w:t xml:space="preserve">Entre le 5 mai 2016 et le 5 mai 2019, la CFP a reçu 20 cas aux fins d’enquête concernant AMC. Parmi ceux-ci, huit ont été renvoyés par l’organisation. Au cours de cette période, 14 cas n’ont pas été acceptés, 4 étaient non fondés, 1 était fondé et 2 sont toujours en cours. </w:t>
      </w:r>
    </w:p>
    <w:p w14:paraId="16CCD9DF" w14:textId="453DA67E" w:rsidR="00CD5B65" w:rsidRPr="007C1E3E" w:rsidRDefault="00CD5B65" w:rsidP="00CD5B65">
      <w:pPr>
        <w:pStyle w:val="Caption"/>
        <w:keepNext/>
        <w:spacing w:after="0"/>
        <w:rPr>
          <w:rFonts w:asciiTheme="minorHAnsi" w:hAnsiTheme="minorHAnsi" w:cstheme="minorHAnsi"/>
          <w:i w:val="0"/>
          <w:color w:val="auto"/>
        </w:rPr>
      </w:pPr>
      <w:r w:rsidRPr="007C1E3E">
        <w:rPr>
          <w:rFonts w:asciiTheme="minorHAnsi" w:hAnsiTheme="minorHAnsi" w:cstheme="minorHAnsi"/>
          <w:i w:val="0"/>
          <w:color w:val="auto"/>
        </w:rPr>
        <w:t xml:space="preserve">Table </w:t>
      </w:r>
      <w:r w:rsidRPr="007C1E3E">
        <w:rPr>
          <w:rFonts w:asciiTheme="minorHAnsi" w:hAnsiTheme="minorHAnsi" w:cstheme="minorHAnsi"/>
          <w:i w:val="0"/>
          <w:color w:val="auto"/>
        </w:rPr>
        <w:fldChar w:fldCharType="begin"/>
      </w:r>
      <w:r w:rsidRPr="007C1E3E">
        <w:rPr>
          <w:rFonts w:asciiTheme="minorHAnsi" w:hAnsiTheme="minorHAnsi" w:cstheme="minorHAnsi"/>
          <w:i w:val="0"/>
          <w:color w:val="auto"/>
        </w:rPr>
        <w:instrText xml:space="preserve"> SEQ Table \* ARABIC </w:instrText>
      </w:r>
      <w:r w:rsidRPr="007C1E3E">
        <w:rPr>
          <w:rFonts w:asciiTheme="minorHAnsi" w:hAnsiTheme="minorHAnsi" w:cstheme="minorHAnsi"/>
          <w:i w:val="0"/>
          <w:color w:val="auto"/>
        </w:rPr>
        <w:fldChar w:fldCharType="separate"/>
      </w:r>
      <w:r w:rsidR="00C42F1B" w:rsidRPr="002D39D0">
        <w:rPr>
          <w:rFonts w:asciiTheme="minorHAnsi" w:hAnsiTheme="minorHAnsi" w:cstheme="minorHAnsi"/>
          <w:i w:val="0"/>
          <w:noProof/>
          <w:color w:val="auto"/>
        </w:rPr>
        <w:t>3</w:t>
      </w:r>
      <w:r w:rsidRPr="007C1E3E">
        <w:rPr>
          <w:rFonts w:asciiTheme="minorHAnsi" w:hAnsiTheme="minorHAnsi" w:cstheme="minorHAnsi"/>
          <w:i w:val="0"/>
          <w:color w:val="auto"/>
        </w:rPr>
        <w:fldChar w:fldCharType="end"/>
      </w:r>
      <w:r w:rsidRPr="007C1E3E">
        <w:rPr>
          <w:rFonts w:asciiTheme="minorHAnsi" w:hAnsiTheme="minorHAnsi" w:cstheme="minorHAnsi"/>
          <w:i w:val="0"/>
          <w:color w:val="auto"/>
        </w:rPr>
        <w:t>- Enquêtes</w:t>
      </w:r>
    </w:p>
    <w:tbl>
      <w:tblPr>
        <w:tblStyle w:val="TableGrid"/>
        <w:tblW w:w="0" w:type="auto"/>
        <w:jc w:val="center"/>
        <w:tblLook w:val="04A0" w:firstRow="1" w:lastRow="0" w:firstColumn="1" w:lastColumn="0" w:noHBand="0" w:noVBand="1"/>
        <w:tblDescription w:val="Enquêtes"/>
      </w:tblPr>
      <w:tblGrid>
        <w:gridCol w:w="3239"/>
        <w:gridCol w:w="1264"/>
        <w:gridCol w:w="1838"/>
        <w:gridCol w:w="1270"/>
        <w:gridCol w:w="1063"/>
        <w:gridCol w:w="948"/>
      </w:tblGrid>
      <w:tr w:rsidR="00CD5B65" w:rsidRPr="004721CE" w14:paraId="1AA48170" w14:textId="77777777" w:rsidTr="007C1E3E">
        <w:trPr>
          <w:cantSplit/>
          <w:tblHeader/>
          <w:jc w:val="center"/>
        </w:trPr>
        <w:tc>
          <w:tcPr>
            <w:tcW w:w="3256" w:type="dxa"/>
            <w:shd w:val="clear" w:color="auto" w:fill="54575A" w:themeFill="text1"/>
          </w:tcPr>
          <w:p w14:paraId="4BCF03F9" w14:textId="77777777" w:rsidR="00CD5B65" w:rsidRPr="00102E83" w:rsidRDefault="00CD5B65" w:rsidP="00CD5B65">
            <w:pPr>
              <w:pStyle w:val="TableTitle"/>
              <w:rPr>
                <w:rFonts w:cs="Segoe UI Semibold"/>
                <w:b w:val="0"/>
                <w:color w:val="FFFFFF" w:themeColor="background1"/>
                <w:szCs w:val="22"/>
              </w:rPr>
            </w:pPr>
            <w:r w:rsidRPr="00102E83">
              <w:rPr>
                <w:rFonts w:cs="Segoe UI Semibold"/>
                <w:b w:val="0"/>
                <w:color w:val="FFFFFF" w:themeColor="background1"/>
                <w:szCs w:val="22"/>
              </w:rPr>
              <w:t>Nature de la question</w:t>
            </w:r>
          </w:p>
        </w:tc>
        <w:tc>
          <w:tcPr>
            <w:tcW w:w="1275" w:type="dxa"/>
            <w:shd w:val="clear" w:color="auto" w:fill="54575A" w:themeFill="text1"/>
          </w:tcPr>
          <w:p w14:paraId="5FD837A1" w14:textId="77777777" w:rsidR="00CD5B65" w:rsidRPr="00517044" w:rsidRDefault="00CD5B65" w:rsidP="00CD5B65">
            <w:pPr>
              <w:pStyle w:val="TableTitle"/>
              <w:rPr>
                <w:rFonts w:cs="Segoe UI Semibold"/>
                <w:b w:val="0"/>
                <w:color w:val="FFFFFF" w:themeColor="background1"/>
                <w:szCs w:val="22"/>
              </w:rPr>
            </w:pPr>
            <w:r w:rsidRPr="00517044">
              <w:rPr>
                <w:rFonts w:cs="Segoe UI Semibold"/>
                <w:b w:val="0"/>
                <w:color w:val="FFFFFF" w:themeColor="background1"/>
                <w:szCs w:val="22"/>
              </w:rPr>
              <w:t>Cas reçus</w:t>
            </w:r>
          </w:p>
        </w:tc>
        <w:tc>
          <w:tcPr>
            <w:tcW w:w="1843" w:type="dxa"/>
            <w:shd w:val="clear" w:color="auto" w:fill="54575A" w:themeFill="text1"/>
          </w:tcPr>
          <w:p w14:paraId="04DB02F8" w14:textId="77777777" w:rsidR="00CD5B65" w:rsidRPr="00517044" w:rsidRDefault="00CD5B65" w:rsidP="00CD5B65">
            <w:pPr>
              <w:pStyle w:val="TableTitle"/>
              <w:rPr>
                <w:rFonts w:cs="Segoe UI Semibold"/>
                <w:b w:val="0"/>
                <w:color w:val="FFFFFF" w:themeColor="background1"/>
                <w:szCs w:val="22"/>
              </w:rPr>
            </w:pPr>
            <w:r w:rsidRPr="00517044">
              <w:rPr>
                <w:rFonts w:cs="Segoe UI Semibold"/>
                <w:b w:val="0"/>
                <w:color w:val="FFFFFF" w:themeColor="background1"/>
                <w:szCs w:val="22"/>
              </w:rPr>
              <w:t>Cas renvoyés par l’organisation</w:t>
            </w:r>
          </w:p>
        </w:tc>
        <w:tc>
          <w:tcPr>
            <w:tcW w:w="1276" w:type="dxa"/>
            <w:shd w:val="clear" w:color="auto" w:fill="54575A" w:themeFill="text1"/>
          </w:tcPr>
          <w:p w14:paraId="610D91A6" w14:textId="77777777" w:rsidR="00CD5B65" w:rsidRPr="00517044" w:rsidRDefault="00CD5B65" w:rsidP="00CD5B65">
            <w:pPr>
              <w:pStyle w:val="TableTitle"/>
              <w:rPr>
                <w:rFonts w:cs="Segoe UI Semibold"/>
                <w:b w:val="0"/>
                <w:color w:val="FFFFFF" w:themeColor="background1"/>
                <w:szCs w:val="22"/>
              </w:rPr>
            </w:pPr>
            <w:r w:rsidRPr="00517044">
              <w:rPr>
                <w:rFonts w:cs="Segoe UI Semibold"/>
                <w:b w:val="0"/>
                <w:color w:val="FFFFFF" w:themeColor="background1"/>
                <w:szCs w:val="22"/>
              </w:rPr>
              <w:t>Fermé – Non-accepté</w:t>
            </w:r>
          </w:p>
        </w:tc>
        <w:tc>
          <w:tcPr>
            <w:tcW w:w="1066" w:type="dxa"/>
            <w:shd w:val="clear" w:color="auto" w:fill="54575A" w:themeFill="text1"/>
          </w:tcPr>
          <w:p w14:paraId="609977ED" w14:textId="77777777" w:rsidR="00CD5B65" w:rsidRPr="004721CE" w:rsidRDefault="00CD5B65" w:rsidP="00CD5B65">
            <w:pPr>
              <w:pStyle w:val="TableTitle"/>
              <w:rPr>
                <w:rFonts w:cs="Segoe UI Semibold"/>
                <w:b w:val="0"/>
                <w:color w:val="FFFFFF" w:themeColor="background1"/>
                <w:szCs w:val="22"/>
              </w:rPr>
            </w:pPr>
            <w:r w:rsidRPr="004721CE">
              <w:rPr>
                <w:rFonts w:cs="Segoe UI Semibold"/>
                <w:b w:val="0"/>
                <w:color w:val="FFFFFF" w:themeColor="background1"/>
                <w:szCs w:val="22"/>
              </w:rPr>
              <w:t>Achevé (non fondé)</w:t>
            </w:r>
          </w:p>
        </w:tc>
        <w:tc>
          <w:tcPr>
            <w:tcW w:w="0" w:type="auto"/>
            <w:shd w:val="clear" w:color="auto" w:fill="54575A" w:themeFill="text1"/>
          </w:tcPr>
          <w:p w14:paraId="7A9AAB24" w14:textId="77777777" w:rsidR="00CD5B65" w:rsidRPr="004721CE" w:rsidRDefault="00CD5B65" w:rsidP="00CD5B65">
            <w:pPr>
              <w:pStyle w:val="TableTitle"/>
              <w:rPr>
                <w:rFonts w:cs="Segoe UI Semibold"/>
                <w:b w:val="0"/>
                <w:color w:val="FFFFFF" w:themeColor="background1"/>
                <w:szCs w:val="22"/>
              </w:rPr>
            </w:pPr>
            <w:r w:rsidRPr="004721CE">
              <w:rPr>
                <w:rFonts w:cs="Segoe UI Semibold"/>
                <w:b w:val="0"/>
                <w:color w:val="FFFFFF" w:themeColor="background1"/>
                <w:szCs w:val="22"/>
              </w:rPr>
              <w:t>Achevé (fondé)</w:t>
            </w:r>
          </w:p>
        </w:tc>
      </w:tr>
      <w:tr w:rsidR="00CD5B65" w:rsidRPr="002D39D0" w14:paraId="544EA497" w14:textId="77777777" w:rsidTr="007C1E3E">
        <w:trPr>
          <w:cantSplit/>
          <w:tblHeader/>
          <w:jc w:val="center"/>
        </w:trPr>
        <w:tc>
          <w:tcPr>
            <w:tcW w:w="3256" w:type="dxa"/>
            <w:shd w:val="clear" w:color="auto" w:fill="54575A" w:themeFill="text1"/>
          </w:tcPr>
          <w:p w14:paraId="340654D2" w14:textId="77777777" w:rsidR="00CD5B65" w:rsidRPr="002D39D0" w:rsidRDefault="00CD5B65" w:rsidP="000F48C6">
            <w:pPr>
              <w:pStyle w:val="Level1"/>
              <w:tabs>
                <w:tab w:val="left" w:pos="-1440"/>
              </w:tabs>
              <w:autoSpaceDE w:val="0"/>
              <w:autoSpaceDN w:val="0"/>
              <w:adjustRightInd w:val="0"/>
              <w:spacing w:after="120" w:line="20" w:lineRule="atLeast"/>
              <w:rPr>
                <w:rFonts w:asciiTheme="minorHAnsi" w:hAnsiTheme="minorHAnsi" w:cstheme="minorHAnsi"/>
                <w:bCs/>
                <w:color w:val="FFFFFF" w:themeColor="background1"/>
                <w:sz w:val="22"/>
                <w:szCs w:val="22"/>
              </w:rPr>
            </w:pPr>
            <w:r w:rsidRPr="002D39D0">
              <w:rPr>
                <w:rFonts w:asciiTheme="minorHAnsi" w:hAnsiTheme="minorHAnsi" w:cstheme="minorHAnsi"/>
                <w:color w:val="FFFFFF" w:themeColor="background1"/>
                <w:sz w:val="22"/>
                <w:szCs w:val="22"/>
              </w:rPr>
              <w:t>Article 66 : Processus de nomination externe (mérite, erreur, omission ou conduite irrégulière)</w:t>
            </w:r>
          </w:p>
        </w:tc>
        <w:tc>
          <w:tcPr>
            <w:tcW w:w="1275" w:type="dxa"/>
          </w:tcPr>
          <w:p w14:paraId="71F0B96E" w14:textId="77777777" w:rsidR="00CD5B65" w:rsidRPr="00B10F70" w:rsidRDefault="00CD5B65" w:rsidP="000F48C6">
            <w:pPr>
              <w:pStyle w:val="Level1"/>
              <w:tabs>
                <w:tab w:val="left" w:pos="-1440"/>
              </w:tabs>
              <w:autoSpaceDE w:val="0"/>
              <w:autoSpaceDN w:val="0"/>
              <w:adjustRightInd w:val="0"/>
              <w:spacing w:after="120" w:line="20" w:lineRule="atLeast"/>
              <w:jc w:val="center"/>
              <w:rPr>
                <w:rFonts w:asciiTheme="minorHAnsi" w:hAnsiTheme="minorHAnsi" w:cstheme="minorHAnsi"/>
                <w:bCs/>
                <w:sz w:val="22"/>
                <w:szCs w:val="22"/>
              </w:rPr>
            </w:pPr>
            <w:r w:rsidRPr="00B10F70">
              <w:rPr>
                <w:rFonts w:asciiTheme="minorHAnsi" w:hAnsiTheme="minorHAnsi" w:cstheme="minorHAnsi"/>
                <w:bCs/>
                <w:sz w:val="22"/>
                <w:szCs w:val="22"/>
              </w:rPr>
              <w:t>15</w:t>
            </w:r>
          </w:p>
        </w:tc>
        <w:tc>
          <w:tcPr>
            <w:tcW w:w="1843" w:type="dxa"/>
          </w:tcPr>
          <w:p w14:paraId="3B069331" w14:textId="77777777" w:rsidR="00CD5B65" w:rsidRPr="00B10F70" w:rsidRDefault="00CD5B65" w:rsidP="000F48C6">
            <w:pPr>
              <w:pStyle w:val="Level1"/>
              <w:tabs>
                <w:tab w:val="left" w:pos="-1440"/>
              </w:tabs>
              <w:autoSpaceDE w:val="0"/>
              <w:autoSpaceDN w:val="0"/>
              <w:adjustRightInd w:val="0"/>
              <w:spacing w:after="120" w:line="20" w:lineRule="atLeast"/>
              <w:jc w:val="center"/>
              <w:rPr>
                <w:rFonts w:asciiTheme="minorHAnsi" w:hAnsiTheme="minorHAnsi" w:cstheme="minorHAnsi"/>
                <w:bCs/>
                <w:sz w:val="22"/>
                <w:szCs w:val="22"/>
              </w:rPr>
            </w:pPr>
            <w:r w:rsidRPr="00B10F70">
              <w:rPr>
                <w:rFonts w:asciiTheme="minorHAnsi" w:hAnsiTheme="minorHAnsi" w:cstheme="minorHAnsi"/>
                <w:bCs/>
                <w:sz w:val="22"/>
                <w:szCs w:val="22"/>
              </w:rPr>
              <w:t>3</w:t>
            </w:r>
          </w:p>
        </w:tc>
        <w:tc>
          <w:tcPr>
            <w:tcW w:w="1276" w:type="dxa"/>
          </w:tcPr>
          <w:p w14:paraId="06499DBD" w14:textId="77777777" w:rsidR="00CD5B65" w:rsidRPr="00B10F70" w:rsidRDefault="00CD5B65" w:rsidP="000F48C6">
            <w:pPr>
              <w:pStyle w:val="Level1"/>
              <w:tabs>
                <w:tab w:val="left" w:pos="-1440"/>
              </w:tabs>
              <w:autoSpaceDE w:val="0"/>
              <w:autoSpaceDN w:val="0"/>
              <w:adjustRightInd w:val="0"/>
              <w:spacing w:after="120" w:line="20" w:lineRule="atLeast"/>
              <w:jc w:val="center"/>
              <w:rPr>
                <w:rFonts w:asciiTheme="minorHAnsi" w:hAnsiTheme="minorHAnsi" w:cstheme="minorHAnsi"/>
                <w:bCs/>
                <w:sz w:val="22"/>
                <w:szCs w:val="22"/>
              </w:rPr>
            </w:pPr>
            <w:r w:rsidRPr="00B10F70">
              <w:rPr>
                <w:rFonts w:asciiTheme="minorHAnsi" w:hAnsiTheme="minorHAnsi" w:cstheme="minorHAnsi"/>
                <w:bCs/>
                <w:sz w:val="22"/>
                <w:szCs w:val="22"/>
              </w:rPr>
              <w:t>13</w:t>
            </w:r>
          </w:p>
        </w:tc>
        <w:tc>
          <w:tcPr>
            <w:tcW w:w="1066" w:type="dxa"/>
          </w:tcPr>
          <w:p w14:paraId="51351475" w14:textId="77777777" w:rsidR="00CD5B65" w:rsidRPr="00B10F70" w:rsidRDefault="00CD5B65" w:rsidP="000F48C6">
            <w:pPr>
              <w:pStyle w:val="Level1"/>
              <w:tabs>
                <w:tab w:val="left" w:pos="-1440"/>
              </w:tabs>
              <w:autoSpaceDE w:val="0"/>
              <w:autoSpaceDN w:val="0"/>
              <w:adjustRightInd w:val="0"/>
              <w:spacing w:after="120" w:line="20" w:lineRule="atLeast"/>
              <w:jc w:val="center"/>
              <w:rPr>
                <w:rFonts w:asciiTheme="minorHAnsi" w:hAnsiTheme="minorHAnsi" w:cstheme="minorHAnsi"/>
                <w:bCs/>
                <w:sz w:val="22"/>
                <w:szCs w:val="22"/>
              </w:rPr>
            </w:pPr>
            <w:r w:rsidRPr="00B10F70">
              <w:rPr>
                <w:rFonts w:asciiTheme="minorHAnsi" w:hAnsiTheme="minorHAnsi" w:cstheme="minorHAnsi"/>
                <w:bCs/>
                <w:sz w:val="22"/>
                <w:szCs w:val="22"/>
              </w:rPr>
              <w:t>0</w:t>
            </w:r>
          </w:p>
        </w:tc>
        <w:tc>
          <w:tcPr>
            <w:tcW w:w="0" w:type="auto"/>
          </w:tcPr>
          <w:p w14:paraId="7C5E9A34" w14:textId="77777777" w:rsidR="00CD5B65" w:rsidRPr="00B10F70" w:rsidRDefault="00CD5B65" w:rsidP="000F48C6">
            <w:pPr>
              <w:pStyle w:val="Level1"/>
              <w:tabs>
                <w:tab w:val="left" w:pos="-1440"/>
              </w:tabs>
              <w:autoSpaceDE w:val="0"/>
              <w:autoSpaceDN w:val="0"/>
              <w:adjustRightInd w:val="0"/>
              <w:spacing w:after="120" w:line="20" w:lineRule="atLeast"/>
              <w:jc w:val="center"/>
              <w:rPr>
                <w:rFonts w:asciiTheme="minorHAnsi" w:hAnsiTheme="minorHAnsi" w:cstheme="minorHAnsi"/>
                <w:bCs/>
                <w:sz w:val="22"/>
                <w:szCs w:val="22"/>
              </w:rPr>
            </w:pPr>
            <w:r w:rsidRPr="00B10F70">
              <w:rPr>
                <w:rFonts w:asciiTheme="minorHAnsi" w:hAnsiTheme="minorHAnsi" w:cstheme="minorHAnsi"/>
                <w:bCs/>
                <w:sz w:val="22"/>
                <w:szCs w:val="22"/>
              </w:rPr>
              <w:t>0</w:t>
            </w:r>
          </w:p>
        </w:tc>
      </w:tr>
      <w:tr w:rsidR="00CD5B65" w:rsidRPr="002D39D0" w14:paraId="13BA3686" w14:textId="77777777" w:rsidTr="007C1E3E">
        <w:trPr>
          <w:cantSplit/>
          <w:tblHeader/>
          <w:jc w:val="center"/>
        </w:trPr>
        <w:tc>
          <w:tcPr>
            <w:tcW w:w="3256" w:type="dxa"/>
            <w:shd w:val="clear" w:color="auto" w:fill="54575A" w:themeFill="text1"/>
          </w:tcPr>
          <w:p w14:paraId="680D1DAE" w14:textId="3C0D4B84" w:rsidR="00CD5B65" w:rsidRPr="002D39D0" w:rsidRDefault="00CD5B65" w:rsidP="000F48C6">
            <w:pPr>
              <w:pStyle w:val="Level1"/>
              <w:tabs>
                <w:tab w:val="left" w:pos="-1440"/>
              </w:tabs>
              <w:autoSpaceDE w:val="0"/>
              <w:autoSpaceDN w:val="0"/>
              <w:adjustRightInd w:val="0"/>
              <w:spacing w:after="120" w:line="20" w:lineRule="atLeast"/>
              <w:rPr>
                <w:rFonts w:asciiTheme="minorHAnsi" w:hAnsiTheme="minorHAnsi" w:cstheme="minorHAnsi"/>
                <w:bCs/>
                <w:color w:val="FFFFFF" w:themeColor="background1"/>
                <w:sz w:val="22"/>
                <w:szCs w:val="22"/>
              </w:rPr>
            </w:pPr>
            <w:r w:rsidRPr="002D39D0">
              <w:rPr>
                <w:rFonts w:asciiTheme="minorHAnsi" w:hAnsiTheme="minorHAnsi" w:cstheme="minorHAnsi"/>
                <w:color w:val="FFFFFF" w:themeColor="background1"/>
                <w:sz w:val="22"/>
                <w:szCs w:val="22"/>
              </w:rPr>
              <w:t>Paragraphe 67 : Nomination interne – à la demande de l’administrateur général</w:t>
            </w:r>
          </w:p>
        </w:tc>
        <w:tc>
          <w:tcPr>
            <w:tcW w:w="1275" w:type="dxa"/>
          </w:tcPr>
          <w:p w14:paraId="5A387A78" w14:textId="77777777" w:rsidR="00CD5B65" w:rsidRPr="00B10F70" w:rsidRDefault="00CD5B65" w:rsidP="000F48C6">
            <w:pPr>
              <w:pStyle w:val="Level1"/>
              <w:tabs>
                <w:tab w:val="left" w:pos="-1440"/>
              </w:tabs>
              <w:autoSpaceDE w:val="0"/>
              <w:autoSpaceDN w:val="0"/>
              <w:adjustRightInd w:val="0"/>
              <w:spacing w:after="120" w:line="20" w:lineRule="atLeast"/>
              <w:jc w:val="center"/>
              <w:rPr>
                <w:rFonts w:asciiTheme="minorHAnsi" w:hAnsiTheme="minorHAnsi" w:cstheme="minorHAnsi"/>
                <w:bCs/>
                <w:sz w:val="22"/>
                <w:szCs w:val="22"/>
              </w:rPr>
            </w:pPr>
            <w:r w:rsidRPr="00B10F70">
              <w:rPr>
                <w:rFonts w:asciiTheme="minorHAnsi" w:hAnsiTheme="minorHAnsi" w:cstheme="minorHAnsi"/>
                <w:bCs/>
                <w:sz w:val="22"/>
                <w:szCs w:val="22"/>
              </w:rPr>
              <w:t>0</w:t>
            </w:r>
          </w:p>
        </w:tc>
        <w:tc>
          <w:tcPr>
            <w:tcW w:w="1843" w:type="dxa"/>
          </w:tcPr>
          <w:p w14:paraId="43BF3AC4" w14:textId="77777777" w:rsidR="00CD5B65" w:rsidRPr="00B10F70" w:rsidRDefault="00CD5B65" w:rsidP="000F48C6">
            <w:pPr>
              <w:pStyle w:val="Level1"/>
              <w:tabs>
                <w:tab w:val="left" w:pos="-1440"/>
              </w:tabs>
              <w:autoSpaceDE w:val="0"/>
              <w:autoSpaceDN w:val="0"/>
              <w:adjustRightInd w:val="0"/>
              <w:spacing w:after="120" w:line="20" w:lineRule="atLeast"/>
              <w:jc w:val="center"/>
              <w:rPr>
                <w:rFonts w:asciiTheme="minorHAnsi" w:hAnsiTheme="minorHAnsi" w:cstheme="minorHAnsi"/>
                <w:bCs/>
                <w:sz w:val="22"/>
                <w:szCs w:val="22"/>
              </w:rPr>
            </w:pPr>
            <w:r w:rsidRPr="00B10F70">
              <w:rPr>
                <w:rFonts w:asciiTheme="minorHAnsi" w:hAnsiTheme="minorHAnsi" w:cstheme="minorHAnsi"/>
                <w:bCs/>
                <w:sz w:val="22"/>
                <w:szCs w:val="22"/>
              </w:rPr>
              <w:t>0</w:t>
            </w:r>
          </w:p>
        </w:tc>
        <w:tc>
          <w:tcPr>
            <w:tcW w:w="1276" w:type="dxa"/>
          </w:tcPr>
          <w:p w14:paraId="1A3E3DA2" w14:textId="77777777" w:rsidR="00CD5B65" w:rsidRPr="00B10F70" w:rsidRDefault="00CD5B65" w:rsidP="000F48C6">
            <w:pPr>
              <w:pStyle w:val="Level1"/>
              <w:tabs>
                <w:tab w:val="left" w:pos="-1440"/>
              </w:tabs>
              <w:autoSpaceDE w:val="0"/>
              <w:autoSpaceDN w:val="0"/>
              <w:adjustRightInd w:val="0"/>
              <w:spacing w:after="120" w:line="20" w:lineRule="atLeast"/>
              <w:jc w:val="center"/>
              <w:rPr>
                <w:rFonts w:asciiTheme="minorHAnsi" w:hAnsiTheme="minorHAnsi" w:cstheme="minorHAnsi"/>
                <w:bCs/>
                <w:sz w:val="22"/>
                <w:szCs w:val="22"/>
              </w:rPr>
            </w:pPr>
            <w:r w:rsidRPr="00B10F70">
              <w:rPr>
                <w:rFonts w:asciiTheme="minorHAnsi" w:hAnsiTheme="minorHAnsi" w:cstheme="minorHAnsi"/>
                <w:bCs/>
                <w:sz w:val="22"/>
                <w:szCs w:val="22"/>
              </w:rPr>
              <w:t>0</w:t>
            </w:r>
          </w:p>
        </w:tc>
        <w:tc>
          <w:tcPr>
            <w:tcW w:w="1066" w:type="dxa"/>
          </w:tcPr>
          <w:p w14:paraId="60CF2DD1" w14:textId="77777777" w:rsidR="00CD5B65" w:rsidRPr="00B10F70" w:rsidRDefault="00CD5B65" w:rsidP="000F48C6">
            <w:pPr>
              <w:pStyle w:val="Level1"/>
              <w:tabs>
                <w:tab w:val="left" w:pos="-1440"/>
              </w:tabs>
              <w:autoSpaceDE w:val="0"/>
              <w:autoSpaceDN w:val="0"/>
              <w:adjustRightInd w:val="0"/>
              <w:spacing w:after="120" w:line="20" w:lineRule="atLeast"/>
              <w:jc w:val="center"/>
              <w:rPr>
                <w:rFonts w:asciiTheme="minorHAnsi" w:hAnsiTheme="minorHAnsi" w:cstheme="minorHAnsi"/>
                <w:bCs/>
                <w:sz w:val="22"/>
                <w:szCs w:val="22"/>
              </w:rPr>
            </w:pPr>
            <w:r w:rsidRPr="00B10F70">
              <w:rPr>
                <w:rFonts w:asciiTheme="minorHAnsi" w:hAnsiTheme="minorHAnsi" w:cstheme="minorHAnsi"/>
                <w:bCs/>
                <w:sz w:val="22"/>
                <w:szCs w:val="22"/>
              </w:rPr>
              <w:t>0</w:t>
            </w:r>
          </w:p>
        </w:tc>
        <w:tc>
          <w:tcPr>
            <w:tcW w:w="0" w:type="auto"/>
          </w:tcPr>
          <w:p w14:paraId="071D8D16" w14:textId="77777777" w:rsidR="00CD5B65" w:rsidRPr="00B10F70" w:rsidRDefault="00CD5B65" w:rsidP="000F48C6">
            <w:pPr>
              <w:pStyle w:val="Level1"/>
              <w:tabs>
                <w:tab w:val="left" w:pos="-1440"/>
              </w:tabs>
              <w:autoSpaceDE w:val="0"/>
              <w:autoSpaceDN w:val="0"/>
              <w:adjustRightInd w:val="0"/>
              <w:spacing w:after="120" w:line="20" w:lineRule="atLeast"/>
              <w:jc w:val="center"/>
              <w:rPr>
                <w:rFonts w:asciiTheme="minorHAnsi" w:hAnsiTheme="minorHAnsi" w:cstheme="minorHAnsi"/>
                <w:bCs/>
                <w:sz w:val="22"/>
                <w:szCs w:val="22"/>
              </w:rPr>
            </w:pPr>
            <w:r w:rsidRPr="00B10F70">
              <w:rPr>
                <w:rFonts w:asciiTheme="minorHAnsi" w:hAnsiTheme="minorHAnsi" w:cstheme="minorHAnsi"/>
                <w:bCs/>
                <w:sz w:val="22"/>
                <w:szCs w:val="22"/>
              </w:rPr>
              <w:t>0</w:t>
            </w:r>
          </w:p>
        </w:tc>
      </w:tr>
      <w:tr w:rsidR="00CD5B65" w:rsidRPr="002D39D0" w14:paraId="440C4740" w14:textId="77777777" w:rsidTr="007C1E3E">
        <w:trPr>
          <w:cantSplit/>
          <w:tblHeader/>
          <w:jc w:val="center"/>
        </w:trPr>
        <w:tc>
          <w:tcPr>
            <w:tcW w:w="3256" w:type="dxa"/>
            <w:shd w:val="clear" w:color="auto" w:fill="54575A" w:themeFill="text1"/>
          </w:tcPr>
          <w:p w14:paraId="69CA68A0" w14:textId="77777777" w:rsidR="00CD5B65" w:rsidRPr="002D39D0" w:rsidRDefault="00CD5B65" w:rsidP="000F48C6">
            <w:pPr>
              <w:pStyle w:val="Level1"/>
              <w:tabs>
                <w:tab w:val="left" w:pos="-1440"/>
              </w:tabs>
              <w:autoSpaceDE w:val="0"/>
              <w:autoSpaceDN w:val="0"/>
              <w:adjustRightInd w:val="0"/>
              <w:spacing w:after="120" w:line="20" w:lineRule="atLeast"/>
              <w:rPr>
                <w:rFonts w:asciiTheme="minorHAnsi" w:hAnsiTheme="minorHAnsi" w:cstheme="minorHAnsi"/>
                <w:bCs/>
                <w:color w:val="FFFFFF" w:themeColor="background1"/>
                <w:sz w:val="22"/>
                <w:szCs w:val="22"/>
              </w:rPr>
            </w:pPr>
            <w:r w:rsidRPr="002D39D0">
              <w:rPr>
                <w:rFonts w:asciiTheme="minorHAnsi" w:hAnsiTheme="minorHAnsi" w:cstheme="minorHAnsi"/>
                <w:color w:val="FFFFFF" w:themeColor="background1"/>
                <w:sz w:val="22"/>
                <w:szCs w:val="22"/>
              </w:rPr>
              <w:t>Article 68 : Influence politique</w:t>
            </w:r>
          </w:p>
        </w:tc>
        <w:tc>
          <w:tcPr>
            <w:tcW w:w="1275" w:type="dxa"/>
          </w:tcPr>
          <w:p w14:paraId="151CB9F0" w14:textId="77777777" w:rsidR="00CD5B65" w:rsidRPr="00B10F70" w:rsidRDefault="00CD5B65" w:rsidP="000F48C6">
            <w:pPr>
              <w:pStyle w:val="Level1"/>
              <w:tabs>
                <w:tab w:val="left" w:pos="-1440"/>
              </w:tabs>
              <w:autoSpaceDE w:val="0"/>
              <w:autoSpaceDN w:val="0"/>
              <w:adjustRightInd w:val="0"/>
              <w:spacing w:after="120" w:line="20" w:lineRule="atLeast"/>
              <w:jc w:val="center"/>
              <w:rPr>
                <w:rFonts w:asciiTheme="minorHAnsi" w:hAnsiTheme="minorHAnsi" w:cstheme="minorHAnsi"/>
                <w:bCs/>
                <w:sz w:val="22"/>
                <w:szCs w:val="22"/>
              </w:rPr>
            </w:pPr>
            <w:r w:rsidRPr="00B10F70">
              <w:rPr>
                <w:rFonts w:asciiTheme="minorHAnsi" w:hAnsiTheme="minorHAnsi" w:cstheme="minorHAnsi"/>
                <w:bCs/>
                <w:sz w:val="22"/>
                <w:szCs w:val="22"/>
              </w:rPr>
              <w:t>0</w:t>
            </w:r>
          </w:p>
        </w:tc>
        <w:tc>
          <w:tcPr>
            <w:tcW w:w="1843" w:type="dxa"/>
          </w:tcPr>
          <w:p w14:paraId="0A15F0AD" w14:textId="77777777" w:rsidR="00CD5B65" w:rsidRPr="00B10F70" w:rsidRDefault="00CD5B65" w:rsidP="000F48C6">
            <w:pPr>
              <w:pStyle w:val="Level1"/>
              <w:tabs>
                <w:tab w:val="left" w:pos="-1440"/>
              </w:tabs>
              <w:autoSpaceDE w:val="0"/>
              <w:autoSpaceDN w:val="0"/>
              <w:adjustRightInd w:val="0"/>
              <w:spacing w:after="120" w:line="20" w:lineRule="atLeast"/>
              <w:jc w:val="center"/>
              <w:rPr>
                <w:rFonts w:asciiTheme="minorHAnsi" w:hAnsiTheme="minorHAnsi" w:cstheme="minorHAnsi"/>
                <w:bCs/>
                <w:sz w:val="22"/>
                <w:szCs w:val="22"/>
              </w:rPr>
            </w:pPr>
            <w:r w:rsidRPr="00B10F70">
              <w:rPr>
                <w:rFonts w:asciiTheme="minorHAnsi" w:hAnsiTheme="minorHAnsi" w:cstheme="minorHAnsi"/>
                <w:bCs/>
                <w:sz w:val="22"/>
                <w:szCs w:val="22"/>
              </w:rPr>
              <w:t>0</w:t>
            </w:r>
          </w:p>
        </w:tc>
        <w:tc>
          <w:tcPr>
            <w:tcW w:w="1276" w:type="dxa"/>
          </w:tcPr>
          <w:p w14:paraId="06BED114" w14:textId="77777777" w:rsidR="00CD5B65" w:rsidRPr="00B10F70" w:rsidRDefault="00CD5B65" w:rsidP="000F48C6">
            <w:pPr>
              <w:pStyle w:val="Level1"/>
              <w:tabs>
                <w:tab w:val="left" w:pos="-1440"/>
              </w:tabs>
              <w:autoSpaceDE w:val="0"/>
              <w:autoSpaceDN w:val="0"/>
              <w:adjustRightInd w:val="0"/>
              <w:spacing w:after="120" w:line="20" w:lineRule="atLeast"/>
              <w:jc w:val="center"/>
              <w:rPr>
                <w:rFonts w:asciiTheme="minorHAnsi" w:hAnsiTheme="minorHAnsi" w:cstheme="minorHAnsi"/>
                <w:bCs/>
                <w:sz w:val="22"/>
                <w:szCs w:val="22"/>
              </w:rPr>
            </w:pPr>
            <w:r w:rsidRPr="00B10F70">
              <w:rPr>
                <w:rFonts w:asciiTheme="minorHAnsi" w:hAnsiTheme="minorHAnsi" w:cstheme="minorHAnsi"/>
                <w:bCs/>
                <w:sz w:val="22"/>
                <w:szCs w:val="22"/>
              </w:rPr>
              <w:t>0</w:t>
            </w:r>
          </w:p>
        </w:tc>
        <w:tc>
          <w:tcPr>
            <w:tcW w:w="1066" w:type="dxa"/>
          </w:tcPr>
          <w:p w14:paraId="61679087" w14:textId="77777777" w:rsidR="00CD5B65" w:rsidRPr="00B10F70" w:rsidRDefault="00CD5B65" w:rsidP="000F48C6">
            <w:pPr>
              <w:pStyle w:val="Level1"/>
              <w:tabs>
                <w:tab w:val="left" w:pos="-1440"/>
              </w:tabs>
              <w:autoSpaceDE w:val="0"/>
              <w:autoSpaceDN w:val="0"/>
              <w:adjustRightInd w:val="0"/>
              <w:spacing w:after="120" w:line="20" w:lineRule="atLeast"/>
              <w:jc w:val="center"/>
              <w:rPr>
                <w:rFonts w:asciiTheme="minorHAnsi" w:hAnsiTheme="minorHAnsi" w:cstheme="minorHAnsi"/>
                <w:bCs/>
                <w:sz w:val="22"/>
                <w:szCs w:val="22"/>
              </w:rPr>
            </w:pPr>
            <w:r w:rsidRPr="00B10F70">
              <w:rPr>
                <w:rFonts w:asciiTheme="minorHAnsi" w:hAnsiTheme="minorHAnsi" w:cstheme="minorHAnsi"/>
                <w:bCs/>
                <w:sz w:val="22"/>
                <w:szCs w:val="22"/>
              </w:rPr>
              <w:t>0</w:t>
            </w:r>
          </w:p>
        </w:tc>
        <w:tc>
          <w:tcPr>
            <w:tcW w:w="0" w:type="auto"/>
          </w:tcPr>
          <w:p w14:paraId="5D2087F2" w14:textId="77777777" w:rsidR="00CD5B65" w:rsidRPr="00B10F70" w:rsidRDefault="00CD5B65" w:rsidP="000F48C6">
            <w:pPr>
              <w:pStyle w:val="Level1"/>
              <w:tabs>
                <w:tab w:val="left" w:pos="-1440"/>
              </w:tabs>
              <w:autoSpaceDE w:val="0"/>
              <w:autoSpaceDN w:val="0"/>
              <w:adjustRightInd w:val="0"/>
              <w:spacing w:after="120" w:line="20" w:lineRule="atLeast"/>
              <w:jc w:val="center"/>
              <w:rPr>
                <w:rFonts w:asciiTheme="minorHAnsi" w:hAnsiTheme="minorHAnsi" w:cstheme="minorHAnsi"/>
                <w:bCs/>
                <w:sz w:val="22"/>
                <w:szCs w:val="22"/>
              </w:rPr>
            </w:pPr>
            <w:r w:rsidRPr="00B10F70">
              <w:rPr>
                <w:rFonts w:asciiTheme="minorHAnsi" w:hAnsiTheme="minorHAnsi" w:cstheme="minorHAnsi"/>
                <w:bCs/>
                <w:sz w:val="22"/>
                <w:szCs w:val="22"/>
              </w:rPr>
              <w:t>0</w:t>
            </w:r>
          </w:p>
        </w:tc>
      </w:tr>
      <w:tr w:rsidR="00CD5B65" w:rsidRPr="002D39D0" w14:paraId="4EEEFFF1" w14:textId="77777777" w:rsidTr="007C1E3E">
        <w:trPr>
          <w:cantSplit/>
          <w:tblHeader/>
          <w:jc w:val="center"/>
        </w:trPr>
        <w:tc>
          <w:tcPr>
            <w:tcW w:w="3256" w:type="dxa"/>
            <w:shd w:val="clear" w:color="auto" w:fill="54575A" w:themeFill="text1"/>
          </w:tcPr>
          <w:p w14:paraId="26163127" w14:textId="77777777" w:rsidR="00CD5B65" w:rsidRPr="002D39D0" w:rsidRDefault="00CD5B65" w:rsidP="000F48C6">
            <w:pPr>
              <w:pStyle w:val="Level1"/>
              <w:tabs>
                <w:tab w:val="left" w:pos="-1440"/>
              </w:tabs>
              <w:autoSpaceDE w:val="0"/>
              <w:autoSpaceDN w:val="0"/>
              <w:adjustRightInd w:val="0"/>
              <w:spacing w:after="120" w:line="20" w:lineRule="atLeast"/>
              <w:rPr>
                <w:rFonts w:asciiTheme="minorHAnsi" w:hAnsiTheme="minorHAnsi" w:cstheme="minorHAnsi"/>
                <w:bCs/>
                <w:color w:val="FFFFFF" w:themeColor="background1"/>
                <w:sz w:val="22"/>
                <w:szCs w:val="22"/>
              </w:rPr>
            </w:pPr>
            <w:r w:rsidRPr="002D39D0">
              <w:rPr>
                <w:rFonts w:asciiTheme="minorHAnsi" w:hAnsiTheme="minorHAnsi" w:cstheme="minorHAnsi"/>
                <w:color w:val="FFFFFF" w:themeColor="background1"/>
                <w:sz w:val="22"/>
                <w:szCs w:val="22"/>
              </w:rPr>
              <w:t>Article 69 : Fraude</w:t>
            </w:r>
          </w:p>
        </w:tc>
        <w:tc>
          <w:tcPr>
            <w:tcW w:w="1275" w:type="dxa"/>
          </w:tcPr>
          <w:p w14:paraId="3C6862E9" w14:textId="77777777" w:rsidR="00CD5B65" w:rsidRPr="00B10F70" w:rsidRDefault="00CD5B65" w:rsidP="000F48C6">
            <w:pPr>
              <w:pStyle w:val="Level1"/>
              <w:tabs>
                <w:tab w:val="left" w:pos="-1440"/>
              </w:tabs>
              <w:autoSpaceDE w:val="0"/>
              <w:autoSpaceDN w:val="0"/>
              <w:adjustRightInd w:val="0"/>
              <w:spacing w:after="120" w:line="20" w:lineRule="atLeast"/>
              <w:jc w:val="center"/>
              <w:rPr>
                <w:rFonts w:asciiTheme="minorHAnsi" w:hAnsiTheme="minorHAnsi" w:cstheme="minorHAnsi"/>
                <w:bCs/>
                <w:sz w:val="22"/>
                <w:szCs w:val="22"/>
              </w:rPr>
            </w:pPr>
            <w:r w:rsidRPr="00B10F70">
              <w:rPr>
                <w:rFonts w:asciiTheme="minorHAnsi" w:hAnsiTheme="minorHAnsi" w:cstheme="minorHAnsi"/>
                <w:bCs/>
                <w:sz w:val="22"/>
                <w:szCs w:val="22"/>
              </w:rPr>
              <w:t>4</w:t>
            </w:r>
          </w:p>
        </w:tc>
        <w:tc>
          <w:tcPr>
            <w:tcW w:w="1843" w:type="dxa"/>
          </w:tcPr>
          <w:p w14:paraId="0BA751E6" w14:textId="77777777" w:rsidR="00CD5B65" w:rsidRPr="00B10F70" w:rsidRDefault="00CD5B65" w:rsidP="000F48C6">
            <w:pPr>
              <w:pStyle w:val="Level1"/>
              <w:tabs>
                <w:tab w:val="left" w:pos="-1440"/>
              </w:tabs>
              <w:autoSpaceDE w:val="0"/>
              <w:autoSpaceDN w:val="0"/>
              <w:adjustRightInd w:val="0"/>
              <w:spacing w:after="120" w:line="20" w:lineRule="atLeast"/>
              <w:jc w:val="center"/>
              <w:rPr>
                <w:rFonts w:asciiTheme="minorHAnsi" w:hAnsiTheme="minorHAnsi" w:cstheme="minorHAnsi"/>
                <w:bCs/>
                <w:sz w:val="22"/>
                <w:szCs w:val="22"/>
              </w:rPr>
            </w:pPr>
            <w:r w:rsidRPr="00B10F70">
              <w:rPr>
                <w:rFonts w:asciiTheme="minorHAnsi" w:hAnsiTheme="minorHAnsi" w:cstheme="minorHAnsi"/>
                <w:bCs/>
                <w:sz w:val="22"/>
                <w:szCs w:val="22"/>
              </w:rPr>
              <w:t>4</w:t>
            </w:r>
          </w:p>
        </w:tc>
        <w:tc>
          <w:tcPr>
            <w:tcW w:w="1276" w:type="dxa"/>
          </w:tcPr>
          <w:p w14:paraId="2CFDA272" w14:textId="77777777" w:rsidR="00CD5B65" w:rsidRPr="00B10F70" w:rsidRDefault="00CD5B65" w:rsidP="000F48C6">
            <w:pPr>
              <w:pStyle w:val="Level1"/>
              <w:tabs>
                <w:tab w:val="left" w:pos="-1440"/>
              </w:tabs>
              <w:autoSpaceDE w:val="0"/>
              <w:autoSpaceDN w:val="0"/>
              <w:adjustRightInd w:val="0"/>
              <w:spacing w:after="120" w:line="20" w:lineRule="atLeast"/>
              <w:jc w:val="center"/>
              <w:rPr>
                <w:rFonts w:asciiTheme="minorHAnsi" w:hAnsiTheme="minorHAnsi" w:cstheme="minorHAnsi"/>
                <w:bCs/>
                <w:sz w:val="22"/>
                <w:szCs w:val="22"/>
              </w:rPr>
            </w:pPr>
            <w:r w:rsidRPr="00B10F70">
              <w:rPr>
                <w:rFonts w:asciiTheme="minorHAnsi" w:hAnsiTheme="minorHAnsi" w:cstheme="minorHAnsi"/>
                <w:bCs/>
                <w:sz w:val="22"/>
                <w:szCs w:val="22"/>
              </w:rPr>
              <w:t>1</w:t>
            </w:r>
          </w:p>
        </w:tc>
        <w:tc>
          <w:tcPr>
            <w:tcW w:w="1066" w:type="dxa"/>
          </w:tcPr>
          <w:p w14:paraId="194DCA9B" w14:textId="77777777" w:rsidR="00CD5B65" w:rsidRPr="00B10F70" w:rsidRDefault="00CD5B65" w:rsidP="000F48C6">
            <w:pPr>
              <w:pStyle w:val="Level1"/>
              <w:tabs>
                <w:tab w:val="left" w:pos="-1440"/>
              </w:tabs>
              <w:autoSpaceDE w:val="0"/>
              <w:autoSpaceDN w:val="0"/>
              <w:adjustRightInd w:val="0"/>
              <w:spacing w:after="120" w:line="20" w:lineRule="atLeast"/>
              <w:jc w:val="center"/>
              <w:rPr>
                <w:rFonts w:asciiTheme="minorHAnsi" w:hAnsiTheme="minorHAnsi" w:cstheme="minorHAnsi"/>
                <w:bCs/>
                <w:sz w:val="22"/>
                <w:szCs w:val="22"/>
              </w:rPr>
            </w:pPr>
            <w:r w:rsidRPr="00B10F70">
              <w:rPr>
                <w:rFonts w:asciiTheme="minorHAnsi" w:hAnsiTheme="minorHAnsi" w:cstheme="minorHAnsi"/>
                <w:bCs/>
                <w:sz w:val="22"/>
                <w:szCs w:val="22"/>
              </w:rPr>
              <w:t>4</w:t>
            </w:r>
          </w:p>
        </w:tc>
        <w:tc>
          <w:tcPr>
            <w:tcW w:w="0" w:type="auto"/>
          </w:tcPr>
          <w:p w14:paraId="586251F5" w14:textId="77777777" w:rsidR="00CD5B65" w:rsidRPr="00B10F70" w:rsidRDefault="00CD5B65" w:rsidP="000F48C6">
            <w:pPr>
              <w:pStyle w:val="Level1"/>
              <w:tabs>
                <w:tab w:val="left" w:pos="-1440"/>
              </w:tabs>
              <w:autoSpaceDE w:val="0"/>
              <w:autoSpaceDN w:val="0"/>
              <w:adjustRightInd w:val="0"/>
              <w:spacing w:after="120" w:line="20" w:lineRule="atLeast"/>
              <w:jc w:val="center"/>
              <w:rPr>
                <w:rFonts w:asciiTheme="minorHAnsi" w:hAnsiTheme="minorHAnsi" w:cstheme="minorHAnsi"/>
                <w:bCs/>
                <w:sz w:val="22"/>
                <w:szCs w:val="22"/>
              </w:rPr>
            </w:pPr>
            <w:r w:rsidRPr="00B10F70">
              <w:rPr>
                <w:rFonts w:asciiTheme="minorHAnsi" w:hAnsiTheme="minorHAnsi" w:cstheme="minorHAnsi"/>
                <w:bCs/>
                <w:sz w:val="22"/>
                <w:szCs w:val="22"/>
              </w:rPr>
              <w:t>0</w:t>
            </w:r>
          </w:p>
        </w:tc>
      </w:tr>
      <w:tr w:rsidR="00CD5B65" w:rsidRPr="002D39D0" w14:paraId="4D9791F9" w14:textId="77777777" w:rsidTr="007C1E3E">
        <w:trPr>
          <w:cantSplit/>
          <w:tblHeader/>
          <w:jc w:val="center"/>
        </w:trPr>
        <w:tc>
          <w:tcPr>
            <w:tcW w:w="3256" w:type="dxa"/>
            <w:shd w:val="clear" w:color="auto" w:fill="54575A" w:themeFill="text1"/>
          </w:tcPr>
          <w:p w14:paraId="41DD9585" w14:textId="77777777" w:rsidR="00CD5B65" w:rsidRPr="002D39D0" w:rsidRDefault="00CD5B65" w:rsidP="000F48C6">
            <w:pPr>
              <w:pStyle w:val="Level1"/>
              <w:tabs>
                <w:tab w:val="left" w:pos="-1440"/>
              </w:tabs>
              <w:autoSpaceDE w:val="0"/>
              <w:autoSpaceDN w:val="0"/>
              <w:adjustRightInd w:val="0"/>
              <w:spacing w:after="120" w:line="20" w:lineRule="atLeast"/>
              <w:rPr>
                <w:rFonts w:asciiTheme="minorHAnsi" w:hAnsiTheme="minorHAnsi" w:cstheme="minorHAnsi"/>
                <w:bCs/>
                <w:color w:val="FFFFFF" w:themeColor="background1"/>
                <w:sz w:val="22"/>
                <w:szCs w:val="22"/>
              </w:rPr>
            </w:pPr>
            <w:r w:rsidRPr="002D39D0">
              <w:rPr>
                <w:rFonts w:asciiTheme="minorHAnsi" w:hAnsiTheme="minorHAnsi" w:cstheme="minorHAnsi"/>
                <w:color w:val="FFFFFF" w:themeColor="background1"/>
                <w:sz w:val="22"/>
                <w:szCs w:val="22"/>
              </w:rPr>
              <w:t>Article 118 : Activités politiques irrégulières – Employés</w:t>
            </w:r>
          </w:p>
        </w:tc>
        <w:tc>
          <w:tcPr>
            <w:tcW w:w="1275" w:type="dxa"/>
          </w:tcPr>
          <w:p w14:paraId="6CBDE867" w14:textId="77777777" w:rsidR="00CD5B65" w:rsidRPr="00B10F70" w:rsidRDefault="00CD5B65" w:rsidP="000F48C6">
            <w:pPr>
              <w:pStyle w:val="Level1"/>
              <w:tabs>
                <w:tab w:val="left" w:pos="-1440"/>
              </w:tabs>
              <w:autoSpaceDE w:val="0"/>
              <w:autoSpaceDN w:val="0"/>
              <w:adjustRightInd w:val="0"/>
              <w:spacing w:after="120" w:line="20" w:lineRule="atLeast"/>
              <w:jc w:val="center"/>
              <w:rPr>
                <w:rFonts w:asciiTheme="minorHAnsi" w:hAnsiTheme="minorHAnsi" w:cstheme="minorHAnsi"/>
                <w:bCs/>
                <w:sz w:val="22"/>
                <w:szCs w:val="22"/>
              </w:rPr>
            </w:pPr>
            <w:r w:rsidRPr="00B10F70">
              <w:rPr>
                <w:rFonts w:asciiTheme="minorHAnsi" w:hAnsiTheme="minorHAnsi" w:cstheme="minorHAnsi"/>
                <w:bCs/>
                <w:sz w:val="22"/>
                <w:szCs w:val="22"/>
              </w:rPr>
              <w:t>1</w:t>
            </w:r>
          </w:p>
        </w:tc>
        <w:tc>
          <w:tcPr>
            <w:tcW w:w="1843" w:type="dxa"/>
          </w:tcPr>
          <w:p w14:paraId="4C89B67F" w14:textId="77777777" w:rsidR="00CD5B65" w:rsidRPr="00B10F70" w:rsidRDefault="00CD5B65" w:rsidP="000F48C6">
            <w:pPr>
              <w:pStyle w:val="Level1"/>
              <w:tabs>
                <w:tab w:val="left" w:pos="-1440"/>
              </w:tabs>
              <w:autoSpaceDE w:val="0"/>
              <w:autoSpaceDN w:val="0"/>
              <w:adjustRightInd w:val="0"/>
              <w:spacing w:after="120" w:line="20" w:lineRule="atLeast"/>
              <w:jc w:val="center"/>
              <w:rPr>
                <w:rFonts w:asciiTheme="minorHAnsi" w:hAnsiTheme="minorHAnsi" w:cstheme="minorHAnsi"/>
                <w:bCs/>
                <w:sz w:val="22"/>
                <w:szCs w:val="22"/>
              </w:rPr>
            </w:pPr>
            <w:r w:rsidRPr="00B10F70">
              <w:rPr>
                <w:rFonts w:asciiTheme="minorHAnsi" w:hAnsiTheme="minorHAnsi" w:cstheme="minorHAnsi"/>
                <w:bCs/>
                <w:sz w:val="22"/>
                <w:szCs w:val="22"/>
              </w:rPr>
              <w:t>1</w:t>
            </w:r>
          </w:p>
        </w:tc>
        <w:tc>
          <w:tcPr>
            <w:tcW w:w="1276" w:type="dxa"/>
          </w:tcPr>
          <w:p w14:paraId="5A2B025F" w14:textId="77777777" w:rsidR="00CD5B65" w:rsidRPr="00B10F70" w:rsidRDefault="00CD5B65" w:rsidP="000F48C6">
            <w:pPr>
              <w:pStyle w:val="Level1"/>
              <w:tabs>
                <w:tab w:val="left" w:pos="-1440"/>
              </w:tabs>
              <w:autoSpaceDE w:val="0"/>
              <w:autoSpaceDN w:val="0"/>
              <w:adjustRightInd w:val="0"/>
              <w:spacing w:after="120" w:line="20" w:lineRule="atLeast"/>
              <w:jc w:val="center"/>
              <w:rPr>
                <w:rFonts w:asciiTheme="minorHAnsi" w:hAnsiTheme="minorHAnsi" w:cstheme="minorHAnsi"/>
                <w:bCs/>
                <w:sz w:val="22"/>
                <w:szCs w:val="22"/>
              </w:rPr>
            </w:pPr>
            <w:r w:rsidRPr="00B10F70">
              <w:rPr>
                <w:rFonts w:asciiTheme="minorHAnsi" w:hAnsiTheme="minorHAnsi" w:cstheme="minorHAnsi"/>
                <w:bCs/>
                <w:sz w:val="22"/>
                <w:szCs w:val="22"/>
              </w:rPr>
              <w:t>0</w:t>
            </w:r>
          </w:p>
        </w:tc>
        <w:tc>
          <w:tcPr>
            <w:tcW w:w="1066" w:type="dxa"/>
          </w:tcPr>
          <w:p w14:paraId="3F06E75B" w14:textId="77777777" w:rsidR="00CD5B65" w:rsidRPr="00B10F70" w:rsidRDefault="00CD5B65" w:rsidP="000F48C6">
            <w:pPr>
              <w:pStyle w:val="Level1"/>
              <w:tabs>
                <w:tab w:val="left" w:pos="-1440"/>
              </w:tabs>
              <w:autoSpaceDE w:val="0"/>
              <w:autoSpaceDN w:val="0"/>
              <w:adjustRightInd w:val="0"/>
              <w:spacing w:after="120" w:line="20" w:lineRule="atLeast"/>
              <w:jc w:val="center"/>
              <w:rPr>
                <w:rFonts w:asciiTheme="minorHAnsi" w:hAnsiTheme="minorHAnsi" w:cstheme="minorHAnsi"/>
                <w:bCs/>
                <w:sz w:val="22"/>
                <w:szCs w:val="22"/>
              </w:rPr>
            </w:pPr>
            <w:r w:rsidRPr="00B10F70">
              <w:rPr>
                <w:rFonts w:asciiTheme="minorHAnsi" w:hAnsiTheme="minorHAnsi" w:cstheme="minorHAnsi"/>
                <w:bCs/>
                <w:sz w:val="22"/>
                <w:szCs w:val="22"/>
              </w:rPr>
              <w:t>0</w:t>
            </w:r>
          </w:p>
        </w:tc>
        <w:tc>
          <w:tcPr>
            <w:tcW w:w="0" w:type="auto"/>
          </w:tcPr>
          <w:p w14:paraId="06E656AB" w14:textId="77777777" w:rsidR="00CD5B65" w:rsidRPr="00B10F70" w:rsidRDefault="00CD5B65" w:rsidP="000F48C6">
            <w:pPr>
              <w:pStyle w:val="Level1"/>
              <w:tabs>
                <w:tab w:val="left" w:pos="-1440"/>
              </w:tabs>
              <w:autoSpaceDE w:val="0"/>
              <w:autoSpaceDN w:val="0"/>
              <w:adjustRightInd w:val="0"/>
              <w:spacing w:after="120" w:line="20" w:lineRule="atLeast"/>
              <w:jc w:val="center"/>
              <w:rPr>
                <w:rFonts w:asciiTheme="minorHAnsi" w:hAnsiTheme="minorHAnsi" w:cstheme="minorHAnsi"/>
                <w:bCs/>
                <w:sz w:val="22"/>
                <w:szCs w:val="22"/>
              </w:rPr>
            </w:pPr>
            <w:r w:rsidRPr="00B10F70">
              <w:rPr>
                <w:rFonts w:asciiTheme="minorHAnsi" w:hAnsiTheme="minorHAnsi" w:cstheme="minorHAnsi"/>
                <w:bCs/>
                <w:sz w:val="22"/>
                <w:szCs w:val="22"/>
              </w:rPr>
              <w:t>1</w:t>
            </w:r>
          </w:p>
        </w:tc>
      </w:tr>
      <w:tr w:rsidR="00CD5B65" w:rsidRPr="002D39D0" w14:paraId="4722B2DC" w14:textId="77777777" w:rsidTr="007C1E3E">
        <w:trPr>
          <w:cantSplit/>
          <w:tblHeader/>
          <w:jc w:val="center"/>
        </w:trPr>
        <w:tc>
          <w:tcPr>
            <w:tcW w:w="3256" w:type="dxa"/>
            <w:shd w:val="clear" w:color="auto" w:fill="54575A" w:themeFill="text1"/>
          </w:tcPr>
          <w:p w14:paraId="4AC7CB9B" w14:textId="77777777" w:rsidR="00CD5B65" w:rsidRPr="002D39D0" w:rsidRDefault="00CD5B65" w:rsidP="000F48C6">
            <w:pPr>
              <w:pStyle w:val="Level1"/>
              <w:tabs>
                <w:tab w:val="left" w:pos="-1440"/>
              </w:tabs>
              <w:autoSpaceDE w:val="0"/>
              <w:autoSpaceDN w:val="0"/>
              <w:adjustRightInd w:val="0"/>
              <w:spacing w:after="120" w:line="20" w:lineRule="atLeast"/>
              <w:rPr>
                <w:rFonts w:asciiTheme="minorHAnsi" w:hAnsiTheme="minorHAnsi" w:cstheme="minorHAnsi"/>
                <w:bCs/>
                <w:color w:val="FFFFFF" w:themeColor="background1"/>
                <w:sz w:val="22"/>
                <w:szCs w:val="22"/>
              </w:rPr>
            </w:pPr>
            <w:r w:rsidRPr="002D39D0">
              <w:rPr>
                <w:rFonts w:asciiTheme="minorHAnsi" w:hAnsiTheme="minorHAnsi" w:cstheme="minorHAnsi"/>
                <w:bCs/>
                <w:color w:val="FFFFFF" w:themeColor="background1"/>
                <w:sz w:val="22"/>
                <w:szCs w:val="22"/>
              </w:rPr>
              <w:t>Total</w:t>
            </w:r>
          </w:p>
        </w:tc>
        <w:tc>
          <w:tcPr>
            <w:tcW w:w="1275" w:type="dxa"/>
          </w:tcPr>
          <w:p w14:paraId="6DDAE474" w14:textId="77777777" w:rsidR="00CD5B65" w:rsidRPr="00B10F70" w:rsidRDefault="00CD5B65" w:rsidP="000F48C6">
            <w:pPr>
              <w:pStyle w:val="Level1"/>
              <w:tabs>
                <w:tab w:val="left" w:pos="-1440"/>
              </w:tabs>
              <w:autoSpaceDE w:val="0"/>
              <w:autoSpaceDN w:val="0"/>
              <w:adjustRightInd w:val="0"/>
              <w:spacing w:after="120" w:line="20" w:lineRule="atLeast"/>
              <w:jc w:val="center"/>
              <w:rPr>
                <w:rFonts w:asciiTheme="minorHAnsi" w:hAnsiTheme="minorHAnsi" w:cstheme="minorHAnsi"/>
                <w:bCs/>
                <w:sz w:val="22"/>
                <w:szCs w:val="22"/>
              </w:rPr>
            </w:pPr>
            <w:r w:rsidRPr="00B10F70">
              <w:rPr>
                <w:rFonts w:asciiTheme="minorHAnsi" w:hAnsiTheme="minorHAnsi" w:cstheme="minorHAnsi"/>
                <w:bCs/>
                <w:sz w:val="22"/>
                <w:szCs w:val="22"/>
              </w:rPr>
              <w:t>20</w:t>
            </w:r>
          </w:p>
        </w:tc>
        <w:tc>
          <w:tcPr>
            <w:tcW w:w="1843" w:type="dxa"/>
          </w:tcPr>
          <w:p w14:paraId="017B2C9B" w14:textId="77777777" w:rsidR="00CD5B65" w:rsidRPr="00B10F70" w:rsidRDefault="00CD5B65" w:rsidP="000F48C6">
            <w:pPr>
              <w:pStyle w:val="Level1"/>
              <w:tabs>
                <w:tab w:val="left" w:pos="-1440"/>
              </w:tabs>
              <w:autoSpaceDE w:val="0"/>
              <w:autoSpaceDN w:val="0"/>
              <w:adjustRightInd w:val="0"/>
              <w:spacing w:after="120" w:line="20" w:lineRule="atLeast"/>
              <w:jc w:val="center"/>
              <w:rPr>
                <w:rFonts w:asciiTheme="minorHAnsi" w:hAnsiTheme="minorHAnsi" w:cstheme="minorHAnsi"/>
                <w:bCs/>
                <w:sz w:val="22"/>
                <w:szCs w:val="22"/>
              </w:rPr>
            </w:pPr>
            <w:r w:rsidRPr="00B10F70">
              <w:rPr>
                <w:rFonts w:asciiTheme="minorHAnsi" w:hAnsiTheme="minorHAnsi" w:cstheme="minorHAnsi"/>
                <w:bCs/>
                <w:sz w:val="22"/>
                <w:szCs w:val="22"/>
              </w:rPr>
              <w:t>8</w:t>
            </w:r>
          </w:p>
        </w:tc>
        <w:tc>
          <w:tcPr>
            <w:tcW w:w="1276" w:type="dxa"/>
          </w:tcPr>
          <w:p w14:paraId="6D6AF087" w14:textId="77777777" w:rsidR="00CD5B65" w:rsidRPr="00B10F70" w:rsidRDefault="00CD5B65" w:rsidP="000F48C6">
            <w:pPr>
              <w:pStyle w:val="Level1"/>
              <w:tabs>
                <w:tab w:val="left" w:pos="-1440"/>
              </w:tabs>
              <w:autoSpaceDE w:val="0"/>
              <w:autoSpaceDN w:val="0"/>
              <w:adjustRightInd w:val="0"/>
              <w:spacing w:after="120" w:line="20" w:lineRule="atLeast"/>
              <w:jc w:val="center"/>
              <w:rPr>
                <w:rFonts w:asciiTheme="minorHAnsi" w:hAnsiTheme="minorHAnsi" w:cstheme="minorHAnsi"/>
                <w:bCs/>
                <w:sz w:val="22"/>
                <w:szCs w:val="22"/>
              </w:rPr>
            </w:pPr>
            <w:r w:rsidRPr="00B10F70">
              <w:rPr>
                <w:rFonts w:asciiTheme="minorHAnsi" w:hAnsiTheme="minorHAnsi" w:cstheme="minorHAnsi"/>
                <w:bCs/>
                <w:sz w:val="22"/>
                <w:szCs w:val="22"/>
              </w:rPr>
              <w:t>14</w:t>
            </w:r>
          </w:p>
        </w:tc>
        <w:tc>
          <w:tcPr>
            <w:tcW w:w="1066" w:type="dxa"/>
          </w:tcPr>
          <w:p w14:paraId="3A9A4A0E" w14:textId="77777777" w:rsidR="00CD5B65" w:rsidRPr="00B10F70" w:rsidRDefault="00CD5B65" w:rsidP="000F48C6">
            <w:pPr>
              <w:pStyle w:val="Level1"/>
              <w:tabs>
                <w:tab w:val="left" w:pos="-1440"/>
              </w:tabs>
              <w:autoSpaceDE w:val="0"/>
              <w:autoSpaceDN w:val="0"/>
              <w:adjustRightInd w:val="0"/>
              <w:spacing w:after="120" w:line="20" w:lineRule="atLeast"/>
              <w:jc w:val="center"/>
              <w:rPr>
                <w:rFonts w:asciiTheme="minorHAnsi" w:hAnsiTheme="minorHAnsi" w:cstheme="minorHAnsi"/>
                <w:bCs/>
                <w:sz w:val="22"/>
                <w:szCs w:val="22"/>
              </w:rPr>
            </w:pPr>
            <w:r w:rsidRPr="00B10F70">
              <w:rPr>
                <w:rFonts w:asciiTheme="minorHAnsi" w:hAnsiTheme="minorHAnsi" w:cstheme="minorHAnsi"/>
                <w:bCs/>
                <w:sz w:val="22"/>
                <w:szCs w:val="22"/>
              </w:rPr>
              <w:t>4</w:t>
            </w:r>
          </w:p>
        </w:tc>
        <w:tc>
          <w:tcPr>
            <w:tcW w:w="0" w:type="auto"/>
          </w:tcPr>
          <w:p w14:paraId="4C17C663" w14:textId="77777777" w:rsidR="00CD5B65" w:rsidRPr="00B10F70" w:rsidRDefault="00CD5B65" w:rsidP="000F48C6">
            <w:pPr>
              <w:pStyle w:val="Level1"/>
              <w:tabs>
                <w:tab w:val="left" w:pos="-1440"/>
              </w:tabs>
              <w:autoSpaceDE w:val="0"/>
              <w:autoSpaceDN w:val="0"/>
              <w:adjustRightInd w:val="0"/>
              <w:spacing w:after="120" w:line="20" w:lineRule="atLeast"/>
              <w:jc w:val="center"/>
              <w:rPr>
                <w:rFonts w:asciiTheme="minorHAnsi" w:hAnsiTheme="minorHAnsi" w:cstheme="minorHAnsi"/>
                <w:bCs/>
                <w:sz w:val="22"/>
                <w:szCs w:val="22"/>
              </w:rPr>
            </w:pPr>
            <w:r w:rsidRPr="00B10F70">
              <w:rPr>
                <w:rFonts w:asciiTheme="minorHAnsi" w:hAnsiTheme="minorHAnsi" w:cstheme="minorHAnsi"/>
                <w:bCs/>
                <w:sz w:val="22"/>
                <w:szCs w:val="22"/>
              </w:rPr>
              <w:t>1</w:t>
            </w:r>
          </w:p>
        </w:tc>
      </w:tr>
    </w:tbl>
    <w:p w14:paraId="0C7FC4E5" w14:textId="6928F6BA" w:rsidR="00CD5B65" w:rsidRPr="002D39D0" w:rsidRDefault="00CD5B65" w:rsidP="007C1E3E">
      <w:pPr>
        <w:pStyle w:val="Level1"/>
        <w:tabs>
          <w:tab w:val="left" w:pos="-1440"/>
        </w:tabs>
        <w:autoSpaceDE w:val="0"/>
        <w:autoSpaceDN w:val="0"/>
        <w:adjustRightInd w:val="0"/>
        <w:spacing w:after="120" w:line="20" w:lineRule="atLeast"/>
        <w:rPr>
          <w:rFonts w:asciiTheme="minorHAnsi" w:hAnsiTheme="minorHAnsi" w:cstheme="minorHAnsi"/>
          <w:color w:val="000000"/>
          <w:sz w:val="22"/>
          <w:szCs w:val="22"/>
        </w:rPr>
      </w:pPr>
      <w:r w:rsidRPr="002D39D0">
        <w:rPr>
          <w:rFonts w:asciiTheme="minorHAnsi" w:hAnsiTheme="minorHAnsi" w:cstheme="minorHAnsi"/>
          <w:color w:val="000000"/>
          <w:sz w:val="22"/>
          <w:szCs w:val="18"/>
        </w:rPr>
        <w:t>Remarque : Le nombre de cas reçus peut ne pas correspondre au nombre de cas achevés ou fermés, car ceux-ci n’ont pas nécessairement été reçus au cours de la même période. En outre, certains cas peuvent être abandonnés ou résolus par une intervention précoce.</w:t>
      </w:r>
    </w:p>
    <w:p w14:paraId="7DACA890" w14:textId="63CBA308" w:rsidR="0029142A" w:rsidRPr="007C1E3E" w:rsidRDefault="0029142A" w:rsidP="007C1E3E">
      <w:pPr>
        <w:sectPr w:rsidR="0029142A" w:rsidRPr="007C1E3E" w:rsidSect="007C1E3E">
          <w:headerReference w:type="even" r:id="rId8"/>
          <w:headerReference w:type="default" r:id="rId9"/>
          <w:footerReference w:type="even" r:id="rId10"/>
          <w:footerReference w:type="default" r:id="rId11"/>
          <w:headerReference w:type="first" r:id="rId12"/>
          <w:footerReference w:type="first" r:id="rId13"/>
          <w:footnotePr>
            <w:numFmt w:val="lowerLetter"/>
          </w:footnotePr>
          <w:endnotePr>
            <w:numFmt w:val="lowerLetter"/>
          </w:endnotePr>
          <w:pgSz w:w="12240" w:h="15840" w:code="1"/>
          <w:pgMar w:top="709" w:right="1304" w:bottom="1361" w:left="1304" w:header="284" w:footer="284" w:gutter="0"/>
          <w:pgNumType w:start="1"/>
          <w:cols w:space="720"/>
          <w:docGrid w:linePitch="326"/>
        </w:sectPr>
      </w:pPr>
    </w:p>
    <w:p w14:paraId="58616C90" w14:textId="77777777" w:rsidR="00614B04" w:rsidRPr="002D39D0" w:rsidRDefault="00614B04" w:rsidP="007C1E3E">
      <w:pPr>
        <w:pStyle w:val="Heading2"/>
        <w:spacing w:before="0" w:after="120"/>
      </w:pPr>
      <w:r w:rsidRPr="002D39D0">
        <w:lastRenderedPageBreak/>
        <w:t>Résultats du sondage sur la dotation et l’impartialité politique</w:t>
      </w:r>
    </w:p>
    <w:p w14:paraId="2C8EC56D" w14:textId="77777777" w:rsidR="00614B04" w:rsidRPr="008C74E6" w:rsidRDefault="00614B04" w:rsidP="007C1E3E">
      <w:pPr>
        <w:spacing w:after="120"/>
        <w:rPr>
          <w:rFonts w:asciiTheme="minorHAnsi" w:hAnsiTheme="minorHAnsi" w:cstheme="minorHAnsi"/>
          <w:sz w:val="22"/>
          <w:szCs w:val="22"/>
        </w:rPr>
      </w:pPr>
      <w:r w:rsidRPr="008C74E6">
        <w:rPr>
          <w:rFonts w:asciiTheme="minorHAnsi" w:hAnsiTheme="minorHAnsi" w:cstheme="minorHAnsi"/>
          <w:sz w:val="22"/>
          <w:szCs w:val="22"/>
        </w:rPr>
        <w:t>Les résultats du sondage sur la dotation et l’impartialité politique (SDIP) sont fondés sur un taux de réponse de 49 % pour AMC, comparativement à 47,6 % pour la fonction publique.</w:t>
      </w:r>
    </w:p>
    <w:p w14:paraId="7C38BCC3" w14:textId="77777777" w:rsidR="00614B04" w:rsidRPr="008C74E6" w:rsidRDefault="00614B04" w:rsidP="007C1E3E">
      <w:pPr>
        <w:pStyle w:val="ListParagraph"/>
        <w:spacing w:after="120"/>
        <w:rPr>
          <w:rFonts w:asciiTheme="minorHAnsi" w:hAnsiTheme="minorHAnsi" w:cstheme="minorHAnsi"/>
          <w:sz w:val="22"/>
          <w:szCs w:val="22"/>
        </w:rPr>
      </w:pPr>
      <w:r w:rsidRPr="008C74E6">
        <w:rPr>
          <w:rFonts w:asciiTheme="minorHAnsi" w:hAnsiTheme="minorHAnsi" w:cstheme="minorHAnsi"/>
          <w:sz w:val="22"/>
          <w:szCs w:val="22"/>
        </w:rPr>
        <w:t>Vous trouverez ci-dessous les principales constatations tirées des résultats du SDIP d’AMC pour 2018 :</w:t>
      </w:r>
    </w:p>
    <w:p w14:paraId="27AE80B3" w14:textId="77777777" w:rsidR="00614B04" w:rsidRPr="008C74E6" w:rsidRDefault="00614B04" w:rsidP="007C1E3E">
      <w:pPr>
        <w:numPr>
          <w:ilvl w:val="0"/>
          <w:numId w:val="6"/>
        </w:numPr>
        <w:rPr>
          <w:rFonts w:asciiTheme="minorHAnsi" w:hAnsiTheme="minorHAnsi" w:cstheme="minorHAnsi"/>
          <w:sz w:val="22"/>
          <w:szCs w:val="22"/>
        </w:rPr>
      </w:pPr>
      <w:r w:rsidRPr="008C74E6">
        <w:rPr>
          <w:rFonts w:asciiTheme="minorHAnsi" w:hAnsiTheme="minorHAnsi" w:cstheme="minorHAnsi"/>
          <w:sz w:val="22"/>
          <w:szCs w:val="22"/>
        </w:rPr>
        <w:t xml:space="preserve">100 % des </w:t>
      </w:r>
      <w:r w:rsidRPr="00302F5B">
        <w:rPr>
          <w:rStyle w:val="Strong"/>
          <w:rFonts w:cstheme="minorHAnsi"/>
          <w:i w:val="0"/>
        </w:rPr>
        <w:t>conseillers en dotation</w:t>
      </w:r>
      <w:r w:rsidRPr="008C74E6">
        <w:rPr>
          <w:rFonts w:asciiTheme="minorHAnsi" w:hAnsiTheme="minorHAnsi" w:cstheme="minorHAnsi"/>
          <w:sz w:val="20"/>
          <w:szCs w:val="22"/>
        </w:rPr>
        <w:t xml:space="preserve"> </w:t>
      </w:r>
      <w:r w:rsidRPr="008C74E6">
        <w:rPr>
          <w:rFonts w:asciiTheme="minorHAnsi" w:hAnsiTheme="minorHAnsi" w:cstheme="minorHAnsi"/>
          <w:sz w:val="22"/>
          <w:szCs w:val="22"/>
        </w:rPr>
        <w:t>ont indiqué qu’ils peuvent expliquer aux gestionnaires comment la mise en œuvre de la NOD dans leur organisation est liée à leurs besoins en matière de dotation, comparativement à 92,2 % dans les organisations de taille semblable et à 93,1 % dans l’ensemble des organisations de la fonction publique fédérale.</w:t>
      </w:r>
    </w:p>
    <w:p w14:paraId="6C8C103E" w14:textId="77777777" w:rsidR="00614B04" w:rsidRPr="008C74E6" w:rsidRDefault="00614B04" w:rsidP="00614B04">
      <w:pPr>
        <w:pStyle w:val="ListParagraph"/>
        <w:numPr>
          <w:ilvl w:val="0"/>
          <w:numId w:val="6"/>
        </w:numPr>
        <w:autoSpaceDE w:val="0"/>
        <w:autoSpaceDN w:val="0"/>
        <w:adjustRightInd w:val="0"/>
        <w:spacing w:after="0"/>
        <w:rPr>
          <w:rFonts w:asciiTheme="minorHAnsi" w:hAnsiTheme="minorHAnsi" w:cstheme="minorHAnsi"/>
          <w:sz w:val="22"/>
          <w:szCs w:val="22"/>
        </w:rPr>
      </w:pPr>
      <w:r w:rsidRPr="008C74E6">
        <w:rPr>
          <w:rFonts w:asciiTheme="minorHAnsi" w:hAnsiTheme="minorHAnsi" w:cstheme="minorHAnsi"/>
          <w:bCs/>
          <w:sz w:val="22"/>
          <w:szCs w:val="22"/>
        </w:rPr>
        <w:t xml:space="preserve">53,7 % des </w:t>
      </w:r>
      <w:r w:rsidRPr="00302F5B">
        <w:rPr>
          <w:rStyle w:val="Strong"/>
          <w:rFonts w:cstheme="minorHAnsi"/>
          <w:i w:val="0"/>
        </w:rPr>
        <w:t>gestionnaires</w:t>
      </w:r>
      <w:r w:rsidRPr="008C74E6">
        <w:rPr>
          <w:rFonts w:asciiTheme="minorHAnsi" w:hAnsiTheme="minorHAnsi" w:cstheme="minorHAnsi"/>
          <w:bCs/>
          <w:sz w:val="22"/>
          <w:szCs w:val="22"/>
        </w:rPr>
        <w:t xml:space="preserve"> ont indiqué qu’ils comprennent la NOD</w:t>
      </w:r>
      <w:r w:rsidRPr="008C74E6">
        <w:rPr>
          <w:rFonts w:asciiTheme="minorHAnsi" w:hAnsiTheme="minorHAnsi" w:cstheme="minorHAnsi"/>
          <w:sz w:val="22"/>
          <w:szCs w:val="22"/>
        </w:rPr>
        <w:t>, comparativement à 60,1 % dans les organisations d’envergure semblable et à 61,4 % dans l’ensemble des organisations de la fonction publique fédérale.</w:t>
      </w:r>
    </w:p>
    <w:p w14:paraId="545803B9" w14:textId="77777777" w:rsidR="00614B04" w:rsidRPr="008C74E6" w:rsidRDefault="00614B04" w:rsidP="00614B04">
      <w:pPr>
        <w:pStyle w:val="ListParagraph"/>
        <w:numPr>
          <w:ilvl w:val="0"/>
          <w:numId w:val="6"/>
        </w:numPr>
        <w:autoSpaceDE w:val="0"/>
        <w:autoSpaceDN w:val="0"/>
        <w:adjustRightInd w:val="0"/>
        <w:spacing w:after="0"/>
        <w:rPr>
          <w:rFonts w:asciiTheme="minorHAnsi" w:hAnsiTheme="minorHAnsi" w:cstheme="minorHAnsi"/>
          <w:sz w:val="22"/>
          <w:szCs w:val="22"/>
        </w:rPr>
      </w:pPr>
      <w:r w:rsidRPr="008C74E6">
        <w:rPr>
          <w:rFonts w:asciiTheme="minorHAnsi" w:hAnsiTheme="minorHAnsi" w:cstheme="minorHAnsi"/>
          <w:bCs/>
          <w:sz w:val="22"/>
          <w:szCs w:val="22"/>
        </w:rPr>
        <w:t xml:space="preserve">36,7 % des </w:t>
      </w:r>
      <w:r w:rsidRPr="00302F5B">
        <w:rPr>
          <w:rStyle w:val="Strong"/>
          <w:rFonts w:cstheme="minorHAnsi"/>
          <w:i w:val="0"/>
        </w:rPr>
        <w:t>gestionnaires</w:t>
      </w:r>
      <w:r w:rsidRPr="008C74E6">
        <w:rPr>
          <w:rFonts w:asciiTheme="minorHAnsi" w:hAnsiTheme="minorHAnsi" w:cstheme="minorHAnsi"/>
          <w:bCs/>
          <w:sz w:val="22"/>
          <w:szCs w:val="22"/>
        </w:rPr>
        <w:t xml:space="preserve"> ont indiqué que la NOD a permis de simplifier la dotation dans leur organisation</w:t>
      </w:r>
      <w:r w:rsidRPr="008C74E6">
        <w:rPr>
          <w:rFonts w:asciiTheme="minorHAnsi" w:hAnsiTheme="minorHAnsi" w:cstheme="minorHAnsi"/>
          <w:sz w:val="22"/>
          <w:szCs w:val="22"/>
        </w:rPr>
        <w:t>, comparativement à 44,5 % dans les organisations de taille semblable et à 46,3 % dans l’ensemble des organisations de la fonction publique fédérale.</w:t>
      </w:r>
    </w:p>
    <w:p w14:paraId="4F93AAF2" w14:textId="77777777" w:rsidR="00614B04" w:rsidRPr="008C74E6" w:rsidRDefault="00614B04" w:rsidP="00614B04">
      <w:pPr>
        <w:pStyle w:val="ListParagraph"/>
        <w:numPr>
          <w:ilvl w:val="0"/>
          <w:numId w:val="6"/>
        </w:numPr>
        <w:autoSpaceDE w:val="0"/>
        <w:autoSpaceDN w:val="0"/>
        <w:adjustRightInd w:val="0"/>
        <w:spacing w:after="0"/>
        <w:rPr>
          <w:rFonts w:asciiTheme="minorHAnsi" w:hAnsiTheme="minorHAnsi" w:cstheme="minorHAnsi"/>
          <w:sz w:val="22"/>
          <w:szCs w:val="22"/>
        </w:rPr>
      </w:pPr>
      <w:r w:rsidRPr="008C74E6">
        <w:rPr>
          <w:rFonts w:asciiTheme="minorHAnsi" w:hAnsiTheme="minorHAnsi" w:cstheme="minorHAnsi"/>
          <w:sz w:val="22"/>
          <w:szCs w:val="22"/>
        </w:rPr>
        <w:t xml:space="preserve">29,9 % des </w:t>
      </w:r>
      <w:r w:rsidRPr="00302F5B">
        <w:rPr>
          <w:rStyle w:val="Strong"/>
          <w:rFonts w:cstheme="minorHAnsi"/>
          <w:i w:val="0"/>
        </w:rPr>
        <w:t>gestionnaires</w:t>
      </w:r>
      <w:r w:rsidRPr="008C74E6">
        <w:rPr>
          <w:rFonts w:asciiTheme="minorHAnsi" w:hAnsiTheme="minorHAnsi" w:cstheme="minorHAnsi"/>
          <w:sz w:val="22"/>
          <w:szCs w:val="22"/>
        </w:rPr>
        <w:t xml:space="preserve"> ont indiqué que les options de dotation qui leur sont offertes au sein de leur organisation leur permettent de répondre à leurs besoins en dotation aussi rapidement qu’il est nécessaire, comparativement à 35,5 % dans les organisations de taille semblable et à 37,6 % dans l’ensemble des organisations de la fonction publique fédérale.</w:t>
      </w:r>
    </w:p>
    <w:p w14:paraId="6F11DE7A" w14:textId="77777777" w:rsidR="00614B04" w:rsidRPr="008C74E6" w:rsidRDefault="00614B04" w:rsidP="00614B04">
      <w:pPr>
        <w:pStyle w:val="ListParagraph"/>
        <w:numPr>
          <w:ilvl w:val="0"/>
          <w:numId w:val="6"/>
        </w:numPr>
        <w:spacing w:after="0"/>
        <w:rPr>
          <w:rFonts w:asciiTheme="minorHAnsi" w:hAnsiTheme="minorHAnsi" w:cstheme="minorHAnsi"/>
          <w:sz w:val="22"/>
          <w:szCs w:val="22"/>
        </w:rPr>
      </w:pPr>
      <w:r w:rsidRPr="008C74E6">
        <w:rPr>
          <w:rFonts w:asciiTheme="minorHAnsi" w:hAnsiTheme="minorHAnsi" w:cstheme="minorHAnsi"/>
          <w:bCs/>
          <w:sz w:val="22"/>
          <w:szCs w:val="22"/>
        </w:rPr>
        <w:t xml:space="preserve">48,2 % des </w:t>
      </w:r>
      <w:r w:rsidRPr="00302F5B">
        <w:rPr>
          <w:rStyle w:val="Strong"/>
          <w:rFonts w:cstheme="minorHAnsi"/>
          <w:i w:val="0"/>
        </w:rPr>
        <w:t>gestionnaires</w:t>
      </w:r>
      <w:r w:rsidRPr="008C74E6">
        <w:rPr>
          <w:rFonts w:asciiTheme="minorHAnsi" w:hAnsiTheme="minorHAnsi" w:cstheme="minorHAnsi"/>
          <w:sz w:val="22"/>
          <w:szCs w:val="22"/>
        </w:rPr>
        <w:t xml:space="preserve"> ont indiqué que, dans l’ensemble, ils étaient satisfaits des services de dotation reçus au sein de leur organisation, comparativement à 57,7 % dans les organisations de taille semblable et à 59,4 % dans l’ensemble des organisations de la fonction publique fédérale.</w:t>
      </w:r>
    </w:p>
    <w:p w14:paraId="1B90E2FC" w14:textId="77777777" w:rsidR="00614B04" w:rsidRPr="008C74E6" w:rsidRDefault="00614B04" w:rsidP="007C1E3E">
      <w:pPr>
        <w:pStyle w:val="ListParagraph"/>
        <w:numPr>
          <w:ilvl w:val="0"/>
          <w:numId w:val="6"/>
        </w:numPr>
        <w:spacing w:after="120"/>
        <w:rPr>
          <w:rFonts w:asciiTheme="minorHAnsi" w:hAnsiTheme="minorHAnsi" w:cstheme="minorHAnsi"/>
          <w:sz w:val="22"/>
          <w:szCs w:val="22"/>
        </w:rPr>
      </w:pPr>
      <w:r w:rsidRPr="008C74E6">
        <w:rPr>
          <w:rFonts w:asciiTheme="minorHAnsi" w:hAnsiTheme="minorHAnsi" w:cstheme="minorHAnsi"/>
          <w:color w:val="000000"/>
          <w:sz w:val="22"/>
          <w:szCs w:val="22"/>
        </w:rPr>
        <w:t xml:space="preserve">55,7 % des </w:t>
      </w:r>
      <w:r w:rsidRPr="00302F5B">
        <w:rPr>
          <w:rStyle w:val="Strong"/>
          <w:rFonts w:cstheme="minorHAnsi"/>
          <w:i w:val="0"/>
        </w:rPr>
        <w:t>employés</w:t>
      </w:r>
      <w:r w:rsidRPr="008C74E6">
        <w:rPr>
          <w:rFonts w:asciiTheme="minorHAnsi" w:hAnsiTheme="minorHAnsi" w:cstheme="minorHAnsi"/>
          <w:color w:val="000000"/>
          <w:sz w:val="22"/>
          <w:szCs w:val="22"/>
        </w:rPr>
        <w:t xml:space="preserve"> ont l’impression que les processus de nomination dépendent des personnes que vous connaissez, comparativement à 54,9 % </w:t>
      </w:r>
      <w:r w:rsidRPr="008C74E6">
        <w:rPr>
          <w:rFonts w:asciiTheme="minorHAnsi" w:hAnsiTheme="minorHAnsi" w:cstheme="minorHAnsi"/>
          <w:sz w:val="22"/>
          <w:szCs w:val="22"/>
        </w:rPr>
        <w:t>dans les organisations de taille semblable et à 54 % dans l’ensemble des organisations de la fonction publique fédérale.</w:t>
      </w:r>
    </w:p>
    <w:p w14:paraId="2060B058" w14:textId="77777777" w:rsidR="00CD5B65" w:rsidRPr="007C1E3E" w:rsidRDefault="00CD5B65" w:rsidP="00A95A8A">
      <w:pPr>
        <w:pStyle w:val="Heading1"/>
        <w:spacing w:after="240"/>
        <w:rPr>
          <w:rStyle w:val="Heading1Char"/>
          <w:rFonts w:asciiTheme="minorHAnsi" w:hAnsiTheme="minorHAnsi" w:cstheme="minorHAnsi"/>
          <w:color w:val="auto"/>
        </w:rPr>
        <w:sectPr w:rsidR="00CD5B65" w:rsidRPr="007C1E3E" w:rsidSect="007C1E3E">
          <w:footnotePr>
            <w:numFmt w:val="lowerLetter"/>
          </w:footnotePr>
          <w:endnotePr>
            <w:numFmt w:val="lowerLetter"/>
          </w:endnotePr>
          <w:pgSz w:w="12240" w:h="15840" w:code="1"/>
          <w:pgMar w:top="709" w:right="1304" w:bottom="1361" w:left="1304" w:header="284" w:footer="284" w:gutter="0"/>
          <w:cols w:space="720"/>
          <w:docGrid w:linePitch="326"/>
        </w:sectPr>
      </w:pPr>
    </w:p>
    <w:p w14:paraId="3859EECB" w14:textId="77777777" w:rsidR="00614B04" w:rsidRPr="002D39D0" w:rsidRDefault="00BB40A9" w:rsidP="007C1E3E">
      <w:pPr>
        <w:pStyle w:val="Heading1"/>
        <w:spacing w:after="120"/>
      </w:pPr>
      <w:r w:rsidRPr="002D39D0">
        <w:rPr>
          <w:rStyle w:val="Heading1Char"/>
          <w:color w:val="auto"/>
        </w:rPr>
        <w:lastRenderedPageBreak/>
        <w:t xml:space="preserve">Profil de </w:t>
      </w:r>
      <w:r w:rsidR="009B24C7" w:rsidRPr="002D39D0">
        <w:rPr>
          <w:rStyle w:val="Heading1Char"/>
          <w:color w:val="auto"/>
        </w:rPr>
        <w:t xml:space="preserve">la </w:t>
      </w:r>
      <w:r w:rsidRPr="002D39D0">
        <w:rPr>
          <w:rStyle w:val="Heading1Char"/>
          <w:color w:val="auto"/>
        </w:rPr>
        <w:t>diversité</w:t>
      </w:r>
      <w:r w:rsidR="00614B04" w:rsidRPr="002D39D0">
        <w:rPr>
          <w:rStyle w:val="Heading1Char"/>
          <w:color w:val="auto"/>
        </w:rPr>
        <w:t xml:space="preserve"> </w:t>
      </w:r>
    </w:p>
    <w:p w14:paraId="6D2ABEE1" w14:textId="77777777" w:rsidR="00614B04" w:rsidRPr="002D39D0" w:rsidRDefault="00614B04" w:rsidP="007C1E3E">
      <w:pPr>
        <w:spacing w:after="120" w:line="259" w:lineRule="auto"/>
        <w:contextualSpacing/>
        <w:rPr>
          <w:rFonts w:asciiTheme="minorHAnsi" w:hAnsiTheme="minorHAnsi" w:cstheme="minorHAnsi"/>
          <w:color w:val="000000"/>
          <w:sz w:val="22"/>
          <w:szCs w:val="22"/>
        </w:rPr>
      </w:pPr>
      <w:r w:rsidRPr="002D39D0">
        <w:rPr>
          <w:rFonts w:asciiTheme="minorHAnsi" w:hAnsiTheme="minorHAnsi" w:cstheme="minorHAnsi"/>
          <w:color w:val="000000"/>
          <w:sz w:val="22"/>
          <w:szCs w:val="22"/>
        </w:rPr>
        <w:t>Les estimations relatives à la disponibilité au sein de la population active (DPA) dans la fonction publique pour 2019 ont été mises à jour dans le Profil de diversité, mais les nouvelles estimations pour les organisations ne seront publiées qu’au cours du prochain mois. Selon les données de 2017</w:t>
      </w:r>
      <w:r w:rsidRPr="002D39D0">
        <w:rPr>
          <w:rFonts w:asciiTheme="minorHAnsi" w:hAnsiTheme="minorHAnsi" w:cstheme="minorHAnsi"/>
          <w:color w:val="000000"/>
          <w:sz w:val="22"/>
          <w:szCs w:val="22"/>
        </w:rPr>
        <w:noBreakHyphen/>
        <w:t>2018, AMC</w:t>
      </w:r>
      <w:r w:rsidRPr="002D39D0">
        <w:rPr>
          <w:rFonts w:asciiTheme="minorHAnsi" w:hAnsiTheme="minorHAnsi" w:cstheme="minorHAnsi"/>
          <w:sz w:val="22"/>
          <w:szCs w:val="22"/>
        </w:rPr>
        <w:t xml:space="preserve"> obtient de bons résultats en ce qui concerne la représentation des femmes, des Autochtones et surtout des minorités visibles. Toutefois, l’organisation se situe en deçà de la disponibilité au sein de la population active des personnes en situation de handicap, qui représentent 3,8 % de son effectif, alors que la disponibilité au sein de la population active pour ce groupe est de 4,4 %. L’organisation pourrait vouloir prendre des mesures à cet égard, surtout compte tenu de l’objectif de 7 % (5 000 personnes en situation de handicap) énoncé dans la Stratégie sur l’accessibilité au sein de la fonction publique et de la nouvelle disponibilité de 9 % dans la population active. </w:t>
      </w:r>
      <w:r w:rsidRPr="002D39D0">
        <w:rPr>
          <w:rFonts w:asciiTheme="minorHAnsi" w:hAnsiTheme="minorHAnsi" w:cstheme="minorHAnsi"/>
          <w:color w:val="000000"/>
          <w:sz w:val="22"/>
          <w:szCs w:val="22"/>
        </w:rPr>
        <w:t>Ces résultats seront révisés lorsque de nouvelles estimations seront publiées.</w:t>
      </w:r>
    </w:p>
    <w:p w14:paraId="1BE9B57A" w14:textId="4AB17AB0" w:rsidR="00CD5B65" w:rsidRPr="007C1E3E" w:rsidRDefault="00CD5B65" w:rsidP="00CD5B65">
      <w:pPr>
        <w:pStyle w:val="Caption"/>
        <w:keepNext/>
        <w:spacing w:after="0"/>
        <w:rPr>
          <w:rFonts w:asciiTheme="minorHAnsi" w:hAnsiTheme="minorHAnsi" w:cstheme="minorHAnsi"/>
          <w:i w:val="0"/>
          <w:color w:val="auto"/>
        </w:rPr>
      </w:pPr>
      <w:r w:rsidRPr="007C1E3E">
        <w:rPr>
          <w:rFonts w:asciiTheme="minorHAnsi" w:hAnsiTheme="minorHAnsi" w:cstheme="minorHAnsi"/>
          <w:i w:val="0"/>
          <w:color w:val="auto"/>
        </w:rPr>
        <w:t xml:space="preserve">Table </w:t>
      </w:r>
      <w:r w:rsidRPr="007C1E3E">
        <w:rPr>
          <w:rFonts w:asciiTheme="minorHAnsi" w:hAnsiTheme="minorHAnsi" w:cstheme="minorHAnsi"/>
          <w:i w:val="0"/>
          <w:color w:val="auto"/>
        </w:rPr>
        <w:fldChar w:fldCharType="begin"/>
      </w:r>
      <w:r w:rsidRPr="007C1E3E">
        <w:rPr>
          <w:rFonts w:asciiTheme="minorHAnsi" w:hAnsiTheme="minorHAnsi" w:cstheme="minorHAnsi"/>
          <w:i w:val="0"/>
          <w:color w:val="auto"/>
        </w:rPr>
        <w:instrText xml:space="preserve"> SEQ Table \* ARABIC </w:instrText>
      </w:r>
      <w:r w:rsidRPr="007C1E3E">
        <w:rPr>
          <w:rFonts w:asciiTheme="minorHAnsi" w:hAnsiTheme="minorHAnsi" w:cstheme="minorHAnsi"/>
          <w:i w:val="0"/>
          <w:color w:val="auto"/>
        </w:rPr>
        <w:fldChar w:fldCharType="separate"/>
      </w:r>
      <w:r w:rsidR="00C42F1B" w:rsidRPr="00234236">
        <w:rPr>
          <w:rFonts w:asciiTheme="minorHAnsi" w:hAnsiTheme="minorHAnsi" w:cstheme="minorHAnsi"/>
          <w:i w:val="0"/>
          <w:noProof/>
          <w:color w:val="auto"/>
        </w:rPr>
        <w:t>4</w:t>
      </w:r>
      <w:r w:rsidRPr="007C1E3E">
        <w:rPr>
          <w:rFonts w:asciiTheme="minorHAnsi" w:hAnsiTheme="minorHAnsi" w:cstheme="minorHAnsi"/>
          <w:i w:val="0"/>
          <w:color w:val="auto"/>
        </w:rPr>
        <w:fldChar w:fldCharType="end"/>
      </w:r>
      <w:r w:rsidRPr="007C1E3E">
        <w:rPr>
          <w:rFonts w:asciiTheme="minorHAnsi" w:hAnsiTheme="minorHAnsi" w:cstheme="minorHAnsi"/>
          <w:i w:val="0"/>
          <w:color w:val="auto"/>
        </w:rPr>
        <w:t xml:space="preserve"> -</w:t>
      </w:r>
      <w:r w:rsidR="002610C1">
        <w:rPr>
          <w:rFonts w:asciiTheme="minorHAnsi" w:hAnsiTheme="minorHAnsi" w:cstheme="minorHAnsi"/>
          <w:i w:val="0"/>
          <w:color w:val="auto"/>
        </w:rPr>
        <w:t xml:space="preserve"> </w:t>
      </w:r>
      <w:r w:rsidR="00234236">
        <w:rPr>
          <w:rFonts w:asciiTheme="minorHAnsi" w:hAnsiTheme="minorHAnsi" w:cstheme="minorHAnsi"/>
          <w:i w:val="0"/>
          <w:color w:val="auto"/>
        </w:rPr>
        <w:t>Profil de la diversité</w:t>
      </w:r>
    </w:p>
    <w:tbl>
      <w:tblPr>
        <w:tblStyle w:val="TableGrid"/>
        <w:tblW w:w="5000" w:type="pct"/>
        <w:jc w:val="center"/>
        <w:tblLook w:val="04A0" w:firstRow="1" w:lastRow="0" w:firstColumn="1" w:lastColumn="0" w:noHBand="0" w:noVBand="1"/>
        <w:tblCaption w:val="Work Force Profile - Global Affairs Canada - Reporting Period from March 31, 2017 to April 1, 2018"/>
        <w:tblDescription w:val="Profil de la diversité"/>
      </w:tblPr>
      <w:tblGrid>
        <w:gridCol w:w="1770"/>
        <w:gridCol w:w="2121"/>
        <w:gridCol w:w="2121"/>
        <w:gridCol w:w="1516"/>
        <w:gridCol w:w="2094"/>
      </w:tblGrid>
      <w:tr w:rsidR="00CD5B65" w:rsidRPr="00102E83" w14:paraId="4D6BB98C" w14:textId="77777777" w:rsidTr="00CD5B65">
        <w:trPr>
          <w:cantSplit/>
          <w:trHeight w:val="759"/>
          <w:tblHeader/>
          <w:jc w:val="center"/>
        </w:trPr>
        <w:tc>
          <w:tcPr>
            <w:tcW w:w="920" w:type="pct"/>
            <w:tcBorders>
              <w:top w:val="single" w:sz="4" w:space="0" w:color="auto"/>
              <w:left w:val="single" w:sz="4" w:space="0" w:color="auto"/>
              <w:bottom w:val="single" w:sz="4" w:space="0" w:color="auto"/>
              <w:right w:val="single" w:sz="4" w:space="0" w:color="auto"/>
            </w:tcBorders>
            <w:shd w:val="clear" w:color="auto" w:fill="54575A" w:themeFill="text1"/>
            <w:vAlign w:val="center"/>
          </w:tcPr>
          <w:p w14:paraId="6FE3C6FC" w14:textId="77777777" w:rsidR="00CD5B65" w:rsidRPr="00102E83" w:rsidRDefault="00CD5B65" w:rsidP="00CD5B65">
            <w:pPr>
              <w:pStyle w:val="TableTitle"/>
              <w:rPr>
                <w:rFonts w:cs="Segoe UI Semibold"/>
                <w:b w:val="0"/>
                <w:color w:val="FFFFFF" w:themeColor="background1"/>
                <w:szCs w:val="22"/>
              </w:rPr>
            </w:pPr>
            <w:r w:rsidRPr="00102E83">
              <w:rPr>
                <w:rFonts w:cs="Segoe UI Semibold"/>
                <w:b w:val="0"/>
                <w:color w:val="FFFFFF" w:themeColor="background1"/>
                <w:szCs w:val="22"/>
              </w:rPr>
              <w:t>Groupe désigné</w:t>
            </w:r>
          </w:p>
        </w:tc>
        <w:tc>
          <w:tcPr>
            <w:tcW w:w="1102" w:type="pct"/>
            <w:tcBorders>
              <w:top w:val="single" w:sz="4" w:space="0" w:color="auto"/>
              <w:left w:val="single" w:sz="4" w:space="0" w:color="auto"/>
              <w:bottom w:val="single" w:sz="4" w:space="0" w:color="auto"/>
              <w:right w:val="single" w:sz="4" w:space="0" w:color="auto"/>
            </w:tcBorders>
            <w:shd w:val="clear" w:color="auto" w:fill="54575A" w:themeFill="text1"/>
            <w:vAlign w:val="center"/>
          </w:tcPr>
          <w:p w14:paraId="10559E32" w14:textId="77777777" w:rsidR="00CD5B65" w:rsidRPr="00102E83" w:rsidRDefault="00CD5B65" w:rsidP="00CD5B65">
            <w:pPr>
              <w:pStyle w:val="TableTitle"/>
              <w:rPr>
                <w:rFonts w:cs="Segoe UI Semibold"/>
                <w:b w:val="0"/>
                <w:color w:val="FFFFFF" w:themeColor="background1"/>
                <w:szCs w:val="22"/>
              </w:rPr>
            </w:pPr>
            <w:r w:rsidRPr="00102E83">
              <w:rPr>
                <w:rFonts w:cs="Segoe UI Semibold"/>
                <w:b w:val="0"/>
                <w:color w:val="FFFFFF" w:themeColor="background1"/>
                <w:szCs w:val="22"/>
              </w:rPr>
              <w:t>Disponibilité au sein de la population active 2019</w:t>
            </w:r>
          </w:p>
        </w:tc>
        <w:tc>
          <w:tcPr>
            <w:tcW w:w="1102" w:type="pct"/>
            <w:tcBorders>
              <w:top w:val="single" w:sz="4" w:space="0" w:color="auto"/>
              <w:left w:val="single" w:sz="4" w:space="0" w:color="auto"/>
              <w:bottom w:val="single" w:sz="4" w:space="0" w:color="auto"/>
              <w:right w:val="single" w:sz="4" w:space="0" w:color="auto"/>
            </w:tcBorders>
            <w:shd w:val="clear" w:color="auto" w:fill="54575A" w:themeFill="text1"/>
            <w:vAlign w:val="center"/>
            <w:hideMark/>
          </w:tcPr>
          <w:p w14:paraId="3FA2A653" w14:textId="77777777" w:rsidR="00CD5B65" w:rsidRPr="00102E83" w:rsidRDefault="00CD5B65" w:rsidP="00CD5B65">
            <w:pPr>
              <w:pStyle w:val="TableTitle"/>
              <w:rPr>
                <w:rFonts w:cs="Segoe UI Semibold"/>
                <w:b w:val="0"/>
                <w:color w:val="FFFFFF" w:themeColor="background1"/>
                <w:szCs w:val="22"/>
              </w:rPr>
            </w:pPr>
            <w:r w:rsidRPr="00102E83">
              <w:rPr>
                <w:rFonts w:cs="Segoe UI Semibold"/>
                <w:b w:val="0"/>
                <w:color w:val="FFFFFF" w:themeColor="background1"/>
                <w:szCs w:val="22"/>
              </w:rPr>
              <w:t>Disponibilité au sein de la population active 2018</w:t>
            </w:r>
          </w:p>
        </w:tc>
        <w:tc>
          <w:tcPr>
            <w:tcW w:w="788" w:type="pct"/>
            <w:tcBorders>
              <w:top w:val="single" w:sz="4" w:space="0" w:color="auto"/>
              <w:left w:val="single" w:sz="4" w:space="0" w:color="auto"/>
              <w:right w:val="single" w:sz="4" w:space="0" w:color="auto"/>
            </w:tcBorders>
            <w:shd w:val="clear" w:color="auto" w:fill="BF3C00" w:themeFill="accent4" w:themeFillShade="BF"/>
            <w:vAlign w:val="center"/>
            <w:hideMark/>
          </w:tcPr>
          <w:p w14:paraId="5DD3A6E7" w14:textId="77777777" w:rsidR="00CD5B65" w:rsidRPr="00102E83" w:rsidRDefault="00CD5B65" w:rsidP="00CD5B65">
            <w:pPr>
              <w:pStyle w:val="TableTitle"/>
              <w:rPr>
                <w:rFonts w:cs="Segoe UI Semibold"/>
                <w:b w:val="0"/>
                <w:color w:val="FFFFFF" w:themeColor="background1"/>
                <w:szCs w:val="22"/>
              </w:rPr>
            </w:pPr>
            <w:r w:rsidRPr="00102E83">
              <w:rPr>
                <w:rFonts w:cs="Segoe UI Semibold"/>
                <w:b w:val="0"/>
                <w:color w:val="FFFFFF" w:themeColor="background1"/>
                <w:szCs w:val="22"/>
              </w:rPr>
              <w:t>Affaires mondiales Canada</w:t>
            </w:r>
          </w:p>
        </w:tc>
        <w:tc>
          <w:tcPr>
            <w:tcW w:w="1089" w:type="pct"/>
            <w:tcBorders>
              <w:top w:val="single" w:sz="4" w:space="0" w:color="auto"/>
              <w:left w:val="single" w:sz="4" w:space="0" w:color="auto"/>
              <w:bottom w:val="single" w:sz="4" w:space="0" w:color="auto"/>
              <w:right w:val="single" w:sz="4" w:space="0" w:color="auto"/>
            </w:tcBorders>
            <w:shd w:val="clear" w:color="auto" w:fill="54575A" w:themeFill="text1"/>
            <w:hideMark/>
          </w:tcPr>
          <w:p w14:paraId="1BB6C336" w14:textId="77777777" w:rsidR="00CD5B65" w:rsidRPr="00102E83" w:rsidRDefault="00CD5B65" w:rsidP="00CD5B65">
            <w:pPr>
              <w:pStyle w:val="TableTitle"/>
              <w:rPr>
                <w:rFonts w:cs="Segoe UI Semibold"/>
                <w:b w:val="0"/>
                <w:szCs w:val="22"/>
              </w:rPr>
            </w:pPr>
            <w:r w:rsidRPr="00102E83">
              <w:rPr>
                <w:rFonts w:cs="Segoe UI Semibold"/>
                <w:b w:val="0"/>
                <w:color w:val="FFFFFF" w:themeColor="background1"/>
                <w:szCs w:val="22"/>
              </w:rPr>
              <w:t>Représentation à la fonction publique</w:t>
            </w:r>
          </w:p>
        </w:tc>
      </w:tr>
      <w:tr w:rsidR="00CD5B65" w:rsidRPr="002D39D0" w14:paraId="01E04CF0" w14:textId="77777777" w:rsidTr="00CD5B65">
        <w:trPr>
          <w:cantSplit/>
          <w:tblHeader/>
          <w:jc w:val="center"/>
        </w:trPr>
        <w:tc>
          <w:tcPr>
            <w:tcW w:w="920" w:type="pct"/>
            <w:tcBorders>
              <w:top w:val="single" w:sz="4" w:space="0" w:color="auto"/>
              <w:left w:val="single" w:sz="4" w:space="0" w:color="auto"/>
              <w:bottom w:val="single" w:sz="4" w:space="0" w:color="auto"/>
              <w:right w:val="single" w:sz="4" w:space="0" w:color="auto"/>
            </w:tcBorders>
            <w:shd w:val="clear" w:color="auto" w:fill="54575A" w:themeFill="text1"/>
            <w:vAlign w:val="center"/>
          </w:tcPr>
          <w:p w14:paraId="38B9FBEA" w14:textId="77777777" w:rsidR="00CD5B65" w:rsidRPr="002D39D0" w:rsidRDefault="00CD5B65" w:rsidP="000F48C6">
            <w:pPr>
              <w:spacing w:before="120" w:after="120"/>
              <w:rPr>
                <w:rFonts w:asciiTheme="minorHAnsi" w:hAnsiTheme="minorHAnsi" w:cstheme="minorHAnsi"/>
                <w:color w:val="FFFFFF" w:themeColor="background1"/>
                <w:sz w:val="22"/>
              </w:rPr>
            </w:pPr>
            <w:r w:rsidRPr="002D39D0">
              <w:rPr>
                <w:rFonts w:asciiTheme="minorHAnsi" w:hAnsiTheme="minorHAnsi" w:cstheme="minorHAnsi"/>
                <w:color w:val="FFFFFF" w:themeColor="background1"/>
                <w:sz w:val="22"/>
              </w:rPr>
              <w:t>Femmes</w:t>
            </w:r>
          </w:p>
        </w:tc>
        <w:tc>
          <w:tcPr>
            <w:tcW w:w="1102" w:type="pct"/>
            <w:tcBorders>
              <w:top w:val="single" w:sz="4" w:space="0" w:color="auto"/>
              <w:left w:val="single" w:sz="4" w:space="0" w:color="auto"/>
              <w:bottom w:val="single" w:sz="4" w:space="0" w:color="auto"/>
              <w:right w:val="single" w:sz="4" w:space="0" w:color="auto"/>
            </w:tcBorders>
            <w:vAlign w:val="center"/>
          </w:tcPr>
          <w:p w14:paraId="5202017F" w14:textId="55584ECA" w:rsidR="00CD5B65" w:rsidRPr="00234236" w:rsidRDefault="00CD5B65" w:rsidP="00AB50B7">
            <w:pPr>
              <w:jc w:val="center"/>
              <w:rPr>
                <w:rFonts w:asciiTheme="minorHAnsi" w:hAnsiTheme="minorHAnsi" w:cstheme="minorHAnsi"/>
                <w:sz w:val="22"/>
              </w:rPr>
            </w:pPr>
            <w:r w:rsidRPr="00234236">
              <w:rPr>
                <w:rFonts w:asciiTheme="minorHAnsi" w:hAnsiTheme="minorHAnsi" w:cstheme="minorHAnsi"/>
                <w:sz w:val="22"/>
              </w:rPr>
              <w:t>52</w:t>
            </w:r>
            <w:r w:rsidR="00AB50B7">
              <w:rPr>
                <w:rFonts w:asciiTheme="minorHAnsi" w:hAnsiTheme="minorHAnsi" w:cstheme="minorHAnsi"/>
                <w:sz w:val="22"/>
              </w:rPr>
              <w:t xml:space="preserve">,5 </w:t>
            </w:r>
            <w:r w:rsidRPr="00234236">
              <w:rPr>
                <w:rFonts w:asciiTheme="minorHAnsi" w:hAnsiTheme="minorHAnsi" w:cstheme="minorHAnsi"/>
                <w:sz w:val="22"/>
              </w:rPr>
              <w:t>%</w:t>
            </w:r>
          </w:p>
        </w:tc>
        <w:tc>
          <w:tcPr>
            <w:tcW w:w="1102" w:type="pct"/>
            <w:tcBorders>
              <w:top w:val="single" w:sz="4" w:space="0" w:color="auto"/>
              <w:left w:val="single" w:sz="4" w:space="0" w:color="auto"/>
              <w:bottom w:val="single" w:sz="4" w:space="0" w:color="auto"/>
              <w:right w:val="single" w:sz="4" w:space="0" w:color="auto"/>
            </w:tcBorders>
            <w:vAlign w:val="center"/>
            <w:hideMark/>
          </w:tcPr>
          <w:p w14:paraId="32003589" w14:textId="5B400859" w:rsidR="00CD5B65" w:rsidRPr="00234236" w:rsidRDefault="00CD5B65" w:rsidP="000F48C6">
            <w:pPr>
              <w:jc w:val="center"/>
              <w:rPr>
                <w:rFonts w:asciiTheme="minorHAnsi" w:hAnsiTheme="minorHAnsi" w:cstheme="minorHAnsi"/>
                <w:sz w:val="22"/>
              </w:rPr>
            </w:pPr>
            <w:r w:rsidRPr="00234236">
              <w:rPr>
                <w:rFonts w:asciiTheme="minorHAnsi" w:hAnsiTheme="minorHAnsi" w:cstheme="minorHAnsi"/>
                <w:sz w:val="22"/>
              </w:rPr>
              <w:t>52</w:t>
            </w:r>
            <w:r w:rsidR="00AB50B7">
              <w:rPr>
                <w:rFonts w:asciiTheme="minorHAnsi" w:hAnsiTheme="minorHAnsi" w:cstheme="minorHAnsi"/>
                <w:sz w:val="22"/>
              </w:rPr>
              <w:t>,</w:t>
            </w:r>
            <w:r w:rsidRPr="00234236">
              <w:rPr>
                <w:rFonts w:asciiTheme="minorHAnsi" w:hAnsiTheme="minorHAnsi" w:cstheme="minorHAnsi"/>
                <w:sz w:val="22"/>
              </w:rPr>
              <w:t>5</w:t>
            </w:r>
            <w:r w:rsidR="00AB50B7">
              <w:rPr>
                <w:rFonts w:asciiTheme="minorHAnsi" w:hAnsiTheme="minorHAnsi" w:cstheme="minorHAnsi"/>
                <w:sz w:val="22"/>
              </w:rPr>
              <w:t xml:space="preserve"> </w:t>
            </w:r>
            <w:r w:rsidRPr="00234236">
              <w:rPr>
                <w:rFonts w:asciiTheme="minorHAnsi" w:hAnsiTheme="minorHAnsi" w:cstheme="minorHAnsi"/>
                <w:sz w:val="22"/>
              </w:rPr>
              <w:t>%</w:t>
            </w:r>
          </w:p>
        </w:tc>
        <w:tc>
          <w:tcPr>
            <w:tcW w:w="788" w:type="pct"/>
            <w:tcBorders>
              <w:top w:val="single" w:sz="4" w:space="0" w:color="auto"/>
              <w:left w:val="single" w:sz="4" w:space="0" w:color="auto"/>
              <w:bottom w:val="single" w:sz="4" w:space="0" w:color="auto"/>
              <w:right w:val="single" w:sz="4" w:space="0" w:color="auto"/>
            </w:tcBorders>
            <w:shd w:val="clear" w:color="auto" w:fill="auto"/>
            <w:vAlign w:val="center"/>
          </w:tcPr>
          <w:p w14:paraId="4D129EC9" w14:textId="428D2AC1" w:rsidR="00CD5B65" w:rsidRPr="00234236" w:rsidRDefault="00CD5B65" w:rsidP="00AB50B7">
            <w:pPr>
              <w:autoSpaceDE w:val="0"/>
              <w:autoSpaceDN w:val="0"/>
              <w:adjustRightInd w:val="0"/>
              <w:jc w:val="center"/>
              <w:rPr>
                <w:rFonts w:asciiTheme="minorHAnsi" w:hAnsiTheme="minorHAnsi" w:cstheme="minorHAnsi"/>
                <w:sz w:val="22"/>
              </w:rPr>
            </w:pPr>
            <w:r w:rsidRPr="00234236">
              <w:rPr>
                <w:rFonts w:asciiTheme="minorHAnsi" w:hAnsiTheme="minorHAnsi" w:cstheme="minorHAnsi"/>
                <w:sz w:val="22"/>
              </w:rPr>
              <w:t>55</w:t>
            </w:r>
            <w:r w:rsidR="00AB50B7">
              <w:rPr>
                <w:rFonts w:asciiTheme="minorHAnsi" w:hAnsiTheme="minorHAnsi" w:cstheme="minorHAnsi"/>
                <w:sz w:val="22"/>
              </w:rPr>
              <w:t>,</w:t>
            </w:r>
            <w:r w:rsidRPr="00234236">
              <w:rPr>
                <w:rFonts w:asciiTheme="minorHAnsi" w:hAnsiTheme="minorHAnsi" w:cstheme="minorHAnsi"/>
                <w:sz w:val="22"/>
              </w:rPr>
              <w:t>6</w:t>
            </w:r>
            <w:r w:rsidR="00AB50B7">
              <w:rPr>
                <w:rFonts w:asciiTheme="minorHAnsi" w:hAnsiTheme="minorHAnsi" w:cstheme="minorHAnsi"/>
                <w:sz w:val="22"/>
              </w:rPr>
              <w:t xml:space="preserve"> </w:t>
            </w:r>
            <w:r w:rsidRPr="00234236">
              <w:rPr>
                <w:rFonts w:asciiTheme="minorHAnsi" w:hAnsiTheme="minorHAnsi" w:cstheme="minorHAnsi"/>
                <w:sz w:val="22"/>
              </w:rPr>
              <w:t>%</w:t>
            </w:r>
          </w:p>
        </w:tc>
        <w:tc>
          <w:tcPr>
            <w:tcW w:w="1089" w:type="pct"/>
            <w:tcBorders>
              <w:top w:val="single" w:sz="4" w:space="0" w:color="auto"/>
              <w:left w:val="single" w:sz="4" w:space="0" w:color="auto"/>
              <w:bottom w:val="single" w:sz="4" w:space="0" w:color="auto"/>
              <w:right w:val="single" w:sz="4" w:space="0" w:color="auto"/>
            </w:tcBorders>
            <w:hideMark/>
          </w:tcPr>
          <w:p w14:paraId="5E6272F0" w14:textId="3CAE0195" w:rsidR="00CD5B65" w:rsidRPr="00234236" w:rsidRDefault="00CD5B65" w:rsidP="00AB50B7">
            <w:pPr>
              <w:autoSpaceDE w:val="0"/>
              <w:autoSpaceDN w:val="0"/>
              <w:adjustRightInd w:val="0"/>
              <w:jc w:val="center"/>
              <w:rPr>
                <w:rFonts w:asciiTheme="minorHAnsi" w:hAnsiTheme="minorHAnsi" w:cstheme="minorHAnsi"/>
                <w:sz w:val="22"/>
              </w:rPr>
            </w:pPr>
            <w:r w:rsidRPr="00234236">
              <w:rPr>
                <w:rFonts w:asciiTheme="minorHAnsi" w:hAnsiTheme="minorHAnsi" w:cstheme="minorHAnsi"/>
                <w:sz w:val="22"/>
              </w:rPr>
              <w:t>54</w:t>
            </w:r>
            <w:r w:rsidR="00AB50B7">
              <w:rPr>
                <w:rFonts w:asciiTheme="minorHAnsi" w:hAnsiTheme="minorHAnsi" w:cstheme="minorHAnsi"/>
                <w:sz w:val="22"/>
              </w:rPr>
              <w:t>,</w:t>
            </w:r>
            <w:r w:rsidRPr="00234236">
              <w:rPr>
                <w:rFonts w:asciiTheme="minorHAnsi" w:hAnsiTheme="minorHAnsi" w:cstheme="minorHAnsi"/>
                <w:sz w:val="22"/>
              </w:rPr>
              <w:t>8</w:t>
            </w:r>
            <w:r w:rsidR="00AB50B7">
              <w:rPr>
                <w:rFonts w:asciiTheme="minorHAnsi" w:hAnsiTheme="minorHAnsi" w:cstheme="minorHAnsi"/>
                <w:sz w:val="22"/>
              </w:rPr>
              <w:t xml:space="preserve"> </w:t>
            </w:r>
            <w:r w:rsidRPr="00234236">
              <w:rPr>
                <w:rFonts w:asciiTheme="minorHAnsi" w:hAnsiTheme="minorHAnsi" w:cstheme="minorHAnsi"/>
                <w:sz w:val="22"/>
              </w:rPr>
              <w:t>%</w:t>
            </w:r>
          </w:p>
        </w:tc>
      </w:tr>
      <w:tr w:rsidR="00CD5B65" w:rsidRPr="002D39D0" w14:paraId="02C1E2E1" w14:textId="77777777" w:rsidTr="00CD5B65">
        <w:trPr>
          <w:cantSplit/>
          <w:tblHeader/>
          <w:jc w:val="center"/>
        </w:trPr>
        <w:tc>
          <w:tcPr>
            <w:tcW w:w="920" w:type="pct"/>
            <w:tcBorders>
              <w:top w:val="single" w:sz="4" w:space="0" w:color="auto"/>
              <w:left w:val="single" w:sz="4" w:space="0" w:color="auto"/>
              <w:bottom w:val="single" w:sz="4" w:space="0" w:color="auto"/>
              <w:right w:val="single" w:sz="4" w:space="0" w:color="auto"/>
            </w:tcBorders>
            <w:shd w:val="clear" w:color="auto" w:fill="54575A" w:themeFill="text1"/>
            <w:vAlign w:val="center"/>
          </w:tcPr>
          <w:p w14:paraId="14F44E4F" w14:textId="77777777" w:rsidR="00CD5B65" w:rsidRPr="002D39D0" w:rsidRDefault="00CD5B65" w:rsidP="000F48C6">
            <w:pPr>
              <w:spacing w:before="120" w:after="120"/>
              <w:rPr>
                <w:rFonts w:asciiTheme="minorHAnsi" w:hAnsiTheme="minorHAnsi" w:cstheme="minorHAnsi"/>
                <w:color w:val="FFFFFF" w:themeColor="background1"/>
                <w:sz w:val="22"/>
              </w:rPr>
            </w:pPr>
            <w:r w:rsidRPr="002D39D0">
              <w:rPr>
                <w:rFonts w:asciiTheme="minorHAnsi" w:hAnsiTheme="minorHAnsi" w:cstheme="minorHAnsi"/>
                <w:color w:val="FFFFFF" w:themeColor="background1"/>
                <w:sz w:val="22"/>
              </w:rPr>
              <w:t>Autochtones</w:t>
            </w:r>
          </w:p>
        </w:tc>
        <w:tc>
          <w:tcPr>
            <w:tcW w:w="1102" w:type="pct"/>
            <w:tcBorders>
              <w:top w:val="single" w:sz="4" w:space="0" w:color="auto"/>
              <w:left w:val="single" w:sz="4" w:space="0" w:color="auto"/>
              <w:bottom w:val="single" w:sz="4" w:space="0" w:color="auto"/>
              <w:right w:val="single" w:sz="4" w:space="0" w:color="auto"/>
            </w:tcBorders>
            <w:vAlign w:val="center"/>
          </w:tcPr>
          <w:p w14:paraId="7B6CEC3D" w14:textId="67154FD1" w:rsidR="00CD5B65" w:rsidRPr="00234236" w:rsidRDefault="00CD5B65" w:rsidP="000F48C6">
            <w:pPr>
              <w:jc w:val="center"/>
              <w:rPr>
                <w:rFonts w:asciiTheme="minorHAnsi" w:hAnsiTheme="minorHAnsi" w:cstheme="minorHAnsi"/>
                <w:sz w:val="22"/>
              </w:rPr>
            </w:pPr>
            <w:r w:rsidRPr="00234236">
              <w:rPr>
                <w:rFonts w:asciiTheme="minorHAnsi" w:hAnsiTheme="minorHAnsi" w:cstheme="minorHAnsi"/>
                <w:sz w:val="22"/>
              </w:rPr>
              <w:t>4</w:t>
            </w:r>
            <w:r w:rsidR="00AB50B7">
              <w:rPr>
                <w:rFonts w:asciiTheme="minorHAnsi" w:hAnsiTheme="minorHAnsi" w:cstheme="minorHAnsi"/>
                <w:sz w:val="22"/>
              </w:rPr>
              <w:t xml:space="preserve"> </w:t>
            </w:r>
            <w:r w:rsidRPr="00234236">
              <w:rPr>
                <w:rFonts w:asciiTheme="minorHAnsi" w:hAnsiTheme="minorHAnsi" w:cstheme="minorHAnsi"/>
                <w:sz w:val="22"/>
              </w:rPr>
              <w:t>%</w:t>
            </w:r>
          </w:p>
        </w:tc>
        <w:tc>
          <w:tcPr>
            <w:tcW w:w="1102" w:type="pct"/>
            <w:tcBorders>
              <w:top w:val="single" w:sz="4" w:space="0" w:color="auto"/>
              <w:left w:val="single" w:sz="4" w:space="0" w:color="auto"/>
              <w:bottom w:val="single" w:sz="4" w:space="0" w:color="auto"/>
              <w:right w:val="single" w:sz="4" w:space="0" w:color="auto"/>
            </w:tcBorders>
            <w:vAlign w:val="center"/>
            <w:hideMark/>
          </w:tcPr>
          <w:p w14:paraId="1CAFD234" w14:textId="7A7F984D" w:rsidR="00CD5B65" w:rsidRPr="00234236" w:rsidRDefault="00CD5B65" w:rsidP="000F48C6">
            <w:pPr>
              <w:jc w:val="center"/>
              <w:rPr>
                <w:rFonts w:asciiTheme="minorHAnsi" w:hAnsiTheme="minorHAnsi" w:cstheme="minorHAnsi"/>
                <w:sz w:val="22"/>
              </w:rPr>
            </w:pPr>
            <w:r w:rsidRPr="00234236">
              <w:rPr>
                <w:rFonts w:asciiTheme="minorHAnsi" w:hAnsiTheme="minorHAnsi" w:cstheme="minorHAnsi"/>
                <w:sz w:val="22"/>
              </w:rPr>
              <w:t>3</w:t>
            </w:r>
            <w:r w:rsidR="00AB50B7">
              <w:rPr>
                <w:rFonts w:asciiTheme="minorHAnsi" w:hAnsiTheme="minorHAnsi" w:cstheme="minorHAnsi"/>
                <w:sz w:val="22"/>
              </w:rPr>
              <w:t>,</w:t>
            </w:r>
            <w:r w:rsidRPr="00234236">
              <w:rPr>
                <w:rFonts w:asciiTheme="minorHAnsi" w:hAnsiTheme="minorHAnsi" w:cstheme="minorHAnsi"/>
                <w:sz w:val="22"/>
              </w:rPr>
              <w:t>4</w:t>
            </w:r>
            <w:r w:rsidR="00AB50B7">
              <w:rPr>
                <w:rFonts w:asciiTheme="minorHAnsi" w:hAnsiTheme="minorHAnsi" w:cstheme="minorHAnsi"/>
                <w:sz w:val="22"/>
              </w:rPr>
              <w:t xml:space="preserve"> </w:t>
            </w:r>
            <w:r w:rsidRPr="00234236">
              <w:rPr>
                <w:rFonts w:asciiTheme="minorHAnsi" w:hAnsiTheme="minorHAnsi" w:cstheme="minorHAnsi"/>
                <w:sz w:val="22"/>
              </w:rPr>
              <w:t>%</w:t>
            </w:r>
          </w:p>
        </w:tc>
        <w:tc>
          <w:tcPr>
            <w:tcW w:w="788" w:type="pct"/>
            <w:tcBorders>
              <w:top w:val="single" w:sz="4" w:space="0" w:color="auto"/>
              <w:left w:val="single" w:sz="4" w:space="0" w:color="auto"/>
              <w:bottom w:val="single" w:sz="4" w:space="0" w:color="auto"/>
              <w:right w:val="single" w:sz="4" w:space="0" w:color="auto"/>
            </w:tcBorders>
            <w:shd w:val="clear" w:color="auto" w:fill="auto"/>
            <w:vAlign w:val="center"/>
          </w:tcPr>
          <w:p w14:paraId="201FDA0D" w14:textId="618F6221" w:rsidR="00CD5B65" w:rsidRPr="00234236" w:rsidRDefault="00CD5B65" w:rsidP="000F48C6">
            <w:pPr>
              <w:autoSpaceDE w:val="0"/>
              <w:autoSpaceDN w:val="0"/>
              <w:adjustRightInd w:val="0"/>
              <w:jc w:val="center"/>
              <w:rPr>
                <w:rFonts w:asciiTheme="minorHAnsi" w:hAnsiTheme="minorHAnsi" w:cstheme="minorHAnsi"/>
                <w:sz w:val="22"/>
              </w:rPr>
            </w:pPr>
            <w:r w:rsidRPr="00234236">
              <w:rPr>
                <w:rFonts w:asciiTheme="minorHAnsi" w:hAnsiTheme="minorHAnsi" w:cstheme="minorHAnsi"/>
                <w:sz w:val="22"/>
              </w:rPr>
              <w:t>5</w:t>
            </w:r>
            <w:r w:rsidR="00AB50B7">
              <w:rPr>
                <w:rFonts w:asciiTheme="minorHAnsi" w:hAnsiTheme="minorHAnsi" w:cstheme="minorHAnsi"/>
                <w:sz w:val="22"/>
              </w:rPr>
              <w:t xml:space="preserve"> </w:t>
            </w:r>
            <w:r w:rsidRPr="00234236">
              <w:rPr>
                <w:rFonts w:asciiTheme="minorHAnsi" w:hAnsiTheme="minorHAnsi" w:cstheme="minorHAnsi"/>
                <w:sz w:val="22"/>
              </w:rPr>
              <w:t>%</w:t>
            </w:r>
          </w:p>
        </w:tc>
        <w:tc>
          <w:tcPr>
            <w:tcW w:w="1089" w:type="pct"/>
            <w:tcBorders>
              <w:top w:val="single" w:sz="4" w:space="0" w:color="auto"/>
              <w:left w:val="single" w:sz="4" w:space="0" w:color="auto"/>
              <w:bottom w:val="single" w:sz="4" w:space="0" w:color="auto"/>
              <w:right w:val="single" w:sz="4" w:space="0" w:color="auto"/>
            </w:tcBorders>
            <w:hideMark/>
          </w:tcPr>
          <w:p w14:paraId="00FCF14E" w14:textId="54B47689" w:rsidR="00CD5B65" w:rsidRPr="00234236" w:rsidRDefault="00CD5B65" w:rsidP="000F48C6">
            <w:pPr>
              <w:autoSpaceDE w:val="0"/>
              <w:autoSpaceDN w:val="0"/>
              <w:adjustRightInd w:val="0"/>
              <w:jc w:val="center"/>
              <w:rPr>
                <w:rFonts w:asciiTheme="minorHAnsi" w:hAnsiTheme="minorHAnsi" w:cstheme="minorHAnsi"/>
                <w:sz w:val="22"/>
              </w:rPr>
            </w:pPr>
            <w:r w:rsidRPr="00234236">
              <w:rPr>
                <w:rFonts w:asciiTheme="minorHAnsi" w:hAnsiTheme="minorHAnsi" w:cstheme="minorHAnsi"/>
                <w:sz w:val="22"/>
              </w:rPr>
              <w:t>5</w:t>
            </w:r>
            <w:r w:rsidR="00AB50B7">
              <w:rPr>
                <w:rFonts w:asciiTheme="minorHAnsi" w:hAnsiTheme="minorHAnsi" w:cstheme="minorHAnsi"/>
                <w:sz w:val="22"/>
              </w:rPr>
              <w:t>,</w:t>
            </w:r>
            <w:r w:rsidRPr="00234236">
              <w:rPr>
                <w:rFonts w:asciiTheme="minorHAnsi" w:hAnsiTheme="minorHAnsi" w:cstheme="minorHAnsi"/>
                <w:sz w:val="22"/>
              </w:rPr>
              <w:t>1</w:t>
            </w:r>
            <w:r w:rsidR="00AB50B7">
              <w:rPr>
                <w:rFonts w:asciiTheme="minorHAnsi" w:hAnsiTheme="minorHAnsi" w:cstheme="minorHAnsi"/>
                <w:sz w:val="22"/>
              </w:rPr>
              <w:t xml:space="preserve"> </w:t>
            </w:r>
            <w:r w:rsidRPr="00234236">
              <w:rPr>
                <w:rFonts w:asciiTheme="minorHAnsi" w:hAnsiTheme="minorHAnsi" w:cstheme="minorHAnsi"/>
                <w:sz w:val="22"/>
              </w:rPr>
              <w:t>%</w:t>
            </w:r>
          </w:p>
        </w:tc>
      </w:tr>
      <w:tr w:rsidR="00CD5B65" w:rsidRPr="002D39D0" w14:paraId="39FC0CD3" w14:textId="77777777" w:rsidTr="00CD5B65">
        <w:trPr>
          <w:cantSplit/>
          <w:trHeight w:val="598"/>
          <w:tblHeader/>
          <w:jc w:val="center"/>
        </w:trPr>
        <w:tc>
          <w:tcPr>
            <w:tcW w:w="920" w:type="pct"/>
            <w:tcBorders>
              <w:top w:val="single" w:sz="4" w:space="0" w:color="auto"/>
              <w:left w:val="single" w:sz="4" w:space="0" w:color="auto"/>
              <w:bottom w:val="single" w:sz="4" w:space="0" w:color="auto"/>
              <w:right w:val="single" w:sz="4" w:space="0" w:color="auto"/>
            </w:tcBorders>
            <w:shd w:val="clear" w:color="auto" w:fill="54575A" w:themeFill="text1"/>
            <w:vAlign w:val="center"/>
          </w:tcPr>
          <w:p w14:paraId="6329854A" w14:textId="77777777" w:rsidR="00CD5B65" w:rsidRPr="002D39D0" w:rsidRDefault="00CD5B65" w:rsidP="000F48C6">
            <w:pPr>
              <w:spacing w:before="120" w:after="120"/>
              <w:rPr>
                <w:rFonts w:asciiTheme="minorHAnsi" w:hAnsiTheme="minorHAnsi" w:cstheme="minorHAnsi"/>
                <w:color w:val="FFFFFF" w:themeColor="background1"/>
                <w:sz w:val="22"/>
              </w:rPr>
            </w:pPr>
            <w:r w:rsidRPr="002D39D0">
              <w:rPr>
                <w:rFonts w:asciiTheme="minorHAnsi" w:hAnsiTheme="minorHAnsi" w:cstheme="minorHAnsi"/>
                <w:color w:val="FFFFFF" w:themeColor="background1"/>
                <w:sz w:val="22"/>
              </w:rPr>
              <w:t>Personnes handicapées</w:t>
            </w:r>
          </w:p>
        </w:tc>
        <w:tc>
          <w:tcPr>
            <w:tcW w:w="1102" w:type="pct"/>
            <w:tcBorders>
              <w:top w:val="single" w:sz="4" w:space="0" w:color="auto"/>
              <w:left w:val="single" w:sz="4" w:space="0" w:color="auto"/>
              <w:bottom w:val="single" w:sz="4" w:space="0" w:color="auto"/>
              <w:right w:val="single" w:sz="4" w:space="0" w:color="auto"/>
            </w:tcBorders>
            <w:vAlign w:val="center"/>
          </w:tcPr>
          <w:p w14:paraId="4AEB4C06" w14:textId="1D6E70C2" w:rsidR="00CD5B65" w:rsidRPr="00234236" w:rsidRDefault="00CD5B65" w:rsidP="000F48C6">
            <w:pPr>
              <w:jc w:val="center"/>
              <w:rPr>
                <w:rFonts w:asciiTheme="minorHAnsi" w:hAnsiTheme="minorHAnsi" w:cstheme="minorHAnsi"/>
                <w:sz w:val="22"/>
              </w:rPr>
            </w:pPr>
            <w:r w:rsidRPr="00234236">
              <w:rPr>
                <w:rFonts w:asciiTheme="minorHAnsi" w:hAnsiTheme="minorHAnsi" w:cstheme="minorHAnsi"/>
                <w:sz w:val="22"/>
              </w:rPr>
              <w:t>9</w:t>
            </w:r>
            <w:r w:rsidR="00AB50B7">
              <w:rPr>
                <w:rFonts w:asciiTheme="minorHAnsi" w:hAnsiTheme="minorHAnsi" w:cstheme="minorHAnsi"/>
                <w:sz w:val="22"/>
              </w:rPr>
              <w:t xml:space="preserve"> </w:t>
            </w:r>
            <w:r w:rsidRPr="00234236">
              <w:rPr>
                <w:rFonts w:asciiTheme="minorHAnsi" w:hAnsiTheme="minorHAnsi" w:cstheme="minorHAnsi"/>
                <w:sz w:val="22"/>
              </w:rPr>
              <w:t>%</w:t>
            </w:r>
          </w:p>
        </w:tc>
        <w:tc>
          <w:tcPr>
            <w:tcW w:w="1102" w:type="pct"/>
            <w:tcBorders>
              <w:top w:val="single" w:sz="4" w:space="0" w:color="auto"/>
              <w:left w:val="single" w:sz="4" w:space="0" w:color="auto"/>
              <w:bottom w:val="single" w:sz="4" w:space="0" w:color="auto"/>
              <w:right w:val="single" w:sz="4" w:space="0" w:color="auto"/>
            </w:tcBorders>
            <w:vAlign w:val="center"/>
            <w:hideMark/>
          </w:tcPr>
          <w:p w14:paraId="3FD04F22" w14:textId="2A344AD9" w:rsidR="00CD5B65" w:rsidRPr="00234236" w:rsidRDefault="00CD5B65" w:rsidP="000F48C6">
            <w:pPr>
              <w:jc w:val="center"/>
              <w:rPr>
                <w:rFonts w:asciiTheme="minorHAnsi" w:hAnsiTheme="minorHAnsi" w:cstheme="minorHAnsi"/>
                <w:sz w:val="22"/>
              </w:rPr>
            </w:pPr>
            <w:r w:rsidRPr="00234236">
              <w:rPr>
                <w:rFonts w:asciiTheme="minorHAnsi" w:hAnsiTheme="minorHAnsi" w:cstheme="minorHAnsi"/>
                <w:sz w:val="22"/>
              </w:rPr>
              <w:t>4</w:t>
            </w:r>
            <w:r w:rsidR="00AB50B7">
              <w:rPr>
                <w:rFonts w:asciiTheme="minorHAnsi" w:hAnsiTheme="minorHAnsi" w:cstheme="minorHAnsi"/>
                <w:sz w:val="22"/>
              </w:rPr>
              <w:t>,</w:t>
            </w:r>
            <w:r w:rsidRPr="00234236">
              <w:rPr>
                <w:rFonts w:asciiTheme="minorHAnsi" w:hAnsiTheme="minorHAnsi" w:cstheme="minorHAnsi"/>
                <w:sz w:val="22"/>
              </w:rPr>
              <w:t>4</w:t>
            </w:r>
            <w:r w:rsidR="00AB50B7">
              <w:rPr>
                <w:rFonts w:asciiTheme="minorHAnsi" w:hAnsiTheme="minorHAnsi" w:cstheme="minorHAnsi"/>
                <w:sz w:val="22"/>
              </w:rPr>
              <w:t xml:space="preserve"> </w:t>
            </w:r>
            <w:r w:rsidRPr="00234236">
              <w:rPr>
                <w:rFonts w:asciiTheme="minorHAnsi" w:hAnsiTheme="minorHAnsi" w:cstheme="minorHAnsi"/>
                <w:sz w:val="22"/>
              </w:rPr>
              <w:t>%</w:t>
            </w:r>
          </w:p>
        </w:tc>
        <w:tc>
          <w:tcPr>
            <w:tcW w:w="788" w:type="pct"/>
            <w:tcBorders>
              <w:top w:val="single" w:sz="4" w:space="0" w:color="auto"/>
              <w:left w:val="single" w:sz="4" w:space="0" w:color="auto"/>
              <w:bottom w:val="single" w:sz="4" w:space="0" w:color="auto"/>
              <w:right w:val="single" w:sz="4" w:space="0" w:color="auto"/>
            </w:tcBorders>
            <w:shd w:val="clear" w:color="auto" w:fill="FFB999" w:themeFill="accent4" w:themeFillTint="66"/>
            <w:vAlign w:val="center"/>
          </w:tcPr>
          <w:p w14:paraId="357893BC" w14:textId="332841F2" w:rsidR="00CD5B65" w:rsidRPr="00234236" w:rsidRDefault="00CD5B65" w:rsidP="000F48C6">
            <w:pPr>
              <w:autoSpaceDE w:val="0"/>
              <w:autoSpaceDN w:val="0"/>
              <w:adjustRightInd w:val="0"/>
              <w:jc w:val="center"/>
              <w:rPr>
                <w:rFonts w:asciiTheme="minorHAnsi" w:hAnsiTheme="minorHAnsi" w:cstheme="minorHAnsi"/>
                <w:sz w:val="22"/>
              </w:rPr>
            </w:pPr>
            <w:r w:rsidRPr="00234236">
              <w:rPr>
                <w:rFonts w:asciiTheme="minorHAnsi" w:hAnsiTheme="minorHAnsi" w:cstheme="minorHAnsi"/>
                <w:sz w:val="22"/>
              </w:rPr>
              <w:t>3</w:t>
            </w:r>
            <w:r w:rsidR="00AB50B7">
              <w:rPr>
                <w:rFonts w:asciiTheme="minorHAnsi" w:hAnsiTheme="minorHAnsi" w:cstheme="minorHAnsi"/>
                <w:sz w:val="22"/>
              </w:rPr>
              <w:t>,</w:t>
            </w:r>
            <w:r w:rsidRPr="00234236">
              <w:rPr>
                <w:rFonts w:asciiTheme="minorHAnsi" w:hAnsiTheme="minorHAnsi" w:cstheme="minorHAnsi"/>
                <w:sz w:val="22"/>
              </w:rPr>
              <w:t>8</w:t>
            </w:r>
            <w:r w:rsidR="00AB50B7">
              <w:rPr>
                <w:rFonts w:asciiTheme="minorHAnsi" w:hAnsiTheme="minorHAnsi" w:cstheme="minorHAnsi"/>
                <w:sz w:val="22"/>
              </w:rPr>
              <w:t xml:space="preserve"> </w:t>
            </w:r>
            <w:r w:rsidRPr="00234236">
              <w:rPr>
                <w:rFonts w:asciiTheme="minorHAnsi" w:hAnsiTheme="minorHAnsi" w:cstheme="minorHAnsi"/>
                <w:sz w:val="22"/>
              </w:rPr>
              <w:t>%</w:t>
            </w:r>
          </w:p>
        </w:tc>
        <w:tc>
          <w:tcPr>
            <w:tcW w:w="1089" w:type="pct"/>
            <w:tcBorders>
              <w:top w:val="single" w:sz="4" w:space="0" w:color="auto"/>
              <w:left w:val="single" w:sz="4" w:space="0" w:color="auto"/>
              <w:bottom w:val="single" w:sz="4" w:space="0" w:color="auto"/>
              <w:right w:val="single" w:sz="4" w:space="0" w:color="auto"/>
            </w:tcBorders>
            <w:vAlign w:val="center"/>
            <w:hideMark/>
          </w:tcPr>
          <w:p w14:paraId="6DC8589A" w14:textId="2A76B5F6" w:rsidR="00CD5B65" w:rsidRPr="00234236" w:rsidRDefault="00CD5B65" w:rsidP="00AB50B7">
            <w:pPr>
              <w:autoSpaceDE w:val="0"/>
              <w:autoSpaceDN w:val="0"/>
              <w:adjustRightInd w:val="0"/>
              <w:jc w:val="center"/>
              <w:rPr>
                <w:rFonts w:asciiTheme="minorHAnsi" w:hAnsiTheme="minorHAnsi" w:cstheme="minorHAnsi"/>
                <w:sz w:val="22"/>
              </w:rPr>
            </w:pPr>
            <w:r w:rsidRPr="00234236">
              <w:rPr>
                <w:rFonts w:asciiTheme="minorHAnsi" w:hAnsiTheme="minorHAnsi" w:cstheme="minorHAnsi"/>
                <w:sz w:val="22"/>
              </w:rPr>
              <w:t>5</w:t>
            </w:r>
            <w:r w:rsidR="00AB50B7">
              <w:rPr>
                <w:rFonts w:asciiTheme="minorHAnsi" w:hAnsiTheme="minorHAnsi" w:cstheme="minorHAnsi"/>
                <w:sz w:val="22"/>
              </w:rPr>
              <w:t>,</w:t>
            </w:r>
            <w:r w:rsidRPr="00234236">
              <w:rPr>
                <w:rFonts w:asciiTheme="minorHAnsi" w:hAnsiTheme="minorHAnsi" w:cstheme="minorHAnsi"/>
                <w:sz w:val="22"/>
              </w:rPr>
              <w:t>3</w:t>
            </w:r>
            <w:r w:rsidR="00AB50B7">
              <w:rPr>
                <w:rFonts w:asciiTheme="minorHAnsi" w:hAnsiTheme="minorHAnsi" w:cstheme="minorHAnsi"/>
                <w:sz w:val="22"/>
              </w:rPr>
              <w:t xml:space="preserve"> </w:t>
            </w:r>
            <w:r w:rsidRPr="00234236">
              <w:rPr>
                <w:rFonts w:asciiTheme="minorHAnsi" w:hAnsiTheme="minorHAnsi" w:cstheme="minorHAnsi"/>
                <w:sz w:val="22"/>
              </w:rPr>
              <w:t>%</w:t>
            </w:r>
          </w:p>
        </w:tc>
      </w:tr>
      <w:tr w:rsidR="00CD5B65" w:rsidRPr="002D39D0" w14:paraId="0AC7D95A" w14:textId="77777777" w:rsidTr="00CD5B65">
        <w:trPr>
          <w:cantSplit/>
          <w:tblHeader/>
          <w:jc w:val="center"/>
        </w:trPr>
        <w:tc>
          <w:tcPr>
            <w:tcW w:w="920" w:type="pct"/>
            <w:tcBorders>
              <w:top w:val="single" w:sz="4" w:space="0" w:color="auto"/>
              <w:left w:val="single" w:sz="4" w:space="0" w:color="auto"/>
              <w:bottom w:val="single" w:sz="4" w:space="0" w:color="auto"/>
              <w:right w:val="single" w:sz="4" w:space="0" w:color="auto"/>
            </w:tcBorders>
            <w:shd w:val="clear" w:color="auto" w:fill="54575A" w:themeFill="text1"/>
            <w:vAlign w:val="center"/>
          </w:tcPr>
          <w:p w14:paraId="1584BE51" w14:textId="77777777" w:rsidR="00CD5B65" w:rsidRPr="002D39D0" w:rsidRDefault="00CD5B65" w:rsidP="000F48C6">
            <w:pPr>
              <w:spacing w:before="120" w:after="120"/>
              <w:rPr>
                <w:rFonts w:asciiTheme="minorHAnsi" w:hAnsiTheme="minorHAnsi" w:cstheme="minorHAnsi"/>
                <w:color w:val="FFFFFF" w:themeColor="background1"/>
                <w:sz w:val="22"/>
              </w:rPr>
            </w:pPr>
            <w:r w:rsidRPr="002D39D0">
              <w:rPr>
                <w:rFonts w:asciiTheme="minorHAnsi" w:hAnsiTheme="minorHAnsi" w:cstheme="minorHAnsi"/>
                <w:color w:val="FFFFFF" w:themeColor="background1"/>
                <w:sz w:val="22"/>
              </w:rPr>
              <w:t>Membres de minorités visibles</w:t>
            </w:r>
          </w:p>
        </w:tc>
        <w:tc>
          <w:tcPr>
            <w:tcW w:w="1102" w:type="pct"/>
            <w:tcBorders>
              <w:top w:val="single" w:sz="4" w:space="0" w:color="auto"/>
              <w:left w:val="single" w:sz="4" w:space="0" w:color="auto"/>
              <w:bottom w:val="single" w:sz="4" w:space="0" w:color="auto"/>
              <w:right w:val="single" w:sz="4" w:space="0" w:color="auto"/>
            </w:tcBorders>
            <w:vAlign w:val="center"/>
          </w:tcPr>
          <w:p w14:paraId="2085DDBA" w14:textId="272F5810" w:rsidR="00CD5B65" w:rsidRPr="00234236" w:rsidRDefault="00CD5B65" w:rsidP="000F48C6">
            <w:pPr>
              <w:jc w:val="center"/>
              <w:rPr>
                <w:rFonts w:asciiTheme="minorHAnsi" w:hAnsiTheme="minorHAnsi" w:cstheme="minorHAnsi"/>
                <w:sz w:val="22"/>
              </w:rPr>
            </w:pPr>
            <w:r w:rsidRPr="00234236">
              <w:rPr>
                <w:rFonts w:asciiTheme="minorHAnsi" w:hAnsiTheme="minorHAnsi" w:cstheme="minorHAnsi"/>
                <w:sz w:val="22"/>
              </w:rPr>
              <w:t>15</w:t>
            </w:r>
            <w:r w:rsidR="00AB50B7">
              <w:rPr>
                <w:rFonts w:asciiTheme="minorHAnsi" w:hAnsiTheme="minorHAnsi" w:cstheme="minorHAnsi"/>
                <w:sz w:val="22"/>
              </w:rPr>
              <w:t>,</w:t>
            </w:r>
            <w:r w:rsidRPr="00234236">
              <w:rPr>
                <w:rFonts w:asciiTheme="minorHAnsi" w:hAnsiTheme="minorHAnsi" w:cstheme="minorHAnsi"/>
                <w:sz w:val="22"/>
              </w:rPr>
              <w:t>3</w:t>
            </w:r>
            <w:r w:rsidR="00AB50B7">
              <w:rPr>
                <w:rFonts w:asciiTheme="minorHAnsi" w:hAnsiTheme="minorHAnsi" w:cstheme="minorHAnsi"/>
                <w:sz w:val="22"/>
              </w:rPr>
              <w:t xml:space="preserve"> </w:t>
            </w:r>
            <w:r w:rsidRPr="00234236">
              <w:rPr>
                <w:rFonts w:asciiTheme="minorHAnsi" w:hAnsiTheme="minorHAnsi" w:cstheme="minorHAnsi"/>
                <w:sz w:val="22"/>
              </w:rPr>
              <w:t>%</w:t>
            </w:r>
          </w:p>
        </w:tc>
        <w:tc>
          <w:tcPr>
            <w:tcW w:w="1102" w:type="pct"/>
            <w:tcBorders>
              <w:top w:val="single" w:sz="4" w:space="0" w:color="auto"/>
              <w:left w:val="single" w:sz="4" w:space="0" w:color="auto"/>
              <w:bottom w:val="single" w:sz="4" w:space="0" w:color="auto"/>
              <w:right w:val="single" w:sz="4" w:space="0" w:color="auto"/>
            </w:tcBorders>
            <w:vAlign w:val="center"/>
            <w:hideMark/>
          </w:tcPr>
          <w:p w14:paraId="4A97FA2B" w14:textId="5E523268" w:rsidR="00CD5B65" w:rsidRPr="00234236" w:rsidRDefault="00CD5B65" w:rsidP="000F48C6">
            <w:pPr>
              <w:jc w:val="center"/>
              <w:rPr>
                <w:rFonts w:asciiTheme="minorHAnsi" w:hAnsiTheme="minorHAnsi" w:cstheme="minorHAnsi"/>
                <w:sz w:val="22"/>
              </w:rPr>
            </w:pPr>
            <w:r w:rsidRPr="00234236">
              <w:rPr>
                <w:rFonts w:asciiTheme="minorHAnsi" w:hAnsiTheme="minorHAnsi" w:cstheme="minorHAnsi"/>
                <w:sz w:val="22"/>
              </w:rPr>
              <w:t>13</w:t>
            </w:r>
            <w:r w:rsidR="00AB50B7">
              <w:rPr>
                <w:rFonts w:asciiTheme="minorHAnsi" w:hAnsiTheme="minorHAnsi" w:cstheme="minorHAnsi"/>
                <w:sz w:val="22"/>
              </w:rPr>
              <w:t xml:space="preserve"> </w:t>
            </w:r>
            <w:r w:rsidRPr="00234236">
              <w:rPr>
                <w:rFonts w:asciiTheme="minorHAnsi" w:hAnsiTheme="minorHAnsi" w:cstheme="minorHAnsi"/>
                <w:sz w:val="22"/>
              </w:rPr>
              <w:t>%</w:t>
            </w:r>
          </w:p>
        </w:tc>
        <w:tc>
          <w:tcPr>
            <w:tcW w:w="788" w:type="pct"/>
            <w:tcBorders>
              <w:top w:val="single" w:sz="4" w:space="0" w:color="auto"/>
              <w:left w:val="single" w:sz="4" w:space="0" w:color="auto"/>
              <w:bottom w:val="single" w:sz="4" w:space="0" w:color="auto"/>
              <w:right w:val="single" w:sz="4" w:space="0" w:color="auto"/>
            </w:tcBorders>
            <w:shd w:val="clear" w:color="auto" w:fill="auto"/>
            <w:vAlign w:val="center"/>
          </w:tcPr>
          <w:p w14:paraId="4365160B" w14:textId="12649C65" w:rsidR="00CD5B65" w:rsidRPr="00234236" w:rsidRDefault="00CD5B65" w:rsidP="00AB50B7">
            <w:pPr>
              <w:autoSpaceDE w:val="0"/>
              <w:autoSpaceDN w:val="0"/>
              <w:adjustRightInd w:val="0"/>
              <w:jc w:val="center"/>
              <w:rPr>
                <w:rFonts w:asciiTheme="minorHAnsi" w:hAnsiTheme="minorHAnsi" w:cstheme="minorHAnsi"/>
                <w:sz w:val="22"/>
              </w:rPr>
            </w:pPr>
            <w:r w:rsidRPr="00234236">
              <w:rPr>
                <w:rFonts w:asciiTheme="minorHAnsi" w:hAnsiTheme="minorHAnsi" w:cstheme="minorHAnsi"/>
                <w:sz w:val="22"/>
              </w:rPr>
              <w:t>21</w:t>
            </w:r>
            <w:r w:rsidR="00AB50B7">
              <w:rPr>
                <w:rFonts w:asciiTheme="minorHAnsi" w:hAnsiTheme="minorHAnsi" w:cstheme="minorHAnsi"/>
                <w:sz w:val="22"/>
              </w:rPr>
              <w:t>,</w:t>
            </w:r>
            <w:r w:rsidRPr="00234236">
              <w:rPr>
                <w:rFonts w:asciiTheme="minorHAnsi" w:hAnsiTheme="minorHAnsi" w:cstheme="minorHAnsi"/>
                <w:sz w:val="22"/>
              </w:rPr>
              <w:t>1</w:t>
            </w:r>
            <w:r w:rsidR="00AB50B7">
              <w:rPr>
                <w:rFonts w:asciiTheme="minorHAnsi" w:hAnsiTheme="minorHAnsi" w:cstheme="minorHAnsi"/>
                <w:sz w:val="22"/>
              </w:rPr>
              <w:t xml:space="preserve"> </w:t>
            </w:r>
            <w:r w:rsidRPr="00234236">
              <w:rPr>
                <w:rFonts w:asciiTheme="minorHAnsi" w:hAnsiTheme="minorHAnsi" w:cstheme="minorHAnsi"/>
                <w:sz w:val="22"/>
              </w:rPr>
              <w:t>%</w:t>
            </w:r>
          </w:p>
        </w:tc>
        <w:tc>
          <w:tcPr>
            <w:tcW w:w="1089" w:type="pct"/>
            <w:tcBorders>
              <w:top w:val="single" w:sz="4" w:space="0" w:color="auto"/>
              <w:left w:val="single" w:sz="4" w:space="0" w:color="auto"/>
              <w:bottom w:val="single" w:sz="4" w:space="0" w:color="auto"/>
              <w:right w:val="single" w:sz="4" w:space="0" w:color="auto"/>
            </w:tcBorders>
            <w:vAlign w:val="center"/>
            <w:hideMark/>
          </w:tcPr>
          <w:p w14:paraId="180B7658" w14:textId="38D095A6" w:rsidR="00CD5B65" w:rsidRPr="00234236" w:rsidRDefault="00CD5B65" w:rsidP="000F48C6">
            <w:pPr>
              <w:autoSpaceDE w:val="0"/>
              <w:autoSpaceDN w:val="0"/>
              <w:adjustRightInd w:val="0"/>
              <w:jc w:val="center"/>
              <w:rPr>
                <w:rFonts w:asciiTheme="minorHAnsi" w:hAnsiTheme="minorHAnsi" w:cstheme="minorHAnsi"/>
                <w:sz w:val="22"/>
              </w:rPr>
            </w:pPr>
            <w:r w:rsidRPr="00234236">
              <w:rPr>
                <w:rFonts w:asciiTheme="minorHAnsi" w:hAnsiTheme="minorHAnsi" w:cstheme="minorHAnsi"/>
                <w:sz w:val="22"/>
              </w:rPr>
              <w:t>15</w:t>
            </w:r>
            <w:r w:rsidR="00AB50B7">
              <w:rPr>
                <w:rFonts w:asciiTheme="minorHAnsi" w:hAnsiTheme="minorHAnsi" w:cstheme="minorHAnsi"/>
                <w:sz w:val="22"/>
              </w:rPr>
              <w:t>,</w:t>
            </w:r>
            <w:r w:rsidRPr="00234236">
              <w:rPr>
                <w:rFonts w:asciiTheme="minorHAnsi" w:hAnsiTheme="minorHAnsi" w:cstheme="minorHAnsi"/>
                <w:sz w:val="22"/>
              </w:rPr>
              <w:t>7</w:t>
            </w:r>
            <w:r w:rsidR="00AB50B7">
              <w:rPr>
                <w:rFonts w:asciiTheme="minorHAnsi" w:hAnsiTheme="minorHAnsi" w:cstheme="minorHAnsi"/>
                <w:sz w:val="22"/>
              </w:rPr>
              <w:t xml:space="preserve"> </w:t>
            </w:r>
            <w:r w:rsidRPr="00234236">
              <w:rPr>
                <w:rFonts w:asciiTheme="minorHAnsi" w:hAnsiTheme="minorHAnsi" w:cstheme="minorHAnsi"/>
                <w:sz w:val="22"/>
              </w:rPr>
              <w:t>%</w:t>
            </w:r>
          </w:p>
        </w:tc>
      </w:tr>
    </w:tbl>
    <w:p w14:paraId="2FE9FAD5" w14:textId="77777777" w:rsidR="00CD5B65" w:rsidRPr="00234236" w:rsidRDefault="00CD5B65" w:rsidP="00CD5B65">
      <w:pPr>
        <w:jc w:val="both"/>
        <w:rPr>
          <w:rFonts w:asciiTheme="minorHAnsi" w:eastAsiaTheme="minorHAnsi" w:hAnsiTheme="minorHAnsi" w:cstheme="minorHAnsi"/>
          <w:sz w:val="22"/>
          <w:szCs w:val="24"/>
        </w:rPr>
      </w:pPr>
      <w:r w:rsidRPr="00234236">
        <w:rPr>
          <w:rFonts w:asciiTheme="minorHAnsi" w:hAnsiTheme="minorHAnsi" w:cstheme="minorHAnsi"/>
          <w:sz w:val="22"/>
          <w:szCs w:val="24"/>
        </w:rPr>
        <w:t xml:space="preserve">Source : </w:t>
      </w:r>
      <w:hyperlink r:id="rId14" w:history="1">
        <w:r w:rsidRPr="00222D78">
          <w:rPr>
            <w:rFonts w:asciiTheme="minorHAnsi" w:eastAsiaTheme="minorHAnsi" w:hAnsiTheme="minorHAnsi" w:cstheme="minorHAnsi"/>
            <w:color w:val="0070C0"/>
            <w:sz w:val="22"/>
            <w:szCs w:val="24"/>
            <w:u w:val="single"/>
          </w:rPr>
          <w:t>L’équité en matière d’emploi dans la fonction publique du Canada, exercice 2017 à 2018</w:t>
        </w:r>
      </w:hyperlink>
    </w:p>
    <w:p w14:paraId="3E488C81" w14:textId="77777777" w:rsidR="00CD5B65" w:rsidRPr="00234236" w:rsidRDefault="00CD5B65" w:rsidP="00CD5B65">
      <w:pPr>
        <w:jc w:val="both"/>
        <w:rPr>
          <w:rFonts w:asciiTheme="minorHAnsi" w:hAnsiTheme="minorHAnsi" w:cstheme="minorHAnsi"/>
          <w:b/>
          <w:sz w:val="22"/>
          <w:szCs w:val="24"/>
          <w:highlight w:val="yellow"/>
        </w:rPr>
      </w:pPr>
      <w:r w:rsidRPr="00234236">
        <w:rPr>
          <w:rFonts w:asciiTheme="minorHAnsi" w:hAnsiTheme="minorHAnsi" w:cstheme="minorHAnsi"/>
          <w:sz w:val="22"/>
          <w:szCs w:val="24"/>
        </w:rPr>
        <w:t>Secrétariat au Conseil du Trésor</w:t>
      </w:r>
    </w:p>
    <w:p w14:paraId="00430383" w14:textId="77777777" w:rsidR="00CD5B65" w:rsidRPr="007C1E3E" w:rsidRDefault="00CD5B65" w:rsidP="00A95A8A">
      <w:pPr>
        <w:pStyle w:val="Heading1"/>
        <w:spacing w:after="240"/>
        <w:rPr>
          <w:rFonts w:asciiTheme="minorHAnsi" w:hAnsiTheme="minorHAnsi" w:cstheme="minorHAnsi"/>
        </w:rPr>
        <w:sectPr w:rsidR="00CD5B65" w:rsidRPr="007C1E3E" w:rsidSect="007C1E3E">
          <w:footnotePr>
            <w:numFmt w:val="lowerLetter"/>
          </w:footnotePr>
          <w:endnotePr>
            <w:numFmt w:val="lowerLetter"/>
          </w:endnotePr>
          <w:pgSz w:w="12240" w:h="15840" w:code="1"/>
          <w:pgMar w:top="709" w:right="1304" w:bottom="1361" w:left="1304" w:header="284" w:footer="284" w:gutter="0"/>
          <w:cols w:space="720"/>
          <w:docGrid w:linePitch="326"/>
        </w:sectPr>
      </w:pPr>
    </w:p>
    <w:p w14:paraId="25EA797B" w14:textId="77777777" w:rsidR="00614B04" w:rsidRPr="002D39D0" w:rsidRDefault="00BB40A9" w:rsidP="007C1E3E">
      <w:pPr>
        <w:pStyle w:val="Heading1"/>
        <w:spacing w:after="120"/>
      </w:pPr>
      <w:r w:rsidRPr="002D39D0">
        <w:lastRenderedPageBreak/>
        <w:t>D</w:t>
      </w:r>
      <w:r w:rsidR="00614B04" w:rsidRPr="002D39D0">
        <w:t xml:space="preserve">roits de priorité et </w:t>
      </w:r>
      <w:r w:rsidR="00F3383E" w:rsidRPr="002D39D0">
        <w:t>anciens combattants</w:t>
      </w:r>
    </w:p>
    <w:p w14:paraId="2F4322B3" w14:textId="77777777" w:rsidR="00614B04" w:rsidRPr="002D39D0" w:rsidRDefault="00614B04" w:rsidP="007C1E3E">
      <w:pPr>
        <w:pStyle w:val="NoSpacing"/>
        <w:spacing w:after="120"/>
        <w:rPr>
          <w:rFonts w:asciiTheme="minorHAnsi" w:hAnsiTheme="minorHAnsi" w:cstheme="minorHAnsi"/>
          <w:sz w:val="22"/>
          <w:szCs w:val="22"/>
        </w:rPr>
      </w:pPr>
      <w:r w:rsidRPr="002D39D0">
        <w:rPr>
          <w:rFonts w:asciiTheme="minorHAnsi" w:hAnsiTheme="minorHAnsi" w:cstheme="minorHAnsi"/>
          <w:color w:val="000000"/>
          <w:sz w:val="22"/>
          <w:szCs w:val="22"/>
        </w:rPr>
        <w:t>En date du 14 novembre 2019, AMC comptait 30 bénéficiaires de droits de priorité. Du 1</w:t>
      </w:r>
      <w:r w:rsidRPr="002D39D0">
        <w:rPr>
          <w:rFonts w:asciiTheme="minorHAnsi" w:hAnsiTheme="minorHAnsi" w:cstheme="minorHAnsi"/>
          <w:color w:val="000000"/>
          <w:sz w:val="22"/>
          <w:szCs w:val="22"/>
          <w:vertAlign w:val="superscript"/>
        </w:rPr>
        <w:t>er</w:t>
      </w:r>
      <w:r w:rsidRPr="002D39D0">
        <w:rPr>
          <w:rFonts w:asciiTheme="minorHAnsi" w:hAnsiTheme="minorHAnsi" w:cstheme="minorHAnsi"/>
          <w:color w:val="000000"/>
          <w:sz w:val="22"/>
          <w:szCs w:val="22"/>
        </w:rPr>
        <w:t xml:space="preserve"> avril 2018 au 31 mars 2019, AMC a nommé 10 bénéficiaires de droits de priorité. Neuf des bénéficiaires de droits de priorité provenaient d’autres organisations. Huit des bénéficiaires de droits de priorité détenaient des priorités de fonctionnaire qui revient d’un congé. AMC a nommé quatre bénéficiaires de droits de priorité réglementaires des Forces armées canadiennes (FAC) [attribuable au service] et aucun bénéficiaire de droits de priorité des FAC (non attribuable au service) depuis l’entrée en vigueur de la </w:t>
      </w:r>
      <w:r w:rsidRPr="002D39D0">
        <w:rPr>
          <w:rStyle w:val="Emphasis"/>
          <w:rFonts w:cstheme="minorHAnsi"/>
        </w:rPr>
        <w:t>Loi sur l’embauche des anciens combattants</w:t>
      </w:r>
      <w:r w:rsidRPr="002D39D0">
        <w:rPr>
          <w:rFonts w:asciiTheme="minorHAnsi" w:hAnsiTheme="minorHAnsi" w:cstheme="minorHAnsi"/>
          <w:color w:val="000000"/>
          <w:sz w:val="22"/>
          <w:szCs w:val="22"/>
        </w:rPr>
        <w:t>, le 1</w:t>
      </w:r>
      <w:r w:rsidRPr="002D39D0">
        <w:rPr>
          <w:rFonts w:asciiTheme="minorHAnsi" w:hAnsiTheme="minorHAnsi" w:cstheme="minorHAnsi"/>
          <w:color w:val="000000"/>
          <w:sz w:val="22"/>
          <w:szCs w:val="22"/>
          <w:vertAlign w:val="superscript"/>
        </w:rPr>
        <w:t>er</w:t>
      </w:r>
      <w:r w:rsidRPr="002D39D0">
        <w:rPr>
          <w:rFonts w:asciiTheme="minorHAnsi" w:hAnsiTheme="minorHAnsi" w:cstheme="minorHAnsi"/>
          <w:color w:val="000000"/>
          <w:sz w:val="22"/>
          <w:szCs w:val="22"/>
        </w:rPr>
        <w:t> juillet 2015.</w:t>
      </w:r>
    </w:p>
    <w:p w14:paraId="3D970C09" w14:textId="77777777" w:rsidR="00614B04" w:rsidRPr="002D39D0" w:rsidRDefault="00614B04" w:rsidP="007C1E3E">
      <w:pPr>
        <w:pStyle w:val="NoSpacing"/>
        <w:spacing w:after="120"/>
        <w:rPr>
          <w:rFonts w:asciiTheme="minorHAnsi" w:hAnsiTheme="minorHAnsi" w:cstheme="minorHAnsi"/>
          <w:color w:val="000000"/>
          <w:sz w:val="22"/>
          <w:szCs w:val="22"/>
        </w:rPr>
      </w:pPr>
      <w:r w:rsidRPr="002D39D0">
        <w:rPr>
          <w:rFonts w:asciiTheme="minorHAnsi" w:hAnsiTheme="minorHAnsi" w:cstheme="minorHAnsi"/>
          <w:color w:val="000000"/>
          <w:sz w:val="22"/>
          <w:szCs w:val="22"/>
        </w:rPr>
        <w:t>Du 1</w:t>
      </w:r>
      <w:r w:rsidRPr="002D39D0">
        <w:rPr>
          <w:rFonts w:asciiTheme="minorHAnsi" w:hAnsiTheme="minorHAnsi" w:cstheme="minorHAnsi"/>
          <w:color w:val="000000"/>
          <w:sz w:val="22"/>
          <w:szCs w:val="22"/>
          <w:vertAlign w:val="superscript"/>
        </w:rPr>
        <w:t>er</w:t>
      </w:r>
      <w:r w:rsidRPr="002D39D0">
        <w:rPr>
          <w:rFonts w:asciiTheme="minorHAnsi" w:hAnsiTheme="minorHAnsi" w:cstheme="minorHAnsi"/>
          <w:color w:val="000000"/>
          <w:sz w:val="22"/>
          <w:szCs w:val="22"/>
        </w:rPr>
        <w:t xml:space="preserve"> avril 2018 au 31 mars 2019, AMC a présenté 1 085 demandes d’autorisation en matière de priorité. </w:t>
      </w:r>
    </w:p>
    <w:p w14:paraId="66B59B65" w14:textId="229D9BB5" w:rsidR="00CD4C6D" w:rsidRPr="002D39D0" w:rsidRDefault="00CD4C6D" w:rsidP="00CD4C6D">
      <w:pPr>
        <w:pStyle w:val="Caption"/>
        <w:keepNext/>
        <w:spacing w:after="0"/>
        <w:rPr>
          <w:rFonts w:asciiTheme="minorHAnsi" w:hAnsiTheme="minorHAnsi" w:cstheme="minorHAnsi"/>
          <w:i w:val="0"/>
          <w:color w:val="auto"/>
        </w:rPr>
      </w:pPr>
      <w:r w:rsidRPr="002D39D0">
        <w:rPr>
          <w:rFonts w:asciiTheme="minorHAnsi" w:hAnsiTheme="minorHAnsi" w:cstheme="minorHAnsi"/>
          <w:i w:val="0"/>
          <w:color w:val="auto"/>
        </w:rPr>
        <w:t xml:space="preserve">Table </w:t>
      </w:r>
      <w:r w:rsidRPr="006C61AE">
        <w:rPr>
          <w:rFonts w:asciiTheme="minorHAnsi" w:hAnsiTheme="minorHAnsi" w:cstheme="minorHAnsi"/>
          <w:i w:val="0"/>
          <w:color w:val="auto"/>
        </w:rPr>
        <w:fldChar w:fldCharType="begin"/>
      </w:r>
      <w:r w:rsidRPr="002D39D0">
        <w:rPr>
          <w:rFonts w:asciiTheme="minorHAnsi" w:hAnsiTheme="minorHAnsi" w:cstheme="minorHAnsi"/>
          <w:i w:val="0"/>
          <w:color w:val="auto"/>
        </w:rPr>
        <w:instrText xml:space="preserve"> SEQ Table \* ARABIC </w:instrText>
      </w:r>
      <w:r w:rsidRPr="006C61AE">
        <w:rPr>
          <w:rFonts w:asciiTheme="minorHAnsi" w:hAnsiTheme="minorHAnsi" w:cstheme="minorHAnsi"/>
          <w:i w:val="0"/>
          <w:color w:val="auto"/>
        </w:rPr>
        <w:fldChar w:fldCharType="separate"/>
      </w:r>
      <w:r w:rsidR="00C42F1B" w:rsidRPr="002D39D0">
        <w:rPr>
          <w:rFonts w:asciiTheme="minorHAnsi" w:hAnsiTheme="minorHAnsi" w:cstheme="minorHAnsi"/>
          <w:i w:val="0"/>
          <w:noProof/>
          <w:color w:val="auto"/>
        </w:rPr>
        <w:t>5</w:t>
      </w:r>
      <w:r w:rsidRPr="006C61AE">
        <w:rPr>
          <w:rFonts w:asciiTheme="minorHAnsi" w:hAnsiTheme="minorHAnsi" w:cstheme="minorHAnsi"/>
          <w:i w:val="0"/>
          <w:color w:val="auto"/>
        </w:rPr>
        <w:fldChar w:fldCharType="end"/>
      </w:r>
      <w:r w:rsidRPr="002D39D0">
        <w:rPr>
          <w:rFonts w:asciiTheme="minorHAnsi" w:hAnsiTheme="minorHAnsi" w:cstheme="minorHAnsi"/>
          <w:i w:val="0"/>
          <w:color w:val="auto"/>
        </w:rPr>
        <w:t xml:space="preserve"> - Droits de priorité et anciens combattants</w:t>
      </w:r>
    </w:p>
    <w:tbl>
      <w:tblPr>
        <w:tblStyle w:val="TableGrid"/>
        <w:tblW w:w="0" w:type="auto"/>
        <w:jc w:val="center"/>
        <w:tblLook w:val="04A0" w:firstRow="1" w:lastRow="0" w:firstColumn="1" w:lastColumn="0" w:noHBand="0" w:noVBand="1"/>
        <w:tblDescription w:val="Droits de priorité et anciens combattants"/>
      </w:tblPr>
      <w:tblGrid>
        <w:gridCol w:w="2397"/>
        <w:gridCol w:w="2448"/>
        <w:gridCol w:w="3118"/>
        <w:gridCol w:w="1659"/>
      </w:tblGrid>
      <w:tr w:rsidR="00CD4C6D" w:rsidRPr="004721CE" w14:paraId="0B14DE96" w14:textId="77777777" w:rsidTr="007C1E3E">
        <w:trPr>
          <w:cantSplit/>
          <w:tblHeader/>
          <w:jc w:val="center"/>
        </w:trPr>
        <w:tc>
          <w:tcPr>
            <w:tcW w:w="2397" w:type="dxa"/>
            <w:shd w:val="clear" w:color="auto" w:fill="0070C0"/>
            <w:vAlign w:val="center"/>
          </w:tcPr>
          <w:p w14:paraId="601761A2" w14:textId="77777777" w:rsidR="00CD5B65" w:rsidRPr="00102E83" w:rsidRDefault="00CD5B65" w:rsidP="004721CE">
            <w:pPr>
              <w:pStyle w:val="TableTitle"/>
              <w:rPr>
                <w:rFonts w:cs="Segoe UI Semibold"/>
                <w:b w:val="0"/>
                <w:color w:val="FFFFFF" w:themeColor="background1"/>
                <w:szCs w:val="22"/>
              </w:rPr>
            </w:pPr>
            <w:r w:rsidRPr="00102E83">
              <w:rPr>
                <w:rFonts w:cs="Segoe UI Semibold"/>
                <w:b w:val="0"/>
                <w:color w:val="FFFFFF" w:themeColor="background1"/>
                <w:szCs w:val="22"/>
              </w:rPr>
              <w:t>P</w:t>
            </w:r>
            <w:r w:rsidR="00CD4C6D" w:rsidRPr="00102E83">
              <w:rPr>
                <w:rFonts w:cs="Segoe UI Semibold"/>
                <w:b w:val="0"/>
                <w:color w:val="FFFFFF" w:themeColor="background1"/>
                <w:szCs w:val="22"/>
              </w:rPr>
              <w:t>ériode</w:t>
            </w:r>
          </w:p>
        </w:tc>
        <w:tc>
          <w:tcPr>
            <w:tcW w:w="2448" w:type="dxa"/>
            <w:shd w:val="clear" w:color="auto" w:fill="0070C0"/>
            <w:vAlign w:val="center"/>
          </w:tcPr>
          <w:p w14:paraId="7C096BEC" w14:textId="77777777" w:rsidR="00CD5B65" w:rsidRPr="00517044" w:rsidRDefault="00CD5B65" w:rsidP="004721CE">
            <w:pPr>
              <w:pStyle w:val="TableTitle"/>
              <w:rPr>
                <w:rFonts w:cs="Segoe UI Semibold"/>
                <w:b w:val="0"/>
                <w:color w:val="FFFFFF" w:themeColor="background1"/>
                <w:szCs w:val="22"/>
              </w:rPr>
            </w:pPr>
            <w:r w:rsidRPr="00517044">
              <w:rPr>
                <w:rFonts w:cs="Segoe UI Semibold"/>
                <w:b w:val="0"/>
                <w:color w:val="FFFFFF" w:themeColor="background1"/>
                <w:szCs w:val="22"/>
              </w:rPr>
              <w:t>A</w:t>
            </w:r>
            <w:r w:rsidR="00CD4C6D" w:rsidRPr="00517044">
              <w:rPr>
                <w:rFonts w:cs="Segoe UI Semibold"/>
                <w:b w:val="0"/>
                <w:color w:val="FFFFFF" w:themeColor="background1"/>
                <w:szCs w:val="22"/>
              </w:rPr>
              <w:t>ttribuable au service (législatif</w:t>
            </w:r>
            <w:r w:rsidRPr="00517044">
              <w:rPr>
                <w:rFonts w:cs="Segoe UI Semibold"/>
                <w:b w:val="0"/>
                <w:color w:val="FFFFFF" w:themeColor="background1"/>
                <w:szCs w:val="22"/>
              </w:rPr>
              <w:t>)</w:t>
            </w:r>
          </w:p>
        </w:tc>
        <w:tc>
          <w:tcPr>
            <w:tcW w:w="3118" w:type="dxa"/>
            <w:shd w:val="clear" w:color="auto" w:fill="0070C0"/>
            <w:vAlign w:val="center"/>
          </w:tcPr>
          <w:p w14:paraId="107E4867" w14:textId="77777777" w:rsidR="00CD5B65" w:rsidRPr="003B763E" w:rsidRDefault="00CD4C6D" w:rsidP="004721CE">
            <w:pPr>
              <w:pStyle w:val="TableTitle"/>
              <w:rPr>
                <w:rFonts w:cs="Segoe UI Semibold"/>
                <w:b w:val="0"/>
                <w:color w:val="FFFFFF" w:themeColor="background1"/>
                <w:szCs w:val="22"/>
              </w:rPr>
            </w:pPr>
            <w:r w:rsidRPr="00517044">
              <w:rPr>
                <w:rFonts w:cs="Segoe UI Semibold"/>
                <w:b w:val="0"/>
                <w:color w:val="FFFFFF" w:themeColor="background1"/>
                <w:szCs w:val="22"/>
              </w:rPr>
              <w:t>Non Attribuable</w:t>
            </w:r>
            <w:r w:rsidR="00CD5B65" w:rsidRPr="00517044">
              <w:rPr>
                <w:rFonts w:cs="Segoe UI Semibold"/>
                <w:b w:val="0"/>
                <w:color w:val="FFFFFF" w:themeColor="background1"/>
                <w:szCs w:val="22"/>
              </w:rPr>
              <w:t xml:space="preserve"> </w:t>
            </w:r>
            <w:r w:rsidRPr="00517044">
              <w:rPr>
                <w:rFonts w:cs="Segoe UI Semibold"/>
                <w:b w:val="0"/>
                <w:color w:val="FFFFFF" w:themeColor="background1"/>
                <w:szCs w:val="22"/>
              </w:rPr>
              <w:t>au</w:t>
            </w:r>
            <w:r w:rsidR="00CD5B65" w:rsidRPr="00517044">
              <w:rPr>
                <w:rFonts w:cs="Segoe UI Semibold"/>
                <w:b w:val="0"/>
                <w:color w:val="FFFFFF" w:themeColor="background1"/>
                <w:szCs w:val="22"/>
              </w:rPr>
              <w:t xml:space="preserve"> </w:t>
            </w:r>
            <w:r w:rsidRPr="00517044">
              <w:rPr>
                <w:rFonts w:cs="Segoe UI Semibold"/>
                <w:b w:val="0"/>
                <w:color w:val="FFFFFF" w:themeColor="background1"/>
                <w:szCs w:val="22"/>
              </w:rPr>
              <w:t>service (réglementaire</w:t>
            </w:r>
            <w:r w:rsidR="00CD5B65" w:rsidRPr="003B763E">
              <w:rPr>
                <w:rFonts w:cs="Segoe UI Semibold"/>
                <w:b w:val="0"/>
                <w:color w:val="FFFFFF" w:themeColor="background1"/>
                <w:szCs w:val="22"/>
              </w:rPr>
              <w:t>)</w:t>
            </w:r>
          </w:p>
        </w:tc>
        <w:tc>
          <w:tcPr>
            <w:tcW w:w="1659" w:type="dxa"/>
            <w:shd w:val="clear" w:color="auto" w:fill="0070C0"/>
            <w:vAlign w:val="center"/>
          </w:tcPr>
          <w:p w14:paraId="57AC6112" w14:textId="77777777" w:rsidR="00CD5B65" w:rsidRPr="004721CE" w:rsidRDefault="00CD5B65" w:rsidP="004721CE">
            <w:pPr>
              <w:pStyle w:val="TableTitle"/>
              <w:rPr>
                <w:rFonts w:cs="Segoe UI Semibold"/>
                <w:b w:val="0"/>
                <w:color w:val="FFFFFF" w:themeColor="background1"/>
                <w:szCs w:val="22"/>
              </w:rPr>
            </w:pPr>
            <w:r w:rsidRPr="004721CE">
              <w:rPr>
                <w:rFonts w:cs="Segoe UI Semibold"/>
                <w:b w:val="0"/>
                <w:color w:val="FFFFFF" w:themeColor="background1"/>
                <w:szCs w:val="22"/>
              </w:rPr>
              <w:t>T</w:t>
            </w:r>
            <w:r w:rsidR="00CD4C6D" w:rsidRPr="004721CE">
              <w:rPr>
                <w:rFonts w:cs="Segoe UI Semibold"/>
                <w:b w:val="0"/>
                <w:color w:val="FFFFFF" w:themeColor="background1"/>
                <w:szCs w:val="22"/>
              </w:rPr>
              <w:t>otal</w:t>
            </w:r>
          </w:p>
        </w:tc>
      </w:tr>
      <w:tr w:rsidR="00CD5B65" w:rsidRPr="002D39D0" w14:paraId="6D7A7645" w14:textId="77777777" w:rsidTr="007C1E3E">
        <w:trPr>
          <w:cantSplit/>
          <w:tblHeader/>
          <w:jc w:val="center"/>
        </w:trPr>
        <w:tc>
          <w:tcPr>
            <w:tcW w:w="2397" w:type="dxa"/>
            <w:shd w:val="clear" w:color="auto" w:fill="0070C0"/>
            <w:vAlign w:val="center"/>
          </w:tcPr>
          <w:p w14:paraId="3AABDB50" w14:textId="77777777" w:rsidR="00CD5B65" w:rsidRPr="002D39D0" w:rsidRDefault="00CD5B65" w:rsidP="007C1E3E">
            <w:pPr>
              <w:pStyle w:val="Level1"/>
              <w:tabs>
                <w:tab w:val="left" w:pos="-1440"/>
              </w:tabs>
              <w:autoSpaceDE w:val="0"/>
              <w:autoSpaceDN w:val="0"/>
              <w:adjustRightInd w:val="0"/>
              <w:spacing w:after="120" w:line="20" w:lineRule="atLeast"/>
              <w:rPr>
                <w:rFonts w:asciiTheme="minorHAnsi" w:hAnsiTheme="minorHAnsi" w:cstheme="minorHAnsi"/>
                <w:color w:val="FFFFFF" w:themeColor="background1"/>
                <w:sz w:val="22"/>
                <w:szCs w:val="22"/>
              </w:rPr>
            </w:pPr>
            <w:r w:rsidRPr="002D39D0">
              <w:rPr>
                <w:rFonts w:asciiTheme="minorHAnsi" w:hAnsiTheme="minorHAnsi" w:cstheme="minorHAnsi"/>
                <w:color w:val="FFFFFF" w:themeColor="background1"/>
                <w:sz w:val="22"/>
                <w:szCs w:val="22"/>
              </w:rPr>
              <w:t>2015 (1</w:t>
            </w:r>
            <w:r w:rsidRPr="002D39D0">
              <w:rPr>
                <w:rFonts w:asciiTheme="minorHAnsi" w:hAnsiTheme="minorHAnsi" w:cstheme="minorHAnsi"/>
                <w:color w:val="FFFFFF" w:themeColor="background1"/>
                <w:sz w:val="22"/>
                <w:szCs w:val="22"/>
                <w:vertAlign w:val="superscript"/>
              </w:rPr>
              <w:t>er</w:t>
            </w:r>
            <w:r w:rsidRPr="002D39D0">
              <w:rPr>
                <w:rFonts w:asciiTheme="minorHAnsi" w:hAnsiTheme="minorHAnsi" w:cstheme="minorHAnsi"/>
                <w:color w:val="FFFFFF" w:themeColor="background1"/>
                <w:sz w:val="22"/>
                <w:szCs w:val="22"/>
              </w:rPr>
              <w:t xml:space="preserve"> juillet) - 2016</w:t>
            </w:r>
          </w:p>
        </w:tc>
        <w:tc>
          <w:tcPr>
            <w:tcW w:w="2448" w:type="dxa"/>
            <w:shd w:val="clear" w:color="auto" w:fill="auto"/>
            <w:vAlign w:val="center"/>
          </w:tcPr>
          <w:p w14:paraId="6E095617" w14:textId="77777777" w:rsidR="00CD5B65" w:rsidRPr="00234236" w:rsidRDefault="00CD5B65" w:rsidP="000F48C6">
            <w:pPr>
              <w:pStyle w:val="Level1"/>
              <w:tabs>
                <w:tab w:val="left" w:pos="-1440"/>
              </w:tabs>
              <w:autoSpaceDE w:val="0"/>
              <w:autoSpaceDN w:val="0"/>
              <w:adjustRightInd w:val="0"/>
              <w:spacing w:after="120" w:line="20" w:lineRule="atLeast"/>
              <w:jc w:val="center"/>
              <w:rPr>
                <w:rFonts w:asciiTheme="minorHAnsi" w:hAnsiTheme="minorHAnsi" w:cstheme="minorHAnsi"/>
                <w:sz w:val="22"/>
                <w:szCs w:val="22"/>
              </w:rPr>
            </w:pPr>
            <w:r w:rsidRPr="00234236">
              <w:rPr>
                <w:rFonts w:asciiTheme="minorHAnsi" w:hAnsiTheme="minorHAnsi" w:cstheme="minorHAnsi"/>
                <w:sz w:val="22"/>
                <w:szCs w:val="22"/>
              </w:rPr>
              <w:t>0</w:t>
            </w:r>
          </w:p>
        </w:tc>
        <w:tc>
          <w:tcPr>
            <w:tcW w:w="3118" w:type="dxa"/>
            <w:shd w:val="clear" w:color="auto" w:fill="auto"/>
            <w:vAlign w:val="center"/>
          </w:tcPr>
          <w:p w14:paraId="77389BE0" w14:textId="77777777" w:rsidR="00CD5B65" w:rsidRPr="00234236" w:rsidRDefault="00CD5B65" w:rsidP="000F48C6">
            <w:pPr>
              <w:pStyle w:val="Level1"/>
              <w:tabs>
                <w:tab w:val="left" w:pos="-1440"/>
              </w:tabs>
              <w:autoSpaceDE w:val="0"/>
              <w:autoSpaceDN w:val="0"/>
              <w:adjustRightInd w:val="0"/>
              <w:spacing w:after="120" w:line="20" w:lineRule="atLeast"/>
              <w:jc w:val="center"/>
              <w:rPr>
                <w:rFonts w:asciiTheme="minorHAnsi" w:hAnsiTheme="minorHAnsi" w:cstheme="minorHAnsi"/>
                <w:sz w:val="22"/>
                <w:szCs w:val="22"/>
              </w:rPr>
            </w:pPr>
            <w:r w:rsidRPr="00234236">
              <w:rPr>
                <w:rFonts w:asciiTheme="minorHAnsi" w:hAnsiTheme="minorHAnsi" w:cstheme="minorHAnsi"/>
                <w:sz w:val="22"/>
                <w:szCs w:val="22"/>
              </w:rPr>
              <w:t>0</w:t>
            </w:r>
          </w:p>
        </w:tc>
        <w:tc>
          <w:tcPr>
            <w:tcW w:w="1659" w:type="dxa"/>
            <w:shd w:val="clear" w:color="auto" w:fill="auto"/>
            <w:vAlign w:val="center"/>
          </w:tcPr>
          <w:p w14:paraId="51C0D364" w14:textId="77777777" w:rsidR="00CD5B65" w:rsidRPr="00234236" w:rsidRDefault="00CD5B65" w:rsidP="000F48C6">
            <w:pPr>
              <w:pStyle w:val="Level1"/>
              <w:tabs>
                <w:tab w:val="left" w:pos="-1440"/>
              </w:tabs>
              <w:autoSpaceDE w:val="0"/>
              <w:autoSpaceDN w:val="0"/>
              <w:adjustRightInd w:val="0"/>
              <w:spacing w:after="120" w:line="20" w:lineRule="atLeast"/>
              <w:jc w:val="center"/>
              <w:rPr>
                <w:rFonts w:asciiTheme="minorHAnsi" w:hAnsiTheme="minorHAnsi" w:cstheme="minorHAnsi"/>
                <w:sz w:val="22"/>
                <w:szCs w:val="22"/>
              </w:rPr>
            </w:pPr>
            <w:r w:rsidRPr="00234236">
              <w:rPr>
                <w:rFonts w:asciiTheme="minorHAnsi" w:hAnsiTheme="minorHAnsi" w:cstheme="minorHAnsi"/>
                <w:sz w:val="22"/>
                <w:szCs w:val="22"/>
              </w:rPr>
              <w:t>0</w:t>
            </w:r>
          </w:p>
        </w:tc>
      </w:tr>
      <w:tr w:rsidR="00CD5B65" w:rsidRPr="002D39D0" w14:paraId="2BBFFED4" w14:textId="77777777" w:rsidTr="007C1E3E">
        <w:trPr>
          <w:cantSplit/>
          <w:tblHeader/>
          <w:jc w:val="center"/>
        </w:trPr>
        <w:tc>
          <w:tcPr>
            <w:tcW w:w="2397" w:type="dxa"/>
            <w:shd w:val="clear" w:color="auto" w:fill="0070C0"/>
            <w:vAlign w:val="center"/>
          </w:tcPr>
          <w:p w14:paraId="0E183832" w14:textId="2B02AE13" w:rsidR="00CD5B65" w:rsidRPr="002D39D0" w:rsidRDefault="00CD5B65" w:rsidP="007C1E3E">
            <w:pPr>
              <w:pStyle w:val="Level1"/>
              <w:tabs>
                <w:tab w:val="left" w:pos="-1440"/>
              </w:tabs>
              <w:autoSpaceDE w:val="0"/>
              <w:autoSpaceDN w:val="0"/>
              <w:adjustRightInd w:val="0"/>
              <w:spacing w:after="120" w:line="20" w:lineRule="atLeast"/>
              <w:rPr>
                <w:rFonts w:asciiTheme="minorHAnsi" w:hAnsiTheme="minorHAnsi" w:cstheme="minorHAnsi"/>
                <w:color w:val="FFFFFF" w:themeColor="background1"/>
                <w:sz w:val="22"/>
                <w:szCs w:val="22"/>
              </w:rPr>
            </w:pPr>
            <w:r w:rsidRPr="002D39D0">
              <w:rPr>
                <w:rFonts w:asciiTheme="minorHAnsi" w:hAnsiTheme="minorHAnsi" w:cstheme="minorHAnsi"/>
                <w:color w:val="FFFFFF" w:themeColor="background1"/>
                <w:sz w:val="22"/>
                <w:szCs w:val="22"/>
              </w:rPr>
              <w:t>2016</w:t>
            </w:r>
            <w:r w:rsidR="004C70DD">
              <w:rPr>
                <w:rFonts w:asciiTheme="minorHAnsi" w:hAnsiTheme="minorHAnsi" w:cstheme="minorHAnsi"/>
                <w:color w:val="FFFFFF" w:themeColor="background1"/>
                <w:sz w:val="22"/>
                <w:szCs w:val="22"/>
              </w:rPr>
              <w:t xml:space="preserve"> </w:t>
            </w:r>
            <w:r w:rsidRPr="002D39D0">
              <w:rPr>
                <w:rFonts w:asciiTheme="minorHAnsi" w:hAnsiTheme="minorHAnsi" w:cstheme="minorHAnsi"/>
                <w:color w:val="FFFFFF" w:themeColor="background1"/>
                <w:sz w:val="22"/>
                <w:szCs w:val="22"/>
              </w:rPr>
              <w:noBreakHyphen/>
            </w:r>
            <w:r w:rsidR="004C70DD">
              <w:rPr>
                <w:rFonts w:asciiTheme="minorHAnsi" w:hAnsiTheme="minorHAnsi" w:cstheme="minorHAnsi"/>
                <w:color w:val="FFFFFF" w:themeColor="background1"/>
                <w:sz w:val="22"/>
                <w:szCs w:val="22"/>
              </w:rPr>
              <w:t xml:space="preserve"> </w:t>
            </w:r>
            <w:r w:rsidRPr="002D39D0">
              <w:rPr>
                <w:rFonts w:asciiTheme="minorHAnsi" w:hAnsiTheme="minorHAnsi" w:cstheme="minorHAnsi"/>
                <w:color w:val="FFFFFF" w:themeColor="background1"/>
                <w:sz w:val="22"/>
                <w:szCs w:val="22"/>
              </w:rPr>
              <w:t>2017</w:t>
            </w:r>
          </w:p>
        </w:tc>
        <w:tc>
          <w:tcPr>
            <w:tcW w:w="2448" w:type="dxa"/>
            <w:shd w:val="clear" w:color="auto" w:fill="auto"/>
            <w:vAlign w:val="center"/>
          </w:tcPr>
          <w:p w14:paraId="523084D8" w14:textId="77777777" w:rsidR="00CD5B65" w:rsidRPr="00234236" w:rsidRDefault="00CD5B65" w:rsidP="000F48C6">
            <w:pPr>
              <w:pStyle w:val="Level1"/>
              <w:tabs>
                <w:tab w:val="left" w:pos="-1440"/>
              </w:tabs>
              <w:autoSpaceDE w:val="0"/>
              <w:autoSpaceDN w:val="0"/>
              <w:adjustRightInd w:val="0"/>
              <w:spacing w:after="120" w:line="20" w:lineRule="atLeast"/>
              <w:jc w:val="center"/>
              <w:rPr>
                <w:rFonts w:asciiTheme="minorHAnsi" w:hAnsiTheme="minorHAnsi" w:cstheme="minorHAnsi"/>
                <w:sz w:val="22"/>
                <w:szCs w:val="22"/>
              </w:rPr>
            </w:pPr>
            <w:r w:rsidRPr="00234236">
              <w:rPr>
                <w:rFonts w:asciiTheme="minorHAnsi" w:hAnsiTheme="minorHAnsi" w:cstheme="minorHAnsi"/>
                <w:sz w:val="22"/>
                <w:szCs w:val="22"/>
              </w:rPr>
              <w:t>0</w:t>
            </w:r>
          </w:p>
        </w:tc>
        <w:tc>
          <w:tcPr>
            <w:tcW w:w="3118" w:type="dxa"/>
            <w:shd w:val="clear" w:color="auto" w:fill="auto"/>
            <w:vAlign w:val="center"/>
          </w:tcPr>
          <w:p w14:paraId="2A653287" w14:textId="77777777" w:rsidR="00CD5B65" w:rsidRPr="00234236" w:rsidRDefault="00CD5B65" w:rsidP="000F48C6">
            <w:pPr>
              <w:pStyle w:val="Level1"/>
              <w:tabs>
                <w:tab w:val="left" w:pos="-1440"/>
              </w:tabs>
              <w:autoSpaceDE w:val="0"/>
              <w:autoSpaceDN w:val="0"/>
              <w:adjustRightInd w:val="0"/>
              <w:spacing w:after="120" w:line="20" w:lineRule="atLeast"/>
              <w:jc w:val="center"/>
              <w:rPr>
                <w:rFonts w:asciiTheme="minorHAnsi" w:hAnsiTheme="minorHAnsi" w:cstheme="minorHAnsi"/>
                <w:sz w:val="22"/>
                <w:szCs w:val="22"/>
              </w:rPr>
            </w:pPr>
            <w:r w:rsidRPr="00234236">
              <w:rPr>
                <w:rFonts w:asciiTheme="minorHAnsi" w:hAnsiTheme="minorHAnsi" w:cstheme="minorHAnsi"/>
                <w:sz w:val="22"/>
                <w:szCs w:val="22"/>
              </w:rPr>
              <w:t>0</w:t>
            </w:r>
          </w:p>
        </w:tc>
        <w:tc>
          <w:tcPr>
            <w:tcW w:w="1659" w:type="dxa"/>
            <w:shd w:val="clear" w:color="auto" w:fill="auto"/>
            <w:vAlign w:val="center"/>
          </w:tcPr>
          <w:p w14:paraId="075039A4" w14:textId="77777777" w:rsidR="00CD5B65" w:rsidRPr="00234236" w:rsidRDefault="00CD5B65" w:rsidP="000F48C6">
            <w:pPr>
              <w:pStyle w:val="Level1"/>
              <w:tabs>
                <w:tab w:val="left" w:pos="-1440"/>
              </w:tabs>
              <w:autoSpaceDE w:val="0"/>
              <w:autoSpaceDN w:val="0"/>
              <w:adjustRightInd w:val="0"/>
              <w:spacing w:after="120" w:line="20" w:lineRule="atLeast"/>
              <w:jc w:val="center"/>
              <w:rPr>
                <w:rFonts w:asciiTheme="minorHAnsi" w:hAnsiTheme="minorHAnsi" w:cstheme="minorHAnsi"/>
                <w:sz w:val="22"/>
                <w:szCs w:val="22"/>
              </w:rPr>
            </w:pPr>
            <w:r w:rsidRPr="00234236">
              <w:rPr>
                <w:rFonts w:asciiTheme="minorHAnsi" w:hAnsiTheme="minorHAnsi" w:cstheme="minorHAnsi"/>
                <w:sz w:val="22"/>
                <w:szCs w:val="22"/>
              </w:rPr>
              <w:t>0</w:t>
            </w:r>
          </w:p>
        </w:tc>
      </w:tr>
      <w:tr w:rsidR="00CD5B65" w:rsidRPr="002D39D0" w14:paraId="0E0B154A" w14:textId="77777777" w:rsidTr="007C1E3E">
        <w:trPr>
          <w:cantSplit/>
          <w:tblHeader/>
          <w:jc w:val="center"/>
        </w:trPr>
        <w:tc>
          <w:tcPr>
            <w:tcW w:w="2397" w:type="dxa"/>
            <w:shd w:val="clear" w:color="auto" w:fill="0070C0"/>
            <w:vAlign w:val="center"/>
          </w:tcPr>
          <w:p w14:paraId="7F9FD1F8" w14:textId="2D9CA47B" w:rsidR="00CD5B65" w:rsidRPr="002D39D0" w:rsidRDefault="00CD5B65" w:rsidP="007C1E3E">
            <w:pPr>
              <w:pStyle w:val="Level1"/>
              <w:tabs>
                <w:tab w:val="left" w:pos="-1440"/>
              </w:tabs>
              <w:autoSpaceDE w:val="0"/>
              <w:autoSpaceDN w:val="0"/>
              <w:adjustRightInd w:val="0"/>
              <w:spacing w:after="120" w:line="20" w:lineRule="atLeast"/>
              <w:rPr>
                <w:rFonts w:asciiTheme="minorHAnsi" w:hAnsiTheme="minorHAnsi" w:cstheme="minorHAnsi"/>
                <w:color w:val="FFFFFF" w:themeColor="background1"/>
                <w:sz w:val="22"/>
                <w:szCs w:val="22"/>
              </w:rPr>
            </w:pPr>
            <w:r w:rsidRPr="002D39D0">
              <w:rPr>
                <w:rFonts w:asciiTheme="minorHAnsi" w:hAnsiTheme="minorHAnsi" w:cstheme="minorHAnsi"/>
                <w:color w:val="FFFFFF" w:themeColor="background1"/>
                <w:sz w:val="22"/>
                <w:szCs w:val="22"/>
              </w:rPr>
              <w:t>2017</w:t>
            </w:r>
            <w:r w:rsidR="004C70DD">
              <w:rPr>
                <w:rFonts w:asciiTheme="minorHAnsi" w:hAnsiTheme="minorHAnsi" w:cstheme="minorHAnsi"/>
                <w:color w:val="FFFFFF" w:themeColor="background1"/>
                <w:sz w:val="22"/>
                <w:szCs w:val="22"/>
              </w:rPr>
              <w:t xml:space="preserve"> </w:t>
            </w:r>
            <w:r w:rsidRPr="002D39D0">
              <w:rPr>
                <w:rFonts w:asciiTheme="minorHAnsi" w:hAnsiTheme="minorHAnsi" w:cstheme="minorHAnsi"/>
                <w:color w:val="FFFFFF" w:themeColor="background1"/>
                <w:sz w:val="22"/>
                <w:szCs w:val="22"/>
              </w:rPr>
              <w:noBreakHyphen/>
            </w:r>
            <w:r w:rsidR="004C70DD">
              <w:rPr>
                <w:rFonts w:asciiTheme="minorHAnsi" w:hAnsiTheme="minorHAnsi" w:cstheme="minorHAnsi"/>
                <w:color w:val="FFFFFF" w:themeColor="background1"/>
                <w:sz w:val="22"/>
                <w:szCs w:val="22"/>
              </w:rPr>
              <w:t xml:space="preserve"> </w:t>
            </w:r>
            <w:r w:rsidRPr="002D39D0">
              <w:rPr>
                <w:rFonts w:asciiTheme="minorHAnsi" w:hAnsiTheme="minorHAnsi" w:cstheme="minorHAnsi"/>
                <w:color w:val="FFFFFF" w:themeColor="background1"/>
                <w:sz w:val="22"/>
                <w:szCs w:val="22"/>
              </w:rPr>
              <w:t>2018</w:t>
            </w:r>
          </w:p>
        </w:tc>
        <w:tc>
          <w:tcPr>
            <w:tcW w:w="2448" w:type="dxa"/>
            <w:shd w:val="clear" w:color="auto" w:fill="auto"/>
            <w:vAlign w:val="center"/>
          </w:tcPr>
          <w:p w14:paraId="314717D2" w14:textId="77777777" w:rsidR="00CD5B65" w:rsidRPr="00234236" w:rsidRDefault="00CD5B65" w:rsidP="000F48C6">
            <w:pPr>
              <w:pStyle w:val="Level1"/>
              <w:tabs>
                <w:tab w:val="left" w:pos="-1440"/>
              </w:tabs>
              <w:autoSpaceDE w:val="0"/>
              <w:autoSpaceDN w:val="0"/>
              <w:adjustRightInd w:val="0"/>
              <w:spacing w:after="120" w:line="20" w:lineRule="atLeast"/>
              <w:jc w:val="center"/>
              <w:rPr>
                <w:rFonts w:asciiTheme="minorHAnsi" w:hAnsiTheme="minorHAnsi" w:cstheme="minorHAnsi"/>
                <w:sz w:val="22"/>
                <w:szCs w:val="22"/>
              </w:rPr>
            </w:pPr>
            <w:r w:rsidRPr="00234236">
              <w:rPr>
                <w:rFonts w:asciiTheme="minorHAnsi" w:hAnsiTheme="minorHAnsi" w:cstheme="minorHAnsi"/>
                <w:sz w:val="22"/>
                <w:szCs w:val="22"/>
              </w:rPr>
              <w:t>2</w:t>
            </w:r>
          </w:p>
        </w:tc>
        <w:tc>
          <w:tcPr>
            <w:tcW w:w="3118" w:type="dxa"/>
            <w:shd w:val="clear" w:color="auto" w:fill="auto"/>
            <w:vAlign w:val="center"/>
          </w:tcPr>
          <w:p w14:paraId="0F69AF87" w14:textId="77777777" w:rsidR="00CD5B65" w:rsidRPr="00234236" w:rsidRDefault="00CD5B65" w:rsidP="000F48C6">
            <w:pPr>
              <w:pStyle w:val="Level1"/>
              <w:tabs>
                <w:tab w:val="left" w:pos="-1440"/>
              </w:tabs>
              <w:autoSpaceDE w:val="0"/>
              <w:autoSpaceDN w:val="0"/>
              <w:adjustRightInd w:val="0"/>
              <w:spacing w:after="120" w:line="20" w:lineRule="atLeast"/>
              <w:jc w:val="center"/>
              <w:rPr>
                <w:rFonts w:asciiTheme="minorHAnsi" w:hAnsiTheme="minorHAnsi" w:cstheme="minorHAnsi"/>
                <w:sz w:val="22"/>
                <w:szCs w:val="22"/>
              </w:rPr>
            </w:pPr>
            <w:r w:rsidRPr="00234236">
              <w:rPr>
                <w:rFonts w:asciiTheme="minorHAnsi" w:hAnsiTheme="minorHAnsi" w:cstheme="minorHAnsi"/>
                <w:sz w:val="22"/>
                <w:szCs w:val="22"/>
              </w:rPr>
              <w:t>0</w:t>
            </w:r>
          </w:p>
        </w:tc>
        <w:tc>
          <w:tcPr>
            <w:tcW w:w="1659" w:type="dxa"/>
            <w:shd w:val="clear" w:color="auto" w:fill="auto"/>
            <w:vAlign w:val="center"/>
          </w:tcPr>
          <w:p w14:paraId="647F9885" w14:textId="77777777" w:rsidR="00CD5B65" w:rsidRPr="00234236" w:rsidRDefault="00CD5B65" w:rsidP="000F48C6">
            <w:pPr>
              <w:pStyle w:val="Level1"/>
              <w:tabs>
                <w:tab w:val="left" w:pos="-1440"/>
              </w:tabs>
              <w:autoSpaceDE w:val="0"/>
              <w:autoSpaceDN w:val="0"/>
              <w:adjustRightInd w:val="0"/>
              <w:spacing w:after="120" w:line="20" w:lineRule="atLeast"/>
              <w:jc w:val="center"/>
              <w:rPr>
                <w:rFonts w:asciiTheme="minorHAnsi" w:hAnsiTheme="minorHAnsi" w:cstheme="minorHAnsi"/>
                <w:sz w:val="22"/>
                <w:szCs w:val="22"/>
              </w:rPr>
            </w:pPr>
            <w:r w:rsidRPr="00234236">
              <w:rPr>
                <w:rFonts w:asciiTheme="minorHAnsi" w:hAnsiTheme="minorHAnsi" w:cstheme="minorHAnsi"/>
                <w:sz w:val="22"/>
                <w:szCs w:val="22"/>
              </w:rPr>
              <w:t>2</w:t>
            </w:r>
          </w:p>
        </w:tc>
      </w:tr>
      <w:tr w:rsidR="00CD5B65" w:rsidRPr="002D39D0" w14:paraId="757E2DA6" w14:textId="77777777" w:rsidTr="007C1E3E">
        <w:trPr>
          <w:cantSplit/>
          <w:tblHeader/>
          <w:jc w:val="center"/>
        </w:trPr>
        <w:tc>
          <w:tcPr>
            <w:tcW w:w="2397" w:type="dxa"/>
            <w:shd w:val="clear" w:color="auto" w:fill="0070C0"/>
            <w:vAlign w:val="center"/>
          </w:tcPr>
          <w:p w14:paraId="5A3C6BBB" w14:textId="65500E05" w:rsidR="00CD5B65" w:rsidRPr="002D39D0" w:rsidRDefault="00CD5B65" w:rsidP="007C1E3E">
            <w:pPr>
              <w:pStyle w:val="Level1"/>
              <w:tabs>
                <w:tab w:val="left" w:pos="-1440"/>
              </w:tabs>
              <w:autoSpaceDE w:val="0"/>
              <w:autoSpaceDN w:val="0"/>
              <w:adjustRightInd w:val="0"/>
              <w:spacing w:after="120" w:line="20" w:lineRule="atLeast"/>
              <w:rPr>
                <w:rFonts w:asciiTheme="minorHAnsi" w:hAnsiTheme="minorHAnsi" w:cstheme="minorHAnsi"/>
                <w:color w:val="FFFFFF" w:themeColor="background1"/>
                <w:sz w:val="22"/>
                <w:szCs w:val="22"/>
              </w:rPr>
            </w:pPr>
            <w:r w:rsidRPr="002D39D0">
              <w:rPr>
                <w:rFonts w:asciiTheme="minorHAnsi" w:hAnsiTheme="minorHAnsi" w:cstheme="minorHAnsi"/>
                <w:color w:val="FFFFFF" w:themeColor="background1"/>
                <w:sz w:val="22"/>
                <w:szCs w:val="22"/>
              </w:rPr>
              <w:t>2018</w:t>
            </w:r>
            <w:r w:rsidR="004C70DD">
              <w:rPr>
                <w:rFonts w:asciiTheme="minorHAnsi" w:hAnsiTheme="minorHAnsi" w:cstheme="minorHAnsi"/>
                <w:color w:val="FFFFFF" w:themeColor="background1"/>
                <w:sz w:val="22"/>
                <w:szCs w:val="22"/>
              </w:rPr>
              <w:t xml:space="preserve"> </w:t>
            </w:r>
            <w:r w:rsidRPr="002D39D0">
              <w:rPr>
                <w:rFonts w:asciiTheme="minorHAnsi" w:hAnsiTheme="minorHAnsi" w:cstheme="minorHAnsi"/>
                <w:color w:val="FFFFFF" w:themeColor="background1"/>
                <w:sz w:val="22"/>
                <w:szCs w:val="22"/>
              </w:rPr>
              <w:noBreakHyphen/>
            </w:r>
            <w:r w:rsidR="004C70DD">
              <w:rPr>
                <w:rFonts w:asciiTheme="minorHAnsi" w:hAnsiTheme="minorHAnsi" w:cstheme="minorHAnsi"/>
                <w:color w:val="FFFFFF" w:themeColor="background1"/>
                <w:sz w:val="22"/>
                <w:szCs w:val="22"/>
              </w:rPr>
              <w:t xml:space="preserve"> </w:t>
            </w:r>
            <w:r w:rsidRPr="002D39D0">
              <w:rPr>
                <w:rFonts w:asciiTheme="minorHAnsi" w:hAnsiTheme="minorHAnsi" w:cstheme="minorHAnsi"/>
                <w:color w:val="FFFFFF" w:themeColor="background1"/>
                <w:sz w:val="22"/>
                <w:szCs w:val="22"/>
              </w:rPr>
              <w:t>2019</w:t>
            </w:r>
          </w:p>
        </w:tc>
        <w:tc>
          <w:tcPr>
            <w:tcW w:w="2448" w:type="dxa"/>
            <w:shd w:val="clear" w:color="auto" w:fill="auto"/>
            <w:vAlign w:val="center"/>
          </w:tcPr>
          <w:p w14:paraId="5AFDD972" w14:textId="77777777" w:rsidR="00CD5B65" w:rsidRPr="00234236" w:rsidRDefault="00CD5B65" w:rsidP="000F48C6">
            <w:pPr>
              <w:pStyle w:val="Level1"/>
              <w:tabs>
                <w:tab w:val="left" w:pos="-1440"/>
              </w:tabs>
              <w:autoSpaceDE w:val="0"/>
              <w:autoSpaceDN w:val="0"/>
              <w:adjustRightInd w:val="0"/>
              <w:spacing w:after="120" w:line="20" w:lineRule="atLeast"/>
              <w:jc w:val="center"/>
              <w:rPr>
                <w:rFonts w:asciiTheme="minorHAnsi" w:hAnsiTheme="minorHAnsi" w:cstheme="minorHAnsi"/>
                <w:sz w:val="22"/>
                <w:szCs w:val="22"/>
              </w:rPr>
            </w:pPr>
            <w:r w:rsidRPr="00234236">
              <w:rPr>
                <w:rFonts w:asciiTheme="minorHAnsi" w:hAnsiTheme="minorHAnsi" w:cstheme="minorHAnsi"/>
                <w:sz w:val="22"/>
                <w:szCs w:val="22"/>
              </w:rPr>
              <w:t>1</w:t>
            </w:r>
          </w:p>
        </w:tc>
        <w:tc>
          <w:tcPr>
            <w:tcW w:w="3118" w:type="dxa"/>
            <w:shd w:val="clear" w:color="auto" w:fill="auto"/>
            <w:vAlign w:val="center"/>
          </w:tcPr>
          <w:p w14:paraId="578BD58F" w14:textId="77777777" w:rsidR="00CD5B65" w:rsidRPr="00234236" w:rsidRDefault="00CD5B65" w:rsidP="000F48C6">
            <w:pPr>
              <w:pStyle w:val="Level1"/>
              <w:tabs>
                <w:tab w:val="left" w:pos="-1440"/>
              </w:tabs>
              <w:autoSpaceDE w:val="0"/>
              <w:autoSpaceDN w:val="0"/>
              <w:adjustRightInd w:val="0"/>
              <w:spacing w:after="120" w:line="20" w:lineRule="atLeast"/>
              <w:jc w:val="center"/>
              <w:rPr>
                <w:rFonts w:asciiTheme="minorHAnsi" w:hAnsiTheme="minorHAnsi" w:cstheme="minorHAnsi"/>
                <w:sz w:val="22"/>
                <w:szCs w:val="22"/>
              </w:rPr>
            </w:pPr>
            <w:r w:rsidRPr="00234236">
              <w:rPr>
                <w:rFonts w:asciiTheme="minorHAnsi" w:hAnsiTheme="minorHAnsi" w:cstheme="minorHAnsi"/>
                <w:sz w:val="22"/>
                <w:szCs w:val="22"/>
              </w:rPr>
              <w:t>0</w:t>
            </w:r>
          </w:p>
        </w:tc>
        <w:tc>
          <w:tcPr>
            <w:tcW w:w="1659" w:type="dxa"/>
            <w:shd w:val="clear" w:color="auto" w:fill="auto"/>
            <w:vAlign w:val="center"/>
          </w:tcPr>
          <w:p w14:paraId="2A8CC56A" w14:textId="77777777" w:rsidR="00CD5B65" w:rsidRPr="00234236" w:rsidRDefault="00CD5B65" w:rsidP="000F48C6">
            <w:pPr>
              <w:pStyle w:val="Level1"/>
              <w:tabs>
                <w:tab w:val="left" w:pos="-1440"/>
              </w:tabs>
              <w:autoSpaceDE w:val="0"/>
              <w:autoSpaceDN w:val="0"/>
              <w:adjustRightInd w:val="0"/>
              <w:spacing w:after="120" w:line="20" w:lineRule="atLeast"/>
              <w:jc w:val="center"/>
              <w:rPr>
                <w:rFonts w:asciiTheme="minorHAnsi" w:hAnsiTheme="minorHAnsi" w:cstheme="minorHAnsi"/>
                <w:sz w:val="22"/>
                <w:szCs w:val="22"/>
              </w:rPr>
            </w:pPr>
            <w:r w:rsidRPr="00234236">
              <w:rPr>
                <w:rFonts w:asciiTheme="minorHAnsi" w:hAnsiTheme="minorHAnsi" w:cstheme="minorHAnsi"/>
                <w:sz w:val="22"/>
                <w:szCs w:val="22"/>
              </w:rPr>
              <w:t>1</w:t>
            </w:r>
          </w:p>
        </w:tc>
      </w:tr>
      <w:tr w:rsidR="00CD5B65" w:rsidRPr="002D39D0" w14:paraId="71E8AF2D" w14:textId="77777777" w:rsidTr="007C1E3E">
        <w:trPr>
          <w:cantSplit/>
          <w:tblHeader/>
          <w:jc w:val="center"/>
        </w:trPr>
        <w:tc>
          <w:tcPr>
            <w:tcW w:w="2397" w:type="dxa"/>
            <w:shd w:val="clear" w:color="auto" w:fill="0070C0"/>
            <w:vAlign w:val="center"/>
          </w:tcPr>
          <w:p w14:paraId="04AA37B6" w14:textId="77777777" w:rsidR="00CD5B65" w:rsidRPr="002D39D0" w:rsidRDefault="00CD5B65" w:rsidP="007C1E3E">
            <w:pPr>
              <w:pStyle w:val="Level1"/>
              <w:tabs>
                <w:tab w:val="left" w:pos="-1440"/>
              </w:tabs>
              <w:autoSpaceDE w:val="0"/>
              <w:autoSpaceDN w:val="0"/>
              <w:adjustRightInd w:val="0"/>
              <w:spacing w:after="120" w:line="20" w:lineRule="atLeast"/>
              <w:rPr>
                <w:rFonts w:asciiTheme="minorHAnsi" w:hAnsiTheme="minorHAnsi" w:cstheme="minorHAnsi"/>
                <w:color w:val="FFFFFF" w:themeColor="background1"/>
                <w:sz w:val="22"/>
                <w:szCs w:val="22"/>
              </w:rPr>
            </w:pPr>
            <w:r w:rsidRPr="002D39D0">
              <w:rPr>
                <w:rFonts w:asciiTheme="minorHAnsi" w:hAnsiTheme="minorHAnsi" w:cstheme="minorHAnsi"/>
                <w:color w:val="FFFFFF" w:themeColor="background1"/>
                <w:sz w:val="22"/>
                <w:szCs w:val="22"/>
              </w:rPr>
              <w:t>Août 2019</w:t>
            </w:r>
          </w:p>
        </w:tc>
        <w:tc>
          <w:tcPr>
            <w:tcW w:w="2448" w:type="dxa"/>
            <w:shd w:val="clear" w:color="auto" w:fill="auto"/>
            <w:vAlign w:val="center"/>
          </w:tcPr>
          <w:p w14:paraId="11280515" w14:textId="77777777" w:rsidR="00CD5B65" w:rsidRPr="00234236" w:rsidRDefault="00CD5B65" w:rsidP="000F48C6">
            <w:pPr>
              <w:pStyle w:val="Level1"/>
              <w:tabs>
                <w:tab w:val="left" w:pos="-1440"/>
              </w:tabs>
              <w:autoSpaceDE w:val="0"/>
              <w:autoSpaceDN w:val="0"/>
              <w:adjustRightInd w:val="0"/>
              <w:spacing w:after="120" w:line="20" w:lineRule="atLeast"/>
              <w:jc w:val="center"/>
              <w:rPr>
                <w:rFonts w:asciiTheme="minorHAnsi" w:hAnsiTheme="minorHAnsi" w:cstheme="minorHAnsi"/>
                <w:sz w:val="22"/>
                <w:szCs w:val="22"/>
              </w:rPr>
            </w:pPr>
            <w:r w:rsidRPr="00234236">
              <w:rPr>
                <w:rFonts w:asciiTheme="minorHAnsi" w:hAnsiTheme="minorHAnsi" w:cstheme="minorHAnsi"/>
                <w:sz w:val="22"/>
                <w:szCs w:val="22"/>
              </w:rPr>
              <w:t>1</w:t>
            </w:r>
          </w:p>
        </w:tc>
        <w:tc>
          <w:tcPr>
            <w:tcW w:w="3118" w:type="dxa"/>
            <w:shd w:val="clear" w:color="auto" w:fill="auto"/>
            <w:vAlign w:val="center"/>
          </w:tcPr>
          <w:p w14:paraId="4757A070" w14:textId="77777777" w:rsidR="00CD5B65" w:rsidRPr="00234236" w:rsidRDefault="00CD5B65" w:rsidP="000F48C6">
            <w:pPr>
              <w:pStyle w:val="Level1"/>
              <w:tabs>
                <w:tab w:val="left" w:pos="-1440"/>
              </w:tabs>
              <w:autoSpaceDE w:val="0"/>
              <w:autoSpaceDN w:val="0"/>
              <w:adjustRightInd w:val="0"/>
              <w:spacing w:after="120" w:line="20" w:lineRule="atLeast"/>
              <w:jc w:val="center"/>
              <w:rPr>
                <w:rFonts w:asciiTheme="minorHAnsi" w:hAnsiTheme="minorHAnsi" w:cstheme="minorHAnsi"/>
                <w:sz w:val="22"/>
                <w:szCs w:val="22"/>
              </w:rPr>
            </w:pPr>
            <w:r w:rsidRPr="00234236">
              <w:rPr>
                <w:rFonts w:asciiTheme="minorHAnsi" w:hAnsiTheme="minorHAnsi" w:cstheme="minorHAnsi"/>
                <w:sz w:val="22"/>
                <w:szCs w:val="22"/>
              </w:rPr>
              <w:t>0</w:t>
            </w:r>
          </w:p>
        </w:tc>
        <w:tc>
          <w:tcPr>
            <w:tcW w:w="1659" w:type="dxa"/>
            <w:shd w:val="clear" w:color="auto" w:fill="auto"/>
            <w:vAlign w:val="center"/>
          </w:tcPr>
          <w:p w14:paraId="07B2D02B" w14:textId="77777777" w:rsidR="00CD5B65" w:rsidRPr="00234236" w:rsidRDefault="00CD5B65" w:rsidP="000F48C6">
            <w:pPr>
              <w:pStyle w:val="Level1"/>
              <w:tabs>
                <w:tab w:val="left" w:pos="-1440"/>
              </w:tabs>
              <w:autoSpaceDE w:val="0"/>
              <w:autoSpaceDN w:val="0"/>
              <w:adjustRightInd w:val="0"/>
              <w:spacing w:after="120" w:line="20" w:lineRule="atLeast"/>
              <w:jc w:val="center"/>
              <w:rPr>
                <w:rFonts w:asciiTheme="minorHAnsi" w:hAnsiTheme="minorHAnsi" w:cstheme="minorHAnsi"/>
                <w:sz w:val="22"/>
                <w:szCs w:val="22"/>
              </w:rPr>
            </w:pPr>
            <w:r w:rsidRPr="00234236">
              <w:rPr>
                <w:rFonts w:asciiTheme="minorHAnsi" w:hAnsiTheme="minorHAnsi" w:cstheme="minorHAnsi"/>
                <w:sz w:val="22"/>
                <w:szCs w:val="22"/>
              </w:rPr>
              <w:t>1</w:t>
            </w:r>
          </w:p>
        </w:tc>
      </w:tr>
      <w:tr w:rsidR="00CD5B65" w:rsidRPr="002D39D0" w14:paraId="5285A3BE" w14:textId="77777777" w:rsidTr="007C1E3E">
        <w:trPr>
          <w:cantSplit/>
          <w:tblHeader/>
          <w:jc w:val="center"/>
        </w:trPr>
        <w:tc>
          <w:tcPr>
            <w:tcW w:w="2397" w:type="dxa"/>
            <w:shd w:val="clear" w:color="auto" w:fill="BAF8FF" w:themeFill="accent3" w:themeFillTint="33"/>
            <w:vAlign w:val="center"/>
          </w:tcPr>
          <w:p w14:paraId="06953BF9" w14:textId="77777777" w:rsidR="00CD5B65" w:rsidRPr="002D39D0" w:rsidRDefault="00CD5B65" w:rsidP="000F48C6">
            <w:pPr>
              <w:pStyle w:val="Level1"/>
              <w:tabs>
                <w:tab w:val="left" w:pos="-1440"/>
              </w:tabs>
              <w:autoSpaceDE w:val="0"/>
              <w:autoSpaceDN w:val="0"/>
              <w:adjustRightInd w:val="0"/>
              <w:spacing w:after="120" w:line="20" w:lineRule="atLeast"/>
              <w:jc w:val="center"/>
              <w:rPr>
                <w:rStyle w:val="Strong"/>
                <w:rFonts w:cstheme="minorHAnsi"/>
                <w:b w:val="0"/>
                <w:i w:val="0"/>
                <w:szCs w:val="22"/>
              </w:rPr>
            </w:pPr>
            <w:r w:rsidRPr="00302F5B">
              <w:rPr>
                <w:rStyle w:val="Strong"/>
                <w:rFonts w:cstheme="minorHAnsi"/>
                <w:b w:val="0"/>
                <w:i w:val="0"/>
                <w:szCs w:val="22"/>
              </w:rPr>
              <w:t>Total</w:t>
            </w:r>
          </w:p>
        </w:tc>
        <w:tc>
          <w:tcPr>
            <w:tcW w:w="2448" w:type="dxa"/>
            <w:shd w:val="clear" w:color="auto" w:fill="BAF8FF" w:themeFill="accent3" w:themeFillTint="33"/>
            <w:vAlign w:val="center"/>
          </w:tcPr>
          <w:p w14:paraId="262A8538" w14:textId="77777777" w:rsidR="00CD5B65" w:rsidRPr="00234236" w:rsidRDefault="00CD5B65" w:rsidP="000F48C6">
            <w:pPr>
              <w:pStyle w:val="Level1"/>
              <w:tabs>
                <w:tab w:val="left" w:pos="-1440"/>
              </w:tabs>
              <w:autoSpaceDE w:val="0"/>
              <w:autoSpaceDN w:val="0"/>
              <w:adjustRightInd w:val="0"/>
              <w:spacing w:after="120" w:line="20" w:lineRule="atLeast"/>
              <w:jc w:val="center"/>
              <w:rPr>
                <w:rStyle w:val="Strong"/>
                <w:rFonts w:cstheme="minorHAnsi"/>
                <w:b w:val="0"/>
                <w:i w:val="0"/>
                <w:szCs w:val="22"/>
              </w:rPr>
            </w:pPr>
            <w:r w:rsidRPr="006C61AE">
              <w:rPr>
                <w:rStyle w:val="Strong"/>
                <w:rFonts w:cstheme="minorHAnsi"/>
                <w:b w:val="0"/>
                <w:i w:val="0"/>
                <w:szCs w:val="22"/>
              </w:rPr>
              <w:t>4</w:t>
            </w:r>
          </w:p>
        </w:tc>
        <w:tc>
          <w:tcPr>
            <w:tcW w:w="3118" w:type="dxa"/>
            <w:shd w:val="clear" w:color="auto" w:fill="BAF8FF" w:themeFill="accent3" w:themeFillTint="33"/>
            <w:vAlign w:val="center"/>
          </w:tcPr>
          <w:p w14:paraId="48456CF1" w14:textId="77777777" w:rsidR="00CD5B65" w:rsidRPr="00234236" w:rsidRDefault="00CD5B65" w:rsidP="000F48C6">
            <w:pPr>
              <w:pStyle w:val="Level1"/>
              <w:tabs>
                <w:tab w:val="left" w:pos="-1440"/>
              </w:tabs>
              <w:autoSpaceDE w:val="0"/>
              <w:autoSpaceDN w:val="0"/>
              <w:adjustRightInd w:val="0"/>
              <w:spacing w:after="120" w:line="20" w:lineRule="atLeast"/>
              <w:jc w:val="center"/>
              <w:rPr>
                <w:rStyle w:val="Strong"/>
                <w:rFonts w:cstheme="minorHAnsi"/>
                <w:b w:val="0"/>
                <w:i w:val="0"/>
                <w:szCs w:val="22"/>
              </w:rPr>
            </w:pPr>
            <w:r w:rsidRPr="006C61AE">
              <w:rPr>
                <w:rStyle w:val="Strong"/>
                <w:rFonts w:cstheme="minorHAnsi"/>
                <w:b w:val="0"/>
                <w:i w:val="0"/>
                <w:szCs w:val="22"/>
              </w:rPr>
              <w:t>0</w:t>
            </w:r>
          </w:p>
        </w:tc>
        <w:tc>
          <w:tcPr>
            <w:tcW w:w="1659" w:type="dxa"/>
            <w:shd w:val="clear" w:color="auto" w:fill="BAF8FF" w:themeFill="accent3" w:themeFillTint="33"/>
            <w:vAlign w:val="center"/>
          </w:tcPr>
          <w:p w14:paraId="2A712ADA" w14:textId="77777777" w:rsidR="00CD5B65" w:rsidRPr="00234236" w:rsidRDefault="00CD5B65" w:rsidP="000F48C6">
            <w:pPr>
              <w:pStyle w:val="Level1"/>
              <w:tabs>
                <w:tab w:val="left" w:pos="-1440"/>
              </w:tabs>
              <w:autoSpaceDE w:val="0"/>
              <w:autoSpaceDN w:val="0"/>
              <w:adjustRightInd w:val="0"/>
              <w:spacing w:after="120" w:line="20" w:lineRule="atLeast"/>
              <w:jc w:val="center"/>
              <w:rPr>
                <w:rStyle w:val="Strong"/>
                <w:rFonts w:cstheme="minorHAnsi"/>
                <w:b w:val="0"/>
                <w:i w:val="0"/>
                <w:szCs w:val="22"/>
              </w:rPr>
            </w:pPr>
            <w:r w:rsidRPr="006C61AE">
              <w:rPr>
                <w:rStyle w:val="Strong"/>
                <w:rFonts w:cstheme="minorHAnsi"/>
                <w:b w:val="0"/>
                <w:i w:val="0"/>
                <w:szCs w:val="22"/>
              </w:rPr>
              <w:t>4</w:t>
            </w:r>
          </w:p>
        </w:tc>
      </w:tr>
    </w:tbl>
    <w:p w14:paraId="2DF9A570" w14:textId="28C6E721" w:rsidR="00CD5B65" w:rsidRPr="002D39D0" w:rsidRDefault="00CD5B65" w:rsidP="007C1E3E">
      <w:pPr>
        <w:spacing w:after="120"/>
        <w:rPr>
          <w:rFonts w:asciiTheme="minorHAnsi" w:hAnsiTheme="minorHAnsi" w:cstheme="minorHAnsi"/>
          <w:color w:val="000000"/>
          <w:sz w:val="22"/>
          <w:szCs w:val="22"/>
        </w:rPr>
      </w:pPr>
      <w:r w:rsidRPr="002D39D0">
        <w:rPr>
          <w:rFonts w:asciiTheme="minorHAnsi" w:hAnsiTheme="minorHAnsi" w:cstheme="minorHAnsi"/>
          <w:sz w:val="22"/>
          <w:szCs w:val="18"/>
        </w:rPr>
        <w:t>Source : Système de gestion de l’information sur les priorités de la CFP</w:t>
      </w:r>
    </w:p>
    <w:p w14:paraId="5E59ECFD" w14:textId="150E2DC5" w:rsidR="00614B04" w:rsidRPr="002D39D0" w:rsidRDefault="00BB40A9" w:rsidP="007C1E3E">
      <w:pPr>
        <w:pStyle w:val="Heading1"/>
        <w:spacing w:after="120"/>
      </w:pPr>
      <w:r w:rsidRPr="002D39D0">
        <w:t>I</w:t>
      </w:r>
      <w:r w:rsidR="00614B04" w:rsidRPr="002D39D0">
        <w:t xml:space="preserve">mpartialité </w:t>
      </w:r>
      <w:r w:rsidR="00F3383E" w:rsidRPr="002D39D0">
        <w:t>de</w:t>
      </w:r>
      <w:r w:rsidR="00614B04" w:rsidRPr="002D39D0">
        <w:t xml:space="preserve"> la fonction publique </w:t>
      </w:r>
    </w:p>
    <w:p w14:paraId="3AE58F2F" w14:textId="77777777" w:rsidR="00614B04" w:rsidRPr="002D39D0" w:rsidRDefault="00614B04" w:rsidP="007C1E3E">
      <w:pPr>
        <w:spacing w:after="120" w:line="252" w:lineRule="auto"/>
        <w:rPr>
          <w:rFonts w:asciiTheme="minorHAnsi" w:hAnsiTheme="minorHAnsi" w:cstheme="minorHAnsi"/>
          <w:sz w:val="22"/>
          <w:szCs w:val="22"/>
        </w:rPr>
      </w:pPr>
      <w:r w:rsidRPr="002D39D0">
        <w:rPr>
          <w:rFonts w:asciiTheme="minorHAnsi" w:hAnsiTheme="minorHAnsi" w:cstheme="minorHAnsi"/>
          <w:sz w:val="22"/>
          <w:szCs w:val="22"/>
        </w:rPr>
        <w:t xml:space="preserve">Depuis 2016-2017, la CFP a reçu 10 demandes de candidature de la part d’employés d’AMC, parmi lesquelles deux employés ont demandé la permission de se porter candidats à l’élection fédérale de 2019 (les deux ont été choisis comme candidats par leur parti). </w:t>
      </w:r>
    </w:p>
    <w:p w14:paraId="13B2DFC9" w14:textId="77777777" w:rsidR="00614B04" w:rsidRPr="002D39D0" w:rsidRDefault="00614B04" w:rsidP="004721CE">
      <w:pPr>
        <w:spacing w:after="120" w:line="252" w:lineRule="auto"/>
        <w:rPr>
          <w:rFonts w:asciiTheme="minorHAnsi" w:hAnsiTheme="minorHAnsi" w:cstheme="minorHAnsi"/>
          <w:sz w:val="22"/>
          <w:szCs w:val="22"/>
        </w:rPr>
      </w:pPr>
      <w:r w:rsidRPr="002D39D0">
        <w:rPr>
          <w:rFonts w:asciiTheme="minorHAnsi" w:hAnsiTheme="minorHAnsi" w:cstheme="minorHAnsi"/>
          <w:sz w:val="22"/>
          <w:szCs w:val="22"/>
        </w:rPr>
        <w:t>Deux employés sont actuellement élus au niveau municipal (un à temps plein et un à temps partiel).</w:t>
      </w:r>
    </w:p>
    <w:p w14:paraId="503FD01A" w14:textId="77777777" w:rsidR="00614B04" w:rsidRPr="002D39D0" w:rsidRDefault="00614B04" w:rsidP="007C1E3E">
      <w:pPr>
        <w:spacing w:after="120" w:line="252" w:lineRule="auto"/>
        <w:rPr>
          <w:rFonts w:asciiTheme="minorHAnsi" w:hAnsiTheme="minorHAnsi" w:cstheme="minorHAnsi"/>
          <w:sz w:val="22"/>
          <w:szCs w:val="22"/>
        </w:rPr>
      </w:pPr>
      <w:r w:rsidRPr="002D39D0">
        <w:rPr>
          <w:rFonts w:asciiTheme="minorHAnsi" w:hAnsiTheme="minorHAnsi" w:cstheme="minorHAnsi"/>
          <w:sz w:val="22"/>
          <w:szCs w:val="22"/>
        </w:rPr>
        <w:t xml:space="preserve">Les résultats du SDIP de 2018 démontrent que les employés d’AMC ont, dans l’ensemble, une plus grande connaissance et une meilleure compréhension des activités politiques et de l’impartialité que dans l’ensemble de la fonction publique. </w:t>
      </w:r>
    </w:p>
    <w:p w14:paraId="3B1F441F" w14:textId="77777777" w:rsidR="00614B04" w:rsidRPr="002D39D0" w:rsidRDefault="00614B04" w:rsidP="007C1E3E">
      <w:pPr>
        <w:spacing w:after="120" w:line="252" w:lineRule="auto"/>
        <w:rPr>
          <w:rFonts w:asciiTheme="minorHAnsi" w:hAnsiTheme="minorHAnsi" w:cstheme="minorHAnsi"/>
          <w:sz w:val="22"/>
          <w:szCs w:val="22"/>
        </w:rPr>
      </w:pPr>
      <w:r w:rsidRPr="002D39D0">
        <w:rPr>
          <w:rFonts w:asciiTheme="minorHAnsi" w:hAnsiTheme="minorHAnsi" w:cstheme="minorHAnsi"/>
          <w:sz w:val="22"/>
          <w:szCs w:val="22"/>
        </w:rPr>
        <w:t>On remarquera aussi que le pourcentage (2,8 %) d’employés ayant indiqué qu’ils ont participé à des activités politiques en 2017 – autres qu’exercer leur droit de vote ou poser leur candidature à une élection – est aussi légèrement plus élevé parmi les employés d’AMC que dans l’ensemble de la fonction publique (2,4 %).</w:t>
      </w:r>
    </w:p>
    <w:p w14:paraId="39852876" w14:textId="719DA4EB" w:rsidR="00614B04" w:rsidRPr="002D39D0" w:rsidRDefault="00BB40A9" w:rsidP="007C1E3E">
      <w:pPr>
        <w:pStyle w:val="Heading1"/>
        <w:spacing w:after="120"/>
      </w:pPr>
      <w:r w:rsidRPr="002D39D0">
        <w:lastRenderedPageBreak/>
        <w:t>I</w:t>
      </w:r>
      <w:r w:rsidR="00614B04" w:rsidRPr="002D39D0">
        <w:t xml:space="preserve">nitiatives de la </w:t>
      </w:r>
      <w:r w:rsidR="00AE6D57">
        <w:t>C</w:t>
      </w:r>
      <w:r w:rsidR="00614B04" w:rsidRPr="002D39D0">
        <w:t>ommission de la fonction publique</w:t>
      </w:r>
      <w:r w:rsidR="00AE6D57">
        <w:t xml:space="preserve"> (CFP)</w:t>
      </w:r>
    </w:p>
    <w:p w14:paraId="446E107B" w14:textId="77777777" w:rsidR="00614B04" w:rsidRPr="002D39D0" w:rsidRDefault="00614B04" w:rsidP="007C1E3E">
      <w:pPr>
        <w:spacing w:after="120"/>
        <w:rPr>
          <w:rFonts w:asciiTheme="minorHAnsi" w:hAnsiTheme="minorHAnsi" w:cstheme="minorHAnsi"/>
          <w:sz w:val="22"/>
          <w:szCs w:val="22"/>
        </w:rPr>
      </w:pPr>
      <w:r w:rsidRPr="002D39D0">
        <w:rPr>
          <w:rFonts w:asciiTheme="minorHAnsi" w:hAnsiTheme="minorHAnsi" w:cstheme="minorHAnsi"/>
          <w:sz w:val="22"/>
          <w:szCs w:val="22"/>
        </w:rPr>
        <w:t xml:space="preserve">La CFP est heureuse qu’AMC soit de retour en tant que client pour la campagne de renouvellement de la fonction publique de 2019. Nous cherchons à établir un répertoire FS-01 pour le ministère. Dans le cadre de la campagne de renouvellement de la fonction publique de 2019, il y a eu 6 751 demandes, et 5 890 candidats ont été présélectionnés. La campagne a pris fin le 23 octobre 2019. </w:t>
      </w:r>
    </w:p>
    <w:p w14:paraId="4D7B21D0" w14:textId="77777777" w:rsidR="00614B04" w:rsidRPr="002D39D0" w:rsidRDefault="00614B04" w:rsidP="007C1E3E">
      <w:pPr>
        <w:spacing w:after="120"/>
        <w:rPr>
          <w:rFonts w:asciiTheme="minorHAnsi" w:hAnsiTheme="minorHAnsi" w:cstheme="minorHAnsi"/>
          <w:color w:val="000000"/>
          <w:sz w:val="22"/>
          <w:szCs w:val="22"/>
        </w:rPr>
      </w:pPr>
      <w:r w:rsidRPr="002D39D0">
        <w:rPr>
          <w:rFonts w:asciiTheme="minorHAnsi" w:hAnsiTheme="minorHAnsi" w:cstheme="minorHAnsi"/>
          <w:sz w:val="22"/>
          <w:szCs w:val="22"/>
        </w:rPr>
        <w:t xml:space="preserve">En date du 12 novembre 2019, AMC a soumis sept demandes de </w:t>
      </w:r>
      <w:r w:rsidR="009B24C7" w:rsidRPr="002D39D0">
        <w:rPr>
          <w:rFonts w:asciiTheme="minorHAnsi" w:hAnsiTheme="minorHAnsi" w:cstheme="minorHAnsi"/>
          <w:sz w:val="22"/>
          <w:szCs w:val="22"/>
        </w:rPr>
        <w:t>références</w:t>
      </w:r>
      <w:r w:rsidRPr="002D39D0">
        <w:rPr>
          <w:rFonts w:asciiTheme="minorHAnsi" w:hAnsiTheme="minorHAnsi" w:cstheme="minorHAnsi"/>
          <w:sz w:val="22"/>
          <w:szCs w:val="22"/>
        </w:rPr>
        <w:t xml:space="preserve"> pour la campagne de renouvellement de la fonction publique de 2019, à partir de tous les répertoires disponibles pour cette initiative. </w:t>
      </w:r>
      <w:r w:rsidRPr="002D39D0">
        <w:rPr>
          <w:rFonts w:asciiTheme="minorHAnsi" w:hAnsiTheme="minorHAnsi" w:cstheme="minorHAnsi"/>
          <w:color w:val="000000"/>
          <w:sz w:val="22"/>
          <w:szCs w:val="22"/>
        </w:rPr>
        <w:t xml:space="preserve">Aucune nomination n’a été signalée à la suite des demandes de </w:t>
      </w:r>
      <w:r w:rsidR="009B24C7" w:rsidRPr="002D39D0">
        <w:rPr>
          <w:rFonts w:asciiTheme="minorHAnsi" w:hAnsiTheme="minorHAnsi" w:cstheme="minorHAnsi"/>
          <w:color w:val="000000"/>
          <w:sz w:val="22"/>
          <w:szCs w:val="22"/>
        </w:rPr>
        <w:t>références</w:t>
      </w:r>
      <w:r w:rsidRPr="002D39D0">
        <w:rPr>
          <w:rFonts w:asciiTheme="minorHAnsi" w:hAnsiTheme="minorHAnsi" w:cstheme="minorHAnsi"/>
          <w:color w:val="000000"/>
          <w:sz w:val="22"/>
          <w:szCs w:val="22"/>
        </w:rPr>
        <w:t xml:space="preserve">. </w:t>
      </w:r>
    </w:p>
    <w:p w14:paraId="07CD0E52" w14:textId="77777777" w:rsidR="00614B04" w:rsidRPr="002D39D0" w:rsidRDefault="00614B04" w:rsidP="004721CE">
      <w:pPr>
        <w:pStyle w:val="NoSpacing"/>
        <w:spacing w:after="120"/>
        <w:rPr>
          <w:rFonts w:asciiTheme="minorHAnsi" w:hAnsiTheme="minorHAnsi" w:cstheme="minorHAnsi"/>
          <w:color w:val="000000"/>
          <w:sz w:val="22"/>
          <w:szCs w:val="22"/>
        </w:rPr>
      </w:pPr>
      <w:r w:rsidRPr="002D39D0">
        <w:rPr>
          <w:rFonts w:asciiTheme="minorHAnsi" w:hAnsiTheme="minorHAnsi" w:cstheme="minorHAnsi"/>
          <w:color w:val="000000"/>
          <w:sz w:val="22"/>
          <w:szCs w:val="22"/>
        </w:rPr>
        <w:t xml:space="preserve">La CFP procède à l’examen du </w:t>
      </w:r>
      <w:r w:rsidRPr="002D39D0">
        <w:rPr>
          <w:rStyle w:val="Emphasis"/>
          <w:rFonts w:cstheme="minorHAnsi"/>
        </w:rPr>
        <w:t>Règlement sur l’emploi dans la fonction publique</w:t>
      </w:r>
      <w:r w:rsidRPr="002D39D0">
        <w:rPr>
          <w:rFonts w:asciiTheme="minorHAnsi" w:hAnsiTheme="minorHAnsi" w:cstheme="minorHAnsi"/>
          <w:color w:val="000000"/>
          <w:sz w:val="20"/>
          <w:szCs w:val="22"/>
        </w:rPr>
        <w:t> </w:t>
      </w:r>
      <w:r w:rsidRPr="002D39D0">
        <w:rPr>
          <w:rFonts w:asciiTheme="minorHAnsi" w:hAnsiTheme="minorHAnsi" w:cstheme="minorHAnsi"/>
          <w:color w:val="000000"/>
          <w:sz w:val="22"/>
          <w:szCs w:val="22"/>
        </w:rPr>
        <w:t>(REFP). AMC est un intervenant clé puisqu’il est l’un des trois ministères qui utilisent les nominations intérimaires dans les postes de permutants. La mobilisation a commencé et les consultations se poursuivront au cours des prochains mois.</w:t>
      </w:r>
    </w:p>
    <w:p w14:paraId="60AB0686" w14:textId="77777777" w:rsidR="00614B04" w:rsidRPr="002D39D0" w:rsidRDefault="00614B04" w:rsidP="007C1E3E">
      <w:pPr>
        <w:pStyle w:val="NoSpacing"/>
        <w:spacing w:after="120"/>
        <w:rPr>
          <w:rFonts w:asciiTheme="minorHAnsi" w:hAnsiTheme="minorHAnsi" w:cstheme="minorHAnsi"/>
          <w:color w:val="000000"/>
          <w:sz w:val="22"/>
          <w:szCs w:val="22"/>
        </w:rPr>
      </w:pPr>
      <w:r w:rsidRPr="002D39D0">
        <w:rPr>
          <w:rFonts w:asciiTheme="minorHAnsi" w:hAnsiTheme="minorHAnsi" w:cstheme="minorHAnsi"/>
          <w:color w:val="000000"/>
          <w:sz w:val="22"/>
          <w:szCs w:val="22"/>
        </w:rPr>
        <w:t>AMC a participé au projet sur le recrutement anonyme.</w:t>
      </w:r>
    </w:p>
    <w:p w14:paraId="1C263F5D" w14:textId="77777777" w:rsidR="00614B04" w:rsidRPr="002D39D0" w:rsidRDefault="00BB40A9" w:rsidP="007C1E3E">
      <w:pPr>
        <w:pStyle w:val="Heading1"/>
        <w:spacing w:after="120"/>
      </w:pPr>
      <w:r w:rsidRPr="002D39D0">
        <w:t>S</w:t>
      </w:r>
      <w:r w:rsidR="00614B04" w:rsidRPr="002D39D0">
        <w:t xml:space="preserve">outien </w:t>
      </w:r>
      <w:r w:rsidR="00F3383E" w:rsidRPr="002D39D0">
        <w:t>en</w:t>
      </w:r>
      <w:r w:rsidR="00614B04" w:rsidRPr="002D39D0">
        <w:t xml:space="preserve"> dotation</w:t>
      </w:r>
    </w:p>
    <w:p w14:paraId="02598FDB" w14:textId="77777777" w:rsidR="00614B04" w:rsidRPr="002D39D0" w:rsidRDefault="00F3383E" w:rsidP="00A95A8A">
      <w:pPr>
        <w:pStyle w:val="Heading2"/>
        <w:spacing w:after="120"/>
        <w:rPr>
          <w:u w:val="single"/>
        </w:rPr>
      </w:pPr>
      <w:r w:rsidRPr="002D39D0">
        <w:t>Représentants de la Commission de la fonction publique et personnes-ressources de l’organisation</w:t>
      </w:r>
    </w:p>
    <w:p w14:paraId="40F07975" w14:textId="77777777" w:rsidR="00614B04" w:rsidRPr="002D39D0" w:rsidRDefault="00614B04" w:rsidP="007C1E3E">
      <w:pPr>
        <w:spacing w:after="120"/>
        <w:rPr>
          <w:rFonts w:asciiTheme="minorHAnsi" w:hAnsiTheme="minorHAnsi" w:cstheme="minorHAnsi"/>
          <w:sz w:val="22"/>
          <w:szCs w:val="22"/>
        </w:rPr>
      </w:pPr>
      <w:r w:rsidRPr="002D39D0">
        <w:rPr>
          <w:rFonts w:asciiTheme="minorHAnsi" w:hAnsiTheme="minorHAnsi" w:cstheme="minorHAnsi"/>
          <w:sz w:val="22"/>
          <w:szCs w:val="22"/>
        </w:rPr>
        <w:t>La conseillère au soutien en dotation affectée à cette organisation est Véronique Geoffroy et le responsable des ressources humaines est Francis Trudel, sous-ministre adjoint, Ressources humaines.</w:t>
      </w:r>
    </w:p>
    <w:p w14:paraId="6470607C" w14:textId="77777777" w:rsidR="00BB40A9" w:rsidRPr="002D39D0" w:rsidRDefault="00BB40A9" w:rsidP="00614B04">
      <w:pPr>
        <w:rPr>
          <w:rFonts w:ascii="Arial" w:hAnsi="Arial" w:cs="Arial"/>
          <w:sz w:val="22"/>
          <w:szCs w:val="22"/>
          <w:lang w:eastAsia="en-CA"/>
        </w:rPr>
      </w:pPr>
      <w:r w:rsidRPr="002D39D0">
        <w:rPr>
          <w:rFonts w:ascii="Arial" w:hAnsi="Arial" w:cs="Arial"/>
          <w:sz w:val="22"/>
          <w:szCs w:val="22"/>
          <w:lang w:eastAsia="en-CA"/>
        </w:rPr>
        <w:br w:type="page"/>
      </w:r>
    </w:p>
    <w:p w14:paraId="463263DE" w14:textId="1312C189" w:rsidR="00F3383E" w:rsidRPr="007C1E3E" w:rsidRDefault="00F3383E">
      <w:pPr>
        <w:keepLines/>
        <w:numPr>
          <w:ilvl w:val="12"/>
          <w:numId w:val="0"/>
        </w:numPr>
        <w:tabs>
          <w:tab w:val="left" w:pos="-1320"/>
          <w:tab w:val="left" w:pos="-720"/>
          <w:tab w:val="left" w:pos="0"/>
          <w:tab w:val="left" w:pos="3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40" w:line="259" w:lineRule="auto"/>
        <w:rPr>
          <w:rStyle w:val="Strong"/>
          <w:rFonts w:eastAsiaTheme="minorHAnsi"/>
          <w:i w:val="0"/>
        </w:rPr>
      </w:pPr>
      <w:r w:rsidRPr="007C1E3E">
        <w:rPr>
          <w:rStyle w:val="Strong"/>
          <w:rFonts w:eastAsiaTheme="minorHAnsi"/>
          <w:i w:val="0"/>
        </w:rPr>
        <w:lastRenderedPageBreak/>
        <w:t>PREPAR</w:t>
      </w:r>
      <w:r w:rsidR="00C45F43">
        <w:rPr>
          <w:rStyle w:val="Strong"/>
          <w:rFonts w:eastAsiaTheme="minorHAnsi"/>
          <w:i w:val="0"/>
        </w:rPr>
        <w:t>É PAR</w:t>
      </w:r>
    </w:p>
    <w:p w14:paraId="162E07EE" w14:textId="77777777" w:rsidR="00F3383E" w:rsidRPr="007C1E3E" w:rsidRDefault="00F3383E" w:rsidP="00F3383E">
      <w:pPr>
        <w:keepLines/>
        <w:numPr>
          <w:ilvl w:val="12"/>
          <w:numId w:val="0"/>
        </w:numPr>
        <w:tabs>
          <w:tab w:val="left" w:pos="-1320"/>
          <w:tab w:val="left" w:pos="-720"/>
          <w:tab w:val="left" w:pos="0"/>
          <w:tab w:val="left" w:pos="3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59" w:lineRule="auto"/>
        <w:rPr>
          <w:rFonts w:asciiTheme="minorHAnsi" w:eastAsiaTheme="minorHAnsi" w:hAnsiTheme="minorHAnsi" w:cstheme="minorHAnsi"/>
          <w:sz w:val="22"/>
          <w:szCs w:val="22"/>
          <w:lang w:val="en-CA"/>
        </w:rPr>
      </w:pPr>
      <w:r w:rsidRPr="007C1E3E">
        <w:rPr>
          <w:rFonts w:asciiTheme="minorHAnsi" w:eastAsiaTheme="minorHAnsi" w:hAnsiTheme="minorHAnsi" w:cstheme="minorHAnsi"/>
          <w:sz w:val="22"/>
          <w:szCs w:val="22"/>
          <w:lang w:val="en-CA"/>
        </w:rPr>
        <w:t xml:space="preserve">Véronique Geoffroy, </w:t>
      </w:r>
    </w:p>
    <w:p w14:paraId="7EF2E57D" w14:textId="77777777" w:rsidR="00F3383E" w:rsidRPr="007C1E3E" w:rsidRDefault="00F3383E" w:rsidP="00F3383E">
      <w:pPr>
        <w:keepLines/>
        <w:numPr>
          <w:ilvl w:val="12"/>
          <w:numId w:val="0"/>
        </w:numPr>
        <w:tabs>
          <w:tab w:val="left" w:pos="-1320"/>
          <w:tab w:val="left" w:pos="-720"/>
          <w:tab w:val="left" w:pos="0"/>
          <w:tab w:val="left" w:pos="3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360" w:line="259" w:lineRule="auto"/>
        <w:rPr>
          <w:rFonts w:asciiTheme="minorHAnsi" w:eastAsiaTheme="minorHAnsi" w:hAnsiTheme="minorHAnsi" w:cstheme="minorHAnsi"/>
          <w:sz w:val="22"/>
          <w:szCs w:val="22"/>
          <w:lang w:val="en-CA"/>
        </w:rPr>
      </w:pPr>
      <w:r w:rsidRPr="007C1E3E">
        <w:rPr>
          <w:rFonts w:asciiTheme="minorHAnsi" w:eastAsiaTheme="minorHAnsi" w:hAnsiTheme="minorHAnsi" w:cstheme="minorHAnsi"/>
          <w:sz w:val="22"/>
          <w:szCs w:val="22"/>
          <w:lang w:val="en-CA"/>
        </w:rPr>
        <w:t>Staffing Support Advisor</w:t>
      </w:r>
    </w:p>
    <w:p w14:paraId="475AD6CF" w14:textId="6FB55FFE" w:rsidR="00614B04" w:rsidRPr="007C1E3E" w:rsidRDefault="00614B04" w:rsidP="007C1E3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rPr>
          <w:rFonts w:asciiTheme="minorHAnsi" w:hAnsiTheme="minorHAnsi" w:cstheme="minorHAnsi"/>
          <w:sz w:val="22"/>
          <w:szCs w:val="22"/>
          <w:lang w:val="en-CA"/>
        </w:rPr>
      </w:pPr>
      <w:proofErr w:type="gramStart"/>
      <w:r w:rsidRPr="007C1E3E">
        <w:rPr>
          <w:rFonts w:asciiTheme="minorHAnsi" w:hAnsiTheme="minorHAnsi" w:cstheme="minorHAnsi"/>
          <w:sz w:val="22"/>
          <w:szCs w:val="22"/>
          <w:lang w:val="en-CA"/>
        </w:rPr>
        <w:t>Annexe</w:t>
      </w:r>
      <w:r w:rsidR="0079072B">
        <w:rPr>
          <w:rFonts w:asciiTheme="minorHAnsi" w:hAnsiTheme="minorHAnsi" w:cstheme="minorHAnsi"/>
          <w:sz w:val="22"/>
          <w:szCs w:val="22"/>
          <w:lang w:val="en-CA"/>
        </w:rPr>
        <w:t xml:space="preserve"> </w:t>
      </w:r>
      <w:r w:rsidRPr="007C1E3E">
        <w:rPr>
          <w:rFonts w:asciiTheme="minorHAnsi" w:hAnsiTheme="minorHAnsi" w:cstheme="minorHAnsi"/>
          <w:sz w:val="22"/>
          <w:szCs w:val="22"/>
          <w:lang w:val="en-CA"/>
        </w:rPr>
        <w:t>:</w:t>
      </w:r>
      <w:proofErr w:type="gramEnd"/>
    </w:p>
    <w:p w14:paraId="02EF9A58" w14:textId="3943367A" w:rsidR="004D53A0" w:rsidRPr="002D39D0" w:rsidRDefault="002A0E9B" w:rsidP="007C1E3E">
      <w:pPr>
        <w:pStyle w:val="ListParagraph"/>
        <w:numPr>
          <w:ilvl w:val="0"/>
          <w:numId w:val="3"/>
        </w:numPr>
        <w:spacing w:after="0"/>
        <w:rPr>
          <w:rStyle w:val="Hyperlink"/>
          <w:rFonts w:asciiTheme="minorHAnsi" w:hAnsiTheme="minorHAnsi" w:cstheme="minorHAnsi"/>
          <w:bCs/>
          <w:sz w:val="22"/>
          <w:szCs w:val="22"/>
        </w:rPr>
      </w:pPr>
      <w:hyperlink w:anchor="AnnexB" w:history="1">
        <w:r w:rsidR="004D53A0" w:rsidRPr="002D39D0">
          <w:rPr>
            <w:rStyle w:val="Hyperlink"/>
            <w:rFonts w:asciiTheme="minorHAnsi" w:hAnsiTheme="minorHAnsi" w:cstheme="minorHAnsi"/>
            <w:sz w:val="22"/>
            <w:szCs w:val="22"/>
          </w:rPr>
          <w:t xml:space="preserve">Annexe </w:t>
        </w:r>
        <w:r w:rsidR="00787D25" w:rsidRPr="002D39D0">
          <w:rPr>
            <w:rStyle w:val="Hyperlink"/>
            <w:rFonts w:asciiTheme="minorHAnsi" w:hAnsiTheme="minorHAnsi" w:cstheme="minorHAnsi"/>
            <w:sz w:val="22"/>
            <w:szCs w:val="22"/>
          </w:rPr>
          <w:t>A</w:t>
        </w:r>
        <w:r w:rsidR="004D53A0" w:rsidRPr="002D39D0">
          <w:rPr>
            <w:rStyle w:val="Hyperlink"/>
            <w:rFonts w:asciiTheme="minorHAnsi" w:hAnsiTheme="minorHAnsi" w:cstheme="minorHAnsi"/>
            <w:sz w:val="22"/>
            <w:szCs w:val="22"/>
          </w:rPr>
          <w:t xml:space="preserve"> - Données sur l’effectif et les activités de dotation</w:t>
        </w:r>
      </w:hyperlink>
    </w:p>
    <w:p w14:paraId="657657A9" w14:textId="77777777" w:rsidR="00614B04" w:rsidRPr="002D39D0" w:rsidRDefault="00614B04" w:rsidP="00614B04">
      <w:pPr>
        <w:ind w:left="7920"/>
        <w:jc w:val="right"/>
        <w:rPr>
          <w:rFonts w:ascii="Arial" w:hAnsi="Arial" w:cs="Arial"/>
          <w:b/>
          <w:bCs/>
          <w:sz w:val="22"/>
          <w:szCs w:val="22"/>
        </w:rPr>
      </w:pPr>
      <w:r w:rsidRPr="002D39D0">
        <w:br w:type="page"/>
      </w:r>
    </w:p>
    <w:p w14:paraId="080DEC81" w14:textId="77777777" w:rsidR="00B53077" w:rsidRPr="002D39D0" w:rsidRDefault="00B53077" w:rsidP="007C1E3E">
      <w:pPr>
        <w:pStyle w:val="Heading3"/>
        <w:jc w:val="center"/>
        <w:sectPr w:rsidR="00B53077" w:rsidRPr="002D39D0" w:rsidSect="007C1E3E">
          <w:footnotePr>
            <w:numFmt w:val="lowerLetter"/>
          </w:footnotePr>
          <w:endnotePr>
            <w:numFmt w:val="lowerLetter"/>
          </w:endnotePr>
          <w:pgSz w:w="12240" w:h="15840" w:code="1"/>
          <w:pgMar w:top="709" w:right="1304" w:bottom="1361" w:left="1304" w:header="284" w:footer="284" w:gutter="0"/>
          <w:cols w:space="720"/>
          <w:docGrid w:linePitch="326"/>
        </w:sectPr>
      </w:pPr>
    </w:p>
    <w:p w14:paraId="1C1243F1" w14:textId="4888EA53" w:rsidR="00302F5B" w:rsidRPr="007C1E3E" w:rsidRDefault="00302F5B" w:rsidP="007C1E3E">
      <w:pPr>
        <w:pStyle w:val="Heading1"/>
        <w:spacing w:before="120" w:after="120"/>
        <w:jc w:val="right"/>
        <w:rPr>
          <w:rFonts w:ascii="Segoe UI Semibold" w:hAnsi="Segoe UI Semibold" w:cs="Segoe UI Semibold"/>
          <w:sz w:val="24"/>
          <w:szCs w:val="24"/>
        </w:rPr>
      </w:pPr>
      <w:bookmarkStart w:id="0" w:name="AnnexA"/>
      <w:r w:rsidRPr="007C1E3E">
        <w:rPr>
          <w:rFonts w:ascii="Segoe UI Semibold" w:hAnsi="Segoe UI Semibold" w:cs="Segoe UI Semibold"/>
          <w:sz w:val="24"/>
          <w:szCs w:val="24"/>
        </w:rPr>
        <w:lastRenderedPageBreak/>
        <w:t>Annexe A</w:t>
      </w:r>
    </w:p>
    <w:bookmarkEnd w:id="0"/>
    <w:p w14:paraId="780BF20C" w14:textId="77777777" w:rsidR="00DD662D" w:rsidRPr="002D39D0" w:rsidRDefault="00DD662D" w:rsidP="00DD662D">
      <w:pPr>
        <w:pStyle w:val="Heading1"/>
        <w:spacing w:before="120" w:after="120"/>
        <w:rPr>
          <w:sz w:val="40"/>
        </w:rPr>
      </w:pPr>
      <w:r w:rsidRPr="002D39D0">
        <w:rPr>
          <w:rFonts w:eastAsia="Times New Roman"/>
          <w:sz w:val="40"/>
        </w:rPr>
        <w:t>Population selon la durée d'emploi au 31 mars</w:t>
      </w:r>
    </w:p>
    <w:p w14:paraId="7D51B164" w14:textId="77777777" w:rsidR="00052F99" w:rsidRPr="002D39D0" w:rsidRDefault="00E56E7F" w:rsidP="00052F99">
      <w:pPr>
        <w:keepNext/>
        <w:tabs>
          <w:tab w:val="left" w:pos="7839"/>
        </w:tabs>
        <w:jc w:val="center"/>
      </w:pPr>
      <w:r w:rsidRPr="007C1E3E">
        <w:rPr>
          <w:rStyle w:val="Strong"/>
          <w:noProof/>
          <w:lang w:val="en-CA" w:eastAsia="en-CA"/>
        </w:rPr>
        <w:drawing>
          <wp:inline distT="0" distB="0" distL="0" distR="0" wp14:anchorId="77D5F0EF" wp14:editId="6588E90C">
            <wp:extent cx="5648400" cy="3049200"/>
            <wp:effectExtent l="0" t="0" r="9525" b="18415"/>
            <wp:docPr id="13" name="Chart 13" descr="Population selon la durée d'emploi au 31 mars"/>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420F3AB2" w14:textId="77777777" w:rsidR="004D53A0" w:rsidRPr="002D39D0" w:rsidRDefault="00052F99" w:rsidP="007C1E3E">
      <w:pPr>
        <w:pStyle w:val="Caption"/>
        <w:spacing w:after="0"/>
        <w:jc w:val="center"/>
        <w:rPr>
          <w:rFonts w:asciiTheme="minorHAnsi" w:hAnsiTheme="minorHAnsi" w:cstheme="minorHAnsi"/>
          <w:b/>
          <w:i w:val="0"/>
          <w:color w:val="auto"/>
        </w:rPr>
      </w:pPr>
      <w:r w:rsidRPr="002D39D0">
        <w:rPr>
          <w:rFonts w:asciiTheme="minorHAnsi" w:hAnsiTheme="minorHAnsi" w:cstheme="minorHAnsi"/>
          <w:i w:val="0"/>
          <w:color w:val="auto"/>
        </w:rPr>
        <w:t xml:space="preserve">Figure </w:t>
      </w:r>
      <w:r w:rsidRPr="006C61AE">
        <w:rPr>
          <w:rFonts w:asciiTheme="minorHAnsi" w:hAnsiTheme="minorHAnsi" w:cstheme="minorHAnsi"/>
          <w:i w:val="0"/>
          <w:color w:val="auto"/>
        </w:rPr>
        <w:fldChar w:fldCharType="begin"/>
      </w:r>
      <w:r w:rsidRPr="002D39D0">
        <w:rPr>
          <w:rFonts w:asciiTheme="minorHAnsi" w:hAnsiTheme="minorHAnsi" w:cstheme="minorHAnsi"/>
          <w:i w:val="0"/>
          <w:color w:val="auto"/>
        </w:rPr>
        <w:instrText xml:space="preserve"> SEQ Figure \* ARABIC </w:instrText>
      </w:r>
      <w:r w:rsidRPr="006C61AE">
        <w:rPr>
          <w:rFonts w:asciiTheme="minorHAnsi" w:hAnsiTheme="minorHAnsi" w:cstheme="minorHAnsi"/>
          <w:i w:val="0"/>
          <w:color w:val="auto"/>
        </w:rPr>
        <w:fldChar w:fldCharType="separate"/>
      </w:r>
      <w:r w:rsidR="00DE5258" w:rsidRPr="002D39D0">
        <w:rPr>
          <w:rFonts w:asciiTheme="minorHAnsi" w:hAnsiTheme="minorHAnsi" w:cstheme="minorHAnsi"/>
          <w:i w:val="0"/>
          <w:noProof/>
          <w:color w:val="auto"/>
        </w:rPr>
        <w:t>1</w:t>
      </w:r>
      <w:r w:rsidRPr="006C61AE">
        <w:rPr>
          <w:rFonts w:asciiTheme="minorHAnsi" w:hAnsiTheme="minorHAnsi" w:cstheme="minorHAnsi"/>
          <w:i w:val="0"/>
          <w:color w:val="auto"/>
        </w:rPr>
        <w:fldChar w:fldCharType="end"/>
      </w:r>
      <w:r w:rsidRPr="002D39D0">
        <w:rPr>
          <w:rFonts w:asciiTheme="minorHAnsi" w:hAnsiTheme="minorHAnsi" w:cstheme="minorHAnsi"/>
          <w:i w:val="0"/>
          <w:color w:val="auto"/>
        </w:rPr>
        <w:t xml:space="preserve"> - Population selon la durée d'emploi au 31 mars</w:t>
      </w:r>
    </w:p>
    <w:p w14:paraId="5D4B91C2" w14:textId="11172130" w:rsidR="00CD4C6D" w:rsidRPr="002D39D0" w:rsidRDefault="00CD4C6D" w:rsidP="007C1E3E">
      <w:pPr>
        <w:pStyle w:val="Caption"/>
        <w:keepNext/>
        <w:spacing w:before="240" w:after="0"/>
        <w:jc w:val="center"/>
        <w:rPr>
          <w:rFonts w:asciiTheme="minorHAnsi" w:hAnsiTheme="minorHAnsi" w:cstheme="minorHAnsi"/>
          <w:i w:val="0"/>
          <w:color w:val="auto"/>
        </w:rPr>
      </w:pPr>
      <w:r w:rsidRPr="002D39D0">
        <w:rPr>
          <w:rFonts w:asciiTheme="minorHAnsi" w:hAnsiTheme="minorHAnsi" w:cstheme="minorHAnsi"/>
          <w:i w:val="0"/>
          <w:color w:val="auto"/>
        </w:rPr>
        <w:t xml:space="preserve">Table </w:t>
      </w:r>
      <w:r w:rsidRPr="006C61AE">
        <w:rPr>
          <w:rFonts w:asciiTheme="minorHAnsi" w:hAnsiTheme="minorHAnsi" w:cstheme="minorHAnsi"/>
          <w:i w:val="0"/>
          <w:color w:val="auto"/>
        </w:rPr>
        <w:fldChar w:fldCharType="begin"/>
      </w:r>
      <w:r w:rsidRPr="002D39D0">
        <w:rPr>
          <w:rFonts w:asciiTheme="minorHAnsi" w:hAnsiTheme="minorHAnsi" w:cstheme="minorHAnsi"/>
          <w:i w:val="0"/>
          <w:color w:val="auto"/>
        </w:rPr>
        <w:instrText xml:space="preserve"> SEQ Table \* ARABIC </w:instrText>
      </w:r>
      <w:r w:rsidRPr="006C61AE">
        <w:rPr>
          <w:rFonts w:asciiTheme="minorHAnsi" w:hAnsiTheme="minorHAnsi" w:cstheme="minorHAnsi"/>
          <w:i w:val="0"/>
          <w:color w:val="auto"/>
        </w:rPr>
        <w:fldChar w:fldCharType="separate"/>
      </w:r>
      <w:r w:rsidR="00C42F1B" w:rsidRPr="002D39D0">
        <w:rPr>
          <w:rFonts w:asciiTheme="minorHAnsi" w:hAnsiTheme="minorHAnsi" w:cstheme="minorHAnsi"/>
          <w:i w:val="0"/>
          <w:noProof/>
          <w:color w:val="auto"/>
        </w:rPr>
        <w:t>6</w:t>
      </w:r>
      <w:r w:rsidRPr="006C61AE">
        <w:rPr>
          <w:rFonts w:asciiTheme="minorHAnsi" w:hAnsiTheme="minorHAnsi" w:cstheme="minorHAnsi"/>
          <w:i w:val="0"/>
          <w:color w:val="auto"/>
        </w:rPr>
        <w:fldChar w:fldCharType="end"/>
      </w:r>
      <w:r w:rsidRPr="002D39D0">
        <w:rPr>
          <w:rFonts w:asciiTheme="minorHAnsi" w:hAnsiTheme="minorHAnsi" w:cstheme="minorHAnsi"/>
          <w:i w:val="0"/>
          <w:color w:val="auto"/>
        </w:rPr>
        <w:t xml:space="preserve"> - Effectif régi par la </w:t>
      </w:r>
      <w:r w:rsidRPr="004721CE">
        <w:rPr>
          <w:rStyle w:val="Emphasis"/>
          <w:i/>
          <w:sz w:val="18"/>
        </w:rPr>
        <w:t>Loi sur l’embauche dans la fonction publique</w:t>
      </w:r>
      <w:r w:rsidRPr="004721CE">
        <w:rPr>
          <w:rFonts w:asciiTheme="minorHAnsi" w:hAnsiTheme="minorHAnsi" w:cstheme="minorHAnsi"/>
          <w:i w:val="0"/>
          <w:color w:val="auto"/>
          <w:sz w:val="14"/>
        </w:rPr>
        <w:t xml:space="preserve"> </w:t>
      </w:r>
      <w:r w:rsidRPr="002D39D0">
        <w:rPr>
          <w:rFonts w:asciiTheme="minorHAnsi" w:hAnsiTheme="minorHAnsi" w:cstheme="minorHAnsi"/>
          <w:i w:val="0"/>
          <w:color w:val="auto"/>
        </w:rPr>
        <w:t>au 31 mars selon la durée d’emploi</w:t>
      </w:r>
    </w:p>
    <w:tbl>
      <w:tblPr>
        <w:tblStyle w:val="TableGrid"/>
        <w:tblW w:w="5000" w:type="pct"/>
        <w:jc w:val="center"/>
        <w:tblLook w:val="0020" w:firstRow="1" w:lastRow="0" w:firstColumn="0" w:lastColumn="0" w:noHBand="0" w:noVBand="0"/>
        <w:tblDescription w:val="Effectif selon la durée d’emploi en date du 31 mars 2014 à 2019"/>
      </w:tblPr>
      <w:tblGrid>
        <w:gridCol w:w="3120"/>
        <w:gridCol w:w="2822"/>
        <w:gridCol w:w="2529"/>
        <w:gridCol w:w="2784"/>
        <w:gridCol w:w="1898"/>
        <w:gridCol w:w="1317"/>
      </w:tblGrid>
      <w:tr w:rsidR="00052F99" w:rsidRPr="004721CE" w14:paraId="61C95450" w14:textId="77777777" w:rsidTr="00222D78">
        <w:trPr>
          <w:cantSplit/>
          <w:trHeight w:val="290"/>
          <w:tblHeader/>
          <w:jc w:val="center"/>
        </w:trPr>
        <w:tc>
          <w:tcPr>
            <w:tcW w:w="1078" w:type="pct"/>
          </w:tcPr>
          <w:p w14:paraId="3723AA2D" w14:textId="1D2C2F57" w:rsidR="00052F99" w:rsidRPr="004721CE" w:rsidRDefault="00052F99" w:rsidP="00052F99">
            <w:pPr>
              <w:pStyle w:val="TableTitle"/>
              <w:rPr>
                <w:rFonts w:cs="Segoe UI Semibold"/>
                <w:b w:val="0"/>
              </w:rPr>
            </w:pPr>
            <w:r w:rsidRPr="004721CE">
              <w:rPr>
                <w:rFonts w:cs="Segoe UI Semibold"/>
                <w:b w:val="0"/>
              </w:rPr>
              <w:t>Année</w:t>
            </w:r>
          </w:p>
        </w:tc>
        <w:tc>
          <w:tcPr>
            <w:tcW w:w="975" w:type="pct"/>
          </w:tcPr>
          <w:p w14:paraId="6E444CFF" w14:textId="77777777" w:rsidR="00052F99" w:rsidRPr="004721CE" w:rsidRDefault="00052F99" w:rsidP="00052F99">
            <w:pPr>
              <w:pStyle w:val="TableTitle"/>
              <w:rPr>
                <w:rFonts w:cs="Segoe UI Semibold"/>
                <w:b w:val="0"/>
              </w:rPr>
            </w:pPr>
            <w:r w:rsidRPr="004721CE">
              <w:rPr>
                <w:rFonts w:cs="Segoe UI Semibold"/>
                <w:b w:val="0"/>
              </w:rPr>
              <w:t>Indéterminée</w:t>
            </w:r>
          </w:p>
        </w:tc>
        <w:tc>
          <w:tcPr>
            <w:tcW w:w="874" w:type="pct"/>
          </w:tcPr>
          <w:p w14:paraId="4D4ACBDF" w14:textId="77777777" w:rsidR="00052F99" w:rsidRPr="004721CE" w:rsidRDefault="00052F99" w:rsidP="00052F99">
            <w:pPr>
              <w:pStyle w:val="TableTitle"/>
              <w:rPr>
                <w:rFonts w:cs="Segoe UI Semibold"/>
                <w:b w:val="0"/>
              </w:rPr>
            </w:pPr>
            <w:r w:rsidRPr="004721CE">
              <w:rPr>
                <w:rFonts w:cs="Segoe UI Semibold"/>
                <w:b w:val="0"/>
              </w:rPr>
              <w:t>Déterminée</w:t>
            </w:r>
          </w:p>
        </w:tc>
        <w:tc>
          <w:tcPr>
            <w:tcW w:w="962" w:type="pct"/>
          </w:tcPr>
          <w:p w14:paraId="497BFFF4" w14:textId="77777777" w:rsidR="00052F99" w:rsidRPr="004721CE" w:rsidRDefault="00052F99" w:rsidP="00052F99">
            <w:pPr>
              <w:pStyle w:val="TableTitle"/>
              <w:rPr>
                <w:rFonts w:cs="Segoe UI Semibold"/>
                <w:b w:val="0"/>
              </w:rPr>
            </w:pPr>
            <w:r w:rsidRPr="004721CE">
              <w:rPr>
                <w:rFonts w:cs="Segoe UI Semibold"/>
                <w:b w:val="0"/>
              </w:rPr>
              <w:t>Occasionnels</w:t>
            </w:r>
          </w:p>
        </w:tc>
        <w:tc>
          <w:tcPr>
            <w:tcW w:w="656" w:type="pct"/>
          </w:tcPr>
          <w:p w14:paraId="35171A98" w14:textId="77777777" w:rsidR="00052F99" w:rsidRPr="004721CE" w:rsidRDefault="00052F99" w:rsidP="00052F99">
            <w:pPr>
              <w:pStyle w:val="TableTitle"/>
              <w:rPr>
                <w:rFonts w:cs="Segoe UI Semibold"/>
                <w:b w:val="0"/>
              </w:rPr>
            </w:pPr>
            <w:r w:rsidRPr="004721CE">
              <w:rPr>
                <w:rFonts w:cs="Segoe UI Semibold"/>
                <w:b w:val="0"/>
              </w:rPr>
              <w:t>Étudiant</w:t>
            </w:r>
          </w:p>
        </w:tc>
        <w:tc>
          <w:tcPr>
            <w:tcW w:w="455" w:type="pct"/>
          </w:tcPr>
          <w:p w14:paraId="526402B9" w14:textId="77777777" w:rsidR="00052F99" w:rsidRPr="004721CE" w:rsidRDefault="00052F99" w:rsidP="00052F99">
            <w:pPr>
              <w:pStyle w:val="TableTitle"/>
              <w:rPr>
                <w:rFonts w:cs="Segoe UI Semibold"/>
                <w:b w:val="0"/>
              </w:rPr>
            </w:pPr>
            <w:r w:rsidRPr="004721CE">
              <w:rPr>
                <w:rFonts w:cs="Segoe UI Semibold"/>
                <w:b w:val="0"/>
              </w:rPr>
              <w:t>Total</w:t>
            </w:r>
          </w:p>
        </w:tc>
      </w:tr>
      <w:tr w:rsidR="00052F99" w:rsidRPr="002D39D0" w14:paraId="612AB8EE" w14:textId="77777777" w:rsidTr="00222D78">
        <w:trPr>
          <w:cantSplit/>
          <w:trHeight w:val="290"/>
          <w:tblHeader/>
          <w:jc w:val="center"/>
        </w:trPr>
        <w:tc>
          <w:tcPr>
            <w:tcW w:w="1078" w:type="pct"/>
          </w:tcPr>
          <w:p w14:paraId="03B46A7E" w14:textId="77777777" w:rsidR="00052F99" w:rsidRPr="002D39D0" w:rsidRDefault="00052F99" w:rsidP="00CD4C6D">
            <w:pPr>
              <w:autoSpaceDE w:val="0"/>
              <w:autoSpaceDN w:val="0"/>
              <w:adjustRightInd w:val="0"/>
              <w:rPr>
                <w:rFonts w:asciiTheme="minorHAnsi" w:hAnsiTheme="minorHAnsi" w:cstheme="minorHAnsi"/>
                <w:color w:val="000000"/>
                <w:sz w:val="22"/>
                <w:szCs w:val="24"/>
              </w:rPr>
            </w:pPr>
            <w:r w:rsidRPr="002D39D0">
              <w:rPr>
                <w:rFonts w:asciiTheme="minorHAnsi" w:hAnsiTheme="minorHAnsi" w:cstheme="minorHAnsi"/>
                <w:color w:val="000000"/>
                <w:sz w:val="22"/>
                <w:szCs w:val="24"/>
              </w:rPr>
              <w:t>Au 31 mars 2014</w:t>
            </w:r>
          </w:p>
        </w:tc>
        <w:tc>
          <w:tcPr>
            <w:tcW w:w="975" w:type="pct"/>
          </w:tcPr>
          <w:p w14:paraId="3B6606B1" w14:textId="77777777" w:rsidR="00052F99" w:rsidRPr="002D39D0" w:rsidRDefault="00052F99" w:rsidP="00052F99">
            <w:pPr>
              <w:autoSpaceDE w:val="0"/>
              <w:autoSpaceDN w:val="0"/>
              <w:adjustRightInd w:val="0"/>
              <w:jc w:val="center"/>
              <w:rPr>
                <w:rFonts w:asciiTheme="minorHAnsi" w:hAnsiTheme="minorHAnsi" w:cstheme="minorHAnsi"/>
                <w:color w:val="000000"/>
                <w:sz w:val="22"/>
                <w:szCs w:val="24"/>
              </w:rPr>
            </w:pPr>
            <w:r w:rsidRPr="002D39D0">
              <w:rPr>
                <w:rFonts w:asciiTheme="minorHAnsi" w:hAnsiTheme="minorHAnsi" w:cstheme="minorHAnsi"/>
                <w:color w:val="000000"/>
                <w:sz w:val="22"/>
                <w:szCs w:val="24"/>
              </w:rPr>
              <w:t>5 399</w:t>
            </w:r>
          </w:p>
        </w:tc>
        <w:tc>
          <w:tcPr>
            <w:tcW w:w="874" w:type="pct"/>
          </w:tcPr>
          <w:p w14:paraId="541B8081" w14:textId="77777777" w:rsidR="00052F99" w:rsidRPr="002D39D0" w:rsidRDefault="00052F99" w:rsidP="00052F99">
            <w:pPr>
              <w:autoSpaceDE w:val="0"/>
              <w:autoSpaceDN w:val="0"/>
              <w:adjustRightInd w:val="0"/>
              <w:jc w:val="center"/>
              <w:rPr>
                <w:rFonts w:asciiTheme="minorHAnsi" w:hAnsiTheme="minorHAnsi" w:cstheme="minorHAnsi"/>
                <w:color w:val="000000"/>
                <w:sz w:val="22"/>
                <w:szCs w:val="24"/>
              </w:rPr>
            </w:pPr>
            <w:r w:rsidRPr="002D39D0">
              <w:rPr>
                <w:rFonts w:asciiTheme="minorHAnsi" w:hAnsiTheme="minorHAnsi" w:cstheme="minorHAnsi"/>
                <w:color w:val="000000"/>
                <w:sz w:val="22"/>
                <w:szCs w:val="24"/>
              </w:rPr>
              <w:t>211</w:t>
            </w:r>
          </w:p>
        </w:tc>
        <w:tc>
          <w:tcPr>
            <w:tcW w:w="962" w:type="pct"/>
          </w:tcPr>
          <w:p w14:paraId="3E1DA44A" w14:textId="77777777" w:rsidR="00052F99" w:rsidRPr="002D39D0" w:rsidRDefault="00052F99" w:rsidP="00052F99">
            <w:pPr>
              <w:autoSpaceDE w:val="0"/>
              <w:autoSpaceDN w:val="0"/>
              <w:adjustRightInd w:val="0"/>
              <w:jc w:val="center"/>
              <w:rPr>
                <w:rFonts w:asciiTheme="minorHAnsi" w:hAnsiTheme="minorHAnsi" w:cstheme="minorHAnsi"/>
                <w:color w:val="000000"/>
                <w:sz w:val="22"/>
                <w:szCs w:val="24"/>
              </w:rPr>
            </w:pPr>
            <w:r w:rsidRPr="002D39D0">
              <w:rPr>
                <w:rFonts w:asciiTheme="minorHAnsi" w:hAnsiTheme="minorHAnsi" w:cstheme="minorHAnsi"/>
                <w:color w:val="000000"/>
                <w:sz w:val="22"/>
                <w:szCs w:val="24"/>
              </w:rPr>
              <w:t>260</w:t>
            </w:r>
          </w:p>
        </w:tc>
        <w:tc>
          <w:tcPr>
            <w:tcW w:w="656" w:type="pct"/>
          </w:tcPr>
          <w:p w14:paraId="1234730B" w14:textId="77777777" w:rsidR="00052F99" w:rsidRPr="002D39D0" w:rsidRDefault="00052F99" w:rsidP="00052F99">
            <w:pPr>
              <w:autoSpaceDE w:val="0"/>
              <w:autoSpaceDN w:val="0"/>
              <w:adjustRightInd w:val="0"/>
              <w:jc w:val="center"/>
              <w:rPr>
                <w:rFonts w:asciiTheme="minorHAnsi" w:hAnsiTheme="minorHAnsi" w:cstheme="minorHAnsi"/>
                <w:color w:val="000000"/>
                <w:sz w:val="22"/>
                <w:szCs w:val="24"/>
              </w:rPr>
            </w:pPr>
            <w:r w:rsidRPr="002D39D0">
              <w:rPr>
                <w:rFonts w:asciiTheme="minorHAnsi" w:hAnsiTheme="minorHAnsi" w:cstheme="minorHAnsi"/>
                <w:color w:val="000000"/>
                <w:sz w:val="22"/>
                <w:szCs w:val="24"/>
              </w:rPr>
              <w:t>136</w:t>
            </w:r>
          </w:p>
        </w:tc>
        <w:tc>
          <w:tcPr>
            <w:tcW w:w="455" w:type="pct"/>
          </w:tcPr>
          <w:p w14:paraId="012E1D67" w14:textId="77777777" w:rsidR="00052F99" w:rsidRPr="002D39D0" w:rsidRDefault="00052F99" w:rsidP="00052F99">
            <w:pPr>
              <w:autoSpaceDE w:val="0"/>
              <w:autoSpaceDN w:val="0"/>
              <w:adjustRightInd w:val="0"/>
              <w:jc w:val="center"/>
              <w:rPr>
                <w:rFonts w:asciiTheme="minorHAnsi" w:hAnsiTheme="minorHAnsi" w:cstheme="minorHAnsi"/>
                <w:color w:val="000000"/>
                <w:sz w:val="22"/>
                <w:szCs w:val="24"/>
              </w:rPr>
            </w:pPr>
            <w:r w:rsidRPr="002D39D0">
              <w:rPr>
                <w:rFonts w:asciiTheme="minorHAnsi" w:hAnsiTheme="minorHAnsi" w:cstheme="minorHAnsi"/>
                <w:color w:val="000000"/>
                <w:sz w:val="22"/>
                <w:szCs w:val="24"/>
              </w:rPr>
              <w:t>6 006</w:t>
            </w:r>
          </w:p>
        </w:tc>
      </w:tr>
      <w:tr w:rsidR="00052F99" w:rsidRPr="002D39D0" w14:paraId="66C4575D" w14:textId="77777777" w:rsidTr="00222D78">
        <w:trPr>
          <w:cantSplit/>
          <w:trHeight w:val="290"/>
          <w:tblHeader/>
          <w:jc w:val="center"/>
        </w:trPr>
        <w:tc>
          <w:tcPr>
            <w:tcW w:w="1078" w:type="pct"/>
          </w:tcPr>
          <w:p w14:paraId="3F056B5D" w14:textId="77777777" w:rsidR="00052F99" w:rsidRPr="002D39D0" w:rsidRDefault="00052F99" w:rsidP="00CD4C6D">
            <w:pPr>
              <w:autoSpaceDE w:val="0"/>
              <w:autoSpaceDN w:val="0"/>
              <w:adjustRightInd w:val="0"/>
              <w:rPr>
                <w:rFonts w:asciiTheme="minorHAnsi" w:hAnsiTheme="minorHAnsi" w:cstheme="minorHAnsi"/>
                <w:color w:val="000000"/>
                <w:sz w:val="22"/>
                <w:szCs w:val="24"/>
              </w:rPr>
            </w:pPr>
            <w:r w:rsidRPr="002D39D0">
              <w:rPr>
                <w:rFonts w:asciiTheme="minorHAnsi" w:hAnsiTheme="minorHAnsi" w:cstheme="minorHAnsi"/>
                <w:color w:val="000000"/>
                <w:sz w:val="22"/>
                <w:szCs w:val="24"/>
              </w:rPr>
              <w:t>Au 31 mars 2015</w:t>
            </w:r>
          </w:p>
        </w:tc>
        <w:tc>
          <w:tcPr>
            <w:tcW w:w="975" w:type="pct"/>
          </w:tcPr>
          <w:p w14:paraId="4DF4991D" w14:textId="77777777" w:rsidR="00052F99" w:rsidRPr="002D39D0" w:rsidRDefault="00052F99" w:rsidP="00052F99">
            <w:pPr>
              <w:autoSpaceDE w:val="0"/>
              <w:autoSpaceDN w:val="0"/>
              <w:adjustRightInd w:val="0"/>
              <w:jc w:val="center"/>
              <w:rPr>
                <w:rFonts w:asciiTheme="minorHAnsi" w:hAnsiTheme="minorHAnsi" w:cstheme="minorHAnsi"/>
                <w:color w:val="000000"/>
                <w:sz w:val="22"/>
                <w:szCs w:val="24"/>
              </w:rPr>
            </w:pPr>
            <w:r w:rsidRPr="002D39D0">
              <w:rPr>
                <w:rFonts w:asciiTheme="minorHAnsi" w:hAnsiTheme="minorHAnsi" w:cstheme="minorHAnsi"/>
                <w:color w:val="000000"/>
                <w:sz w:val="22"/>
                <w:szCs w:val="24"/>
              </w:rPr>
              <w:t>5 263</w:t>
            </w:r>
          </w:p>
        </w:tc>
        <w:tc>
          <w:tcPr>
            <w:tcW w:w="874" w:type="pct"/>
          </w:tcPr>
          <w:p w14:paraId="3BA2CE91" w14:textId="77777777" w:rsidR="00052F99" w:rsidRPr="002D39D0" w:rsidRDefault="00052F99" w:rsidP="00052F99">
            <w:pPr>
              <w:autoSpaceDE w:val="0"/>
              <w:autoSpaceDN w:val="0"/>
              <w:adjustRightInd w:val="0"/>
              <w:jc w:val="center"/>
              <w:rPr>
                <w:rFonts w:asciiTheme="minorHAnsi" w:hAnsiTheme="minorHAnsi" w:cstheme="minorHAnsi"/>
                <w:color w:val="000000"/>
                <w:sz w:val="22"/>
                <w:szCs w:val="24"/>
              </w:rPr>
            </w:pPr>
            <w:r w:rsidRPr="002D39D0">
              <w:rPr>
                <w:rFonts w:asciiTheme="minorHAnsi" w:hAnsiTheme="minorHAnsi" w:cstheme="minorHAnsi"/>
                <w:color w:val="000000"/>
                <w:sz w:val="22"/>
                <w:szCs w:val="24"/>
              </w:rPr>
              <w:t>251</w:t>
            </w:r>
          </w:p>
        </w:tc>
        <w:tc>
          <w:tcPr>
            <w:tcW w:w="962" w:type="pct"/>
          </w:tcPr>
          <w:p w14:paraId="6FDB7321" w14:textId="77777777" w:rsidR="00052F99" w:rsidRPr="002D39D0" w:rsidRDefault="00052F99" w:rsidP="00052F99">
            <w:pPr>
              <w:autoSpaceDE w:val="0"/>
              <w:autoSpaceDN w:val="0"/>
              <w:adjustRightInd w:val="0"/>
              <w:jc w:val="center"/>
              <w:rPr>
                <w:rFonts w:asciiTheme="minorHAnsi" w:hAnsiTheme="minorHAnsi" w:cstheme="minorHAnsi"/>
                <w:color w:val="000000"/>
                <w:sz w:val="22"/>
                <w:szCs w:val="24"/>
              </w:rPr>
            </w:pPr>
            <w:r w:rsidRPr="002D39D0">
              <w:rPr>
                <w:rFonts w:asciiTheme="minorHAnsi" w:hAnsiTheme="minorHAnsi" w:cstheme="minorHAnsi"/>
                <w:color w:val="000000"/>
                <w:sz w:val="22"/>
                <w:szCs w:val="24"/>
              </w:rPr>
              <w:t>296</w:t>
            </w:r>
          </w:p>
        </w:tc>
        <w:tc>
          <w:tcPr>
            <w:tcW w:w="656" w:type="pct"/>
          </w:tcPr>
          <w:p w14:paraId="50DCACC0" w14:textId="77777777" w:rsidR="00052F99" w:rsidRPr="002D39D0" w:rsidRDefault="00052F99" w:rsidP="00052F99">
            <w:pPr>
              <w:autoSpaceDE w:val="0"/>
              <w:autoSpaceDN w:val="0"/>
              <w:adjustRightInd w:val="0"/>
              <w:jc w:val="center"/>
              <w:rPr>
                <w:rFonts w:asciiTheme="minorHAnsi" w:hAnsiTheme="minorHAnsi" w:cstheme="minorHAnsi"/>
                <w:color w:val="000000"/>
                <w:sz w:val="22"/>
                <w:szCs w:val="24"/>
              </w:rPr>
            </w:pPr>
            <w:r w:rsidRPr="002D39D0">
              <w:rPr>
                <w:rFonts w:asciiTheme="minorHAnsi" w:hAnsiTheme="minorHAnsi" w:cstheme="minorHAnsi"/>
                <w:color w:val="000000"/>
                <w:sz w:val="22"/>
                <w:szCs w:val="24"/>
              </w:rPr>
              <w:t>143</w:t>
            </w:r>
          </w:p>
        </w:tc>
        <w:tc>
          <w:tcPr>
            <w:tcW w:w="455" w:type="pct"/>
          </w:tcPr>
          <w:p w14:paraId="3CDC3404" w14:textId="77777777" w:rsidR="00052F99" w:rsidRPr="002D39D0" w:rsidRDefault="00052F99" w:rsidP="00052F99">
            <w:pPr>
              <w:autoSpaceDE w:val="0"/>
              <w:autoSpaceDN w:val="0"/>
              <w:adjustRightInd w:val="0"/>
              <w:jc w:val="center"/>
              <w:rPr>
                <w:rFonts w:asciiTheme="minorHAnsi" w:hAnsiTheme="minorHAnsi" w:cstheme="minorHAnsi"/>
                <w:color w:val="000000"/>
                <w:sz w:val="22"/>
                <w:szCs w:val="24"/>
              </w:rPr>
            </w:pPr>
            <w:r w:rsidRPr="002D39D0">
              <w:rPr>
                <w:rFonts w:asciiTheme="minorHAnsi" w:hAnsiTheme="minorHAnsi" w:cstheme="minorHAnsi"/>
                <w:color w:val="000000"/>
                <w:sz w:val="22"/>
                <w:szCs w:val="24"/>
              </w:rPr>
              <w:t>5 953</w:t>
            </w:r>
          </w:p>
        </w:tc>
      </w:tr>
      <w:tr w:rsidR="00052F99" w:rsidRPr="002D39D0" w14:paraId="3AA071C1" w14:textId="77777777" w:rsidTr="00222D78">
        <w:trPr>
          <w:cantSplit/>
          <w:trHeight w:val="290"/>
          <w:tblHeader/>
          <w:jc w:val="center"/>
        </w:trPr>
        <w:tc>
          <w:tcPr>
            <w:tcW w:w="1078" w:type="pct"/>
          </w:tcPr>
          <w:p w14:paraId="155889CB" w14:textId="77777777" w:rsidR="00052F99" w:rsidRPr="002D39D0" w:rsidRDefault="00052F99" w:rsidP="00CD4C6D">
            <w:pPr>
              <w:autoSpaceDE w:val="0"/>
              <w:autoSpaceDN w:val="0"/>
              <w:adjustRightInd w:val="0"/>
              <w:rPr>
                <w:rFonts w:asciiTheme="minorHAnsi" w:hAnsiTheme="minorHAnsi" w:cstheme="minorHAnsi"/>
                <w:color w:val="000000"/>
                <w:sz w:val="22"/>
                <w:szCs w:val="24"/>
              </w:rPr>
            </w:pPr>
            <w:r w:rsidRPr="002D39D0">
              <w:rPr>
                <w:rFonts w:asciiTheme="minorHAnsi" w:hAnsiTheme="minorHAnsi" w:cstheme="minorHAnsi"/>
                <w:color w:val="000000"/>
                <w:sz w:val="22"/>
                <w:szCs w:val="24"/>
              </w:rPr>
              <w:t>Au 31 mars 2016</w:t>
            </w:r>
          </w:p>
        </w:tc>
        <w:tc>
          <w:tcPr>
            <w:tcW w:w="975" w:type="pct"/>
          </w:tcPr>
          <w:p w14:paraId="00AADFA8" w14:textId="77777777" w:rsidR="00052F99" w:rsidRPr="002D39D0" w:rsidRDefault="00052F99" w:rsidP="00052F99">
            <w:pPr>
              <w:autoSpaceDE w:val="0"/>
              <w:autoSpaceDN w:val="0"/>
              <w:adjustRightInd w:val="0"/>
              <w:jc w:val="center"/>
              <w:rPr>
                <w:rFonts w:asciiTheme="minorHAnsi" w:hAnsiTheme="minorHAnsi" w:cstheme="minorHAnsi"/>
                <w:color w:val="000000"/>
                <w:sz w:val="22"/>
                <w:szCs w:val="24"/>
              </w:rPr>
            </w:pPr>
            <w:r w:rsidRPr="002D39D0">
              <w:rPr>
                <w:rFonts w:asciiTheme="minorHAnsi" w:hAnsiTheme="minorHAnsi" w:cstheme="minorHAnsi"/>
                <w:color w:val="000000"/>
                <w:sz w:val="22"/>
                <w:szCs w:val="24"/>
              </w:rPr>
              <w:t>5 219</w:t>
            </w:r>
          </w:p>
        </w:tc>
        <w:tc>
          <w:tcPr>
            <w:tcW w:w="874" w:type="pct"/>
          </w:tcPr>
          <w:p w14:paraId="3652D845" w14:textId="77777777" w:rsidR="00052F99" w:rsidRPr="002D39D0" w:rsidRDefault="00052F99" w:rsidP="00052F99">
            <w:pPr>
              <w:autoSpaceDE w:val="0"/>
              <w:autoSpaceDN w:val="0"/>
              <w:adjustRightInd w:val="0"/>
              <w:jc w:val="center"/>
              <w:rPr>
                <w:rFonts w:asciiTheme="minorHAnsi" w:hAnsiTheme="minorHAnsi" w:cstheme="minorHAnsi"/>
                <w:color w:val="000000"/>
                <w:sz w:val="22"/>
                <w:szCs w:val="24"/>
              </w:rPr>
            </w:pPr>
            <w:r w:rsidRPr="002D39D0">
              <w:rPr>
                <w:rFonts w:asciiTheme="minorHAnsi" w:hAnsiTheme="minorHAnsi" w:cstheme="minorHAnsi"/>
                <w:color w:val="000000"/>
                <w:sz w:val="22"/>
                <w:szCs w:val="24"/>
              </w:rPr>
              <w:t>249</w:t>
            </w:r>
          </w:p>
        </w:tc>
        <w:tc>
          <w:tcPr>
            <w:tcW w:w="962" w:type="pct"/>
          </w:tcPr>
          <w:p w14:paraId="233F974D" w14:textId="77777777" w:rsidR="00052F99" w:rsidRPr="002D39D0" w:rsidRDefault="00052F99" w:rsidP="00052F99">
            <w:pPr>
              <w:autoSpaceDE w:val="0"/>
              <w:autoSpaceDN w:val="0"/>
              <w:adjustRightInd w:val="0"/>
              <w:jc w:val="center"/>
              <w:rPr>
                <w:rFonts w:asciiTheme="minorHAnsi" w:hAnsiTheme="minorHAnsi" w:cstheme="minorHAnsi"/>
                <w:color w:val="000000"/>
                <w:sz w:val="22"/>
                <w:szCs w:val="24"/>
              </w:rPr>
            </w:pPr>
            <w:r w:rsidRPr="002D39D0">
              <w:rPr>
                <w:rFonts w:asciiTheme="minorHAnsi" w:hAnsiTheme="minorHAnsi" w:cstheme="minorHAnsi"/>
                <w:color w:val="000000"/>
                <w:sz w:val="22"/>
                <w:szCs w:val="24"/>
              </w:rPr>
              <w:t>255</w:t>
            </w:r>
          </w:p>
        </w:tc>
        <w:tc>
          <w:tcPr>
            <w:tcW w:w="656" w:type="pct"/>
          </w:tcPr>
          <w:p w14:paraId="599C27CF" w14:textId="77777777" w:rsidR="00052F99" w:rsidRPr="002D39D0" w:rsidRDefault="00052F99" w:rsidP="00052F99">
            <w:pPr>
              <w:autoSpaceDE w:val="0"/>
              <w:autoSpaceDN w:val="0"/>
              <w:adjustRightInd w:val="0"/>
              <w:jc w:val="center"/>
              <w:rPr>
                <w:rFonts w:asciiTheme="minorHAnsi" w:hAnsiTheme="minorHAnsi" w:cstheme="minorHAnsi"/>
                <w:color w:val="000000"/>
                <w:sz w:val="22"/>
                <w:szCs w:val="24"/>
              </w:rPr>
            </w:pPr>
            <w:r w:rsidRPr="002D39D0">
              <w:rPr>
                <w:rFonts w:asciiTheme="minorHAnsi" w:hAnsiTheme="minorHAnsi" w:cstheme="minorHAnsi"/>
                <w:color w:val="000000"/>
                <w:sz w:val="22"/>
                <w:szCs w:val="24"/>
              </w:rPr>
              <w:t>158</w:t>
            </w:r>
          </w:p>
        </w:tc>
        <w:tc>
          <w:tcPr>
            <w:tcW w:w="455" w:type="pct"/>
          </w:tcPr>
          <w:p w14:paraId="56B00AF0" w14:textId="77777777" w:rsidR="00052F99" w:rsidRPr="002D39D0" w:rsidRDefault="00052F99" w:rsidP="00052F99">
            <w:pPr>
              <w:autoSpaceDE w:val="0"/>
              <w:autoSpaceDN w:val="0"/>
              <w:adjustRightInd w:val="0"/>
              <w:jc w:val="center"/>
              <w:rPr>
                <w:rFonts w:asciiTheme="minorHAnsi" w:hAnsiTheme="minorHAnsi" w:cstheme="minorHAnsi"/>
                <w:color w:val="000000"/>
                <w:sz w:val="22"/>
                <w:szCs w:val="24"/>
              </w:rPr>
            </w:pPr>
            <w:r w:rsidRPr="002D39D0">
              <w:rPr>
                <w:rFonts w:asciiTheme="minorHAnsi" w:hAnsiTheme="minorHAnsi" w:cstheme="minorHAnsi"/>
                <w:color w:val="000000"/>
                <w:sz w:val="22"/>
                <w:szCs w:val="24"/>
              </w:rPr>
              <w:t>5 881</w:t>
            </w:r>
          </w:p>
        </w:tc>
      </w:tr>
      <w:tr w:rsidR="00052F99" w:rsidRPr="002D39D0" w14:paraId="565A9A7D" w14:textId="77777777" w:rsidTr="00222D78">
        <w:trPr>
          <w:cantSplit/>
          <w:trHeight w:val="290"/>
          <w:tblHeader/>
          <w:jc w:val="center"/>
        </w:trPr>
        <w:tc>
          <w:tcPr>
            <w:tcW w:w="1078" w:type="pct"/>
          </w:tcPr>
          <w:p w14:paraId="3838C76A" w14:textId="77777777" w:rsidR="00052F99" w:rsidRPr="002D39D0" w:rsidRDefault="00052F99" w:rsidP="00CD4C6D">
            <w:pPr>
              <w:autoSpaceDE w:val="0"/>
              <w:autoSpaceDN w:val="0"/>
              <w:adjustRightInd w:val="0"/>
              <w:rPr>
                <w:rFonts w:asciiTheme="minorHAnsi" w:hAnsiTheme="minorHAnsi" w:cstheme="minorHAnsi"/>
                <w:color w:val="000000"/>
                <w:sz w:val="22"/>
                <w:szCs w:val="24"/>
              </w:rPr>
            </w:pPr>
            <w:r w:rsidRPr="002D39D0">
              <w:rPr>
                <w:rFonts w:asciiTheme="minorHAnsi" w:hAnsiTheme="minorHAnsi" w:cstheme="minorHAnsi"/>
                <w:color w:val="000000"/>
                <w:sz w:val="22"/>
                <w:szCs w:val="24"/>
              </w:rPr>
              <w:t>Au 31 mars 2017</w:t>
            </w:r>
          </w:p>
        </w:tc>
        <w:tc>
          <w:tcPr>
            <w:tcW w:w="975" w:type="pct"/>
          </w:tcPr>
          <w:p w14:paraId="7547003A" w14:textId="77777777" w:rsidR="00052F99" w:rsidRPr="002D39D0" w:rsidRDefault="00052F99" w:rsidP="00052F99">
            <w:pPr>
              <w:autoSpaceDE w:val="0"/>
              <w:autoSpaceDN w:val="0"/>
              <w:adjustRightInd w:val="0"/>
              <w:jc w:val="center"/>
              <w:rPr>
                <w:rFonts w:asciiTheme="minorHAnsi" w:hAnsiTheme="minorHAnsi" w:cstheme="minorHAnsi"/>
                <w:color w:val="000000"/>
                <w:sz w:val="22"/>
                <w:szCs w:val="24"/>
              </w:rPr>
            </w:pPr>
            <w:r w:rsidRPr="002D39D0">
              <w:rPr>
                <w:rFonts w:asciiTheme="minorHAnsi" w:hAnsiTheme="minorHAnsi" w:cstheme="minorHAnsi"/>
                <w:color w:val="000000"/>
                <w:sz w:val="22"/>
                <w:szCs w:val="24"/>
              </w:rPr>
              <w:t>5 339</w:t>
            </w:r>
          </w:p>
        </w:tc>
        <w:tc>
          <w:tcPr>
            <w:tcW w:w="874" w:type="pct"/>
          </w:tcPr>
          <w:p w14:paraId="3FE09F4A" w14:textId="77777777" w:rsidR="00052F99" w:rsidRPr="002D39D0" w:rsidRDefault="00052F99" w:rsidP="00052F99">
            <w:pPr>
              <w:autoSpaceDE w:val="0"/>
              <w:autoSpaceDN w:val="0"/>
              <w:adjustRightInd w:val="0"/>
              <w:jc w:val="center"/>
              <w:rPr>
                <w:rFonts w:asciiTheme="minorHAnsi" w:hAnsiTheme="minorHAnsi" w:cstheme="minorHAnsi"/>
                <w:color w:val="000000"/>
                <w:sz w:val="22"/>
                <w:szCs w:val="24"/>
              </w:rPr>
            </w:pPr>
            <w:r w:rsidRPr="002D39D0">
              <w:rPr>
                <w:rFonts w:asciiTheme="minorHAnsi" w:hAnsiTheme="minorHAnsi" w:cstheme="minorHAnsi"/>
                <w:color w:val="000000"/>
                <w:sz w:val="22"/>
                <w:szCs w:val="24"/>
              </w:rPr>
              <w:t>316</w:t>
            </w:r>
          </w:p>
        </w:tc>
        <w:tc>
          <w:tcPr>
            <w:tcW w:w="962" w:type="pct"/>
          </w:tcPr>
          <w:p w14:paraId="274BBB37" w14:textId="77777777" w:rsidR="00052F99" w:rsidRPr="002D39D0" w:rsidRDefault="00052F99" w:rsidP="00052F99">
            <w:pPr>
              <w:autoSpaceDE w:val="0"/>
              <w:autoSpaceDN w:val="0"/>
              <w:adjustRightInd w:val="0"/>
              <w:jc w:val="center"/>
              <w:rPr>
                <w:rFonts w:asciiTheme="minorHAnsi" w:hAnsiTheme="minorHAnsi" w:cstheme="minorHAnsi"/>
                <w:color w:val="000000"/>
                <w:sz w:val="22"/>
                <w:szCs w:val="24"/>
              </w:rPr>
            </w:pPr>
            <w:r w:rsidRPr="002D39D0">
              <w:rPr>
                <w:rFonts w:asciiTheme="minorHAnsi" w:hAnsiTheme="minorHAnsi" w:cstheme="minorHAnsi"/>
                <w:color w:val="000000"/>
                <w:sz w:val="22"/>
                <w:szCs w:val="24"/>
              </w:rPr>
              <w:t>297</w:t>
            </w:r>
          </w:p>
        </w:tc>
        <w:tc>
          <w:tcPr>
            <w:tcW w:w="656" w:type="pct"/>
          </w:tcPr>
          <w:p w14:paraId="1F5A04F3" w14:textId="77777777" w:rsidR="00052F99" w:rsidRPr="002D39D0" w:rsidRDefault="00052F99" w:rsidP="00052F99">
            <w:pPr>
              <w:autoSpaceDE w:val="0"/>
              <w:autoSpaceDN w:val="0"/>
              <w:adjustRightInd w:val="0"/>
              <w:jc w:val="center"/>
              <w:rPr>
                <w:rFonts w:asciiTheme="minorHAnsi" w:hAnsiTheme="minorHAnsi" w:cstheme="minorHAnsi"/>
                <w:color w:val="000000"/>
                <w:sz w:val="22"/>
                <w:szCs w:val="24"/>
              </w:rPr>
            </w:pPr>
            <w:r w:rsidRPr="002D39D0">
              <w:rPr>
                <w:rFonts w:asciiTheme="minorHAnsi" w:hAnsiTheme="minorHAnsi" w:cstheme="minorHAnsi"/>
                <w:color w:val="000000"/>
                <w:sz w:val="22"/>
                <w:szCs w:val="24"/>
              </w:rPr>
              <w:t>173</w:t>
            </w:r>
          </w:p>
        </w:tc>
        <w:tc>
          <w:tcPr>
            <w:tcW w:w="455" w:type="pct"/>
          </w:tcPr>
          <w:p w14:paraId="5B7C9B31" w14:textId="77777777" w:rsidR="00052F99" w:rsidRPr="002D39D0" w:rsidRDefault="00052F99" w:rsidP="00052F99">
            <w:pPr>
              <w:autoSpaceDE w:val="0"/>
              <w:autoSpaceDN w:val="0"/>
              <w:adjustRightInd w:val="0"/>
              <w:jc w:val="center"/>
              <w:rPr>
                <w:rFonts w:asciiTheme="minorHAnsi" w:hAnsiTheme="minorHAnsi" w:cstheme="minorHAnsi"/>
                <w:color w:val="000000"/>
                <w:sz w:val="22"/>
                <w:szCs w:val="24"/>
              </w:rPr>
            </w:pPr>
            <w:r w:rsidRPr="002D39D0">
              <w:rPr>
                <w:rFonts w:asciiTheme="minorHAnsi" w:hAnsiTheme="minorHAnsi" w:cstheme="minorHAnsi"/>
                <w:color w:val="000000"/>
                <w:sz w:val="22"/>
                <w:szCs w:val="24"/>
              </w:rPr>
              <w:t>6 125</w:t>
            </w:r>
          </w:p>
        </w:tc>
      </w:tr>
      <w:tr w:rsidR="00052F99" w:rsidRPr="002D39D0" w14:paraId="28711012" w14:textId="77777777" w:rsidTr="00222D78">
        <w:trPr>
          <w:cantSplit/>
          <w:trHeight w:val="290"/>
          <w:tblHeader/>
          <w:jc w:val="center"/>
        </w:trPr>
        <w:tc>
          <w:tcPr>
            <w:tcW w:w="1078" w:type="pct"/>
          </w:tcPr>
          <w:p w14:paraId="6CE598A1" w14:textId="77777777" w:rsidR="00052F99" w:rsidRPr="002D39D0" w:rsidRDefault="00052F99" w:rsidP="00CD4C6D">
            <w:pPr>
              <w:autoSpaceDE w:val="0"/>
              <w:autoSpaceDN w:val="0"/>
              <w:adjustRightInd w:val="0"/>
              <w:rPr>
                <w:rFonts w:asciiTheme="minorHAnsi" w:hAnsiTheme="minorHAnsi" w:cstheme="minorHAnsi"/>
                <w:color w:val="000000"/>
                <w:sz w:val="22"/>
                <w:szCs w:val="24"/>
              </w:rPr>
            </w:pPr>
            <w:r w:rsidRPr="002D39D0">
              <w:rPr>
                <w:rFonts w:asciiTheme="minorHAnsi" w:hAnsiTheme="minorHAnsi" w:cstheme="minorHAnsi"/>
                <w:color w:val="000000"/>
                <w:sz w:val="22"/>
                <w:szCs w:val="24"/>
              </w:rPr>
              <w:t>Au 31 mars 2018</w:t>
            </w:r>
          </w:p>
        </w:tc>
        <w:tc>
          <w:tcPr>
            <w:tcW w:w="975" w:type="pct"/>
          </w:tcPr>
          <w:p w14:paraId="3F1D55EB" w14:textId="77777777" w:rsidR="00052F99" w:rsidRPr="002D39D0" w:rsidRDefault="00052F99" w:rsidP="00052F99">
            <w:pPr>
              <w:autoSpaceDE w:val="0"/>
              <w:autoSpaceDN w:val="0"/>
              <w:adjustRightInd w:val="0"/>
              <w:jc w:val="center"/>
              <w:rPr>
                <w:rFonts w:asciiTheme="minorHAnsi" w:hAnsiTheme="minorHAnsi" w:cstheme="minorHAnsi"/>
                <w:color w:val="000000"/>
                <w:sz w:val="22"/>
                <w:szCs w:val="24"/>
              </w:rPr>
            </w:pPr>
            <w:r w:rsidRPr="002D39D0">
              <w:rPr>
                <w:rFonts w:asciiTheme="minorHAnsi" w:hAnsiTheme="minorHAnsi" w:cstheme="minorHAnsi"/>
                <w:color w:val="000000"/>
                <w:sz w:val="22"/>
                <w:szCs w:val="24"/>
              </w:rPr>
              <w:t>5 290</w:t>
            </w:r>
          </w:p>
        </w:tc>
        <w:tc>
          <w:tcPr>
            <w:tcW w:w="874" w:type="pct"/>
          </w:tcPr>
          <w:p w14:paraId="6375F4E8" w14:textId="77777777" w:rsidR="00052F99" w:rsidRPr="002D39D0" w:rsidRDefault="00052F99" w:rsidP="00052F99">
            <w:pPr>
              <w:autoSpaceDE w:val="0"/>
              <w:autoSpaceDN w:val="0"/>
              <w:adjustRightInd w:val="0"/>
              <w:jc w:val="center"/>
              <w:rPr>
                <w:rFonts w:asciiTheme="minorHAnsi" w:hAnsiTheme="minorHAnsi" w:cstheme="minorHAnsi"/>
                <w:color w:val="000000"/>
                <w:sz w:val="22"/>
                <w:szCs w:val="24"/>
              </w:rPr>
            </w:pPr>
            <w:r w:rsidRPr="002D39D0">
              <w:rPr>
                <w:rFonts w:asciiTheme="minorHAnsi" w:hAnsiTheme="minorHAnsi" w:cstheme="minorHAnsi"/>
                <w:color w:val="000000"/>
                <w:sz w:val="22"/>
                <w:szCs w:val="24"/>
              </w:rPr>
              <w:t>458</w:t>
            </w:r>
          </w:p>
        </w:tc>
        <w:tc>
          <w:tcPr>
            <w:tcW w:w="962" w:type="pct"/>
          </w:tcPr>
          <w:p w14:paraId="3F414EA2" w14:textId="77777777" w:rsidR="00052F99" w:rsidRPr="002D39D0" w:rsidRDefault="00052F99" w:rsidP="00052F99">
            <w:pPr>
              <w:autoSpaceDE w:val="0"/>
              <w:autoSpaceDN w:val="0"/>
              <w:adjustRightInd w:val="0"/>
              <w:jc w:val="center"/>
              <w:rPr>
                <w:rFonts w:asciiTheme="minorHAnsi" w:hAnsiTheme="minorHAnsi" w:cstheme="minorHAnsi"/>
                <w:color w:val="000000"/>
                <w:sz w:val="22"/>
                <w:szCs w:val="24"/>
              </w:rPr>
            </w:pPr>
            <w:r w:rsidRPr="002D39D0">
              <w:rPr>
                <w:rFonts w:asciiTheme="minorHAnsi" w:hAnsiTheme="minorHAnsi" w:cstheme="minorHAnsi"/>
                <w:color w:val="000000"/>
                <w:sz w:val="22"/>
                <w:szCs w:val="24"/>
              </w:rPr>
              <w:t>391</w:t>
            </w:r>
          </w:p>
        </w:tc>
        <w:tc>
          <w:tcPr>
            <w:tcW w:w="656" w:type="pct"/>
          </w:tcPr>
          <w:p w14:paraId="47727B56" w14:textId="77777777" w:rsidR="00052F99" w:rsidRPr="002D39D0" w:rsidRDefault="00052F99" w:rsidP="00052F99">
            <w:pPr>
              <w:autoSpaceDE w:val="0"/>
              <w:autoSpaceDN w:val="0"/>
              <w:adjustRightInd w:val="0"/>
              <w:jc w:val="center"/>
              <w:rPr>
                <w:rFonts w:asciiTheme="minorHAnsi" w:hAnsiTheme="minorHAnsi" w:cstheme="minorHAnsi"/>
                <w:color w:val="000000"/>
                <w:sz w:val="22"/>
                <w:szCs w:val="24"/>
              </w:rPr>
            </w:pPr>
            <w:r w:rsidRPr="002D39D0">
              <w:rPr>
                <w:rFonts w:asciiTheme="minorHAnsi" w:hAnsiTheme="minorHAnsi" w:cstheme="minorHAnsi"/>
                <w:color w:val="000000"/>
                <w:sz w:val="22"/>
                <w:szCs w:val="24"/>
              </w:rPr>
              <w:t>246</w:t>
            </w:r>
          </w:p>
        </w:tc>
        <w:tc>
          <w:tcPr>
            <w:tcW w:w="455" w:type="pct"/>
          </w:tcPr>
          <w:p w14:paraId="0DF26DF5" w14:textId="77777777" w:rsidR="00052F99" w:rsidRPr="002D39D0" w:rsidRDefault="00052F99" w:rsidP="00052F99">
            <w:pPr>
              <w:autoSpaceDE w:val="0"/>
              <w:autoSpaceDN w:val="0"/>
              <w:adjustRightInd w:val="0"/>
              <w:jc w:val="center"/>
              <w:rPr>
                <w:rFonts w:asciiTheme="minorHAnsi" w:hAnsiTheme="minorHAnsi" w:cstheme="minorHAnsi"/>
                <w:color w:val="000000"/>
                <w:sz w:val="22"/>
                <w:szCs w:val="24"/>
              </w:rPr>
            </w:pPr>
            <w:r w:rsidRPr="002D39D0">
              <w:rPr>
                <w:rFonts w:asciiTheme="minorHAnsi" w:hAnsiTheme="minorHAnsi" w:cstheme="minorHAnsi"/>
                <w:color w:val="000000"/>
                <w:sz w:val="22"/>
                <w:szCs w:val="24"/>
              </w:rPr>
              <w:t>6 385</w:t>
            </w:r>
          </w:p>
        </w:tc>
      </w:tr>
      <w:tr w:rsidR="00052F99" w:rsidRPr="002D39D0" w14:paraId="3E11E694" w14:textId="77777777" w:rsidTr="00222D78">
        <w:trPr>
          <w:cantSplit/>
          <w:trHeight w:val="290"/>
          <w:tblHeader/>
          <w:jc w:val="center"/>
        </w:trPr>
        <w:tc>
          <w:tcPr>
            <w:tcW w:w="1078" w:type="pct"/>
          </w:tcPr>
          <w:p w14:paraId="148241A2" w14:textId="77777777" w:rsidR="00052F99" w:rsidRPr="002D39D0" w:rsidRDefault="00052F99" w:rsidP="00CD4C6D">
            <w:pPr>
              <w:autoSpaceDE w:val="0"/>
              <w:autoSpaceDN w:val="0"/>
              <w:adjustRightInd w:val="0"/>
              <w:rPr>
                <w:rFonts w:asciiTheme="minorHAnsi" w:hAnsiTheme="minorHAnsi" w:cstheme="minorHAnsi"/>
                <w:color w:val="000000"/>
                <w:sz w:val="22"/>
                <w:szCs w:val="24"/>
              </w:rPr>
            </w:pPr>
            <w:r w:rsidRPr="002D39D0">
              <w:rPr>
                <w:rFonts w:asciiTheme="minorHAnsi" w:hAnsiTheme="minorHAnsi" w:cstheme="minorHAnsi"/>
                <w:color w:val="000000"/>
                <w:sz w:val="22"/>
                <w:szCs w:val="24"/>
              </w:rPr>
              <w:t>Au 31 mars 2019</w:t>
            </w:r>
          </w:p>
        </w:tc>
        <w:tc>
          <w:tcPr>
            <w:tcW w:w="975" w:type="pct"/>
          </w:tcPr>
          <w:p w14:paraId="641C9514" w14:textId="77777777" w:rsidR="00052F99" w:rsidRPr="002D39D0" w:rsidRDefault="00052F99" w:rsidP="00052F99">
            <w:pPr>
              <w:autoSpaceDE w:val="0"/>
              <w:autoSpaceDN w:val="0"/>
              <w:adjustRightInd w:val="0"/>
              <w:jc w:val="center"/>
              <w:rPr>
                <w:rFonts w:asciiTheme="minorHAnsi" w:hAnsiTheme="minorHAnsi" w:cstheme="minorHAnsi"/>
                <w:color w:val="000000"/>
                <w:sz w:val="22"/>
                <w:szCs w:val="24"/>
              </w:rPr>
            </w:pPr>
            <w:r w:rsidRPr="002D39D0">
              <w:rPr>
                <w:rFonts w:asciiTheme="minorHAnsi" w:hAnsiTheme="minorHAnsi" w:cstheme="minorHAnsi"/>
                <w:color w:val="000000"/>
                <w:sz w:val="22"/>
                <w:szCs w:val="24"/>
              </w:rPr>
              <w:t>5 408</w:t>
            </w:r>
          </w:p>
        </w:tc>
        <w:tc>
          <w:tcPr>
            <w:tcW w:w="874" w:type="pct"/>
          </w:tcPr>
          <w:p w14:paraId="37900711" w14:textId="77777777" w:rsidR="00052F99" w:rsidRPr="002D39D0" w:rsidRDefault="00052F99" w:rsidP="00052F99">
            <w:pPr>
              <w:autoSpaceDE w:val="0"/>
              <w:autoSpaceDN w:val="0"/>
              <w:adjustRightInd w:val="0"/>
              <w:jc w:val="center"/>
              <w:rPr>
                <w:rFonts w:asciiTheme="minorHAnsi" w:hAnsiTheme="minorHAnsi" w:cstheme="minorHAnsi"/>
                <w:color w:val="000000"/>
                <w:sz w:val="22"/>
                <w:szCs w:val="24"/>
              </w:rPr>
            </w:pPr>
            <w:r w:rsidRPr="002D39D0">
              <w:rPr>
                <w:rFonts w:asciiTheme="minorHAnsi" w:hAnsiTheme="minorHAnsi" w:cstheme="minorHAnsi"/>
                <w:color w:val="000000"/>
                <w:sz w:val="22"/>
                <w:szCs w:val="24"/>
              </w:rPr>
              <w:t>475</w:t>
            </w:r>
          </w:p>
        </w:tc>
        <w:tc>
          <w:tcPr>
            <w:tcW w:w="962" w:type="pct"/>
          </w:tcPr>
          <w:p w14:paraId="2B6BF91C" w14:textId="77777777" w:rsidR="00052F99" w:rsidRPr="002D39D0" w:rsidRDefault="00052F99" w:rsidP="00052F99">
            <w:pPr>
              <w:autoSpaceDE w:val="0"/>
              <w:autoSpaceDN w:val="0"/>
              <w:adjustRightInd w:val="0"/>
              <w:jc w:val="center"/>
              <w:rPr>
                <w:rFonts w:asciiTheme="minorHAnsi" w:hAnsiTheme="minorHAnsi" w:cstheme="minorHAnsi"/>
                <w:color w:val="000000"/>
                <w:sz w:val="22"/>
                <w:szCs w:val="24"/>
              </w:rPr>
            </w:pPr>
            <w:r w:rsidRPr="002D39D0">
              <w:rPr>
                <w:rFonts w:asciiTheme="minorHAnsi" w:hAnsiTheme="minorHAnsi" w:cstheme="minorHAnsi"/>
                <w:color w:val="000000"/>
                <w:sz w:val="22"/>
                <w:szCs w:val="24"/>
              </w:rPr>
              <w:t>396</w:t>
            </w:r>
          </w:p>
        </w:tc>
        <w:tc>
          <w:tcPr>
            <w:tcW w:w="656" w:type="pct"/>
          </w:tcPr>
          <w:p w14:paraId="68406A28" w14:textId="77777777" w:rsidR="00052F99" w:rsidRPr="002D39D0" w:rsidRDefault="00052F99" w:rsidP="00052F99">
            <w:pPr>
              <w:autoSpaceDE w:val="0"/>
              <w:autoSpaceDN w:val="0"/>
              <w:adjustRightInd w:val="0"/>
              <w:jc w:val="center"/>
              <w:rPr>
                <w:rFonts w:asciiTheme="minorHAnsi" w:hAnsiTheme="minorHAnsi" w:cstheme="minorHAnsi"/>
                <w:color w:val="000000"/>
                <w:sz w:val="22"/>
                <w:szCs w:val="24"/>
              </w:rPr>
            </w:pPr>
            <w:r w:rsidRPr="002D39D0">
              <w:rPr>
                <w:rFonts w:asciiTheme="minorHAnsi" w:hAnsiTheme="minorHAnsi" w:cstheme="minorHAnsi"/>
                <w:color w:val="000000"/>
                <w:sz w:val="22"/>
                <w:szCs w:val="24"/>
              </w:rPr>
              <w:t>277</w:t>
            </w:r>
          </w:p>
        </w:tc>
        <w:tc>
          <w:tcPr>
            <w:tcW w:w="455" w:type="pct"/>
          </w:tcPr>
          <w:p w14:paraId="0A356936" w14:textId="77777777" w:rsidR="00052F99" w:rsidRPr="002D39D0" w:rsidRDefault="00052F99" w:rsidP="00052F99">
            <w:pPr>
              <w:autoSpaceDE w:val="0"/>
              <w:autoSpaceDN w:val="0"/>
              <w:adjustRightInd w:val="0"/>
              <w:jc w:val="center"/>
              <w:rPr>
                <w:rFonts w:asciiTheme="minorHAnsi" w:hAnsiTheme="minorHAnsi" w:cstheme="minorHAnsi"/>
                <w:color w:val="000000"/>
                <w:sz w:val="22"/>
                <w:szCs w:val="24"/>
              </w:rPr>
            </w:pPr>
            <w:r w:rsidRPr="002D39D0">
              <w:rPr>
                <w:rFonts w:asciiTheme="minorHAnsi" w:hAnsiTheme="minorHAnsi" w:cstheme="minorHAnsi"/>
                <w:color w:val="000000"/>
                <w:sz w:val="22"/>
                <w:szCs w:val="24"/>
              </w:rPr>
              <w:t>6 556</w:t>
            </w:r>
          </w:p>
        </w:tc>
      </w:tr>
    </w:tbl>
    <w:p w14:paraId="4FC78AD0" w14:textId="77777777" w:rsidR="00052F99" w:rsidRPr="002D39D0" w:rsidRDefault="00052F99" w:rsidP="00813771">
      <w:pPr>
        <w:tabs>
          <w:tab w:val="left" w:pos="7839"/>
        </w:tabs>
        <w:jc w:val="center"/>
        <w:rPr>
          <w:rFonts w:asciiTheme="minorHAnsi" w:hAnsiTheme="minorHAnsi" w:cstheme="minorHAnsi"/>
          <w:b/>
          <w:sz w:val="18"/>
          <w:szCs w:val="18"/>
        </w:rPr>
      </w:pPr>
    </w:p>
    <w:p w14:paraId="35253F9B" w14:textId="77777777" w:rsidR="00DD662D" w:rsidRPr="002D39D0" w:rsidRDefault="00DD662D" w:rsidP="00DD662D">
      <w:pPr>
        <w:pStyle w:val="Heading1"/>
        <w:spacing w:before="120" w:after="120"/>
        <w:rPr>
          <w:sz w:val="40"/>
        </w:rPr>
      </w:pPr>
      <w:r w:rsidRPr="002D39D0">
        <w:rPr>
          <w:sz w:val="40"/>
        </w:rPr>
        <w:lastRenderedPageBreak/>
        <w:t>Population selon le profil linguistique au 31 mars 2019</w:t>
      </w:r>
    </w:p>
    <w:p w14:paraId="7105E251" w14:textId="77777777" w:rsidR="00650BCD" w:rsidRPr="002D39D0" w:rsidRDefault="004D53A0" w:rsidP="00650BCD">
      <w:pPr>
        <w:keepNext/>
        <w:tabs>
          <w:tab w:val="left" w:pos="7839"/>
        </w:tabs>
        <w:jc w:val="center"/>
      </w:pPr>
      <w:r w:rsidRPr="007C1E3E">
        <w:rPr>
          <w:rStyle w:val="Strong"/>
          <w:noProof/>
          <w:lang w:val="en-CA" w:eastAsia="en-CA"/>
        </w:rPr>
        <w:drawing>
          <wp:inline distT="0" distB="0" distL="0" distR="0" wp14:anchorId="506164AC" wp14:editId="4360093A">
            <wp:extent cx="1980000" cy="3020400"/>
            <wp:effectExtent l="0" t="0" r="1270" b="8890"/>
            <wp:docPr id="18" name="Chart 18" descr="Population selon le profil linguistique au 31 mars 2019 "/>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09C8226F" w14:textId="77777777" w:rsidR="004D53A0" w:rsidRPr="002D39D0" w:rsidRDefault="00650BCD" w:rsidP="007C1E3E">
      <w:pPr>
        <w:pStyle w:val="Caption"/>
        <w:spacing w:after="0"/>
        <w:jc w:val="center"/>
        <w:rPr>
          <w:rFonts w:asciiTheme="minorHAnsi" w:hAnsiTheme="minorHAnsi" w:cstheme="minorHAnsi"/>
          <w:b/>
          <w:i w:val="0"/>
          <w:color w:val="auto"/>
        </w:rPr>
      </w:pPr>
      <w:r w:rsidRPr="002D39D0">
        <w:rPr>
          <w:rFonts w:asciiTheme="minorHAnsi" w:hAnsiTheme="minorHAnsi" w:cstheme="minorHAnsi"/>
          <w:i w:val="0"/>
          <w:color w:val="auto"/>
        </w:rPr>
        <w:t xml:space="preserve">Figure </w:t>
      </w:r>
      <w:r w:rsidRPr="006C61AE">
        <w:rPr>
          <w:rFonts w:asciiTheme="minorHAnsi" w:hAnsiTheme="minorHAnsi" w:cstheme="minorHAnsi"/>
          <w:i w:val="0"/>
          <w:color w:val="auto"/>
        </w:rPr>
        <w:fldChar w:fldCharType="begin"/>
      </w:r>
      <w:r w:rsidRPr="002D39D0">
        <w:rPr>
          <w:rFonts w:asciiTheme="minorHAnsi" w:hAnsiTheme="minorHAnsi" w:cstheme="minorHAnsi"/>
          <w:i w:val="0"/>
          <w:color w:val="auto"/>
        </w:rPr>
        <w:instrText xml:space="preserve"> SEQ Figure \* ARABIC </w:instrText>
      </w:r>
      <w:r w:rsidRPr="006C61AE">
        <w:rPr>
          <w:rFonts w:asciiTheme="minorHAnsi" w:hAnsiTheme="minorHAnsi" w:cstheme="minorHAnsi"/>
          <w:i w:val="0"/>
          <w:color w:val="auto"/>
        </w:rPr>
        <w:fldChar w:fldCharType="separate"/>
      </w:r>
      <w:r w:rsidR="00DE5258" w:rsidRPr="002D39D0">
        <w:rPr>
          <w:rFonts w:asciiTheme="minorHAnsi" w:hAnsiTheme="minorHAnsi" w:cstheme="minorHAnsi"/>
          <w:i w:val="0"/>
          <w:noProof/>
          <w:color w:val="auto"/>
        </w:rPr>
        <w:t>2</w:t>
      </w:r>
      <w:r w:rsidRPr="006C61AE">
        <w:rPr>
          <w:rFonts w:asciiTheme="minorHAnsi" w:hAnsiTheme="minorHAnsi" w:cstheme="minorHAnsi"/>
          <w:i w:val="0"/>
          <w:color w:val="auto"/>
        </w:rPr>
        <w:fldChar w:fldCharType="end"/>
      </w:r>
      <w:r w:rsidRPr="002D39D0">
        <w:rPr>
          <w:rFonts w:asciiTheme="minorHAnsi" w:hAnsiTheme="minorHAnsi" w:cstheme="minorHAnsi"/>
          <w:i w:val="0"/>
          <w:color w:val="auto"/>
        </w:rPr>
        <w:t xml:space="preserve"> - Population selon le profil linguistique au 31 mars 2019</w:t>
      </w:r>
    </w:p>
    <w:p w14:paraId="5DDDAA1B" w14:textId="39743442" w:rsidR="00650BCD" w:rsidRPr="002D39D0" w:rsidRDefault="00650BCD" w:rsidP="007C1E3E">
      <w:pPr>
        <w:pStyle w:val="Caption"/>
        <w:keepNext/>
        <w:spacing w:before="240" w:after="0"/>
        <w:jc w:val="center"/>
        <w:rPr>
          <w:rFonts w:asciiTheme="minorHAnsi" w:hAnsiTheme="minorHAnsi" w:cstheme="minorHAnsi"/>
          <w:i w:val="0"/>
          <w:color w:val="auto"/>
        </w:rPr>
      </w:pPr>
      <w:r w:rsidRPr="002D39D0">
        <w:rPr>
          <w:rFonts w:asciiTheme="minorHAnsi" w:hAnsiTheme="minorHAnsi" w:cstheme="minorHAnsi"/>
          <w:i w:val="0"/>
          <w:color w:val="auto"/>
        </w:rPr>
        <w:t xml:space="preserve">Table </w:t>
      </w:r>
      <w:r w:rsidRPr="006C61AE">
        <w:rPr>
          <w:rFonts w:asciiTheme="minorHAnsi" w:hAnsiTheme="minorHAnsi" w:cstheme="minorHAnsi"/>
          <w:i w:val="0"/>
          <w:color w:val="auto"/>
        </w:rPr>
        <w:fldChar w:fldCharType="begin"/>
      </w:r>
      <w:r w:rsidRPr="002D39D0">
        <w:rPr>
          <w:rFonts w:asciiTheme="minorHAnsi" w:hAnsiTheme="minorHAnsi" w:cstheme="minorHAnsi"/>
          <w:i w:val="0"/>
          <w:color w:val="auto"/>
        </w:rPr>
        <w:instrText xml:space="preserve"> SEQ Table \* ARABIC </w:instrText>
      </w:r>
      <w:r w:rsidRPr="006C61AE">
        <w:rPr>
          <w:rFonts w:asciiTheme="minorHAnsi" w:hAnsiTheme="minorHAnsi" w:cstheme="minorHAnsi"/>
          <w:i w:val="0"/>
          <w:color w:val="auto"/>
        </w:rPr>
        <w:fldChar w:fldCharType="separate"/>
      </w:r>
      <w:r w:rsidR="00C42F1B" w:rsidRPr="002D39D0">
        <w:rPr>
          <w:rFonts w:asciiTheme="minorHAnsi" w:hAnsiTheme="minorHAnsi" w:cstheme="minorHAnsi"/>
          <w:i w:val="0"/>
          <w:noProof/>
          <w:color w:val="auto"/>
        </w:rPr>
        <w:t>7</w:t>
      </w:r>
      <w:r w:rsidRPr="006C61AE">
        <w:rPr>
          <w:rFonts w:asciiTheme="minorHAnsi" w:hAnsiTheme="minorHAnsi" w:cstheme="minorHAnsi"/>
          <w:i w:val="0"/>
          <w:color w:val="auto"/>
        </w:rPr>
        <w:fldChar w:fldCharType="end"/>
      </w:r>
      <w:r w:rsidRPr="002D39D0">
        <w:rPr>
          <w:rFonts w:asciiTheme="minorHAnsi" w:hAnsiTheme="minorHAnsi" w:cstheme="minorHAnsi"/>
          <w:i w:val="0"/>
          <w:color w:val="auto"/>
        </w:rPr>
        <w:t xml:space="preserve"> - Effectif régi par la </w:t>
      </w:r>
      <w:r w:rsidRPr="004721CE">
        <w:rPr>
          <w:rStyle w:val="Emphasis"/>
          <w:i/>
          <w:sz w:val="18"/>
        </w:rPr>
        <w:t>Loi sur l’emploi dans la fonction publique</w:t>
      </w:r>
      <w:r w:rsidRPr="004721CE">
        <w:rPr>
          <w:rFonts w:asciiTheme="minorHAnsi" w:hAnsiTheme="minorHAnsi" w:cstheme="minorHAnsi"/>
          <w:i w:val="0"/>
          <w:color w:val="auto"/>
          <w:sz w:val="14"/>
        </w:rPr>
        <w:t xml:space="preserve"> </w:t>
      </w:r>
      <w:r w:rsidRPr="002D39D0">
        <w:rPr>
          <w:rFonts w:asciiTheme="minorHAnsi" w:hAnsiTheme="minorHAnsi" w:cstheme="minorHAnsi"/>
          <w:i w:val="0"/>
          <w:color w:val="auto"/>
        </w:rPr>
        <w:t>selon le profil linguistique au 31 mars 2019</w:t>
      </w:r>
    </w:p>
    <w:tbl>
      <w:tblPr>
        <w:tblStyle w:val="TableGrid"/>
        <w:tblW w:w="5000" w:type="pct"/>
        <w:jc w:val="center"/>
        <w:tblLook w:val="0020" w:firstRow="1" w:lastRow="0" w:firstColumn="0" w:lastColumn="0" w:noHBand="0" w:noVBand="0"/>
        <w:tblDescription w:val="Effectif selon les exigences linguistiques au 31 mars 2019"/>
      </w:tblPr>
      <w:tblGrid>
        <w:gridCol w:w="3197"/>
        <w:gridCol w:w="5444"/>
        <w:gridCol w:w="5829"/>
      </w:tblGrid>
      <w:tr w:rsidR="00650BCD" w:rsidRPr="004721CE" w14:paraId="146C6005" w14:textId="77777777" w:rsidTr="00222D78">
        <w:trPr>
          <w:cantSplit/>
          <w:trHeight w:val="290"/>
          <w:tblHeader/>
          <w:jc w:val="center"/>
        </w:trPr>
        <w:tc>
          <w:tcPr>
            <w:tcW w:w="1105" w:type="pct"/>
          </w:tcPr>
          <w:p w14:paraId="1BD3A6FA" w14:textId="77777777" w:rsidR="00650BCD" w:rsidRPr="004721CE" w:rsidRDefault="00650BCD" w:rsidP="00517044">
            <w:pPr>
              <w:pStyle w:val="TableTitle"/>
              <w:rPr>
                <w:b w:val="0"/>
              </w:rPr>
            </w:pPr>
            <w:r w:rsidRPr="004721CE">
              <w:rPr>
                <w:b w:val="0"/>
              </w:rPr>
              <w:t xml:space="preserve">Profil linguistique  </w:t>
            </w:r>
          </w:p>
        </w:tc>
        <w:tc>
          <w:tcPr>
            <w:tcW w:w="1881" w:type="pct"/>
          </w:tcPr>
          <w:p w14:paraId="21B97E25" w14:textId="77777777" w:rsidR="00650BCD" w:rsidRPr="004721CE" w:rsidRDefault="00650BCD" w:rsidP="00517044">
            <w:pPr>
              <w:pStyle w:val="TableTitle"/>
              <w:rPr>
                <w:b w:val="0"/>
              </w:rPr>
            </w:pPr>
            <w:r w:rsidRPr="004721CE">
              <w:rPr>
                <w:b w:val="0"/>
              </w:rPr>
              <w:t>Effectif au 31 mars 2019</w:t>
            </w:r>
          </w:p>
        </w:tc>
        <w:tc>
          <w:tcPr>
            <w:tcW w:w="2014" w:type="pct"/>
          </w:tcPr>
          <w:p w14:paraId="64290331" w14:textId="77777777" w:rsidR="00650BCD" w:rsidRPr="004721CE" w:rsidRDefault="00650BCD" w:rsidP="00517044">
            <w:pPr>
              <w:pStyle w:val="TableTitle"/>
              <w:rPr>
                <w:b w:val="0"/>
              </w:rPr>
            </w:pPr>
            <w:r w:rsidRPr="004721CE">
              <w:rPr>
                <w:b w:val="0"/>
              </w:rPr>
              <w:t>Pourcentage de l'effectif au 31 mars 2019</w:t>
            </w:r>
          </w:p>
        </w:tc>
      </w:tr>
      <w:tr w:rsidR="00650BCD" w:rsidRPr="002D39D0" w14:paraId="387C13B7" w14:textId="77777777" w:rsidTr="00222D78">
        <w:trPr>
          <w:cantSplit/>
          <w:trHeight w:val="290"/>
          <w:tblHeader/>
          <w:jc w:val="center"/>
        </w:trPr>
        <w:tc>
          <w:tcPr>
            <w:tcW w:w="1105" w:type="pct"/>
          </w:tcPr>
          <w:p w14:paraId="1CAC64E7" w14:textId="77777777" w:rsidR="00650BCD" w:rsidRPr="002D39D0" w:rsidRDefault="00650BCD" w:rsidP="000F48C6">
            <w:pPr>
              <w:autoSpaceDE w:val="0"/>
              <w:autoSpaceDN w:val="0"/>
              <w:adjustRightInd w:val="0"/>
              <w:rPr>
                <w:rFonts w:asciiTheme="minorHAnsi" w:hAnsiTheme="minorHAnsi" w:cstheme="minorHAnsi"/>
                <w:color w:val="000000"/>
                <w:sz w:val="22"/>
                <w:szCs w:val="24"/>
              </w:rPr>
            </w:pPr>
            <w:r w:rsidRPr="002D39D0">
              <w:rPr>
                <w:rFonts w:asciiTheme="minorHAnsi" w:hAnsiTheme="minorHAnsi" w:cstheme="minorHAnsi"/>
                <w:color w:val="000000"/>
                <w:sz w:val="22"/>
                <w:szCs w:val="24"/>
              </w:rPr>
              <w:t xml:space="preserve">Bilingue </w:t>
            </w:r>
          </w:p>
        </w:tc>
        <w:tc>
          <w:tcPr>
            <w:tcW w:w="1881" w:type="pct"/>
            <w:shd w:val="clear" w:color="auto" w:fill="auto"/>
          </w:tcPr>
          <w:p w14:paraId="1CA7B787" w14:textId="77777777" w:rsidR="00650BCD" w:rsidRPr="002D39D0" w:rsidRDefault="00650BCD" w:rsidP="000F48C6">
            <w:pPr>
              <w:autoSpaceDE w:val="0"/>
              <w:autoSpaceDN w:val="0"/>
              <w:adjustRightInd w:val="0"/>
              <w:jc w:val="center"/>
              <w:rPr>
                <w:rFonts w:asciiTheme="minorHAnsi" w:hAnsiTheme="minorHAnsi" w:cstheme="minorHAnsi"/>
                <w:color w:val="000000"/>
                <w:sz w:val="22"/>
                <w:szCs w:val="24"/>
              </w:rPr>
            </w:pPr>
            <w:r w:rsidRPr="002D39D0">
              <w:rPr>
                <w:rFonts w:asciiTheme="minorHAnsi" w:hAnsiTheme="minorHAnsi" w:cstheme="minorHAnsi"/>
                <w:color w:val="000000"/>
                <w:sz w:val="22"/>
                <w:szCs w:val="24"/>
              </w:rPr>
              <w:t>2 942</w:t>
            </w:r>
          </w:p>
        </w:tc>
        <w:tc>
          <w:tcPr>
            <w:tcW w:w="2014" w:type="pct"/>
            <w:shd w:val="clear" w:color="auto" w:fill="auto"/>
          </w:tcPr>
          <w:p w14:paraId="69388610" w14:textId="03DE837D" w:rsidR="00650BCD" w:rsidRPr="002D39D0" w:rsidRDefault="00650BCD" w:rsidP="000F48C6">
            <w:pPr>
              <w:autoSpaceDE w:val="0"/>
              <w:autoSpaceDN w:val="0"/>
              <w:adjustRightInd w:val="0"/>
              <w:jc w:val="center"/>
              <w:rPr>
                <w:rFonts w:asciiTheme="minorHAnsi" w:hAnsiTheme="minorHAnsi" w:cstheme="minorHAnsi"/>
                <w:color w:val="000000"/>
                <w:sz w:val="22"/>
                <w:szCs w:val="24"/>
              </w:rPr>
            </w:pPr>
            <w:r w:rsidRPr="002D39D0">
              <w:rPr>
                <w:rFonts w:asciiTheme="minorHAnsi" w:hAnsiTheme="minorHAnsi" w:cstheme="minorHAnsi"/>
                <w:color w:val="000000"/>
                <w:sz w:val="22"/>
                <w:szCs w:val="24"/>
              </w:rPr>
              <w:t>82</w:t>
            </w:r>
            <w:r w:rsidR="00A46950">
              <w:rPr>
                <w:rFonts w:asciiTheme="minorHAnsi" w:hAnsiTheme="minorHAnsi" w:cstheme="minorHAnsi"/>
                <w:color w:val="000000"/>
                <w:sz w:val="22"/>
                <w:szCs w:val="24"/>
              </w:rPr>
              <w:t xml:space="preserve"> </w:t>
            </w:r>
            <w:r w:rsidRPr="002D39D0">
              <w:rPr>
                <w:rFonts w:asciiTheme="minorHAnsi" w:hAnsiTheme="minorHAnsi" w:cstheme="minorHAnsi"/>
                <w:color w:val="000000"/>
                <w:sz w:val="22"/>
                <w:szCs w:val="24"/>
              </w:rPr>
              <w:t>%</w:t>
            </w:r>
          </w:p>
        </w:tc>
      </w:tr>
      <w:tr w:rsidR="00650BCD" w:rsidRPr="002D39D0" w14:paraId="71AAE47C" w14:textId="77777777" w:rsidTr="00222D78">
        <w:trPr>
          <w:cantSplit/>
          <w:trHeight w:val="290"/>
          <w:tblHeader/>
          <w:jc w:val="center"/>
        </w:trPr>
        <w:tc>
          <w:tcPr>
            <w:tcW w:w="1105" w:type="pct"/>
          </w:tcPr>
          <w:p w14:paraId="0B0D2FA5" w14:textId="77777777" w:rsidR="00650BCD" w:rsidRPr="002D39D0" w:rsidRDefault="00650BCD" w:rsidP="000F48C6">
            <w:pPr>
              <w:autoSpaceDE w:val="0"/>
              <w:autoSpaceDN w:val="0"/>
              <w:adjustRightInd w:val="0"/>
              <w:rPr>
                <w:rFonts w:asciiTheme="minorHAnsi" w:hAnsiTheme="minorHAnsi" w:cstheme="minorHAnsi"/>
                <w:color w:val="000000"/>
                <w:sz w:val="22"/>
                <w:szCs w:val="24"/>
              </w:rPr>
            </w:pPr>
            <w:r w:rsidRPr="002D39D0">
              <w:rPr>
                <w:rFonts w:asciiTheme="minorHAnsi" w:hAnsiTheme="minorHAnsi" w:cstheme="minorHAnsi"/>
                <w:color w:val="000000"/>
                <w:sz w:val="22"/>
                <w:szCs w:val="24"/>
              </w:rPr>
              <w:t>Unilingue</w:t>
            </w:r>
          </w:p>
        </w:tc>
        <w:tc>
          <w:tcPr>
            <w:tcW w:w="1881" w:type="pct"/>
            <w:shd w:val="clear" w:color="auto" w:fill="auto"/>
          </w:tcPr>
          <w:p w14:paraId="13E99074" w14:textId="77777777" w:rsidR="00650BCD" w:rsidRPr="002D39D0" w:rsidRDefault="00650BCD" w:rsidP="000F48C6">
            <w:pPr>
              <w:autoSpaceDE w:val="0"/>
              <w:autoSpaceDN w:val="0"/>
              <w:adjustRightInd w:val="0"/>
              <w:jc w:val="center"/>
              <w:rPr>
                <w:rFonts w:asciiTheme="minorHAnsi" w:hAnsiTheme="minorHAnsi" w:cstheme="minorHAnsi"/>
                <w:color w:val="000000"/>
                <w:sz w:val="22"/>
                <w:szCs w:val="24"/>
              </w:rPr>
            </w:pPr>
            <w:r w:rsidRPr="002D39D0">
              <w:rPr>
                <w:rFonts w:asciiTheme="minorHAnsi" w:hAnsiTheme="minorHAnsi" w:cstheme="minorHAnsi"/>
                <w:color w:val="000000"/>
                <w:sz w:val="22"/>
                <w:szCs w:val="24"/>
              </w:rPr>
              <w:t>650</w:t>
            </w:r>
          </w:p>
        </w:tc>
        <w:tc>
          <w:tcPr>
            <w:tcW w:w="2014" w:type="pct"/>
            <w:shd w:val="clear" w:color="auto" w:fill="auto"/>
          </w:tcPr>
          <w:p w14:paraId="02577EDF" w14:textId="2794E8BF" w:rsidR="00650BCD" w:rsidRPr="002D39D0" w:rsidRDefault="00650BCD" w:rsidP="000F48C6">
            <w:pPr>
              <w:autoSpaceDE w:val="0"/>
              <w:autoSpaceDN w:val="0"/>
              <w:adjustRightInd w:val="0"/>
              <w:jc w:val="center"/>
              <w:rPr>
                <w:rFonts w:asciiTheme="minorHAnsi" w:hAnsiTheme="minorHAnsi" w:cstheme="minorHAnsi"/>
                <w:color w:val="000000"/>
                <w:sz w:val="22"/>
                <w:szCs w:val="24"/>
              </w:rPr>
            </w:pPr>
            <w:r w:rsidRPr="002D39D0">
              <w:rPr>
                <w:rFonts w:asciiTheme="minorHAnsi" w:hAnsiTheme="minorHAnsi" w:cstheme="minorHAnsi"/>
                <w:color w:val="000000"/>
                <w:sz w:val="22"/>
                <w:szCs w:val="24"/>
              </w:rPr>
              <w:t>18</w:t>
            </w:r>
            <w:r w:rsidR="00A46950">
              <w:rPr>
                <w:rFonts w:asciiTheme="minorHAnsi" w:hAnsiTheme="minorHAnsi" w:cstheme="minorHAnsi"/>
                <w:color w:val="000000"/>
                <w:sz w:val="22"/>
                <w:szCs w:val="24"/>
              </w:rPr>
              <w:t xml:space="preserve"> </w:t>
            </w:r>
            <w:r w:rsidRPr="002D39D0">
              <w:rPr>
                <w:rFonts w:asciiTheme="minorHAnsi" w:hAnsiTheme="minorHAnsi" w:cstheme="minorHAnsi"/>
                <w:color w:val="000000"/>
                <w:sz w:val="22"/>
                <w:szCs w:val="24"/>
              </w:rPr>
              <w:t>%</w:t>
            </w:r>
          </w:p>
        </w:tc>
      </w:tr>
      <w:tr w:rsidR="00650BCD" w:rsidRPr="002D39D0" w14:paraId="619E8A12" w14:textId="77777777" w:rsidTr="00222D78">
        <w:trPr>
          <w:cantSplit/>
          <w:trHeight w:val="290"/>
          <w:tblHeader/>
          <w:jc w:val="center"/>
        </w:trPr>
        <w:tc>
          <w:tcPr>
            <w:tcW w:w="1105" w:type="pct"/>
          </w:tcPr>
          <w:p w14:paraId="440C6116" w14:textId="77777777" w:rsidR="00650BCD" w:rsidRPr="002D39D0" w:rsidRDefault="00650BCD" w:rsidP="000F48C6">
            <w:pPr>
              <w:autoSpaceDE w:val="0"/>
              <w:autoSpaceDN w:val="0"/>
              <w:adjustRightInd w:val="0"/>
              <w:rPr>
                <w:rFonts w:asciiTheme="minorHAnsi" w:hAnsiTheme="minorHAnsi" w:cstheme="minorHAnsi"/>
                <w:color w:val="000000"/>
                <w:sz w:val="22"/>
                <w:szCs w:val="24"/>
              </w:rPr>
            </w:pPr>
            <w:r w:rsidRPr="002D39D0">
              <w:rPr>
                <w:rFonts w:asciiTheme="minorHAnsi" w:hAnsiTheme="minorHAnsi" w:cstheme="minorHAnsi"/>
                <w:color w:val="000000"/>
                <w:sz w:val="22"/>
                <w:szCs w:val="24"/>
              </w:rPr>
              <w:t>Inconnus</w:t>
            </w:r>
          </w:p>
        </w:tc>
        <w:tc>
          <w:tcPr>
            <w:tcW w:w="1881" w:type="pct"/>
            <w:shd w:val="clear" w:color="auto" w:fill="auto"/>
          </w:tcPr>
          <w:p w14:paraId="29F55319" w14:textId="77777777" w:rsidR="00650BCD" w:rsidRPr="002D39D0" w:rsidRDefault="00650BCD" w:rsidP="000F48C6">
            <w:pPr>
              <w:autoSpaceDE w:val="0"/>
              <w:autoSpaceDN w:val="0"/>
              <w:adjustRightInd w:val="0"/>
              <w:jc w:val="center"/>
              <w:rPr>
                <w:rFonts w:asciiTheme="minorHAnsi" w:hAnsiTheme="minorHAnsi" w:cstheme="minorHAnsi"/>
                <w:color w:val="000000"/>
                <w:sz w:val="22"/>
                <w:szCs w:val="24"/>
              </w:rPr>
            </w:pPr>
            <w:r w:rsidRPr="002D39D0">
              <w:rPr>
                <w:rFonts w:asciiTheme="minorHAnsi" w:hAnsiTheme="minorHAnsi" w:cstheme="minorHAnsi"/>
                <w:color w:val="000000"/>
                <w:sz w:val="22"/>
                <w:szCs w:val="24"/>
              </w:rPr>
              <w:t>2 964</w:t>
            </w:r>
          </w:p>
        </w:tc>
        <w:tc>
          <w:tcPr>
            <w:tcW w:w="2014" w:type="pct"/>
            <w:shd w:val="clear" w:color="auto" w:fill="auto"/>
          </w:tcPr>
          <w:p w14:paraId="4381B236" w14:textId="3704B23E" w:rsidR="00650BCD" w:rsidRPr="002D39D0" w:rsidRDefault="00650BCD" w:rsidP="000F48C6">
            <w:pPr>
              <w:autoSpaceDE w:val="0"/>
              <w:autoSpaceDN w:val="0"/>
              <w:adjustRightInd w:val="0"/>
              <w:jc w:val="center"/>
              <w:rPr>
                <w:rFonts w:asciiTheme="minorHAnsi" w:hAnsiTheme="minorHAnsi" w:cstheme="minorHAnsi"/>
                <w:color w:val="000000"/>
                <w:sz w:val="22"/>
                <w:szCs w:val="24"/>
              </w:rPr>
            </w:pPr>
            <w:r w:rsidRPr="002D39D0">
              <w:rPr>
                <w:rFonts w:asciiTheme="minorHAnsi" w:hAnsiTheme="minorHAnsi" w:cstheme="minorHAnsi"/>
                <w:color w:val="000000"/>
                <w:sz w:val="22"/>
                <w:szCs w:val="24"/>
              </w:rPr>
              <w:t>0</w:t>
            </w:r>
            <w:r w:rsidR="00A46950">
              <w:rPr>
                <w:rFonts w:asciiTheme="minorHAnsi" w:hAnsiTheme="minorHAnsi" w:cstheme="minorHAnsi"/>
                <w:color w:val="000000"/>
                <w:sz w:val="22"/>
                <w:szCs w:val="24"/>
              </w:rPr>
              <w:t xml:space="preserve"> </w:t>
            </w:r>
            <w:r w:rsidRPr="002D39D0">
              <w:rPr>
                <w:rFonts w:asciiTheme="minorHAnsi" w:hAnsiTheme="minorHAnsi" w:cstheme="minorHAnsi"/>
                <w:color w:val="000000"/>
                <w:sz w:val="22"/>
                <w:szCs w:val="24"/>
              </w:rPr>
              <w:t>%</w:t>
            </w:r>
          </w:p>
        </w:tc>
      </w:tr>
    </w:tbl>
    <w:p w14:paraId="1A23C72F" w14:textId="77777777" w:rsidR="00650BCD" w:rsidRPr="002D39D0" w:rsidRDefault="00650BCD" w:rsidP="00813771">
      <w:pPr>
        <w:tabs>
          <w:tab w:val="left" w:pos="7839"/>
        </w:tabs>
        <w:jc w:val="center"/>
        <w:rPr>
          <w:rFonts w:asciiTheme="minorHAnsi" w:hAnsiTheme="minorHAnsi" w:cstheme="minorHAnsi"/>
          <w:b/>
          <w:sz w:val="18"/>
          <w:szCs w:val="18"/>
        </w:rPr>
      </w:pPr>
    </w:p>
    <w:p w14:paraId="699D061A" w14:textId="77777777" w:rsidR="00650BCD" w:rsidRPr="002D39D0" w:rsidRDefault="00650BCD" w:rsidP="00813771">
      <w:pPr>
        <w:tabs>
          <w:tab w:val="left" w:pos="7839"/>
        </w:tabs>
        <w:jc w:val="center"/>
        <w:rPr>
          <w:rFonts w:asciiTheme="minorHAnsi" w:hAnsiTheme="minorHAnsi" w:cstheme="minorHAnsi"/>
          <w:b/>
          <w:sz w:val="18"/>
          <w:szCs w:val="18"/>
        </w:rPr>
        <w:sectPr w:rsidR="00650BCD" w:rsidRPr="002D39D0" w:rsidSect="00813771">
          <w:headerReference w:type="default" r:id="rId17"/>
          <w:footerReference w:type="even" r:id="rId18"/>
          <w:headerReference w:type="first" r:id="rId19"/>
          <w:footerReference w:type="first" r:id="rId20"/>
          <w:pgSz w:w="15840" w:h="12240" w:orient="landscape"/>
          <w:pgMar w:top="680" w:right="680" w:bottom="680" w:left="680" w:header="567" w:footer="567" w:gutter="0"/>
          <w:cols w:space="708"/>
          <w:titlePg/>
          <w:docGrid w:linePitch="360"/>
        </w:sectPr>
      </w:pPr>
    </w:p>
    <w:p w14:paraId="47FFFDD8" w14:textId="77777777" w:rsidR="00DD662D" w:rsidRPr="002D39D0" w:rsidRDefault="00DD662D" w:rsidP="00DD662D">
      <w:pPr>
        <w:pStyle w:val="Heading1"/>
        <w:spacing w:before="120" w:after="120"/>
        <w:rPr>
          <w:sz w:val="40"/>
        </w:rPr>
      </w:pPr>
      <w:r w:rsidRPr="002D39D0">
        <w:rPr>
          <w:rFonts w:eastAsia="Times New Roman"/>
          <w:sz w:val="40"/>
        </w:rPr>
        <w:lastRenderedPageBreak/>
        <w:t>Population selon le groupe professionnel au 31 mars 2019</w:t>
      </w:r>
    </w:p>
    <w:p w14:paraId="42BA1E9C" w14:textId="77777777" w:rsidR="00650BCD" w:rsidRPr="002D39D0" w:rsidRDefault="004D53A0" w:rsidP="00650BCD">
      <w:pPr>
        <w:keepNext/>
        <w:tabs>
          <w:tab w:val="left" w:pos="7839"/>
        </w:tabs>
        <w:jc w:val="center"/>
      </w:pPr>
      <w:r w:rsidRPr="007C1E3E">
        <w:rPr>
          <w:rStyle w:val="Strong"/>
          <w:noProof/>
          <w:lang w:val="en-CA" w:eastAsia="en-CA"/>
        </w:rPr>
        <w:drawing>
          <wp:inline distT="0" distB="0" distL="0" distR="0" wp14:anchorId="564EE1BE" wp14:editId="2B37108A">
            <wp:extent cx="1980000" cy="3020400"/>
            <wp:effectExtent l="0" t="0" r="1270" b="8890"/>
            <wp:docPr id="5" name="Chart 5" descr="Population selon le groupe professionnel au 31 mars 2019"/>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79352A06" w14:textId="77777777" w:rsidR="004D53A0" w:rsidRPr="002D39D0" w:rsidRDefault="00650BCD" w:rsidP="007C1E3E">
      <w:pPr>
        <w:pStyle w:val="Caption"/>
        <w:spacing w:after="0"/>
        <w:jc w:val="center"/>
        <w:rPr>
          <w:rFonts w:asciiTheme="minorHAnsi" w:hAnsiTheme="minorHAnsi" w:cstheme="minorHAnsi"/>
          <w:b/>
          <w:i w:val="0"/>
          <w:color w:val="auto"/>
        </w:rPr>
      </w:pPr>
      <w:r w:rsidRPr="002D39D0">
        <w:rPr>
          <w:rFonts w:asciiTheme="minorHAnsi" w:hAnsiTheme="minorHAnsi" w:cstheme="minorHAnsi"/>
          <w:i w:val="0"/>
          <w:color w:val="auto"/>
        </w:rPr>
        <w:t xml:space="preserve">Figure </w:t>
      </w:r>
      <w:r w:rsidRPr="006C61AE">
        <w:rPr>
          <w:rFonts w:asciiTheme="minorHAnsi" w:hAnsiTheme="minorHAnsi" w:cstheme="minorHAnsi"/>
          <w:i w:val="0"/>
          <w:color w:val="auto"/>
        </w:rPr>
        <w:fldChar w:fldCharType="begin"/>
      </w:r>
      <w:r w:rsidRPr="002D39D0">
        <w:rPr>
          <w:rFonts w:asciiTheme="minorHAnsi" w:hAnsiTheme="minorHAnsi" w:cstheme="minorHAnsi"/>
          <w:i w:val="0"/>
          <w:color w:val="auto"/>
        </w:rPr>
        <w:instrText xml:space="preserve"> SEQ Figure \* ARABIC </w:instrText>
      </w:r>
      <w:r w:rsidRPr="006C61AE">
        <w:rPr>
          <w:rFonts w:asciiTheme="minorHAnsi" w:hAnsiTheme="minorHAnsi" w:cstheme="minorHAnsi"/>
          <w:i w:val="0"/>
          <w:color w:val="auto"/>
        </w:rPr>
        <w:fldChar w:fldCharType="separate"/>
      </w:r>
      <w:r w:rsidR="00DE5258" w:rsidRPr="002D39D0">
        <w:rPr>
          <w:rFonts w:asciiTheme="minorHAnsi" w:hAnsiTheme="minorHAnsi" w:cstheme="minorHAnsi"/>
          <w:i w:val="0"/>
          <w:noProof/>
          <w:color w:val="auto"/>
        </w:rPr>
        <w:t>3</w:t>
      </w:r>
      <w:r w:rsidRPr="006C61AE">
        <w:rPr>
          <w:rFonts w:asciiTheme="minorHAnsi" w:hAnsiTheme="minorHAnsi" w:cstheme="minorHAnsi"/>
          <w:i w:val="0"/>
          <w:color w:val="auto"/>
        </w:rPr>
        <w:fldChar w:fldCharType="end"/>
      </w:r>
      <w:r w:rsidRPr="002D39D0">
        <w:rPr>
          <w:rFonts w:asciiTheme="minorHAnsi" w:hAnsiTheme="minorHAnsi" w:cstheme="minorHAnsi"/>
          <w:i w:val="0"/>
          <w:color w:val="auto"/>
        </w:rPr>
        <w:t xml:space="preserve"> - Population selon le groupe professionnel au 31 mars 2019</w:t>
      </w:r>
    </w:p>
    <w:p w14:paraId="079A22D7" w14:textId="3EC4505E" w:rsidR="00650BCD" w:rsidRPr="002D39D0" w:rsidRDefault="00650BCD" w:rsidP="007C1E3E">
      <w:pPr>
        <w:pStyle w:val="Caption"/>
        <w:keepNext/>
        <w:spacing w:before="240" w:after="0"/>
        <w:jc w:val="center"/>
        <w:rPr>
          <w:rFonts w:asciiTheme="minorHAnsi" w:hAnsiTheme="minorHAnsi" w:cstheme="minorHAnsi"/>
          <w:i w:val="0"/>
          <w:color w:val="auto"/>
        </w:rPr>
      </w:pPr>
      <w:r w:rsidRPr="002D39D0">
        <w:rPr>
          <w:rFonts w:asciiTheme="minorHAnsi" w:hAnsiTheme="minorHAnsi" w:cstheme="minorHAnsi"/>
          <w:i w:val="0"/>
          <w:color w:val="auto"/>
        </w:rPr>
        <w:t xml:space="preserve">Table </w:t>
      </w:r>
      <w:r w:rsidRPr="006C61AE">
        <w:rPr>
          <w:rFonts w:asciiTheme="minorHAnsi" w:hAnsiTheme="minorHAnsi" w:cstheme="minorHAnsi"/>
          <w:i w:val="0"/>
          <w:color w:val="auto"/>
        </w:rPr>
        <w:fldChar w:fldCharType="begin"/>
      </w:r>
      <w:r w:rsidRPr="002D39D0">
        <w:rPr>
          <w:rFonts w:asciiTheme="minorHAnsi" w:hAnsiTheme="minorHAnsi" w:cstheme="minorHAnsi"/>
          <w:i w:val="0"/>
          <w:color w:val="auto"/>
        </w:rPr>
        <w:instrText xml:space="preserve"> SEQ Table \* ARABIC </w:instrText>
      </w:r>
      <w:r w:rsidRPr="006C61AE">
        <w:rPr>
          <w:rFonts w:asciiTheme="minorHAnsi" w:hAnsiTheme="minorHAnsi" w:cstheme="minorHAnsi"/>
          <w:i w:val="0"/>
          <w:color w:val="auto"/>
        </w:rPr>
        <w:fldChar w:fldCharType="separate"/>
      </w:r>
      <w:r w:rsidR="00C42F1B" w:rsidRPr="002D39D0">
        <w:rPr>
          <w:rFonts w:asciiTheme="minorHAnsi" w:hAnsiTheme="minorHAnsi" w:cstheme="minorHAnsi"/>
          <w:i w:val="0"/>
          <w:noProof/>
          <w:color w:val="auto"/>
        </w:rPr>
        <w:t>8</w:t>
      </w:r>
      <w:r w:rsidRPr="006C61AE">
        <w:rPr>
          <w:rFonts w:asciiTheme="minorHAnsi" w:hAnsiTheme="minorHAnsi" w:cstheme="minorHAnsi"/>
          <w:i w:val="0"/>
          <w:color w:val="auto"/>
        </w:rPr>
        <w:fldChar w:fldCharType="end"/>
      </w:r>
      <w:r w:rsidRPr="002D39D0">
        <w:rPr>
          <w:rFonts w:asciiTheme="minorHAnsi" w:hAnsiTheme="minorHAnsi" w:cstheme="minorHAnsi"/>
          <w:i w:val="0"/>
          <w:color w:val="auto"/>
        </w:rPr>
        <w:t xml:space="preserve"> - Groupes d’emploi, pourcentage de l'effectif régi par la </w:t>
      </w:r>
      <w:r w:rsidRPr="004721CE">
        <w:rPr>
          <w:rStyle w:val="Emphasis"/>
          <w:rFonts w:cstheme="minorHAnsi"/>
          <w:i/>
          <w:sz w:val="18"/>
        </w:rPr>
        <w:t>Loi sur l’emploi dans la fonction publique</w:t>
      </w:r>
      <w:r w:rsidRPr="002D39D0">
        <w:rPr>
          <w:rFonts w:asciiTheme="minorHAnsi" w:hAnsiTheme="minorHAnsi" w:cstheme="minorHAnsi"/>
          <w:i w:val="0"/>
          <w:color w:val="auto"/>
        </w:rPr>
        <w:t xml:space="preserve"> au 31 mars 2019</w:t>
      </w:r>
    </w:p>
    <w:tbl>
      <w:tblPr>
        <w:tblStyle w:val="TableGrid"/>
        <w:tblW w:w="5000" w:type="pct"/>
        <w:jc w:val="center"/>
        <w:tblLook w:val="0020" w:firstRow="1" w:lastRow="0" w:firstColumn="0" w:lastColumn="0" w:noHBand="0" w:noVBand="0"/>
        <w:tblDescription w:val="Effectif selon le groupe professionel au 31 mars 2019"/>
      </w:tblPr>
      <w:tblGrid>
        <w:gridCol w:w="5951"/>
        <w:gridCol w:w="4109"/>
        <w:gridCol w:w="4410"/>
      </w:tblGrid>
      <w:tr w:rsidR="00650BCD" w:rsidRPr="004721CE" w14:paraId="617CC39A" w14:textId="77777777" w:rsidTr="00222D78">
        <w:trPr>
          <w:cantSplit/>
          <w:trHeight w:val="290"/>
          <w:tblHeader/>
          <w:jc w:val="center"/>
        </w:trPr>
        <w:tc>
          <w:tcPr>
            <w:tcW w:w="2056" w:type="pct"/>
          </w:tcPr>
          <w:p w14:paraId="3F3752EB" w14:textId="77777777" w:rsidR="00650BCD" w:rsidRPr="004721CE" w:rsidRDefault="00650BCD" w:rsidP="000F48C6">
            <w:pPr>
              <w:pStyle w:val="TableTitle"/>
              <w:rPr>
                <w:rFonts w:cs="Segoe UI Semibold"/>
                <w:b w:val="0"/>
                <w:szCs w:val="22"/>
              </w:rPr>
            </w:pPr>
            <w:r w:rsidRPr="004721CE">
              <w:rPr>
                <w:rFonts w:cs="Segoe UI Semibold"/>
                <w:b w:val="0"/>
                <w:szCs w:val="22"/>
              </w:rPr>
              <w:t>Groupes professionnels</w:t>
            </w:r>
          </w:p>
        </w:tc>
        <w:tc>
          <w:tcPr>
            <w:tcW w:w="1420" w:type="pct"/>
          </w:tcPr>
          <w:p w14:paraId="4874DFC8" w14:textId="77777777" w:rsidR="00650BCD" w:rsidRPr="004721CE" w:rsidRDefault="00650BCD" w:rsidP="000F48C6">
            <w:pPr>
              <w:pStyle w:val="TableTitle"/>
              <w:rPr>
                <w:rFonts w:cs="Segoe UI Semibold"/>
                <w:b w:val="0"/>
                <w:szCs w:val="22"/>
              </w:rPr>
            </w:pPr>
            <w:r w:rsidRPr="004721CE">
              <w:rPr>
                <w:rFonts w:cs="Segoe UI Semibold"/>
                <w:b w:val="0"/>
                <w:szCs w:val="22"/>
              </w:rPr>
              <w:t>Effectif au 31 mars 2019</w:t>
            </w:r>
          </w:p>
        </w:tc>
        <w:tc>
          <w:tcPr>
            <w:tcW w:w="1524" w:type="pct"/>
          </w:tcPr>
          <w:p w14:paraId="46B9D066" w14:textId="77777777" w:rsidR="00650BCD" w:rsidRPr="004721CE" w:rsidRDefault="00650BCD" w:rsidP="000F48C6">
            <w:pPr>
              <w:pStyle w:val="TableTitle"/>
              <w:rPr>
                <w:rFonts w:cs="Segoe UI Semibold"/>
                <w:b w:val="0"/>
                <w:szCs w:val="22"/>
              </w:rPr>
            </w:pPr>
            <w:r w:rsidRPr="004721CE">
              <w:rPr>
                <w:rFonts w:cs="Segoe UI Semibold"/>
                <w:b w:val="0"/>
                <w:szCs w:val="22"/>
              </w:rPr>
              <w:t>Pourcentage de l'effectif au 31 mars 2019</w:t>
            </w:r>
          </w:p>
        </w:tc>
      </w:tr>
      <w:tr w:rsidR="00650BCD" w:rsidRPr="002D39D0" w14:paraId="70581A03" w14:textId="77777777" w:rsidTr="00222D78">
        <w:trPr>
          <w:cantSplit/>
          <w:trHeight w:val="290"/>
          <w:tblHeader/>
          <w:jc w:val="center"/>
        </w:trPr>
        <w:tc>
          <w:tcPr>
            <w:tcW w:w="2056" w:type="pct"/>
          </w:tcPr>
          <w:p w14:paraId="0A68D007" w14:textId="77777777" w:rsidR="00650BCD" w:rsidRPr="002D39D0" w:rsidRDefault="00650BCD" w:rsidP="000F48C6">
            <w:pPr>
              <w:autoSpaceDE w:val="0"/>
              <w:autoSpaceDN w:val="0"/>
              <w:adjustRightInd w:val="0"/>
              <w:rPr>
                <w:rFonts w:asciiTheme="minorHAnsi" w:hAnsiTheme="minorHAnsi" w:cstheme="minorHAnsi"/>
                <w:color w:val="000000"/>
                <w:sz w:val="22"/>
                <w:szCs w:val="24"/>
              </w:rPr>
            </w:pPr>
            <w:r w:rsidRPr="002D39D0">
              <w:rPr>
                <w:rFonts w:asciiTheme="minorHAnsi" w:hAnsiTheme="minorHAnsi" w:cstheme="minorHAnsi"/>
                <w:color w:val="000000"/>
                <w:sz w:val="22"/>
                <w:szCs w:val="24"/>
              </w:rPr>
              <w:t>AS – Services administratifs</w:t>
            </w:r>
          </w:p>
        </w:tc>
        <w:tc>
          <w:tcPr>
            <w:tcW w:w="1420" w:type="pct"/>
          </w:tcPr>
          <w:p w14:paraId="7201514A" w14:textId="77777777" w:rsidR="00650BCD" w:rsidRPr="002D39D0" w:rsidRDefault="00650BCD" w:rsidP="000F48C6">
            <w:pPr>
              <w:autoSpaceDE w:val="0"/>
              <w:autoSpaceDN w:val="0"/>
              <w:adjustRightInd w:val="0"/>
              <w:jc w:val="center"/>
              <w:rPr>
                <w:rFonts w:asciiTheme="minorHAnsi" w:hAnsiTheme="minorHAnsi" w:cstheme="minorHAnsi"/>
                <w:color w:val="000000"/>
                <w:sz w:val="22"/>
                <w:szCs w:val="24"/>
              </w:rPr>
            </w:pPr>
            <w:r w:rsidRPr="002D39D0">
              <w:rPr>
                <w:rFonts w:asciiTheme="minorHAnsi" w:hAnsiTheme="minorHAnsi" w:cstheme="minorHAnsi"/>
                <w:color w:val="000000"/>
                <w:sz w:val="22"/>
                <w:szCs w:val="24"/>
              </w:rPr>
              <w:t>1 378</w:t>
            </w:r>
          </w:p>
        </w:tc>
        <w:tc>
          <w:tcPr>
            <w:tcW w:w="1524" w:type="pct"/>
          </w:tcPr>
          <w:p w14:paraId="37987F4A" w14:textId="2E3E6B2D" w:rsidR="00650BCD" w:rsidRPr="002D39D0" w:rsidRDefault="00650BCD" w:rsidP="000F48C6">
            <w:pPr>
              <w:autoSpaceDE w:val="0"/>
              <w:autoSpaceDN w:val="0"/>
              <w:adjustRightInd w:val="0"/>
              <w:jc w:val="center"/>
              <w:rPr>
                <w:rFonts w:asciiTheme="minorHAnsi" w:hAnsiTheme="minorHAnsi" w:cstheme="minorHAnsi"/>
                <w:color w:val="000000"/>
                <w:sz w:val="22"/>
                <w:szCs w:val="24"/>
              </w:rPr>
            </w:pPr>
            <w:r w:rsidRPr="002D39D0">
              <w:rPr>
                <w:rFonts w:asciiTheme="minorHAnsi" w:hAnsiTheme="minorHAnsi" w:cstheme="minorHAnsi"/>
                <w:color w:val="000000"/>
                <w:sz w:val="22"/>
                <w:szCs w:val="24"/>
              </w:rPr>
              <w:t>22</w:t>
            </w:r>
            <w:r w:rsidR="00A46950">
              <w:rPr>
                <w:rFonts w:asciiTheme="minorHAnsi" w:hAnsiTheme="minorHAnsi" w:cstheme="minorHAnsi"/>
                <w:color w:val="000000"/>
                <w:sz w:val="22"/>
                <w:szCs w:val="24"/>
              </w:rPr>
              <w:t xml:space="preserve"> </w:t>
            </w:r>
            <w:r w:rsidRPr="002D39D0">
              <w:rPr>
                <w:rFonts w:asciiTheme="minorHAnsi" w:hAnsiTheme="minorHAnsi" w:cstheme="minorHAnsi"/>
                <w:color w:val="000000"/>
                <w:sz w:val="22"/>
                <w:szCs w:val="24"/>
              </w:rPr>
              <w:t>%</w:t>
            </w:r>
          </w:p>
        </w:tc>
      </w:tr>
      <w:tr w:rsidR="00650BCD" w:rsidRPr="002D39D0" w14:paraId="7D223661" w14:textId="77777777" w:rsidTr="00222D78">
        <w:trPr>
          <w:cantSplit/>
          <w:trHeight w:val="290"/>
          <w:tblHeader/>
          <w:jc w:val="center"/>
        </w:trPr>
        <w:tc>
          <w:tcPr>
            <w:tcW w:w="2056" w:type="pct"/>
          </w:tcPr>
          <w:p w14:paraId="7EEAE703" w14:textId="77777777" w:rsidR="00650BCD" w:rsidRPr="002D39D0" w:rsidRDefault="00650BCD" w:rsidP="000F48C6">
            <w:pPr>
              <w:autoSpaceDE w:val="0"/>
              <w:autoSpaceDN w:val="0"/>
              <w:adjustRightInd w:val="0"/>
              <w:rPr>
                <w:rFonts w:asciiTheme="minorHAnsi" w:hAnsiTheme="minorHAnsi" w:cstheme="minorHAnsi"/>
                <w:color w:val="000000"/>
                <w:sz w:val="22"/>
                <w:szCs w:val="24"/>
              </w:rPr>
            </w:pPr>
            <w:r w:rsidRPr="002D39D0">
              <w:rPr>
                <w:rFonts w:asciiTheme="minorHAnsi" w:hAnsiTheme="minorHAnsi" w:cstheme="minorHAnsi"/>
                <w:color w:val="000000"/>
                <w:sz w:val="22"/>
                <w:szCs w:val="24"/>
              </w:rPr>
              <w:t>FS – Service extérieur</w:t>
            </w:r>
          </w:p>
        </w:tc>
        <w:tc>
          <w:tcPr>
            <w:tcW w:w="1420" w:type="pct"/>
          </w:tcPr>
          <w:p w14:paraId="14AD5D19" w14:textId="77777777" w:rsidR="00650BCD" w:rsidRPr="002D39D0" w:rsidRDefault="00650BCD" w:rsidP="000F48C6">
            <w:pPr>
              <w:autoSpaceDE w:val="0"/>
              <w:autoSpaceDN w:val="0"/>
              <w:adjustRightInd w:val="0"/>
              <w:jc w:val="center"/>
              <w:rPr>
                <w:rFonts w:asciiTheme="minorHAnsi" w:hAnsiTheme="minorHAnsi" w:cstheme="minorHAnsi"/>
                <w:color w:val="000000"/>
                <w:sz w:val="22"/>
                <w:szCs w:val="24"/>
              </w:rPr>
            </w:pPr>
            <w:r w:rsidRPr="002D39D0">
              <w:rPr>
                <w:rFonts w:asciiTheme="minorHAnsi" w:hAnsiTheme="minorHAnsi" w:cstheme="minorHAnsi"/>
                <w:color w:val="000000"/>
                <w:sz w:val="22"/>
                <w:szCs w:val="24"/>
              </w:rPr>
              <w:t>1 241</w:t>
            </w:r>
          </w:p>
        </w:tc>
        <w:tc>
          <w:tcPr>
            <w:tcW w:w="1524" w:type="pct"/>
          </w:tcPr>
          <w:p w14:paraId="59D93710" w14:textId="4463F830" w:rsidR="00650BCD" w:rsidRPr="002D39D0" w:rsidRDefault="00650BCD" w:rsidP="000F48C6">
            <w:pPr>
              <w:autoSpaceDE w:val="0"/>
              <w:autoSpaceDN w:val="0"/>
              <w:adjustRightInd w:val="0"/>
              <w:jc w:val="center"/>
              <w:rPr>
                <w:rFonts w:asciiTheme="minorHAnsi" w:hAnsiTheme="minorHAnsi" w:cstheme="minorHAnsi"/>
                <w:color w:val="000000"/>
                <w:sz w:val="22"/>
                <w:szCs w:val="24"/>
              </w:rPr>
            </w:pPr>
            <w:r w:rsidRPr="002D39D0">
              <w:rPr>
                <w:rFonts w:asciiTheme="minorHAnsi" w:hAnsiTheme="minorHAnsi" w:cstheme="minorHAnsi"/>
                <w:color w:val="000000"/>
                <w:sz w:val="22"/>
                <w:szCs w:val="24"/>
              </w:rPr>
              <w:t>20</w:t>
            </w:r>
            <w:r w:rsidR="00A46950">
              <w:rPr>
                <w:rFonts w:asciiTheme="minorHAnsi" w:hAnsiTheme="minorHAnsi" w:cstheme="minorHAnsi"/>
                <w:color w:val="000000"/>
                <w:sz w:val="22"/>
                <w:szCs w:val="24"/>
              </w:rPr>
              <w:t xml:space="preserve"> </w:t>
            </w:r>
            <w:r w:rsidRPr="002D39D0">
              <w:rPr>
                <w:rFonts w:asciiTheme="minorHAnsi" w:hAnsiTheme="minorHAnsi" w:cstheme="minorHAnsi"/>
                <w:color w:val="000000"/>
                <w:sz w:val="22"/>
                <w:szCs w:val="24"/>
              </w:rPr>
              <w:t>%</w:t>
            </w:r>
          </w:p>
        </w:tc>
      </w:tr>
      <w:tr w:rsidR="00650BCD" w:rsidRPr="002D39D0" w14:paraId="53B5D7E5" w14:textId="77777777" w:rsidTr="00222D78">
        <w:trPr>
          <w:cantSplit/>
          <w:trHeight w:val="290"/>
          <w:tblHeader/>
          <w:jc w:val="center"/>
        </w:trPr>
        <w:tc>
          <w:tcPr>
            <w:tcW w:w="2056" w:type="pct"/>
          </w:tcPr>
          <w:p w14:paraId="248D11B7" w14:textId="77777777" w:rsidR="00650BCD" w:rsidRPr="002D39D0" w:rsidRDefault="00650BCD" w:rsidP="000F48C6">
            <w:pPr>
              <w:autoSpaceDE w:val="0"/>
              <w:autoSpaceDN w:val="0"/>
              <w:adjustRightInd w:val="0"/>
              <w:rPr>
                <w:rFonts w:asciiTheme="minorHAnsi" w:hAnsiTheme="minorHAnsi" w:cstheme="minorHAnsi"/>
                <w:color w:val="000000"/>
                <w:sz w:val="22"/>
                <w:szCs w:val="24"/>
              </w:rPr>
            </w:pPr>
            <w:r w:rsidRPr="002D39D0">
              <w:rPr>
                <w:rFonts w:asciiTheme="minorHAnsi" w:hAnsiTheme="minorHAnsi" w:cstheme="minorHAnsi"/>
                <w:color w:val="000000"/>
                <w:sz w:val="22"/>
                <w:szCs w:val="24"/>
              </w:rPr>
              <w:t>EC – Groupe Économique et services de sciences sociales</w:t>
            </w:r>
          </w:p>
        </w:tc>
        <w:tc>
          <w:tcPr>
            <w:tcW w:w="1420" w:type="pct"/>
          </w:tcPr>
          <w:p w14:paraId="52ED514D" w14:textId="77777777" w:rsidR="00650BCD" w:rsidRPr="002D39D0" w:rsidRDefault="00650BCD" w:rsidP="000F48C6">
            <w:pPr>
              <w:autoSpaceDE w:val="0"/>
              <w:autoSpaceDN w:val="0"/>
              <w:adjustRightInd w:val="0"/>
              <w:jc w:val="center"/>
              <w:rPr>
                <w:rFonts w:asciiTheme="minorHAnsi" w:hAnsiTheme="minorHAnsi" w:cstheme="minorHAnsi"/>
                <w:color w:val="000000"/>
                <w:sz w:val="22"/>
                <w:szCs w:val="24"/>
              </w:rPr>
            </w:pPr>
            <w:r w:rsidRPr="002D39D0">
              <w:rPr>
                <w:rFonts w:asciiTheme="minorHAnsi" w:hAnsiTheme="minorHAnsi" w:cstheme="minorHAnsi"/>
                <w:color w:val="000000"/>
                <w:sz w:val="22"/>
                <w:szCs w:val="24"/>
              </w:rPr>
              <w:t>735</w:t>
            </w:r>
          </w:p>
        </w:tc>
        <w:tc>
          <w:tcPr>
            <w:tcW w:w="1524" w:type="pct"/>
          </w:tcPr>
          <w:p w14:paraId="7554DD2C" w14:textId="6FAA3DA7" w:rsidR="00650BCD" w:rsidRPr="002D39D0" w:rsidRDefault="00650BCD" w:rsidP="000F48C6">
            <w:pPr>
              <w:autoSpaceDE w:val="0"/>
              <w:autoSpaceDN w:val="0"/>
              <w:adjustRightInd w:val="0"/>
              <w:jc w:val="center"/>
              <w:rPr>
                <w:rFonts w:asciiTheme="minorHAnsi" w:hAnsiTheme="minorHAnsi" w:cstheme="minorHAnsi"/>
                <w:color w:val="000000"/>
                <w:sz w:val="22"/>
                <w:szCs w:val="24"/>
              </w:rPr>
            </w:pPr>
            <w:r w:rsidRPr="002D39D0">
              <w:rPr>
                <w:rFonts w:asciiTheme="minorHAnsi" w:hAnsiTheme="minorHAnsi" w:cstheme="minorHAnsi"/>
                <w:color w:val="000000"/>
                <w:sz w:val="22"/>
                <w:szCs w:val="24"/>
              </w:rPr>
              <w:t>12</w:t>
            </w:r>
            <w:r w:rsidR="00A46950">
              <w:rPr>
                <w:rFonts w:asciiTheme="minorHAnsi" w:hAnsiTheme="minorHAnsi" w:cstheme="minorHAnsi"/>
                <w:color w:val="000000"/>
                <w:sz w:val="22"/>
                <w:szCs w:val="24"/>
              </w:rPr>
              <w:t xml:space="preserve"> </w:t>
            </w:r>
            <w:r w:rsidRPr="002D39D0">
              <w:rPr>
                <w:rFonts w:asciiTheme="minorHAnsi" w:hAnsiTheme="minorHAnsi" w:cstheme="minorHAnsi"/>
                <w:color w:val="000000"/>
                <w:sz w:val="22"/>
                <w:szCs w:val="24"/>
              </w:rPr>
              <w:t>%</w:t>
            </w:r>
          </w:p>
        </w:tc>
      </w:tr>
      <w:tr w:rsidR="00650BCD" w:rsidRPr="002D39D0" w14:paraId="30CF8C56" w14:textId="77777777" w:rsidTr="00222D78">
        <w:trPr>
          <w:cantSplit/>
          <w:trHeight w:val="290"/>
          <w:tblHeader/>
          <w:jc w:val="center"/>
        </w:trPr>
        <w:tc>
          <w:tcPr>
            <w:tcW w:w="2056" w:type="pct"/>
          </w:tcPr>
          <w:p w14:paraId="0228503A" w14:textId="77777777" w:rsidR="00650BCD" w:rsidRPr="002D39D0" w:rsidRDefault="00650BCD" w:rsidP="000F48C6">
            <w:pPr>
              <w:autoSpaceDE w:val="0"/>
              <w:autoSpaceDN w:val="0"/>
              <w:adjustRightInd w:val="0"/>
              <w:rPr>
                <w:rFonts w:asciiTheme="minorHAnsi" w:hAnsiTheme="minorHAnsi" w:cstheme="minorHAnsi"/>
                <w:color w:val="000000"/>
                <w:sz w:val="22"/>
                <w:szCs w:val="24"/>
              </w:rPr>
            </w:pPr>
            <w:r w:rsidRPr="002D39D0">
              <w:rPr>
                <w:rFonts w:asciiTheme="minorHAnsi" w:hAnsiTheme="minorHAnsi" w:cstheme="minorHAnsi"/>
                <w:color w:val="000000"/>
                <w:sz w:val="22"/>
                <w:szCs w:val="24"/>
              </w:rPr>
              <w:t>PM – Administration des programmes</w:t>
            </w:r>
          </w:p>
        </w:tc>
        <w:tc>
          <w:tcPr>
            <w:tcW w:w="1420" w:type="pct"/>
          </w:tcPr>
          <w:p w14:paraId="5F9A60FD" w14:textId="77777777" w:rsidR="00650BCD" w:rsidRPr="002D39D0" w:rsidRDefault="00650BCD" w:rsidP="000F48C6">
            <w:pPr>
              <w:autoSpaceDE w:val="0"/>
              <w:autoSpaceDN w:val="0"/>
              <w:adjustRightInd w:val="0"/>
              <w:jc w:val="center"/>
              <w:rPr>
                <w:rFonts w:asciiTheme="minorHAnsi" w:hAnsiTheme="minorHAnsi" w:cstheme="minorHAnsi"/>
                <w:color w:val="000000"/>
                <w:sz w:val="22"/>
                <w:szCs w:val="24"/>
              </w:rPr>
            </w:pPr>
            <w:r w:rsidRPr="002D39D0">
              <w:rPr>
                <w:rFonts w:asciiTheme="minorHAnsi" w:hAnsiTheme="minorHAnsi" w:cstheme="minorHAnsi"/>
                <w:color w:val="000000"/>
                <w:sz w:val="22"/>
                <w:szCs w:val="24"/>
              </w:rPr>
              <w:t>633</w:t>
            </w:r>
          </w:p>
        </w:tc>
        <w:tc>
          <w:tcPr>
            <w:tcW w:w="1524" w:type="pct"/>
          </w:tcPr>
          <w:p w14:paraId="4087B24A" w14:textId="7A5B2026" w:rsidR="00650BCD" w:rsidRPr="002D39D0" w:rsidRDefault="00650BCD" w:rsidP="000F48C6">
            <w:pPr>
              <w:autoSpaceDE w:val="0"/>
              <w:autoSpaceDN w:val="0"/>
              <w:adjustRightInd w:val="0"/>
              <w:jc w:val="center"/>
              <w:rPr>
                <w:rFonts w:asciiTheme="minorHAnsi" w:hAnsiTheme="minorHAnsi" w:cstheme="minorHAnsi"/>
                <w:color w:val="000000"/>
                <w:sz w:val="22"/>
                <w:szCs w:val="24"/>
              </w:rPr>
            </w:pPr>
            <w:r w:rsidRPr="002D39D0">
              <w:rPr>
                <w:rFonts w:asciiTheme="minorHAnsi" w:hAnsiTheme="minorHAnsi" w:cstheme="minorHAnsi"/>
                <w:color w:val="000000"/>
                <w:sz w:val="22"/>
                <w:szCs w:val="24"/>
              </w:rPr>
              <w:t>10</w:t>
            </w:r>
            <w:r w:rsidR="00A46950">
              <w:rPr>
                <w:rFonts w:asciiTheme="minorHAnsi" w:hAnsiTheme="minorHAnsi" w:cstheme="minorHAnsi"/>
                <w:color w:val="000000"/>
                <w:sz w:val="22"/>
                <w:szCs w:val="24"/>
              </w:rPr>
              <w:t xml:space="preserve"> </w:t>
            </w:r>
            <w:r w:rsidRPr="002D39D0">
              <w:rPr>
                <w:rFonts w:asciiTheme="minorHAnsi" w:hAnsiTheme="minorHAnsi" w:cstheme="minorHAnsi"/>
                <w:color w:val="000000"/>
                <w:sz w:val="22"/>
                <w:szCs w:val="24"/>
              </w:rPr>
              <w:t>%</w:t>
            </w:r>
          </w:p>
        </w:tc>
      </w:tr>
      <w:tr w:rsidR="00650BCD" w:rsidRPr="002D39D0" w14:paraId="141087E4" w14:textId="77777777" w:rsidTr="00222D78">
        <w:trPr>
          <w:cantSplit/>
          <w:trHeight w:val="290"/>
          <w:tblHeader/>
          <w:jc w:val="center"/>
        </w:trPr>
        <w:tc>
          <w:tcPr>
            <w:tcW w:w="2056" w:type="pct"/>
          </w:tcPr>
          <w:p w14:paraId="254795B6" w14:textId="77777777" w:rsidR="00650BCD" w:rsidRPr="002D39D0" w:rsidRDefault="00650BCD" w:rsidP="000F48C6">
            <w:pPr>
              <w:autoSpaceDE w:val="0"/>
              <w:autoSpaceDN w:val="0"/>
              <w:adjustRightInd w:val="0"/>
              <w:rPr>
                <w:rFonts w:asciiTheme="minorHAnsi" w:hAnsiTheme="minorHAnsi" w:cstheme="minorHAnsi"/>
                <w:color w:val="000000"/>
                <w:sz w:val="22"/>
                <w:szCs w:val="24"/>
              </w:rPr>
            </w:pPr>
            <w:r w:rsidRPr="002D39D0">
              <w:rPr>
                <w:rFonts w:asciiTheme="minorHAnsi" w:hAnsiTheme="minorHAnsi" w:cstheme="minorHAnsi"/>
                <w:color w:val="000000"/>
                <w:sz w:val="22"/>
                <w:szCs w:val="24"/>
              </w:rPr>
              <w:t>Autre</w:t>
            </w:r>
          </w:p>
        </w:tc>
        <w:tc>
          <w:tcPr>
            <w:tcW w:w="1420" w:type="pct"/>
          </w:tcPr>
          <w:p w14:paraId="4647321F" w14:textId="77777777" w:rsidR="00650BCD" w:rsidRPr="002D39D0" w:rsidRDefault="00650BCD" w:rsidP="000F48C6">
            <w:pPr>
              <w:autoSpaceDE w:val="0"/>
              <w:autoSpaceDN w:val="0"/>
              <w:adjustRightInd w:val="0"/>
              <w:jc w:val="center"/>
              <w:rPr>
                <w:rFonts w:asciiTheme="minorHAnsi" w:hAnsiTheme="minorHAnsi" w:cstheme="minorHAnsi"/>
                <w:color w:val="000000"/>
                <w:sz w:val="22"/>
                <w:szCs w:val="24"/>
              </w:rPr>
            </w:pPr>
            <w:r w:rsidRPr="002D39D0">
              <w:rPr>
                <w:rFonts w:asciiTheme="minorHAnsi" w:hAnsiTheme="minorHAnsi" w:cstheme="minorHAnsi"/>
                <w:color w:val="000000"/>
                <w:sz w:val="22"/>
                <w:szCs w:val="24"/>
              </w:rPr>
              <w:t>2 292</w:t>
            </w:r>
          </w:p>
        </w:tc>
        <w:tc>
          <w:tcPr>
            <w:tcW w:w="1524" w:type="pct"/>
          </w:tcPr>
          <w:p w14:paraId="345AA249" w14:textId="1B642308" w:rsidR="00650BCD" w:rsidRPr="002D39D0" w:rsidRDefault="00650BCD" w:rsidP="000F48C6">
            <w:pPr>
              <w:autoSpaceDE w:val="0"/>
              <w:autoSpaceDN w:val="0"/>
              <w:adjustRightInd w:val="0"/>
              <w:jc w:val="center"/>
              <w:rPr>
                <w:rFonts w:asciiTheme="minorHAnsi" w:hAnsiTheme="minorHAnsi" w:cstheme="minorHAnsi"/>
                <w:color w:val="000000"/>
                <w:sz w:val="22"/>
                <w:szCs w:val="24"/>
              </w:rPr>
            </w:pPr>
            <w:r w:rsidRPr="002D39D0">
              <w:rPr>
                <w:rFonts w:asciiTheme="minorHAnsi" w:hAnsiTheme="minorHAnsi" w:cstheme="minorHAnsi"/>
                <w:color w:val="000000"/>
                <w:sz w:val="22"/>
                <w:szCs w:val="24"/>
              </w:rPr>
              <w:t>37</w:t>
            </w:r>
            <w:r w:rsidR="00A46950">
              <w:rPr>
                <w:rFonts w:asciiTheme="minorHAnsi" w:hAnsiTheme="minorHAnsi" w:cstheme="minorHAnsi"/>
                <w:color w:val="000000"/>
                <w:sz w:val="22"/>
                <w:szCs w:val="24"/>
              </w:rPr>
              <w:t xml:space="preserve"> </w:t>
            </w:r>
            <w:r w:rsidRPr="002D39D0">
              <w:rPr>
                <w:rFonts w:asciiTheme="minorHAnsi" w:hAnsiTheme="minorHAnsi" w:cstheme="minorHAnsi"/>
                <w:color w:val="000000"/>
                <w:sz w:val="22"/>
                <w:szCs w:val="24"/>
              </w:rPr>
              <w:t>%</w:t>
            </w:r>
          </w:p>
        </w:tc>
      </w:tr>
    </w:tbl>
    <w:p w14:paraId="5939E03D" w14:textId="77777777" w:rsidR="00650BCD" w:rsidRPr="002D39D0" w:rsidRDefault="00650BCD" w:rsidP="00813771">
      <w:pPr>
        <w:tabs>
          <w:tab w:val="left" w:pos="7839"/>
        </w:tabs>
        <w:jc w:val="center"/>
        <w:rPr>
          <w:rFonts w:asciiTheme="minorHAnsi" w:hAnsiTheme="minorHAnsi" w:cstheme="minorHAnsi"/>
          <w:b/>
          <w:sz w:val="18"/>
          <w:szCs w:val="18"/>
        </w:rPr>
      </w:pPr>
    </w:p>
    <w:p w14:paraId="1C5C56A9" w14:textId="77777777" w:rsidR="00650BCD" w:rsidRPr="002D39D0" w:rsidRDefault="00650BCD" w:rsidP="00813771">
      <w:pPr>
        <w:tabs>
          <w:tab w:val="left" w:pos="7839"/>
        </w:tabs>
        <w:jc w:val="center"/>
        <w:rPr>
          <w:rFonts w:asciiTheme="minorHAnsi" w:hAnsiTheme="minorHAnsi" w:cstheme="minorHAnsi"/>
          <w:b/>
          <w:sz w:val="18"/>
          <w:szCs w:val="18"/>
        </w:rPr>
        <w:sectPr w:rsidR="00650BCD" w:rsidRPr="002D39D0" w:rsidSect="00813771">
          <w:pgSz w:w="15840" w:h="12240" w:orient="landscape"/>
          <w:pgMar w:top="680" w:right="680" w:bottom="680" w:left="680" w:header="567" w:footer="567" w:gutter="0"/>
          <w:cols w:space="708"/>
          <w:titlePg/>
          <w:docGrid w:linePitch="360"/>
        </w:sectPr>
      </w:pPr>
    </w:p>
    <w:p w14:paraId="1D754459" w14:textId="77777777" w:rsidR="00650BCD" w:rsidRPr="002D39D0" w:rsidRDefault="00DD662D" w:rsidP="00DD662D">
      <w:pPr>
        <w:pStyle w:val="Heading1"/>
        <w:spacing w:before="120" w:after="120"/>
        <w:rPr>
          <w:sz w:val="40"/>
        </w:rPr>
      </w:pPr>
      <w:r w:rsidRPr="002D39D0">
        <w:rPr>
          <w:sz w:val="40"/>
        </w:rPr>
        <w:lastRenderedPageBreak/>
        <w:t>Population selon la région au 31 mars 2019</w:t>
      </w:r>
    </w:p>
    <w:p w14:paraId="36CBD197" w14:textId="77777777" w:rsidR="00650BCD" w:rsidRPr="002D39D0" w:rsidRDefault="004D53A0" w:rsidP="00650BCD">
      <w:pPr>
        <w:keepNext/>
        <w:tabs>
          <w:tab w:val="left" w:pos="7839"/>
        </w:tabs>
        <w:jc w:val="center"/>
      </w:pPr>
      <w:r w:rsidRPr="00302F5B">
        <w:rPr>
          <w:noProof/>
          <w:lang w:val="en-CA" w:eastAsia="en-CA"/>
        </w:rPr>
        <w:drawing>
          <wp:inline distT="0" distB="0" distL="0" distR="0" wp14:anchorId="7A8241CA" wp14:editId="7222E368">
            <wp:extent cx="1980000" cy="3020400"/>
            <wp:effectExtent l="0" t="0" r="1270" b="8890"/>
            <wp:docPr id="15" name="Chart 15" descr="Population selon la région au 31 mars 2019"/>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44345DBB" w14:textId="77777777" w:rsidR="004D53A0" w:rsidRPr="002D39D0" w:rsidRDefault="00650BCD" w:rsidP="007C1E3E">
      <w:pPr>
        <w:pStyle w:val="Caption"/>
        <w:spacing w:after="0"/>
        <w:jc w:val="center"/>
        <w:rPr>
          <w:rFonts w:asciiTheme="minorHAnsi" w:hAnsiTheme="minorHAnsi" w:cstheme="minorHAnsi"/>
          <w:i w:val="0"/>
          <w:color w:val="auto"/>
        </w:rPr>
      </w:pPr>
      <w:r w:rsidRPr="002D39D0">
        <w:rPr>
          <w:rFonts w:asciiTheme="minorHAnsi" w:hAnsiTheme="minorHAnsi" w:cstheme="minorHAnsi"/>
          <w:i w:val="0"/>
          <w:color w:val="auto"/>
        </w:rPr>
        <w:t xml:space="preserve">Figure </w:t>
      </w:r>
      <w:r w:rsidRPr="006C61AE">
        <w:rPr>
          <w:rFonts w:asciiTheme="minorHAnsi" w:hAnsiTheme="minorHAnsi" w:cstheme="minorHAnsi"/>
          <w:i w:val="0"/>
          <w:color w:val="auto"/>
        </w:rPr>
        <w:fldChar w:fldCharType="begin"/>
      </w:r>
      <w:r w:rsidRPr="002D39D0">
        <w:rPr>
          <w:rFonts w:asciiTheme="minorHAnsi" w:hAnsiTheme="minorHAnsi" w:cstheme="minorHAnsi"/>
          <w:i w:val="0"/>
          <w:color w:val="auto"/>
        </w:rPr>
        <w:instrText xml:space="preserve"> SEQ Figure \* ARABIC </w:instrText>
      </w:r>
      <w:r w:rsidRPr="006C61AE">
        <w:rPr>
          <w:rFonts w:asciiTheme="minorHAnsi" w:hAnsiTheme="minorHAnsi" w:cstheme="minorHAnsi"/>
          <w:i w:val="0"/>
          <w:color w:val="auto"/>
        </w:rPr>
        <w:fldChar w:fldCharType="separate"/>
      </w:r>
      <w:r w:rsidR="00DE5258" w:rsidRPr="002D39D0">
        <w:rPr>
          <w:rFonts w:asciiTheme="minorHAnsi" w:hAnsiTheme="minorHAnsi" w:cstheme="minorHAnsi"/>
          <w:i w:val="0"/>
          <w:noProof/>
          <w:color w:val="auto"/>
        </w:rPr>
        <w:t>4</w:t>
      </w:r>
      <w:r w:rsidRPr="006C61AE">
        <w:rPr>
          <w:rFonts w:asciiTheme="minorHAnsi" w:hAnsiTheme="minorHAnsi" w:cstheme="minorHAnsi"/>
          <w:i w:val="0"/>
          <w:color w:val="auto"/>
        </w:rPr>
        <w:fldChar w:fldCharType="end"/>
      </w:r>
      <w:r w:rsidRPr="002D39D0">
        <w:rPr>
          <w:rFonts w:asciiTheme="minorHAnsi" w:hAnsiTheme="minorHAnsi" w:cstheme="minorHAnsi"/>
          <w:i w:val="0"/>
          <w:color w:val="auto"/>
        </w:rPr>
        <w:t xml:space="preserve"> - Population selon la région au 31 mars 2019</w:t>
      </w:r>
    </w:p>
    <w:p w14:paraId="27FC9A8A" w14:textId="1375659D" w:rsidR="00650BCD" w:rsidRPr="002D39D0" w:rsidRDefault="00650BCD" w:rsidP="007C1E3E">
      <w:pPr>
        <w:pStyle w:val="Caption"/>
        <w:keepNext/>
        <w:spacing w:before="240" w:after="0"/>
        <w:jc w:val="center"/>
        <w:rPr>
          <w:rFonts w:asciiTheme="minorHAnsi" w:hAnsiTheme="minorHAnsi" w:cstheme="minorHAnsi"/>
          <w:i w:val="0"/>
          <w:color w:val="auto"/>
        </w:rPr>
      </w:pPr>
      <w:r w:rsidRPr="002D39D0">
        <w:rPr>
          <w:rFonts w:asciiTheme="minorHAnsi" w:hAnsiTheme="minorHAnsi" w:cstheme="minorHAnsi"/>
          <w:i w:val="0"/>
          <w:color w:val="auto"/>
        </w:rPr>
        <w:t xml:space="preserve">Table </w:t>
      </w:r>
      <w:r w:rsidRPr="006C61AE">
        <w:rPr>
          <w:rFonts w:asciiTheme="minorHAnsi" w:hAnsiTheme="minorHAnsi" w:cstheme="minorHAnsi"/>
          <w:i w:val="0"/>
          <w:color w:val="auto"/>
        </w:rPr>
        <w:fldChar w:fldCharType="begin"/>
      </w:r>
      <w:r w:rsidRPr="002D39D0">
        <w:rPr>
          <w:rFonts w:asciiTheme="minorHAnsi" w:hAnsiTheme="minorHAnsi" w:cstheme="minorHAnsi"/>
          <w:i w:val="0"/>
          <w:color w:val="auto"/>
        </w:rPr>
        <w:instrText xml:space="preserve"> SEQ Table \* ARABIC </w:instrText>
      </w:r>
      <w:r w:rsidRPr="006C61AE">
        <w:rPr>
          <w:rFonts w:asciiTheme="minorHAnsi" w:hAnsiTheme="minorHAnsi" w:cstheme="minorHAnsi"/>
          <w:i w:val="0"/>
          <w:color w:val="auto"/>
        </w:rPr>
        <w:fldChar w:fldCharType="separate"/>
      </w:r>
      <w:r w:rsidR="00C42F1B" w:rsidRPr="002D39D0">
        <w:rPr>
          <w:rFonts w:asciiTheme="minorHAnsi" w:hAnsiTheme="minorHAnsi" w:cstheme="minorHAnsi"/>
          <w:i w:val="0"/>
          <w:noProof/>
          <w:color w:val="auto"/>
        </w:rPr>
        <w:t>9</w:t>
      </w:r>
      <w:r w:rsidRPr="006C61AE">
        <w:rPr>
          <w:rFonts w:asciiTheme="minorHAnsi" w:hAnsiTheme="minorHAnsi" w:cstheme="minorHAnsi"/>
          <w:i w:val="0"/>
          <w:color w:val="auto"/>
        </w:rPr>
        <w:fldChar w:fldCharType="end"/>
      </w:r>
      <w:r w:rsidRPr="002D39D0">
        <w:rPr>
          <w:rFonts w:asciiTheme="minorHAnsi" w:hAnsiTheme="minorHAnsi" w:cstheme="minorHAnsi"/>
          <w:i w:val="0"/>
          <w:color w:val="auto"/>
        </w:rPr>
        <w:t xml:space="preserve"> - Effectif par région, pourcentage de l'effectif régi par la </w:t>
      </w:r>
      <w:r w:rsidRPr="004721CE">
        <w:rPr>
          <w:rStyle w:val="Emphasis"/>
          <w:i/>
          <w:sz w:val="18"/>
        </w:rPr>
        <w:t>Loi sur l’emploi dans la fonction publique</w:t>
      </w:r>
      <w:r w:rsidRPr="004721CE">
        <w:rPr>
          <w:rFonts w:asciiTheme="minorHAnsi" w:hAnsiTheme="minorHAnsi" w:cstheme="minorHAnsi"/>
          <w:i w:val="0"/>
          <w:color w:val="auto"/>
          <w:sz w:val="14"/>
        </w:rPr>
        <w:t xml:space="preserve"> </w:t>
      </w:r>
      <w:r w:rsidRPr="002D39D0">
        <w:rPr>
          <w:rFonts w:asciiTheme="minorHAnsi" w:hAnsiTheme="minorHAnsi" w:cstheme="minorHAnsi"/>
          <w:i w:val="0"/>
          <w:color w:val="auto"/>
        </w:rPr>
        <w:t>au 31 mars 2019</w:t>
      </w:r>
    </w:p>
    <w:tbl>
      <w:tblPr>
        <w:tblStyle w:val="TableGrid"/>
        <w:tblW w:w="5000" w:type="pct"/>
        <w:jc w:val="center"/>
        <w:tblLook w:val="0020" w:firstRow="1" w:lastRow="0" w:firstColumn="0" w:lastColumn="0" w:noHBand="0" w:noVBand="0"/>
        <w:tblDescription w:val="Effectif selon la région au 31 mars 2019"/>
      </w:tblPr>
      <w:tblGrid>
        <w:gridCol w:w="4532"/>
        <w:gridCol w:w="4393"/>
        <w:gridCol w:w="5545"/>
      </w:tblGrid>
      <w:tr w:rsidR="00650BCD" w:rsidRPr="004721CE" w14:paraId="0DE1EA3E" w14:textId="77777777" w:rsidTr="00222D78">
        <w:trPr>
          <w:cantSplit/>
          <w:trHeight w:val="290"/>
          <w:tblHeader/>
          <w:jc w:val="center"/>
        </w:trPr>
        <w:tc>
          <w:tcPr>
            <w:tcW w:w="1566" w:type="pct"/>
          </w:tcPr>
          <w:p w14:paraId="20C15E2D" w14:textId="77777777" w:rsidR="00650BCD" w:rsidRPr="004721CE" w:rsidRDefault="00650BCD" w:rsidP="000F48C6">
            <w:pPr>
              <w:pStyle w:val="TableTitle"/>
              <w:rPr>
                <w:b w:val="0"/>
              </w:rPr>
            </w:pPr>
            <w:r w:rsidRPr="004721CE">
              <w:rPr>
                <w:b w:val="0"/>
              </w:rPr>
              <w:t>Région</w:t>
            </w:r>
          </w:p>
        </w:tc>
        <w:tc>
          <w:tcPr>
            <w:tcW w:w="1518" w:type="pct"/>
          </w:tcPr>
          <w:p w14:paraId="3546A71C" w14:textId="77777777" w:rsidR="00650BCD" w:rsidRPr="004721CE" w:rsidRDefault="00650BCD" w:rsidP="000F48C6">
            <w:pPr>
              <w:pStyle w:val="TableTitle"/>
              <w:rPr>
                <w:b w:val="0"/>
              </w:rPr>
            </w:pPr>
            <w:r w:rsidRPr="004721CE">
              <w:rPr>
                <w:b w:val="0"/>
              </w:rPr>
              <w:t>Effectif au 31 mars 2019</w:t>
            </w:r>
          </w:p>
        </w:tc>
        <w:tc>
          <w:tcPr>
            <w:tcW w:w="1916" w:type="pct"/>
          </w:tcPr>
          <w:p w14:paraId="7285B0F0" w14:textId="77777777" w:rsidR="00650BCD" w:rsidRPr="004721CE" w:rsidRDefault="00650BCD" w:rsidP="000F48C6">
            <w:pPr>
              <w:pStyle w:val="TableTitle"/>
              <w:rPr>
                <w:b w:val="0"/>
              </w:rPr>
            </w:pPr>
            <w:r w:rsidRPr="004721CE">
              <w:rPr>
                <w:b w:val="0"/>
              </w:rPr>
              <w:t>Pourcentage de l'effectif au 31 mars 2019</w:t>
            </w:r>
          </w:p>
        </w:tc>
      </w:tr>
      <w:tr w:rsidR="00650BCD" w:rsidRPr="002D39D0" w14:paraId="5787BBA3" w14:textId="77777777" w:rsidTr="00222D78">
        <w:trPr>
          <w:cantSplit/>
          <w:trHeight w:val="290"/>
          <w:tblHeader/>
          <w:jc w:val="center"/>
        </w:trPr>
        <w:tc>
          <w:tcPr>
            <w:tcW w:w="1566" w:type="pct"/>
          </w:tcPr>
          <w:p w14:paraId="2EE3F429" w14:textId="77777777" w:rsidR="00650BCD" w:rsidRPr="002D39D0" w:rsidRDefault="00650BCD" w:rsidP="000F48C6">
            <w:pPr>
              <w:autoSpaceDE w:val="0"/>
              <w:autoSpaceDN w:val="0"/>
              <w:adjustRightInd w:val="0"/>
              <w:rPr>
                <w:rFonts w:asciiTheme="minorHAnsi" w:hAnsiTheme="minorHAnsi" w:cstheme="minorHAnsi"/>
                <w:color w:val="000000"/>
                <w:sz w:val="22"/>
                <w:szCs w:val="24"/>
              </w:rPr>
            </w:pPr>
            <w:r w:rsidRPr="002D39D0">
              <w:rPr>
                <w:rFonts w:asciiTheme="minorHAnsi" w:hAnsiTheme="minorHAnsi" w:cstheme="minorHAnsi"/>
                <w:color w:val="000000"/>
                <w:sz w:val="22"/>
                <w:szCs w:val="24"/>
              </w:rPr>
              <w:t>Région de la capitale nationale (RCN)</w:t>
            </w:r>
          </w:p>
        </w:tc>
        <w:tc>
          <w:tcPr>
            <w:tcW w:w="1518" w:type="pct"/>
          </w:tcPr>
          <w:p w14:paraId="7A1AA61A" w14:textId="77777777" w:rsidR="00650BCD" w:rsidRPr="002D39D0" w:rsidRDefault="00650BCD" w:rsidP="000F48C6">
            <w:pPr>
              <w:autoSpaceDE w:val="0"/>
              <w:autoSpaceDN w:val="0"/>
              <w:adjustRightInd w:val="0"/>
              <w:jc w:val="center"/>
              <w:rPr>
                <w:rFonts w:asciiTheme="minorHAnsi" w:hAnsiTheme="minorHAnsi" w:cstheme="minorHAnsi"/>
                <w:color w:val="000000"/>
                <w:sz w:val="22"/>
                <w:szCs w:val="24"/>
              </w:rPr>
            </w:pPr>
            <w:r w:rsidRPr="002D39D0">
              <w:rPr>
                <w:rFonts w:asciiTheme="minorHAnsi" w:hAnsiTheme="minorHAnsi" w:cstheme="minorHAnsi"/>
                <w:color w:val="000000"/>
                <w:sz w:val="22"/>
                <w:szCs w:val="24"/>
              </w:rPr>
              <w:t>5 366</w:t>
            </w:r>
          </w:p>
        </w:tc>
        <w:tc>
          <w:tcPr>
            <w:tcW w:w="1916" w:type="pct"/>
          </w:tcPr>
          <w:p w14:paraId="6B633226" w14:textId="71E42452" w:rsidR="00650BCD" w:rsidRPr="002D39D0" w:rsidRDefault="00650BCD" w:rsidP="000F48C6">
            <w:pPr>
              <w:autoSpaceDE w:val="0"/>
              <w:autoSpaceDN w:val="0"/>
              <w:adjustRightInd w:val="0"/>
              <w:jc w:val="center"/>
              <w:rPr>
                <w:rFonts w:asciiTheme="minorHAnsi" w:hAnsiTheme="minorHAnsi" w:cstheme="minorHAnsi"/>
                <w:color w:val="000000"/>
                <w:sz w:val="22"/>
                <w:szCs w:val="24"/>
              </w:rPr>
            </w:pPr>
            <w:r w:rsidRPr="002D39D0">
              <w:rPr>
                <w:rFonts w:asciiTheme="minorHAnsi" w:hAnsiTheme="minorHAnsi" w:cstheme="minorHAnsi"/>
                <w:color w:val="000000"/>
                <w:sz w:val="22"/>
                <w:szCs w:val="24"/>
              </w:rPr>
              <w:t>82</w:t>
            </w:r>
            <w:r w:rsidR="00496253">
              <w:rPr>
                <w:rFonts w:asciiTheme="minorHAnsi" w:hAnsiTheme="minorHAnsi" w:cstheme="minorHAnsi"/>
                <w:color w:val="000000"/>
                <w:sz w:val="22"/>
                <w:szCs w:val="24"/>
              </w:rPr>
              <w:t xml:space="preserve"> </w:t>
            </w:r>
            <w:r w:rsidRPr="002D39D0">
              <w:rPr>
                <w:rFonts w:asciiTheme="minorHAnsi" w:hAnsiTheme="minorHAnsi" w:cstheme="minorHAnsi"/>
                <w:color w:val="000000"/>
                <w:sz w:val="22"/>
                <w:szCs w:val="24"/>
              </w:rPr>
              <w:t>%</w:t>
            </w:r>
          </w:p>
        </w:tc>
      </w:tr>
      <w:tr w:rsidR="00650BCD" w:rsidRPr="002D39D0" w14:paraId="44E49B34" w14:textId="77777777" w:rsidTr="00222D78">
        <w:trPr>
          <w:cantSplit/>
          <w:trHeight w:val="290"/>
          <w:tblHeader/>
          <w:jc w:val="center"/>
        </w:trPr>
        <w:tc>
          <w:tcPr>
            <w:tcW w:w="1566" w:type="pct"/>
          </w:tcPr>
          <w:p w14:paraId="0D364258" w14:textId="77777777" w:rsidR="00650BCD" w:rsidRPr="002D39D0" w:rsidRDefault="00650BCD" w:rsidP="000F48C6">
            <w:pPr>
              <w:autoSpaceDE w:val="0"/>
              <w:autoSpaceDN w:val="0"/>
              <w:adjustRightInd w:val="0"/>
              <w:rPr>
                <w:rFonts w:asciiTheme="minorHAnsi" w:hAnsiTheme="minorHAnsi" w:cstheme="minorHAnsi"/>
                <w:color w:val="000000"/>
                <w:sz w:val="22"/>
                <w:szCs w:val="24"/>
              </w:rPr>
            </w:pPr>
            <w:r w:rsidRPr="002D39D0">
              <w:rPr>
                <w:rFonts w:asciiTheme="minorHAnsi" w:hAnsiTheme="minorHAnsi" w:cstheme="minorHAnsi"/>
                <w:color w:val="000000"/>
                <w:sz w:val="22"/>
                <w:szCs w:val="24"/>
              </w:rPr>
              <w:t>Régions à l’extérieur de la RCN</w:t>
            </w:r>
          </w:p>
        </w:tc>
        <w:tc>
          <w:tcPr>
            <w:tcW w:w="1518" w:type="pct"/>
          </w:tcPr>
          <w:p w14:paraId="759BF38C" w14:textId="77777777" w:rsidR="00650BCD" w:rsidRPr="002D39D0" w:rsidRDefault="00650BCD" w:rsidP="000F48C6">
            <w:pPr>
              <w:autoSpaceDE w:val="0"/>
              <w:autoSpaceDN w:val="0"/>
              <w:adjustRightInd w:val="0"/>
              <w:jc w:val="center"/>
              <w:rPr>
                <w:rFonts w:asciiTheme="minorHAnsi" w:hAnsiTheme="minorHAnsi" w:cstheme="minorHAnsi"/>
                <w:color w:val="000000"/>
                <w:sz w:val="22"/>
                <w:szCs w:val="24"/>
              </w:rPr>
            </w:pPr>
            <w:r w:rsidRPr="002D39D0">
              <w:rPr>
                <w:rFonts w:asciiTheme="minorHAnsi" w:hAnsiTheme="minorHAnsi" w:cstheme="minorHAnsi"/>
                <w:color w:val="000000"/>
                <w:sz w:val="22"/>
                <w:szCs w:val="24"/>
              </w:rPr>
              <w:t>1 187</w:t>
            </w:r>
          </w:p>
        </w:tc>
        <w:tc>
          <w:tcPr>
            <w:tcW w:w="1916" w:type="pct"/>
          </w:tcPr>
          <w:p w14:paraId="7ADB29EE" w14:textId="138224A2" w:rsidR="00650BCD" w:rsidRPr="002D39D0" w:rsidRDefault="00650BCD" w:rsidP="000F48C6">
            <w:pPr>
              <w:autoSpaceDE w:val="0"/>
              <w:autoSpaceDN w:val="0"/>
              <w:adjustRightInd w:val="0"/>
              <w:jc w:val="center"/>
              <w:rPr>
                <w:rFonts w:asciiTheme="minorHAnsi" w:hAnsiTheme="minorHAnsi" w:cstheme="minorHAnsi"/>
                <w:color w:val="000000"/>
                <w:sz w:val="22"/>
                <w:szCs w:val="24"/>
              </w:rPr>
            </w:pPr>
            <w:r w:rsidRPr="002D39D0">
              <w:rPr>
                <w:rFonts w:asciiTheme="minorHAnsi" w:hAnsiTheme="minorHAnsi" w:cstheme="minorHAnsi"/>
                <w:color w:val="000000"/>
                <w:sz w:val="22"/>
                <w:szCs w:val="24"/>
              </w:rPr>
              <w:t>18</w:t>
            </w:r>
            <w:r w:rsidR="00496253">
              <w:rPr>
                <w:rFonts w:asciiTheme="minorHAnsi" w:hAnsiTheme="minorHAnsi" w:cstheme="minorHAnsi"/>
                <w:color w:val="000000"/>
                <w:sz w:val="22"/>
                <w:szCs w:val="24"/>
              </w:rPr>
              <w:t xml:space="preserve"> </w:t>
            </w:r>
            <w:r w:rsidRPr="002D39D0">
              <w:rPr>
                <w:rFonts w:asciiTheme="minorHAnsi" w:hAnsiTheme="minorHAnsi" w:cstheme="minorHAnsi"/>
                <w:color w:val="000000"/>
                <w:sz w:val="22"/>
                <w:szCs w:val="24"/>
              </w:rPr>
              <w:t>%</w:t>
            </w:r>
          </w:p>
        </w:tc>
      </w:tr>
      <w:tr w:rsidR="00650BCD" w:rsidRPr="002D39D0" w14:paraId="0F08DD85" w14:textId="77777777" w:rsidTr="00222D78">
        <w:trPr>
          <w:cantSplit/>
          <w:trHeight w:val="290"/>
          <w:tblHeader/>
          <w:jc w:val="center"/>
        </w:trPr>
        <w:tc>
          <w:tcPr>
            <w:tcW w:w="1566" w:type="pct"/>
          </w:tcPr>
          <w:p w14:paraId="1122EA97" w14:textId="77777777" w:rsidR="00650BCD" w:rsidRPr="002D39D0" w:rsidRDefault="00650BCD" w:rsidP="000F48C6">
            <w:pPr>
              <w:autoSpaceDE w:val="0"/>
              <w:autoSpaceDN w:val="0"/>
              <w:adjustRightInd w:val="0"/>
              <w:rPr>
                <w:rFonts w:asciiTheme="minorHAnsi" w:hAnsiTheme="minorHAnsi" w:cstheme="minorHAnsi"/>
                <w:color w:val="000000"/>
                <w:sz w:val="22"/>
                <w:szCs w:val="24"/>
              </w:rPr>
            </w:pPr>
            <w:r w:rsidRPr="002D39D0">
              <w:rPr>
                <w:rFonts w:asciiTheme="minorHAnsi" w:hAnsiTheme="minorHAnsi" w:cstheme="minorHAnsi"/>
                <w:color w:val="000000"/>
                <w:sz w:val="22"/>
                <w:szCs w:val="24"/>
              </w:rPr>
              <w:t>Inconnus</w:t>
            </w:r>
          </w:p>
        </w:tc>
        <w:tc>
          <w:tcPr>
            <w:tcW w:w="1518" w:type="pct"/>
          </w:tcPr>
          <w:p w14:paraId="038E6E63" w14:textId="77777777" w:rsidR="00650BCD" w:rsidRPr="002D39D0" w:rsidRDefault="00650BCD" w:rsidP="000F48C6">
            <w:pPr>
              <w:autoSpaceDE w:val="0"/>
              <w:autoSpaceDN w:val="0"/>
              <w:adjustRightInd w:val="0"/>
              <w:jc w:val="center"/>
              <w:rPr>
                <w:rFonts w:asciiTheme="minorHAnsi" w:hAnsiTheme="minorHAnsi" w:cstheme="minorHAnsi"/>
                <w:color w:val="000000"/>
                <w:sz w:val="22"/>
                <w:szCs w:val="24"/>
              </w:rPr>
            </w:pPr>
            <w:r w:rsidRPr="002D39D0">
              <w:rPr>
                <w:rFonts w:asciiTheme="minorHAnsi" w:hAnsiTheme="minorHAnsi" w:cstheme="minorHAnsi"/>
                <w:color w:val="000000"/>
                <w:sz w:val="22"/>
                <w:szCs w:val="24"/>
              </w:rPr>
              <w:t>3</w:t>
            </w:r>
          </w:p>
        </w:tc>
        <w:tc>
          <w:tcPr>
            <w:tcW w:w="1916" w:type="pct"/>
          </w:tcPr>
          <w:p w14:paraId="0A2D830A" w14:textId="0E2C28E7" w:rsidR="00650BCD" w:rsidRPr="002D39D0" w:rsidRDefault="00C42F1B" w:rsidP="000F48C6">
            <w:pPr>
              <w:autoSpaceDE w:val="0"/>
              <w:autoSpaceDN w:val="0"/>
              <w:adjustRightInd w:val="0"/>
              <w:jc w:val="center"/>
              <w:rPr>
                <w:rFonts w:asciiTheme="minorHAnsi" w:hAnsiTheme="minorHAnsi" w:cstheme="minorHAnsi"/>
                <w:color w:val="000000"/>
                <w:sz w:val="22"/>
                <w:szCs w:val="24"/>
              </w:rPr>
            </w:pPr>
            <w:r w:rsidRPr="002D39D0">
              <w:rPr>
                <w:rFonts w:asciiTheme="minorHAnsi" w:hAnsiTheme="minorHAnsi" w:cstheme="minorHAnsi"/>
                <w:color w:val="000000"/>
                <w:sz w:val="22"/>
                <w:szCs w:val="24"/>
              </w:rPr>
              <w:t>0</w:t>
            </w:r>
            <w:r w:rsidR="00496253">
              <w:rPr>
                <w:rFonts w:asciiTheme="minorHAnsi" w:hAnsiTheme="minorHAnsi" w:cstheme="minorHAnsi"/>
                <w:color w:val="000000"/>
                <w:sz w:val="22"/>
                <w:szCs w:val="24"/>
              </w:rPr>
              <w:t xml:space="preserve"> </w:t>
            </w:r>
            <w:r w:rsidRPr="002D39D0">
              <w:rPr>
                <w:rFonts w:asciiTheme="minorHAnsi" w:hAnsiTheme="minorHAnsi" w:cstheme="minorHAnsi"/>
                <w:color w:val="000000"/>
                <w:sz w:val="22"/>
                <w:szCs w:val="24"/>
              </w:rPr>
              <w:t>%</w:t>
            </w:r>
          </w:p>
        </w:tc>
      </w:tr>
    </w:tbl>
    <w:p w14:paraId="6226E459" w14:textId="77777777" w:rsidR="00650BCD" w:rsidRPr="002D39D0" w:rsidRDefault="00650BCD" w:rsidP="00813771">
      <w:pPr>
        <w:tabs>
          <w:tab w:val="left" w:pos="7839"/>
        </w:tabs>
        <w:jc w:val="center"/>
        <w:rPr>
          <w:rFonts w:asciiTheme="minorHAnsi" w:hAnsiTheme="minorHAnsi" w:cstheme="minorHAnsi"/>
          <w:b/>
          <w:sz w:val="18"/>
          <w:szCs w:val="18"/>
        </w:rPr>
      </w:pPr>
    </w:p>
    <w:p w14:paraId="09130A8B" w14:textId="77777777" w:rsidR="00650BCD" w:rsidRPr="002D39D0" w:rsidRDefault="00650BCD" w:rsidP="00813771">
      <w:pPr>
        <w:tabs>
          <w:tab w:val="left" w:pos="7839"/>
        </w:tabs>
        <w:jc w:val="center"/>
        <w:rPr>
          <w:rFonts w:asciiTheme="minorHAnsi" w:hAnsiTheme="minorHAnsi" w:cstheme="minorHAnsi"/>
          <w:b/>
          <w:sz w:val="18"/>
          <w:szCs w:val="18"/>
        </w:rPr>
        <w:sectPr w:rsidR="00650BCD" w:rsidRPr="002D39D0" w:rsidSect="00813771">
          <w:pgSz w:w="15840" w:h="12240" w:orient="landscape"/>
          <w:pgMar w:top="680" w:right="680" w:bottom="680" w:left="680" w:header="567" w:footer="567" w:gutter="0"/>
          <w:cols w:space="708"/>
          <w:titlePg/>
          <w:docGrid w:linePitch="360"/>
        </w:sectPr>
      </w:pPr>
    </w:p>
    <w:p w14:paraId="3A8832AA" w14:textId="77777777" w:rsidR="00DD662D" w:rsidRPr="004A03D8" w:rsidRDefault="00DD662D" w:rsidP="00E45026">
      <w:pPr>
        <w:pStyle w:val="Heading1"/>
        <w:spacing w:before="120" w:after="120"/>
        <w:rPr>
          <w:sz w:val="36"/>
        </w:rPr>
      </w:pPr>
      <w:r w:rsidRPr="004A03D8">
        <w:rPr>
          <w:rFonts w:eastAsia="Times New Roman"/>
          <w:sz w:val="36"/>
        </w:rPr>
        <w:lastRenderedPageBreak/>
        <w:t>Embauche externe pour une période indéterminée selon le groupe professionnel, 2018-2019</w:t>
      </w:r>
    </w:p>
    <w:p w14:paraId="160C7821" w14:textId="77777777" w:rsidR="00490C11" w:rsidRPr="002D39D0" w:rsidRDefault="00E56E7F" w:rsidP="00490C11">
      <w:pPr>
        <w:keepNext/>
        <w:tabs>
          <w:tab w:val="left" w:pos="7839"/>
        </w:tabs>
        <w:jc w:val="center"/>
      </w:pPr>
      <w:r w:rsidRPr="007C1E3E">
        <w:rPr>
          <w:rStyle w:val="Strong"/>
          <w:noProof/>
          <w:lang w:val="en-CA" w:eastAsia="en-CA"/>
        </w:rPr>
        <w:drawing>
          <wp:inline distT="0" distB="0" distL="0" distR="0" wp14:anchorId="3F7B04E4" wp14:editId="6D777F42">
            <wp:extent cx="1980000" cy="3020400"/>
            <wp:effectExtent l="0" t="0" r="1270" b="8890"/>
            <wp:docPr id="7" name="Chart 7" descr="Embauche externe pour une période indéterminée selon le groupe professionnel 2018-19"/>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776951B1" w14:textId="50C5A992" w:rsidR="00490C11" w:rsidRPr="002D39D0" w:rsidRDefault="00490C11" w:rsidP="007C1E3E">
      <w:pPr>
        <w:pStyle w:val="Caption"/>
        <w:spacing w:after="0"/>
        <w:jc w:val="center"/>
        <w:rPr>
          <w:rFonts w:asciiTheme="minorHAnsi" w:hAnsiTheme="minorHAnsi" w:cstheme="minorHAnsi"/>
          <w:i w:val="0"/>
          <w:color w:val="auto"/>
        </w:rPr>
      </w:pPr>
      <w:r w:rsidRPr="002D39D0">
        <w:rPr>
          <w:rFonts w:asciiTheme="minorHAnsi" w:hAnsiTheme="minorHAnsi" w:cstheme="minorHAnsi"/>
          <w:i w:val="0"/>
          <w:color w:val="auto"/>
        </w:rPr>
        <w:t xml:space="preserve">Figure </w:t>
      </w:r>
      <w:r w:rsidRPr="006C61AE">
        <w:rPr>
          <w:rFonts w:asciiTheme="minorHAnsi" w:hAnsiTheme="minorHAnsi" w:cstheme="minorHAnsi"/>
          <w:i w:val="0"/>
          <w:color w:val="auto"/>
        </w:rPr>
        <w:fldChar w:fldCharType="begin"/>
      </w:r>
      <w:r w:rsidRPr="002D39D0">
        <w:rPr>
          <w:rFonts w:asciiTheme="minorHAnsi" w:hAnsiTheme="minorHAnsi" w:cstheme="minorHAnsi"/>
          <w:i w:val="0"/>
          <w:color w:val="auto"/>
        </w:rPr>
        <w:instrText xml:space="preserve"> SEQ Figure \* ARABIC </w:instrText>
      </w:r>
      <w:r w:rsidRPr="006C61AE">
        <w:rPr>
          <w:rFonts w:asciiTheme="minorHAnsi" w:hAnsiTheme="minorHAnsi" w:cstheme="minorHAnsi"/>
          <w:i w:val="0"/>
          <w:color w:val="auto"/>
        </w:rPr>
        <w:fldChar w:fldCharType="separate"/>
      </w:r>
      <w:r w:rsidR="00DE5258" w:rsidRPr="002D39D0">
        <w:rPr>
          <w:rFonts w:asciiTheme="minorHAnsi" w:hAnsiTheme="minorHAnsi" w:cstheme="minorHAnsi"/>
          <w:i w:val="0"/>
          <w:noProof/>
          <w:color w:val="auto"/>
        </w:rPr>
        <w:t>5</w:t>
      </w:r>
      <w:r w:rsidRPr="006C61AE">
        <w:rPr>
          <w:rFonts w:asciiTheme="minorHAnsi" w:hAnsiTheme="minorHAnsi" w:cstheme="minorHAnsi"/>
          <w:i w:val="0"/>
          <w:color w:val="auto"/>
        </w:rPr>
        <w:fldChar w:fldCharType="end"/>
      </w:r>
      <w:r w:rsidRPr="002D39D0">
        <w:rPr>
          <w:rFonts w:asciiTheme="minorHAnsi" w:hAnsiTheme="minorHAnsi" w:cstheme="minorHAnsi"/>
          <w:i w:val="0"/>
          <w:color w:val="auto"/>
        </w:rPr>
        <w:t xml:space="preserve"> - Embauche externe pour une période indéterminée selon le groupe professionnel,</w:t>
      </w:r>
      <w:r w:rsidR="00E5128F">
        <w:rPr>
          <w:rFonts w:asciiTheme="minorHAnsi" w:hAnsiTheme="minorHAnsi" w:cstheme="minorHAnsi"/>
          <w:i w:val="0"/>
          <w:color w:val="auto"/>
        </w:rPr>
        <w:t xml:space="preserve"> 2018-2019</w:t>
      </w:r>
    </w:p>
    <w:p w14:paraId="1E6FECFD" w14:textId="033C8B74" w:rsidR="00DE32DF" w:rsidRPr="002D39D0" w:rsidRDefault="00DE32DF" w:rsidP="007C1E3E">
      <w:pPr>
        <w:pStyle w:val="Caption"/>
        <w:keepNext/>
        <w:spacing w:before="240" w:after="0"/>
        <w:jc w:val="center"/>
        <w:rPr>
          <w:rFonts w:asciiTheme="minorHAnsi" w:hAnsiTheme="minorHAnsi" w:cstheme="minorHAnsi"/>
          <w:i w:val="0"/>
          <w:color w:val="auto"/>
        </w:rPr>
      </w:pPr>
      <w:r w:rsidRPr="002D39D0">
        <w:rPr>
          <w:rFonts w:asciiTheme="minorHAnsi" w:hAnsiTheme="minorHAnsi" w:cstheme="minorHAnsi"/>
          <w:i w:val="0"/>
          <w:color w:val="auto"/>
        </w:rPr>
        <w:t xml:space="preserve">Table </w:t>
      </w:r>
      <w:r w:rsidRPr="006C61AE">
        <w:rPr>
          <w:rFonts w:asciiTheme="minorHAnsi" w:hAnsiTheme="minorHAnsi" w:cstheme="minorHAnsi"/>
          <w:i w:val="0"/>
          <w:color w:val="auto"/>
        </w:rPr>
        <w:fldChar w:fldCharType="begin"/>
      </w:r>
      <w:r w:rsidRPr="002D39D0">
        <w:rPr>
          <w:rFonts w:asciiTheme="minorHAnsi" w:hAnsiTheme="minorHAnsi" w:cstheme="minorHAnsi"/>
          <w:i w:val="0"/>
          <w:color w:val="auto"/>
        </w:rPr>
        <w:instrText xml:space="preserve"> SEQ Table \* ARABIC </w:instrText>
      </w:r>
      <w:r w:rsidRPr="006C61AE">
        <w:rPr>
          <w:rFonts w:asciiTheme="minorHAnsi" w:hAnsiTheme="minorHAnsi" w:cstheme="minorHAnsi"/>
          <w:i w:val="0"/>
          <w:color w:val="auto"/>
        </w:rPr>
        <w:fldChar w:fldCharType="separate"/>
      </w:r>
      <w:r w:rsidR="00C42F1B" w:rsidRPr="002D39D0">
        <w:rPr>
          <w:rFonts w:asciiTheme="minorHAnsi" w:hAnsiTheme="minorHAnsi" w:cstheme="minorHAnsi"/>
          <w:i w:val="0"/>
          <w:noProof/>
          <w:color w:val="auto"/>
        </w:rPr>
        <w:t>10</w:t>
      </w:r>
      <w:r w:rsidRPr="006C61AE">
        <w:rPr>
          <w:rFonts w:asciiTheme="minorHAnsi" w:hAnsiTheme="minorHAnsi" w:cstheme="minorHAnsi"/>
          <w:i w:val="0"/>
          <w:color w:val="auto"/>
        </w:rPr>
        <w:fldChar w:fldCharType="end"/>
      </w:r>
      <w:r w:rsidRPr="002D39D0">
        <w:rPr>
          <w:rFonts w:asciiTheme="minorHAnsi" w:hAnsiTheme="minorHAnsi" w:cstheme="minorHAnsi"/>
          <w:i w:val="0"/>
          <w:color w:val="auto"/>
        </w:rPr>
        <w:t xml:space="preserve"> - Embauche externe à des postes pour une période indéterminée selon le groupe professionnel, de 2018 à 2019</w:t>
      </w:r>
    </w:p>
    <w:tbl>
      <w:tblPr>
        <w:tblStyle w:val="TableGrid"/>
        <w:tblW w:w="5000" w:type="pct"/>
        <w:jc w:val="center"/>
        <w:tblLook w:val="0020" w:firstRow="1" w:lastRow="0" w:firstColumn="0" w:lastColumn="0" w:noHBand="0" w:noVBand="0"/>
        <w:tblDescription w:val="Embauches externes indéterminées selon le groupe professionnel 2018-2019"/>
      </w:tblPr>
      <w:tblGrid>
        <w:gridCol w:w="3255"/>
        <w:gridCol w:w="5386"/>
        <w:gridCol w:w="5829"/>
      </w:tblGrid>
      <w:tr w:rsidR="00DE32DF" w:rsidRPr="004721CE" w14:paraId="0CA9D0EA" w14:textId="77777777" w:rsidTr="00222D78">
        <w:trPr>
          <w:cantSplit/>
          <w:trHeight w:val="290"/>
          <w:tblHeader/>
          <w:jc w:val="center"/>
        </w:trPr>
        <w:tc>
          <w:tcPr>
            <w:tcW w:w="1125" w:type="pct"/>
          </w:tcPr>
          <w:p w14:paraId="46E358C9" w14:textId="77777777" w:rsidR="00DE32DF" w:rsidRPr="004721CE" w:rsidRDefault="00DE32DF" w:rsidP="000F48C6">
            <w:pPr>
              <w:pStyle w:val="TableTitle"/>
              <w:rPr>
                <w:b w:val="0"/>
              </w:rPr>
            </w:pPr>
            <w:r w:rsidRPr="004721CE">
              <w:rPr>
                <w:b w:val="0"/>
              </w:rPr>
              <w:t>Groupes professionnels</w:t>
            </w:r>
          </w:p>
        </w:tc>
        <w:tc>
          <w:tcPr>
            <w:tcW w:w="1861" w:type="pct"/>
          </w:tcPr>
          <w:p w14:paraId="1AD1FDAD" w14:textId="77777777" w:rsidR="00DE32DF" w:rsidRPr="004721CE" w:rsidRDefault="00DE32DF" w:rsidP="00E45026">
            <w:pPr>
              <w:pStyle w:val="TableTitle"/>
              <w:rPr>
                <w:b w:val="0"/>
              </w:rPr>
            </w:pPr>
            <w:r w:rsidRPr="004721CE">
              <w:rPr>
                <w:b w:val="0"/>
              </w:rPr>
              <w:t>Nombre d'embauches pour une période indéterminée dans</w:t>
            </w:r>
            <w:r w:rsidR="00E45026" w:rsidRPr="004721CE">
              <w:rPr>
                <w:b w:val="0"/>
              </w:rPr>
              <w:t xml:space="preserve"> </w:t>
            </w:r>
            <w:r w:rsidRPr="004721CE">
              <w:rPr>
                <w:b w:val="0"/>
              </w:rPr>
              <w:t>l’organisation</w:t>
            </w:r>
          </w:p>
        </w:tc>
        <w:tc>
          <w:tcPr>
            <w:tcW w:w="2014" w:type="pct"/>
          </w:tcPr>
          <w:p w14:paraId="04FD837C" w14:textId="77777777" w:rsidR="00DE32DF" w:rsidRPr="004721CE" w:rsidRDefault="00DE32DF" w:rsidP="000F48C6">
            <w:pPr>
              <w:pStyle w:val="TableTitle"/>
              <w:rPr>
                <w:b w:val="0"/>
              </w:rPr>
            </w:pPr>
            <w:r w:rsidRPr="004721CE">
              <w:rPr>
                <w:b w:val="0"/>
              </w:rPr>
              <w:t>Pourcentage d'embauches pour une période indéterminée dans l’organisation</w:t>
            </w:r>
          </w:p>
        </w:tc>
      </w:tr>
      <w:tr w:rsidR="00DE32DF" w:rsidRPr="002D39D0" w14:paraId="072EA825" w14:textId="77777777" w:rsidTr="00222D78">
        <w:trPr>
          <w:cantSplit/>
          <w:trHeight w:val="290"/>
          <w:tblHeader/>
          <w:jc w:val="center"/>
        </w:trPr>
        <w:tc>
          <w:tcPr>
            <w:tcW w:w="1125" w:type="pct"/>
          </w:tcPr>
          <w:p w14:paraId="69C06291" w14:textId="77777777" w:rsidR="00DE32DF" w:rsidRPr="002D39D0" w:rsidRDefault="00DE32DF" w:rsidP="000F48C6">
            <w:pPr>
              <w:autoSpaceDE w:val="0"/>
              <w:autoSpaceDN w:val="0"/>
              <w:adjustRightInd w:val="0"/>
              <w:rPr>
                <w:rFonts w:asciiTheme="minorHAnsi" w:hAnsiTheme="minorHAnsi" w:cstheme="minorHAnsi"/>
                <w:color w:val="000000"/>
                <w:sz w:val="22"/>
                <w:szCs w:val="24"/>
              </w:rPr>
            </w:pPr>
            <w:r w:rsidRPr="002D39D0">
              <w:rPr>
                <w:rFonts w:asciiTheme="minorHAnsi" w:hAnsiTheme="minorHAnsi" w:cstheme="minorHAnsi"/>
                <w:color w:val="000000"/>
                <w:sz w:val="22"/>
                <w:szCs w:val="24"/>
              </w:rPr>
              <w:t>AS – Services administratifs</w:t>
            </w:r>
          </w:p>
        </w:tc>
        <w:tc>
          <w:tcPr>
            <w:tcW w:w="1861" w:type="pct"/>
          </w:tcPr>
          <w:p w14:paraId="14925269" w14:textId="77777777" w:rsidR="00DE32DF" w:rsidRPr="002D39D0" w:rsidRDefault="00DE32DF" w:rsidP="000F48C6">
            <w:pPr>
              <w:autoSpaceDE w:val="0"/>
              <w:autoSpaceDN w:val="0"/>
              <w:adjustRightInd w:val="0"/>
              <w:jc w:val="center"/>
              <w:rPr>
                <w:rFonts w:asciiTheme="minorHAnsi" w:hAnsiTheme="minorHAnsi" w:cstheme="minorHAnsi"/>
                <w:color w:val="000000"/>
                <w:sz w:val="22"/>
                <w:szCs w:val="24"/>
              </w:rPr>
            </w:pPr>
            <w:r w:rsidRPr="002D39D0">
              <w:rPr>
                <w:rFonts w:asciiTheme="minorHAnsi" w:hAnsiTheme="minorHAnsi" w:cstheme="minorHAnsi"/>
                <w:color w:val="000000"/>
                <w:sz w:val="22"/>
                <w:szCs w:val="24"/>
              </w:rPr>
              <w:t>67</w:t>
            </w:r>
          </w:p>
        </w:tc>
        <w:tc>
          <w:tcPr>
            <w:tcW w:w="2014" w:type="pct"/>
          </w:tcPr>
          <w:p w14:paraId="4C7031AD" w14:textId="74E2A6BE" w:rsidR="00DE32DF" w:rsidRPr="002D39D0" w:rsidRDefault="00DE32DF" w:rsidP="000F48C6">
            <w:pPr>
              <w:autoSpaceDE w:val="0"/>
              <w:autoSpaceDN w:val="0"/>
              <w:adjustRightInd w:val="0"/>
              <w:jc w:val="center"/>
              <w:rPr>
                <w:rFonts w:asciiTheme="minorHAnsi" w:hAnsiTheme="minorHAnsi" w:cstheme="minorHAnsi"/>
                <w:color w:val="000000"/>
                <w:sz w:val="22"/>
                <w:szCs w:val="24"/>
              </w:rPr>
            </w:pPr>
            <w:r w:rsidRPr="002D39D0">
              <w:rPr>
                <w:rFonts w:asciiTheme="minorHAnsi" w:hAnsiTheme="minorHAnsi" w:cstheme="minorHAnsi"/>
                <w:color w:val="000000"/>
                <w:sz w:val="22"/>
                <w:szCs w:val="24"/>
              </w:rPr>
              <w:t>42</w:t>
            </w:r>
            <w:r w:rsidR="00496253">
              <w:rPr>
                <w:rFonts w:asciiTheme="minorHAnsi" w:hAnsiTheme="minorHAnsi" w:cstheme="minorHAnsi"/>
                <w:color w:val="000000"/>
                <w:sz w:val="22"/>
                <w:szCs w:val="24"/>
              </w:rPr>
              <w:t xml:space="preserve"> </w:t>
            </w:r>
            <w:r w:rsidRPr="002D39D0">
              <w:rPr>
                <w:rFonts w:asciiTheme="minorHAnsi" w:hAnsiTheme="minorHAnsi" w:cstheme="minorHAnsi"/>
                <w:color w:val="000000"/>
                <w:sz w:val="22"/>
                <w:szCs w:val="24"/>
              </w:rPr>
              <w:t>%</w:t>
            </w:r>
          </w:p>
        </w:tc>
      </w:tr>
      <w:tr w:rsidR="00DE32DF" w:rsidRPr="002D39D0" w14:paraId="1A4C5D20" w14:textId="77777777" w:rsidTr="00222D78">
        <w:trPr>
          <w:cantSplit/>
          <w:trHeight w:val="290"/>
          <w:tblHeader/>
          <w:jc w:val="center"/>
        </w:trPr>
        <w:tc>
          <w:tcPr>
            <w:tcW w:w="1125" w:type="pct"/>
          </w:tcPr>
          <w:p w14:paraId="23F5554E" w14:textId="77777777" w:rsidR="00DE32DF" w:rsidRPr="002D39D0" w:rsidRDefault="00DE32DF" w:rsidP="000F48C6">
            <w:pPr>
              <w:autoSpaceDE w:val="0"/>
              <w:autoSpaceDN w:val="0"/>
              <w:adjustRightInd w:val="0"/>
              <w:rPr>
                <w:rFonts w:asciiTheme="minorHAnsi" w:hAnsiTheme="minorHAnsi" w:cstheme="minorHAnsi"/>
                <w:color w:val="000000"/>
                <w:sz w:val="22"/>
                <w:szCs w:val="24"/>
              </w:rPr>
            </w:pPr>
            <w:r w:rsidRPr="002D39D0">
              <w:rPr>
                <w:rFonts w:asciiTheme="minorHAnsi" w:hAnsiTheme="minorHAnsi" w:cstheme="minorHAnsi"/>
                <w:color w:val="000000"/>
                <w:sz w:val="22"/>
                <w:szCs w:val="24"/>
              </w:rPr>
              <w:t>EC – Groupe Économique et services de sciences sociales</w:t>
            </w:r>
          </w:p>
        </w:tc>
        <w:tc>
          <w:tcPr>
            <w:tcW w:w="1861" w:type="pct"/>
          </w:tcPr>
          <w:p w14:paraId="15D65E37" w14:textId="77777777" w:rsidR="00DE32DF" w:rsidRPr="002D39D0" w:rsidRDefault="00DE32DF" w:rsidP="000F48C6">
            <w:pPr>
              <w:autoSpaceDE w:val="0"/>
              <w:autoSpaceDN w:val="0"/>
              <w:adjustRightInd w:val="0"/>
              <w:jc w:val="center"/>
              <w:rPr>
                <w:rFonts w:asciiTheme="minorHAnsi" w:hAnsiTheme="minorHAnsi" w:cstheme="minorHAnsi"/>
                <w:color w:val="000000"/>
                <w:sz w:val="22"/>
                <w:szCs w:val="24"/>
              </w:rPr>
            </w:pPr>
            <w:r w:rsidRPr="002D39D0">
              <w:rPr>
                <w:rFonts w:asciiTheme="minorHAnsi" w:hAnsiTheme="minorHAnsi" w:cstheme="minorHAnsi"/>
                <w:color w:val="000000"/>
                <w:sz w:val="22"/>
                <w:szCs w:val="24"/>
              </w:rPr>
              <w:t>26</w:t>
            </w:r>
          </w:p>
        </w:tc>
        <w:tc>
          <w:tcPr>
            <w:tcW w:w="2014" w:type="pct"/>
          </w:tcPr>
          <w:p w14:paraId="5BE92564" w14:textId="52CE79B8" w:rsidR="00DE32DF" w:rsidRPr="002D39D0" w:rsidRDefault="00DE32DF" w:rsidP="000F48C6">
            <w:pPr>
              <w:autoSpaceDE w:val="0"/>
              <w:autoSpaceDN w:val="0"/>
              <w:adjustRightInd w:val="0"/>
              <w:jc w:val="center"/>
              <w:rPr>
                <w:rFonts w:asciiTheme="minorHAnsi" w:hAnsiTheme="minorHAnsi" w:cstheme="minorHAnsi"/>
                <w:color w:val="000000"/>
                <w:sz w:val="22"/>
                <w:szCs w:val="24"/>
              </w:rPr>
            </w:pPr>
            <w:r w:rsidRPr="002D39D0">
              <w:rPr>
                <w:rFonts w:asciiTheme="minorHAnsi" w:hAnsiTheme="minorHAnsi" w:cstheme="minorHAnsi"/>
                <w:color w:val="000000"/>
                <w:sz w:val="22"/>
                <w:szCs w:val="24"/>
              </w:rPr>
              <w:t>16</w:t>
            </w:r>
            <w:r w:rsidR="00496253">
              <w:rPr>
                <w:rFonts w:asciiTheme="minorHAnsi" w:hAnsiTheme="minorHAnsi" w:cstheme="minorHAnsi"/>
                <w:color w:val="000000"/>
                <w:sz w:val="22"/>
                <w:szCs w:val="24"/>
              </w:rPr>
              <w:t xml:space="preserve"> </w:t>
            </w:r>
            <w:r w:rsidRPr="002D39D0">
              <w:rPr>
                <w:rFonts w:asciiTheme="minorHAnsi" w:hAnsiTheme="minorHAnsi" w:cstheme="minorHAnsi"/>
                <w:color w:val="000000"/>
                <w:sz w:val="22"/>
                <w:szCs w:val="24"/>
              </w:rPr>
              <w:t>%</w:t>
            </w:r>
          </w:p>
        </w:tc>
      </w:tr>
      <w:tr w:rsidR="00DE32DF" w:rsidRPr="002D39D0" w14:paraId="6238F4BC" w14:textId="77777777" w:rsidTr="00222D78">
        <w:trPr>
          <w:cantSplit/>
          <w:trHeight w:val="290"/>
          <w:tblHeader/>
          <w:jc w:val="center"/>
        </w:trPr>
        <w:tc>
          <w:tcPr>
            <w:tcW w:w="1125" w:type="pct"/>
          </w:tcPr>
          <w:p w14:paraId="7E9D4866" w14:textId="77777777" w:rsidR="00DE32DF" w:rsidRPr="002D39D0" w:rsidRDefault="00DE32DF" w:rsidP="000F48C6">
            <w:pPr>
              <w:autoSpaceDE w:val="0"/>
              <w:autoSpaceDN w:val="0"/>
              <w:adjustRightInd w:val="0"/>
              <w:rPr>
                <w:rFonts w:asciiTheme="minorHAnsi" w:hAnsiTheme="minorHAnsi" w:cstheme="minorHAnsi"/>
                <w:color w:val="000000"/>
                <w:sz w:val="22"/>
                <w:szCs w:val="24"/>
              </w:rPr>
            </w:pPr>
            <w:r w:rsidRPr="002D39D0">
              <w:rPr>
                <w:rFonts w:asciiTheme="minorHAnsi" w:hAnsiTheme="minorHAnsi" w:cstheme="minorHAnsi"/>
                <w:color w:val="000000"/>
                <w:sz w:val="22"/>
                <w:szCs w:val="24"/>
              </w:rPr>
              <w:t>CS – Systèmes d’ordinateurs</w:t>
            </w:r>
          </w:p>
        </w:tc>
        <w:tc>
          <w:tcPr>
            <w:tcW w:w="1861" w:type="pct"/>
          </w:tcPr>
          <w:p w14:paraId="72EF5E99" w14:textId="77777777" w:rsidR="00DE32DF" w:rsidRPr="002D39D0" w:rsidRDefault="00DE32DF" w:rsidP="000F48C6">
            <w:pPr>
              <w:autoSpaceDE w:val="0"/>
              <w:autoSpaceDN w:val="0"/>
              <w:adjustRightInd w:val="0"/>
              <w:jc w:val="center"/>
              <w:rPr>
                <w:rFonts w:asciiTheme="minorHAnsi" w:hAnsiTheme="minorHAnsi" w:cstheme="minorHAnsi"/>
                <w:color w:val="000000"/>
                <w:sz w:val="22"/>
                <w:szCs w:val="24"/>
              </w:rPr>
            </w:pPr>
            <w:r w:rsidRPr="002D39D0">
              <w:rPr>
                <w:rFonts w:asciiTheme="minorHAnsi" w:hAnsiTheme="minorHAnsi" w:cstheme="minorHAnsi"/>
                <w:color w:val="000000"/>
                <w:sz w:val="22"/>
                <w:szCs w:val="24"/>
              </w:rPr>
              <w:t>18</w:t>
            </w:r>
          </w:p>
        </w:tc>
        <w:tc>
          <w:tcPr>
            <w:tcW w:w="2014" w:type="pct"/>
          </w:tcPr>
          <w:p w14:paraId="640D0300" w14:textId="1783F94B" w:rsidR="00DE32DF" w:rsidRPr="002D39D0" w:rsidRDefault="00DE32DF" w:rsidP="000F48C6">
            <w:pPr>
              <w:autoSpaceDE w:val="0"/>
              <w:autoSpaceDN w:val="0"/>
              <w:adjustRightInd w:val="0"/>
              <w:jc w:val="center"/>
              <w:rPr>
                <w:rFonts w:asciiTheme="minorHAnsi" w:hAnsiTheme="minorHAnsi" w:cstheme="minorHAnsi"/>
                <w:color w:val="000000"/>
                <w:sz w:val="22"/>
                <w:szCs w:val="24"/>
              </w:rPr>
            </w:pPr>
            <w:r w:rsidRPr="002D39D0">
              <w:rPr>
                <w:rFonts w:asciiTheme="minorHAnsi" w:hAnsiTheme="minorHAnsi" w:cstheme="minorHAnsi"/>
                <w:color w:val="000000"/>
                <w:sz w:val="22"/>
                <w:szCs w:val="24"/>
              </w:rPr>
              <w:t>11</w:t>
            </w:r>
            <w:r w:rsidR="00496253">
              <w:rPr>
                <w:rFonts w:asciiTheme="minorHAnsi" w:hAnsiTheme="minorHAnsi" w:cstheme="minorHAnsi"/>
                <w:color w:val="000000"/>
                <w:sz w:val="22"/>
                <w:szCs w:val="24"/>
              </w:rPr>
              <w:t xml:space="preserve"> </w:t>
            </w:r>
            <w:r w:rsidRPr="002D39D0">
              <w:rPr>
                <w:rFonts w:asciiTheme="minorHAnsi" w:hAnsiTheme="minorHAnsi" w:cstheme="minorHAnsi"/>
                <w:color w:val="000000"/>
                <w:sz w:val="22"/>
                <w:szCs w:val="24"/>
              </w:rPr>
              <w:t>%</w:t>
            </w:r>
          </w:p>
        </w:tc>
      </w:tr>
      <w:tr w:rsidR="00DE32DF" w:rsidRPr="002D39D0" w14:paraId="40C32E6A" w14:textId="77777777" w:rsidTr="00222D78">
        <w:trPr>
          <w:cantSplit/>
          <w:trHeight w:val="290"/>
          <w:tblHeader/>
          <w:jc w:val="center"/>
        </w:trPr>
        <w:tc>
          <w:tcPr>
            <w:tcW w:w="1125" w:type="pct"/>
          </w:tcPr>
          <w:p w14:paraId="3E11B30E" w14:textId="77777777" w:rsidR="00DE32DF" w:rsidRPr="002D39D0" w:rsidRDefault="00DE32DF" w:rsidP="000F48C6">
            <w:pPr>
              <w:autoSpaceDE w:val="0"/>
              <w:autoSpaceDN w:val="0"/>
              <w:adjustRightInd w:val="0"/>
              <w:rPr>
                <w:rFonts w:asciiTheme="minorHAnsi" w:hAnsiTheme="minorHAnsi" w:cstheme="minorHAnsi"/>
                <w:color w:val="000000"/>
                <w:sz w:val="22"/>
                <w:szCs w:val="24"/>
              </w:rPr>
            </w:pPr>
            <w:r w:rsidRPr="002D39D0">
              <w:rPr>
                <w:rFonts w:asciiTheme="minorHAnsi" w:hAnsiTheme="minorHAnsi" w:cstheme="minorHAnsi"/>
                <w:color w:val="000000"/>
                <w:sz w:val="22"/>
                <w:szCs w:val="24"/>
              </w:rPr>
              <w:t>Autre</w:t>
            </w:r>
          </w:p>
        </w:tc>
        <w:tc>
          <w:tcPr>
            <w:tcW w:w="1861" w:type="pct"/>
          </w:tcPr>
          <w:p w14:paraId="480EE2FF" w14:textId="77777777" w:rsidR="00DE32DF" w:rsidRPr="002D39D0" w:rsidRDefault="00DE32DF" w:rsidP="000F48C6">
            <w:pPr>
              <w:autoSpaceDE w:val="0"/>
              <w:autoSpaceDN w:val="0"/>
              <w:adjustRightInd w:val="0"/>
              <w:jc w:val="center"/>
              <w:rPr>
                <w:rFonts w:asciiTheme="minorHAnsi" w:hAnsiTheme="minorHAnsi" w:cstheme="minorHAnsi"/>
                <w:color w:val="000000"/>
                <w:sz w:val="22"/>
                <w:szCs w:val="24"/>
              </w:rPr>
            </w:pPr>
            <w:r w:rsidRPr="002D39D0">
              <w:rPr>
                <w:rFonts w:asciiTheme="minorHAnsi" w:hAnsiTheme="minorHAnsi" w:cstheme="minorHAnsi"/>
                <w:color w:val="000000"/>
                <w:sz w:val="22"/>
                <w:szCs w:val="24"/>
              </w:rPr>
              <w:t>48</w:t>
            </w:r>
          </w:p>
        </w:tc>
        <w:tc>
          <w:tcPr>
            <w:tcW w:w="2014" w:type="pct"/>
          </w:tcPr>
          <w:p w14:paraId="7E273257" w14:textId="4D126FBC" w:rsidR="00DE32DF" w:rsidRPr="002D39D0" w:rsidRDefault="00DE32DF" w:rsidP="000F48C6">
            <w:pPr>
              <w:autoSpaceDE w:val="0"/>
              <w:autoSpaceDN w:val="0"/>
              <w:adjustRightInd w:val="0"/>
              <w:jc w:val="center"/>
              <w:rPr>
                <w:rFonts w:asciiTheme="minorHAnsi" w:hAnsiTheme="minorHAnsi" w:cstheme="minorHAnsi"/>
                <w:color w:val="000000"/>
                <w:sz w:val="22"/>
                <w:szCs w:val="24"/>
              </w:rPr>
            </w:pPr>
            <w:r w:rsidRPr="002D39D0">
              <w:rPr>
                <w:rFonts w:asciiTheme="minorHAnsi" w:hAnsiTheme="minorHAnsi" w:cstheme="minorHAnsi"/>
                <w:color w:val="000000"/>
                <w:sz w:val="22"/>
                <w:szCs w:val="24"/>
              </w:rPr>
              <w:t>30</w:t>
            </w:r>
            <w:r w:rsidR="00496253">
              <w:rPr>
                <w:rFonts w:asciiTheme="minorHAnsi" w:hAnsiTheme="minorHAnsi" w:cstheme="minorHAnsi"/>
                <w:color w:val="000000"/>
                <w:sz w:val="22"/>
                <w:szCs w:val="24"/>
              </w:rPr>
              <w:t xml:space="preserve"> </w:t>
            </w:r>
            <w:r w:rsidRPr="002D39D0">
              <w:rPr>
                <w:rFonts w:asciiTheme="minorHAnsi" w:hAnsiTheme="minorHAnsi" w:cstheme="minorHAnsi"/>
                <w:color w:val="000000"/>
                <w:sz w:val="22"/>
                <w:szCs w:val="24"/>
              </w:rPr>
              <w:t>%</w:t>
            </w:r>
          </w:p>
        </w:tc>
      </w:tr>
      <w:tr w:rsidR="00DE32DF" w:rsidRPr="002D39D0" w14:paraId="78F9A167" w14:textId="77777777" w:rsidTr="00222D78">
        <w:trPr>
          <w:cantSplit/>
          <w:trHeight w:val="290"/>
          <w:tblHeader/>
          <w:jc w:val="center"/>
        </w:trPr>
        <w:tc>
          <w:tcPr>
            <w:tcW w:w="1125" w:type="pct"/>
          </w:tcPr>
          <w:p w14:paraId="1AD86743" w14:textId="77777777" w:rsidR="00DE32DF" w:rsidRPr="002D39D0" w:rsidRDefault="00DE32DF" w:rsidP="000F48C6">
            <w:pPr>
              <w:autoSpaceDE w:val="0"/>
              <w:autoSpaceDN w:val="0"/>
              <w:adjustRightInd w:val="0"/>
              <w:rPr>
                <w:rFonts w:asciiTheme="minorHAnsi" w:hAnsiTheme="minorHAnsi" w:cstheme="minorHAnsi"/>
                <w:color w:val="000000"/>
                <w:sz w:val="22"/>
                <w:szCs w:val="24"/>
              </w:rPr>
            </w:pPr>
            <w:r w:rsidRPr="002D39D0">
              <w:rPr>
                <w:rFonts w:asciiTheme="minorHAnsi" w:hAnsiTheme="minorHAnsi" w:cstheme="minorHAnsi"/>
                <w:color w:val="000000"/>
                <w:sz w:val="22"/>
                <w:szCs w:val="24"/>
              </w:rPr>
              <w:t>Total</w:t>
            </w:r>
          </w:p>
        </w:tc>
        <w:tc>
          <w:tcPr>
            <w:tcW w:w="1861" w:type="pct"/>
          </w:tcPr>
          <w:p w14:paraId="7AFE2524" w14:textId="77777777" w:rsidR="00DE32DF" w:rsidRPr="002D39D0" w:rsidRDefault="00DE32DF" w:rsidP="000F48C6">
            <w:pPr>
              <w:autoSpaceDE w:val="0"/>
              <w:autoSpaceDN w:val="0"/>
              <w:adjustRightInd w:val="0"/>
              <w:jc w:val="center"/>
              <w:rPr>
                <w:rFonts w:asciiTheme="minorHAnsi" w:hAnsiTheme="minorHAnsi" w:cstheme="minorHAnsi"/>
                <w:color w:val="000000"/>
                <w:sz w:val="22"/>
                <w:szCs w:val="24"/>
              </w:rPr>
            </w:pPr>
            <w:r w:rsidRPr="002D39D0">
              <w:rPr>
                <w:rFonts w:asciiTheme="minorHAnsi" w:hAnsiTheme="minorHAnsi" w:cstheme="minorHAnsi"/>
                <w:color w:val="000000"/>
                <w:sz w:val="22"/>
                <w:szCs w:val="24"/>
              </w:rPr>
              <w:t>159</w:t>
            </w:r>
          </w:p>
        </w:tc>
        <w:tc>
          <w:tcPr>
            <w:tcW w:w="2014" w:type="pct"/>
          </w:tcPr>
          <w:p w14:paraId="02E3D1F0" w14:textId="1860F00A" w:rsidR="00DE32DF" w:rsidRPr="002D39D0" w:rsidRDefault="00DE32DF" w:rsidP="000F48C6">
            <w:pPr>
              <w:autoSpaceDE w:val="0"/>
              <w:autoSpaceDN w:val="0"/>
              <w:adjustRightInd w:val="0"/>
              <w:jc w:val="center"/>
              <w:rPr>
                <w:rFonts w:asciiTheme="minorHAnsi" w:hAnsiTheme="minorHAnsi" w:cstheme="minorHAnsi"/>
                <w:color w:val="000000"/>
                <w:sz w:val="22"/>
                <w:szCs w:val="24"/>
              </w:rPr>
            </w:pPr>
            <w:r w:rsidRPr="002D39D0">
              <w:rPr>
                <w:rFonts w:asciiTheme="minorHAnsi" w:hAnsiTheme="minorHAnsi" w:cstheme="minorHAnsi"/>
                <w:color w:val="000000"/>
                <w:sz w:val="22"/>
                <w:szCs w:val="24"/>
              </w:rPr>
              <w:t>100</w:t>
            </w:r>
            <w:r w:rsidR="00496253">
              <w:rPr>
                <w:rFonts w:asciiTheme="minorHAnsi" w:hAnsiTheme="minorHAnsi" w:cstheme="minorHAnsi"/>
                <w:color w:val="000000"/>
                <w:sz w:val="22"/>
                <w:szCs w:val="24"/>
              </w:rPr>
              <w:t xml:space="preserve"> </w:t>
            </w:r>
            <w:r w:rsidRPr="002D39D0">
              <w:rPr>
                <w:rFonts w:asciiTheme="minorHAnsi" w:hAnsiTheme="minorHAnsi" w:cstheme="minorHAnsi"/>
                <w:color w:val="000000"/>
                <w:sz w:val="22"/>
                <w:szCs w:val="24"/>
              </w:rPr>
              <w:t>%</w:t>
            </w:r>
          </w:p>
        </w:tc>
      </w:tr>
    </w:tbl>
    <w:p w14:paraId="1BB1D59F" w14:textId="77777777" w:rsidR="00E45026" w:rsidRPr="002D39D0" w:rsidRDefault="00E45026" w:rsidP="00E45026">
      <w:pPr>
        <w:pStyle w:val="Heading1"/>
        <w:spacing w:before="120" w:after="120"/>
        <w:rPr>
          <w:sz w:val="40"/>
        </w:rPr>
      </w:pPr>
      <w:r w:rsidRPr="002D39D0">
        <w:rPr>
          <w:sz w:val="40"/>
        </w:rPr>
        <w:lastRenderedPageBreak/>
        <w:t>Dotation selon la région</w:t>
      </w:r>
    </w:p>
    <w:p w14:paraId="105D0038" w14:textId="77777777" w:rsidR="00DE32DF" w:rsidRPr="002D39D0" w:rsidRDefault="004D53A0" w:rsidP="00DE32DF">
      <w:pPr>
        <w:keepNext/>
        <w:tabs>
          <w:tab w:val="left" w:pos="7839"/>
        </w:tabs>
        <w:jc w:val="center"/>
      </w:pPr>
      <w:r w:rsidRPr="00302F5B">
        <w:rPr>
          <w:noProof/>
          <w:lang w:val="en-CA" w:eastAsia="en-CA"/>
        </w:rPr>
        <w:drawing>
          <wp:inline distT="0" distB="0" distL="0" distR="0" wp14:anchorId="1C59FE6A" wp14:editId="5B5610B8">
            <wp:extent cx="5648400" cy="3049200"/>
            <wp:effectExtent l="0" t="0" r="9525" b="18415"/>
            <wp:docPr id="10" name="Chart 10" descr="Dotation selon la région de 2014 à 2019"/>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5ADE1472" w14:textId="77777777" w:rsidR="004D53A0" w:rsidRPr="002D39D0" w:rsidRDefault="00DE32DF" w:rsidP="007C1E3E">
      <w:pPr>
        <w:pStyle w:val="Caption"/>
        <w:spacing w:after="0"/>
        <w:jc w:val="center"/>
        <w:rPr>
          <w:rFonts w:asciiTheme="minorHAnsi" w:hAnsiTheme="minorHAnsi" w:cstheme="minorHAnsi"/>
          <w:b/>
          <w:i w:val="0"/>
          <w:color w:val="auto"/>
        </w:rPr>
      </w:pPr>
      <w:r w:rsidRPr="002D39D0">
        <w:rPr>
          <w:rFonts w:asciiTheme="minorHAnsi" w:hAnsiTheme="minorHAnsi" w:cstheme="minorHAnsi"/>
          <w:i w:val="0"/>
          <w:color w:val="auto"/>
        </w:rPr>
        <w:t xml:space="preserve">Figure </w:t>
      </w:r>
      <w:r w:rsidRPr="006C61AE">
        <w:rPr>
          <w:rFonts w:asciiTheme="minorHAnsi" w:hAnsiTheme="minorHAnsi" w:cstheme="minorHAnsi"/>
          <w:i w:val="0"/>
          <w:color w:val="auto"/>
        </w:rPr>
        <w:fldChar w:fldCharType="begin"/>
      </w:r>
      <w:r w:rsidRPr="002D39D0">
        <w:rPr>
          <w:rFonts w:asciiTheme="minorHAnsi" w:hAnsiTheme="minorHAnsi" w:cstheme="minorHAnsi"/>
          <w:i w:val="0"/>
          <w:color w:val="auto"/>
        </w:rPr>
        <w:instrText xml:space="preserve"> SEQ Figure \* ARABIC </w:instrText>
      </w:r>
      <w:r w:rsidRPr="006C61AE">
        <w:rPr>
          <w:rFonts w:asciiTheme="minorHAnsi" w:hAnsiTheme="minorHAnsi" w:cstheme="minorHAnsi"/>
          <w:i w:val="0"/>
          <w:color w:val="auto"/>
        </w:rPr>
        <w:fldChar w:fldCharType="separate"/>
      </w:r>
      <w:r w:rsidR="00DE5258" w:rsidRPr="002D39D0">
        <w:rPr>
          <w:rFonts w:asciiTheme="minorHAnsi" w:hAnsiTheme="minorHAnsi" w:cstheme="minorHAnsi"/>
          <w:i w:val="0"/>
          <w:noProof/>
          <w:color w:val="auto"/>
        </w:rPr>
        <w:t>6</w:t>
      </w:r>
      <w:r w:rsidRPr="006C61AE">
        <w:rPr>
          <w:rFonts w:asciiTheme="minorHAnsi" w:hAnsiTheme="minorHAnsi" w:cstheme="minorHAnsi"/>
          <w:i w:val="0"/>
          <w:color w:val="auto"/>
        </w:rPr>
        <w:fldChar w:fldCharType="end"/>
      </w:r>
      <w:r w:rsidRPr="002D39D0">
        <w:rPr>
          <w:rFonts w:asciiTheme="minorHAnsi" w:hAnsiTheme="minorHAnsi" w:cstheme="minorHAnsi"/>
          <w:i w:val="0"/>
          <w:color w:val="auto"/>
        </w:rPr>
        <w:t xml:space="preserve"> - Dotation selon la région</w:t>
      </w:r>
    </w:p>
    <w:p w14:paraId="14C34AC9" w14:textId="0F26FEAA" w:rsidR="00DE32DF" w:rsidRPr="002D39D0" w:rsidRDefault="00DE32DF" w:rsidP="007C1E3E">
      <w:pPr>
        <w:pStyle w:val="Caption"/>
        <w:keepNext/>
        <w:spacing w:before="240" w:after="0"/>
        <w:jc w:val="center"/>
        <w:rPr>
          <w:rFonts w:asciiTheme="minorHAnsi" w:hAnsiTheme="minorHAnsi" w:cstheme="minorHAnsi"/>
          <w:i w:val="0"/>
          <w:color w:val="auto"/>
        </w:rPr>
      </w:pPr>
      <w:r w:rsidRPr="002D39D0">
        <w:rPr>
          <w:rFonts w:asciiTheme="minorHAnsi" w:hAnsiTheme="minorHAnsi" w:cstheme="minorHAnsi"/>
          <w:i w:val="0"/>
          <w:color w:val="auto"/>
        </w:rPr>
        <w:t xml:space="preserve">Table </w:t>
      </w:r>
      <w:r w:rsidRPr="006C61AE">
        <w:rPr>
          <w:rFonts w:asciiTheme="minorHAnsi" w:hAnsiTheme="minorHAnsi" w:cstheme="minorHAnsi"/>
          <w:i w:val="0"/>
          <w:color w:val="auto"/>
        </w:rPr>
        <w:fldChar w:fldCharType="begin"/>
      </w:r>
      <w:r w:rsidRPr="002D39D0">
        <w:rPr>
          <w:rFonts w:asciiTheme="minorHAnsi" w:hAnsiTheme="minorHAnsi" w:cstheme="minorHAnsi"/>
          <w:i w:val="0"/>
          <w:color w:val="auto"/>
        </w:rPr>
        <w:instrText xml:space="preserve"> SEQ Table \* ARABIC </w:instrText>
      </w:r>
      <w:r w:rsidRPr="006C61AE">
        <w:rPr>
          <w:rFonts w:asciiTheme="minorHAnsi" w:hAnsiTheme="minorHAnsi" w:cstheme="minorHAnsi"/>
          <w:i w:val="0"/>
          <w:color w:val="auto"/>
        </w:rPr>
        <w:fldChar w:fldCharType="separate"/>
      </w:r>
      <w:r w:rsidR="00C42F1B" w:rsidRPr="002D39D0">
        <w:rPr>
          <w:rFonts w:asciiTheme="minorHAnsi" w:hAnsiTheme="minorHAnsi" w:cstheme="minorHAnsi"/>
          <w:i w:val="0"/>
          <w:noProof/>
          <w:color w:val="auto"/>
        </w:rPr>
        <w:t>11</w:t>
      </w:r>
      <w:r w:rsidRPr="006C61AE">
        <w:rPr>
          <w:rFonts w:asciiTheme="minorHAnsi" w:hAnsiTheme="minorHAnsi" w:cstheme="minorHAnsi"/>
          <w:i w:val="0"/>
          <w:color w:val="auto"/>
        </w:rPr>
        <w:fldChar w:fldCharType="end"/>
      </w:r>
      <w:r w:rsidRPr="002D39D0">
        <w:rPr>
          <w:rFonts w:asciiTheme="minorHAnsi" w:hAnsiTheme="minorHAnsi" w:cstheme="minorHAnsi"/>
          <w:i w:val="0"/>
          <w:color w:val="auto"/>
        </w:rPr>
        <w:t xml:space="preserve"> - Pourcentage des activités de dotation dans la région de la capitale nationale en comparaison avec les régions à l’extérieur de la région de la capitale nationale selon l'exercice financier</w:t>
      </w:r>
    </w:p>
    <w:tbl>
      <w:tblPr>
        <w:tblStyle w:val="TableGrid"/>
        <w:tblW w:w="5000" w:type="pct"/>
        <w:jc w:val="center"/>
        <w:tblLook w:val="0020" w:firstRow="1" w:lastRow="0" w:firstColumn="0" w:lastColumn="0" w:noHBand="0" w:noVBand="0"/>
        <w:tblDescription w:val="Dotation selon la région de 2014 à 2019"/>
      </w:tblPr>
      <w:tblGrid>
        <w:gridCol w:w="2205"/>
        <w:gridCol w:w="6153"/>
        <w:gridCol w:w="6112"/>
      </w:tblGrid>
      <w:tr w:rsidR="00DE32DF" w:rsidRPr="004721CE" w14:paraId="5F3877A1" w14:textId="77777777" w:rsidTr="00222D78">
        <w:trPr>
          <w:cantSplit/>
          <w:trHeight w:val="290"/>
          <w:tblHeader/>
          <w:jc w:val="center"/>
        </w:trPr>
        <w:tc>
          <w:tcPr>
            <w:tcW w:w="762" w:type="pct"/>
          </w:tcPr>
          <w:p w14:paraId="2318ADAE" w14:textId="1394FB06" w:rsidR="00DE32DF" w:rsidRPr="004721CE" w:rsidRDefault="00496253" w:rsidP="000F48C6">
            <w:pPr>
              <w:pStyle w:val="TableTitle"/>
              <w:rPr>
                <w:rFonts w:cs="Segoe UI Semibold"/>
                <w:b w:val="0"/>
                <w:szCs w:val="22"/>
              </w:rPr>
            </w:pPr>
            <w:r w:rsidRPr="004721CE">
              <w:rPr>
                <w:rFonts w:cs="Segoe UI Semibold"/>
                <w:b w:val="0"/>
                <w:szCs w:val="22"/>
              </w:rPr>
              <w:t>E</w:t>
            </w:r>
            <w:r w:rsidR="00DE32DF" w:rsidRPr="004721CE">
              <w:rPr>
                <w:rFonts w:cs="Segoe UI Semibold"/>
                <w:b w:val="0"/>
                <w:szCs w:val="22"/>
              </w:rPr>
              <w:t>xercice financier</w:t>
            </w:r>
          </w:p>
        </w:tc>
        <w:tc>
          <w:tcPr>
            <w:tcW w:w="2126" w:type="pct"/>
          </w:tcPr>
          <w:p w14:paraId="04CBA995" w14:textId="153FF047" w:rsidR="00DE32DF" w:rsidRPr="004721CE" w:rsidRDefault="00DE32DF" w:rsidP="00E76F8A">
            <w:pPr>
              <w:pStyle w:val="TableTitle"/>
              <w:rPr>
                <w:rFonts w:cs="Segoe UI Semibold"/>
                <w:b w:val="0"/>
                <w:szCs w:val="22"/>
              </w:rPr>
            </w:pPr>
            <w:r w:rsidRPr="004721CE">
              <w:rPr>
                <w:rFonts w:cs="Segoe UI Semibold"/>
                <w:b w:val="0"/>
                <w:szCs w:val="22"/>
              </w:rPr>
              <w:t xml:space="preserve">Pourcentage des activités de dotation qui </w:t>
            </w:r>
            <w:r w:rsidR="00E76F8A" w:rsidRPr="004721CE">
              <w:rPr>
                <w:rFonts w:cs="Segoe UI Semibold"/>
                <w:b w:val="0"/>
                <w:szCs w:val="22"/>
              </w:rPr>
              <w:t xml:space="preserve">ont </w:t>
            </w:r>
            <w:r w:rsidRPr="004721CE">
              <w:rPr>
                <w:rFonts w:cs="Segoe UI Semibold"/>
                <w:b w:val="0"/>
                <w:szCs w:val="22"/>
              </w:rPr>
              <w:t xml:space="preserve">eu lieu dans la région de la capitale nationale (RCN) </w:t>
            </w:r>
          </w:p>
        </w:tc>
        <w:tc>
          <w:tcPr>
            <w:tcW w:w="2112" w:type="pct"/>
          </w:tcPr>
          <w:p w14:paraId="1435638B" w14:textId="5C8337E0" w:rsidR="00DE32DF" w:rsidRPr="004721CE" w:rsidRDefault="00DE32DF" w:rsidP="00E76F8A">
            <w:pPr>
              <w:pStyle w:val="TableTitle"/>
              <w:rPr>
                <w:rFonts w:cs="Segoe UI Semibold"/>
                <w:b w:val="0"/>
                <w:szCs w:val="22"/>
              </w:rPr>
            </w:pPr>
            <w:r w:rsidRPr="004721CE">
              <w:rPr>
                <w:rFonts w:cs="Segoe UI Semibold"/>
                <w:b w:val="0"/>
                <w:szCs w:val="22"/>
              </w:rPr>
              <w:t xml:space="preserve">Pourcentage des activités de dotation qui </w:t>
            </w:r>
            <w:r w:rsidR="00E76F8A" w:rsidRPr="004721CE">
              <w:rPr>
                <w:rFonts w:cs="Segoe UI Semibold"/>
                <w:b w:val="0"/>
                <w:szCs w:val="22"/>
              </w:rPr>
              <w:t>ont</w:t>
            </w:r>
            <w:r w:rsidRPr="004721CE">
              <w:rPr>
                <w:rFonts w:cs="Segoe UI Semibold"/>
                <w:b w:val="0"/>
                <w:szCs w:val="22"/>
              </w:rPr>
              <w:t xml:space="preserve"> eu lieu à l’extérieur de la région de la capitale nationale (RCN)</w:t>
            </w:r>
          </w:p>
        </w:tc>
      </w:tr>
      <w:tr w:rsidR="00DE32DF" w:rsidRPr="002D39D0" w14:paraId="4297B4D2" w14:textId="77777777" w:rsidTr="00222D78">
        <w:trPr>
          <w:cantSplit/>
          <w:trHeight w:val="290"/>
          <w:tblHeader/>
          <w:jc w:val="center"/>
        </w:trPr>
        <w:tc>
          <w:tcPr>
            <w:tcW w:w="762" w:type="pct"/>
          </w:tcPr>
          <w:p w14:paraId="145234CE" w14:textId="77777777" w:rsidR="00DE32DF" w:rsidRPr="002D39D0" w:rsidRDefault="00DE32DF" w:rsidP="000F48C6">
            <w:pPr>
              <w:autoSpaceDE w:val="0"/>
              <w:autoSpaceDN w:val="0"/>
              <w:adjustRightInd w:val="0"/>
              <w:rPr>
                <w:rFonts w:asciiTheme="minorHAnsi" w:hAnsiTheme="minorHAnsi" w:cstheme="minorHAnsi"/>
                <w:color w:val="000000"/>
                <w:sz w:val="22"/>
                <w:szCs w:val="24"/>
              </w:rPr>
            </w:pPr>
            <w:r w:rsidRPr="002D39D0">
              <w:rPr>
                <w:rFonts w:asciiTheme="minorHAnsi" w:hAnsiTheme="minorHAnsi" w:cstheme="minorHAnsi"/>
                <w:color w:val="000000"/>
                <w:sz w:val="22"/>
                <w:szCs w:val="24"/>
              </w:rPr>
              <w:t>2014 à 2015</w:t>
            </w:r>
          </w:p>
        </w:tc>
        <w:tc>
          <w:tcPr>
            <w:tcW w:w="2126" w:type="pct"/>
          </w:tcPr>
          <w:p w14:paraId="30C08A18" w14:textId="77777777" w:rsidR="00DE32DF" w:rsidRPr="002D39D0" w:rsidRDefault="00DE32DF" w:rsidP="000F48C6">
            <w:pPr>
              <w:autoSpaceDE w:val="0"/>
              <w:autoSpaceDN w:val="0"/>
              <w:adjustRightInd w:val="0"/>
              <w:jc w:val="center"/>
              <w:rPr>
                <w:rFonts w:asciiTheme="minorHAnsi" w:hAnsiTheme="minorHAnsi" w:cstheme="minorHAnsi"/>
                <w:color w:val="000000"/>
                <w:sz w:val="22"/>
                <w:szCs w:val="24"/>
              </w:rPr>
            </w:pPr>
            <w:r w:rsidRPr="002D39D0">
              <w:rPr>
                <w:rFonts w:asciiTheme="minorHAnsi" w:hAnsiTheme="minorHAnsi" w:cstheme="minorHAnsi"/>
                <w:color w:val="000000"/>
                <w:sz w:val="22"/>
                <w:szCs w:val="24"/>
              </w:rPr>
              <w:t>86%</w:t>
            </w:r>
          </w:p>
        </w:tc>
        <w:tc>
          <w:tcPr>
            <w:tcW w:w="2112" w:type="pct"/>
          </w:tcPr>
          <w:p w14:paraId="657E8A97" w14:textId="47B6125B" w:rsidR="00DE32DF" w:rsidRPr="002D39D0" w:rsidRDefault="00DE32DF" w:rsidP="000F48C6">
            <w:pPr>
              <w:autoSpaceDE w:val="0"/>
              <w:autoSpaceDN w:val="0"/>
              <w:adjustRightInd w:val="0"/>
              <w:jc w:val="center"/>
              <w:rPr>
                <w:rFonts w:asciiTheme="minorHAnsi" w:hAnsiTheme="minorHAnsi" w:cstheme="minorHAnsi"/>
                <w:color w:val="000000"/>
                <w:sz w:val="22"/>
                <w:szCs w:val="24"/>
              </w:rPr>
            </w:pPr>
            <w:r w:rsidRPr="002D39D0">
              <w:rPr>
                <w:rFonts w:asciiTheme="minorHAnsi" w:hAnsiTheme="minorHAnsi" w:cstheme="minorHAnsi"/>
                <w:color w:val="000000"/>
                <w:sz w:val="22"/>
                <w:szCs w:val="24"/>
              </w:rPr>
              <w:t>14</w:t>
            </w:r>
            <w:r w:rsidR="00E76F8A">
              <w:rPr>
                <w:rFonts w:asciiTheme="minorHAnsi" w:hAnsiTheme="minorHAnsi" w:cstheme="minorHAnsi"/>
                <w:color w:val="000000"/>
                <w:sz w:val="22"/>
                <w:szCs w:val="24"/>
              </w:rPr>
              <w:t xml:space="preserve"> </w:t>
            </w:r>
            <w:r w:rsidRPr="002D39D0">
              <w:rPr>
                <w:rFonts w:asciiTheme="minorHAnsi" w:hAnsiTheme="minorHAnsi" w:cstheme="minorHAnsi"/>
                <w:color w:val="000000"/>
                <w:sz w:val="22"/>
                <w:szCs w:val="24"/>
              </w:rPr>
              <w:t>%</w:t>
            </w:r>
          </w:p>
        </w:tc>
      </w:tr>
      <w:tr w:rsidR="00DE32DF" w:rsidRPr="002D39D0" w14:paraId="73B5BED5" w14:textId="77777777" w:rsidTr="00222D78">
        <w:trPr>
          <w:cantSplit/>
          <w:trHeight w:val="290"/>
          <w:tblHeader/>
          <w:jc w:val="center"/>
        </w:trPr>
        <w:tc>
          <w:tcPr>
            <w:tcW w:w="762" w:type="pct"/>
          </w:tcPr>
          <w:p w14:paraId="5100C0B1" w14:textId="77777777" w:rsidR="00DE32DF" w:rsidRPr="002D39D0" w:rsidRDefault="00DE32DF" w:rsidP="000F48C6">
            <w:pPr>
              <w:autoSpaceDE w:val="0"/>
              <w:autoSpaceDN w:val="0"/>
              <w:adjustRightInd w:val="0"/>
              <w:rPr>
                <w:rFonts w:asciiTheme="minorHAnsi" w:hAnsiTheme="minorHAnsi" w:cstheme="minorHAnsi"/>
                <w:color w:val="000000"/>
                <w:sz w:val="22"/>
                <w:szCs w:val="24"/>
              </w:rPr>
            </w:pPr>
            <w:r w:rsidRPr="002D39D0">
              <w:rPr>
                <w:rFonts w:asciiTheme="minorHAnsi" w:hAnsiTheme="minorHAnsi" w:cstheme="minorHAnsi"/>
                <w:color w:val="000000"/>
                <w:sz w:val="22"/>
                <w:szCs w:val="24"/>
              </w:rPr>
              <w:t>2015 à 2016</w:t>
            </w:r>
          </w:p>
        </w:tc>
        <w:tc>
          <w:tcPr>
            <w:tcW w:w="2126" w:type="pct"/>
          </w:tcPr>
          <w:p w14:paraId="24ED2F6D" w14:textId="77777777" w:rsidR="00DE32DF" w:rsidRPr="002D39D0" w:rsidRDefault="00DE32DF" w:rsidP="000F48C6">
            <w:pPr>
              <w:autoSpaceDE w:val="0"/>
              <w:autoSpaceDN w:val="0"/>
              <w:adjustRightInd w:val="0"/>
              <w:jc w:val="center"/>
              <w:rPr>
                <w:rFonts w:asciiTheme="minorHAnsi" w:hAnsiTheme="minorHAnsi" w:cstheme="minorHAnsi"/>
                <w:color w:val="000000"/>
                <w:sz w:val="22"/>
                <w:szCs w:val="24"/>
              </w:rPr>
            </w:pPr>
            <w:r w:rsidRPr="002D39D0">
              <w:rPr>
                <w:rFonts w:asciiTheme="minorHAnsi" w:hAnsiTheme="minorHAnsi" w:cstheme="minorHAnsi"/>
                <w:color w:val="000000"/>
                <w:sz w:val="22"/>
                <w:szCs w:val="24"/>
              </w:rPr>
              <w:t>83%</w:t>
            </w:r>
          </w:p>
        </w:tc>
        <w:tc>
          <w:tcPr>
            <w:tcW w:w="2112" w:type="pct"/>
          </w:tcPr>
          <w:p w14:paraId="3A413C5E" w14:textId="64114FDE" w:rsidR="00DE32DF" w:rsidRPr="002D39D0" w:rsidRDefault="00DE32DF" w:rsidP="000F48C6">
            <w:pPr>
              <w:autoSpaceDE w:val="0"/>
              <w:autoSpaceDN w:val="0"/>
              <w:adjustRightInd w:val="0"/>
              <w:jc w:val="center"/>
              <w:rPr>
                <w:rFonts w:asciiTheme="minorHAnsi" w:hAnsiTheme="minorHAnsi" w:cstheme="minorHAnsi"/>
                <w:color w:val="000000"/>
                <w:sz w:val="22"/>
                <w:szCs w:val="24"/>
              </w:rPr>
            </w:pPr>
            <w:r w:rsidRPr="002D39D0">
              <w:rPr>
                <w:rFonts w:asciiTheme="minorHAnsi" w:hAnsiTheme="minorHAnsi" w:cstheme="minorHAnsi"/>
                <w:color w:val="000000"/>
                <w:sz w:val="22"/>
                <w:szCs w:val="24"/>
              </w:rPr>
              <w:t>17</w:t>
            </w:r>
            <w:r w:rsidR="00E76F8A">
              <w:rPr>
                <w:rFonts w:asciiTheme="minorHAnsi" w:hAnsiTheme="minorHAnsi" w:cstheme="minorHAnsi"/>
                <w:color w:val="000000"/>
                <w:sz w:val="22"/>
                <w:szCs w:val="24"/>
              </w:rPr>
              <w:t xml:space="preserve"> </w:t>
            </w:r>
            <w:r w:rsidRPr="002D39D0">
              <w:rPr>
                <w:rFonts w:asciiTheme="minorHAnsi" w:hAnsiTheme="minorHAnsi" w:cstheme="minorHAnsi"/>
                <w:color w:val="000000"/>
                <w:sz w:val="22"/>
                <w:szCs w:val="24"/>
              </w:rPr>
              <w:t>%</w:t>
            </w:r>
          </w:p>
        </w:tc>
      </w:tr>
      <w:tr w:rsidR="00DE32DF" w:rsidRPr="002D39D0" w14:paraId="68558B6B" w14:textId="77777777" w:rsidTr="00222D78">
        <w:trPr>
          <w:cantSplit/>
          <w:trHeight w:val="290"/>
          <w:tblHeader/>
          <w:jc w:val="center"/>
        </w:trPr>
        <w:tc>
          <w:tcPr>
            <w:tcW w:w="762" w:type="pct"/>
          </w:tcPr>
          <w:p w14:paraId="1E66E5AC" w14:textId="77777777" w:rsidR="00DE32DF" w:rsidRPr="002D39D0" w:rsidRDefault="00DE32DF" w:rsidP="000F48C6">
            <w:pPr>
              <w:autoSpaceDE w:val="0"/>
              <w:autoSpaceDN w:val="0"/>
              <w:adjustRightInd w:val="0"/>
              <w:rPr>
                <w:rFonts w:asciiTheme="minorHAnsi" w:hAnsiTheme="minorHAnsi" w:cstheme="minorHAnsi"/>
                <w:color w:val="000000"/>
                <w:sz w:val="22"/>
                <w:szCs w:val="24"/>
              </w:rPr>
            </w:pPr>
            <w:r w:rsidRPr="002D39D0">
              <w:rPr>
                <w:rFonts w:asciiTheme="minorHAnsi" w:hAnsiTheme="minorHAnsi" w:cstheme="minorHAnsi"/>
                <w:color w:val="000000"/>
                <w:sz w:val="22"/>
                <w:szCs w:val="24"/>
              </w:rPr>
              <w:t>2016 à 2017</w:t>
            </w:r>
          </w:p>
        </w:tc>
        <w:tc>
          <w:tcPr>
            <w:tcW w:w="2126" w:type="pct"/>
          </w:tcPr>
          <w:p w14:paraId="6C85A75C" w14:textId="77777777" w:rsidR="00DE32DF" w:rsidRPr="002D39D0" w:rsidRDefault="00DE32DF" w:rsidP="000F48C6">
            <w:pPr>
              <w:autoSpaceDE w:val="0"/>
              <w:autoSpaceDN w:val="0"/>
              <w:adjustRightInd w:val="0"/>
              <w:jc w:val="center"/>
              <w:rPr>
                <w:rFonts w:asciiTheme="minorHAnsi" w:hAnsiTheme="minorHAnsi" w:cstheme="minorHAnsi"/>
                <w:color w:val="000000"/>
                <w:sz w:val="22"/>
                <w:szCs w:val="24"/>
              </w:rPr>
            </w:pPr>
            <w:r w:rsidRPr="002D39D0">
              <w:rPr>
                <w:rFonts w:asciiTheme="minorHAnsi" w:hAnsiTheme="minorHAnsi" w:cstheme="minorHAnsi"/>
                <w:color w:val="000000"/>
                <w:sz w:val="22"/>
                <w:szCs w:val="24"/>
              </w:rPr>
              <w:t>91%</w:t>
            </w:r>
          </w:p>
        </w:tc>
        <w:tc>
          <w:tcPr>
            <w:tcW w:w="2112" w:type="pct"/>
          </w:tcPr>
          <w:p w14:paraId="5E72773F" w14:textId="22AA798F" w:rsidR="00DE32DF" w:rsidRPr="002D39D0" w:rsidRDefault="00DE32DF" w:rsidP="000F48C6">
            <w:pPr>
              <w:autoSpaceDE w:val="0"/>
              <w:autoSpaceDN w:val="0"/>
              <w:adjustRightInd w:val="0"/>
              <w:jc w:val="center"/>
              <w:rPr>
                <w:rFonts w:asciiTheme="minorHAnsi" w:hAnsiTheme="minorHAnsi" w:cstheme="minorHAnsi"/>
                <w:color w:val="000000"/>
                <w:sz w:val="22"/>
                <w:szCs w:val="24"/>
              </w:rPr>
            </w:pPr>
            <w:r w:rsidRPr="002D39D0">
              <w:rPr>
                <w:rFonts w:asciiTheme="minorHAnsi" w:hAnsiTheme="minorHAnsi" w:cstheme="minorHAnsi"/>
                <w:color w:val="000000"/>
                <w:sz w:val="22"/>
                <w:szCs w:val="24"/>
              </w:rPr>
              <w:t>9</w:t>
            </w:r>
            <w:r w:rsidR="00E76F8A">
              <w:rPr>
                <w:rFonts w:asciiTheme="minorHAnsi" w:hAnsiTheme="minorHAnsi" w:cstheme="minorHAnsi"/>
                <w:color w:val="000000"/>
                <w:sz w:val="22"/>
                <w:szCs w:val="24"/>
              </w:rPr>
              <w:t xml:space="preserve"> </w:t>
            </w:r>
            <w:r w:rsidRPr="002D39D0">
              <w:rPr>
                <w:rFonts w:asciiTheme="minorHAnsi" w:hAnsiTheme="minorHAnsi" w:cstheme="minorHAnsi"/>
                <w:color w:val="000000"/>
                <w:sz w:val="22"/>
                <w:szCs w:val="24"/>
              </w:rPr>
              <w:t>%</w:t>
            </w:r>
          </w:p>
        </w:tc>
      </w:tr>
      <w:tr w:rsidR="00DE32DF" w:rsidRPr="002D39D0" w14:paraId="32F44198" w14:textId="77777777" w:rsidTr="00222D78">
        <w:trPr>
          <w:cantSplit/>
          <w:trHeight w:val="290"/>
          <w:tblHeader/>
          <w:jc w:val="center"/>
        </w:trPr>
        <w:tc>
          <w:tcPr>
            <w:tcW w:w="762" w:type="pct"/>
          </w:tcPr>
          <w:p w14:paraId="34D2786A" w14:textId="77777777" w:rsidR="00DE32DF" w:rsidRPr="002D39D0" w:rsidRDefault="00DE32DF" w:rsidP="000F48C6">
            <w:pPr>
              <w:autoSpaceDE w:val="0"/>
              <w:autoSpaceDN w:val="0"/>
              <w:adjustRightInd w:val="0"/>
              <w:rPr>
                <w:rFonts w:asciiTheme="minorHAnsi" w:hAnsiTheme="minorHAnsi" w:cstheme="minorHAnsi"/>
                <w:color w:val="000000"/>
                <w:sz w:val="22"/>
                <w:szCs w:val="24"/>
              </w:rPr>
            </w:pPr>
            <w:r w:rsidRPr="002D39D0">
              <w:rPr>
                <w:rFonts w:asciiTheme="minorHAnsi" w:hAnsiTheme="minorHAnsi" w:cstheme="minorHAnsi"/>
                <w:color w:val="000000"/>
                <w:sz w:val="22"/>
                <w:szCs w:val="24"/>
              </w:rPr>
              <w:t>2017 à 2018</w:t>
            </w:r>
          </w:p>
        </w:tc>
        <w:tc>
          <w:tcPr>
            <w:tcW w:w="2126" w:type="pct"/>
          </w:tcPr>
          <w:p w14:paraId="09624D9B" w14:textId="77777777" w:rsidR="00DE32DF" w:rsidRPr="002D39D0" w:rsidRDefault="00DE32DF" w:rsidP="000F48C6">
            <w:pPr>
              <w:autoSpaceDE w:val="0"/>
              <w:autoSpaceDN w:val="0"/>
              <w:adjustRightInd w:val="0"/>
              <w:jc w:val="center"/>
              <w:rPr>
                <w:rFonts w:asciiTheme="minorHAnsi" w:hAnsiTheme="minorHAnsi" w:cstheme="minorHAnsi"/>
                <w:color w:val="000000"/>
                <w:sz w:val="22"/>
                <w:szCs w:val="24"/>
              </w:rPr>
            </w:pPr>
            <w:r w:rsidRPr="002D39D0">
              <w:rPr>
                <w:rFonts w:asciiTheme="minorHAnsi" w:hAnsiTheme="minorHAnsi" w:cstheme="minorHAnsi"/>
                <w:color w:val="000000"/>
                <w:sz w:val="22"/>
                <w:szCs w:val="24"/>
              </w:rPr>
              <w:t>90%</w:t>
            </w:r>
          </w:p>
        </w:tc>
        <w:tc>
          <w:tcPr>
            <w:tcW w:w="2112" w:type="pct"/>
          </w:tcPr>
          <w:p w14:paraId="1B47F7A5" w14:textId="4F205A26" w:rsidR="00DE32DF" w:rsidRPr="002D39D0" w:rsidRDefault="00DE32DF" w:rsidP="000F48C6">
            <w:pPr>
              <w:autoSpaceDE w:val="0"/>
              <w:autoSpaceDN w:val="0"/>
              <w:adjustRightInd w:val="0"/>
              <w:jc w:val="center"/>
              <w:rPr>
                <w:rFonts w:asciiTheme="minorHAnsi" w:hAnsiTheme="minorHAnsi" w:cstheme="minorHAnsi"/>
                <w:color w:val="000000"/>
                <w:sz w:val="22"/>
                <w:szCs w:val="24"/>
              </w:rPr>
            </w:pPr>
            <w:r w:rsidRPr="002D39D0">
              <w:rPr>
                <w:rFonts w:asciiTheme="minorHAnsi" w:hAnsiTheme="minorHAnsi" w:cstheme="minorHAnsi"/>
                <w:color w:val="000000"/>
                <w:sz w:val="22"/>
                <w:szCs w:val="24"/>
              </w:rPr>
              <w:t>10</w:t>
            </w:r>
            <w:r w:rsidR="00E76F8A">
              <w:rPr>
                <w:rFonts w:asciiTheme="minorHAnsi" w:hAnsiTheme="minorHAnsi" w:cstheme="minorHAnsi"/>
                <w:color w:val="000000"/>
                <w:sz w:val="22"/>
                <w:szCs w:val="24"/>
              </w:rPr>
              <w:t xml:space="preserve"> </w:t>
            </w:r>
            <w:r w:rsidRPr="002D39D0">
              <w:rPr>
                <w:rFonts w:asciiTheme="minorHAnsi" w:hAnsiTheme="minorHAnsi" w:cstheme="minorHAnsi"/>
                <w:color w:val="000000"/>
                <w:sz w:val="22"/>
                <w:szCs w:val="24"/>
              </w:rPr>
              <w:t>%</w:t>
            </w:r>
          </w:p>
        </w:tc>
      </w:tr>
      <w:tr w:rsidR="00DE32DF" w:rsidRPr="002D39D0" w14:paraId="73E70708" w14:textId="77777777" w:rsidTr="00222D78">
        <w:trPr>
          <w:cantSplit/>
          <w:trHeight w:val="290"/>
          <w:tblHeader/>
          <w:jc w:val="center"/>
        </w:trPr>
        <w:tc>
          <w:tcPr>
            <w:tcW w:w="762" w:type="pct"/>
          </w:tcPr>
          <w:p w14:paraId="5F853716" w14:textId="77777777" w:rsidR="00DE32DF" w:rsidRPr="002D39D0" w:rsidRDefault="00DE32DF" w:rsidP="000F48C6">
            <w:pPr>
              <w:autoSpaceDE w:val="0"/>
              <w:autoSpaceDN w:val="0"/>
              <w:adjustRightInd w:val="0"/>
              <w:rPr>
                <w:rFonts w:asciiTheme="minorHAnsi" w:hAnsiTheme="minorHAnsi" w:cstheme="minorHAnsi"/>
                <w:color w:val="000000"/>
                <w:sz w:val="22"/>
                <w:szCs w:val="24"/>
              </w:rPr>
            </w:pPr>
            <w:r w:rsidRPr="002D39D0">
              <w:rPr>
                <w:rFonts w:asciiTheme="minorHAnsi" w:hAnsiTheme="minorHAnsi" w:cstheme="minorHAnsi"/>
                <w:color w:val="000000"/>
                <w:sz w:val="22"/>
                <w:szCs w:val="24"/>
              </w:rPr>
              <w:t>2018 à 2019</w:t>
            </w:r>
          </w:p>
        </w:tc>
        <w:tc>
          <w:tcPr>
            <w:tcW w:w="2126" w:type="pct"/>
          </w:tcPr>
          <w:p w14:paraId="149F4327" w14:textId="77777777" w:rsidR="00DE32DF" w:rsidRPr="002D39D0" w:rsidRDefault="00DE32DF" w:rsidP="000F48C6">
            <w:pPr>
              <w:autoSpaceDE w:val="0"/>
              <w:autoSpaceDN w:val="0"/>
              <w:adjustRightInd w:val="0"/>
              <w:jc w:val="center"/>
              <w:rPr>
                <w:rFonts w:asciiTheme="minorHAnsi" w:hAnsiTheme="minorHAnsi" w:cstheme="minorHAnsi"/>
                <w:color w:val="000000"/>
                <w:sz w:val="22"/>
                <w:szCs w:val="24"/>
              </w:rPr>
            </w:pPr>
            <w:r w:rsidRPr="002D39D0">
              <w:rPr>
                <w:rFonts w:asciiTheme="minorHAnsi" w:hAnsiTheme="minorHAnsi" w:cstheme="minorHAnsi"/>
                <w:color w:val="000000"/>
                <w:sz w:val="22"/>
                <w:szCs w:val="24"/>
              </w:rPr>
              <w:t>87%</w:t>
            </w:r>
          </w:p>
        </w:tc>
        <w:tc>
          <w:tcPr>
            <w:tcW w:w="2112" w:type="pct"/>
          </w:tcPr>
          <w:p w14:paraId="3CDFE1D2" w14:textId="627A9D7C" w:rsidR="00DE32DF" w:rsidRPr="002D39D0" w:rsidRDefault="00DE32DF" w:rsidP="000F48C6">
            <w:pPr>
              <w:autoSpaceDE w:val="0"/>
              <w:autoSpaceDN w:val="0"/>
              <w:adjustRightInd w:val="0"/>
              <w:jc w:val="center"/>
              <w:rPr>
                <w:rFonts w:asciiTheme="minorHAnsi" w:hAnsiTheme="minorHAnsi" w:cstheme="minorHAnsi"/>
                <w:color w:val="000000"/>
                <w:sz w:val="22"/>
                <w:szCs w:val="24"/>
              </w:rPr>
            </w:pPr>
            <w:r w:rsidRPr="002D39D0">
              <w:rPr>
                <w:rFonts w:asciiTheme="minorHAnsi" w:hAnsiTheme="minorHAnsi" w:cstheme="minorHAnsi"/>
                <w:color w:val="000000"/>
                <w:sz w:val="22"/>
                <w:szCs w:val="24"/>
              </w:rPr>
              <w:t>13</w:t>
            </w:r>
            <w:r w:rsidR="00E76F8A">
              <w:rPr>
                <w:rFonts w:asciiTheme="minorHAnsi" w:hAnsiTheme="minorHAnsi" w:cstheme="minorHAnsi"/>
                <w:color w:val="000000"/>
                <w:sz w:val="22"/>
                <w:szCs w:val="24"/>
              </w:rPr>
              <w:t xml:space="preserve"> </w:t>
            </w:r>
            <w:r w:rsidRPr="002D39D0">
              <w:rPr>
                <w:rFonts w:asciiTheme="minorHAnsi" w:hAnsiTheme="minorHAnsi" w:cstheme="minorHAnsi"/>
                <w:color w:val="000000"/>
                <w:sz w:val="22"/>
                <w:szCs w:val="24"/>
              </w:rPr>
              <w:t>%</w:t>
            </w:r>
          </w:p>
        </w:tc>
      </w:tr>
    </w:tbl>
    <w:p w14:paraId="3BFA444F" w14:textId="156A7EF5" w:rsidR="00041054" w:rsidRDefault="00DE32DF" w:rsidP="00DE32DF">
      <w:pPr>
        <w:pStyle w:val="ListParagraph"/>
        <w:numPr>
          <w:ilvl w:val="0"/>
          <w:numId w:val="15"/>
        </w:numPr>
        <w:spacing w:after="100" w:afterAutospacing="1"/>
        <w:contextualSpacing w:val="0"/>
        <w:rPr>
          <w:rFonts w:asciiTheme="minorHAnsi" w:hAnsiTheme="minorHAnsi" w:cstheme="minorHAnsi"/>
          <w:sz w:val="22"/>
        </w:rPr>
        <w:sectPr w:rsidR="00041054" w:rsidSect="00813771">
          <w:pgSz w:w="15840" w:h="12240" w:orient="landscape"/>
          <w:pgMar w:top="680" w:right="680" w:bottom="680" w:left="680" w:header="567" w:footer="567" w:gutter="0"/>
          <w:cols w:space="708"/>
          <w:titlePg/>
          <w:docGrid w:linePitch="360"/>
        </w:sectPr>
      </w:pPr>
      <w:r w:rsidRPr="002D39D0">
        <w:rPr>
          <w:rFonts w:asciiTheme="minorHAnsi" w:hAnsiTheme="minorHAnsi" w:cstheme="minorHAnsi"/>
          <w:sz w:val="22"/>
        </w:rPr>
        <w:t>La distribution régionale exclu</w:t>
      </w:r>
      <w:r w:rsidR="00E76F8A">
        <w:rPr>
          <w:rFonts w:asciiTheme="minorHAnsi" w:hAnsiTheme="minorHAnsi" w:cstheme="minorHAnsi"/>
          <w:sz w:val="22"/>
        </w:rPr>
        <w:t>t</w:t>
      </w:r>
      <w:r w:rsidRPr="002D39D0">
        <w:rPr>
          <w:rFonts w:asciiTheme="minorHAnsi" w:hAnsiTheme="minorHAnsi" w:cstheme="minorHAnsi"/>
          <w:sz w:val="22"/>
        </w:rPr>
        <w:t xml:space="preserve"> les inconnus</w:t>
      </w:r>
    </w:p>
    <w:p w14:paraId="55551EBE" w14:textId="77777777" w:rsidR="00E45026" w:rsidRPr="002D39D0" w:rsidRDefault="00E45026" w:rsidP="00E45026">
      <w:pPr>
        <w:pStyle w:val="Heading1"/>
        <w:spacing w:before="120" w:after="120"/>
        <w:rPr>
          <w:sz w:val="40"/>
        </w:rPr>
      </w:pPr>
      <w:r w:rsidRPr="002D39D0">
        <w:rPr>
          <w:rFonts w:eastAsia="Times New Roman"/>
          <w:sz w:val="40"/>
        </w:rPr>
        <w:lastRenderedPageBreak/>
        <w:t>Dotation selon le type de processus</w:t>
      </w:r>
    </w:p>
    <w:p w14:paraId="3D893917" w14:textId="77777777" w:rsidR="00DE32DF" w:rsidRPr="002D39D0" w:rsidRDefault="004D53A0" w:rsidP="00DE32DF">
      <w:pPr>
        <w:keepNext/>
        <w:tabs>
          <w:tab w:val="left" w:pos="7839"/>
        </w:tabs>
        <w:jc w:val="center"/>
      </w:pPr>
      <w:r w:rsidRPr="00302F5B">
        <w:rPr>
          <w:noProof/>
          <w:lang w:val="en-CA" w:eastAsia="en-CA"/>
        </w:rPr>
        <w:drawing>
          <wp:inline distT="0" distB="0" distL="0" distR="0" wp14:anchorId="6AFA8086" wp14:editId="2C7EE4E5">
            <wp:extent cx="5648400" cy="3049200"/>
            <wp:effectExtent l="0" t="0" r="9525" b="18415"/>
            <wp:docPr id="1" name="Chart 1" descr="Dotation selon le type de processus de 2014 à 2019"/>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545FF308" w14:textId="77777777" w:rsidR="004D53A0" w:rsidRPr="002D39D0" w:rsidRDefault="00DE32DF" w:rsidP="007C1E3E">
      <w:pPr>
        <w:pStyle w:val="Caption"/>
        <w:spacing w:after="0"/>
        <w:jc w:val="center"/>
        <w:rPr>
          <w:rFonts w:asciiTheme="minorHAnsi" w:hAnsiTheme="minorHAnsi" w:cstheme="minorHAnsi"/>
          <w:i w:val="0"/>
          <w:color w:val="auto"/>
        </w:rPr>
      </w:pPr>
      <w:r w:rsidRPr="002D39D0">
        <w:rPr>
          <w:rFonts w:asciiTheme="minorHAnsi" w:hAnsiTheme="minorHAnsi" w:cstheme="minorHAnsi"/>
          <w:i w:val="0"/>
          <w:color w:val="auto"/>
        </w:rPr>
        <w:t xml:space="preserve">Figure </w:t>
      </w:r>
      <w:r w:rsidRPr="006C61AE">
        <w:rPr>
          <w:rFonts w:asciiTheme="minorHAnsi" w:hAnsiTheme="minorHAnsi" w:cstheme="minorHAnsi"/>
          <w:i w:val="0"/>
          <w:color w:val="auto"/>
        </w:rPr>
        <w:fldChar w:fldCharType="begin"/>
      </w:r>
      <w:r w:rsidRPr="002D39D0">
        <w:rPr>
          <w:rFonts w:asciiTheme="minorHAnsi" w:hAnsiTheme="minorHAnsi" w:cstheme="minorHAnsi"/>
          <w:i w:val="0"/>
          <w:color w:val="auto"/>
        </w:rPr>
        <w:instrText xml:space="preserve"> SEQ Figure \* ARABIC </w:instrText>
      </w:r>
      <w:r w:rsidRPr="006C61AE">
        <w:rPr>
          <w:rFonts w:asciiTheme="minorHAnsi" w:hAnsiTheme="minorHAnsi" w:cstheme="minorHAnsi"/>
          <w:i w:val="0"/>
          <w:color w:val="auto"/>
        </w:rPr>
        <w:fldChar w:fldCharType="separate"/>
      </w:r>
      <w:r w:rsidR="00DE5258" w:rsidRPr="002D39D0">
        <w:rPr>
          <w:rFonts w:asciiTheme="minorHAnsi" w:hAnsiTheme="minorHAnsi" w:cstheme="minorHAnsi"/>
          <w:i w:val="0"/>
          <w:noProof/>
          <w:color w:val="auto"/>
        </w:rPr>
        <w:t>7</w:t>
      </w:r>
      <w:r w:rsidRPr="006C61AE">
        <w:rPr>
          <w:rFonts w:asciiTheme="minorHAnsi" w:hAnsiTheme="minorHAnsi" w:cstheme="minorHAnsi"/>
          <w:i w:val="0"/>
          <w:color w:val="auto"/>
        </w:rPr>
        <w:fldChar w:fldCharType="end"/>
      </w:r>
      <w:r w:rsidRPr="002D39D0">
        <w:rPr>
          <w:rFonts w:asciiTheme="minorHAnsi" w:hAnsiTheme="minorHAnsi" w:cstheme="minorHAnsi"/>
          <w:i w:val="0"/>
          <w:color w:val="auto"/>
        </w:rPr>
        <w:t xml:space="preserve"> - Dotation selon le type de processus</w:t>
      </w:r>
    </w:p>
    <w:p w14:paraId="7FFB6546" w14:textId="0FB39E2B" w:rsidR="00DE32DF" w:rsidRPr="002D39D0" w:rsidRDefault="00DE32DF" w:rsidP="007C1E3E">
      <w:pPr>
        <w:pStyle w:val="Caption"/>
        <w:keepNext/>
        <w:spacing w:before="240" w:after="0"/>
        <w:jc w:val="center"/>
        <w:rPr>
          <w:rFonts w:asciiTheme="minorHAnsi" w:hAnsiTheme="minorHAnsi" w:cstheme="minorHAnsi"/>
          <w:i w:val="0"/>
          <w:color w:val="auto"/>
        </w:rPr>
      </w:pPr>
      <w:r w:rsidRPr="002D39D0">
        <w:rPr>
          <w:rFonts w:asciiTheme="minorHAnsi" w:hAnsiTheme="minorHAnsi" w:cstheme="minorHAnsi"/>
          <w:i w:val="0"/>
          <w:color w:val="auto"/>
        </w:rPr>
        <w:t xml:space="preserve">Table </w:t>
      </w:r>
      <w:r w:rsidRPr="006C61AE">
        <w:rPr>
          <w:rFonts w:asciiTheme="minorHAnsi" w:hAnsiTheme="minorHAnsi" w:cstheme="minorHAnsi"/>
          <w:i w:val="0"/>
          <w:color w:val="auto"/>
        </w:rPr>
        <w:fldChar w:fldCharType="begin"/>
      </w:r>
      <w:r w:rsidRPr="002D39D0">
        <w:rPr>
          <w:rFonts w:asciiTheme="minorHAnsi" w:hAnsiTheme="minorHAnsi" w:cstheme="minorHAnsi"/>
          <w:i w:val="0"/>
          <w:color w:val="auto"/>
        </w:rPr>
        <w:instrText xml:space="preserve"> SEQ Table \* ARABIC </w:instrText>
      </w:r>
      <w:r w:rsidRPr="006C61AE">
        <w:rPr>
          <w:rFonts w:asciiTheme="minorHAnsi" w:hAnsiTheme="minorHAnsi" w:cstheme="minorHAnsi"/>
          <w:i w:val="0"/>
          <w:color w:val="auto"/>
        </w:rPr>
        <w:fldChar w:fldCharType="separate"/>
      </w:r>
      <w:r w:rsidR="00C42F1B" w:rsidRPr="002D39D0">
        <w:rPr>
          <w:rFonts w:asciiTheme="minorHAnsi" w:hAnsiTheme="minorHAnsi" w:cstheme="minorHAnsi"/>
          <w:i w:val="0"/>
          <w:noProof/>
          <w:color w:val="auto"/>
        </w:rPr>
        <w:t>12</w:t>
      </w:r>
      <w:r w:rsidRPr="006C61AE">
        <w:rPr>
          <w:rFonts w:asciiTheme="minorHAnsi" w:hAnsiTheme="minorHAnsi" w:cstheme="minorHAnsi"/>
          <w:i w:val="0"/>
          <w:color w:val="auto"/>
        </w:rPr>
        <w:fldChar w:fldCharType="end"/>
      </w:r>
      <w:r w:rsidRPr="002D39D0">
        <w:rPr>
          <w:rFonts w:asciiTheme="minorHAnsi" w:hAnsiTheme="minorHAnsi" w:cstheme="minorHAnsi"/>
          <w:i w:val="0"/>
          <w:color w:val="auto"/>
        </w:rPr>
        <w:t xml:space="preserve"> - Nombre et pourcentage des activités de dotation selon le type de processus et l’exercice financier</w:t>
      </w:r>
    </w:p>
    <w:tbl>
      <w:tblPr>
        <w:tblStyle w:val="TableGrid"/>
        <w:tblW w:w="5000" w:type="pct"/>
        <w:jc w:val="center"/>
        <w:tblLook w:val="0020" w:firstRow="1" w:lastRow="0" w:firstColumn="0" w:lastColumn="0" w:noHBand="0" w:noVBand="0"/>
        <w:tblDescription w:val="Dotation selon le type de processus de 2014 à 2019"/>
      </w:tblPr>
      <w:tblGrid>
        <w:gridCol w:w="2689"/>
        <w:gridCol w:w="4254"/>
        <w:gridCol w:w="3117"/>
        <w:gridCol w:w="4410"/>
      </w:tblGrid>
      <w:tr w:rsidR="00DE32DF" w:rsidRPr="004721CE" w14:paraId="02D3E8F1" w14:textId="77777777" w:rsidTr="00222D78">
        <w:trPr>
          <w:cantSplit/>
          <w:trHeight w:val="290"/>
          <w:tblHeader/>
          <w:jc w:val="center"/>
        </w:trPr>
        <w:tc>
          <w:tcPr>
            <w:tcW w:w="929" w:type="pct"/>
          </w:tcPr>
          <w:p w14:paraId="6A6939CB" w14:textId="77777777" w:rsidR="00DE32DF" w:rsidRPr="004721CE" w:rsidRDefault="00DE32DF" w:rsidP="000F48C6">
            <w:pPr>
              <w:pStyle w:val="TableTitle"/>
              <w:rPr>
                <w:rFonts w:cs="Segoe UI Semibold"/>
                <w:b w:val="0"/>
                <w:szCs w:val="22"/>
              </w:rPr>
            </w:pPr>
            <w:r w:rsidRPr="004721CE">
              <w:rPr>
                <w:rFonts w:cs="Segoe UI Semibold"/>
                <w:b w:val="0"/>
                <w:szCs w:val="22"/>
              </w:rPr>
              <w:t>Exercice financier</w:t>
            </w:r>
          </w:p>
        </w:tc>
        <w:tc>
          <w:tcPr>
            <w:tcW w:w="1470" w:type="pct"/>
          </w:tcPr>
          <w:p w14:paraId="61DB1B41" w14:textId="07445AD4" w:rsidR="00DE32DF" w:rsidRPr="004721CE" w:rsidRDefault="00DE32DF" w:rsidP="000F48C6">
            <w:pPr>
              <w:pStyle w:val="TableTitle"/>
              <w:rPr>
                <w:rFonts w:cs="Segoe UI Semibold"/>
                <w:b w:val="0"/>
                <w:szCs w:val="22"/>
              </w:rPr>
            </w:pPr>
            <w:r w:rsidRPr="004721CE">
              <w:rPr>
                <w:rFonts w:cs="Segoe UI Semibold"/>
                <w:b w:val="0"/>
                <w:szCs w:val="22"/>
              </w:rPr>
              <w:t>Processus non annoncé</w:t>
            </w:r>
            <w:r w:rsidR="00E76F8A" w:rsidRPr="004721CE">
              <w:rPr>
                <w:rFonts w:cs="Segoe UI Semibold"/>
                <w:b w:val="0"/>
                <w:szCs w:val="22"/>
              </w:rPr>
              <w:t>s</w:t>
            </w:r>
            <w:r w:rsidRPr="004721CE">
              <w:rPr>
                <w:rFonts w:cs="Segoe UI Semibold"/>
                <w:b w:val="0"/>
                <w:szCs w:val="22"/>
              </w:rPr>
              <w:t xml:space="preserve"> (inconnus exclus)</w:t>
            </w:r>
          </w:p>
        </w:tc>
        <w:tc>
          <w:tcPr>
            <w:tcW w:w="1077" w:type="pct"/>
          </w:tcPr>
          <w:p w14:paraId="2DB165C8" w14:textId="77777777" w:rsidR="00DE32DF" w:rsidRPr="004721CE" w:rsidRDefault="00DE32DF" w:rsidP="000F48C6">
            <w:pPr>
              <w:pStyle w:val="TableTitle"/>
              <w:rPr>
                <w:rFonts w:cs="Segoe UI Semibold"/>
                <w:b w:val="0"/>
                <w:szCs w:val="22"/>
              </w:rPr>
            </w:pPr>
            <w:r w:rsidRPr="004721CE">
              <w:rPr>
                <w:rFonts w:cs="Segoe UI Semibold"/>
                <w:b w:val="0"/>
                <w:szCs w:val="22"/>
              </w:rPr>
              <w:t>Processus annoncés</w:t>
            </w:r>
          </w:p>
        </w:tc>
        <w:tc>
          <w:tcPr>
            <w:tcW w:w="1524" w:type="pct"/>
          </w:tcPr>
          <w:p w14:paraId="099A62FB" w14:textId="77777777" w:rsidR="00DE32DF" w:rsidRPr="004721CE" w:rsidRDefault="00DE32DF" w:rsidP="000F48C6">
            <w:pPr>
              <w:pStyle w:val="TableTitle"/>
              <w:rPr>
                <w:rFonts w:cs="Segoe UI Semibold"/>
                <w:b w:val="0"/>
                <w:szCs w:val="22"/>
              </w:rPr>
            </w:pPr>
            <w:r w:rsidRPr="004721CE">
              <w:rPr>
                <w:rFonts w:cs="Segoe UI Semibold"/>
                <w:b w:val="0"/>
                <w:szCs w:val="22"/>
              </w:rPr>
              <w:t xml:space="preserve">Pourcentage de processus non annoncés </w:t>
            </w:r>
          </w:p>
        </w:tc>
      </w:tr>
      <w:tr w:rsidR="00DE32DF" w:rsidRPr="002D39D0" w14:paraId="40FF491F" w14:textId="77777777" w:rsidTr="00222D78">
        <w:trPr>
          <w:cantSplit/>
          <w:trHeight w:val="290"/>
          <w:tblHeader/>
          <w:jc w:val="center"/>
        </w:trPr>
        <w:tc>
          <w:tcPr>
            <w:tcW w:w="929" w:type="pct"/>
          </w:tcPr>
          <w:p w14:paraId="169C0A0B" w14:textId="77777777" w:rsidR="00DE32DF" w:rsidRPr="002D39D0" w:rsidRDefault="00DE32DF" w:rsidP="000F48C6">
            <w:pPr>
              <w:autoSpaceDE w:val="0"/>
              <w:autoSpaceDN w:val="0"/>
              <w:adjustRightInd w:val="0"/>
              <w:rPr>
                <w:rFonts w:asciiTheme="minorHAnsi" w:hAnsiTheme="minorHAnsi" w:cstheme="minorHAnsi"/>
                <w:color w:val="000000"/>
                <w:sz w:val="22"/>
                <w:szCs w:val="24"/>
              </w:rPr>
            </w:pPr>
            <w:r w:rsidRPr="002D39D0">
              <w:rPr>
                <w:rFonts w:asciiTheme="minorHAnsi" w:hAnsiTheme="minorHAnsi" w:cstheme="minorHAnsi"/>
                <w:color w:val="000000"/>
                <w:sz w:val="22"/>
                <w:szCs w:val="24"/>
              </w:rPr>
              <w:t xml:space="preserve">2014 à 2015 </w:t>
            </w:r>
          </w:p>
        </w:tc>
        <w:tc>
          <w:tcPr>
            <w:tcW w:w="1470" w:type="pct"/>
          </w:tcPr>
          <w:p w14:paraId="7B3A0D14" w14:textId="77777777" w:rsidR="00DE32DF" w:rsidRPr="002D39D0" w:rsidRDefault="00DE32DF" w:rsidP="000F48C6">
            <w:pPr>
              <w:autoSpaceDE w:val="0"/>
              <w:autoSpaceDN w:val="0"/>
              <w:adjustRightInd w:val="0"/>
              <w:jc w:val="center"/>
              <w:rPr>
                <w:rFonts w:asciiTheme="minorHAnsi" w:hAnsiTheme="minorHAnsi" w:cstheme="minorHAnsi"/>
                <w:color w:val="000000"/>
                <w:sz w:val="22"/>
                <w:szCs w:val="24"/>
              </w:rPr>
            </w:pPr>
            <w:r w:rsidRPr="002D39D0">
              <w:rPr>
                <w:rFonts w:asciiTheme="minorHAnsi" w:hAnsiTheme="minorHAnsi" w:cstheme="minorHAnsi"/>
                <w:color w:val="000000"/>
                <w:sz w:val="22"/>
                <w:szCs w:val="24"/>
              </w:rPr>
              <w:t>228</w:t>
            </w:r>
          </w:p>
        </w:tc>
        <w:tc>
          <w:tcPr>
            <w:tcW w:w="1077" w:type="pct"/>
          </w:tcPr>
          <w:p w14:paraId="7D14BB3D" w14:textId="77777777" w:rsidR="00DE32DF" w:rsidRPr="002D39D0" w:rsidRDefault="00DE32DF" w:rsidP="000F48C6">
            <w:pPr>
              <w:autoSpaceDE w:val="0"/>
              <w:autoSpaceDN w:val="0"/>
              <w:adjustRightInd w:val="0"/>
              <w:jc w:val="center"/>
              <w:rPr>
                <w:rFonts w:asciiTheme="minorHAnsi" w:hAnsiTheme="minorHAnsi" w:cstheme="minorHAnsi"/>
                <w:color w:val="000000"/>
                <w:sz w:val="22"/>
                <w:szCs w:val="24"/>
              </w:rPr>
            </w:pPr>
            <w:r w:rsidRPr="002D39D0">
              <w:rPr>
                <w:rFonts w:asciiTheme="minorHAnsi" w:hAnsiTheme="minorHAnsi" w:cstheme="minorHAnsi"/>
                <w:color w:val="000000"/>
                <w:sz w:val="22"/>
                <w:szCs w:val="24"/>
              </w:rPr>
              <w:t>230</w:t>
            </w:r>
          </w:p>
        </w:tc>
        <w:tc>
          <w:tcPr>
            <w:tcW w:w="1524" w:type="pct"/>
          </w:tcPr>
          <w:p w14:paraId="1F60007C" w14:textId="7408EFC1" w:rsidR="00DE32DF" w:rsidRPr="002D39D0" w:rsidRDefault="00DE32DF" w:rsidP="000F48C6">
            <w:pPr>
              <w:autoSpaceDE w:val="0"/>
              <w:autoSpaceDN w:val="0"/>
              <w:adjustRightInd w:val="0"/>
              <w:jc w:val="center"/>
              <w:rPr>
                <w:rFonts w:asciiTheme="minorHAnsi" w:hAnsiTheme="minorHAnsi" w:cstheme="minorHAnsi"/>
                <w:color w:val="000000"/>
                <w:sz w:val="22"/>
                <w:szCs w:val="24"/>
              </w:rPr>
            </w:pPr>
            <w:r w:rsidRPr="002D39D0">
              <w:rPr>
                <w:rFonts w:asciiTheme="minorHAnsi" w:hAnsiTheme="minorHAnsi" w:cstheme="minorHAnsi"/>
                <w:color w:val="000000"/>
                <w:sz w:val="22"/>
                <w:szCs w:val="24"/>
              </w:rPr>
              <w:t>50</w:t>
            </w:r>
            <w:r w:rsidR="00E76F8A">
              <w:rPr>
                <w:rFonts w:asciiTheme="minorHAnsi" w:hAnsiTheme="minorHAnsi" w:cstheme="minorHAnsi"/>
                <w:color w:val="000000"/>
                <w:sz w:val="22"/>
                <w:szCs w:val="24"/>
              </w:rPr>
              <w:t xml:space="preserve"> </w:t>
            </w:r>
            <w:r w:rsidRPr="002D39D0">
              <w:rPr>
                <w:rFonts w:asciiTheme="minorHAnsi" w:hAnsiTheme="minorHAnsi" w:cstheme="minorHAnsi"/>
                <w:color w:val="000000"/>
                <w:sz w:val="22"/>
                <w:szCs w:val="24"/>
              </w:rPr>
              <w:t>%</w:t>
            </w:r>
          </w:p>
        </w:tc>
      </w:tr>
      <w:tr w:rsidR="00DE32DF" w:rsidRPr="002D39D0" w14:paraId="173AAF51" w14:textId="77777777" w:rsidTr="00222D78">
        <w:trPr>
          <w:cantSplit/>
          <w:trHeight w:val="290"/>
          <w:tblHeader/>
          <w:jc w:val="center"/>
        </w:trPr>
        <w:tc>
          <w:tcPr>
            <w:tcW w:w="929" w:type="pct"/>
          </w:tcPr>
          <w:p w14:paraId="1CA50D52" w14:textId="77777777" w:rsidR="00DE32DF" w:rsidRPr="002D39D0" w:rsidRDefault="00DE32DF" w:rsidP="000F48C6">
            <w:pPr>
              <w:autoSpaceDE w:val="0"/>
              <w:autoSpaceDN w:val="0"/>
              <w:adjustRightInd w:val="0"/>
              <w:rPr>
                <w:rFonts w:asciiTheme="minorHAnsi" w:hAnsiTheme="minorHAnsi" w:cstheme="minorHAnsi"/>
                <w:color w:val="000000"/>
                <w:sz w:val="22"/>
                <w:szCs w:val="24"/>
              </w:rPr>
            </w:pPr>
            <w:r w:rsidRPr="002D39D0">
              <w:rPr>
                <w:rFonts w:asciiTheme="minorHAnsi" w:hAnsiTheme="minorHAnsi" w:cstheme="minorHAnsi"/>
                <w:color w:val="000000"/>
                <w:sz w:val="22"/>
                <w:szCs w:val="24"/>
              </w:rPr>
              <w:t xml:space="preserve">2015 à 2016 </w:t>
            </w:r>
          </w:p>
        </w:tc>
        <w:tc>
          <w:tcPr>
            <w:tcW w:w="1470" w:type="pct"/>
          </w:tcPr>
          <w:p w14:paraId="02FCBB37" w14:textId="77777777" w:rsidR="00DE32DF" w:rsidRPr="002D39D0" w:rsidRDefault="00DE32DF" w:rsidP="000F48C6">
            <w:pPr>
              <w:autoSpaceDE w:val="0"/>
              <w:autoSpaceDN w:val="0"/>
              <w:adjustRightInd w:val="0"/>
              <w:jc w:val="center"/>
              <w:rPr>
                <w:rFonts w:asciiTheme="minorHAnsi" w:hAnsiTheme="minorHAnsi" w:cstheme="minorHAnsi"/>
                <w:color w:val="000000"/>
                <w:sz w:val="22"/>
                <w:szCs w:val="24"/>
              </w:rPr>
            </w:pPr>
            <w:r w:rsidRPr="002D39D0">
              <w:rPr>
                <w:rFonts w:asciiTheme="minorHAnsi" w:hAnsiTheme="minorHAnsi" w:cstheme="minorHAnsi"/>
                <w:color w:val="000000"/>
                <w:sz w:val="22"/>
                <w:szCs w:val="24"/>
              </w:rPr>
              <w:t>276</w:t>
            </w:r>
          </w:p>
        </w:tc>
        <w:tc>
          <w:tcPr>
            <w:tcW w:w="1077" w:type="pct"/>
          </w:tcPr>
          <w:p w14:paraId="34A6D7D7" w14:textId="77777777" w:rsidR="00DE32DF" w:rsidRPr="002D39D0" w:rsidRDefault="00DE32DF" w:rsidP="000F48C6">
            <w:pPr>
              <w:autoSpaceDE w:val="0"/>
              <w:autoSpaceDN w:val="0"/>
              <w:adjustRightInd w:val="0"/>
              <w:jc w:val="center"/>
              <w:rPr>
                <w:rFonts w:asciiTheme="minorHAnsi" w:hAnsiTheme="minorHAnsi" w:cstheme="minorHAnsi"/>
                <w:color w:val="000000"/>
                <w:sz w:val="22"/>
                <w:szCs w:val="24"/>
              </w:rPr>
            </w:pPr>
            <w:r w:rsidRPr="002D39D0">
              <w:rPr>
                <w:rFonts w:asciiTheme="minorHAnsi" w:hAnsiTheme="minorHAnsi" w:cstheme="minorHAnsi"/>
                <w:color w:val="000000"/>
                <w:sz w:val="22"/>
                <w:szCs w:val="24"/>
              </w:rPr>
              <w:t>406</w:t>
            </w:r>
          </w:p>
        </w:tc>
        <w:tc>
          <w:tcPr>
            <w:tcW w:w="1524" w:type="pct"/>
          </w:tcPr>
          <w:p w14:paraId="7FB3290C" w14:textId="22B1D875" w:rsidR="00DE32DF" w:rsidRPr="002D39D0" w:rsidRDefault="00DE32DF" w:rsidP="000F48C6">
            <w:pPr>
              <w:autoSpaceDE w:val="0"/>
              <w:autoSpaceDN w:val="0"/>
              <w:adjustRightInd w:val="0"/>
              <w:jc w:val="center"/>
              <w:rPr>
                <w:rFonts w:asciiTheme="minorHAnsi" w:hAnsiTheme="minorHAnsi" w:cstheme="minorHAnsi"/>
                <w:color w:val="000000"/>
                <w:sz w:val="22"/>
                <w:szCs w:val="24"/>
              </w:rPr>
            </w:pPr>
            <w:r w:rsidRPr="002D39D0">
              <w:rPr>
                <w:rFonts w:asciiTheme="minorHAnsi" w:hAnsiTheme="minorHAnsi" w:cstheme="minorHAnsi"/>
                <w:color w:val="000000"/>
                <w:sz w:val="22"/>
                <w:szCs w:val="24"/>
              </w:rPr>
              <w:t>40</w:t>
            </w:r>
            <w:r w:rsidR="00E76F8A">
              <w:rPr>
                <w:rFonts w:asciiTheme="minorHAnsi" w:hAnsiTheme="minorHAnsi" w:cstheme="minorHAnsi"/>
                <w:color w:val="000000"/>
                <w:sz w:val="22"/>
                <w:szCs w:val="24"/>
              </w:rPr>
              <w:t xml:space="preserve"> </w:t>
            </w:r>
            <w:r w:rsidRPr="002D39D0">
              <w:rPr>
                <w:rFonts w:asciiTheme="minorHAnsi" w:hAnsiTheme="minorHAnsi" w:cstheme="minorHAnsi"/>
                <w:color w:val="000000"/>
                <w:sz w:val="22"/>
                <w:szCs w:val="24"/>
              </w:rPr>
              <w:t>%</w:t>
            </w:r>
          </w:p>
        </w:tc>
      </w:tr>
      <w:tr w:rsidR="00DE32DF" w:rsidRPr="002D39D0" w14:paraId="439D177E" w14:textId="77777777" w:rsidTr="00222D78">
        <w:trPr>
          <w:cantSplit/>
          <w:trHeight w:val="290"/>
          <w:tblHeader/>
          <w:jc w:val="center"/>
        </w:trPr>
        <w:tc>
          <w:tcPr>
            <w:tcW w:w="929" w:type="pct"/>
          </w:tcPr>
          <w:p w14:paraId="416476F0" w14:textId="77777777" w:rsidR="00DE32DF" w:rsidRPr="002D39D0" w:rsidRDefault="00DE32DF" w:rsidP="000F48C6">
            <w:pPr>
              <w:autoSpaceDE w:val="0"/>
              <w:autoSpaceDN w:val="0"/>
              <w:adjustRightInd w:val="0"/>
              <w:rPr>
                <w:rFonts w:asciiTheme="minorHAnsi" w:hAnsiTheme="minorHAnsi" w:cstheme="minorHAnsi"/>
                <w:color w:val="000000"/>
                <w:sz w:val="22"/>
                <w:szCs w:val="24"/>
              </w:rPr>
            </w:pPr>
            <w:r w:rsidRPr="002D39D0">
              <w:rPr>
                <w:rFonts w:asciiTheme="minorHAnsi" w:hAnsiTheme="minorHAnsi" w:cstheme="minorHAnsi"/>
                <w:color w:val="000000"/>
                <w:sz w:val="22"/>
                <w:szCs w:val="24"/>
              </w:rPr>
              <w:t>2016 à 2017</w:t>
            </w:r>
          </w:p>
        </w:tc>
        <w:tc>
          <w:tcPr>
            <w:tcW w:w="1470" w:type="pct"/>
          </w:tcPr>
          <w:p w14:paraId="4633BE16" w14:textId="77777777" w:rsidR="00DE32DF" w:rsidRPr="002D39D0" w:rsidRDefault="00DE32DF" w:rsidP="000F48C6">
            <w:pPr>
              <w:autoSpaceDE w:val="0"/>
              <w:autoSpaceDN w:val="0"/>
              <w:adjustRightInd w:val="0"/>
              <w:jc w:val="center"/>
              <w:rPr>
                <w:rFonts w:asciiTheme="minorHAnsi" w:hAnsiTheme="minorHAnsi" w:cstheme="minorHAnsi"/>
                <w:color w:val="000000"/>
                <w:sz w:val="22"/>
                <w:szCs w:val="24"/>
              </w:rPr>
            </w:pPr>
            <w:r w:rsidRPr="002D39D0">
              <w:rPr>
                <w:rFonts w:asciiTheme="minorHAnsi" w:hAnsiTheme="minorHAnsi" w:cstheme="minorHAnsi"/>
                <w:color w:val="000000"/>
                <w:sz w:val="22"/>
                <w:szCs w:val="24"/>
              </w:rPr>
              <w:t>278</w:t>
            </w:r>
          </w:p>
        </w:tc>
        <w:tc>
          <w:tcPr>
            <w:tcW w:w="1077" w:type="pct"/>
          </w:tcPr>
          <w:p w14:paraId="4A103738" w14:textId="77777777" w:rsidR="00DE32DF" w:rsidRPr="002D39D0" w:rsidRDefault="00DE32DF" w:rsidP="000F48C6">
            <w:pPr>
              <w:autoSpaceDE w:val="0"/>
              <w:autoSpaceDN w:val="0"/>
              <w:adjustRightInd w:val="0"/>
              <w:jc w:val="center"/>
              <w:rPr>
                <w:rFonts w:asciiTheme="minorHAnsi" w:hAnsiTheme="minorHAnsi" w:cstheme="minorHAnsi"/>
                <w:color w:val="000000"/>
                <w:sz w:val="22"/>
                <w:szCs w:val="24"/>
              </w:rPr>
            </w:pPr>
            <w:r w:rsidRPr="002D39D0">
              <w:rPr>
                <w:rFonts w:asciiTheme="minorHAnsi" w:hAnsiTheme="minorHAnsi" w:cstheme="minorHAnsi"/>
                <w:color w:val="000000"/>
                <w:sz w:val="22"/>
                <w:szCs w:val="24"/>
              </w:rPr>
              <w:t>570</w:t>
            </w:r>
          </w:p>
        </w:tc>
        <w:tc>
          <w:tcPr>
            <w:tcW w:w="1524" w:type="pct"/>
          </w:tcPr>
          <w:p w14:paraId="6B234864" w14:textId="5408F557" w:rsidR="00DE32DF" w:rsidRPr="002D39D0" w:rsidRDefault="00DE32DF" w:rsidP="000F48C6">
            <w:pPr>
              <w:autoSpaceDE w:val="0"/>
              <w:autoSpaceDN w:val="0"/>
              <w:adjustRightInd w:val="0"/>
              <w:jc w:val="center"/>
              <w:rPr>
                <w:rFonts w:asciiTheme="minorHAnsi" w:hAnsiTheme="minorHAnsi" w:cstheme="minorHAnsi"/>
                <w:color w:val="000000"/>
                <w:sz w:val="22"/>
                <w:szCs w:val="24"/>
              </w:rPr>
            </w:pPr>
            <w:r w:rsidRPr="002D39D0">
              <w:rPr>
                <w:rFonts w:asciiTheme="minorHAnsi" w:hAnsiTheme="minorHAnsi" w:cstheme="minorHAnsi"/>
                <w:color w:val="000000"/>
                <w:sz w:val="22"/>
                <w:szCs w:val="24"/>
              </w:rPr>
              <w:t>33</w:t>
            </w:r>
            <w:r w:rsidR="00E76F8A">
              <w:rPr>
                <w:rFonts w:asciiTheme="minorHAnsi" w:hAnsiTheme="minorHAnsi" w:cstheme="minorHAnsi"/>
                <w:color w:val="000000"/>
                <w:sz w:val="22"/>
                <w:szCs w:val="24"/>
              </w:rPr>
              <w:t xml:space="preserve"> </w:t>
            </w:r>
            <w:r w:rsidRPr="002D39D0">
              <w:rPr>
                <w:rFonts w:asciiTheme="minorHAnsi" w:hAnsiTheme="minorHAnsi" w:cstheme="minorHAnsi"/>
                <w:color w:val="000000"/>
                <w:sz w:val="22"/>
                <w:szCs w:val="24"/>
              </w:rPr>
              <w:t>%</w:t>
            </w:r>
          </w:p>
        </w:tc>
      </w:tr>
      <w:tr w:rsidR="00DE32DF" w:rsidRPr="002D39D0" w14:paraId="0A3A0490" w14:textId="77777777" w:rsidTr="00222D78">
        <w:trPr>
          <w:cantSplit/>
          <w:trHeight w:val="290"/>
          <w:tblHeader/>
          <w:jc w:val="center"/>
        </w:trPr>
        <w:tc>
          <w:tcPr>
            <w:tcW w:w="929" w:type="pct"/>
          </w:tcPr>
          <w:p w14:paraId="7C9B1DA7" w14:textId="77777777" w:rsidR="00DE32DF" w:rsidRPr="002D39D0" w:rsidRDefault="00DE32DF" w:rsidP="000F48C6">
            <w:pPr>
              <w:autoSpaceDE w:val="0"/>
              <w:autoSpaceDN w:val="0"/>
              <w:adjustRightInd w:val="0"/>
              <w:rPr>
                <w:rFonts w:asciiTheme="minorHAnsi" w:hAnsiTheme="minorHAnsi" w:cstheme="minorHAnsi"/>
                <w:color w:val="000000"/>
                <w:sz w:val="22"/>
                <w:szCs w:val="24"/>
              </w:rPr>
            </w:pPr>
            <w:r w:rsidRPr="002D39D0">
              <w:rPr>
                <w:rFonts w:asciiTheme="minorHAnsi" w:hAnsiTheme="minorHAnsi" w:cstheme="minorHAnsi"/>
                <w:color w:val="000000"/>
                <w:sz w:val="22"/>
                <w:szCs w:val="24"/>
              </w:rPr>
              <w:t>2017 à 2018</w:t>
            </w:r>
          </w:p>
        </w:tc>
        <w:tc>
          <w:tcPr>
            <w:tcW w:w="1470" w:type="pct"/>
          </w:tcPr>
          <w:p w14:paraId="65CD8A8C" w14:textId="77777777" w:rsidR="00DE32DF" w:rsidRPr="002D39D0" w:rsidRDefault="00DE32DF" w:rsidP="000F48C6">
            <w:pPr>
              <w:autoSpaceDE w:val="0"/>
              <w:autoSpaceDN w:val="0"/>
              <w:adjustRightInd w:val="0"/>
              <w:jc w:val="center"/>
              <w:rPr>
                <w:rFonts w:asciiTheme="minorHAnsi" w:hAnsiTheme="minorHAnsi" w:cstheme="minorHAnsi"/>
                <w:color w:val="000000"/>
                <w:sz w:val="22"/>
                <w:szCs w:val="24"/>
              </w:rPr>
            </w:pPr>
            <w:r w:rsidRPr="002D39D0">
              <w:rPr>
                <w:rFonts w:asciiTheme="minorHAnsi" w:hAnsiTheme="minorHAnsi" w:cstheme="minorHAnsi"/>
                <w:color w:val="000000"/>
                <w:sz w:val="22"/>
                <w:szCs w:val="24"/>
              </w:rPr>
              <w:t>467</w:t>
            </w:r>
          </w:p>
        </w:tc>
        <w:tc>
          <w:tcPr>
            <w:tcW w:w="1077" w:type="pct"/>
          </w:tcPr>
          <w:p w14:paraId="194918DE" w14:textId="77777777" w:rsidR="00DE32DF" w:rsidRPr="002D39D0" w:rsidRDefault="00DE32DF" w:rsidP="000F48C6">
            <w:pPr>
              <w:autoSpaceDE w:val="0"/>
              <w:autoSpaceDN w:val="0"/>
              <w:adjustRightInd w:val="0"/>
              <w:jc w:val="center"/>
              <w:rPr>
                <w:rFonts w:asciiTheme="minorHAnsi" w:hAnsiTheme="minorHAnsi" w:cstheme="minorHAnsi"/>
                <w:color w:val="000000"/>
                <w:sz w:val="22"/>
                <w:szCs w:val="24"/>
              </w:rPr>
            </w:pPr>
            <w:r w:rsidRPr="002D39D0">
              <w:rPr>
                <w:rFonts w:asciiTheme="minorHAnsi" w:hAnsiTheme="minorHAnsi" w:cstheme="minorHAnsi"/>
                <w:color w:val="000000"/>
                <w:sz w:val="22"/>
                <w:szCs w:val="24"/>
              </w:rPr>
              <w:t>493</w:t>
            </w:r>
          </w:p>
        </w:tc>
        <w:tc>
          <w:tcPr>
            <w:tcW w:w="1524" w:type="pct"/>
          </w:tcPr>
          <w:p w14:paraId="244BC7BB" w14:textId="75C6EFCC" w:rsidR="00DE32DF" w:rsidRPr="002D39D0" w:rsidRDefault="00DE32DF" w:rsidP="000F48C6">
            <w:pPr>
              <w:autoSpaceDE w:val="0"/>
              <w:autoSpaceDN w:val="0"/>
              <w:adjustRightInd w:val="0"/>
              <w:jc w:val="center"/>
              <w:rPr>
                <w:rFonts w:asciiTheme="minorHAnsi" w:hAnsiTheme="minorHAnsi" w:cstheme="minorHAnsi"/>
                <w:color w:val="000000"/>
                <w:sz w:val="22"/>
                <w:szCs w:val="24"/>
              </w:rPr>
            </w:pPr>
            <w:r w:rsidRPr="002D39D0">
              <w:rPr>
                <w:rFonts w:asciiTheme="minorHAnsi" w:hAnsiTheme="minorHAnsi" w:cstheme="minorHAnsi"/>
                <w:color w:val="000000"/>
                <w:sz w:val="22"/>
                <w:szCs w:val="24"/>
              </w:rPr>
              <w:t>49</w:t>
            </w:r>
            <w:r w:rsidR="00E76F8A">
              <w:rPr>
                <w:rFonts w:asciiTheme="minorHAnsi" w:hAnsiTheme="minorHAnsi" w:cstheme="minorHAnsi"/>
                <w:color w:val="000000"/>
                <w:sz w:val="22"/>
                <w:szCs w:val="24"/>
              </w:rPr>
              <w:t xml:space="preserve"> </w:t>
            </w:r>
            <w:r w:rsidRPr="002D39D0">
              <w:rPr>
                <w:rFonts w:asciiTheme="minorHAnsi" w:hAnsiTheme="minorHAnsi" w:cstheme="minorHAnsi"/>
                <w:color w:val="000000"/>
                <w:sz w:val="22"/>
                <w:szCs w:val="24"/>
              </w:rPr>
              <w:t>%</w:t>
            </w:r>
          </w:p>
        </w:tc>
      </w:tr>
      <w:tr w:rsidR="00DE32DF" w:rsidRPr="002D39D0" w14:paraId="17C01611" w14:textId="77777777" w:rsidTr="00222D78">
        <w:trPr>
          <w:cantSplit/>
          <w:trHeight w:val="290"/>
          <w:tblHeader/>
          <w:jc w:val="center"/>
        </w:trPr>
        <w:tc>
          <w:tcPr>
            <w:tcW w:w="929" w:type="pct"/>
          </w:tcPr>
          <w:p w14:paraId="6ECDC18E" w14:textId="77777777" w:rsidR="00DE32DF" w:rsidRPr="002D39D0" w:rsidRDefault="00DE32DF" w:rsidP="000F48C6">
            <w:pPr>
              <w:autoSpaceDE w:val="0"/>
              <w:autoSpaceDN w:val="0"/>
              <w:adjustRightInd w:val="0"/>
              <w:rPr>
                <w:rFonts w:asciiTheme="minorHAnsi" w:hAnsiTheme="minorHAnsi" w:cstheme="minorHAnsi"/>
                <w:color w:val="000000"/>
                <w:sz w:val="22"/>
                <w:szCs w:val="24"/>
              </w:rPr>
            </w:pPr>
            <w:r w:rsidRPr="002D39D0">
              <w:rPr>
                <w:rFonts w:asciiTheme="minorHAnsi" w:hAnsiTheme="minorHAnsi" w:cstheme="minorHAnsi"/>
                <w:color w:val="000000"/>
                <w:sz w:val="22"/>
                <w:szCs w:val="24"/>
              </w:rPr>
              <w:t>2018 à 2019</w:t>
            </w:r>
          </w:p>
        </w:tc>
        <w:tc>
          <w:tcPr>
            <w:tcW w:w="1470" w:type="pct"/>
          </w:tcPr>
          <w:p w14:paraId="66875C18" w14:textId="77777777" w:rsidR="00DE32DF" w:rsidRPr="002D39D0" w:rsidRDefault="00DE32DF" w:rsidP="000F48C6">
            <w:pPr>
              <w:autoSpaceDE w:val="0"/>
              <w:autoSpaceDN w:val="0"/>
              <w:adjustRightInd w:val="0"/>
              <w:jc w:val="center"/>
              <w:rPr>
                <w:rFonts w:asciiTheme="minorHAnsi" w:hAnsiTheme="minorHAnsi" w:cstheme="minorHAnsi"/>
                <w:color w:val="000000"/>
                <w:sz w:val="22"/>
                <w:szCs w:val="24"/>
              </w:rPr>
            </w:pPr>
            <w:r w:rsidRPr="002D39D0">
              <w:rPr>
                <w:rFonts w:asciiTheme="minorHAnsi" w:hAnsiTheme="minorHAnsi" w:cstheme="minorHAnsi"/>
                <w:color w:val="000000"/>
                <w:sz w:val="22"/>
                <w:szCs w:val="24"/>
              </w:rPr>
              <w:t>504</w:t>
            </w:r>
          </w:p>
        </w:tc>
        <w:tc>
          <w:tcPr>
            <w:tcW w:w="1077" w:type="pct"/>
          </w:tcPr>
          <w:p w14:paraId="71E4FA21" w14:textId="77777777" w:rsidR="00DE32DF" w:rsidRPr="002D39D0" w:rsidRDefault="00DE32DF" w:rsidP="000F48C6">
            <w:pPr>
              <w:autoSpaceDE w:val="0"/>
              <w:autoSpaceDN w:val="0"/>
              <w:adjustRightInd w:val="0"/>
              <w:jc w:val="center"/>
              <w:rPr>
                <w:rFonts w:asciiTheme="minorHAnsi" w:hAnsiTheme="minorHAnsi" w:cstheme="minorHAnsi"/>
                <w:color w:val="000000"/>
                <w:sz w:val="22"/>
                <w:szCs w:val="24"/>
              </w:rPr>
            </w:pPr>
            <w:r w:rsidRPr="002D39D0">
              <w:rPr>
                <w:rFonts w:asciiTheme="minorHAnsi" w:hAnsiTheme="minorHAnsi" w:cstheme="minorHAnsi"/>
                <w:color w:val="000000"/>
                <w:sz w:val="22"/>
                <w:szCs w:val="24"/>
              </w:rPr>
              <w:t>465</w:t>
            </w:r>
          </w:p>
        </w:tc>
        <w:tc>
          <w:tcPr>
            <w:tcW w:w="1524" w:type="pct"/>
          </w:tcPr>
          <w:p w14:paraId="785CB607" w14:textId="5918BF93" w:rsidR="00DE32DF" w:rsidRPr="002D39D0" w:rsidRDefault="00DE32DF" w:rsidP="000F48C6">
            <w:pPr>
              <w:autoSpaceDE w:val="0"/>
              <w:autoSpaceDN w:val="0"/>
              <w:adjustRightInd w:val="0"/>
              <w:jc w:val="center"/>
              <w:rPr>
                <w:rFonts w:asciiTheme="minorHAnsi" w:hAnsiTheme="minorHAnsi" w:cstheme="minorHAnsi"/>
                <w:color w:val="000000"/>
                <w:sz w:val="22"/>
                <w:szCs w:val="24"/>
              </w:rPr>
            </w:pPr>
            <w:r w:rsidRPr="002D39D0">
              <w:rPr>
                <w:rFonts w:asciiTheme="minorHAnsi" w:hAnsiTheme="minorHAnsi" w:cstheme="minorHAnsi"/>
                <w:color w:val="000000"/>
                <w:sz w:val="22"/>
                <w:szCs w:val="24"/>
              </w:rPr>
              <w:t>52</w:t>
            </w:r>
            <w:r w:rsidR="00E76F8A">
              <w:rPr>
                <w:rFonts w:asciiTheme="minorHAnsi" w:hAnsiTheme="minorHAnsi" w:cstheme="minorHAnsi"/>
                <w:color w:val="000000"/>
                <w:sz w:val="22"/>
                <w:szCs w:val="24"/>
              </w:rPr>
              <w:t xml:space="preserve"> </w:t>
            </w:r>
            <w:r w:rsidRPr="002D39D0">
              <w:rPr>
                <w:rFonts w:asciiTheme="minorHAnsi" w:hAnsiTheme="minorHAnsi" w:cstheme="minorHAnsi"/>
                <w:color w:val="000000"/>
                <w:sz w:val="22"/>
                <w:szCs w:val="24"/>
              </w:rPr>
              <w:t>%</w:t>
            </w:r>
          </w:p>
        </w:tc>
      </w:tr>
    </w:tbl>
    <w:p w14:paraId="3F1B56D4" w14:textId="77777777" w:rsidR="00DE32DF" w:rsidRPr="002D39D0" w:rsidRDefault="00DE32DF" w:rsidP="00DE32DF">
      <w:pPr>
        <w:pStyle w:val="ListParagraph"/>
        <w:numPr>
          <w:ilvl w:val="0"/>
          <w:numId w:val="12"/>
        </w:numPr>
        <w:spacing w:after="100" w:afterAutospacing="1"/>
        <w:contextualSpacing w:val="0"/>
        <w:rPr>
          <w:rFonts w:asciiTheme="minorHAnsi" w:hAnsiTheme="minorHAnsi" w:cstheme="minorHAnsi"/>
          <w:sz w:val="22"/>
        </w:rPr>
      </w:pPr>
      <w:r w:rsidRPr="002D39D0">
        <w:rPr>
          <w:rFonts w:asciiTheme="minorHAnsi" w:hAnsiTheme="minorHAnsi" w:cstheme="minorHAnsi"/>
          <w:sz w:val="22"/>
        </w:rPr>
        <w:t>Comprend les nominations pour une période indéterminée et pour une durée déterminée.</w:t>
      </w:r>
    </w:p>
    <w:p w14:paraId="16DED5E4" w14:textId="77777777" w:rsidR="00DE32DF" w:rsidRPr="002D39D0" w:rsidRDefault="00DE32DF" w:rsidP="00DE32DF">
      <w:pPr>
        <w:pStyle w:val="ListParagraph"/>
        <w:numPr>
          <w:ilvl w:val="0"/>
          <w:numId w:val="12"/>
        </w:numPr>
        <w:spacing w:after="100" w:afterAutospacing="1"/>
        <w:contextualSpacing w:val="0"/>
        <w:rPr>
          <w:rFonts w:asciiTheme="minorHAnsi" w:hAnsiTheme="minorHAnsi" w:cstheme="minorHAnsi"/>
          <w:sz w:val="22"/>
        </w:rPr>
      </w:pPr>
      <w:r w:rsidRPr="002D39D0">
        <w:rPr>
          <w:rFonts w:asciiTheme="minorHAnsi" w:hAnsiTheme="minorHAnsi" w:cstheme="minorHAnsi"/>
          <w:sz w:val="22"/>
        </w:rPr>
        <w:t>Exclut les déplacements latéraux et régressifs, les mutations et les nominations intérimaires de moins de 4 mois.</w:t>
      </w:r>
    </w:p>
    <w:p w14:paraId="7DC03B41" w14:textId="2B1207D1" w:rsidR="00E45026" w:rsidRPr="002D39D0" w:rsidRDefault="00DE32DF" w:rsidP="00E45026">
      <w:pPr>
        <w:pStyle w:val="ListParagraph"/>
        <w:numPr>
          <w:ilvl w:val="0"/>
          <w:numId w:val="12"/>
        </w:numPr>
        <w:spacing w:after="100" w:afterAutospacing="1"/>
        <w:contextualSpacing w:val="0"/>
        <w:rPr>
          <w:rFonts w:asciiTheme="minorHAnsi" w:hAnsiTheme="minorHAnsi" w:cstheme="minorHAnsi"/>
          <w:sz w:val="22"/>
        </w:rPr>
        <w:sectPr w:rsidR="00E45026" w:rsidRPr="002D39D0" w:rsidSect="00813771">
          <w:pgSz w:w="15840" w:h="12240" w:orient="landscape"/>
          <w:pgMar w:top="680" w:right="680" w:bottom="680" w:left="680" w:header="567" w:footer="567" w:gutter="0"/>
          <w:cols w:space="708"/>
          <w:titlePg/>
          <w:docGrid w:linePitch="360"/>
        </w:sectPr>
      </w:pPr>
      <w:r w:rsidRPr="002D39D0">
        <w:rPr>
          <w:rFonts w:asciiTheme="minorHAnsi" w:hAnsiTheme="minorHAnsi" w:cstheme="minorHAnsi"/>
          <w:sz w:val="22"/>
        </w:rPr>
        <w:t>Inclut seulement les nominations où le type de processus est connu (41</w:t>
      </w:r>
      <w:r w:rsidR="00E76F8A">
        <w:rPr>
          <w:rFonts w:asciiTheme="minorHAnsi" w:hAnsiTheme="minorHAnsi" w:cstheme="minorHAnsi"/>
          <w:sz w:val="22"/>
        </w:rPr>
        <w:t xml:space="preserve"> </w:t>
      </w:r>
      <w:r w:rsidRPr="002D39D0">
        <w:rPr>
          <w:rFonts w:asciiTheme="minorHAnsi" w:hAnsiTheme="minorHAnsi" w:cstheme="minorHAnsi"/>
          <w:sz w:val="22"/>
        </w:rPr>
        <w:t>% à 56</w:t>
      </w:r>
      <w:r w:rsidR="00E76F8A">
        <w:rPr>
          <w:rFonts w:asciiTheme="minorHAnsi" w:hAnsiTheme="minorHAnsi" w:cstheme="minorHAnsi"/>
          <w:sz w:val="22"/>
        </w:rPr>
        <w:t xml:space="preserve"> </w:t>
      </w:r>
      <w:r w:rsidRPr="002D39D0">
        <w:rPr>
          <w:rFonts w:asciiTheme="minorHAnsi" w:hAnsiTheme="minorHAnsi" w:cstheme="minorHAnsi"/>
          <w:sz w:val="22"/>
        </w:rPr>
        <w:t>% des nominations).</w:t>
      </w:r>
    </w:p>
    <w:p w14:paraId="52AE2BFE" w14:textId="77777777" w:rsidR="00E45026" w:rsidRPr="002D39D0" w:rsidRDefault="00E45026" w:rsidP="00E45026">
      <w:pPr>
        <w:pStyle w:val="Heading1"/>
        <w:spacing w:before="120" w:after="120"/>
        <w:rPr>
          <w:sz w:val="40"/>
        </w:rPr>
      </w:pPr>
      <w:r w:rsidRPr="002D39D0">
        <w:rPr>
          <w:rFonts w:eastAsia="Times New Roman"/>
          <w:sz w:val="40"/>
        </w:rPr>
        <w:lastRenderedPageBreak/>
        <w:t>Dotation selon le type de nomination</w:t>
      </w:r>
    </w:p>
    <w:p w14:paraId="7EDA8104" w14:textId="77777777" w:rsidR="00DE32DF" w:rsidRPr="002D39D0" w:rsidRDefault="00E56E7F" w:rsidP="00DE32DF">
      <w:pPr>
        <w:keepNext/>
        <w:jc w:val="center"/>
      </w:pPr>
      <w:r w:rsidRPr="00302F5B">
        <w:rPr>
          <w:noProof/>
          <w:lang w:val="en-CA" w:eastAsia="en-CA"/>
        </w:rPr>
        <w:drawing>
          <wp:inline distT="0" distB="0" distL="0" distR="0" wp14:anchorId="4A8DDF8F" wp14:editId="0821858D">
            <wp:extent cx="5648400" cy="3049200"/>
            <wp:effectExtent l="0" t="0" r="9525" b="18415"/>
            <wp:docPr id="9" name="Chart 9" descr="Dotation selon le type de nomination de 2014 à 2019"/>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1F947D2D" w14:textId="77777777" w:rsidR="00DE32DF" w:rsidRPr="002D39D0" w:rsidRDefault="00DE32DF" w:rsidP="007C1E3E">
      <w:pPr>
        <w:pStyle w:val="Caption"/>
        <w:spacing w:after="0"/>
        <w:jc w:val="center"/>
        <w:rPr>
          <w:rFonts w:asciiTheme="minorHAnsi" w:hAnsiTheme="minorHAnsi" w:cstheme="minorHAnsi"/>
          <w:i w:val="0"/>
          <w:color w:val="auto"/>
        </w:rPr>
      </w:pPr>
      <w:r w:rsidRPr="002D39D0">
        <w:rPr>
          <w:rFonts w:asciiTheme="minorHAnsi" w:hAnsiTheme="minorHAnsi" w:cstheme="minorHAnsi"/>
          <w:i w:val="0"/>
          <w:color w:val="auto"/>
        </w:rPr>
        <w:t xml:space="preserve">Figure </w:t>
      </w:r>
      <w:r w:rsidRPr="006C61AE">
        <w:rPr>
          <w:rFonts w:asciiTheme="minorHAnsi" w:hAnsiTheme="minorHAnsi" w:cstheme="minorHAnsi"/>
          <w:i w:val="0"/>
          <w:color w:val="auto"/>
        </w:rPr>
        <w:fldChar w:fldCharType="begin"/>
      </w:r>
      <w:r w:rsidRPr="002D39D0">
        <w:rPr>
          <w:rFonts w:asciiTheme="minorHAnsi" w:hAnsiTheme="minorHAnsi" w:cstheme="minorHAnsi"/>
          <w:i w:val="0"/>
          <w:color w:val="auto"/>
        </w:rPr>
        <w:instrText xml:space="preserve"> SEQ Figure \* ARABIC </w:instrText>
      </w:r>
      <w:r w:rsidRPr="006C61AE">
        <w:rPr>
          <w:rFonts w:asciiTheme="minorHAnsi" w:hAnsiTheme="minorHAnsi" w:cstheme="minorHAnsi"/>
          <w:i w:val="0"/>
          <w:color w:val="auto"/>
        </w:rPr>
        <w:fldChar w:fldCharType="separate"/>
      </w:r>
      <w:r w:rsidR="00DE5258" w:rsidRPr="002D39D0">
        <w:rPr>
          <w:rFonts w:asciiTheme="minorHAnsi" w:hAnsiTheme="minorHAnsi" w:cstheme="minorHAnsi"/>
          <w:i w:val="0"/>
          <w:noProof/>
          <w:color w:val="auto"/>
        </w:rPr>
        <w:t>8</w:t>
      </w:r>
      <w:r w:rsidRPr="006C61AE">
        <w:rPr>
          <w:rFonts w:asciiTheme="minorHAnsi" w:hAnsiTheme="minorHAnsi" w:cstheme="minorHAnsi"/>
          <w:i w:val="0"/>
          <w:color w:val="auto"/>
        </w:rPr>
        <w:fldChar w:fldCharType="end"/>
      </w:r>
      <w:r w:rsidRPr="002D39D0">
        <w:rPr>
          <w:rFonts w:asciiTheme="minorHAnsi" w:hAnsiTheme="minorHAnsi" w:cstheme="minorHAnsi"/>
          <w:i w:val="0"/>
          <w:color w:val="auto"/>
        </w:rPr>
        <w:t xml:space="preserve"> - Dotation selon le type de nomination</w:t>
      </w:r>
    </w:p>
    <w:p w14:paraId="1E92F19B" w14:textId="40EB02D1" w:rsidR="008626AF" w:rsidRPr="002D39D0" w:rsidRDefault="008626AF" w:rsidP="007C1E3E">
      <w:pPr>
        <w:pStyle w:val="Caption"/>
        <w:keepNext/>
        <w:spacing w:before="240" w:after="0"/>
        <w:jc w:val="center"/>
        <w:rPr>
          <w:rFonts w:asciiTheme="minorHAnsi" w:hAnsiTheme="minorHAnsi" w:cstheme="minorHAnsi"/>
          <w:i w:val="0"/>
          <w:color w:val="auto"/>
        </w:rPr>
      </w:pPr>
      <w:r w:rsidRPr="002D39D0">
        <w:rPr>
          <w:rFonts w:asciiTheme="minorHAnsi" w:hAnsiTheme="minorHAnsi" w:cstheme="minorHAnsi"/>
          <w:i w:val="0"/>
          <w:color w:val="auto"/>
        </w:rPr>
        <w:t xml:space="preserve">Table </w:t>
      </w:r>
      <w:r w:rsidRPr="006C61AE">
        <w:rPr>
          <w:rFonts w:asciiTheme="minorHAnsi" w:hAnsiTheme="minorHAnsi" w:cstheme="minorHAnsi"/>
          <w:i w:val="0"/>
          <w:color w:val="auto"/>
        </w:rPr>
        <w:fldChar w:fldCharType="begin"/>
      </w:r>
      <w:r w:rsidRPr="002D39D0">
        <w:rPr>
          <w:rFonts w:asciiTheme="minorHAnsi" w:hAnsiTheme="minorHAnsi" w:cstheme="minorHAnsi"/>
          <w:i w:val="0"/>
          <w:color w:val="auto"/>
        </w:rPr>
        <w:instrText xml:space="preserve"> SEQ Table \* ARABIC </w:instrText>
      </w:r>
      <w:r w:rsidRPr="006C61AE">
        <w:rPr>
          <w:rFonts w:asciiTheme="minorHAnsi" w:hAnsiTheme="minorHAnsi" w:cstheme="minorHAnsi"/>
          <w:i w:val="0"/>
          <w:color w:val="auto"/>
        </w:rPr>
        <w:fldChar w:fldCharType="separate"/>
      </w:r>
      <w:r w:rsidR="00C42F1B" w:rsidRPr="002D39D0">
        <w:rPr>
          <w:rFonts w:asciiTheme="minorHAnsi" w:hAnsiTheme="minorHAnsi" w:cstheme="minorHAnsi"/>
          <w:i w:val="0"/>
          <w:noProof/>
          <w:color w:val="auto"/>
        </w:rPr>
        <w:t>13</w:t>
      </w:r>
      <w:r w:rsidRPr="006C61AE">
        <w:rPr>
          <w:rFonts w:asciiTheme="minorHAnsi" w:hAnsiTheme="minorHAnsi" w:cstheme="minorHAnsi"/>
          <w:i w:val="0"/>
          <w:color w:val="auto"/>
        </w:rPr>
        <w:fldChar w:fldCharType="end"/>
      </w:r>
      <w:r w:rsidR="00E76F8A">
        <w:rPr>
          <w:rFonts w:asciiTheme="minorHAnsi" w:hAnsiTheme="minorHAnsi" w:cstheme="minorHAnsi"/>
          <w:i w:val="0"/>
          <w:color w:val="auto"/>
        </w:rPr>
        <w:t xml:space="preserve"> </w:t>
      </w:r>
      <w:r w:rsidRPr="002D39D0">
        <w:rPr>
          <w:rFonts w:asciiTheme="minorHAnsi" w:hAnsiTheme="minorHAnsi" w:cstheme="minorHAnsi"/>
          <w:i w:val="0"/>
          <w:color w:val="auto"/>
        </w:rPr>
        <w:t>- Activités de dotation selon le type de nomination et exercice financier</w:t>
      </w:r>
    </w:p>
    <w:tbl>
      <w:tblPr>
        <w:tblStyle w:val="TableGrid"/>
        <w:tblW w:w="5000" w:type="pct"/>
        <w:jc w:val="center"/>
        <w:tblLook w:val="0020" w:firstRow="1" w:lastRow="0" w:firstColumn="0" w:lastColumn="0" w:noHBand="0" w:noVBand="0"/>
        <w:tblDescription w:val="Dotation selon le type de nomination de 2014 à 2019"/>
      </w:tblPr>
      <w:tblGrid>
        <w:gridCol w:w="1838"/>
        <w:gridCol w:w="1418"/>
        <w:gridCol w:w="2269"/>
        <w:gridCol w:w="4109"/>
        <w:gridCol w:w="3490"/>
        <w:gridCol w:w="1346"/>
      </w:tblGrid>
      <w:tr w:rsidR="008626AF" w:rsidRPr="004721CE" w14:paraId="04A09657" w14:textId="77777777" w:rsidTr="00222D78">
        <w:trPr>
          <w:cantSplit/>
          <w:tblHeader/>
          <w:jc w:val="center"/>
        </w:trPr>
        <w:tc>
          <w:tcPr>
            <w:tcW w:w="635" w:type="pct"/>
          </w:tcPr>
          <w:p w14:paraId="064B7B03" w14:textId="77777777" w:rsidR="008626AF" w:rsidRPr="004721CE" w:rsidRDefault="008626AF" w:rsidP="000F48C6">
            <w:pPr>
              <w:pStyle w:val="TableTitle"/>
              <w:rPr>
                <w:rFonts w:cs="Segoe UI Semibold"/>
                <w:b w:val="0"/>
                <w:szCs w:val="22"/>
              </w:rPr>
            </w:pPr>
            <w:r w:rsidRPr="004721CE">
              <w:rPr>
                <w:rFonts w:cs="Segoe UI Semibold"/>
                <w:b w:val="0"/>
                <w:szCs w:val="22"/>
              </w:rPr>
              <w:t>Exercice financier</w:t>
            </w:r>
          </w:p>
        </w:tc>
        <w:tc>
          <w:tcPr>
            <w:tcW w:w="490" w:type="pct"/>
          </w:tcPr>
          <w:p w14:paraId="18BAE24E" w14:textId="77777777" w:rsidR="008626AF" w:rsidRPr="004721CE" w:rsidRDefault="008626AF" w:rsidP="000F48C6">
            <w:pPr>
              <w:pStyle w:val="TableTitle"/>
              <w:rPr>
                <w:rFonts w:cs="Segoe UI Semibold"/>
                <w:b w:val="0"/>
                <w:szCs w:val="22"/>
              </w:rPr>
            </w:pPr>
            <w:r w:rsidRPr="004721CE">
              <w:rPr>
                <w:rFonts w:cs="Segoe UI Semibold"/>
                <w:b w:val="0"/>
                <w:szCs w:val="22"/>
              </w:rPr>
              <w:t>Promotions</w:t>
            </w:r>
          </w:p>
        </w:tc>
        <w:tc>
          <w:tcPr>
            <w:tcW w:w="784" w:type="pct"/>
          </w:tcPr>
          <w:p w14:paraId="5488975C" w14:textId="77777777" w:rsidR="008626AF" w:rsidRPr="004721CE" w:rsidRDefault="008626AF" w:rsidP="000F48C6">
            <w:pPr>
              <w:pStyle w:val="TableTitle"/>
              <w:rPr>
                <w:rFonts w:cs="Segoe UI Semibold"/>
                <w:b w:val="0"/>
                <w:szCs w:val="22"/>
              </w:rPr>
            </w:pPr>
            <w:r w:rsidRPr="004721CE">
              <w:rPr>
                <w:rFonts w:cs="Segoe UI Semibold"/>
                <w:b w:val="0"/>
                <w:szCs w:val="22"/>
              </w:rPr>
              <w:t>Déplacements latéraux et régressifs</w:t>
            </w:r>
          </w:p>
        </w:tc>
        <w:tc>
          <w:tcPr>
            <w:tcW w:w="1420" w:type="pct"/>
          </w:tcPr>
          <w:p w14:paraId="17239A23" w14:textId="77777777" w:rsidR="008626AF" w:rsidRPr="004721CE" w:rsidRDefault="008626AF" w:rsidP="000F48C6">
            <w:pPr>
              <w:pStyle w:val="TableTitle"/>
              <w:rPr>
                <w:rFonts w:cs="Segoe UI Semibold"/>
                <w:b w:val="0"/>
                <w:szCs w:val="22"/>
              </w:rPr>
            </w:pPr>
            <w:r w:rsidRPr="004721CE">
              <w:rPr>
                <w:rFonts w:cs="Segoe UI Semibold"/>
                <w:b w:val="0"/>
                <w:szCs w:val="22"/>
              </w:rPr>
              <w:t>Nominations à la fonction publique (y compris les employés occasionnels et les étudiants)</w:t>
            </w:r>
          </w:p>
        </w:tc>
        <w:tc>
          <w:tcPr>
            <w:tcW w:w="1206" w:type="pct"/>
          </w:tcPr>
          <w:p w14:paraId="4BDCF1E7" w14:textId="590D67EC" w:rsidR="008626AF" w:rsidRPr="004721CE" w:rsidRDefault="008626AF" w:rsidP="000F48C6">
            <w:pPr>
              <w:pStyle w:val="TableTitle"/>
              <w:rPr>
                <w:rFonts w:cs="Segoe UI Semibold"/>
                <w:b w:val="0"/>
                <w:szCs w:val="22"/>
              </w:rPr>
            </w:pPr>
            <w:r w:rsidRPr="004721CE">
              <w:rPr>
                <w:rFonts w:cs="Segoe UI Semibold"/>
                <w:b w:val="0"/>
                <w:szCs w:val="22"/>
              </w:rPr>
              <w:t>Nominations intérimaires (</w:t>
            </w:r>
            <w:r w:rsidR="00E76F8A" w:rsidRPr="004721CE">
              <w:rPr>
                <w:rFonts w:cs="Segoe UI Semibold"/>
                <w:b w:val="0"/>
                <w:szCs w:val="22"/>
              </w:rPr>
              <w:t>e</w:t>
            </w:r>
            <w:r w:rsidRPr="004721CE">
              <w:rPr>
                <w:rFonts w:cs="Segoe UI Semibold"/>
                <w:b w:val="0"/>
                <w:szCs w:val="22"/>
              </w:rPr>
              <w:t>xcluant les nominations de moins de 4 mois)</w:t>
            </w:r>
          </w:p>
        </w:tc>
        <w:tc>
          <w:tcPr>
            <w:tcW w:w="465" w:type="pct"/>
          </w:tcPr>
          <w:p w14:paraId="763905CE" w14:textId="77777777" w:rsidR="008626AF" w:rsidRPr="004721CE" w:rsidRDefault="008626AF" w:rsidP="000F48C6">
            <w:pPr>
              <w:pStyle w:val="TableTitle"/>
              <w:rPr>
                <w:rFonts w:cs="Segoe UI Semibold"/>
                <w:b w:val="0"/>
                <w:szCs w:val="22"/>
              </w:rPr>
            </w:pPr>
            <w:r w:rsidRPr="004721CE">
              <w:rPr>
                <w:rFonts w:cs="Segoe UI Semibold"/>
                <w:b w:val="0"/>
                <w:szCs w:val="22"/>
              </w:rPr>
              <w:t>Total</w:t>
            </w:r>
          </w:p>
        </w:tc>
      </w:tr>
      <w:tr w:rsidR="008626AF" w:rsidRPr="002D39D0" w14:paraId="5E71039A" w14:textId="77777777" w:rsidTr="00222D78">
        <w:trPr>
          <w:cantSplit/>
          <w:tblHeader/>
          <w:jc w:val="center"/>
        </w:trPr>
        <w:tc>
          <w:tcPr>
            <w:tcW w:w="635" w:type="pct"/>
          </w:tcPr>
          <w:p w14:paraId="1FB44DAA" w14:textId="77777777" w:rsidR="008626AF" w:rsidRPr="002D39D0" w:rsidRDefault="008626AF" w:rsidP="000F48C6">
            <w:pPr>
              <w:autoSpaceDE w:val="0"/>
              <w:autoSpaceDN w:val="0"/>
              <w:adjustRightInd w:val="0"/>
              <w:rPr>
                <w:rFonts w:asciiTheme="minorHAnsi" w:hAnsiTheme="minorHAnsi" w:cstheme="minorHAnsi"/>
                <w:color w:val="000000"/>
                <w:sz w:val="22"/>
                <w:szCs w:val="24"/>
              </w:rPr>
            </w:pPr>
            <w:r w:rsidRPr="002D39D0">
              <w:rPr>
                <w:rFonts w:asciiTheme="minorHAnsi" w:hAnsiTheme="minorHAnsi" w:cstheme="minorHAnsi"/>
                <w:color w:val="000000"/>
                <w:sz w:val="22"/>
                <w:szCs w:val="24"/>
              </w:rPr>
              <w:t xml:space="preserve">2014 à 2015 </w:t>
            </w:r>
          </w:p>
        </w:tc>
        <w:tc>
          <w:tcPr>
            <w:tcW w:w="490" w:type="pct"/>
          </w:tcPr>
          <w:p w14:paraId="6314463A" w14:textId="77777777" w:rsidR="008626AF" w:rsidRPr="002D39D0" w:rsidRDefault="008626AF" w:rsidP="000F48C6">
            <w:pPr>
              <w:autoSpaceDE w:val="0"/>
              <w:autoSpaceDN w:val="0"/>
              <w:adjustRightInd w:val="0"/>
              <w:jc w:val="center"/>
              <w:rPr>
                <w:rFonts w:asciiTheme="minorHAnsi" w:hAnsiTheme="minorHAnsi" w:cstheme="minorHAnsi"/>
                <w:color w:val="000000"/>
                <w:sz w:val="22"/>
                <w:szCs w:val="24"/>
              </w:rPr>
            </w:pPr>
            <w:r w:rsidRPr="002D39D0">
              <w:rPr>
                <w:rFonts w:asciiTheme="minorHAnsi" w:hAnsiTheme="minorHAnsi" w:cstheme="minorHAnsi"/>
                <w:color w:val="000000"/>
                <w:sz w:val="22"/>
                <w:szCs w:val="24"/>
              </w:rPr>
              <w:t>314</w:t>
            </w:r>
          </w:p>
        </w:tc>
        <w:tc>
          <w:tcPr>
            <w:tcW w:w="784" w:type="pct"/>
          </w:tcPr>
          <w:p w14:paraId="1BD70640" w14:textId="77777777" w:rsidR="008626AF" w:rsidRPr="002D39D0" w:rsidRDefault="008626AF" w:rsidP="000F48C6">
            <w:pPr>
              <w:autoSpaceDE w:val="0"/>
              <w:autoSpaceDN w:val="0"/>
              <w:adjustRightInd w:val="0"/>
              <w:jc w:val="center"/>
              <w:rPr>
                <w:rFonts w:asciiTheme="minorHAnsi" w:hAnsiTheme="minorHAnsi" w:cstheme="minorHAnsi"/>
                <w:color w:val="000000"/>
                <w:sz w:val="22"/>
                <w:szCs w:val="24"/>
              </w:rPr>
            </w:pPr>
            <w:r w:rsidRPr="002D39D0">
              <w:rPr>
                <w:rFonts w:asciiTheme="minorHAnsi" w:hAnsiTheme="minorHAnsi" w:cstheme="minorHAnsi"/>
                <w:color w:val="000000"/>
                <w:sz w:val="22"/>
                <w:szCs w:val="24"/>
              </w:rPr>
              <w:t>730</w:t>
            </w:r>
          </w:p>
        </w:tc>
        <w:tc>
          <w:tcPr>
            <w:tcW w:w="1420" w:type="pct"/>
          </w:tcPr>
          <w:p w14:paraId="23177D4C" w14:textId="77777777" w:rsidR="008626AF" w:rsidRPr="002D39D0" w:rsidRDefault="008626AF" w:rsidP="000F48C6">
            <w:pPr>
              <w:autoSpaceDE w:val="0"/>
              <w:autoSpaceDN w:val="0"/>
              <w:adjustRightInd w:val="0"/>
              <w:jc w:val="center"/>
              <w:rPr>
                <w:rFonts w:asciiTheme="minorHAnsi" w:hAnsiTheme="minorHAnsi" w:cstheme="minorHAnsi"/>
                <w:color w:val="000000"/>
                <w:sz w:val="22"/>
                <w:szCs w:val="24"/>
              </w:rPr>
            </w:pPr>
            <w:r w:rsidRPr="002D39D0">
              <w:rPr>
                <w:rFonts w:asciiTheme="minorHAnsi" w:hAnsiTheme="minorHAnsi" w:cstheme="minorHAnsi"/>
                <w:color w:val="000000"/>
                <w:sz w:val="22"/>
                <w:szCs w:val="24"/>
              </w:rPr>
              <w:t>1 180</w:t>
            </w:r>
          </w:p>
        </w:tc>
        <w:tc>
          <w:tcPr>
            <w:tcW w:w="1206" w:type="pct"/>
          </w:tcPr>
          <w:p w14:paraId="572EA15A" w14:textId="77777777" w:rsidR="008626AF" w:rsidRPr="002D39D0" w:rsidRDefault="008626AF" w:rsidP="000F48C6">
            <w:pPr>
              <w:autoSpaceDE w:val="0"/>
              <w:autoSpaceDN w:val="0"/>
              <w:adjustRightInd w:val="0"/>
              <w:jc w:val="center"/>
              <w:rPr>
                <w:rFonts w:asciiTheme="minorHAnsi" w:hAnsiTheme="minorHAnsi" w:cstheme="minorHAnsi"/>
                <w:color w:val="000000"/>
                <w:sz w:val="22"/>
                <w:szCs w:val="24"/>
              </w:rPr>
            </w:pPr>
            <w:r w:rsidRPr="002D39D0">
              <w:rPr>
                <w:rFonts w:asciiTheme="minorHAnsi" w:hAnsiTheme="minorHAnsi" w:cstheme="minorHAnsi"/>
                <w:color w:val="000000"/>
                <w:sz w:val="22"/>
                <w:szCs w:val="24"/>
              </w:rPr>
              <w:t>585</w:t>
            </w:r>
          </w:p>
        </w:tc>
        <w:tc>
          <w:tcPr>
            <w:tcW w:w="465" w:type="pct"/>
          </w:tcPr>
          <w:p w14:paraId="32F0E43F" w14:textId="77777777" w:rsidR="008626AF" w:rsidRPr="002D39D0" w:rsidRDefault="008626AF" w:rsidP="000F48C6">
            <w:pPr>
              <w:autoSpaceDE w:val="0"/>
              <w:autoSpaceDN w:val="0"/>
              <w:adjustRightInd w:val="0"/>
              <w:jc w:val="center"/>
              <w:rPr>
                <w:rFonts w:asciiTheme="minorHAnsi" w:hAnsiTheme="minorHAnsi" w:cstheme="minorHAnsi"/>
                <w:color w:val="000000"/>
                <w:sz w:val="22"/>
                <w:szCs w:val="24"/>
              </w:rPr>
            </w:pPr>
            <w:r w:rsidRPr="002D39D0">
              <w:rPr>
                <w:rFonts w:asciiTheme="minorHAnsi" w:hAnsiTheme="minorHAnsi" w:cstheme="minorHAnsi"/>
                <w:color w:val="000000"/>
                <w:sz w:val="22"/>
                <w:szCs w:val="24"/>
              </w:rPr>
              <w:t>2 809</w:t>
            </w:r>
          </w:p>
        </w:tc>
      </w:tr>
      <w:tr w:rsidR="008626AF" w:rsidRPr="002D39D0" w14:paraId="72CF1364" w14:textId="77777777" w:rsidTr="00222D78">
        <w:trPr>
          <w:cantSplit/>
          <w:tblHeader/>
          <w:jc w:val="center"/>
        </w:trPr>
        <w:tc>
          <w:tcPr>
            <w:tcW w:w="635" w:type="pct"/>
          </w:tcPr>
          <w:p w14:paraId="30A4060F" w14:textId="77777777" w:rsidR="008626AF" w:rsidRPr="002D39D0" w:rsidRDefault="008626AF" w:rsidP="000F48C6">
            <w:pPr>
              <w:autoSpaceDE w:val="0"/>
              <w:autoSpaceDN w:val="0"/>
              <w:adjustRightInd w:val="0"/>
              <w:rPr>
                <w:rFonts w:asciiTheme="minorHAnsi" w:hAnsiTheme="minorHAnsi" w:cstheme="minorHAnsi"/>
                <w:color w:val="000000"/>
                <w:sz w:val="22"/>
                <w:szCs w:val="24"/>
              </w:rPr>
            </w:pPr>
            <w:r w:rsidRPr="002D39D0">
              <w:rPr>
                <w:rFonts w:asciiTheme="minorHAnsi" w:hAnsiTheme="minorHAnsi" w:cstheme="minorHAnsi"/>
                <w:color w:val="000000"/>
                <w:sz w:val="22"/>
                <w:szCs w:val="24"/>
              </w:rPr>
              <w:t>2015 à 2016</w:t>
            </w:r>
          </w:p>
        </w:tc>
        <w:tc>
          <w:tcPr>
            <w:tcW w:w="490" w:type="pct"/>
          </w:tcPr>
          <w:p w14:paraId="1F89427F" w14:textId="77777777" w:rsidR="008626AF" w:rsidRPr="002D39D0" w:rsidRDefault="008626AF" w:rsidP="000F48C6">
            <w:pPr>
              <w:autoSpaceDE w:val="0"/>
              <w:autoSpaceDN w:val="0"/>
              <w:adjustRightInd w:val="0"/>
              <w:jc w:val="center"/>
              <w:rPr>
                <w:rFonts w:asciiTheme="minorHAnsi" w:hAnsiTheme="minorHAnsi" w:cstheme="minorHAnsi"/>
                <w:color w:val="000000"/>
                <w:sz w:val="22"/>
                <w:szCs w:val="24"/>
              </w:rPr>
            </w:pPr>
            <w:r w:rsidRPr="002D39D0">
              <w:rPr>
                <w:rFonts w:asciiTheme="minorHAnsi" w:hAnsiTheme="minorHAnsi" w:cstheme="minorHAnsi"/>
                <w:color w:val="000000"/>
                <w:sz w:val="22"/>
                <w:szCs w:val="24"/>
              </w:rPr>
              <w:t>668</w:t>
            </w:r>
          </w:p>
        </w:tc>
        <w:tc>
          <w:tcPr>
            <w:tcW w:w="784" w:type="pct"/>
          </w:tcPr>
          <w:p w14:paraId="6FC8BBD4" w14:textId="77777777" w:rsidR="008626AF" w:rsidRPr="002D39D0" w:rsidRDefault="008626AF" w:rsidP="000F48C6">
            <w:pPr>
              <w:autoSpaceDE w:val="0"/>
              <w:autoSpaceDN w:val="0"/>
              <w:adjustRightInd w:val="0"/>
              <w:jc w:val="center"/>
              <w:rPr>
                <w:rFonts w:asciiTheme="minorHAnsi" w:hAnsiTheme="minorHAnsi" w:cstheme="minorHAnsi"/>
                <w:color w:val="000000"/>
                <w:sz w:val="22"/>
                <w:szCs w:val="24"/>
              </w:rPr>
            </w:pPr>
            <w:r w:rsidRPr="002D39D0">
              <w:rPr>
                <w:rFonts w:asciiTheme="minorHAnsi" w:hAnsiTheme="minorHAnsi" w:cstheme="minorHAnsi"/>
                <w:color w:val="000000"/>
                <w:sz w:val="22"/>
                <w:szCs w:val="24"/>
              </w:rPr>
              <w:t>796</w:t>
            </w:r>
          </w:p>
        </w:tc>
        <w:tc>
          <w:tcPr>
            <w:tcW w:w="1420" w:type="pct"/>
          </w:tcPr>
          <w:p w14:paraId="02DAAEFA" w14:textId="77777777" w:rsidR="008626AF" w:rsidRPr="002D39D0" w:rsidRDefault="008626AF" w:rsidP="000F48C6">
            <w:pPr>
              <w:autoSpaceDE w:val="0"/>
              <w:autoSpaceDN w:val="0"/>
              <w:adjustRightInd w:val="0"/>
              <w:jc w:val="center"/>
              <w:rPr>
                <w:rFonts w:asciiTheme="minorHAnsi" w:hAnsiTheme="minorHAnsi" w:cstheme="minorHAnsi"/>
                <w:color w:val="000000"/>
                <w:sz w:val="22"/>
                <w:szCs w:val="24"/>
              </w:rPr>
            </w:pPr>
            <w:r w:rsidRPr="002D39D0">
              <w:rPr>
                <w:rFonts w:asciiTheme="minorHAnsi" w:hAnsiTheme="minorHAnsi" w:cstheme="minorHAnsi"/>
                <w:color w:val="000000"/>
                <w:sz w:val="22"/>
                <w:szCs w:val="24"/>
              </w:rPr>
              <w:t>1 249</w:t>
            </w:r>
          </w:p>
        </w:tc>
        <w:tc>
          <w:tcPr>
            <w:tcW w:w="1206" w:type="pct"/>
          </w:tcPr>
          <w:p w14:paraId="1A776325" w14:textId="77777777" w:rsidR="008626AF" w:rsidRPr="002D39D0" w:rsidRDefault="008626AF" w:rsidP="000F48C6">
            <w:pPr>
              <w:autoSpaceDE w:val="0"/>
              <w:autoSpaceDN w:val="0"/>
              <w:adjustRightInd w:val="0"/>
              <w:jc w:val="center"/>
              <w:rPr>
                <w:rFonts w:asciiTheme="minorHAnsi" w:hAnsiTheme="minorHAnsi" w:cstheme="minorHAnsi"/>
                <w:color w:val="000000"/>
                <w:sz w:val="22"/>
                <w:szCs w:val="24"/>
              </w:rPr>
            </w:pPr>
            <w:r w:rsidRPr="002D39D0">
              <w:rPr>
                <w:rFonts w:asciiTheme="minorHAnsi" w:hAnsiTheme="minorHAnsi" w:cstheme="minorHAnsi"/>
                <w:color w:val="000000"/>
                <w:sz w:val="22"/>
                <w:szCs w:val="24"/>
              </w:rPr>
              <w:t>675</w:t>
            </w:r>
          </w:p>
        </w:tc>
        <w:tc>
          <w:tcPr>
            <w:tcW w:w="465" w:type="pct"/>
          </w:tcPr>
          <w:p w14:paraId="7123505E" w14:textId="77777777" w:rsidR="008626AF" w:rsidRPr="002D39D0" w:rsidRDefault="008626AF" w:rsidP="000F48C6">
            <w:pPr>
              <w:autoSpaceDE w:val="0"/>
              <w:autoSpaceDN w:val="0"/>
              <w:adjustRightInd w:val="0"/>
              <w:jc w:val="center"/>
              <w:rPr>
                <w:rFonts w:asciiTheme="minorHAnsi" w:hAnsiTheme="minorHAnsi" w:cstheme="minorHAnsi"/>
                <w:color w:val="000000"/>
                <w:sz w:val="22"/>
                <w:szCs w:val="24"/>
              </w:rPr>
            </w:pPr>
            <w:r w:rsidRPr="002D39D0">
              <w:rPr>
                <w:rFonts w:asciiTheme="minorHAnsi" w:hAnsiTheme="minorHAnsi" w:cstheme="minorHAnsi"/>
                <w:color w:val="000000"/>
                <w:sz w:val="22"/>
                <w:szCs w:val="24"/>
              </w:rPr>
              <w:t>3 388</w:t>
            </w:r>
          </w:p>
        </w:tc>
      </w:tr>
      <w:tr w:rsidR="008626AF" w:rsidRPr="002D39D0" w14:paraId="58D5F675" w14:textId="77777777" w:rsidTr="00222D78">
        <w:trPr>
          <w:cantSplit/>
          <w:tblHeader/>
          <w:jc w:val="center"/>
        </w:trPr>
        <w:tc>
          <w:tcPr>
            <w:tcW w:w="635" w:type="pct"/>
          </w:tcPr>
          <w:p w14:paraId="0D27DD3D" w14:textId="77777777" w:rsidR="008626AF" w:rsidRPr="002D39D0" w:rsidRDefault="008626AF" w:rsidP="000F48C6">
            <w:pPr>
              <w:autoSpaceDE w:val="0"/>
              <w:autoSpaceDN w:val="0"/>
              <w:adjustRightInd w:val="0"/>
              <w:rPr>
                <w:rFonts w:asciiTheme="minorHAnsi" w:hAnsiTheme="minorHAnsi" w:cstheme="minorHAnsi"/>
                <w:color w:val="000000"/>
                <w:sz w:val="22"/>
                <w:szCs w:val="24"/>
              </w:rPr>
            </w:pPr>
            <w:r w:rsidRPr="002D39D0">
              <w:rPr>
                <w:rFonts w:asciiTheme="minorHAnsi" w:hAnsiTheme="minorHAnsi" w:cstheme="minorHAnsi"/>
                <w:color w:val="000000"/>
                <w:sz w:val="22"/>
                <w:szCs w:val="24"/>
              </w:rPr>
              <w:t xml:space="preserve">2016 à 2017 </w:t>
            </w:r>
          </w:p>
        </w:tc>
        <w:tc>
          <w:tcPr>
            <w:tcW w:w="490" w:type="pct"/>
          </w:tcPr>
          <w:p w14:paraId="4D5F3504" w14:textId="77777777" w:rsidR="008626AF" w:rsidRPr="002D39D0" w:rsidRDefault="008626AF" w:rsidP="000F48C6">
            <w:pPr>
              <w:autoSpaceDE w:val="0"/>
              <w:autoSpaceDN w:val="0"/>
              <w:adjustRightInd w:val="0"/>
              <w:jc w:val="center"/>
              <w:rPr>
                <w:rFonts w:asciiTheme="minorHAnsi" w:hAnsiTheme="minorHAnsi" w:cstheme="minorHAnsi"/>
                <w:color w:val="000000"/>
                <w:sz w:val="22"/>
                <w:szCs w:val="24"/>
              </w:rPr>
            </w:pPr>
            <w:r w:rsidRPr="002D39D0">
              <w:rPr>
                <w:rFonts w:asciiTheme="minorHAnsi" w:hAnsiTheme="minorHAnsi" w:cstheme="minorHAnsi"/>
                <w:color w:val="000000"/>
                <w:sz w:val="22"/>
                <w:szCs w:val="24"/>
              </w:rPr>
              <w:t>587</w:t>
            </w:r>
          </w:p>
        </w:tc>
        <w:tc>
          <w:tcPr>
            <w:tcW w:w="784" w:type="pct"/>
          </w:tcPr>
          <w:p w14:paraId="5881BBB5" w14:textId="77777777" w:rsidR="008626AF" w:rsidRPr="002D39D0" w:rsidRDefault="008626AF" w:rsidP="000F48C6">
            <w:pPr>
              <w:autoSpaceDE w:val="0"/>
              <w:autoSpaceDN w:val="0"/>
              <w:adjustRightInd w:val="0"/>
              <w:jc w:val="center"/>
              <w:rPr>
                <w:rFonts w:asciiTheme="minorHAnsi" w:hAnsiTheme="minorHAnsi" w:cstheme="minorHAnsi"/>
                <w:color w:val="000000"/>
                <w:sz w:val="22"/>
                <w:szCs w:val="24"/>
              </w:rPr>
            </w:pPr>
            <w:r w:rsidRPr="002D39D0">
              <w:rPr>
                <w:rFonts w:asciiTheme="minorHAnsi" w:hAnsiTheme="minorHAnsi" w:cstheme="minorHAnsi"/>
                <w:color w:val="000000"/>
                <w:sz w:val="22"/>
                <w:szCs w:val="24"/>
              </w:rPr>
              <w:t>657</w:t>
            </w:r>
          </w:p>
        </w:tc>
        <w:tc>
          <w:tcPr>
            <w:tcW w:w="1420" w:type="pct"/>
          </w:tcPr>
          <w:p w14:paraId="040B061E" w14:textId="77777777" w:rsidR="008626AF" w:rsidRPr="002D39D0" w:rsidRDefault="008626AF" w:rsidP="000F48C6">
            <w:pPr>
              <w:autoSpaceDE w:val="0"/>
              <w:autoSpaceDN w:val="0"/>
              <w:adjustRightInd w:val="0"/>
              <w:jc w:val="center"/>
              <w:rPr>
                <w:rFonts w:asciiTheme="minorHAnsi" w:hAnsiTheme="minorHAnsi" w:cstheme="minorHAnsi"/>
                <w:color w:val="000000"/>
                <w:sz w:val="22"/>
                <w:szCs w:val="24"/>
              </w:rPr>
            </w:pPr>
            <w:r w:rsidRPr="002D39D0">
              <w:rPr>
                <w:rFonts w:asciiTheme="minorHAnsi" w:hAnsiTheme="minorHAnsi" w:cstheme="minorHAnsi"/>
                <w:color w:val="000000"/>
                <w:sz w:val="22"/>
                <w:szCs w:val="24"/>
              </w:rPr>
              <w:t>1 369</w:t>
            </w:r>
          </w:p>
        </w:tc>
        <w:tc>
          <w:tcPr>
            <w:tcW w:w="1206" w:type="pct"/>
          </w:tcPr>
          <w:p w14:paraId="35F66DF0" w14:textId="77777777" w:rsidR="008626AF" w:rsidRPr="002D39D0" w:rsidRDefault="008626AF" w:rsidP="000F48C6">
            <w:pPr>
              <w:autoSpaceDE w:val="0"/>
              <w:autoSpaceDN w:val="0"/>
              <w:adjustRightInd w:val="0"/>
              <w:jc w:val="center"/>
              <w:rPr>
                <w:rFonts w:asciiTheme="minorHAnsi" w:hAnsiTheme="minorHAnsi" w:cstheme="minorHAnsi"/>
                <w:color w:val="000000"/>
                <w:sz w:val="22"/>
                <w:szCs w:val="24"/>
              </w:rPr>
            </w:pPr>
            <w:r w:rsidRPr="002D39D0">
              <w:rPr>
                <w:rFonts w:asciiTheme="minorHAnsi" w:hAnsiTheme="minorHAnsi" w:cstheme="minorHAnsi"/>
                <w:color w:val="000000"/>
                <w:sz w:val="22"/>
                <w:szCs w:val="24"/>
              </w:rPr>
              <w:t>656</w:t>
            </w:r>
          </w:p>
        </w:tc>
        <w:tc>
          <w:tcPr>
            <w:tcW w:w="465" w:type="pct"/>
          </w:tcPr>
          <w:p w14:paraId="49E45D23" w14:textId="77777777" w:rsidR="008626AF" w:rsidRPr="002D39D0" w:rsidRDefault="008626AF" w:rsidP="000F48C6">
            <w:pPr>
              <w:autoSpaceDE w:val="0"/>
              <w:autoSpaceDN w:val="0"/>
              <w:adjustRightInd w:val="0"/>
              <w:jc w:val="center"/>
              <w:rPr>
                <w:rFonts w:asciiTheme="minorHAnsi" w:hAnsiTheme="minorHAnsi" w:cstheme="minorHAnsi"/>
                <w:color w:val="000000"/>
                <w:sz w:val="22"/>
                <w:szCs w:val="24"/>
              </w:rPr>
            </w:pPr>
            <w:r w:rsidRPr="002D39D0">
              <w:rPr>
                <w:rFonts w:asciiTheme="minorHAnsi" w:hAnsiTheme="minorHAnsi" w:cstheme="minorHAnsi"/>
                <w:color w:val="000000"/>
                <w:sz w:val="22"/>
                <w:szCs w:val="24"/>
              </w:rPr>
              <w:t>3 269</w:t>
            </w:r>
          </w:p>
        </w:tc>
      </w:tr>
      <w:tr w:rsidR="008626AF" w:rsidRPr="002D39D0" w14:paraId="772BF599" w14:textId="77777777" w:rsidTr="00222D78">
        <w:trPr>
          <w:cantSplit/>
          <w:tblHeader/>
          <w:jc w:val="center"/>
        </w:trPr>
        <w:tc>
          <w:tcPr>
            <w:tcW w:w="635" w:type="pct"/>
          </w:tcPr>
          <w:p w14:paraId="235CD22E" w14:textId="77777777" w:rsidR="008626AF" w:rsidRPr="002D39D0" w:rsidRDefault="008626AF" w:rsidP="000F48C6">
            <w:pPr>
              <w:autoSpaceDE w:val="0"/>
              <w:autoSpaceDN w:val="0"/>
              <w:adjustRightInd w:val="0"/>
              <w:rPr>
                <w:rFonts w:asciiTheme="minorHAnsi" w:hAnsiTheme="minorHAnsi" w:cstheme="minorHAnsi"/>
                <w:color w:val="000000"/>
                <w:sz w:val="22"/>
                <w:szCs w:val="24"/>
              </w:rPr>
            </w:pPr>
            <w:r w:rsidRPr="002D39D0">
              <w:rPr>
                <w:rFonts w:asciiTheme="minorHAnsi" w:hAnsiTheme="minorHAnsi" w:cstheme="minorHAnsi"/>
                <w:color w:val="000000"/>
                <w:sz w:val="22"/>
                <w:szCs w:val="24"/>
              </w:rPr>
              <w:t>2017 à 2018</w:t>
            </w:r>
          </w:p>
        </w:tc>
        <w:tc>
          <w:tcPr>
            <w:tcW w:w="490" w:type="pct"/>
          </w:tcPr>
          <w:p w14:paraId="3AF7E2DD" w14:textId="77777777" w:rsidR="008626AF" w:rsidRPr="002D39D0" w:rsidRDefault="008626AF" w:rsidP="000F48C6">
            <w:pPr>
              <w:autoSpaceDE w:val="0"/>
              <w:autoSpaceDN w:val="0"/>
              <w:adjustRightInd w:val="0"/>
              <w:jc w:val="center"/>
              <w:rPr>
                <w:rFonts w:asciiTheme="minorHAnsi" w:hAnsiTheme="minorHAnsi" w:cstheme="minorHAnsi"/>
                <w:color w:val="000000"/>
                <w:sz w:val="22"/>
                <w:szCs w:val="24"/>
              </w:rPr>
            </w:pPr>
            <w:r w:rsidRPr="002D39D0">
              <w:rPr>
                <w:rFonts w:asciiTheme="minorHAnsi" w:hAnsiTheme="minorHAnsi" w:cstheme="minorHAnsi"/>
                <w:color w:val="000000"/>
                <w:sz w:val="22"/>
                <w:szCs w:val="24"/>
              </w:rPr>
              <w:t>500</w:t>
            </w:r>
          </w:p>
        </w:tc>
        <w:tc>
          <w:tcPr>
            <w:tcW w:w="784" w:type="pct"/>
          </w:tcPr>
          <w:p w14:paraId="52C6FBF2" w14:textId="77777777" w:rsidR="008626AF" w:rsidRPr="002D39D0" w:rsidRDefault="008626AF" w:rsidP="000F48C6">
            <w:pPr>
              <w:autoSpaceDE w:val="0"/>
              <w:autoSpaceDN w:val="0"/>
              <w:adjustRightInd w:val="0"/>
              <w:jc w:val="center"/>
              <w:rPr>
                <w:rFonts w:asciiTheme="minorHAnsi" w:hAnsiTheme="minorHAnsi" w:cstheme="minorHAnsi"/>
                <w:color w:val="000000"/>
                <w:sz w:val="22"/>
                <w:szCs w:val="24"/>
              </w:rPr>
            </w:pPr>
            <w:r w:rsidRPr="002D39D0">
              <w:rPr>
                <w:rFonts w:asciiTheme="minorHAnsi" w:hAnsiTheme="minorHAnsi" w:cstheme="minorHAnsi"/>
                <w:color w:val="000000"/>
                <w:sz w:val="22"/>
                <w:szCs w:val="24"/>
              </w:rPr>
              <w:t>576</w:t>
            </w:r>
          </w:p>
        </w:tc>
        <w:tc>
          <w:tcPr>
            <w:tcW w:w="1420" w:type="pct"/>
          </w:tcPr>
          <w:p w14:paraId="36BC4D94" w14:textId="77777777" w:rsidR="008626AF" w:rsidRPr="002D39D0" w:rsidRDefault="008626AF" w:rsidP="000F48C6">
            <w:pPr>
              <w:autoSpaceDE w:val="0"/>
              <w:autoSpaceDN w:val="0"/>
              <w:adjustRightInd w:val="0"/>
              <w:jc w:val="center"/>
              <w:rPr>
                <w:rFonts w:asciiTheme="minorHAnsi" w:hAnsiTheme="minorHAnsi" w:cstheme="minorHAnsi"/>
                <w:color w:val="000000"/>
                <w:sz w:val="22"/>
                <w:szCs w:val="24"/>
              </w:rPr>
            </w:pPr>
            <w:r w:rsidRPr="002D39D0">
              <w:rPr>
                <w:rFonts w:asciiTheme="minorHAnsi" w:hAnsiTheme="minorHAnsi" w:cstheme="minorHAnsi"/>
                <w:color w:val="000000"/>
                <w:sz w:val="22"/>
                <w:szCs w:val="24"/>
              </w:rPr>
              <w:t>1 744</w:t>
            </w:r>
          </w:p>
        </w:tc>
        <w:tc>
          <w:tcPr>
            <w:tcW w:w="1206" w:type="pct"/>
          </w:tcPr>
          <w:p w14:paraId="70F8F85C" w14:textId="77777777" w:rsidR="008626AF" w:rsidRPr="002D39D0" w:rsidRDefault="008626AF" w:rsidP="000F48C6">
            <w:pPr>
              <w:autoSpaceDE w:val="0"/>
              <w:autoSpaceDN w:val="0"/>
              <w:adjustRightInd w:val="0"/>
              <w:jc w:val="center"/>
              <w:rPr>
                <w:rFonts w:asciiTheme="minorHAnsi" w:hAnsiTheme="minorHAnsi" w:cstheme="minorHAnsi"/>
                <w:color w:val="000000"/>
                <w:sz w:val="22"/>
                <w:szCs w:val="24"/>
              </w:rPr>
            </w:pPr>
            <w:r w:rsidRPr="002D39D0">
              <w:rPr>
                <w:rFonts w:asciiTheme="minorHAnsi" w:hAnsiTheme="minorHAnsi" w:cstheme="minorHAnsi"/>
                <w:color w:val="000000"/>
                <w:sz w:val="22"/>
                <w:szCs w:val="24"/>
              </w:rPr>
              <w:t>742</w:t>
            </w:r>
          </w:p>
        </w:tc>
        <w:tc>
          <w:tcPr>
            <w:tcW w:w="465" w:type="pct"/>
          </w:tcPr>
          <w:p w14:paraId="1A5CDA35" w14:textId="77777777" w:rsidR="008626AF" w:rsidRPr="002D39D0" w:rsidRDefault="008626AF" w:rsidP="000F48C6">
            <w:pPr>
              <w:autoSpaceDE w:val="0"/>
              <w:autoSpaceDN w:val="0"/>
              <w:adjustRightInd w:val="0"/>
              <w:jc w:val="center"/>
              <w:rPr>
                <w:rFonts w:asciiTheme="minorHAnsi" w:hAnsiTheme="minorHAnsi" w:cstheme="minorHAnsi"/>
                <w:color w:val="000000"/>
                <w:sz w:val="22"/>
                <w:szCs w:val="24"/>
              </w:rPr>
            </w:pPr>
            <w:r w:rsidRPr="002D39D0">
              <w:rPr>
                <w:rFonts w:asciiTheme="minorHAnsi" w:hAnsiTheme="minorHAnsi" w:cstheme="minorHAnsi"/>
                <w:color w:val="000000"/>
                <w:sz w:val="22"/>
                <w:szCs w:val="24"/>
              </w:rPr>
              <w:t>3 562</w:t>
            </w:r>
          </w:p>
        </w:tc>
      </w:tr>
      <w:tr w:rsidR="008626AF" w:rsidRPr="002D39D0" w14:paraId="3980FD07" w14:textId="77777777" w:rsidTr="00222D78">
        <w:trPr>
          <w:cantSplit/>
          <w:tblHeader/>
          <w:jc w:val="center"/>
        </w:trPr>
        <w:tc>
          <w:tcPr>
            <w:tcW w:w="635" w:type="pct"/>
          </w:tcPr>
          <w:p w14:paraId="6C79E052" w14:textId="77777777" w:rsidR="008626AF" w:rsidRPr="002D39D0" w:rsidRDefault="008626AF" w:rsidP="000F48C6">
            <w:pPr>
              <w:autoSpaceDE w:val="0"/>
              <w:autoSpaceDN w:val="0"/>
              <w:adjustRightInd w:val="0"/>
              <w:rPr>
                <w:rFonts w:asciiTheme="minorHAnsi" w:hAnsiTheme="minorHAnsi" w:cstheme="minorHAnsi"/>
                <w:color w:val="000000"/>
                <w:sz w:val="22"/>
                <w:szCs w:val="24"/>
              </w:rPr>
            </w:pPr>
            <w:r w:rsidRPr="002D39D0">
              <w:rPr>
                <w:rFonts w:asciiTheme="minorHAnsi" w:hAnsiTheme="minorHAnsi" w:cstheme="minorHAnsi"/>
                <w:color w:val="000000"/>
                <w:sz w:val="22"/>
                <w:szCs w:val="24"/>
              </w:rPr>
              <w:t>2018 à 2019</w:t>
            </w:r>
          </w:p>
        </w:tc>
        <w:tc>
          <w:tcPr>
            <w:tcW w:w="490" w:type="pct"/>
          </w:tcPr>
          <w:p w14:paraId="1A9F9FCE" w14:textId="77777777" w:rsidR="008626AF" w:rsidRPr="002D39D0" w:rsidRDefault="008626AF" w:rsidP="000F48C6">
            <w:pPr>
              <w:autoSpaceDE w:val="0"/>
              <w:autoSpaceDN w:val="0"/>
              <w:adjustRightInd w:val="0"/>
              <w:jc w:val="center"/>
              <w:rPr>
                <w:rFonts w:asciiTheme="minorHAnsi" w:hAnsiTheme="minorHAnsi" w:cstheme="minorHAnsi"/>
                <w:color w:val="000000"/>
                <w:sz w:val="22"/>
                <w:szCs w:val="24"/>
              </w:rPr>
            </w:pPr>
            <w:r w:rsidRPr="002D39D0">
              <w:rPr>
                <w:rFonts w:asciiTheme="minorHAnsi" w:hAnsiTheme="minorHAnsi" w:cstheme="minorHAnsi"/>
                <w:color w:val="000000"/>
                <w:sz w:val="22"/>
                <w:szCs w:val="24"/>
              </w:rPr>
              <w:t>650</w:t>
            </w:r>
          </w:p>
        </w:tc>
        <w:tc>
          <w:tcPr>
            <w:tcW w:w="784" w:type="pct"/>
          </w:tcPr>
          <w:p w14:paraId="78C2589B" w14:textId="77777777" w:rsidR="008626AF" w:rsidRPr="002D39D0" w:rsidRDefault="008626AF" w:rsidP="000F48C6">
            <w:pPr>
              <w:autoSpaceDE w:val="0"/>
              <w:autoSpaceDN w:val="0"/>
              <w:adjustRightInd w:val="0"/>
              <w:jc w:val="center"/>
              <w:rPr>
                <w:rFonts w:asciiTheme="minorHAnsi" w:hAnsiTheme="minorHAnsi" w:cstheme="minorHAnsi"/>
                <w:color w:val="000000"/>
                <w:sz w:val="22"/>
                <w:szCs w:val="24"/>
              </w:rPr>
            </w:pPr>
            <w:r w:rsidRPr="002D39D0">
              <w:rPr>
                <w:rFonts w:asciiTheme="minorHAnsi" w:hAnsiTheme="minorHAnsi" w:cstheme="minorHAnsi"/>
                <w:color w:val="000000"/>
                <w:sz w:val="22"/>
                <w:szCs w:val="24"/>
              </w:rPr>
              <w:t>1 168</w:t>
            </w:r>
          </w:p>
        </w:tc>
        <w:tc>
          <w:tcPr>
            <w:tcW w:w="1420" w:type="pct"/>
          </w:tcPr>
          <w:p w14:paraId="52CE2A0B" w14:textId="77777777" w:rsidR="008626AF" w:rsidRPr="002D39D0" w:rsidRDefault="008626AF" w:rsidP="000F48C6">
            <w:pPr>
              <w:autoSpaceDE w:val="0"/>
              <w:autoSpaceDN w:val="0"/>
              <w:adjustRightInd w:val="0"/>
              <w:jc w:val="center"/>
              <w:rPr>
                <w:rFonts w:asciiTheme="minorHAnsi" w:hAnsiTheme="minorHAnsi" w:cstheme="minorHAnsi"/>
                <w:color w:val="000000"/>
                <w:sz w:val="22"/>
                <w:szCs w:val="24"/>
              </w:rPr>
            </w:pPr>
            <w:r w:rsidRPr="002D39D0">
              <w:rPr>
                <w:rFonts w:asciiTheme="minorHAnsi" w:hAnsiTheme="minorHAnsi" w:cstheme="minorHAnsi"/>
                <w:color w:val="000000"/>
                <w:sz w:val="22"/>
                <w:szCs w:val="24"/>
              </w:rPr>
              <w:t>1 931</w:t>
            </w:r>
          </w:p>
        </w:tc>
        <w:tc>
          <w:tcPr>
            <w:tcW w:w="1206" w:type="pct"/>
          </w:tcPr>
          <w:p w14:paraId="4A2FCC06" w14:textId="77777777" w:rsidR="008626AF" w:rsidRPr="002D39D0" w:rsidRDefault="008626AF" w:rsidP="000F48C6">
            <w:pPr>
              <w:autoSpaceDE w:val="0"/>
              <w:autoSpaceDN w:val="0"/>
              <w:adjustRightInd w:val="0"/>
              <w:jc w:val="center"/>
              <w:rPr>
                <w:rFonts w:asciiTheme="minorHAnsi" w:hAnsiTheme="minorHAnsi" w:cstheme="minorHAnsi"/>
                <w:color w:val="000000"/>
                <w:sz w:val="22"/>
                <w:szCs w:val="24"/>
              </w:rPr>
            </w:pPr>
            <w:r w:rsidRPr="002D39D0">
              <w:rPr>
                <w:rFonts w:asciiTheme="minorHAnsi" w:hAnsiTheme="minorHAnsi" w:cstheme="minorHAnsi"/>
                <w:color w:val="000000"/>
                <w:sz w:val="22"/>
                <w:szCs w:val="24"/>
              </w:rPr>
              <w:t>803</w:t>
            </w:r>
          </w:p>
        </w:tc>
        <w:tc>
          <w:tcPr>
            <w:tcW w:w="465" w:type="pct"/>
          </w:tcPr>
          <w:p w14:paraId="26B2EED4" w14:textId="77777777" w:rsidR="008626AF" w:rsidRPr="002D39D0" w:rsidRDefault="008626AF" w:rsidP="000F48C6">
            <w:pPr>
              <w:autoSpaceDE w:val="0"/>
              <w:autoSpaceDN w:val="0"/>
              <w:adjustRightInd w:val="0"/>
              <w:jc w:val="center"/>
              <w:rPr>
                <w:rFonts w:asciiTheme="minorHAnsi" w:hAnsiTheme="minorHAnsi" w:cstheme="minorHAnsi"/>
                <w:color w:val="000000"/>
                <w:sz w:val="22"/>
                <w:szCs w:val="24"/>
              </w:rPr>
            </w:pPr>
            <w:r w:rsidRPr="002D39D0">
              <w:rPr>
                <w:rFonts w:asciiTheme="minorHAnsi" w:hAnsiTheme="minorHAnsi" w:cstheme="minorHAnsi"/>
                <w:color w:val="000000"/>
                <w:sz w:val="22"/>
                <w:szCs w:val="24"/>
              </w:rPr>
              <w:t>4 552</w:t>
            </w:r>
          </w:p>
        </w:tc>
      </w:tr>
    </w:tbl>
    <w:p w14:paraId="2477D05C" w14:textId="77777777" w:rsidR="00DE32DF" w:rsidRPr="002D39D0" w:rsidRDefault="00DE32DF" w:rsidP="00E56E7F"/>
    <w:p w14:paraId="23811298" w14:textId="77777777" w:rsidR="00DE32DF" w:rsidRPr="002D39D0" w:rsidRDefault="00DE32DF" w:rsidP="00E56E7F">
      <w:pPr>
        <w:sectPr w:rsidR="00DE32DF" w:rsidRPr="002D39D0" w:rsidSect="00813771">
          <w:pgSz w:w="15840" w:h="12240" w:orient="landscape"/>
          <w:pgMar w:top="680" w:right="680" w:bottom="680" w:left="680" w:header="567" w:footer="567" w:gutter="0"/>
          <w:cols w:space="708"/>
          <w:titlePg/>
          <w:docGrid w:linePitch="360"/>
        </w:sectPr>
      </w:pPr>
    </w:p>
    <w:p w14:paraId="29B31B66" w14:textId="77777777" w:rsidR="00E45026" w:rsidRPr="007C1E3E" w:rsidRDefault="00E45026" w:rsidP="00E45026">
      <w:pPr>
        <w:pStyle w:val="Heading1"/>
        <w:spacing w:before="120" w:after="120"/>
        <w:rPr>
          <w:sz w:val="40"/>
        </w:rPr>
      </w:pPr>
      <w:r w:rsidRPr="007C1E3E">
        <w:rPr>
          <w:rFonts w:eastAsia="Times New Roman"/>
          <w:sz w:val="40"/>
        </w:rPr>
        <w:lastRenderedPageBreak/>
        <w:t>Dotation selon la durée d'emploi</w:t>
      </w:r>
    </w:p>
    <w:p w14:paraId="572EEB26" w14:textId="77777777" w:rsidR="008626AF" w:rsidRPr="002D39D0" w:rsidRDefault="004D53A0" w:rsidP="008626AF">
      <w:pPr>
        <w:keepNext/>
        <w:jc w:val="center"/>
      </w:pPr>
      <w:r w:rsidRPr="00302F5B">
        <w:rPr>
          <w:noProof/>
          <w:lang w:val="en-CA" w:eastAsia="en-CA"/>
        </w:rPr>
        <w:drawing>
          <wp:inline distT="0" distB="0" distL="0" distR="0" wp14:anchorId="37F0395F" wp14:editId="787FB16C">
            <wp:extent cx="5648400" cy="3049200"/>
            <wp:effectExtent l="0" t="0" r="9525" b="18415"/>
            <wp:docPr id="3" name="Chart 3" descr="Dotation selon la durée d'emploi de 2014 à 2019&#10;"/>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3DFFFB81" w14:textId="77777777" w:rsidR="004D53A0" w:rsidRPr="002D39D0" w:rsidRDefault="008626AF" w:rsidP="00E45026">
      <w:pPr>
        <w:pStyle w:val="Caption"/>
        <w:spacing w:after="0"/>
        <w:jc w:val="center"/>
        <w:rPr>
          <w:rFonts w:asciiTheme="minorHAnsi" w:hAnsiTheme="minorHAnsi" w:cstheme="minorHAnsi"/>
          <w:i w:val="0"/>
          <w:color w:val="auto"/>
        </w:rPr>
      </w:pPr>
      <w:r w:rsidRPr="002D39D0">
        <w:rPr>
          <w:rFonts w:asciiTheme="minorHAnsi" w:hAnsiTheme="minorHAnsi" w:cstheme="minorHAnsi"/>
          <w:i w:val="0"/>
          <w:color w:val="auto"/>
        </w:rPr>
        <w:t xml:space="preserve">Figure </w:t>
      </w:r>
      <w:r w:rsidRPr="006C61AE">
        <w:rPr>
          <w:rFonts w:asciiTheme="minorHAnsi" w:hAnsiTheme="minorHAnsi" w:cstheme="minorHAnsi"/>
          <w:i w:val="0"/>
          <w:color w:val="auto"/>
        </w:rPr>
        <w:fldChar w:fldCharType="begin"/>
      </w:r>
      <w:r w:rsidRPr="002D39D0">
        <w:rPr>
          <w:rFonts w:asciiTheme="minorHAnsi" w:hAnsiTheme="minorHAnsi" w:cstheme="minorHAnsi"/>
          <w:i w:val="0"/>
          <w:color w:val="auto"/>
        </w:rPr>
        <w:instrText xml:space="preserve"> SEQ Figure \* ARABIC </w:instrText>
      </w:r>
      <w:r w:rsidRPr="006C61AE">
        <w:rPr>
          <w:rFonts w:asciiTheme="minorHAnsi" w:hAnsiTheme="minorHAnsi" w:cstheme="minorHAnsi"/>
          <w:i w:val="0"/>
          <w:color w:val="auto"/>
        </w:rPr>
        <w:fldChar w:fldCharType="separate"/>
      </w:r>
      <w:r w:rsidR="00DE5258" w:rsidRPr="002D39D0">
        <w:rPr>
          <w:rFonts w:asciiTheme="minorHAnsi" w:hAnsiTheme="minorHAnsi" w:cstheme="minorHAnsi"/>
          <w:i w:val="0"/>
          <w:noProof/>
          <w:color w:val="auto"/>
        </w:rPr>
        <w:t>9</w:t>
      </w:r>
      <w:r w:rsidRPr="006C61AE">
        <w:rPr>
          <w:rFonts w:asciiTheme="minorHAnsi" w:hAnsiTheme="minorHAnsi" w:cstheme="minorHAnsi"/>
          <w:i w:val="0"/>
          <w:color w:val="auto"/>
        </w:rPr>
        <w:fldChar w:fldCharType="end"/>
      </w:r>
      <w:r w:rsidRPr="002D39D0">
        <w:rPr>
          <w:rFonts w:asciiTheme="minorHAnsi" w:hAnsiTheme="minorHAnsi" w:cstheme="minorHAnsi"/>
          <w:i w:val="0"/>
          <w:color w:val="auto"/>
        </w:rPr>
        <w:t xml:space="preserve"> - Dotation selon la durée d'emploi</w:t>
      </w:r>
    </w:p>
    <w:p w14:paraId="20605084" w14:textId="1B1BC527" w:rsidR="008626AF" w:rsidRPr="002D39D0" w:rsidRDefault="008626AF" w:rsidP="007C1E3E">
      <w:pPr>
        <w:pStyle w:val="Caption"/>
        <w:keepNext/>
        <w:spacing w:before="240" w:after="0"/>
        <w:jc w:val="center"/>
        <w:rPr>
          <w:rFonts w:asciiTheme="minorHAnsi" w:hAnsiTheme="minorHAnsi" w:cstheme="minorHAnsi"/>
          <w:i w:val="0"/>
          <w:color w:val="auto"/>
        </w:rPr>
      </w:pPr>
      <w:r w:rsidRPr="002D39D0">
        <w:rPr>
          <w:rFonts w:asciiTheme="minorHAnsi" w:hAnsiTheme="minorHAnsi" w:cstheme="minorHAnsi"/>
          <w:i w:val="0"/>
          <w:color w:val="auto"/>
        </w:rPr>
        <w:t xml:space="preserve">Table </w:t>
      </w:r>
      <w:r w:rsidRPr="006C61AE">
        <w:rPr>
          <w:rFonts w:asciiTheme="minorHAnsi" w:hAnsiTheme="minorHAnsi" w:cstheme="minorHAnsi"/>
          <w:i w:val="0"/>
          <w:color w:val="auto"/>
        </w:rPr>
        <w:fldChar w:fldCharType="begin"/>
      </w:r>
      <w:r w:rsidRPr="002D39D0">
        <w:rPr>
          <w:rFonts w:asciiTheme="minorHAnsi" w:hAnsiTheme="minorHAnsi" w:cstheme="minorHAnsi"/>
          <w:i w:val="0"/>
          <w:color w:val="auto"/>
        </w:rPr>
        <w:instrText xml:space="preserve"> SEQ Table \* ARABIC </w:instrText>
      </w:r>
      <w:r w:rsidRPr="006C61AE">
        <w:rPr>
          <w:rFonts w:asciiTheme="minorHAnsi" w:hAnsiTheme="minorHAnsi" w:cstheme="minorHAnsi"/>
          <w:i w:val="0"/>
          <w:color w:val="auto"/>
        </w:rPr>
        <w:fldChar w:fldCharType="separate"/>
      </w:r>
      <w:r w:rsidR="00C42F1B" w:rsidRPr="002D39D0">
        <w:rPr>
          <w:rFonts w:asciiTheme="minorHAnsi" w:hAnsiTheme="minorHAnsi" w:cstheme="minorHAnsi"/>
          <w:i w:val="0"/>
          <w:noProof/>
          <w:color w:val="auto"/>
        </w:rPr>
        <w:t>14</w:t>
      </w:r>
      <w:r w:rsidRPr="006C61AE">
        <w:rPr>
          <w:rFonts w:asciiTheme="minorHAnsi" w:hAnsiTheme="minorHAnsi" w:cstheme="minorHAnsi"/>
          <w:i w:val="0"/>
          <w:color w:val="auto"/>
        </w:rPr>
        <w:fldChar w:fldCharType="end"/>
      </w:r>
      <w:r w:rsidRPr="002D39D0">
        <w:rPr>
          <w:rFonts w:asciiTheme="minorHAnsi" w:hAnsiTheme="minorHAnsi" w:cstheme="minorHAnsi"/>
          <w:i w:val="0"/>
          <w:color w:val="auto"/>
        </w:rPr>
        <w:t xml:space="preserve"> - Activités de dotation selon la durée d’emploi et l’exercice financier</w:t>
      </w:r>
    </w:p>
    <w:tbl>
      <w:tblPr>
        <w:tblStyle w:val="TableGrid"/>
        <w:tblW w:w="5000" w:type="pct"/>
        <w:jc w:val="center"/>
        <w:tblLook w:val="0020" w:firstRow="1" w:lastRow="0" w:firstColumn="0" w:lastColumn="0" w:noHBand="0" w:noVBand="0"/>
        <w:tblDescription w:val="Dotation selon la durée d’emploi de 2014 à 2019"/>
      </w:tblPr>
      <w:tblGrid>
        <w:gridCol w:w="1979"/>
        <w:gridCol w:w="2978"/>
        <w:gridCol w:w="2694"/>
        <w:gridCol w:w="2550"/>
        <w:gridCol w:w="2127"/>
        <w:gridCol w:w="2142"/>
      </w:tblGrid>
      <w:tr w:rsidR="008626AF" w:rsidRPr="004721CE" w14:paraId="51FB86B4" w14:textId="77777777" w:rsidTr="00222D78">
        <w:trPr>
          <w:cantSplit/>
          <w:tblHeader/>
          <w:jc w:val="center"/>
        </w:trPr>
        <w:tc>
          <w:tcPr>
            <w:tcW w:w="684" w:type="pct"/>
          </w:tcPr>
          <w:p w14:paraId="29FDAAD3" w14:textId="77777777" w:rsidR="008626AF" w:rsidRPr="004721CE" w:rsidRDefault="008626AF" w:rsidP="000F48C6">
            <w:pPr>
              <w:pStyle w:val="TableTitle"/>
              <w:rPr>
                <w:rFonts w:cs="Segoe UI Semibold"/>
                <w:b w:val="0"/>
                <w:szCs w:val="22"/>
              </w:rPr>
            </w:pPr>
            <w:r w:rsidRPr="004721CE">
              <w:rPr>
                <w:rFonts w:cs="Segoe UI Semibold"/>
                <w:b w:val="0"/>
                <w:szCs w:val="22"/>
              </w:rPr>
              <w:t>Exercice financier</w:t>
            </w:r>
          </w:p>
        </w:tc>
        <w:tc>
          <w:tcPr>
            <w:tcW w:w="1029" w:type="pct"/>
          </w:tcPr>
          <w:p w14:paraId="038F3673" w14:textId="4F687560" w:rsidR="008626AF" w:rsidRPr="004721CE" w:rsidRDefault="008626AF" w:rsidP="00EA5B54">
            <w:pPr>
              <w:pStyle w:val="TableTitle"/>
              <w:rPr>
                <w:rFonts w:cs="Segoe UI Semibold"/>
                <w:b w:val="0"/>
                <w:szCs w:val="22"/>
              </w:rPr>
            </w:pPr>
            <w:r w:rsidRPr="004721CE">
              <w:rPr>
                <w:rFonts w:cs="Segoe UI Semibold"/>
                <w:b w:val="0"/>
                <w:szCs w:val="22"/>
              </w:rPr>
              <w:t xml:space="preserve">Activités de dotation pour des postes </w:t>
            </w:r>
            <w:r w:rsidR="00EA5B54" w:rsidRPr="004721CE">
              <w:rPr>
                <w:rFonts w:cs="Segoe UI Semibold"/>
                <w:b w:val="0"/>
                <w:szCs w:val="22"/>
              </w:rPr>
              <w:t xml:space="preserve">de durée </w:t>
            </w:r>
            <w:r w:rsidRPr="004721CE">
              <w:rPr>
                <w:rFonts w:cs="Segoe UI Semibold"/>
                <w:b w:val="0"/>
                <w:szCs w:val="22"/>
              </w:rPr>
              <w:t>indéterminée</w:t>
            </w:r>
          </w:p>
        </w:tc>
        <w:tc>
          <w:tcPr>
            <w:tcW w:w="931" w:type="pct"/>
          </w:tcPr>
          <w:p w14:paraId="28288C6E" w14:textId="77777777" w:rsidR="008626AF" w:rsidRPr="004721CE" w:rsidRDefault="008626AF" w:rsidP="000F48C6">
            <w:pPr>
              <w:pStyle w:val="TableTitle"/>
              <w:rPr>
                <w:rFonts w:cs="Segoe UI Semibold"/>
                <w:b w:val="0"/>
                <w:szCs w:val="22"/>
              </w:rPr>
            </w:pPr>
            <w:r w:rsidRPr="004721CE">
              <w:rPr>
                <w:rFonts w:cs="Segoe UI Semibold"/>
                <w:b w:val="0"/>
                <w:szCs w:val="22"/>
              </w:rPr>
              <w:t>Activités de dotation pour des postes de durée déterminée</w:t>
            </w:r>
          </w:p>
        </w:tc>
        <w:tc>
          <w:tcPr>
            <w:tcW w:w="881" w:type="pct"/>
          </w:tcPr>
          <w:p w14:paraId="36A029B5" w14:textId="756BC7AD" w:rsidR="008626AF" w:rsidRPr="004721CE" w:rsidRDefault="008626AF" w:rsidP="00EA5B54">
            <w:pPr>
              <w:pStyle w:val="TableTitle"/>
              <w:rPr>
                <w:rFonts w:cs="Segoe UI Semibold"/>
                <w:b w:val="0"/>
                <w:szCs w:val="22"/>
              </w:rPr>
            </w:pPr>
            <w:r w:rsidRPr="004721CE">
              <w:rPr>
                <w:rFonts w:cs="Segoe UI Semibold"/>
                <w:b w:val="0"/>
                <w:szCs w:val="22"/>
              </w:rPr>
              <w:t>Activités de dotation pour les emplois occasionnels</w:t>
            </w:r>
          </w:p>
        </w:tc>
        <w:tc>
          <w:tcPr>
            <w:tcW w:w="735" w:type="pct"/>
          </w:tcPr>
          <w:p w14:paraId="396CE51D" w14:textId="77777777" w:rsidR="008626AF" w:rsidRPr="004721CE" w:rsidRDefault="008626AF" w:rsidP="000F48C6">
            <w:pPr>
              <w:pStyle w:val="TableTitle"/>
              <w:rPr>
                <w:rFonts w:cs="Segoe UI Semibold"/>
                <w:b w:val="0"/>
                <w:szCs w:val="22"/>
              </w:rPr>
            </w:pPr>
            <w:r w:rsidRPr="004721CE">
              <w:rPr>
                <w:rFonts w:cs="Segoe UI Semibold"/>
                <w:b w:val="0"/>
                <w:szCs w:val="22"/>
              </w:rPr>
              <w:t>Activités de dotation pour les emplois étudiants</w:t>
            </w:r>
          </w:p>
        </w:tc>
        <w:tc>
          <w:tcPr>
            <w:tcW w:w="740" w:type="pct"/>
          </w:tcPr>
          <w:p w14:paraId="219E53A4" w14:textId="7B9AA016" w:rsidR="008626AF" w:rsidRPr="004721CE" w:rsidRDefault="00EA5B54" w:rsidP="00EA5B54">
            <w:pPr>
              <w:pStyle w:val="TableTitle"/>
              <w:rPr>
                <w:rFonts w:cs="Segoe UI Semibold"/>
                <w:b w:val="0"/>
                <w:szCs w:val="22"/>
              </w:rPr>
            </w:pPr>
            <w:r w:rsidRPr="004721CE">
              <w:rPr>
                <w:rFonts w:cs="Segoe UI Semibold"/>
                <w:b w:val="0"/>
                <w:szCs w:val="22"/>
              </w:rPr>
              <w:t>Total des a</w:t>
            </w:r>
            <w:r w:rsidR="008626AF" w:rsidRPr="004721CE">
              <w:rPr>
                <w:rFonts w:cs="Segoe UI Semibold"/>
                <w:b w:val="0"/>
                <w:szCs w:val="22"/>
              </w:rPr>
              <w:t>ctivités de dotation</w:t>
            </w:r>
          </w:p>
        </w:tc>
      </w:tr>
      <w:tr w:rsidR="008626AF" w:rsidRPr="002D39D0" w14:paraId="583E7C59" w14:textId="77777777" w:rsidTr="00222D78">
        <w:trPr>
          <w:cantSplit/>
          <w:tblHeader/>
          <w:jc w:val="center"/>
        </w:trPr>
        <w:tc>
          <w:tcPr>
            <w:tcW w:w="684" w:type="pct"/>
          </w:tcPr>
          <w:p w14:paraId="396B9636" w14:textId="77777777" w:rsidR="008626AF" w:rsidRPr="002D39D0" w:rsidRDefault="008626AF" w:rsidP="000F48C6">
            <w:pPr>
              <w:autoSpaceDE w:val="0"/>
              <w:autoSpaceDN w:val="0"/>
              <w:adjustRightInd w:val="0"/>
              <w:rPr>
                <w:rFonts w:asciiTheme="minorHAnsi" w:hAnsiTheme="minorHAnsi" w:cstheme="minorHAnsi"/>
                <w:color w:val="000000"/>
                <w:sz w:val="22"/>
                <w:szCs w:val="24"/>
              </w:rPr>
            </w:pPr>
            <w:r w:rsidRPr="002D39D0">
              <w:rPr>
                <w:rFonts w:asciiTheme="minorHAnsi" w:hAnsiTheme="minorHAnsi" w:cstheme="minorHAnsi"/>
                <w:color w:val="000000"/>
                <w:sz w:val="22"/>
                <w:szCs w:val="24"/>
              </w:rPr>
              <w:t>2014 à 2015</w:t>
            </w:r>
          </w:p>
        </w:tc>
        <w:tc>
          <w:tcPr>
            <w:tcW w:w="1029" w:type="pct"/>
          </w:tcPr>
          <w:p w14:paraId="6F6E61E4" w14:textId="77777777" w:rsidR="008626AF" w:rsidRPr="002D39D0" w:rsidRDefault="008626AF" w:rsidP="000F48C6">
            <w:pPr>
              <w:autoSpaceDE w:val="0"/>
              <w:autoSpaceDN w:val="0"/>
              <w:adjustRightInd w:val="0"/>
              <w:jc w:val="center"/>
              <w:rPr>
                <w:rFonts w:asciiTheme="minorHAnsi" w:hAnsiTheme="minorHAnsi" w:cstheme="minorHAnsi"/>
                <w:color w:val="000000"/>
                <w:sz w:val="22"/>
                <w:szCs w:val="24"/>
              </w:rPr>
            </w:pPr>
            <w:r w:rsidRPr="002D39D0">
              <w:rPr>
                <w:rFonts w:asciiTheme="minorHAnsi" w:hAnsiTheme="minorHAnsi" w:cstheme="minorHAnsi"/>
                <w:color w:val="000000"/>
                <w:sz w:val="22"/>
                <w:szCs w:val="24"/>
              </w:rPr>
              <w:t>1 623</w:t>
            </w:r>
          </w:p>
        </w:tc>
        <w:tc>
          <w:tcPr>
            <w:tcW w:w="931" w:type="pct"/>
          </w:tcPr>
          <w:p w14:paraId="78AE6495" w14:textId="77777777" w:rsidR="008626AF" w:rsidRPr="002D39D0" w:rsidRDefault="008626AF" w:rsidP="000F48C6">
            <w:pPr>
              <w:autoSpaceDE w:val="0"/>
              <w:autoSpaceDN w:val="0"/>
              <w:adjustRightInd w:val="0"/>
              <w:jc w:val="center"/>
              <w:rPr>
                <w:rFonts w:asciiTheme="minorHAnsi" w:hAnsiTheme="minorHAnsi" w:cstheme="minorHAnsi"/>
                <w:color w:val="000000"/>
                <w:sz w:val="22"/>
                <w:szCs w:val="24"/>
              </w:rPr>
            </w:pPr>
            <w:r w:rsidRPr="002D39D0">
              <w:rPr>
                <w:rFonts w:asciiTheme="minorHAnsi" w:hAnsiTheme="minorHAnsi" w:cstheme="minorHAnsi"/>
                <w:color w:val="000000"/>
                <w:sz w:val="22"/>
                <w:szCs w:val="24"/>
              </w:rPr>
              <w:t>218</w:t>
            </w:r>
          </w:p>
        </w:tc>
        <w:tc>
          <w:tcPr>
            <w:tcW w:w="881" w:type="pct"/>
          </w:tcPr>
          <w:p w14:paraId="5555929A" w14:textId="77777777" w:rsidR="008626AF" w:rsidRPr="002D39D0" w:rsidRDefault="008626AF" w:rsidP="000F48C6">
            <w:pPr>
              <w:autoSpaceDE w:val="0"/>
              <w:autoSpaceDN w:val="0"/>
              <w:adjustRightInd w:val="0"/>
              <w:jc w:val="center"/>
              <w:rPr>
                <w:rFonts w:asciiTheme="minorHAnsi" w:hAnsiTheme="minorHAnsi" w:cstheme="minorHAnsi"/>
                <w:color w:val="000000"/>
                <w:sz w:val="22"/>
                <w:szCs w:val="24"/>
              </w:rPr>
            </w:pPr>
            <w:r w:rsidRPr="002D39D0">
              <w:rPr>
                <w:rFonts w:asciiTheme="minorHAnsi" w:hAnsiTheme="minorHAnsi" w:cstheme="minorHAnsi"/>
                <w:color w:val="000000"/>
                <w:sz w:val="22"/>
                <w:szCs w:val="24"/>
              </w:rPr>
              <w:t>574</w:t>
            </w:r>
          </w:p>
        </w:tc>
        <w:tc>
          <w:tcPr>
            <w:tcW w:w="735" w:type="pct"/>
          </w:tcPr>
          <w:p w14:paraId="4EE5FC21" w14:textId="77777777" w:rsidR="008626AF" w:rsidRPr="002D39D0" w:rsidRDefault="008626AF" w:rsidP="000F48C6">
            <w:pPr>
              <w:autoSpaceDE w:val="0"/>
              <w:autoSpaceDN w:val="0"/>
              <w:adjustRightInd w:val="0"/>
              <w:jc w:val="center"/>
              <w:rPr>
                <w:rFonts w:asciiTheme="minorHAnsi" w:hAnsiTheme="minorHAnsi" w:cstheme="minorHAnsi"/>
                <w:color w:val="000000"/>
                <w:sz w:val="22"/>
                <w:szCs w:val="24"/>
              </w:rPr>
            </w:pPr>
            <w:r w:rsidRPr="002D39D0">
              <w:rPr>
                <w:rFonts w:asciiTheme="minorHAnsi" w:hAnsiTheme="minorHAnsi" w:cstheme="minorHAnsi"/>
                <w:color w:val="000000"/>
                <w:sz w:val="22"/>
                <w:szCs w:val="24"/>
              </w:rPr>
              <w:t>394</w:t>
            </w:r>
          </w:p>
        </w:tc>
        <w:tc>
          <w:tcPr>
            <w:tcW w:w="740" w:type="pct"/>
          </w:tcPr>
          <w:p w14:paraId="68066430" w14:textId="77777777" w:rsidR="008626AF" w:rsidRPr="002D39D0" w:rsidRDefault="008626AF" w:rsidP="000F48C6">
            <w:pPr>
              <w:autoSpaceDE w:val="0"/>
              <w:autoSpaceDN w:val="0"/>
              <w:adjustRightInd w:val="0"/>
              <w:jc w:val="center"/>
              <w:rPr>
                <w:rFonts w:asciiTheme="minorHAnsi" w:hAnsiTheme="minorHAnsi" w:cstheme="minorHAnsi"/>
                <w:color w:val="000000"/>
                <w:sz w:val="22"/>
                <w:szCs w:val="24"/>
              </w:rPr>
            </w:pPr>
            <w:r w:rsidRPr="002D39D0">
              <w:rPr>
                <w:rFonts w:asciiTheme="minorHAnsi" w:hAnsiTheme="minorHAnsi" w:cstheme="minorHAnsi"/>
                <w:color w:val="000000"/>
                <w:sz w:val="22"/>
                <w:szCs w:val="24"/>
              </w:rPr>
              <w:t>2 809</w:t>
            </w:r>
          </w:p>
        </w:tc>
      </w:tr>
      <w:tr w:rsidR="008626AF" w:rsidRPr="002D39D0" w14:paraId="2357D4C4" w14:textId="77777777" w:rsidTr="00222D78">
        <w:trPr>
          <w:cantSplit/>
          <w:tblHeader/>
          <w:jc w:val="center"/>
        </w:trPr>
        <w:tc>
          <w:tcPr>
            <w:tcW w:w="684" w:type="pct"/>
          </w:tcPr>
          <w:p w14:paraId="70354649" w14:textId="77777777" w:rsidR="008626AF" w:rsidRPr="002D39D0" w:rsidRDefault="008626AF" w:rsidP="000F48C6">
            <w:pPr>
              <w:autoSpaceDE w:val="0"/>
              <w:autoSpaceDN w:val="0"/>
              <w:adjustRightInd w:val="0"/>
              <w:rPr>
                <w:rFonts w:asciiTheme="minorHAnsi" w:hAnsiTheme="minorHAnsi" w:cstheme="minorHAnsi"/>
                <w:color w:val="000000"/>
                <w:sz w:val="22"/>
                <w:szCs w:val="24"/>
              </w:rPr>
            </w:pPr>
            <w:r w:rsidRPr="002D39D0">
              <w:rPr>
                <w:rFonts w:asciiTheme="minorHAnsi" w:hAnsiTheme="minorHAnsi" w:cstheme="minorHAnsi"/>
                <w:color w:val="000000"/>
                <w:sz w:val="22"/>
                <w:szCs w:val="24"/>
              </w:rPr>
              <w:t>2015 à 2016</w:t>
            </w:r>
          </w:p>
        </w:tc>
        <w:tc>
          <w:tcPr>
            <w:tcW w:w="1029" w:type="pct"/>
          </w:tcPr>
          <w:p w14:paraId="46D64432" w14:textId="77777777" w:rsidR="008626AF" w:rsidRPr="002D39D0" w:rsidRDefault="008626AF" w:rsidP="000F48C6">
            <w:pPr>
              <w:autoSpaceDE w:val="0"/>
              <w:autoSpaceDN w:val="0"/>
              <w:adjustRightInd w:val="0"/>
              <w:jc w:val="center"/>
              <w:rPr>
                <w:rFonts w:asciiTheme="minorHAnsi" w:hAnsiTheme="minorHAnsi" w:cstheme="minorHAnsi"/>
                <w:color w:val="000000"/>
                <w:sz w:val="22"/>
                <w:szCs w:val="24"/>
              </w:rPr>
            </w:pPr>
            <w:r w:rsidRPr="002D39D0">
              <w:rPr>
                <w:rFonts w:asciiTheme="minorHAnsi" w:hAnsiTheme="minorHAnsi" w:cstheme="minorHAnsi"/>
                <w:color w:val="000000"/>
                <w:sz w:val="22"/>
                <w:szCs w:val="24"/>
              </w:rPr>
              <w:t>2 153</w:t>
            </w:r>
          </w:p>
        </w:tc>
        <w:tc>
          <w:tcPr>
            <w:tcW w:w="931" w:type="pct"/>
          </w:tcPr>
          <w:p w14:paraId="25031EBD" w14:textId="77777777" w:rsidR="008626AF" w:rsidRPr="002D39D0" w:rsidRDefault="008626AF" w:rsidP="000F48C6">
            <w:pPr>
              <w:autoSpaceDE w:val="0"/>
              <w:autoSpaceDN w:val="0"/>
              <w:adjustRightInd w:val="0"/>
              <w:jc w:val="center"/>
              <w:rPr>
                <w:rFonts w:asciiTheme="minorHAnsi" w:hAnsiTheme="minorHAnsi" w:cstheme="minorHAnsi"/>
                <w:color w:val="000000"/>
                <w:sz w:val="22"/>
                <w:szCs w:val="24"/>
              </w:rPr>
            </w:pPr>
            <w:r w:rsidRPr="002D39D0">
              <w:rPr>
                <w:rFonts w:asciiTheme="minorHAnsi" w:hAnsiTheme="minorHAnsi" w:cstheme="minorHAnsi"/>
                <w:color w:val="000000"/>
                <w:sz w:val="22"/>
                <w:szCs w:val="24"/>
              </w:rPr>
              <w:t>277</w:t>
            </w:r>
          </w:p>
        </w:tc>
        <w:tc>
          <w:tcPr>
            <w:tcW w:w="881" w:type="pct"/>
          </w:tcPr>
          <w:p w14:paraId="03BEF3B5" w14:textId="77777777" w:rsidR="008626AF" w:rsidRPr="002D39D0" w:rsidRDefault="008626AF" w:rsidP="000F48C6">
            <w:pPr>
              <w:autoSpaceDE w:val="0"/>
              <w:autoSpaceDN w:val="0"/>
              <w:adjustRightInd w:val="0"/>
              <w:jc w:val="center"/>
              <w:rPr>
                <w:rFonts w:asciiTheme="minorHAnsi" w:hAnsiTheme="minorHAnsi" w:cstheme="minorHAnsi"/>
                <w:color w:val="000000"/>
                <w:sz w:val="22"/>
                <w:szCs w:val="24"/>
              </w:rPr>
            </w:pPr>
            <w:r w:rsidRPr="002D39D0">
              <w:rPr>
                <w:rFonts w:asciiTheme="minorHAnsi" w:hAnsiTheme="minorHAnsi" w:cstheme="minorHAnsi"/>
                <w:color w:val="000000"/>
                <w:sz w:val="22"/>
                <w:szCs w:val="24"/>
              </w:rPr>
              <w:t>556</w:t>
            </w:r>
          </w:p>
        </w:tc>
        <w:tc>
          <w:tcPr>
            <w:tcW w:w="735" w:type="pct"/>
          </w:tcPr>
          <w:p w14:paraId="4F981F53" w14:textId="77777777" w:rsidR="008626AF" w:rsidRPr="002D39D0" w:rsidRDefault="008626AF" w:rsidP="000F48C6">
            <w:pPr>
              <w:autoSpaceDE w:val="0"/>
              <w:autoSpaceDN w:val="0"/>
              <w:adjustRightInd w:val="0"/>
              <w:jc w:val="center"/>
              <w:rPr>
                <w:rFonts w:asciiTheme="minorHAnsi" w:hAnsiTheme="minorHAnsi" w:cstheme="minorHAnsi"/>
                <w:color w:val="000000"/>
                <w:sz w:val="22"/>
                <w:szCs w:val="24"/>
              </w:rPr>
            </w:pPr>
            <w:r w:rsidRPr="002D39D0">
              <w:rPr>
                <w:rFonts w:asciiTheme="minorHAnsi" w:hAnsiTheme="minorHAnsi" w:cstheme="minorHAnsi"/>
                <w:color w:val="000000"/>
                <w:sz w:val="22"/>
                <w:szCs w:val="24"/>
              </w:rPr>
              <w:t>402</w:t>
            </w:r>
          </w:p>
        </w:tc>
        <w:tc>
          <w:tcPr>
            <w:tcW w:w="740" w:type="pct"/>
          </w:tcPr>
          <w:p w14:paraId="19F69250" w14:textId="77777777" w:rsidR="008626AF" w:rsidRPr="002D39D0" w:rsidRDefault="008626AF" w:rsidP="000F48C6">
            <w:pPr>
              <w:autoSpaceDE w:val="0"/>
              <w:autoSpaceDN w:val="0"/>
              <w:adjustRightInd w:val="0"/>
              <w:jc w:val="center"/>
              <w:rPr>
                <w:rFonts w:asciiTheme="minorHAnsi" w:hAnsiTheme="minorHAnsi" w:cstheme="minorHAnsi"/>
                <w:color w:val="000000"/>
                <w:sz w:val="22"/>
                <w:szCs w:val="24"/>
              </w:rPr>
            </w:pPr>
            <w:r w:rsidRPr="002D39D0">
              <w:rPr>
                <w:rFonts w:asciiTheme="minorHAnsi" w:hAnsiTheme="minorHAnsi" w:cstheme="minorHAnsi"/>
                <w:color w:val="000000"/>
                <w:sz w:val="22"/>
                <w:szCs w:val="24"/>
              </w:rPr>
              <w:t>3 388</w:t>
            </w:r>
          </w:p>
        </w:tc>
      </w:tr>
      <w:tr w:rsidR="008626AF" w:rsidRPr="002D39D0" w14:paraId="5B0EA362" w14:textId="77777777" w:rsidTr="00222D78">
        <w:trPr>
          <w:cantSplit/>
          <w:tblHeader/>
          <w:jc w:val="center"/>
        </w:trPr>
        <w:tc>
          <w:tcPr>
            <w:tcW w:w="684" w:type="pct"/>
          </w:tcPr>
          <w:p w14:paraId="7B8A248A" w14:textId="77777777" w:rsidR="008626AF" w:rsidRPr="002D39D0" w:rsidRDefault="008626AF" w:rsidP="000F48C6">
            <w:pPr>
              <w:autoSpaceDE w:val="0"/>
              <w:autoSpaceDN w:val="0"/>
              <w:adjustRightInd w:val="0"/>
              <w:rPr>
                <w:rFonts w:asciiTheme="minorHAnsi" w:hAnsiTheme="minorHAnsi" w:cstheme="minorHAnsi"/>
                <w:color w:val="000000"/>
                <w:sz w:val="22"/>
                <w:szCs w:val="24"/>
              </w:rPr>
            </w:pPr>
            <w:r w:rsidRPr="002D39D0">
              <w:rPr>
                <w:rFonts w:asciiTheme="minorHAnsi" w:hAnsiTheme="minorHAnsi" w:cstheme="minorHAnsi"/>
                <w:color w:val="000000"/>
                <w:sz w:val="22"/>
                <w:szCs w:val="24"/>
              </w:rPr>
              <w:t>2016 à 2017</w:t>
            </w:r>
          </w:p>
        </w:tc>
        <w:tc>
          <w:tcPr>
            <w:tcW w:w="1029" w:type="pct"/>
          </w:tcPr>
          <w:p w14:paraId="7DA8AAF4" w14:textId="77777777" w:rsidR="008626AF" w:rsidRPr="002D39D0" w:rsidRDefault="008626AF" w:rsidP="000F48C6">
            <w:pPr>
              <w:autoSpaceDE w:val="0"/>
              <w:autoSpaceDN w:val="0"/>
              <w:adjustRightInd w:val="0"/>
              <w:jc w:val="center"/>
              <w:rPr>
                <w:rFonts w:asciiTheme="minorHAnsi" w:hAnsiTheme="minorHAnsi" w:cstheme="minorHAnsi"/>
                <w:color w:val="000000"/>
                <w:sz w:val="22"/>
                <w:szCs w:val="24"/>
              </w:rPr>
            </w:pPr>
            <w:r w:rsidRPr="002D39D0">
              <w:rPr>
                <w:rFonts w:asciiTheme="minorHAnsi" w:hAnsiTheme="minorHAnsi" w:cstheme="minorHAnsi"/>
                <w:color w:val="000000"/>
                <w:sz w:val="22"/>
                <w:szCs w:val="24"/>
              </w:rPr>
              <w:t>1 890</w:t>
            </w:r>
          </w:p>
        </w:tc>
        <w:tc>
          <w:tcPr>
            <w:tcW w:w="931" w:type="pct"/>
          </w:tcPr>
          <w:p w14:paraId="4AB35757" w14:textId="77777777" w:rsidR="008626AF" w:rsidRPr="002D39D0" w:rsidRDefault="008626AF" w:rsidP="000F48C6">
            <w:pPr>
              <w:autoSpaceDE w:val="0"/>
              <w:autoSpaceDN w:val="0"/>
              <w:adjustRightInd w:val="0"/>
              <w:jc w:val="center"/>
              <w:rPr>
                <w:rFonts w:asciiTheme="minorHAnsi" w:hAnsiTheme="minorHAnsi" w:cstheme="minorHAnsi"/>
                <w:color w:val="000000"/>
                <w:sz w:val="22"/>
                <w:szCs w:val="24"/>
              </w:rPr>
            </w:pPr>
            <w:r w:rsidRPr="002D39D0">
              <w:rPr>
                <w:rFonts w:asciiTheme="minorHAnsi" w:hAnsiTheme="minorHAnsi" w:cstheme="minorHAnsi"/>
                <w:color w:val="000000"/>
                <w:sz w:val="22"/>
                <w:szCs w:val="24"/>
              </w:rPr>
              <w:t>376</w:t>
            </w:r>
          </w:p>
        </w:tc>
        <w:tc>
          <w:tcPr>
            <w:tcW w:w="881" w:type="pct"/>
          </w:tcPr>
          <w:p w14:paraId="5D2A7274" w14:textId="77777777" w:rsidR="008626AF" w:rsidRPr="002D39D0" w:rsidRDefault="008626AF" w:rsidP="000F48C6">
            <w:pPr>
              <w:autoSpaceDE w:val="0"/>
              <w:autoSpaceDN w:val="0"/>
              <w:adjustRightInd w:val="0"/>
              <w:jc w:val="center"/>
              <w:rPr>
                <w:rFonts w:asciiTheme="minorHAnsi" w:hAnsiTheme="minorHAnsi" w:cstheme="minorHAnsi"/>
                <w:color w:val="000000"/>
                <w:sz w:val="22"/>
                <w:szCs w:val="24"/>
              </w:rPr>
            </w:pPr>
            <w:r w:rsidRPr="002D39D0">
              <w:rPr>
                <w:rFonts w:asciiTheme="minorHAnsi" w:hAnsiTheme="minorHAnsi" w:cstheme="minorHAnsi"/>
                <w:color w:val="000000"/>
                <w:sz w:val="22"/>
                <w:szCs w:val="24"/>
              </w:rPr>
              <w:t>606</w:t>
            </w:r>
          </w:p>
        </w:tc>
        <w:tc>
          <w:tcPr>
            <w:tcW w:w="735" w:type="pct"/>
          </w:tcPr>
          <w:p w14:paraId="4075C1C7" w14:textId="77777777" w:rsidR="008626AF" w:rsidRPr="002D39D0" w:rsidRDefault="008626AF" w:rsidP="000F48C6">
            <w:pPr>
              <w:autoSpaceDE w:val="0"/>
              <w:autoSpaceDN w:val="0"/>
              <w:adjustRightInd w:val="0"/>
              <w:jc w:val="center"/>
              <w:rPr>
                <w:rFonts w:asciiTheme="minorHAnsi" w:hAnsiTheme="minorHAnsi" w:cstheme="minorHAnsi"/>
                <w:color w:val="000000"/>
                <w:sz w:val="22"/>
                <w:szCs w:val="24"/>
              </w:rPr>
            </w:pPr>
            <w:r w:rsidRPr="002D39D0">
              <w:rPr>
                <w:rFonts w:asciiTheme="minorHAnsi" w:hAnsiTheme="minorHAnsi" w:cstheme="minorHAnsi"/>
                <w:color w:val="000000"/>
                <w:sz w:val="22"/>
                <w:szCs w:val="24"/>
              </w:rPr>
              <w:t>397</w:t>
            </w:r>
          </w:p>
        </w:tc>
        <w:tc>
          <w:tcPr>
            <w:tcW w:w="740" w:type="pct"/>
          </w:tcPr>
          <w:p w14:paraId="0097CFE1" w14:textId="77777777" w:rsidR="008626AF" w:rsidRPr="002D39D0" w:rsidRDefault="008626AF" w:rsidP="000F48C6">
            <w:pPr>
              <w:autoSpaceDE w:val="0"/>
              <w:autoSpaceDN w:val="0"/>
              <w:adjustRightInd w:val="0"/>
              <w:jc w:val="center"/>
              <w:rPr>
                <w:rFonts w:asciiTheme="minorHAnsi" w:hAnsiTheme="minorHAnsi" w:cstheme="minorHAnsi"/>
                <w:color w:val="000000"/>
                <w:sz w:val="22"/>
                <w:szCs w:val="24"/>
              </w:rPr>
            </w:pPr>
            <w:r w:rsidRPr="002D39D0">
              <w:rPr>
                <w:rFonts w:asciiTheme="minorHAnsi" w:hAnsiTheme="minorHAnsi" w:cstheme="minorHAnsi"/>
                <w:color w:val="000000"/>
                <w:sz w:val="22"/>
                <w:szCs w:val="24"/>
              </w:rPr>
              <w:t>3 269</w:t>
            </w:r>
          </w:p>
        </w:tc>
      </w:tr>
      <w:tr w:rsidR="008626AF" w:rsidRPr="002D39D0" w14:paraId="466659B4" w14:textId="77777777" w:rsidTr="00222D78">
        <w:trPr>
          <w:cantSplit/>
          <w:tblHeader/>
          <w:jc w:val="center"/>
        </w:trPr>
        <w:tc>
          <w:tcPr>
            <w:tcW w:w="684" w:type="pct"/>
          </w:tcPr>
          <w:p w14:paraId="5B9ECCBB" w14:textId="77777777" w:rsidR="008626AF" w:rsidRPr="002D39D0" w:rsidRDefault="008626AF" w:rsidP="000F48C6">
            <w:pPr>
              <w:autoSpaceDE w:val="0"/>
              <w:autoSpaceDN w:val="0"/>
              <w:adjustRightInd w:val="0"/>
              <w:rPr>
                <w:rFonts w:asciiTheme="minorHAnsi" w:hAnsiTheme="minorHAnsi" w:cstheme="minorHAnsi"/>
                <w:color w:val="000000"/>
                <w:sz w:val="22"/>
                <w:szCs w:val="24"/>
              </w:rPr>
            </w:pPr>
            <w:r w:rsidRPr="002D39D0">
              <w:rPr>
                <w:rFonts w:asciiTheme="minorHAnsi" w:hAnsiTheme="minorHAnsi" w:cstheme="minorHAnsi"/>
                <w:color w:val="000000"/>
                <w:sz w:val="22"/>
                <w:szCs w:val="24"/>
              </w:rPr>
              <w:t>2017 à 2018</w:t>
            </w:r>
          </w:p>
        </w:tc>
        <w:tc>
          <w:tcPr>
            <w:tcW w:w="1029" w:type="pct"/>
          </w:tcPr>
          <w:p w14:paraId="7620F6F9" w14:textId="77777777" w:rsidR="008626AF" w:rsidRPr="002D39D0" w:rsidRDefault="008626AF" w:rsidP="000F48C6">
            <w:pPr>
              <w:autoSpaceDE w:val="0"/>
              <w:autoSpaceDN w:val="0"/>
              <w:adjustRightInd w:val="0"/>
              <w:jc w:val="center"/>
              <w:rPr>
                <w:rFonts w:asciiTheme="minorHAnsi" w:hAnsiTheme="minorHAnsi" w:cstheme="minorHAnsi"/>
                <w:color w:val="000000"/>
                <w:sz w:val="22"/>
                <w:szCs w:val="24"/>
              </w:rPr>
            </w:pPr>
            <w:r w:rsidRPr="002D39D0">
              <w:rPr>
                <w:rFonts w:asciiTheme="minorHAnsi" w:hAnsiTheme="minorHAnsi" w:cstheme="minorHAnsi"/>
                <w:color w:val="000000"/>
                <w:sz w:val="22"/>
                <w:szCs w:val="24"/>
              </w:rPr>
              <w:t>1 817</w:t>
            </w:r>
          </w:p>
        </w:tc>
        <w:tc>
          <w:tcPr>
            <w:tcW w:w="931" w:type="pct"/>
          </w:tcPr>
          <w:p w14:paraId="69AFB4E0" w14:textId="77777777" w:rsidR="008626AF" w:rsidRPr="002D39D0" w:rsidRDefault="008626AF" w:rsidP="000F48C6">
            <w:pPr>
              <w:autoSpaceDE w:val="0"/>
              <w:autoSpaceDN w:val="0"/>
              <w:adjustRightInd w:val="0"/>
              <w:jc w:val="center"/>
              <w:rPr>
                <w:rFonts w:asciiTheme="minorHAnsi" w:hAnsiTheme="minorHAnsi" w:cstheme="minorHAnsi"/>
                <w:color w:val="000000"/>
                <w:sz w:val="22"/>
                <w:szCs w:val="24"/>
              </w:rPr>
            </w:pPr>
            <w:r w:rsidRPr="002D39D0">
              <w:rPr>
                <w:rFonts w:asciiTheme="minorHAnsi" w:hAnsiTheme="minorHAnsi" w:cstheme="minorHAnsi"/>
                <w:color w:val="000000"/>
                <w:sz w:val="22"/>
                <w:szCs w:val="24"/>
              </w:rPr>
              <w:t>488</w:t>
            </w:r>
          </w:p>
        </w:tc>
        <w:tc>
          <w:tcPr>
            <w:tcW w:w="881" w:type="pct"/>
          </w:tcPr>
          <w:p w14:paraId="14BAF07C" w14:textId="77777777" w:rsidR="008626AF" w:rsidRPr="002D39D0" w:rsidRDefault="008626AF" w:rsidP="000F48C6">
            <w:pPr>
              <w:autoSpaceDE w:val="0"/>
              <w:autoSpaceDN w:val="0"/>
              <w:adjustRightInd w:val="0"/>
              <w:jc w:val="center"/>
              <w:rPr>
                <w:rFonts w:asciiTheme="minorHAnsi" w:hAnsiTheme="minorHAnsi" w:cstheme="minorHAnsi"/>
                <w:color w:val="000000"/>
                <w:sz w:val="22"/>
                <w:szCs w:val="24"/>
              </w:rPr>
            </w:pPr>
            <w:r w:rsidRPr="002D39D0">
              <w:rPr>
                <w:rFonts w:asciiTheme="minorHAnsi" w:hAnsiTheme="minorHAnsi" w:cstheme="minorHAnsi"/>
                <w:color w:val="000000"/>
                <w:sz w:val="22"/>
                <w:szCs w:val="24"/>
              </w:rPr>
              <w:t>772</w:t>
            </w:r>
          </w:p>
        </w:tc>
        <w:tc>
          <w:tcPr>
            <w:tcW w:w="735" w:type="pct"/>
          </w:tcPr>
          <w:p w14:paraId="62A8893B" w14:textId="77777777" w:rsidR="008626AF" w:rsidRPr="002D39D0" w:rsidRDefault="008626AF" w:rsidP="000F48C6">
            <w:pPr>
              <w:autoSpaceDE w:val="0"/>
              <w:autoSpaceDN w:val="0"/>
              <w:adjustRightInd w:val="0"/>
              <w:jc w:val="center"/>
              <w:rPr>
                <w:rFonts w:asciiTheme="minorHAnsi" w:hAnsiTheme="minorHAnsi" w:cstheme="minorHAnsi"/>
                <w:color w:val="000000"/>
                <w:sz w:val="22"/>
                <w:szCs w:val="24"/>
              </w:rPr>
            </w:pPr>
            <w:r w:rsidRPr="002D39D0">
              <w:rPr>
                <w:rFonts w:asciiTheme="minorHAnsi" w:hAnsiTheme="minorHAnsi" w:cstheme="minorHAnsi"/>
                <w:color w:val="000000"/>
                <w:sz w:val="22"/>
                <w:szCs w:val="24"/>
              </w:rPr>
              <w:t>485</w:t>
            </w:r>
          </w:p>
        </w:tc>
        <w:tc>
          <w:tcPr>
            <w:tcW w:w="740" w:type="pct"/>
          </w:tcPr>
          <w:p w14:paraId="76A58182" w14:textId="77777777" w:rsidR="008626AF" w:rsidRPr="002D39D0" w:rsidRDefault="008626AF" w:rsidP="000F48C6">
            <w:pPr>
              <w:autoSpaceDE w:val="0"/>
              <w:autoSpaceDN w:val="0"/>
              <w:adjustRightInd w:val="0"/>
              <w:jc w:val="center"/>
              <w:rPr>
                <w:rFonts w:asciiTheme="minorHAnsi" w:hAnsiTheme="minorHAnsi" w:cstheme="minorHAnsi"/>
                <w:color w:val="000000"/>
                <w:sz w:val="22"/>
                <w:szCs w:val="24"/>
              </w:rPr>
            </w:pPr>
            <w:r w:rsidRPr="002D39D0">
              <w:rPr>
                <w:rFonts w:asciiTheme="minorHAnsi" w:hAnsiTheme="minorHAnsi" w:cstheme="minorHAnsi"/>
                <w:color w:val="000000"/>
                <w:sz w:val="22"/>
                <w:szCs w:val="24"/>
              </w:rPr>
              <w:t>3 562</w:t>
            </w:r>
          </w:p>
        </w:tc>
      </w:tr>
      <w:tr w:rsidR="008626AF" w:rsidRPr="002D39D0" w14:paraId="06A9DC20" w14:textId="77777777" w:rsidTr="00222D78">
        <w:trPr>
          <w:cantSplit/>
          <w:tblHeader/>
          <w:jc w:val="center"/>
        </w:trPr>
        <w:tc>
          <w:tcPr>
            <w:tcW w:w="684" w:type="pct"/>
          </w:tcPr>
          <w:p w14:paraId="5F8C236F" w14:textId="77777777" w:rsidR="008626AF" w:rsidRPr="002D39D0" w:rsidRDefault="008626AF" w:rsidP="000F48C6">
            <w:pPr>
              <w:autoSpaceDE w:val="0"/>
              <w:autoSpaceDN w:val="0"/>
              <w:adjustRightInd w:val="0"/>
              <w:rPr>
                <w:rFonts w:asciiTheme="minorHAnsi" w:hAnsiTheme="minorHAnsi" w:cstheme="minorHAnsi"/>
                <w:color w:val="000000"/>
                <w:sz w:val="22"/>
                <w:szCs w:val="24"/>
              </w:rPr>
            </w:pPr>
            <w:r w:rsidRPr="002D39D0">
              <w:rPr>
                <w:rFonts w:asciiTheme="minorHAnsi" w:hAnsiTheme="minorHAnsi" w:cstheme="minorHAnsi"/>
                <w:color w:val="000000"/>
                <w:sz w:val="22"/>
                <w:szCs w:val="24"/>
              </w:rPr>
              <w:t>2018 à 2019</w:t>
            </w:r>
          </w:p>
        </w:tc>
        <w:tc>
          <w:tcPr>
            <w:tcW w:w="1029" w:type="pct"/>
          </w:tcPr>
          <w:p w14:paraId="1E383962" w14:textId="77777777" w:rsidR="008626AF" w:rsidRPr="002D39D0" w:rsidRDefault="008626AF" w:rsidP="000F48C6">
            <w:pPr>
              <w:autoSpaceDE w:val="0"/>
              <w:autoSpaceDN w:val="0"/>
              <w:adjustRightInd w:val="0"/>
              <w:jc w:val="center"/>
              <w:rPr>
                <w:rFonts w:asciiTheme="minorHAnsi" w:hAnsiTheme="minorHAnsi" w:cstheme="minorHAnsi"/>
                <w:color w:val="000000"/>
                <w:sz w:val="22"/>
                <w:szCs w:val="24"/>
              </w:rPr>
            </w:pPr>
            <w:r w:rsidRPr="002D39D0">
              <w:rPr>
                <w:rFonts w:asciiTheme="minorHAnsi" w:hAnsiTheme="minorHAnsi" w:cstheme="minorHAnsi"/>
                <w:color w:val="000000"/>
                <w:sz w:val="22"/>
                <w:szCs w:val="24"/>
              </w:rPr>
              <w:t>2 619</w:t>
            </w:r>
          </w:p>
        </w:tc>
        <w:tc>
          <w:tcPr>
            <w:tcW w:w="931" w:type="pct"/>
          </w:tcPr>
          <w:p w14:paraId="6DFE3931" w14:textId="77777777" w:rsidR="008626AF" w:rsidRPr="002D39D0" w:rsidRDefault="008626AF" w:rsidP="000F48C6">
            <w:pPr>
              <w:autoSpaceDE w:val="0"/>
              <w:autoSpaceDN w:val="0"/>
              <w:adjustRightInd w:val="0"/>
              <w:jc w:val="center"/>
              <w:rPr>
                <w:rFonts w:asciiTheme="minorHAnsi" w:hAnsiTheme="minorHAnsi" w:cstheme="minorHAnsi"/>
                <w:color w:val="000000"/>
                <w:sz w:val="22"/>
                <w:szCs w:val="24"/>
              </w:rPr>
            </w:pPr>
            <w:r w:rsidRPr="002D39D0">
              <w:rPr>
                <w:rFonts w:asciiTheme="minorHAnsi" w:hAnsiTheme="minorHAnsi" w:cstheme="minorHAnsi"/>
                <w:color w:val="000000"/>
                <w:sz w:val="22"/>
                <w:szCs w:val="24"/>
              </w:rPr>
              <w:t>554</w:t>
            </w:r>
          </w:p>
        </w:tc>
        <w:tc>
          <w:tcPr>
            <w:tcW w:w="881" w:type="pct"/>
          </w:tcPr>
          <w:p w14:paraId="4CE50FC6" w14:textId="77777777" w:rsidR="008626AF" w:rsidRPr="002D39D0" w:rsidRDefault="008626AF" w:rsidP="000F48C6">
            <w:pPr>
              <w:autoSpaceDE w:val="0"/>
              <w:autoSpaceDN w:val="0"/>
              <w:adjustRightInd w:val="0"/>
              <w:jc w:val="center"/>
              <w:rPr>
                <w:rFonts w:asciiTheme="minorHAnsi" w:hAnsiTheme="minorHAnsi" w:cstheme="minorHAnsi"/>
                <w:color w:val="000000"/>
                <w:sz w:val="22"/>
                <w:szCs w:val="24"/>
              </w:rPr>
            </w:pPr>
            <w:r w:rsidRPr="002D39D0">
              <w:rPr>
                <w:rFonts w:asciiTheme="minorHAnsi" w:hAnsiTheme="minorHAnsi" w:cstheme="minorHAnsi"/>
                <w:color w:val="000000"/>
                <w:sz w:val="22"/>
                <w:szCs w:val="24"/>
              </w:rPr>
              <w:t>826</w:t>
            </w:r>
          </w:p>
        </w:tc>
        <w:tc>
          <w:tcPr>
            <w:tcW w:w="735" w:type="pct"/>
          </w:tcPr>
          <w:p w14:paraId="0A9B0C41" w14:textId="77777777" w:rsidR="008626AF" w:rsidRPr="002D39D0" w:rsidRDefault="008626AF" w:rsidP="000F48C6">
            <w:pPr>
              <w:autoSpaceDE w:val="0"/>
              <w:autoSpaceDN w:val="0"/>
              <w:adjustRightInd w:val="0"/>
              <w:jc w:val="center"/>
              <w:rPr>
                <w:rFonts w:asciiTheme="minorHAnsi" w:hAnsiTheme="minorHAnsi" w:cstheme="minorHAnsi"/>
                <w:color w:val="000000"/>
                <w:sz w:val="22"/>
                <w:szCs w:val="24"/>
              </w:rPr>
            </w:pPr>
            <w:r w:rsidRPr="002D39D0">
              <w:rPr>
                <w:rFonts w:asciiTheme="minorHAnsi" w:hAnsiTheme="minorHAnsi" w:cstheme="minorHAnsi"/>
                <w:color w:val="000000"/>
                <w:sz w:val="22"/>
                <w:szCs w:val="24"/>
              </w:rPr>
              <w:t>553</w:t>
            </w:r>
          </w:p>
        </w:tc>
        <w:tc>
          <w:tcPr>
            <w:tcW w:w="740" w:type="pct"/>
          </w:tcPr>
          <w:p w14:paraId="7931CD9C" w14:textId="77777777" w:rsidR="008626AF" w:rsidRPr="002D39D0" w:rsidRDefault="008626AF" w:rsidP="000F48C6">
            <w:pPr>
              <w:autoSpaceDE w:val="0"/>
              <w:autoSpaceDN w:val="0"/>
              <w:adjustRightInd w:val="0"/>
              <w:jc w:val="center"/>
              <w:rPr>
                <w:rFonts w:asciiTheme="minorHAnsi" w:hAnsiTheme="minorHAnsi" w:cstheme="minorHAnsi"/>
                <w:color w:val="000000"/>
                <w:sz w:val="22"/>
                <w:szCs w:val="24"/>
              </w:rPr>
            </w:pPr>
            <w:r w:rsidRPr="002D39D0">
              <w:rPr>
                <w:rFonts w:asciiTheme="minorHAnsi" w:hAnsiTheme="minorHAnsi" w:cstheme="minorHAnsi"/>
                <w:color w:val="000000"/>
                <w:sz w:val="22"/>
                <w:szCs w:val="24"/>
              </w:rPr>
              <w:t>4 552</w:t>
            </w:r>
          </w:p>
        </w:tc>
      </w:tr>
    </w:tbl>
    <w:p w14:paraId="2294F94A" w14:textId="77777777" w:rsidR="0078602B" w:rsidRDefault="0078602B" w:rsidP="0078602B">
      <w:pPr>
        <w:spacing w:before="240"/>
        <w:rPr>
          <w:rStyle w:val="Strong"/>
          <w:rFonts w:cstheme="minorHAnsi"/>
          <w:i w:val="0"/>
        </w:rPr>
        <w:sectPr w:rsidR="0078602B" w:rsidSect="00813771">
          <w:pgSz w:w="15840" w:h="12240" w:orient="landscape"/>
          <w:pgMar w:top="680" w:right="680" w:bottom="680" w:left="680" w:header="567" w:footer="567" w:gutter="0"/>
          <w:cols w:space="708"/>
          <w:titlePg/>
          <w:docGrid w:linePitch="360"/>
        </w:sectPr>
      </w:pPr>
    </w:p>
    <w:p w14:paraId="3D6E743E" w14:textId="63C89F52" w:rsidR="008626AF" w:rsidRPr="002D39D0" w:rsidRDefault="008626AF" w:rsidP="007C1E3E">
      <w:pPr>
        <w:spacing w:before="120" w:after="120"/>
        <w:rPr>
          <w:rStyle w:val="Strong"/>
          <w:rFonts w:cstheme="minorHAnsi"/>
          <w:i w:val="0"/>
        </w:rPr>
      </w:pPr>
      <w:r w:rsidRPr="00302F5B">
        <w:rPr>
          <w:rStyle w:val="Strong"/>
          <w:rFonts w:cstheme="minorHAnsi"/>
          <w:i w:val="0"/>
        </w:rPr>
        <w:lastRenderedPageBreak/>
        <w:t>Sondage sur la dotation et l’impartialité politique (2018) – Principales constatations</w:t>
      </w:r>
    </w:p>
    <w:p w14:paraId="516E4657" w14:textId="42CE19B7" w:rsidR="008626AF" w:rsidRPr="0078602B" w:rsidRDefault="008626AF">
      <w:pPr>
        <w:pStyle w:val="ListParagraph"/>
        <w:numPr>
          <w:ilvl w:val="0"/>
          <w:numId w:val="13"/>
        </w:numPr>
        <w:spacing w:after="0"/>
        <w:jc w:val="both"/>
        <w:rPr>
          <w:rFonts w:asciiTheme="minorHAnsi" w:hAnsiTheme="minorHAnsi" w:cstheme="minorHAnsi"/>
          <w:sz w:val="22"/>
        </w:rPr>
      </w:pPr>
      <w:r w:rsidRPr="002D39D0">
        <w:rPr>
          <w:rFonts w:asciiTheme="minorHAnsi" w:hAnsiTheme="minorHAnsi" w:cstheme="minorHAnsi"/>
          <w:sz w:val="22"/>
        </w:rPr>
        <w:t>58,1</w:t>
      </w:r>
      <w:r w:rsidR="00EA5B54">
        <w:rPr>
          <w:rFonts w:asciiTheme="minorHAnsi" w:hAnsiTheme="minorHAnsi" w:cstheme="minorHAnsi"/>
          <w:sz w:val="22"/>
        </w:rPr>
        <w:t xml:space="preserve"> </w:t>
      </w:r>
      <w:r w:rsidRPr="002D39D0">
        <w:rPr>
          <w:rFonts w:asciiTheme="minorHAnsi" w:hAnsiTheme="minorHAnsi" w:cstheme="minorHAnsi"/>
          <w:sz w:val="22"/>
        </w:rPr>
        <w:t xml:space="preserve">% des </w:t>
      </w:r>
      <w:r w:rsidRPr="006C61AE">
        <w:rPr>
          <w:rStyle w:val="Strong"/>
          <w:i w:val="0"/>
        </w:rPr>
        <w:t>employés</w:t>
      </w:r>
      <w:r w:rsidRPr="0078602B">
        <w:rPr>
          <w:rFonts w:asciiTheme="minorHAnsi" w:hAnsiTheme="minorHAnsi" w:cstheme="minorHAnsi"/>
          <w:sz w:val="22"/>
        </w:rPr>
        <w:t xml:space="preserve"> estiment que les personnes embauchées peuvent effectuer le travail, comparativement à 52,3</w:t>
      </w:r>
      <w:r w:rsidR="00EA5B54">
        <w:rPr>
          <w:rFonts w:asciiTheme="minorHAnsi" w:hAnsiTheme="minorHAnsi" w:cstheme="minorHAnsi"/>
          <w:sz w:val="22"/>
        </w:rPr>
        <w:t xml:space="preserve"> </w:t>
      </w:r>
      <w:r w:rsidRPr="0078602B">
        <w:rPr>
          <w:rFonts w:asciiTheme="minorHAnsi" w:hAnsiTheme="minorHAnsi" w:cstheme="minorHAnsi"/>
          <w:sz w:val="22"/>
        </w:rPr>
        <w:t>% dans les organisations de même taille et à 53,8</w:t>
      </w:r>
      <w:r w:rsidR="00EA5B54">
        <w:rPr>
          <w:rFonts w:asciiTheme="minorHAnsi" w:hAnsiTheme="minorHAnsi" w:cstheme="minorHAnsi"/>
          <w:sz w:val="22"/>
        </w:rPr>
        <w:t xml:space="preserve"> </w:t>
      </w:r>
      <w:r w:rsidRPr="0078602B">
        <w:rPr>
          <w:rFonts w:asciiTheme="minorHAnsi" w:hAnsiTheme="minorHAnsi" w:cstheme="minorHAnsi"/>
          <w:sz w:val="22"/>
        </w:rPr>
        <w:t>% dans la fonction publique fédérale.</w:t>
      </w:r>
    </w:p>
    <w:p w14:paraId="0E8D4CF4" w14:textId="504B5075" w:rsidR="008626AF" w:rsidRPr="0078602B" w:rsidRDefault="008626AF" w:rsidP="007C1E3E">
      <w:pPr>
        <w:pStyle w:val="ListParagraph"/>
        <w:numPr>
          <w:ilvl w:val="0"/>
          <w:numId w:val="13"/>
        </w:numPr>
        <w:spacing w:after="0"/>
        <w:jc w:val="both"/>
        <w:rPr>
          <w:rFonts w:asciiTheme="minorHAnsi" w:hAnsiTheme="minorHAnsi" w:cstheme="minorHAnsi"/>
          <w:sz w:val="22"/>
        </w:rPr>
      </w:pPr>
      <w:r w:rsidRPr="0078602B">
        <w:rPr>
          <w:rFonts w:asciiTheme="minorHAnsi" w:hAnsiTheme="minorHAnsi" w:cstheme="minorHAnsi"/>
          <w:sz w:val="22"/>
        </w:rPr>
        <w:t>49,6</w:t>
      </w:r>
      <w:r w:rsidR="00EA5B54">
        <w:rPr>
          <w:rFonts w:asciiTheme="minorHAnsi" w:hAnsiTheme="minorHAnsi" w:cstheme="minorHAnsi"/>
          <w:sz w:val="22"/>
        </w:rPr>
        <w:t xml:space="preserve"> </w:t>
      </w:r>
      <w:r w:rsidRPr="0078602B">
        <w:rPr>
          <w:rFonts w:asciiTheme="minorHAnsi" w:hAnsiTheme="minorHAnsi" w:cstheme="minorHAnsi"/>
          <w:sz w:val="22"/>
        </w:rPr>
        <w:t xml:space="preserve">% des </w:t>
      </w:r>
      <w:r w:rsidRPr="006C61AE">
        <w:rPr>
          <w:rStyle w:val="Strong"/>
          <w:i w:val="0"/>
        </w:rPr>
        <w:t>gestionnaires</w:t>
      </w:r>
      <w:r w:rsidRPr="0078602B">
        <w:rPr>
          <w:rFonts w:asciiTheme="minorHAnsi" w:hAnsiTheme="minorHAnsi" w:cstheme="minorHAnsi"/>
          <w:sz w:val="22"/>
        </w:rPr>
        <w:t xml:space="preserve"> estiment que la Nouvelle orientation en dotation a amélioré la façon d'embaucher et de nommer les candidats au sein de leur organisation, comparativement à 54,4</w:t>
      </w:r>
      <w:r w:rsidR="00EA5B54">
        <w:rPr>
          <w:rFonts w:asciiTheme="minorHAnsi" w:hAnsiTheme="minorHAnsi" w:cstheme="minorHAnsi"/>
          <w:sz w:val="22"/>
        </w:rPr>
        <w:t xml:space="preserve"> </w:t>
      </w:r>
      <w:r w:rsidRPr="0078602B">
        <w:rPr>
          <w:rFonts w:asciiTheme="minorHAnsi" w:hAnsiTheme="minorHAnsi" w:cstheme="minorHAnsi"/>
          <w:sz w:val="22"/>
        </w:rPr>
        <w:t>% dans les organisations de même taille et à 56,1</w:t>
      </w:r>
      <w:r w:rsidR="00EA5B54">
        <w:rPr>
          <w:rFonts w:asciiTheme="minorHAnsi" w:hAnsiTheme="minorHAnsi" w:cstheme="minorHAnsi"/>
          <w:sz w:val="22"/>
        </w:rPr>
        <w:t xml:space="preserve"> </w:t>
      </w:r>
      <w:r w:rsidRPr="0078602B">
        <w:rPr>
          <w:rFonts w:asciiTheme="minorHAnsi" w:hAnsiTheme="minorHAnsi" w:cstheme="minorHAnsi"/>
          <w:sz w:val="22"/>
        </w:rPr>
        <w:t>% dans la fonction publique fédérale.</w:t>
      </w:r>
    </w:p>
    <w:p w14:paraId="5DCDDBD8" w14:textId="223F3A44" w:rsidR="008626AF" w:rsidRPr="002D39D0" w:rsidRDefault="008626AF" w:rsidP="008626AF">
      <w:pPr>
        <w:pStyle w:val="ListParagraph"/>
        <w:numPr>
          <w:ilvl w:val="0"/>
          <w:numId w:val="13"/>
        </w:numPr>
        <w:spacing w:before="100" w:beforeAutospacing="1" w:after="100" w:afterAutospacing="1"/>
        <w:jc w:val="both"/>
      </w:pPr>
      <w:r w:rsidRPr="0078602B">
        <w:rPr>
          <w:rFonts w:asciiTheme="minorHAnsi" w:hAnsiTheme="minorHAnsi" w:cstheme="minorHAnsi"/>
          <w:sz w:val="22"/>
        </w:rPr>
        <w:t>91</w:t>
      </w:r>
      <w:r w:rsidR="00EA5B54">
        <w:rPr>
          <w:rFonts w:asciiTheme="minorHAnsi" w:hAnsiTheme="minorHAnsi" w:cstheme="minorHAnsi"/>
          <w:sz w:val="22"/>
        </w:rPr>
        <w:t>,</w:t>
      </w:r>
      <w:r w:rsidRPr="0078602B">
        <w:rPr>
          <w:rFonts w:asciiTheme="minorHAnsi" w:hAnsiTheme="minorHAnsi" w:cstheme="minorHAnsi"/>
          <w:sz w:val="22"/>
        </w:rPr>
        <w:t>7</w:t>
      </w:r>
      <w:r w:rsidR="00EA5B54">
        <w:rPr>
          <w:rFonts w:asciiTheme="minorHAnsi" w:hAnsiTheme="minorHAnsi" w:cstheme="minorHAnsi"/>
          <w:sz w:val="22"/>
        </w:rPr>
        <w:t xml:space="preserve"> </w:t>
      </w:r>
      <w:r w:rsidRPr="0078602B">
        <w:rPr>
          <w:rFonts w:asciiTheme="minorHAnsi" w:hAnsiTheme="minorHAnsi" w:cstheme="minorHAnsi"/>
          <w:sz w:val="22"/>
        </w:rPr>
        <w:t xml:space="preserve">% des </w:t>
      </w:r>
      <w:r w:rsidRPr="006C61AE">
        <w:rPr>
          <w:rStyle w:val="Strong"/>
          <w:i w:val="0"/>
        </w:rPr>
        <w:t xml:space="preserve">gestionnaires </w:t>
      </w:r>
      <w:r w:rsidRPr="0078602B">
        <w:rPr>
          <w:rFonts w:asciiTheme="minorHAnsi" w:hAnsiTheme="minorHAnsi" w:cstheme="minorHAnsi"/>
          <w:sz w:val="22"/>
        </w:rPr>
        <w:t>estiment</w:t>
      </w:r>
      <w:r w:rsidRPr="002D39D0">
        <w:rPr>
          <w:rFonts w:asciiTheme="minorHAnsi" w:hAnsiTheme="minorHAnsi" w:cstheme="minorHAnsi"/>
          <w:sz w:val="22"/>
        </w:rPr>
        <w:t xml:space="preserve"> qu'au sein de leur organisation, le processus administratif visant à pourvoir un poste est </w:t>
      </w:r>
      <w:r w:rsidRPr="006C61AE">
        <w:rPr>
          <w:rStyle w:val="Strong"/>
          <w:i w:val="0"/>
        </w:rPr>
        <w:t>lourd,</w:t>
      </w:r>
      <w:r w:rsidRPr="007C1E3E">
        <w:rPr>
          <w:rFonts w:asciiTheme="minorHAnsi" w:hAnsiTheme="minorHAnsi" w:cstheme="minorHAnsi"/>
          <w:i/>
          <w:sz w:val="22"/>
        </w:rPr>
        <w:t xml:space="preserve"> </w:t>
      </w:r>
      <w:r w:rsidRPr="0078602B">
        <w:rPr>
          <w:rFonts w:asciiTheme="minorHAnsi" w:hAnsiTheme="minorHAnsi" w:cstheme="minorHAnsi"/>
          <w:sz w:val="22"/>
        </w:rPr>
        <w:t>comparativement à</w:t>
      </w:r>
      <w:r w:rsidRPr="002D39D0">
        <w:rPr>
          <w:rFonts w:asciiTheme="minorHAnsi" w:hAnsiTheme="minorHAnsi" w:cstheme="minorHAnsi"/>
          <w:sz w:val="22"/>
        </w:rPr>
        <w:t xml:space="preserve"> 88,6</w:t>
      </w:r>
      <w:r w:rsidR="00EA5B54">
        <w:rPr>
          <w:rFonts w:asciiTheme="minorHAnsi" w:hAnsiTheme="minorHAnsi" w:cstheme="minorHAnsi"/>
          <w:sz w:val="22"/>
        </w:rPr>
        <w:t xml:space="preserve"> </w:t>
      </w:r>
      <w:r w:rsidRPr="002D39D0">
        <w:rPr>
          <w:rFonts w:asciiTheme="minorHAnsi" w:hAnsiTheme="minorHAnsi" w:cstheme="minorHAnsi"/>
          <w:sz w:val="22"/>
        </w:rPr>
        <w:t>% dans les organisations de même taille et à 87,9</w:t>
      </w:r>
      <w:r w:rsidR="00EA5B54">
        <w:rPr>
          <w:rFonts w:asciiTheme="minorHAnsi" w:hAnsiTheme="minorHAnsi" w:cstheme="minorHAnsi"/>
          <w:sz w:val="22"/>
        </w:rPr>
        <w:t xml:space="preserve"> </w:t>
      </w:r>
      <w:r w:rsidRPr="002D39D0">
        <w:rPr>
          <w:rFonts w:asciiTheme="minorHAnsi" w:hAnsiTheme="minorHAnsi" w:cstheme="minorHAnsi"/>
          <w:sz w:val="22"/>
        </w:rPr>
        <w:t>% dans la fonction publique fédérale.</w:t>
      </w:r>
      <w:r w:rsidRPr="002D39D0">
        <w:t xml:space="preserve"> </w:t>
      </w:r>
    </w:p>
    <w:p w14:paraId="3D77D7F1" w14:textId="77777777" w:rsidR="008626AF" w:rsidRPr="002D39D0" w:rsidRDefault="008626AF" w:rsidP="00E56E7F">
      <w:pPr>
        <w:sectPr w:rsidR="008626AF" w:rsidRPr="002D39D0" w:rsidSect="007C1E3E">
          <w:pgSz w:w="12240" w:h="15840"/>
          <w:pgMar w:top="680" w:right="680" w:bottom="680" w:left="680" w:header="567" w:footer="567" w:gutter="0"/>
          <w:cols w:space="708"/>
          <w:titlePg/>
          <w:docGrid w:linePitch="360"/>
        </w:sectPr>
      </w:pPr>
    </w:p>
    <w:p w14:paraId="39A416A9" w14:textId="77777777" w:rsidR="00E45026" w:rsidRPr="002D39D0" w:rsidRDefault="00E45026" w:rsidP="00E45026">
      <w:pPr>
        <w:pStyle w:val="Heading1"/>
        <w:spacing w:before="120" w:after="120"/>
        <w:rPr>
          <w:sz w:val="40"/>
        </w:rPr>
      </w:pPr>
      <w:r w:rsidRPr="002D39D0">
        <w:rPr>
          <w:sz w:val="40"/>
        </w:rPr>
        <w:lastRenderedPageBreak/>
        <w:t>Embauche d’étudiants</w:t>
      </w:r>
    </w:p>
    <w:p w14:paraId="670630A0" w14:textId="77777777" w:rsidR="0033375B" w:rsidRPr="002D39D0" w:rsidRDefault="00E56E7F" w:rsidP="0033375B">
      <w:pPr>
        <w:pStyle w:val="Footer"/>
        <w:keepNext/>
        <w:jc w:val="center"/>
      </w:pPr>
      <w:r w:rsidRPr="00302F5B">
        <w:rPr>
          <w:noProof/>
          <w:lang w:val="en-CA" w:eastAsia="en-CA"/>
        </w:rPr>
        <w:drawing>
          <wp:inline distT="0" distB="0" distL="0" distR="0" wp14:anchorId="44014339" wp14:editId="3EE9100D">
            <wp:extent cx="5648400" cy="3049200"/>
            <wp:effectExtent l="0" t="0" r="9525" b="18415"/>
            <wp:docPr id="17" name="Chart 17" descr="Embauche d'étudiants de 2014 à 2019&#10;"/>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73846528" w14:textId="77777777" w:rsidR="0033375B" w:rsidRPr="002D39D0" w:rsidRDefault="0033375B" w:rsidP="007C1E3E">
      <w:pPr>
        <w:pStyle w:val="Caption"/>
        <w:spacing w:after="0"/>
        <w:jc w:val="center"/>
        <w:rPr>
          <w:rFonts w:asciiTheme="minorHAnsi" w:hAnsiTheme="minorHAnsi" w:cstheme="minorHAnsi"/>
          <w:i w:val="0"/>
          <w:color w:val="auto"/>
        </w:rPr>
      </w:pPr>
      <w:r w:rsidRPr="002D39D0">
        <w:rPr>
          <w:rFonts w:asciiTheme="minorHAnsi" w:hAnsiTheme="minorHAnsi" w:cstheme="minorHAnsi"/>
          <w:i w:val="0"/>
          <w:color w:val="auto"/>
        </w:rPr>
        <w:t xml:space="preserve">Figure </w:t>
      </w:r>
      <w:r w:rsidRPr="006C61AE">
        <w:rPr>
          <w:rFonts w:asciiTheme="minorHAnsi" w:hAnsiTheme="minorHAnsi" w:cstheme="minorHAnsi"/>
          <w:i w:val="0"/>
          <w:color w:val="auto"/>
        </w:rPr>
        <w:fldChar w:fldCharType="begin"/>
      </w:r>
      <w:r w:rsidRPr="002D39D0">
        <w:rPr>
          <w:rFonts w:asciiTheme="minorHAnsi" w:hAnsiTheme="minorHAnsi" w:cstheme="minorHAnsi"/>
          <w:i w:val="0"/>
          <w:color w:val="auto"/>
        </w:rPr>
        <w:instrText xml:space="preserve"> SEQ Figure \* ARABIC </w:instrText>
      </w:r>
      <w:r w:rsidRPr="006C61AE">
        <w:rPr>
          <w:rFonts w:asciiTheme="minorHAnsi" w:hAnsiTheme="minorHAnsi" w:cstheme="minorHAnsi"/>
          <w:i w:val="0"/>
          <w:color w:val="auto"/>
        </w:rPr>
        <w:fldChar w:fldCharType="separate"/>
      </w:r>
      <w:r w:rsidR="00DE5258" w:rsidRPr="002D39D0">
        <w:rPr>
          <w:rFonts w:asciiTheme="minorHAnsi" w:hAnsiTheme="minorHAnsi" w:cstheme="minorHAnsi"/>
          <w:i w:val="0"/>
          <w:noProof/>
          <w:color w:val="auto"/>
        </w:rPr>
        <w:t>10</w:t>
      </w:r>
      <w:r w:rsidRPr="006C61AE">
        <w:rPr>
          <w:rFonts w:asciiTheme="minorHAnsi" w:hAnsiTheme="minorHAnsi" w:cstheme="minorHAnsi"/>
          <w:i w:val="0"/>
          <w:color w:val="auto"/>
        </w:rPr>
        <w:fldChar w:fldCharType="end"/>
      </w:r>
      <w:r w:rsidRPr="002D39D0">
        <w:rPr>
          <w:rFonts w:asciiTheme="minorHAnsi" w:hAnsiTheme="minorHAnsi" w:cstheme="minorHAnsi"/>
          <w:i w:val="0"/>
          <w:color w:val="auto"/>
        </w:rPr>
        <w:t xml:space="preserve"> - Embauche d'étudiants</w:t>
      </w:r>
    </w:p>
    <w:p w14:paraId="3929931D" w14:textId="1367238A" w:rsidR="0033375B" w:rsidRPr="002D39D0" w:rsidRDefault="0033375B" w:rsidP="007C1E3E">
      <w:pPr>
        <w:pStyle w:val="Caption"/>
        <w:keepNext/>
        <w:spacing w:before="240" w:after="0"/>
        <w:jc w:val="center"/>
        <w:rPr>
          <w:rFonts w:asciiTheme="minorHAnsi" w:hAnsiTheme="minorHAnsi" w:cstheme="minorHAnsi"/>
          <w:i w:val="0"/>
          <w:color w:val="auto"/>
        </w:rPr>
      </w:pPr>
      <w:r w:rsidRPr="002D39D0">
        <w:rPr>
          <w:rFonts w:asciiTheme="minorHAnsi" w:hAnsiTheme="minorHAnsi" w:cstheme="minorHAnsi"/>
          <w:i w:val="0"/>
          <w:color w:val="auto"/>
        </w:rPr>
        <w:t xml:space="preserve">Table </w:t>
      </w:r>
      <w:r w:rsidRPr="006C61AE">
        <w:rPr>
          <w:rFonts w:asciiTheme="minorHAnsi" w:hAnsiTheme="minorHAnsi" w:cstheme="minorHAnsi"/>
          <w:i w:val="0"/>
          <w:color w:val="auto"/>
        </w:rPr>
        <w:fldChar w:fldCharType="begin"/>
      </w:r>
      <w:r w:rsidRPr="002D39D0">
        <w:rPr>
          <w:rFonts w:asciiTheme="minorHAnsi" w:hAnsiTheme="minorHAnsi" w:cstheme="minorHAnsi"/>
          <w:i w:val="0"/>
          <w:color w:val="auto"/>
        </w:rPr>
        <w:instrText xml:space="preserve"> SEQ Table \* ARABIC </w:instrText>
      </w:r>
      <w:r w:rsidRPr="006C61AE">
        <w:rPr>
          <w:rFonts w:asciiTheme="minorHAnsi" w:hAnsiTheme="minorHAnsi" w:cstheme="minorHAnsi"/>
          <w:i w:val="0"/>
          <w:color w:val="auto"/>
        </w:rPr>
        <w:fldChar w:fldCharType="separate"/>
      </w:r>
      <w:r w:rsidR="00C42F1B" w:rsidRPr="002D39D0">
        <w:rPr>
          <w:rFonts w:asciiTheme="minorHAnsi" w:hAnsiTheme="minorHAnsi" w:cstheme="minorHAnsi"/>
          <w:i w:val="0"/>
          <w:noProof/>
          <w:color w:val="auto"/>
        </w:rPr>
        <w:t>15</w:t>
      </w:r>
      <w:r w:rsidRPr="006C61AE">
        <w:rPr>
          <w:rFonts w:asciiTheme="minorHAnsi" w:hAnsiTheme="minorHAnsi" w:cstheme="minorHAnsi"/>
          <w:i w:val="0"/>
          <w:color w:val="auto"/>
        </w:rPr>
        <w:fldChar w:fldCharType="end"/>
      </w:r>
      <w:r w:rsidRPr="002D39D0">
        <w:rPr>
          <w:rFonts w:asciiTheme="minorHAnsi" w:hAnsiTheme="minorHAnsi" w:cstheme="minorHAnsi"/>
          <w:i w:val="0"/>
          <w:color w:val="auto"/>
        </w:rPr>
        <w:t xml:space="preserve"> - Activités d’embauche d’étudiants selon le programme de recrutement et l’exercice financier</w:t>
      </w:r>
    </w:p>
    <w:tbl>
      <w:tblPr>
        <w:tblStyle w:val="TableGrid"/>
        <w:tblW w:w="5000" w:type="pct"/>
        <w:jc w:val="center"/>
        <w:tblLook w:val="0020" w:firstRow="1" w:lastRow="0" w:firstColumn="0" w:lastColumn="0" w:noHBand="0" w:noVBand="0"/>
        <w:tblDescription w:val="Embauches dans le cadre de programmes d’étudiants de 2014 à 2019"/>
      </w:tblPr>
      <w:tblGrid>
        <w:gridCol w:w="2121"/>
        <w:gridCol w:w="3545"/>
        <w:gridCol w:w="3968"/>
        <w:gridCol w:w="3120"/>
        <w:gridCol w:w="1716"/>
      </w:tblGrid>
      <w:tr w:rsidR="00C435E6" w:rsidRPr="004721CE" w14:paraId="5BC97982" w14:textId="77777777" w:rsidTr="00222D78">
        <w:trPr>
          <w:cantSplit/>
          <w:tblHeader/>
          <w:jc w:val="center"/>
        </w:trPr>
        <w:tc>
          <w:tcPr>
            <w:tcW w:w="733" w:type="pct"/>
          </w:tcPr>
          <w:p w14:paraId="0AFD8273" w14:textId="77777777" w:rsidR="0033375B" w:rsidRPr="004721CE" w:rsidRDefault="0033375B" w:rsidP="00C435E6">
            <w:pPr>
              <w:pStyle w:val="TableTitle"/>
              <w:rPr>
                <w:rFonts w:cs="Segoe UI Semibold"/>
                <w:b w:val="0"/>
                <w:szCs w:val="22"/>
              </w:rPr>
            </w:pPr>
            <w:r w:rsidRPr="004721CE">
              <w:rPr>
                <w:rFonts w:cs="Segoe UI Semibold"/>
                <w:b w:val="0"/>
                <w:szCs w:val="22"/>
              </w:rPr>
              <w:t>Exercice financier</w:t>
            </w:r>
          </w:p>
        </w:tc>
        <w:tc>
          <w:tcPr>
            <w:tcW w:w="1225" w:type="pct"/>
          </w:tcPr>
          <w:p w14:paraId="3A82311F" w14:textId="77777777" w:rsidR="0033375B" w:rsidRPr="004721CE" w:rsidRDefault="0033375B" w:rsidP="00C435E6">
            <w:pPr>
              <w:pStyle w:val="TableTitle"/>
              <w:rPr>
                <w:rFonts w:cs="Segoe UI Semibold"/>
                <w:b w:val="0"/>
                <w:szCs w:val="22"/>
              </w:rPr>
            </w:pPr>
            <w:r w:rsidRPr="004721CE">
              <w:rPr>
                <w:rFonts w:cs="Segoe UI Semibold"/>
                <w:b w:val="0"/>
                <w:szCs w:val="22"/>
              </w:rPr>
              <w:t xml:space="preserve">Programme fédéral d’expérience de travail étudiant </w:t>
            </w:r>
          </w:p>
        </w:tc>
        <w:tc>
          <w:tcPr>
            <w:tcW w:w="1371" w:type="pct"/>
          </w:tcPr>
          <w:p w14:paraId="2FA346B5" w14:textId="77777777" w:rsidR="0033375B" w:rsidRPr="004721CE" w:rsidRDefault="0033375B" w:rsidP="00C435E6">
            <w:pPr>
              <w:pStyle w:val="TableTitle"/>
              <w:rPr>
                <w:rFonts w:cs="Segoe UI Semibold"/>
                <w:b w:val="0"/>
                <w:szCs w:val="22"/>
              </w:rPr>
            </w:pPr>
            <w:r w:rsidRPr="004721CE">
              <w:rPr>
                <w:rFonts w:cs="Segoe UI Semibold"/>
                <w:b w:val="0"/>
                <w:szCs w:val="22"/>
              </w:rPr>
              <w:t xml:space="preserve">Programme postsecondaire d'enseignement coopératif/de stages </w:t>
            </w:r>
          </w:p>
        </w:tc>
        <w:tc>
          <w:tcPr>
            <w:tcW w:w="1078" w:type="pct"/>
          </w:tcPr>
          <w:p w14:paraId="25DC5C6E" w14:textId="77777777" w:rsidR="0033375B" w:rsidRPr="004721CE" w:rsidRDefault="0033375B" w:rsidP="00C435E6">
            <w:pPr>
              <w:pStyle w:val="TableTitle"/>
              <w:rPr>
                <w:rFonts w:cs="Segoe UI Semibold"/>
                <w:b w:val="0"/>
                <w:szCs w:val="22"/>
              </w:rPr>
            </w:pPr>
            <w:r w:rsidRPr="004721CE">
              <w:rPr>
                <w:rFonts w:cs="Segoe UI Semibold"/>
                <w:b w:val="0"/>
                <w:szCs w:val="22"/>
              </w:rPr>
              <w:t>Programme des adjoints de recherche</w:t>
            </w:r>
          </w:p>
        </w:tc>
        <w:tc>
          <w:tcPr>
            <w:tcW w:w="593" w:type="pct"/>
          </w:tcPr>
          <w:p w14:paraId="11D2B72A" w14:textId="77777777" w:rsidR="0033375B" w:rsidRPr="004721CE" w:rsidRDefault="0033375B" w:rsidP="00C435E6">
            <w:pPr>
              <w:pStyle w:val="TableTitle"/>
              <w:rPr>
                <w:rFonts w:cs="Segoe UI Semibold"/>
                <w:b w:val="0"/>
                <w:szCs w:val="22"/>
              </w:rPr>
            </w:pPr>
            <w:r w:rsidRPr="004721CE">
              <w:rPr>
                <w:rFonts w:cs="Segoe UI Semibold"/>
                <w:b w:val="0"/>
                <w:szCs w:val="22"/>
              </w:rPr>
              <w:t>Total</w:t>
            </w:r>
          </w:p>
        </w:tc>
      </w:tr>
      <w:tr w:rsidR="00C435E6" w:rsidRPr="002D39D0" w14:paraId="72D66B24" w14:textId="77777777" w:rsidTr="00222D78">
        <w:trPr>
          <w:cantSplit/>
          <w:tblHeader/>
          <w:jc w:val="center"/>
        </w:trPr>
        <w:tc>
          <w:tcPr>
            <w:tcW w:w="733" w:type="pct"/>
          </w:tcPr>
          <w:p w14:paraId="5B47535B" w14:textId="77777777" w:rsidR="0033375B" w:rsidRPr="002D39D0" w:rsidRDefault="0033375B" w:rsidP="000F48C6">
            <w:pPr>
              <w:autoSpaceDE w:val="0"/>
              <w:autoSpaceDN w:val="0"/>
              <w:adjustRightInd w:val="0"/>
              <w:rPr>
                <w:rFonts w:asciiTheme="minorHAnsi" w:hAnsiTheme="minorHAnsi" w:cstheme="minorHAnsi"/>
                <w:color w:val="000000"/>
                <w:sz w:val="22"/>
                <w:szCs w:val="24"/>
              </w:rPr>
            </w:pPr>
            <w:r w:rsidRPr="002D39D0">
              <w:rPr>
                <w:rFonts w:asciiTheme="minorHAnsi" w:hAnsiTheme="minorHAnsi" w:cstheme="minorHAnsi"/>
                <w:color w:val="000000"/>
                <w:sz w:val="22"/>
                <w:szCs w:val="24"/>
              </w:rPr>
              <w:t>2014 à 2015</w:t>
            </w:r>
          </w:p>
        </w:tc>
        <w:tc>
          <w:tcPr>
            <w:tcW w:w="1225" w:type="pct"/>
          </w:tcPr>
          <w:p w14:paraId="5A55AFCF" w14:textId="77777777" w:rsidR="0033375B" w:rsidRPr="002D39D0" w:rsidRDefault="0033375B" w:rsidP="000F48C6">
            <w:pPr>
              <w:autoSpaceDE w:val="0"/>
              <w:autoSpaceDN w:val="0"/>
              <w:adjustRightInd w:val="0"/>
              <w:jc w:val="center"/>
              <w:rPr>
                <w:rFonts w:asciiTheme="minorHAnsi" w:hAnsiTheme="minorHAnsi" w:cstheme="minorHAnsi"/>
                <w:color w:val="000000"/>
                <w:sz w:val="22"/>
                <w:szCs w:val="24"/>
              </w:rPr>
            </w:pPr>
            <w:r w:rsidRPr="002D39D0">
              <w:rPr>
                <w:rFonts w:asciiTheme="minorHAnsi" w:hAnsiTheme="minorHAnsi" w:cstheme="minorHAnsi"/>
                <w:color w:val="000000"/>
                <w:sz w:val="22"/>
                <w:szCs w:val="24"/>
              </w:rPr>
              <w:t>178</w:t>
            </w:r>
          </w:p>
        </w:tc>
        <w:tc>
          <w:tcPr>
            <w:tcW w:w="1371" w:type="pct"/>
          </w:tcPr>
          <w:p w14:paraId="24468BAA" w14:textId="77777777" w:rsidR="0033375B" w:rsidRPr="002D39D0" w:rsidRDefault="0033375B" w:rsidP="000F48C6">
            <w:pPr>
              <w:autoSpaceDE w:val="0"/>
              <w:autoSpaceDN w:val="0"/>
              <w:adjustRightInd w:val="0"/>
              <w:jc w:val="center"/>
              <w:rPr>
                <w:rFonts w:asciiTheme="minorHAnsi" w:hAnsiTheme="minorHAnsi" w:cstheme="minorHAnsi"/>
                <w:color w:val="000000"/>
                <w:sz w:val="22"/>
                <w:szCs w:val="24"/>
              </w:rPr>
            </w:pPr>
            <w:r w:rsidRPr="002D39D0">
              <w:rPr>
                <w:rFonts w:asciiTheme="minorHAnsi" w:hAnsiTheme="minorHAnsi" w:cstheme="minorHAnsi"/>
                <w:color w:val="000000"/>
                <w:sz w:val="22"/>
                <w:szCs w:val="24"/>
              </w:rPr>
              <w:t>216</w:t>
            </w:r>
          </w:p>
        </w:tc>
        <w:tc>
          <w:tcPr>
            <w:tcW w:w="1078" w:type="pct"/>
          </w:tcPr>
          <w:p w14:paraId="4168CF13" w14:textId="77777777" w:rsidR="0033375B" w:rsidRPr="002D39D0" w:rsidRDefault="0033375B" w:rsidP="000F48C6">
            <w:pPr>
              <w:autoSpaceDE w:val="0"/>
              <w:autoSpaceDN w:val="0"/>
              <w:adjustRightInd w:val="0"/>
              <w:jc w:val="center"/>
              <w:rPr>
                <w:rFonts w:asciiTheme="minorHAnsi" w:hAnsiTheme="minorHAnsi" w:cstheme="minorHAnsi"/>
                <w:color w:val="000000"/>
                <w:sz w:val="22"/>
                <w:szCs w:val="24"/>
              </w:rPr>
            </w:pPr>
            <w:r w:rsidRPr="002D39D0">
              <w:rPr>
                <w:rFonts w:asciiTheme="minorHAnsi" w:hAnsiTheme="minorHAnsi" w:cstheme="minorHAnsi"/>
                <w:color w:val="000000"/>
                <w:sz w:val="22"/>
                <w:szCs w:val="24"/>
              </w:rPr>
              <w:t>0</w:t>
            </w:r>
          </w:p>
        </w:tc>
        <w:tc>
          <w:tcPr>
            <w:tcW w:w="593" w:type="pct"/>
          </w:tcPr>
          <w:p w14:paraId="6CDCEF54" w14:textId="77777777" w:rsidR="0033375B" w:rsidRPr="002D39D0" w:rsidRDefault="0033375B" w:rsidP="000F48C6">
            <w:pPr>
              <w:autoSpaceDE w:val="0"/>
              <w:autoSpaceDN w:val="0"/>
              <w:adjustRightInd w:val="0"/>
              <w:jc w:val="center"/>
              <w:rPr>
                <w:rFonts w:asciiTheme="minorHAnsi" w:hAnsiTheme="minorHAnsi" w:cstheme="minorHAnsi"/>
                <w:color w:val="000000"/>
                <w:sz w:val="22"/>
                <w:szCs w:val="24"/>
              </w:rPr>
            </w:pPr>
            <w:r w:rsidRPr="002D39D0">
              <w:rPr>
                <w:rFonts w:asciiTheme="minorHAnsi" w:hAnsiTheme="minorHAnsi" w:cstheme="minorHAnsi"/>
                <w:color w:val="000000"/>
                <w:sz w:val="22"/>
                <w:szCs w:val="24"/>
              </w:rPr>
              <w:t>394</w:t>
            </w:r>
          </w:p>
        </w:tc>
      </w:tr>
      <w:tr w:rsidR="00C435E6" w:rsidRPr="002D39D0" w14:paraId="3BC82F0F" w14:textId="77777777" w:rsidTr="00222D78">
        <w:trPr>
          <w:cantSplit/>
          <w:tblHeader/>
          <w:jc w:val="center"/>
        </w:trPr>
        <w:tc>
          <w:tcPr>
            <w:tcW w:w="733" w:type="pct"/>
          </w:tcPr>
          <w:p w14:paraId="26D92736" w14:textId="77777777" w:rsidR="0033375B" w:rsidRPr="002D39D0" w:rsidRDefault="0033375B" w:rsidP="000F48C6">
            <w:pPr>
              <w:autoSpaceDE w:val="0"/>
              <w:autoSpaceDN w:val="0"/>
              <w:adjustRightInd w:val="0"/>
              <w:rPr>
                <w:rFonts w:asciiTheme="minorHAnsi" w:hAnsiTheme="minorHAnsi" w:cstheme="minorHAnsi"/>
                <w:color w:val="000000"/>
                <w:sz w:val="22"/>
                <w:szCs w:val="24"/>
              </w:rPr>
            </w:pPr>
            <w:r w:rsidRPr="002D39D0">
              <w:rPr>
                <w:rFonts w:asciiTheme="minorHAnsi" w:hAnsiTheme="minorHAnsi" w:cstheme="minorHAnsi"/>
                <w:color w:val="000000"/>
                <w:sz w:val="22"/>
                <w:szCs w:val="24"/>
              </w:rPr>
              <w:t>2015 à 2016</w:t>
            </w:r>
          </w:p>
        </w:tc>
        <w:tc>
          <w:tcPr>
            <w:tcW w:w="1225" w:type="pct"/>
          </w:tcPr>
          <w:p w14:paraId="73C20214" w14:textId="77777777" w:rsidR="0033375B" w:rsidRPr="002D39D0" w:rsidRDefault="0033375B" w:rsidP="000F48C6">
            <w:pPr>
              <w:autoSpaceDE w:val="0"/>
              <w:autoSpaceDN w:val="0"/>
              <w:adjustRightInd w:val="0"/>
              <w:jc w:val="center"/>
              <w:rPr>
                <w:rFonts w:asciiTheme="minorHAnsi" w:hAnsiTheme="minorHAnsi" w:cstheme="minorHAnsi"/>
                <w:color w:val="000000"/>
                <w:sz w:val="22"/>
                <w:szCs w:val="24"/>
              </w:rPr>
            </w:pPr>
            <w:r w:rsidRPr="002D39D0">
              <w:rPr>
                <w:rFonts w:asciiTheme="minorHAnsi" w:hAnsiTheme="minorHAnsi" w:cstheme="minorHAnsi"/>
                <w:color w:val="000000"/>
                <w:sz w:val="22"/>
                <w:szCs w:val="24"/>
              </w:rPr>
              <w:t>122</w:t>
            </w:r>
          </w:p>
        </w:tc>
        <w:tc>
          <w:tcPr>
            <w:tcW w:w="1371" w:type="pct"/>
          </w:tcPr>
          <w:p w14:paraId="74D6B3B2" w14:textId="77777777" w:rsidR="0033375B" w:rsidRPr="002D39D0" w:rsidRDefault="0033375B" w:rsidP="000F48C6">
            <w:pPr>
              <w:autoSpaceDE w:val="0"/>
              <w:autoSpaceDN w:val="0"/>
              <w:adjustRightInd w:val="0"/>
              <w:jc w:val="center"/>
              <w:rPr>
                <w:rFonts w:asciiTheme="minorHAnsi" w:hAnsiTheme="minorHAnsi" w:cstheme="minorHAnsi"/>
                <w:color w:val="000000"/>
                <w:sz w:val="22"/>
                <w:szCs w:val="24"/>
              </w:rPr>
            </w:pPr>
            <w:r w:rsidRPr="002D39D0">
              <w:rPr>
                <w:rFonts w:asciiTheme="minorHAnsi" w:hAnsiTheme="minorHAnsi" w:cstheme="minorHAnsi"/>
                <w:color w:val="000000"/>
                <w:sz w:val="22"/>
                <w:szCs w:val="24"/>
              </w:rPr>
              <w:t>271</w:t>
            </w:r>
          </w:p>
        </w:tc>
        <w:tc>
          <w:tcPr>
            <w:tcW w:w="1078" w:type="pct"/>
          </w:tcPr>
          <w:p w14:paraId="6BB8AC5F" w14:textId="77777777" w:rsidR="0033375B" w:rsidRPr="002D39D0" w:rsidRDefault="0033375B" w:rsidP="000F48C6">
            <w:pPr>
              <w:autoSpaceDE w:val="0"/>
              <w:autoSpaceDN w:val="0"/>
              <w:adjustRightInd w:val="0"/>
              <w:jc w:val="center"/>
              <w:rPr>
                <w:rFonts w:asciiTheme="minorHAnsi" w:hAnsiTheme="minorHAnsi" w:cstheme="minorHAnsi"/>
                <w:color w:val="000000"/>
                <w:sz w:val="22"/>
                <w:szCs w:val="24"/>
              </w:rPr>
            </w:pPr>
            <w:r w:rsidRPr="002D39D0">
              <w:rPr>
                <w:rFonts w:asciiTheme="minorHAnsi" w:hAnsiTheme="minorHAnsi" w:cstheme="minorHAnsi"/>
                <w:color w:val="000000"/>
                <w:sz w:val="22"/>
                <w:szCs w:val="24"/>
              </w:rPr>
              <w:t>9</w:t>
            </w:r>
          </w:p>
        </w:tc>
        <w:tc>
          <w:tcPr>
            <w:tcW w:w="593" w:type="pct"/>
          </w:tcPr>
          <w:p w14:paraId="26B9AA54" w14:textId="77777777" w:rsidR="0033375B" w:rsidRPr="002D39D0" w:rsidRDefault="0033375B" w:rsidP="000F48C6">
            <w:pPr>
              <w:autoSpaceDE w:val="0"/>
              <w:autoSpaceDN w:val="0"/>
              <w:adjustRightInd w:val="0"/>
              <w:jc w:val="center"/>
              <w:rPr>
                <w:rFonts w:asciiTheme="minorHAnsi" w:hAnsiTheme="minorHAnsi" w:cstheme="minorHAnsi"/>
                <w:color w:val="000000"/>
                <w:sz w:val="22"/>
                <w:szCs w:val="24"/>
              </w:rPr>
            </w:pPr>
            <w:r w:rsidRPr="002D39D0">
              <w:rPr>
                <w:rFonts w:asciiTheme="minorHAnsi" w:hAnsiTheme="minorHAnsi" w:cstheme="minorHAnsi"/>
                <w:color w:val="000000"/>
                <w:sz w:val="22"/>
                <w:szCs w:val="24"/>
              </w:rPr>
              <w:t>402</w:t>
            </w:r>
          </w:p>
        </w:tc>
      </w:tr>
      <w:tr w:rsidR="00C435E6" w:rsidRPr="002D39D0" w14:paraId="30FFDC56" w14:textId="77777777" w:rsidTr="00222D78">
        <w:trPr>
          <w:cantSplit/>
          <w:tblHeader/>
          <w:jc w:val="center"/>
        </w:trPr>
        <w:tc>
          <w:tcPr>
            <w:tcW w:w="733" w:type="pct"/>
          </w:tcPr>
          <w:p w14:paraId="09C2246D" w14:textId="77777777" w:rsidR="0033375B" w:rsidRPr="002D39D0" w:rsidRDefault="0033375B" w:rsidP="000F48C6">
            <w:pPr>
              <w:autoSpaceDE w:val="0"/>
              <w:autoSpaceDN w:val="0"/>
              <w:adjustRightInd w:val="0"/>
              <w:rPr>
                <w:rFonts w:asciiTheme="minorHAnsi" w:hAnsiTheme="minorHAnsi" w:cstheme="minorHAnsi"/>
                <w:color w:val="000000"/>
                <w:sz w:val="22"/>
                <w:szCs w:val="24"/>
              </w:rPr>
            </w:pPr>
            <w:r w:rsidRPr="002D39D0">
              <w:rPr>
                <w:rFonts w:asciiTheme="minorHAnsi" w:hAnsiTheme="minorHAnsi" w:cstheme="minorHAnsi"/>
                <w:color w:val="000000"/>
                <w:sz w:val="22"/>
                <w:szCs w:val="24"/>
              </w:rPr>
              <w:t>2016 à 2017</w:t>
            </w:r>
          </w:p>
        </w:tc>
        <w:tc>
          <w:tcPr>
            <w:tcW w:w="1225" w:type="pct"/>
          </w:tcPr>
          <w:p w14:paraId="77FC1221" w14:textId="77777777" w:rsidR="0033375B" w:rsidRPr="002D39D0" w:rsidRDefault="0033375B" w:rsidP="000F48C6">
            <w:pPr>
              <w:autoSpaceDE w:val="0"/>
              <w:autoSpaceDN w:val="0"/>
              <w:adjustRightInd w:val="0"/>
              <w:jc w:val="center"/>
              <w:rPr>
                <w:rFonts w:asciiTheme="minorHAnsi" w:hAnsiTheme="minorHAnsi" w:cstheme="minorHAnsi"/>
                <w:color w:val="000000"/>
                <w:sz w:val="22"/>
                <w:szCs w:val="24"/>
              </w:rPr>
            </w:pPr>
            <w:r w:rsidRPr="002D39D0">
              <w:rPr>
                <w:rFonts w:asciiTheme="minorHAnsi" w:hAnsiTheme="minorHAnsi" w:cstheme="minorHAnsi"/>
                <w:color w:val="000000"/>
                <w:sz w:val="22"/>
                <w:szCs w:val="24"/>
              </w:rPr>
              <w:t>134</w:t>
            </w:r>
          </w:p>
        </w:tc>
        <w:tc>
          <w:tcPr>
            <w:tcW w:w="1371" w:type="pct"/>
          </w:tcPr>
          <w:p w14:paraId="1C508675" w14:textId="77777777" w:rsidR="0033375B" w:rsidRPr="002D39D0" w:rsidRDefault="0033375B" w:rsidP="000F48C6">
            <w:pPr>
              <w:autoSpaceDE w:val="0"/>
              <w:autoSpaceDN w:val="0"/>
              <w:adjustRightInd w:val="0"/>
              <w:jc w:val="center"/>
              <w:rPr>
                <w:rFonts w:asciiTheme="minorHAnsi" w:hAnsiTheme="minorHAnsi" w:cstheme="minorHAnsi"/>
                <w:color w:val="000000"/>
                <w:sz w:val="22"/>
                <w:szCs w:val="24"/>
              </w:rPr>
            </w:pPr>
            <w:r w:rsidRPr="002D39D0">
              <w:rPr>
                <w:rFonts w:asciiTheme="minorHAnsi" w:hAnsiTheme="minorHAnsi" w:cstheme="minorHAnsi"/>
                <w:color w:val="000000"/>
                <w:sz w:val="22"/>
                <w:szCs w:val="24"/>
              </w:rPr>
              <w:t>263</w:t>
            </w:r>
          </w:p>
        </w:tc>
        <w:tc>
          <w:tcPr>
            <w:tcW w:w="1078" w:type="pct"/>
          </w:tcPr>
          <w:p w14:paraId="584303C1" w14:textId="77777777" w:rsidR="0033375B" w:rsidRPr="002D39D0" w:rsidRDefault="0033375B" w:rsidP="000F48C6">
            <w:pPr>
              <w:autoSpaceDE w:val="0"/>
              <w:autoSpaceDN w:val="0"/>
              <w:adjustRightInd w:val="0"/>
              <w:jc w:val="center"/>
              <w:rPr>
                <w:rFonts w:asciiTheme="minorHAnsi" w:hAnsiTheme="minorHAnsi" w:cstheme="minorHAnsi"/>
                <w:color w:val="000000"/>
                <w:sz w:val="22"/>
                <w:szCs w:val="24"/>
              </w:rPr>
            </w:pPr>
            <w:r w:rsidRPr="002D39D0">
              <w:rPr>
                <w:rFonts w:asciiTheme="minorHAnsi" w:hAnsiTheme="minorHAnsi" w:cstheme="minorHAnsi"/>
                <w:color w:val="000000"/>
                <w:sz w:val="22"/>
                <w:szCs w:val="24"/>
              </w:rPr>
              <w:t>0</w:t>
            </w:r>
          </w:p>
        </w:tc>
        <w:tc>
          <w:tcPr>
            <w:tcW w:w="593" w:type="pct"/>
          </w:tcPr>
          <w:p w14:paraId="1DF3E75F" w14:textId="77777777" w:rsidR="0033375B" w:rsidRPr="002D39D0" w:rsidRDefault="0033375B" w:rsidP="000F48C6">
            <w:pPr>
              <w:autoSpaceDE w:val="0"/>
              <w:autoSpaceDN w:val="0"/>
              <w:adjustRightInd w:val="0"/>
              <w:jc w:val="center"/>
              <w:rPr>
                <w:rFonts w:asciiTheme="minorHAnsi" w:hAnsiTheme="minorHAnsi" w:cstheme="minorHAnsi"/>
                <w:color w:val="000000"/>
                <w:sz w:val="22"/>
                <w:szCs w:val="24"/>
              </w:rPr>
            </w:pPr>
            <w:r w:rsidRPr="002D39D0">
              <w:rPr>
                <w:rFonts w:asciiTheme="minorHAnsi" w:hAnsiTheme="minorHAnsi" w:cstheme="minorHAnsi"/>
                <w:color w:val="000000"/>
                <w:sz w:val="22"/>
                <w:szCs w:val="24"/>
              </w:rPr>
              <w:t>397</w:t>
            </w:r>
          </w:p>
        </w:tc>
      </w:tr>
      <w:tr w:rsidR="00C435E6" w:rsidRPr="002D39D0" w14:paraId="5FA37DBB" w14:textId="77777777" w:rsidTr="00222D78">
        <w:trPr>
          <w:cantSplit/>
          <w:tblHeader/>
          <w:jc w:val="center"/>
        </w:trPr>
        <w:tc>
          <w:tcPr>
            <w:tcW w:w="733" w:type="pct"/>
          </w:tcPr>
          <w:p w14:paraId="62B4AB41" w14:textId="77777777" w:rsidR="0033375B" w:rsidRPr="002D39D0" w:rsidRDefault="0033375B" w:rsidP="000F48C6">
            <w:pPr>
              <w:autoSpaceDE w:val="0"/>
              <w:autoSpaceDN w:val="0"/>
              <w:adjustRightInd w:val="0"/>
              <w:rPr>
                <w:rFonts w:asciiTheme="minorHAnsi" w:hAnsiTheme="minorHAnsi" w:cstheme="minorHAnsi"/>
                <w:color w:val="000000"/>
                <w:sz w:val="22"/>
                <w:szCs w:val="24"/>
              </w:rPr>
            </w:pPr>
            <w:r w:rsidRPr="002D39D0">
              <w:rPr>
                <w:rFonts w:asciiTheme="minorHAnsi" w:hAnsiTheme="minorHAnsi" w:cstheme="minorHAnsi"/>
                <w:color w:val="000000"/>
                <w:sz w:val="22"/>
                <w:szCs w:val="24"/>
              </w:rPr>
              <w:t>2017 à 2018</w:t>
            </w:r>
          </w:p>
        </w:tc>
        <w:tc>
          <w:tcPr>
            <w:tcW w:w="1225" w:type="pct"/>
          </w:tcPr>
          <w:p w14:paraId="481AB88D" w14:textId="77777777" w:rsidR="0033375B" w:rsidRPr="002D39D0" w:rsidRDefault="0033375B" w:rsidP="000F48C6">
            <w:pPr>
              <w:autoSpaceDE w:val="0"/>
              <w:autoSpaceDN w:val="0"/>
              <w:adjustRightInd w:val="0"/>
              <w:jc w:val="center"/>
              <w:rPr>
                <w:rFonts w:asciiTheme="minorHAnsi" w:hAnsiTheme="minorHAnsi" w:cstheme="minorHAnsi"/>
                <w:color w:val="000000"/>
                <w:sz w:val="22"/>
                <w:szCs w:val="24"/>
              </w:rPr>
            </w:pPr>
            <w:r w:rsidRPr="002D39D0">
              <w:rPr>
                <w:rFonts w:asciiTheme="minorHAnsi" w:hAnsiTheme="minorHAnsi" w:cstheme="minorHAnsi"/>
                <w:color w:val="000000"/>
                <w:sz w:val="22"/>
                <w:szCs w:val="24"/>
              </w:rPr>
              <w:t>185</w:t>
            </w:r>
          </w:p>
        </w:tc>
        <w:tc>
          <w:tcPr>
            <w:tcW w:w="1371" w:type="pct"/>
          </w:tcPr>
          <w:p w14:paraId="4426CE31" w14:textId="77777777" w:rsidR="0033375B" w:rsidRPr="002D39D0" w:rsidRDefault="0033375B" w:rsidP="000F48C6">
            <w:pPr>
              <w:autoSpaceDE w:val="0"/>
              <w:autoSpaceDN w:val="0"/>
              <w:adjustRightInd w:val="0"/>
              <w:jc w:val="center"/>
              <w:rPr>
                <w:rFonts w:asciiTheme="minorHAnsi" w:hAnsiTheme="minorHAnsi" w:cstheme="minorHAnsi"/>
                <w:color w:val="000000"/>
                <w:sz w:val="22"/>
                <w:szCs w:val="24"/>
              </w:rPr>
            </w:pPr>
            <w:r w:rsidRPr="002D39D0">
              <w:rPr>
                <w:rFonts w:asciiTheme="minorHAnsi" w:hAnsiTheme="minorHAnsi" w:cstheme="minorHAnsi"/>
                <w:color w:val="000000"/>
                <w:sz w:val="22"/>
                <w:szCs w:val="24"/>
              </w:rPr>
              <w:t>296</w:t>
            </w:r>
          </w:p>
        </w:tc>
        <w:tc>
          <w:tcPr>
            <w:tcW w:w="1078" w:type="pct"/>
          </w:tcPr>
          <w:p w14:paraId="1FC106E5" w14:textId="77777777" w:rsidR="0033375B" w:rsidRPr="002D39D0" w:rsidRDefault="0033375B" w:rsidP="000F48C6">
            <w:pPr>
              <w:autoSpaceDE w:val="0"/>
              <w:autoSpaceDN w:val="0"/>
              <w:adjustRightInd w:val="0"/>
              <w:jc w:val="center"/>
              <w:rPr>
                <w:rFonts w:asciiTheme="minorHAnsi" w:hAnsiTheme="minorHAnsi" w:cstheme="minorHAnsi"/>
                <w:color w:val="000000"/>
                <w:sz w:val="22"/>
                <w:szCs w:val="24"/>
              </w:rPr>
            </w:pPr>
            <w:r w:rsidRPr="002D39D0">
              <w:rPr>
                <w:rFonts w:asciiTheme="minorHAnsi" w:hAnsiTheme="minorHAnsi" w:cstheme="minorHAnsi"/>
                <w:color w:val="000000"/>
                <w:sz w:val="22"/>
                <w:szCs w:val="24"/>
              </w:rPr>
              <w:t>4</w:t>
            </w:r>
          </w:p>
        </w:tc>
        <w:tc>
          <w:tcPr>
            <w:tcW w:w="593" w:type="pct"/>
          </w:tcPr>
          <w:p w14:paraId="4B32318B" w14:textId="77777777" w:rsidR="0033375B" w:rsidRPr="002D39D0" w:rsidRDefault="0033375B" w:rsidP="000F48C6">
            <w:pPr>
              <w:autoSpaceDE w:val="0"/>
              <w:autoSpaceDN w:val="0"/>
              <w:adjustRightInd w:val="0"/>
              <w:jc w:val="center"/>
              <w:rPr>
                <w:rFonts w:asciiTheme="minorHAnsi" w:hAnsiTheme="minorHAnsi" w:cstheme="minorHAnsi"/>
                <w:color w:val="000000"/>
                <w:sz w:val="22"/>
                <w:szCs w:val="24"/>
              </w:rPr>
            </w:pPr>
            <w:r w:rsidRPr="002D39D0">
              <w:rPr>
                <w:rFonts w:asciiTheme="minorHAnsi" w:hAnsiTheme="minorHAnsi" w:cstheme="minorHAnsi"/>
                <w:color w:val="000000"/>
                <w:sz w:val="22"/>
                <w:szCs w:val="24"/>
              </w:rPr>
              <w:t>485</w:t>
            </w:r>
          </w:p>
        </w:tc>
      </w:tr>
      <w:tr w:rsidR="00C435E6" w:rsidRPr="002D39D0" w14:paraId="5545F8BC" w14:textId="77777777" w:rsidTr="00222D78">
        <w:trPr>
          <w:cantSplit/>
          <w:tblHeader/>
          <w:jc w:val="center"/>
        </w:trPr>
        <w:tc>
          <w:tcPr>
            <w:tcW w:w="733" w:type="pct"/>
          </w:tcPr>
          <w:p w14:paraId="1E1B5FC7" w14:textId="77777777" w:rsidR="0033375B" w:rsidRPr="002D39D0" w:rsidRDefault="0033375B" w:rsidP="000F48C6">
            <w:pPr>
              <w:autoSpaceDE w:val="0"/>
              <w:autoSpaceDN w:val="0"/>
              <w:adjustRightInd w:val="0"/>
              <w:rPr>
                <w:rFonts w:asciiTheme="minorHAnsi" w:hAnsiTheme="minorHAnsi" w:cstheme="minorHAnsi"/>
                <w:color w:val="000000"/>
                <w:sz w:val="22"/>
                <w:szCs w:val="24"/>
              </w:rPr>
            </w:pPr>
            <w:r w:rsidRPr="002D39D0">
              <w:rPr>
                <w:rFonts w:asciiTheme="minorHAnsi" w:hAnsiTheme="minorHAnsi" w:cstheme="minorHAnsi"/>
                <w:color w:val="000000"/>
                <w:sz w:val="22"/>
                <w:szCs w:val="24"/>
              </w:rPr>
              <w:t>2018 à 2019</w:t>
            </w:r>
          </w:p>
        </w:tc>
        <w:tc>
          <w:tcPr>
            <w:tcW w:w="1225" w:type="pct"/>
          </w:tcPr>
          <w:p w14:paraId="1B361DE7" w14:textId="77777777" w:rsidR="0033375B" w:rsidRPr="002D39D0" w:rsidRDefault="0033375B" w:rsidP="000F48C6">
            <w:pPr>
              <w:autoSpaceDE w:val="0"/>
              <w:autoSpaceDN w:val="0"/>
              <w:adjustRightInd w:val="0"/>
              <w:jc w:val="center"/>
              <w:rPr>
                <w:rFonts w:asciiTheme="minorHAnsi" w:hAnsiTheme="minorHAnsi" w:cstheme="minorHAnsi"/>
                <w:color w:val="000000"/>
                <w:sz w:val="22"/>
                <w:szCs w:val="24"/>
              </w:rPr>
            </w:pPr>
            <w:r w:rsidRPr="002D39D0">
              <w:rPr>
                <w:rFonts w:asciiTheme="minorHAnsi" w:hAnsiTheme="minorHAnsi" w:cstheme="minorHAnsi"/>
                <w:color w:val="000000"/>
                <w:sz w:val="22"/>
                <w:szCs w:val="24"/>
              </w:rPr>
              <w:t>210</w:t>
            </w:r>
          </w:p>
        </w:tc>
        <w:tc>
          <w:tcPr>
            <w:tcW w:w="1371" w:type="pct"/>
          </w:tcPr>
          <w:p w14:paraId="0625DAC6" w14:textId="77777777" w:rsidR="0033375B" w:rsidRPr="002D39D0" w:rsidRDefault="0033375B" w:rsidP="000F48C6">
            <w:pPr>
              <w:autoSpaceDE w:val="0"/>
              <w:autoSpaceDN w:val="0"/>
              <w:adjustRightInd w:val="0"/>
              <w:jc w:val="center"/>
              <w:rPr>
                <w:rFonts w:asciiTheme="minorHAnsi" w:hAnsiTheme="minorHAnsi" w:cstheme="minorHAnsi"/>
                <w:color w:val="000000"/>
                <w:sz w:val="22"/>
                <w:szCs w:val="24"/>
              </w:rPr>
            </w:pPr>
            <w:r w:rsidRPr="002D39D0">
              <w:rPr>
                <w:rFonts w:asciiTheme="minorHAnsi" w:hAnsiTheme="minorHAnsi" w:cstheme="minorHAnsi"/>
                <w:color w:val="000000"/>
                <w:sz w:val="22"/>
                <w:szCs w:val="24"/>
              </w:rPr>
              <w:t>340</w:t>
            </w:r>
          </w:p>
        </w:tc>
        <w:tc>
          <w:tcPr>
            <w:tcW w:w="1078" w:type="pct"/>
          </w:tcPr>
          <w:p w14:paraId="754685B7" w14:textId="77777777" w:rsidR="0033375B" w:rsidRPr="002D39D0" w:rsidRDefault="0033375B" w:rsidP="000F48C6">
            <w:pPr>
              <w:autoSpaceDE w:val="0"/>
              <w:autoSpaceDN w:val="0"/>
              <w:adjustRightInd w:val="0"/>
              <w:jc w:val="center"/>
              <w:rPr>
                <w:rFonts w:asciiTheme="minorHAnsi" w:hAnsiTheme="minorHAnsi" w:cstheme="minorHAnsi"/>
                <w:color w:val="000000"/>
                <w:sz w:val="22"/>
                <w:szCs w:val="24"/>
              </w:rPr>
            </w:pPr>
            <w:r w:rsidRPr="002D39D0">
              <w:rPr>
                <w:rFonts w:asciiTheme="minorHAnsi" w:hAnsiTheme="minorHAnsi" w:cstheme="minorHAnsi"/>
                <w:color w:val="000000"/>
                <w:sz w:val="22"/>
                <w:szCs w:val="24"/>
              </w:rPr>
              <w:t>3</w:t>
            </w:r>
          </w:p>
        </w:tc>
        <w:tc>
          <w:tcPr>
            <w:tcW w:w="593" w:type="pct"/>
          </w:tcPr>
          <w:p w14:paraId="2D84A8A1" w14:textId="77777777" w:rsidR="0033375B" w:rsidRPr="002D39D0" w:rsidRDefault="0033375B" w:rsidP="000F48C6">
            <w:pPr>
              <w:autoSpaceDE w:val="0"/>
              <w:autoSpaceDN w:val="0"/>
              <w:adjustRightInd w:val="0"/>
              <w:jc w:val="center"/>
              <w:rPr>
                <w:rFonts w:asciiTheme="minorHAnsi" w:hAnsiTheme="minorHAnsi" w:cstheme="minorHAnsi"/>
                <w:color w:val="000000"/>
                <w:sz w:val="22"/>
                <w:szCs w:val="24"/>
              </w:rPr>
            </w:pPr>
            <w:r w:rsidRPr="002D39D0">
              <w:rPr>
                <w:rFonts w:asciiTheme="minorHAnsi" w:hAnsiTheme="minorHAnsi" w:cstheme="minorHAnsi"/>
                <w:color w:val="000000"/>
                <w:sz w:val="22"/>
                <w:szCs w:val="24"/>
              </w:rPr>
              <w:t>553</w:t>
            </w:r>
          </w:p>
        </w:tc>
      </w:tr>
    </w:tbl>
    <w:p w14:paraId="786432BD" w14:textId="77777777" w:rsidR="004D53A0" w:rsidRPr="002D39D0" w:rsidRDefault="004D53A0" w:rsidP="006433C9">
      <w:pPr>
        <w:pStyle w:val="Footer"/>
        <w:jc w:val="center"/>
        <w:rPr>
          <w:rFonts w:asciiTheme="minorHAnsi" w:hAnsiTheme="minorHAnsi" w:cstheme="minorHAnsi"/>
          <w:szCs w:val="24"/>
        </w:rPr>
      </w:pPr>
    </w:p>
    <w:p w14:paraId="36FB72D3" w14:textId="77777777" w:rsidR="0033375B" w:rsidRPr="002D39D0" w:rsidRDefault="0033375B" w:rsidP="00E56E7F">
      <w:pPr>
        <w:pStyle w:val="Subtitle"/>
        <w:rPr>
          <w:sz w:val="24"/>
          <w:szCs w:val="24"/>
        </w:rPr>
        <w:sectPr w:rsidR="0033375B" w:rsidRPr="002D39D0" w:rsidSect="00813771">
          <w:pgSz w:w="15840" w:h="12240" w:orient="landscape"/>
          <w:pgMar w:top="680" w:right="680" w:bottom="680" w:left="680" w:header="567" w:footer="567" w:gutter="0"/>
          <w:cols w:space="708"/>
          <w:titlePg/>
          <w:docGrid w:linePitch="360"/>
        </w:sectPr>
      </w:pPr>
    </w:p>
    <w:p w14:paraId="6770CD5C" w14:textId="125F575F" w:rsidR="00E45026" w:rsidRPr="002D39D0" w:rsidRDefault="006C2C4F">
      <w:pPr>
        <w:pStyle w:val="Heading1"/>
        <w:spacing w:before="120" w:after="120"/>
        <w:rPr>
          <w:sz w:val="40"/>
        </w:rPr>
      </w:pPr>
      <w:r w:rsidRPr="007C1E3E">
        <w:rPr>
          <w:sz w:val="40"/>
        </w:rPr>
        <w:lastRenderedPageBreak/>
        <w:t xml:space="preserve">Activités d'embauche externe pour une période indéterminée et d'une durée déterminée </w:t>
      </w:r>
      <w:r w:rsidR="00E45026" w:rsidRPr="007C1E3E">
        <w:rPr>
          <w:sz w:val="40"/>
        </w:rPr>
        <w:t>Programme de recrutement postsecondaire et embauche d'anciens étudiants</w:t>
      </w:r>
    </w:p>
    <w:p w14:paraId="6D8331EA" w14:textId="77777777" w:rsidR="00C435E6" w:rsidRPr="002D39D0" w:rsidRDefault="004D53A0" w:rsidP="00C435E6">
      <w:pPr>
        <w:pStyle w:val="Subtitle"/>
        <w:keepNext/>
        <w:jc w:val="center"/>
      </w:pPr>
      <w:r w:rsidRPr="00302F5B">
        <w:rPr>
          <w:noProof/>
          <w:lang w:val="en-CA" w:eastAsia="en-CA"/>
        </w:rPr>
        <w:drawing>
          <wp:inline distT="0" distB="0" distL="0" distR="0" wp14:anchorId="70059216" wp14:editId="53C722F3">
            <wp:extent cx="5648400" cy="3049200"/>
            <wp:effectExtent l="0" t="0" r="9525" b="18415"/>
            <wp:docPr id="2" name="Chart 2" descr="Activités d'embauche externe pour une période indéterminée et d'une durée déterminée: Programme de recrutement postsecondaire et embauche d'anciens étudiants&#10;"/>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5D1EC2A3" w14:textId="77777777" w:rsidR="00E56E7F" w:rsidRPr="002D39D0" w:rsidRDefault="00C435E6" w:rsidP="007C1E3E">
      <w:pPr>
        <w:pStyle w:val="Caption"/>
        <w:spacing w:after="0"/>
        <w:jc w:val="center"/>
        <w:rPr>
          <w:rFonts w:asciiTheme="minorHAnsi" w:hAnsiTheme="minorHAnsi" w:cstheme="minorHAnsi"/>
          <w:i w:val="0"/>
          <w:color w:val="auto"/>
          <w:sz w:val="24"/>
          <w:szCs w:val="24"/>
        </w:rPr>
      </w:pPr>
      <w:r w:rsidRPr="002D39D0">
        <w:rPr>
          <w:rFonts w:asciiTheme="minorHAnsi" w:hAnsiTheme="minorHAnsi" w:cstheme="minorHAnsi"/>
          <w:i w:val="0"/>
          <w:color w:val="auto"/>
        </w:rPr>
        <w:t xml:space="preserve">Figure </w:t>
      </w:r>
      <w:r w:rsidRPr="006C61AE">
        <w:rPr>
          <w:rFonts w:asciiTheme="minorHAnsi" w:hAnsiTheme="minorHAnsi" w:cstheme="minorHAnsi"/>
          <w:i w:val="0"/>
          <w:color w:val="auto"/>
        </w:rPr>
        <w:fldChar w:fldCharType="begin"/>
      </w:r>
      <w:r w:rsidRPr="002D39D0">
        <w:rPr>
          <w:rFonts w:asciiTheme="minorHAnsi" w:hAnsiTheme="minorHAnsi" w:cstheme="minorHAnsi"/>
          <w:i w:val="0"/>
          <w:color w:val="auto"/>
        </w:rPr>
        <w:instrText xml:space="preserve"> SEQ Figure \* ARABIC </w:instrText>
      </w:r>
      <w:r w:rsidRPr="006C61AE">
        <w:rPr>
          <w:rFonts w:asciiTheme="minorHAnsi" w:hAnsiTheme="minorHAnsi" w:cstheme="minorHAnsi"/>
          <w:i w:val="0"/>
          <w:color w:val="auto"/>
        </w:rPr>
        <w:fldChar w:fldCharType="separate"/>
      </w:r>
      <w:r w:rsidR="00DE5258" w:rsidRPr="002D39D0">
        <w:rPr>
          <w:rFonts w:asciiTheme="minorHAnsi" w:hAnsiTheme="minorHAnsi" w:cstheme="minorHAnsi"/>
          <w:i w:val="0"/>
          <w:noProof/>
          <w:color w:val="auto"/>
        </w:rPr>
        <w:t>11</w:t>
      </w:r>
      <w:r w:rsidRPr="006C61AE">
        <w:rPr>
          <w:rFonts w:asciiTheme="minorHAnsi" w:hAnsiTheme="minorHAnsi" w:cstheme="minorHAnsi"/>
          <w:i w:val="0"/>
          <w:color w:val="auto"/>
        </w:rPr>
        <w:fldChar w:fldCharType="end"/>
      </w:r>
      <w:r w:rsidRPr="002D39D0">
        <w:rPr>
          <w:rFonts w:asciiTheme="minorHAnsi" w:hAnsiTheme="minorHAnsi" w:cstheme="minorHAnsi"/>
          <w:i w:val="0"/>
          <w:color w:val="auto"/>
        </w:rPr>
        <w:t xml:space="preserve"> - Programme de recrutement postsecondaire et embauche d'anciens étudiants</w:t>
      </w:r>
    </w:p>
    <w:p w14:paraId="001DBEF6" w14:textId="76CB2BB6" w:rsidR="00C435E6" w:rsidRPr="002D39D0" w:rsidRDefault="00C435E6" w:rsidP="007C1E3E">
      <w:pPr>
        <w:pStyle w:val="Caption"/>
        <w:keepNext/>
        <w:spacing w:before="240" w:after="0"/>
        <w:jc w:val="center"/>
        <w:rPr>
          <w:rFonts w:asciiTheme="minorHAnsi" w:hAnsiTheme="minorHAnsi" w:cstheme="minorHAnsi"/>
          <w:i w:val="0"/>
          <w:color w:val="auto"/>
        </w:rPr>
      </w:pPr>
      <w:r w:rsidRPr="002D39D0">
        <w:rPr>
          <w:rFonts w:asciiTheme="minorHAnsi" w:hAnsiTheme="minorHAnsi" w:cstheme="minorHAnsi"/>
          <w:i w:val="0"/>
          <w:color w:val="auto"/>
        </w:rPr>
        <w:t xml:space="preserve">Table </w:t>
      </w:r>
      <w:r w:rsidRPr="006C61AE">
        <w:rPr>
          <w:rFonts w:asciiTheme="minorHAnsi" w:hAnsiTheme="minorHAnsi" w:cstheme="minorHAnsi"/>
          <w:i w:val="0"/>
          <w:color w:val="auto"/>
        </w:rPr>
        <w:fldChar w:fldCharType="begin"/>
      </w:r>
      <w:r w:rsidRPr="002D39D0">
        <w:rPr>
          <w:rFonts w:asciiTheme="minorHAnsi" w:hAnsiTheme="minorHAnsi" w:cstheme="minorHAnsi"/>
          <w:i w:val="0"/>
          <w:color w:val="auto"/>
        </w:rPr>
        <w:instrText xml:space="preserve"> SEQ Table \* ARABIC </w:instrText>
      </w:r>
      <w:r w:rsidRPr="006C61AE">
        <w:rPr>
          <w:rFonts w:asciiTheme="minorHAnsi" w:hAnsiTheme="minorHAnsi" w:cstheme="minorHAnsi"/>
          <w:i w:val="0"/>
          <w:color w:val="auto"/>
        </w:rPr>
        <w:fldChar w:fldCharType="separate"/>
      </w:r>
      <w:r w:rsidR="00C42F1B" w:rsidRPr="002D39D0">
        <w:rPr>
          <w:rFonts w:asciiTheme="minorHAnsi" w:hAnsiTheme="minorHAnsi" w:cstheme="minorHAnsi"/>
          <w:i w:val="0"/>
          <w:noProof/>
          <w:color w:val="auto"/>
        </w:rPr>
        <w:t>16</w:t>
      </w:r>
      <w:r w:rsidRPr="006C61AE">
        <w:rPr>
          <w:rFonts w:asciiTheme="minorHAnsi" w:hAnsiTheme="minorHAnsi" w:cstheme="minorHAnsi"/>
          <w:i w:val="0"/>
          <w:color w:val="auto"/>
        </w:rPr>
        <w:fldChar w:fldCharType="end"/>
      </w:r>
      <w:r w:rsidRPr="002D39D0">
        <w:rPr>
          <w:rFonts w:asciiTheme="minorHAnsi" w:hAnsiTheme="minorHAnsi" w:cstheme="minorHAnsi"/>
          <w:i w:val="0"/>
          <w:color w:val="auto"/>
        </w:rPr>
        <w:t xml:space="preserve"> - Activités d'embauche externe pour une période indéterminée et d'une durée déterminée : Programme de recrutement postsecondaire et embauche d'anciens étudiants selon l’exercice financier</w:t>
      </w:r>
    </w:p>
    <w:tbl>
      <w:tblPr>
        <w:tblStyle w:val="TableGrid"/>
        <w:tblW w:w="5000" w:type="pct"/>
        <w:jc w:val="center"/>
        <w:tblLook w:val="0020" w:firstRow="1" w:lastRow="0" w:firstColumn="0" w:lastColumn="0" w:noHBand="0" w:noVBand="0"/>
        <w:tblDescription w:val="Programme de recrutement postsecondaire et embauche d'anciens étudiants"/>
      </w:tblPr>
      <w:tblGrid>
        <w:gridCol w:w="3114"/>
        <w:gridCol w:w="6095"/>
        <w:gridCol w:w="5261"/>
      </w:tblGrid>
      <w:tr w:rsidR="00C435E6" w:rsidRPr="004721CE" w14:paraId="729B2E03" w14:textId="77777777" w:rsidTr="00222D78">
        <w:trPr>
          <w:cantSplit/>
          <w:tblHeader/>
          <w:jc w:val="center"/>
        </w:trPr>
        <w:tc>
          <w:tcPr>
            <w:tcW w:w="1076" w:type="pct"/>
          </w:tcPr>
          <w:p w14:paraId="10338B62" w14:textId="77777777" w:rsidR="00C435E6" w:rsidRPr="004721CE" w:rsidRDefault="00C435E6" w:rsidP="000F48C6">
            <w:pPr>
              <w:pStyle w:val="TableTitle"/>
              <w:rPr>
                <w:rFonts w:cs="Segoe UI Semibold"/>
                <w:b w:val="0"/>
                <w:szCs w:val="22"/>
              </w:rPr>
            </w:pPr>
            <w:r w:rsidRPr="004721CE">
              <w:rPr>
                <w:rFonts w:cs="Segoe UI Semibold"/>
                <w:b w:val="0"/>
                <w:szCs w:val="22"/>
              </w:rPr>
              <w:t>Exercice financier</w:t>
            </w:r>
          </w:p>
        </w:tc>
        <w:tc>
          <w:tcPr>
            <w:tcW w:w="2106" w:type="pct"/>
          </w:tcPr>
          <w:p w14:paraId="2476E1EE" w14:textId="77777777" w:rsidR="00C435E6" w:rsidRPr="004721CE" w:rsidRDefault="00C435E6" w:rsidP="000F48C6">
            <w:pPr>
              <w:pStyle w:val="TableTitle"/>
              <w:rPr>
                <w:rFonts w:cs="Segoe UI Semibold"/>
                <w:b w:val="0"/>
                <w:szCs w:val="22"/>
              </w:rPr>
            </w:pPr>
            <w:r w:rsidRPr="004721CE">
              <w:rPr>
                <w:rFonts w:cs="Segoe UI Semibold"/>
                <w:b w:val="0"/>
                <w:szCs w:val="22"/>
              </w:rPr>
              <w:t>Embauches du programme de recrutement postsecondaire</w:t>
            </w:r>
          </w:p>
        </w:tc>
        <w:tc>
          <w:tcPr>
            <w:tcW w:w="1818" w:type="pct"/>
          </w:tcPr>
          <w:p w14:paraId="7FC6398F" w14:textId="77777777" w:rsidR="00C435E6" w:rsidRPr="004721CE" w:rsidRDefault="00C435E6" w:rsidP="000F48C6">
            <w:pPr>
              <w:pStyle w:val="TableTitle"/>
              <w:rPr>
                <w:rFonts w:cs="Segoe UI Semibold"/>
                <w:b w:val="0"/>
                <w:szCs w:val="22"/>
              </w:rPr>
            </w:pPr>
            <w:r w:rsidRPr="004721CE">
              <w:rPr>
                <w:rFonts w:cs="Segoe UI Semibold"/>
                <w:b w:val="0"/>
                <w:szCs w:val="22"/>
              </w:rPr>
              <w:t>Embauches d’anciens étudiants</w:t>
            </w:r>
          </w:p>
        </w:tc>
      </w:tr>
      <w:tr w:rsidR="00C435E6" w:rsidRPr="002D39D0" w14:paraId="6BE118EE" w14:textId="77777777" w:rsidTr="00222D78">
        <w:trPr>
          <w:cantSplit/>
          <w:tblHeader/>
          <w:jc w:val="center"/>
        </w:trPr>
        <w:tc>
          <w:tcPr>
            <w:tcW w:w="1076" w:type="pct"/>
          </w:tcPr>
          <w:p w14:paraId="46412E16" w14:textId="77777777" w:rsidR="00C435E6" w:rsidRPr="002D39D0" w:rsidRDefault="00C435E6" w:rsidP="000F48C6">
            <w:pPr>
              <w:autoSpaceDE w:val="0"/>
              <w:autoSpaceDN w:val="0"/>
              <w:adjustRightInd w:val="0"/>
              <w:rPr>
                <w:rFonts w:asciiTheme="minorHAnsi" w:hAnsiTheme="minorHAnsi" w:cstheme="minorHAnsi"/>
                <w:color w:val="000000"/>
                <w:sz w:val="22"/>
                <w:szCs w:val="24"/>
              </w:rPr>
            </w:pPr>
            <w:r w:rsidRPr="002D39D0">
              <w:rPr>
                <w:rFonts w:asciiTheme="minorHAnsi" w:hAnsiTheme="minorHAnsi" w:cstheme="minorHAnsi"/>
                <w:color w:val="000000"/>
                <w:sz w:val="22"/>
                <w:szCs w:val="24"/>
              </w:rPr>
              <w:t>2014 à 2015</w:t>
            </w:r>
          </w:p>
        </w:tc>
        <w:tc>
          <w:tcPr>
            <w:tcW w:w="2106" w:type="pct"/>
          </w:tcPr>
          <w:p w14:paraId="4D91EBB7" w14:textId="77777777" w:rsidR="00C435E6" w:rsidRPr="002D39D0" w:rsidRDefault="00C435E6" w:rsidP="000F48C6">
            <w:pPr>
              <w:autoSpaceDE w:val="0"/>
              <w:autoSpaceDN w:val="0"/>
              <w:adjustRightInd w:val="0"/>
              <w:jc w:val="center"/>
              <w:rPr>
                <w:rFonts w:asciiTheme="minorHAnsi" w:hAnsiTheme="minorHAnsi" w:cstheme="minorHAnsi"/>
                <w:color w:val="000000"/>
                <w:sz w:val="22"/>
                <w:szCs w:val="24"/>
              </w:rPr>
            </w:pPr>
            <w:r w:rsidRPr="002D39D0">
              <w:rPr>
                <w:rFonts w:asciiTheme="minorHAnsi" w:hAnsiTheme="minorHAnsi" w:cstheme="minorHAnsi"/>
                <w:color w:val="000000"/>
                <w:sz w:val="22"/>
                <w:szCs w:val="24"/>
              </w:rPr>
              <w:t>30</w:t>
            </w:r>
          </w:p>
        </w:tc>
        <w:tc>
          <w:tcPr>
            <w:tcW w:w="1818" w:type="pct"/>
          </w:tcPr>
          <w:p w14:paraId="720CB0A2" w14:textId="77777777" w:rsidR="00C435E6" w:rsidRPr="002D39D0" w:rsidRDefault="00C435E6" w:rsidP="000F48C6">
            <w:pPr>
              <w:autoSpaceDE w:val="0"/>
              <w:autoSpaceDN w:val="0"/>
              <w:adjustRightInd w:val="0"/>
              <w:jc w:val="center"/>
              <w:rPr>
                <w:rFonts w:asciiTheme="minorHAnsi" w:hAnsiTheme="minorHAnsi" w:cstheme="minorHAnsi"/>
                <w:color w:val="000000"/>
                <w:sz w:val="22"/>
                <w:szCs w:val="24"/>
              </w:rPr>
            </w:pPr>
            <w:r w:rsidRPr="002D39D0">
              <w:rPr>
                <w:rFonts w:asciiTheme="minorHAnsi" w:hAnsiTheme="minorHAnsi" w:cstheme="minorHAnsi"/>
                <w:color w:val="000000"/>
                <w:sz w:val="22"/>
                <w:szCs w:val="24"/>
              </w:rPr>
              <w:t>83</w:t>
            </w:r>
          </w:p>
        </w:tc>
      </w:tr>
      <w:tr w:rsidR="00C435E6" w:rsidRPr="002D39D0" w14:paraId="12196AE3" w14:textId="77777777" w:rsidTr="00222D78">
        <w:trPr>
          <w:cantSplit/>
          <w:tblHeader/>
          <w:jc w:val="center"/>
        </w:trPr>
        <w:tc>
          <w:tcPr>
            <w:tcW w:w="1076" w:type="pct"/>
          </w:tcPr>
          <w:p w14:paraId="358659D3" w14:textId="77777777" w:rsidR="00C435E6" w:rsidRPr="002D39D0" w:rsidRDefault="00C435E6" w:rsidP="000F48C6">
            <w:pPr>
              <w:autoSpaceDE w:val="0"/>
              <w:autoSpaceDN w:val="0"/>
              <w:adjustRightInd w:val="0"/>
              <w:rPr>
                <w:rFonts w:asciiTheme="minorHAnsi" w:hAnsiTheme="minorHAnsi" w:cstheme="minorHAnsi"/>
                <w:color w:val="000000"/>
                <w:sz w:val="22"/>
                <w:szCs w:val="24"/>
              </w:rPr>
            </w:pPr>
            <w:r w:rsidRPr="002D39D0">
              <w:rPr>
                <w:rFonts w:asciiTheme="minorHAnsi" w:hAnsiTheme="minorHAnsi" w:cstheme="minorHAnsi"/>
                <w:color w:val="000000"/>
                <w:sz w:val="22"/>
                <w:szCs w:val="24"/>
              </w:rPr>
              <w:t>2015 à 2016</w:t>
            </w:r>
          </w:p>
        </w:tc>
        <w:tc>
          <w:tcPr>
            <w:tcW w:w="2106" w:type="pct"/>
          </w:tcPr>
          <w:p w14:paraId="7E30B4C3" w14:textId="77777777" w:rsidR="00C435E6" w:rsidRPr="002D39D0" w:rsidRDefault="00C435E6" w:rsidP="000F48C6">
            <w:pPr>
              <w:autoSpaceDE w:val="0"/>
              <w:autoSpaceDN w:val="0"/>
              <w:adjustRightInd w:val="0"/>
              <w:jc w:val="center"/>
              <w:rPr>
                <w:rFonts w:asciiTheme="minorHAnsi" w:hAnsiTheme="minorHAnsi" w:cstheme="minorHAnsi"/>
                <w:color w:val="000000"/>
                <w:sz w:val="22"/>
                <w:szCs w:val="24"/>
              </w:rPr>
            </w:pPr>
            <w:r w:rsidRPr="002D39D0">
              <w:rPr>
                <w:rFonts w:asciiTheme="minorHAnsi" w:hAnsiTheme="minorHAnsi" w:cstheme="minorHAnsi"/>
                <w:color w:val="000000"/>
                <w:sz w:val="22"/>
                <w:szCs w:val="24"/>
              </w:rPr>
              <w:t>62</w:t>
            </w:r>
          </w:p>
        </w:tc>
        <w:tc>
          <w:tcPr>
            <w:tcW w:w="1818" w:type="pct"/>
          </w:tcPr>
          <w:p w14:paraId="2D939720" w14:textId="77777777" w:rsidR="00C435E6" w:rsidRPr="002D39D0" w:rsidRDefault="00C435E6" w:rsidP="000F48C6">
            <w:pPr>
              <w:autoSpaceDE w:val="0"/>
              <w:autoSpaceDN w:val="0"/>
              <w:adjustRightInd w:val="0"/>
              <w:jc w:val="center"/>
              <w:rPr>
                <w:rFonts w:asciiTheme="minorHAnsi" w:hAnsiTheme="minorHAnsi" w:cstheme="minorHAnsi"/>
                <w:color w:val="000000"/>
                <w:sz w:val="22"/>
                <w:szCs w:val="24"/>
              </w:rPr>
            </w:pPr>
            <w:r w:rsidRPr="002D39D0">
              <w:rPr>
                <w:rFonts w:asciiTheme="minorHAnsi" w:hAnsiTheme="minorHAnsi" w:cstheme="minorHAnsi"/>
                <w:color w:val="000000"/>
                <w:sz w:val="22"/>
                <w:szCs w:val="24"/>
              </w:rPr>
              <w:t>116</w:t>
            </w:r>
          </w:p>
        </w:tc>
      </w:tr>
      <w:tr w:rsidR="00C435E6" w:rsidRPr="002D39D0" w14:paraId="2746A687" w14:textId="77777777" w:rsidTr="00222D78">
        <w:trPr>
          <w:cantSplit/>
          <w:tblHeader/>
          <w:jc w:val="center"/>
        </w:trPr>
        <w:tc>
          <w:tcPr>
            <w:tcW w:w="1076" w:type="pct"/>
          </w:tcPr>
          <w:p w14:paraId="74264C25" w14:textId="77777777" w:rsidR="00C435E6" w:rsidRPr="002D39D0" w:rsidRDefault="00C435E6" w:rsidP="000F48C6">
            <w:pPr>
              <w:autoSpaceDE w:val="0"/>
              <w:autoSpaceDN w:val="0"/>
              <w:adjustRightInd w:val="0"/>
              <w:rPr>
                <w:rFonts w:asciiTheme="minorHAnsi" w:hAnsiTheme="minorHAnsi" w:cstheme="minorHAnsi"/>
                <w:color w:val="000000"/>
                <w:sz w:val="22"/>
                <w:szCs w:val="24"/>
              </w:rPr>
            </w:pPr>
            <w:r w:rsidRPr="002D39D0">
              <w:rPr>
                <w:rFonts w:asciiTheme="minorHAnsi" w:hAnsiTheme="minorHAnsi" w:cstheme="minorHAnsi"/>
                <w:color w:val="000000"/>
                <w:sz w:val="22"/>
                <w:szCs w:val="24"/>
              </w:rPr>
              <w:t>2016 à 2017</w:t>
            </w:r>
          </w:p>
        </w:tc>
        <w:tc>
          <w:tcPr>
            <w:tcW w:w="2106" w:type="pct"/>
          </w:tcPr>
          <w:p w14:paraId="7C4424CB" w14:textId="77777777" w:rsidR="00C435E6" w:rsidRPr="002D39D0" w:rsidRDefault="00C435E6" w:rsidP="000F48C6">
            <w:pPr>
              <w:autoSpaceDE w:val="0"/>
              <w:autoSpaceDN w:val="0"/>
              <w:adjustRightInd w:val="0"/>
              <w:jc w:val="center"/>
              <w:rPr>
                <w:rFonts w:asciiTheme="minorHAnsi" w:hAnsiTheme="minorHAnsi" w:cstheme="minorHAnsi"/>
                <w:color w:val="000000"/>
                <w:sz w:val="22"/>
                <w:szCs w:val="24"/>
              </w:rPr>
            </w:pPr>
            <w:r w:rsidRPr="002D39D0">
              <w:rPr>
                <w:rFonts w:asciiTheme="minorHAnsi" w:hAnsiTheme="minorHAnsi" w:cstheme="minorHAnsi"/>
                <w:color w:val="000000"/>
                <w:sz w:val="22"/>
                <w:szCs w:val="24"/>
              </w:rPr>
              <w:t>82</w:t>
            </w:r>
          </w:p>
        </w:tc>
        <w:tc>
          <w:tcPr>
            <w:tcW w:w="1818" w:type="pct"/>
          </w:tcPr>
          <w:p w14:paraId="5D447B9A" w14:textId="77777777" w:rsidR="00C435E6" w:rsidRPr="002D39D0" w:rsidRDefault="00C435E6" w:rsidP="000F48C6">
            <w:pPr>
              <w:autoSpaceDE w:val="0"/>
              <w:autoSpaceDN w:val="0"/>
              <w:adjustRightInd w:val="0"/>
              <w:jc w:val="center"/>
              <w:rPr>
                <w:rFonts w:asciiTheme="minorHAnsi" w:hAnsiTheme="minorHAnsi" w:cstheme="minorHAnsi"/>
                <w:color w:val="000000"/>
                <w:sz w:val="22"/>
                <w:szCs w:val="24"/>
              </w:rPr>
            </w:pPr>
            <w:r w:rsidRPr="002D39D0">
              <w:rPr>
                <w:rFonts w:asciiTheme="minorHAnsi" w:hAnsiTheme="minorHAnsi" w:cstheme="minorHAnsi"/>
                <w:color w:val="000000"/>
                <w:sz w:val="22"/>
                <w:szCs w:val="24"/>
              </w:rPr>
              <w:t>129</w:t>
            </w:r>
          </w:p>
        </w:tc>
      </w:tr>
      <w:tr w:rsidR="00C435E6" w:rsidRPr="002D39D0" w14:paraId="4D5C8BC4" w14:textId="77777777" w:rsidTr="00222D78">
        <w:trPr>
          <w:cantSplit/>
          <w:tblHeader/>
          <w:jc w:val="center"/>
        </w:trPr>
        <w:tc>
          <w:tcPr>
            <w:tcW w:w="1076" w:type="pct"/>
          </w:tcPr>
          <w:p w14:paraId="5C6F4BE1" w14:textId="77777777" w:rsidR="00C435E6" w:rsidRPr="002D39D0" w:rsidRDefault="00C435E6" w:rsidP="000F48C6">
            <w:pPr>
              <w:autoSpaceDE w:val="0"/>
              <w:autoSpaceDN w:val="0"/>
              <w:adjustRightInd w:val="0"/>
              <w:rPr>
                <w:rFonts w:asciiTheme="minorHAnsi" w:hAnsiTheme="minorHAnsi" w:cstheme="minorHAnsi"/>
                <w:color w:val="000000"/>
                <w:sz w:val="22"/>
                <w:szCs w:val="24"/>
              </w:rPr>
            </w:pPr>
            <w:r w:rsidRPr="002D39D0">
              <w:rPr>
                <w:rFonts w:asciiTheme="minorHAnsi" w:hAnsiTheme="minorHAnsi" w:cstheme="minorHAnsi"/>
                <w:color w:val="000000"/>
                <w:sz w:val="22"/>
                <w:szCs w:val="24"/>
              </w:rPr>
              <w:t>2017 à 2018</w:t>
            </w:r>
          </w:p>
        </w:tc>
        <w:tc>
          <w:tcPr>
            <w:tcW w:w="2106" w:type="pct"/>
          </w:tcPr>
          <w:p w14:paraId="34BED17A" w14:textId="77777777" w:rsidR="00C435E6" w:rsidRPr="002D39D0" w:rsidRDefault="00C435E6" w:rsidP="000F48C6">
            <w:pPr>
              <w:autoSpaceDE w:val="0"/>
              <w:autoSpaceDN w:val="0"/>
              <w:adjustRightInd w:val="0"/>
              <w:jc w:val="center"/>
              <w:rPr>
                <w:rFonts w:asciiTheme="minorHAnsi" w:hAnsiTheme="minorHAnsi" w:cstheme="minorHAnsi"/>
                <w:color w:val="000000"/>
                <w:sz w:val="22"/>
                <w:szCs w:val="24"/>
              </w:rPr>
            </w:pPr>
            <w:r w:rsidRPr="002D39D0">
              <w:rPr>
                <w:rFonts w:asciiTheme="minorHAnsi" w:hAnsiTheme="minorHAnsi" w:cstheme="minorHAnsi"/>
                <w:color w:val="000000"/>
                <w:sz w:val="22"/>
                <w:szCs w:val="24"/>
              </w:rPr>
              <w:t>64</w:t>
            </w:r>
          </w:p>
        </w:tc>
        <w:tc>
          <w:tcPr>
            <w:tcW w:w="1818" w:type="pct"/>
          </w:tcPr>
          <w:p w14:paraId="17770DE3" w14:textId="77777777" w:rsidR="00C435E6" w:rsidRPr="002D39D0" w:rsidRDefault="00C435E6" w:rsidP="000F48C6">
            <w:pPr>
              <w:autoSpaceDE w:val="0"/>
              <w:autoSpaceDN w:val="0"/>
              <w:adjustRightInd w:val="0"/>
              <w:jc w:val="center"/>
              <w:rPr>
                <w:rFonts w:asciiTheme="minorHAnsi" w:hAnsiTheme="minorHAnsi" w:cstheme="minorHAnsi"/>
                <w:color w:val="000000"/>
                <w:sz w:val="22"/>
                <w:szCs w:val="24"/>
              </w:rPr>
            </w:pPr>
            <w:r w:rsidRPr="002D39D0">
              <w:rPr>
                <w:rFonts w:asciiTheme="minorHAnsi" w:hAnsiTheme="minorHAnsi" w:cstheme="minorHAnsi"/>
                <w:color w:val="000000"/>
                <w:sz w:val="22"/>
                <w:szCs w:val="24"/>
              </w:rPr>
              <w:t>160</w:t>
            </w:r>
          </w:p>
        </w:tc>
      </w:tr>
      <w:tr w:rsidR="00C435E6" w:rsidRPr="002D39D0" w14:paraId="6DCD886C" w14:textId="77777777" w:rsidTr="00222D78">
        <w:trPr>
          <w:cantSplit/>
          <w:tblHeader/>
          <w:jc w:val="center"/>
        </w:trPr>
        <w:tc>
          <w:tcPr>
            <w:tcW w:w="1076" w:type="pct"/>
          </w:tcPr>
          <w:p w14:paraId="726AB0EC" w14:textId="77777777" w:rsidR="00C435E6" w:rsidRPr="002D39D0" w:rsidRDefault="00C435E6" w:rsidP="000F48C6">
            <w:pPr>
              <w:autoSpaceDE w:val="0"/>
              <w:autoSpaceDN w:val="0"/>
              <w:adjustRightInd w:val="0"/>
              <w:rPr>
                <w:rFonts w:asciiTheme="minorHAnsi" w:hAnsiTheme="minorHAnsi" w:cstheme="minorHAnsi"/>
                <w:color w:val="000000"/>
                <w:sz w:val="22"/>
                <w:szCs w:val="24"/>
              </w:rPr>
            </w:pPr>
            <w:r w:rsidRPr="002D39D0">
              <w:rPr>
                <w:rFonts w:asciiTheme="minorHAnsi" w:hAnsiTheme="minorHAnsi" w:cstheme="minorHAnsi"/>
                <w:color w:val="000000"/>
                <w:sz w:val="22"/>
                <w:szCs w:val="24"/>
              </w:rPr>
              <w:t>2018 à 2019</w:t>
            </w:r>
          </w:p>
        </w:tc>
        <w:tc>
          <w:tcPr>
            <w:tcW w:w="2106" w:type="pct"/>
          </w:tcPr>
          <w:p w14:paraId="02123BF5" w14:textId="77777777" w:rsidR="00C435E6" w:rsidRPr="002D39D0" w:rsidRDefault="00C435E6" w:rsidP="000F48C6">
            <w:pPr>
              <w:autoSpaceDE w:val="0"/>
              <w:autoSpaceDN w:val="0"/>
              <w:adjustRightInd w:val="0"/>
              <w:jc w:val="center"/>
              <w:rPr>
                <w:rFonts w:asciiTheme="minorHAnsi" w:hAnsiTheme="minorHAnsi" w:cstheme="minorHAnsi"/>
                <w:color w:val="000000"/>
                <w:sz w:val="22"/>
                <w:szCs w:val="24"/>
              </w:rPr>
            </w:pPr>
            <w:r w:rsidRPr="002D39D0">
              <w:rPr>
                <w:rFonts w:asciiTheme="minorHAnsi" w:hAnsiTheme="minorHAnsi" w:cstheme="minorHAnsi"/>
                <w:color w:val="000000"/>
                <w:sz w:val="22"/>
                <w:szCs w:val="24"/>
              </w:rPr>
              <w:t>48</w:t>
            </w:r>
          </w:p>
        </w:tc>
        <w:tc>
          <w:tcPr>
            <w:tcW w:w="1818" w:type="pct"/>
          </w:tcPr>
          <w:p w14:paraId="1092E0FA" w14:textId="77777777" w:rsidR="00C435E6" w:rsidRPr="002D39D0" w:rsidRDefault="00C435E6" w:rsidP="000F48C6">
            <w:pPr>
              <w:autoSpaceDE w:val="0"/>
              <w:autoSpaceDN w:val="0"/>
              <w:adjustRightInd w:val="0"/>
              <w:jc w:val="center"/>
              <w:rPr>
                <w:rFonts w:asciiTheme="minorHAnsi" w:hAnsiTheme="minorHAnsi" w:cstheme="minorHAnsi"/>
                <w:color w:val="000000"/>
                <w:sz w:val="22"/>
                <w:szCs w:val="24"/>
              </w:rPr>
            </w:pPr>
            <w:r w:rsidRPr="002D39D0">
              <w:rPr>
                <w:rFonts w:asciiTheme="minorHAnsi" w:hAnsiTheme="minorHAnsi" w:cstheme="minorHAnsi"/>
                <w:color w:val="000000"/>
                <w:sz w:val="22"/>
                <w:szCs w:val="24"/>
              </w:rPr>
              <w:t>179</w:t>
            </w:r>
          </w:p>
        </w:tc>
      </w:tr>
    </w:tbl>
    <w:p w14:paraId="00F79186" w14:textId="77777777" w:rsidR="004D53A0" w:rsidRPr="002D39D0" w:rsidRDefault="00C435E6" w:rsidP="004D53A0">
      <w:r w:rsidRPr="002D39D0">
        <w:rPr>
          <w:rFonts w:asciiTheme="minorHAnsi" w:hAnsiTheme="minorHAnsi" w:cstheme="minorHAnsi"/>
          <w:sz w:val="22"/>
          <w:szCs w:val="24"/>
        </w:rPr>
        <w:t>L’embauche des anciens étudiants inclut les personnes embauchées dans des postes pour une durée déterminée ou une période indéterminée qui avaient une expérience dans le programme fédéral de recrutement étudiant au cours des 10 dernières années.</w:t>
      </w:r>
    </w:p>
    <w:p w14:paraId="34965F94" w14:textId="77777777" w:rsidR="004D53A0" w:rsidRPr="002D39D0" w:rsidRDefault="004D53A0" w:rsidP="004D53A0">
      <w:pPr>
        <w:sectPr w:rsidR="004D53A0" w:rsidRPr="002D39D0" w:rsidSect="00813771">
          <w:pgSz w:w="15840" w:h="12240" w:orient="landscape"/>
          <w:pgMar w:top="680" w:right="680" w:bottom="680" w:left="680" w:header="567" w:footer="567" w:gutter="0"/>
          <w:cols w:space="708"/>
          <w:titlePg/>
          <w:docGrid w:linePitch="360"/>
        </w:sectPr>
      </w:pPr>
    </w:p>
    <w:p w14:paraId="07DD7674" w14:textId="77777777" w:rsidR="00A14577" w:rsidRPr="002D39D0" w:rsidRDefault="00A14577" w:rsidP="00A14577">
      <w:pPr>
        <w:pStyle w:val="Heading1"/>
        <w:spacing w:before="120" w:after="120"/>
        <w:rPr>
          <w:sz w:val="40"/>
        </w:rPr>
      </w:pPr>
      <w:r w:rsidRPr="002D39D0">
        <w:rPr>
          <w:sz w:val="40"/>
        </w:rPr>
        <w:lastRenderedPageBreak/>
        <w:t>Demandes de références pour le re</w:t>
      </w:r>
      <w:r w:rsidR="002E1F5B" w:rsidRPr="002D39D0">
        <w:rPr>
          <w:sz w:val="40"/>
        </w:rPr>
        <w:t>crutement post-secondaire</w:t>
      </w:r>
      <w:r w:rsidRPr="002D39D0">
        <w:rPr>
          <w:sz w:val="40"/>
        </w:rPr>
        <w:t xml:space="preserve"> – 2019</w:t>
      </w:r>
    </w:p>
    <w:p w14:paraId="5615FC45" w14:textId="228745CB" w:rsidR="00957E14" w:rsidRPr="002D39D0" w:rsidRDefault="00957E14" w:rsidP="007C1E3E">
      <w:pPr>
        <w:pStyle w:val="Caption"/>
        <w:keepNext/>
        <w:spacing w:after="0"/>
        <w:rPr>
          <w:rFonts w:asciiTheme="minorHAnsi" w:hAnsiTheme="minorHAnsi" w:cstheme="minorHAnsi"/>
          <w:i w:val="0"/>
          <w:color w:val="auto"/>
        </w:rPr>
      </w:pPr>
      <w:r w:rsidRPr="002D39D0">
        <w:rPr>
          <w:rFonts w:asciiTheme="minorHAnsi" w:hAnsiTheme="minorHAnsi" w:cstheme="minorHAnsi"/>
          <w:i w:val="0"/>
          <w:color w:val="auto"/>
        </w:rPr>
        <w:t xml:space="preserve">Table </w:t>
      </w:r>
      <w:r w:rsidR="00430E64">
        <w:rPr>
          <w:rFonts w:asciiTheme="minorHAnsi" w:hAnsiTheme="minorHAnsi" w:cstheme="minorHAnsi"/>
          <w:i w:val="0"/>
          <w:color w:val="auto"/>
        </w:rPr>
        <w:t>17</w:t>
      </w:r>
      <w:r w:rsidR="005A1492" w:rsidRPr="002D39D0">
        <w:rPr>
          <w:rFonts w:asciiTheme="minorHAnsi" w:hAnsiTheme="minorHAnsi" w:cstheme="minorHAnsi"/>
          <w:i w:val="0"/>
          <w:color w:val="auto"/>
        </w:rPr>
        <w:t xml:space="preserve"> </w:t>
      </w:r>
      <w:r w:rsidRPr="002D39D0">
        <w:rPr>
          <w:rFonts w:asciiTheme="minorHAnsi" w:hAnsiTheme="minorHAnsi" w:cstheme="minorHAnsi"/>
          <w:i w:val="0"/>
          <w:color w:val="auto"/>
        </w:rPr>
        <w:t xml:space="preserve">- Demandes de références pour le </w:t>
      </w:r>
      <w:r w:rsidR="002E1F5B" w:rsidRPr="002D39D0">
        <w:rPr>
          <w:rFonts w:asciiTheme="minorHAnsi" w:hAnsiTheme="minorHAnsi" w:cstheme="minorHAnsi"/>
          <w:i w:val="0"/>
          <w:color w:val="auto"/>
        </w:rPr>
        <w:t>recrutement post-secondaire</w:t>
      </w:r>
      <w:r w:rsidRPr="002D39D0">
        <w:rPr>
          <w:rFonts w:asciiTheme="minorHAnsi" w:hAnsiTheme="minorHAnsi" w:cstheme="minorHAnsi"/>
          <w:i w:val="0"/>
          <w:color w:val="auto"/>
        </w:rPr>
        <w:t xml:space="preserve"> – 201</w:t>
      </w:r>
      <w:r w:rsidR="00F77039" w:rsidRPr="002D39D0">
        <w:rPr>
          <w:rFonts w:asciiTheme="minorHAnsi" w:hAnsiTheme="minorHAnsi" w:cstheme="minorHAnsi"/>
          <w:i w:val="0"/>
          <w:color w:val="auto"/>
        </w:rPr>
        <w:t>9</w:t>
      </w:r>
    </w:p>
    <w:tbl>
      <w:tblPr>
        <w:tblStyle w:val="TableGrid"/>
        <w:tblW w:w="5000" w:type="pct"/>
        <w:jc w:val="center"/>
        <w:tblLayout w:type="fixed"/>
        <w:tblLook w:val="04A0" w:firstRow="1" w:lastRow="0" w:firstColumn="1" w:lastColumn="0" w:noHBand="0" w:noVBand="1"/>
        <w:tblDescription w:val="Demandes de références pour le recrutement post-secondaire– 2019"/>
      </w:tblPr>
      <w:tblGrid>
        <w:gridCol w:w="2726"/>
        <w:gridCol w:w="1230"/>
        <w:gridCol w:w="2275"/>
        <w:gridCol w:w="2266"/>
        <w:gridCol w:w="1514"/>
        <w:gridCol w:w="2367"/>
        <w:gridCol w:w="2092"/>
      </w:tblGrid>
      <w:tr w:rsidR="00A14577" w:rsidRPr="004721CE" w14:paraId="2BB3985D" w14:textId="77777777" w:rsidTr="00A14577">
        <w:trPr>
          <w:cantSplit/>
          <w:trHeight w:val="876"/>
          <w:tblHeader/>
          <w:jc w:val="center"/>
        </w:trPr>
        <w:tc>
          <w:tcPr>
            <w:tcW w:w="942" w:type="pct"/>
            <w:hideMark/>
          </w:tcPr>
          <w:p w14:paraId="247BC723" w14:textId="77777777" w:rsidR="00F27C69" w:rsidRPr="004721CE" w:rsidRDefault="00F27C69" w:rsidP="00466495">
            <w:pPr>
              <w:pStyle w:val="TableTitle"/>
              <w:rPr>
                <w:rFonts w:cs="Segoe UI Semibold"/>
                <w:b w:val="0"/>
                <w:szCs w:val="22"/>
              </w:rPr>
            </w:pPr>
            <w:r w:rsidRPr="004721CE">
              <w:rPr>
                <w:rFonts w:cs="Segoe UI Semibold"/>
                <w:b w:val="0"/>
                <w:szCs w:val="22"/>
              </w:rPr>
              <w:t>M</w:t>
            </w:r>
            <w:r w:rsidR="00957E14" w:rsidRPr="004721CE">
              <w:rPr>
                <w:rFonts w:cs="Segoe UI Semibold"/>
                <w:b w:val="0"/>
                <w:szCs w:val="22"/>
              </w:rPr>
              <w:t>inistère</w:t>
            </w:r>
          </w:p>
        </w:tc>
        <w:tc>
          <w:tcPr>
            <w:tcW w:w="425" w:type="pct"/>
            <w:hideMark/>
          </w:tcPr>
          <w:p w14:paraId="3B934043" w14:textId="77777777" w:rsidR="00F27C69" w:rsidRPr="004721CE" w:rsidRDefault="00F27C69" w:rsidP="00466495">
            <w:pPr>
              <w:pStyle w:val="TableTitle"/>
              <w:rPr>
                <w:rFonts w:cs="Segoe UI Semibold"/>
                <w:b w:val="0"/>
                <w:szCs w:val="22"/>
              </w:rPr>
            </w:pPr>
            <w:r w:rsidRPr="004721CE">
              <w:rPr>
                <w:rFonts w:cs="Segoe UI Semibold"/>
                <w:b w:val="0"/>
                <w:szCs w:val="22"/>
              </w:rPr>
              <w:t>É</w:t>
            </w:r>
            <w:r w:rsidR="00957E14" w:rsidRPr="004721CE">
              <w:rPr>
                <w:rFonts w:cs="Segoe UI Semibold"/>
                <w:b w:val="0"/>
                <w:szCs w:val="22"/>
              </w:rPr>
              <w:t>tat</w:t>
            </w:r>
          </w:p>
        </w:tc>
        <w:tc>
          <w:tcPr>
            <w:tcW w:w="786" w:type="pct"/>
            <w:hideMark/>
          </w:tcPr>
          <w:p w14:paraId="1B152D2C" w14:textId="77777777" w:rsidR="00F27C69" w:rsidRPr="004721CE" w:rsidRDefault="00F27C69" w:rsidP="00A14577">
            <w:pPr>
              <w:pStyle w:val="TableTitle"/>
              <w:rPr>
                <w:rFonts w:cs="Segoe UI Semibold"/>
                <w:b w:val="0"/>
                <w:szCs w:val="22"/>
              </w:rPr>
            </w:pPr>
            <w:r w:rsidRPr="004721CE">
              <w:rPr>
                <w:rFonts w:cs="Segoe UI Semibold"/>
                <w:b w:val="0"/>
                <w:szCs w:val="22"/>
              </w:rPr>
              <w:t>N</w:t>
            </w:r>
            <w:r w:rsidR="00957E14" w:rsidRPr="004721CE">
              <w:rPr>
                <w:rFonts w:cs="Segoe UI Semibold"/>
                <w:b w:val="0"/>
                <w:szCs w:val="22"/>
              </w:rPr>
              <w:t>ombre</w:t>
            </w:r>
            <w:r w:rsidRPr="004721CE">
              <w:rPr>
                <w:rFonts w:cs="Segoe UI Semibold"/>
                <w:b w:val="0"/>
                <w:szCs w:val="22"/>
              </w:rPr>
              <w:t xml:space="preserve"> </w:t>
            </w:r>
            <w:r w:rsidR="00A14577" w:rsidRPr="004721CE">
              <w:rPr>
                <w:rFonts w:cs="Segoe UI Semibold"/>
                <w:b w:val="0"/>
                <w:szCs w:val="22"/>
              </w:rPr>
              <w:t>de références envoyées</w:t>
            </w:r>
          </w:p>
        </w:tc>
        <w:tc>
          <w:tcPr>
            <w:tcW w:w="783" w:type="pct"/>
            <w:hideMark/>
          </w:tcPr>
          <w:p w14:paraId="1672BADE" w14:textId="77777777" w:rsidR="00F27C69" w:rsidRPr="004721CE" w:rsidRDefault="00F27C69" w:rsidP="00A14577">
            <w:pPr>
              <w:pStyle w:val="TableTitle"/>
              <w:rPr>
                <w:rFonts w:cs="Segoe UI Semibold"/>
                <w:b w:val="0"/>
                <w:szCs w:val="22"/>
              </w:rPr>
            </w:pPr>
            <w:r w:rsidRPr="004721CE">
              <w:rPr>
                <w:rFonts w:cs="Segoe UI Semibold"/>
                <w:b w:val="0"/>
                <w:szCs w:val="22"/>
              </w:rPr>
              <w:t>T</w:t>
            </w:r>
            <w:r w:rsidR="00A14577" w:rsidRPr="004721CE">
              <w:rPr>
                <w:rFonts w:cs="Segoe UI Semibold"/>
                <w:b w:val="0"/>
                <w:szCs w:val="22"/>
              </w:rPr>
              <w:t>itre du poste</w:t>
            </w:r>
          </w:p>
        </w:tc>
        <w:tc>
          <w:tcPr>
            <w:tcW w:w="523" w:type="pct"/>
            <w:hideMark/>
          </w:tcPr>
          <w:p w14:paraId="4A778DDF" w14:textId="77777777" w:rsidR="00F27C69" w:rsidRPr="004721CE" w:rsidRDefault="00F27C69" w:rsidP="00A14577">
            <w:pPr>
              <w:pStyle w:val="TableTitle"/>
              <w:rPr>
                <w:rFonts w:cs="Segoe UI Semibold"/>
                <w:b w:val="0"/>
                <w:szCs w:val="22"/>
              </w:rPr>
            </w:pPr>
            <w:r w:rsidRPr="004721CE">
              <w:rPr>
                <w:rFonts w:cs="Segoe UI Semibold"/>
                <w:b w:val="0"/>
                <w:szCs w:val="22"/>
              </w:rPr>
              <w:t>G</w:t>
            </w:r>
            <w:r w:rsidR="00A14577" w:rsidRPr="004721CE">
              <w:rPr>
                <w:rFonts w:cs="Segoe UI Semibold"/>
                <w:b w:val="0"/>
                <w:szCs w:val="22"/>
              </w:rPr>
              <w:t xml:space="preserve">roupe et niveau </w:t>
            </w:r>
          </w:p>
        </w:tc>
        <w:tc>
          <w:tcPr>
            <w:tcW w:w="818" w:type="pct"/>
            <w:hideMark/>
          </w:tcPr>
          <w:p w14:paraId="678A78D4" w14:textId="77777777" w:rsidR="00F27C69" w:rsidRPr="004721CE" w:rsidRDefault="00F27C69" w:rsidP="00A14577">
            <w:pPr>
              <w:pStyle w:val="TableTitle"/>
              <w:rPr>
                <w:rFonts w:cs="Segoe UI Semibold"/>
                <w:b w:val="0"/>
                <w:szCs w:val="22"/>
              </w:rPr>
            </w:pPr>
            <w:r w:rsidRPr="004721CE">
              <w:rPr>
                <w:rFonts w:cs="Segoe UI Semibold"/>
                <w:b w:val="0"/>
                <w:szCs w:val="22"/>
              </w:rPr>
              <w:t>D</w:t>
            </w:r>
            <w:r w:rsidR="00A14577" w:rsidRPr="004721CE">
              <w:rPr>
                <w:rFonts w:cs="Segoe UI Semibold"/>
                <w:b w:val="0"/>
                <w:szCs w:val="22"/>
              </w:rPr>
              <w:t>urée de l’emploi</w:t>
            </w:r>
          </w:p>
        </w:tc>
        <w:tc>
          <w:tcPr>
            <w:tcW w:w="723" w:type="pct"/>
            <w:hideMark/>
          </w:tcPr>
          <w:p w14:paraId="464A4E88" w14:textId="77777777" w:rsidR="00F27C69" w:rsidRPr="004721CE" w:rsidRDefault="00F27C69" w:rsidP="00A14577">
            <w:pPr>
              <w:pStyle w:val="TableTitle"/>
              <w:rPr>
                <w:rFonts w:cs="Segoe UI Semibold"/>
                <w:b w:val="0"/>
                <w:szCs w:val="22"/>
              </w:rPr>
            </w:pPr>
            <w:r w:rsidRPr="004721CE">
              <w:rPr>
                <w:rFonts w:cs="Segoe UI Semibold"/>
                <w:b w:val="0"/>
                <w:szCs w:val="22"/>
              </w:rPr>
              <w:t>N</w:t>
            </w:r>
            <w:r w:rsidR="00A14577" w:rsidRPr="004721CE">
              <w:rPr>
                <w:rFonts w:cs="Segoe UI Semibold"/>
                <w:b w:val="0"/>
                <w:szCs w:val="22"/>
              </w:rPr>
              <w:t>ombre de postes à pourvoir</w:t>
            </w:r>
          </w:p>
        </w:tc>
      </w:tr>
      <w:tr w:rsidR="00466495" w:rsidRPr="002D39D0" w14:paraId="16E68BD8" w14:textId="77777777" w:rsidTr="00A14577">
        <w:trPr>
          <w:cantSplit/>
          <w:trHeight w:val="288"/>
          <w:tblHeader/>
          <w:jc w:val="center"/>
        </w:trPr>
        <w:tc>
          <w:tcPr>
            <w:tcW w:w="942" w:type="pct"/>
            <w:hideMark/>
          </w:tcPr>
          <w:p w14:paraId="23E90346" w14:textId="77777777" w:rsidR="00F27C69" w:rsidRPr="002D39D0" w:rsidRDefault="00F27C69" w:rsidP="00F27C69">
            <w:pPr>
              <w:rPr>
                <w:rFonts w:asciiTheme="minorHAnsi" w:hAnsiTheme="minorHAnsi" w:cstheme="minorHAnsi"/>
                <w:color w:val="000000"/>
                <w:sz w:val="22"/>
                <w:szCs w:val="22"/>
              </w:rPr>
            </w:pPr>
            <w:r w:rsidRPr="002D39D0">
              <w:rPr>
                <w:rFonts w:asciiTheme="minorHAnsi" w:hAnsiTheme="minorHAnsi" w:cstheme="minorHAnsi"/>
                <w:color w:val="000000"/>
                <w:sz w:val="22"/>
                <w:szCs w:val="22"/>
              </w:rPr>
              <w:t xml:space="preserve">Affaires mondiales Canada </w:t>
            </w:r>
          </w:p>
        </w:tc>
        <w:tc>
          <w:tcPr>
            <w:tcW w:w="425" w:type="pct"/>
            <w:hideMark/>
          </w:tcPr>
          <w:p w14:paraId="3D2F65F4" w14:textId="77777777" w:rsidR="00F27C69" w:rsidRPr="002D39D0" w:rsidRDefault="00F27C69" w:rsidP="00A14577">
            <w:pPr>
              <w:jc w:val="center"/>
              <w:rPr>
                <w:rFonts w:asciiTheme="minorHAnsi" w:hAnsiTheme="minorHAnsi" w:cstheme="minorHAnsi"/>
                <w:color w:val="000000"/>
                <w:sz w:val="22"/>
                <w:szCs w:val="22"/>
              </w:rPr>
            </w:pPr>
            <w:r w:rsidRPr="002D39D0">
              <w:rPr>
                <w:rFonts w:asciiTheme="minorHAnsi" w:hAnsiTheme="minorHAnsi" w:cstheme="minorHAnsi"/>
                <w:color w:val="000000"/>
                <w:sz w:val="22"/>
                <w:szCs w:val="22"/>
              </w:rPr>
              <w:t>Achevé</w:t>
            </w:r>
          </w:p>
        </w:tc>
        <w:tc>
          <w:tcPr>
            <w:tcW w:w="786" w:type="pct"/>
            <w:hideMark/>
          </w:tcPr>
          <w:p w14:paraId="5E670D18" w14:textId="77777777" w:rsidR="00F27C69" w:rsidRPr="002D39D0" w:rsidRDefault="00F27C69" w:rsidP="00A14577">
            <w:pPr>
              <w:jc w:val="center"/>
              <w:rPr>
                <w:rFonts w:asciiTheme="minorHAnsi" w:hAnsiTheme="minorHAnsi" w:cstheme="minorHAnsi"/>
                <w:color w:val="000000"/>
                <w:sz w:val="22"/>
                <w:szCs w:val="22"/>
              </w:rPr>
            </w:pPr>
            <w:r w:rsidRPr="002D39D0">
              <w:rPr>
                <w:rFonts w:asciiTheme="minorHAnsi" w:hAnsiTheme="minorHAnsi" w:cstheme="minorHAnsi"/>
                <w:color w:val="000000"/>
                <w:sz w:val="22"/>
                <w:szCs w:val="22"/>
              </w:rPr>
              <w:t>10</w:t>
            </w:r>
          </w:p>
        </w:tc>
        <w:tc>
          <w:tcPr>
            <w:tcW w:w="783" w:type="pct"/>
            <w:hideMark/>
          </w:tcPr>
          <w:p w14:paraId="326E2830" w14:textId="79F741F1" w:rsidR="00F27C69" w:rsidRPr="002D39D0" w:rsidRDefault="00F27C69" w:rsidP="00A14577">
            <w:pPr>
              <w:jc w:val="center"/>
              <w:rPr>
                <w:rFonts w:asciiTheme="minorHAnsi" w:hAnsiTheme="minorHAnsi" w:cstheme="minorHAnsi"/>
                <w:color w:val="000000"/>
                <w:sz w:val="22"/>
                <w:szCs w:val="22"/>
              </w:rPr>
            </w:pPr>
            <w:r w:rsidRPr="002D39D0">
              <w:rPr>
                <w:rFonts w:asciiTheme="minorHAnsi" w:hAnsiTheme="minorHAnsi" w:cstheme="minorHAnsi"/>
                <w:color w:val="000000"/>
                <w:sz w:val="22"/>
                <w:szCs w:val="22"/>
              </w:rPr>
              <w:t>Réceptionniste/</w:t>
            </w:r>
            <w:proofErr w:type="spellStart"/>
            <w:r w:rsidRPr="002D39D0">
              <w:rPr>
                <w:rFonts w:asciiTheme="minorHAnsi" w:hAnsiTheme="minorHAnsi" w:cstheme="minorHAnsi"/>
                <w:color w:val="000000"/>
                <w:sz w:val="22"/>
                <w:szCs w:val="22"/>
              </w:rPr>
              <w:t>Com</w:t>
            </w:r>
            <w:r w:rsidR="00EA5B54">
              <w:rPr>
                <w:rFonts w:asciiTheme="minorHAnsi" w:hAnsiTheme="minorHAnsi" w:cstheme="minorHAnsi"/>
                <w:color w:val="000000"/>
                <w:sz w:val="22"/>
                <w:szCs w:val="22"/>
              </w:rPr>
              <w:t>-</w:t>
            </w:r>
            <w:r w:rsidRPr="002D39D0">
              <w:rPr>
                <w:rFonts w:asciiTheme="minorHAnsi" w:hAnsiTheme="minorHAnsi" w:cstheme="minorHAnsi"/>
                <w:color w:val="000000"/>
                <w:sz w:val="22"/>
                <w:szCs w:val="22"/>
              </w:rPr>
              <w:t>mis</w:t>
            </w:r>
            <w:proofErr w:type="spellEnd"/>
            <w:r w:rsidRPr="002D39D0">
              <w:rPr>
                <w:rFonts w:asciiTheme="minorHAnsi" w:hAnsiTheme="minorHAnsi" w:cstheme="minorHAnsi"/>
                <w:color w:val="000000"/>
                <w:sz w:val="22"/>
                <w:szCs w:val="22"/>
              </w:rPr>
              <w:t xml:space="preserve"> à l’administration</w:t>
            </w:r>
          </w:p>
        </w:tc>
        <w:tc>
          <w:tcPr>
            <w:tcW w:w="523" w:type="pct"/>
            <w:hideMark/>
          </w:tcPr>
          <w:p w14:paraId="47088471" w14:textId="77777777" w:rsidR="00F27C69" w:rsidRPr="002D39D0" w:rsidRDefault="00F27C69" w:rsidP="00A14577">
            <w:pPr>
              <w:jc w:val="center"/>
              <w:rPr>
                <w:rFonts w:asciiTheme="minorHAnsi" w:hAnsiTheme="minorHAnsi" w:cstheme="minorHAnsi"/>
                <w:color w:val="000000"/>
                <w:sz w:val="22"/>
                <w:szCs w:val="22"/>
              </w:rPr>
            </w:pPr>
            <w:r w:rsidRPr="002D39D0">
              <w:rPr>
                <w:rFonts w:asciiTheme="minorHAnsi" w:hAnsiTheme="minorHAnsi" w:cstheme="minorHAnsi"/>
                <w:color w:val="000000"/>
                <w:sz w:val="22"/>
                <w:szCs w:val="22"/>
              </w:rPr>
              <w:t>CR-04</w:t>
            </w:r>
          </w:p>
        </w:tc>
        <w:tc>
          <w:tcPr>
            <w:tcW w:w="818" w:type="pct"/>
            <w:hideMark/>
          </w:tcPr>
          <w:p w14:paraId="2CCDB613" w14:textId="77777777" w:rsidR="00F27C69" w:rsidRPr="002D39D0" w:rsidRDefault="00F27C69" w:rsidP="00A14577">
            <w:pPr>
              <w:jc w:val="center"/>
              <w:rPr>
                <w:rFonts w:asciiTheme="minorHAnsi" w:hAnsiTheme="minorHAnsi" w:cstheme="minorHAnsi"/>
                <w:color w:val="000000"/>
                <w:sz w:val="22"/>
                <w:szCs w:val="22"/>
              </w:rPr>
            </w:pPr>
            <w:r w:rsidRPr="002D39D0">
              <w:rPr>
                <w:rFonts w:asciiTheme="minorHAnsi" w:hAnsiTheme="minorHAnsi" w:cstheme="minorHAnsi"/>
                <w:color w:val="000000"/>
                <w:sz w:val="22"/>
                <w:szCs w:val="22"/>
              </w:rPr>
              <w:t>Durée indéterminée</w:t>
            </w:r>
          </w:p>
        </w:tc>
        <w:tc>
          <w:tcPr>
            <w:tcW w:w="723" w:type="pct"/>
            <w:hideMark/>
          </w:tcPr>
          <w:p w14:paraId="6ACEB444" w14:textId="77777777" w:rsidR="00F27C69" w:rsidRPr="002D39D0" w:rsidRDefault="00F27C69" w:rsidP="00A14577">
            <w:pPr>
              <w:jc w:val="center"/>
              <w:rPr>
                <w:rFonts w:asciiTheme="minorHAnsi" w:hAnsiTheme="minorHAnsi" w:cstheme="minorHAnsi"/>
                <w:color w:val="000000"/>
                <w:sz w:val="22"/>
                <w:szCs w:val="22"/>
              </w:rPr>
            </w:pPr>
            <w:r w:rsidRPr="002D39D0">
              <w:rPr>
                <w:rFonts w:asciiTheme="minorHAnsi" w:hAnsiTheme="minorHAnsi" w:cstheme="minorHAnsi"/>
                <w:color w:val="000000"/>
                <w:sz w:val="22"/>
                <w:szCs w:val="22"/>
              </w:rPr>
              <w:t>1</w:t>
            </w:r>
          </w:p>
        </w:tc>
      </w:tr>
      <w:tr w:rsidR="00466495" w:rsidRPr="002D39D0" w14:paraId="5190E6A4" w14:textId="77777777" w:rsidTr="00A14577">
        <w:trPr>
          <w:cantSplit/>
          <w:trHeight w:val="288"/>
          <w:tblHeader/>
          <w:jc w:val="center"/>
        </w:trPr>
        <w:tc>
          <w:tcPr>
            <w:tcW w:w="942" w:type="pct"/>
            <w:noWrap/>
            <w:hideMark/>
          </w:tcPr>
          <w:p w14:paraId="258F89C1" w14:textId="77777777" w:rsidR="00F27C69" w:rsidRPr="002D39D0" w:rsidRDefault="00F27C69" w:rsidP="00F27C69">
            <w:pPr>
              <w:rPr>
                <w:rFonts w:asciiTheme="minorHAnsi" w:hAnsiTheme="minorHAnsi" w:cstheme="minorHAnsi"/>
                <w:color w:val="000000"/>
                <w:sz w:val="22"/>
                <w:szCs w:val="22"/>
              </w:rPr>
            </w:pPr>
            <w:r w:rsidRPr="002D39D0">
              <w:rPr>
                <w:rFonts w:asciiTheme="minorHAnsi" w:hAnsiTheme="minorHAnsi" w:cstheme="minorHAnsi"/>
                <w:color w:val="000000"/>
                <w:sz w:val="22"/>
                <w:szCs w:val="22"/>
              </w:rPr>
              <w:t xml:space="preserve">Affaires mondiales Canada </w:t>
            </w:r>
          </w:p>
        </w:tc>
        <w:tc>
          <w:tcPr>
            <w:tcW w:w="425" w:type="pct"/>
            <w:hideMark/>
          </w:tcPr>
          <w:p w14:paraId="0EA47201" w14:textId="77777777" w:rsidR="00F27C69" w:rsidRPr="002D39D0" w:rsidRDefault="00F27C69" w:rsidP="00A14577">
            <w:pPr>
              <w:jc w:val="center"/>
              <w:rPr>
                <w:rFonts w:asciiTheme="minorHAnsi" w:hAnsiTheme="minorHAnsi" w:cstheme="minorHAnsi"/>
                <w:color w:val="000000"/>
                <w:sz w:val="22"/>
                <w:szCs w:val="22"/>
              </w:rPr>
            </w:pPr>
            <w:r w:rsidRPr="002D39D0">
              <w:rPr>
                <w:rFonts w:asciiTheme="minorHAnsi" w:hAnsiTheme="minorHAnsi" w:cstheme="minorHAnsi"/>
                <w:color w:val="000000"/>
                <w:sz w:val="22"/>
                <w:szCs w:val="22"/>
              </w:rPr>
              <w:t>Achevé</w:t>
            </w:r>
          </w:p>
        </w:tc>
        <w:tc>
          <w:tcPr>
            <w:tcW w:w="786" w:type="pct"/>
            <w:hideMark/>
          </w:tcPr>
          <w:p w14:paraId="55B64F61" w14:textId="77777777" w:rsidR="00F27C69" w:rsidRPr="002D39D0" w:rsidRDefault="00F27C69" w:rsidP="00A14577">
            <w:pPr>
              <w:jc w:val="center"/>
              <w:rPr>
                <w:rFonts w:asciiTheme="minorHAnsi" w:hAnsiTheme="minorHAnsi" w:cstheme="minorHAnsi"/>
                <w:color w:val="000000"/>
                <w:sz w:val="22"/>
                <w:szCs w:val="22"/>
              </w:rPr>
            </w:pPr>
            <w:r w:rsidRPr="002D39D0">
              <w:rPr>
                <w:rFonts w:asciiTheme="minorHAnsi" w:hAnsiTheme="minorHAnsi" w:cstheme="minorHAnsi"/>
                <w:color w:val="000000"/>
                <w:sz w:val="22"/>
                <w:szCs w:val="22"/>
              </w:rPr>
              <w:t>10</w:t>
            </w:r>
          </w:p>
        </w:tc>
        <w:tc>
          <w:tcPr>
            <w:tcW w:w="783" w:type="pct"/>
            <w:hideMark/>
          </w:tcPr>
          <w:p w14:paraId="4E100CDC" w14:textId="77777777" w:rsidR="00F27C69" w:rsidRPr="002D39D0" w:rsidRDefault="00F27C69" w:rsidP="00A14577">
            <w:pPr>
              <w:jc w:val="center"/>
              <w:rPr>
                <w:rFonts w:asciiTheme="minorHAnsi" w:hAnsiTheme="minorHAnsi" w:cstheme="minorHAnsi"/>
                <w:color w:val="000000"/>
                <w:sz w:val="22"/>
                <w:szCs w:val="22"/>
              </w:rPr>
            </w:pPr>
            <w:r w:rsidRPr="002D39D0">
              <w:rPr>
                <w:rFonts w:asciiTheme="minorHAnsi" w:hAnsiTheme="minorHAnsi" w:cstheme="minorHAnsi"/>
                <w:color w:val="000000"/>
                <w:sz w:val="22"/>
                <w:szCs w:val="22"/>
              </w:rPr>
              <w:t>Agent du service extérieur – Aide internationale</w:t>
            </w:r>
          </w:p>
        </w:tc>
        <w:tc>
          <w:tcPr>
            <w:tcW w:w="523" w:type="pct"/>
            <w:hideMark/>
          </w:tcPr>
          <w:p w14:paraId="58CA3ED8" w14:textId="77777777" w:rsidR="00F27C69" w:rsidRPr="002D39D0" w:rsidRDefault="00F27C69" w:rsidP="00A14577">
            <w:pPr>
              <w:jc w:val="center"/>
              <w:rPr>
                <w:rFonts w:asciiTheme="minorHAnsi" w:hAnsiTheme="minorHAnsi" w:cstheme="minorHAnsi"/>
                <w:color w:val="000000"/>
                <w:sz w:val="22"/>
                <w:szCs w:val="22"/>
              </w:rPr>
            </w:pPr>
            <w:r w:rsidRPr="002D39D0">
              <w:rPr>
                <w:rFonts w:asciiTheme="minorHAnsi" w:hAnsiTheme="minorHAnsi" w:cstheme="minorHAnsi"/>
                <w:color w:val="000000"/>
                <w:sz w:val="22"/>
                <w:szCs w:val="22"/>
              </w:rPr>
              <w:t>FS-01</w:t>
            </w:r>
          </w:p>
        </w:tc>
        <w:tc>
          <w:tcPr>
            <w:tcW w:w="818" w:type="pct"/>
            <w:hideMark/>
          </w:tcPr>
          <w:p w14:paraId="61D9C606" w14:textId="77777777" w:rsidR="00F27C69" w:rsidRPr="002D39D0" w:rsidRDefault="00F27C69" w:rsidP="00A14577">
            <w:pPr>
              <w:jc w:val="center"/>
              <w:rPr>
                <w:rFonts w:asciiTheme="minorHAnsi" w:hAnsiTheme="minorHAnsi" w:cstheme="minorHAnsi"/>
                <w:color w:val="000000"/>
                <w:sz w:val="22"/>
                <w:szCs w:val="22"/>
              </w:rPr>
            </w:pPr>
            <w:r w:rsidRPr="002D39D0">
              <w:rPr>
                <w:rFonts w:asciiTheme="minorHAnsi" w:hAnsiTheme="minorHAnsi" w:cstheme="minorHAnsi"/>
                <w:color w:val="000000"/>
                <w:sz w:val="22"/>
                <w:szCs w:val="22"/>
              </w:rPr>
              <w:t>Durée déterminée de 6 à 12 mois</w:t>
            </w:r>
          </w:p>
        </w:tc>
        <w:tc>
          <w:tcPr>
            <w:tcW w:w="723" w:type="pct"/>
            <w:hideMark/>
          </w:tcPr>
          <w:p w14:paraId="7A8EC10C" w14:textId="77777777" w:rsidR="00F27C69" w:rsidRPr="002D39D0" w:rsidRDefault="00F27C69" w:rsidP="00A14577">
            <w:pPr>
              <w:jc w:val="center"/>
              <w:rPr>
                <w:rFonts w:asciiTheme="minorHAnsi" w:hAnsiTheme="minorHAnsi" w:cstheme="minorHAnsi"/>
                <w:color w:val="000000"/>
                <w:sz w:val="22"/>
                <w:szCs w:val="22"/>
              </w:rPr>
            </w:pPr>
            <w:r w:rsidRPr="002D39D0">
              <w:rPr>
                <w:rFonts w:asciiTheme="minorHAnsi" w:hAnsiTheme="minorHAnsi" w:cstheme="minorHAnsi"/>
                <w:color w:val="000000"/>
                <w:sz w:val="22"/>
                <w:szCs w:val="22"/>
              </w:rPr>
              <w:t>3</w:t>
            </w:r>
          </w:p>
        </w:tc>
      </w:tr>
      <w:tr w:rsidR="00466495" w:rsidRPr="002D39D0" w14:paraId="5A6E8FC3" w14:textId="77777777" w:rsidTr="00A14577">
        <w:trPr>
          <w:cantSplit/>
          <w:trHeight w:val="288"/>
          <w:tblHeader/>
          <w:jc w:val="center"/>
        </w:trPr>
        <w:tc>
          <w:tcPr>
            <w:tcW w:w="942" w:type="pct"/>
            <w:noWrap/>
            <w:hideMark/>
          </w:tcPr>
          <w:p w14:paraId="3EECF007" w14:textId="77777777" w:rsidR="00F27C69" w:rsidRPr="002D39D0" w:rsidRDefault="00F27C69" w:rsidP="00F27C69">
            <w:pPr>
              <w:rPr>
                <w:rFonts w:asciiTheme="minorHAnsi" w:hAnsiTheme="minorHAnsi" w:cstheme="minorHAnsi"/>
                <w:color w:val="000000"/>
                <w:sz w:val="22"/>
                <w:szCs w:val="22"/>
              </w:rPr>
            </w:pPr>
            <w:r w:rsidRPr="002D39D0">
              <w:rPr>
                <w:rFonts w:asciiTheme="minorHAnsi" w:hAnsiTheme="minorHAnsi" w:cstheme="minorHAnsi"/>
                <w:color w:val="000000"/>
                <w:sz w:val="22"/>
                <w:szCs w:val="22"/>
              </w:rPr>
              <w:t xml:space="preserve">Affaires mondiales Canada </w:t>
            </w:r>
          </w:p>
        </w:tc>
        <w:tc>
          <w:tcPr>
            <w:tcW w:w="425" w:type="pct"/>
            <w:hideMark/>
          </w:tcPr>
          <w:p w14:paraId="22C11D34" w14:textId="77777777" w:rsidR="00F27C69" w:rsidRPr="002D39D0" w:rsidRDefault="00F27C69" w:rsidP="00A14577">
            <w:pPr>
              <w:jc w:val="center"/>
              <w:rPr>
                <w:rFonts w:asciiTheme="minorHAnsi" w:hAnsiTheme="minorHAnsi" w:cstheme="minorHAnsi"/>
                <w:color w:val="000000"/>
                <w:sz w:val="22"/>
                <w:szCs w:val="22"/>
              </w:rPr>
            </w:pPr>
            <w:r w:rsidRPr="002D39D0">
              <w:rPr>
                <w:rFonts w:asciiTheme="minorHAnsi" w:hAnsiTheme="minorHAnsi" w:cstheme="minorHAnsi"/>
                <w:color w:val="000000"/>
                <w:sz w:val="22"/>
                <w:szCs w:val="22"/>
              </w:rPr>
              <w:t>Annulé</w:t>
            </w:r>
          </w:p>
        </w:tc>
        <w:tc>
          <w:tcPr>
            <w:tcW w:w="786" w:type="pct"/>
            <w:hideMark/>
          </w:tcPr>
          <w:p w14:paraId="658A1381" w14:textId="77777777" w:rsidR="00F27C69" w:rsidRPr="002D39D0" w:rsidRDefault="00F27C69" w:rsidP="00A14577">
            <w:pPr>
              <w:jc w:val="center"/>
              <w:rPr>
                <w:rFonts w:asciiTheme="minorHAnsi" w:hAnsiTheme="minorHAnsi" w:cstheme="minorHAnsi"/>
                <w:color w:val="000000"/>
                <w:sz w:val="22"/>
                <w:szCs w:val="22"/>
              </w:rPr>
            </w:pPr>
            <w:r w:rsidRPr="002D39D0">
              <w:rPr>
                <w:rFonts w:asciiTheme="minorHAnsi" w:hAnsiTheme="minorHAnsi" w:cstheme="minorHAnsi"/>
                <w:color w:val="000000"/>
                <w:sz w:val="22"/>
                <w:szCs w:val="22"/>
              </w:rPr>
              <w:t>0</w:t>
            </w:r>
          </w:p>
        </w:tc>
        <w:tc>
          <w:tcPr>
            <w:tcW w:w="783" w:type="pct"/>
            <w:hideMark/>
          </w:tcPr>
          <w:p w14:paraId="7D1B1DDE" w14:textId="77777777" w:rsidR="00F27C69" w:rsidRPr="002D39D0" w:rsidRDefault="00F27C69" w:rsidP="00A14577">
            <w:pPr>
              <w:jc w:val="center"/>
              <w:rPr>
                <w:rFonts w:asciiTheme="minorHAnsi" w:hAnsiTheme="minorHAnsi" w:cstheme="minorHAnsi"/>
                <w:color w:val="000000"/>
                <w:sz w:val="22"/>
                <w:szCs w:val="22"/>
              </w:rPr>
            </w:pPr>
            <w:r w:rsidRPr="002D39D0">
              <w:rPr>
                <w:rFonts w:asciiTheme="minorHAnsi" w:hAnsiTheme="minorHAnsi" w:cstheme="minorHAnsi"/>
                <w:color w:val="000000"/>
                <w:sz w:val="22"/>
                <w:szCs w:val="22"/>
              </w:rPr>
              <w:t>Agent du service extérieur – Aide internationale</w:t>
            </w:r>
          </w:p>
        </w:tc>
        <w:tc>
          <w:tcPr>
            <w:tcW w:w="523" w:type="pct"/>
            <w:hideMark/>
          </w:tcPr>
          <w:p w14:paraId="1455BDF8" w14:textId="77777777" w:rsidR="00F27C69" w:rsidRPr="002D39D0" w:rsidRDefault="00F27C69" w:rsidP="00A14577">
            <w:pPr>
              <w:jc w:val="center"/>
              <w:rPr>
                <w:rFonts w:asciiTheme="minorHAnsi" w:hAnsiTheme="minorHAnsi" w:cstheme="minorHAnsi"/>
                <w:color w:val="000000"/>
                <w:sz w:val="22"/>
                <w:szCs w:val="22"/>
              </w:rPr>
            </w:pPr>
            <w:r w:rsidRPr="002D39D0">
              <w:rPr>
                <w:rFonts w:asciiTheme="minorHAnsi" w:hAnsiTheme="minorHAnsi" w:cstheme="minorHAnsi"/>
                <w:color w:val="000000"/>
                <w:sz w:val="22"/>
                <w:szCs w:val="22"/>
              </w:rPr>
              <w:t>FS-02</w:t>
            </w:r>
          </w:p>
        </w:tc>
        <w:tc>
          <w:tcPr>
            <w:tcW w:w="818" w:type="pct"/>
            <w:hideMark/>
          </w:tcPr>
          <w:p w14:paraId="3865915C" w14:textId="77777777" w:rsidR="00F27C69" w:rsidRPr="002D39D0" w:rsidRDefault="00F27C69" w:rsidP="00A14577">
            <w:pPr>
              <w:jc w:val="center"/>
              <w:rPr>
                <w:rFonts w:asciiTheme="minorHAnsi" w:hAnsiTheme="minorHAnsi" w:cstheme="minorHAnsi"/>
                <w:color w:val="000000"/>
                <w:sz w:val="22"/>
                <w:szCs w:val="22"/>
              </w:rPr>
            </w:pPr>
            <w:r w:rsidRPr="002D39D0">
              <w:rPr>
                <w:rFonts w:asciiTheme="minorHAnsi" w:hAnsiTheme="minorHAnsi" w:cstheme="minorHAnsi"/>
                <w:color w:val="000000"/>
                <w:sz w:val="22"/>
                <w:szCs w:val="22"/>
              </w:rPr>
              <w:t>Durée déterminée de 6 à 12 mois</w:t>
            </w:r>
          </w:p>
        </w:tc>
        <w:tc>
          <w:tcPr>
            <w:tcW w:w="723" w:type="pct"/>
            <w:hideMark/>
          </w:tcPr>
          <w:p w14:paraId="2B864E17" w14:textId="77777777" w:rsidR="00F27C69" w:rsidRPr="002D39D0" w:rsidRDefault="00F27C69" w:rsidP="00A14577">
            <w:pPr>
              <w:jc w:val="center"/>
              <w:rPr>
                <w:rFonts w:asciiTheme="minorHAnsi" w:hAnsiTheme="minorHAnsi" w:cstheme="minorHAnsi"/>
                <w:color w:val="000000"/>
                <w:sz w:val="22"/>
                <w:szCs w:val="22"/>
              </w:rPr>
            </w:pPr>
            <w:r w:rsidRPr="002D39D0">
              <w:rPr>
                <w:rFonts w:asciiTheme="minorHAnsi" w:hAnsiTheme="minorHAnsi" w:cstheme="minorHAnsi"/>
                <w:color w:val="000000"/>
                <w:sz w:val="22"/>
                <w:szCs w:val="22"/>
              </w:rPr>
              <w:t>3</w:t>
            </w:r>
          </w:p>
        </w:tc>
      </w:tr>
      <w:tr w:rsidR="00466495" w:rsidRPr="002D39D0" w14:paraId="2E96239B" w14:textId="77777777" w:rsidTr="00A14577">
        <w:trPr>
          <w:cantSplit/>
          <w:trHeight w:val="576"/>
          <w:tblHeader/>
          <w:jc w:val="center"/>
        </w:trPr>
        <w:tc>
          <w:tcPr>
            <w:tcW w:w="942" w:type="pct"/>
            <w:noWrap/>
            <w:hideMark/>
          </w:tcPr>
          <w:p w14:paraId="5E8E09A6" w14:textId="77777777" w:rsidR="00F27C69" w:rsidRPr="002D39D0" w:rsidRDefault="00F27C69" w:rsidP="00F27C69">
            <w:pPr>
              <w:rPr>
                <w:rFonts w:asciiTheme="minorHAnsi" w:hAnsiTheme="minorHAnsi" w:cstheme="minorHAnsi"/>
                <w:color w:val="000000"/>
                <w:sz w:val="22"/>
                <w:szCs w:val="22"/>
              </w:rPr>
            </w:pPr>
            <w:r w:rsidRPr="002D39D0">
              <w:rPr>
                <w:rFonts w:asciiTheme="minorHAnsi" w:hAnsiTheme="minorHAnsi" w:cstheme="minorHAnsi"/>
                <w:color w:val="000000"/>
                <w:sz w:val="22"/>
                <w:szCs w:val="22"/>
              </w:rPr>
              <w:t xml:space="preserve">Affaires mondiales Canada </w:t>
            </w:r>
          </w:p>
        </w:tc>
        <w:tc>
          <w:tcPr>
            <w:tcW w:w="425" w:type="pct"/>
            <w:hideMark/>
          </w:tcPr>
          <w:p w14:paraId="0A150F08" w14:textId="77777777" w:rsidR="00F27C69" w:rsidRPr="002D39D0" w:rsidRDefault="00F27C69" w:rsidP="00A14577">
            <w:pPr>
              <w:jc w:val="center"/>
              <w:rPr>
                <w:rFonts w:asciiTheme="minorHAnsi" w:hAnsiTheme="minorHAnsi" w:cstheme="minorHAnsi"/>
                <w:color w:val="000000"/>
                <w:sz w:val="22"/>
                <w:szCs w:val="22"/>
              </w:rPr>
            </w:pPr>
            <w:r w:rsidRPr="002D39D0">
              <w:rPr>
                <w:rFonts w:asciiTheme="minorHAnsi" w:hAnsiTheme="minorHAnsi" w:cstheme="minorHAnsi"/>
                <w:color w:val="000000"/>
                <w:sz w:val="22"/>
                <w:szCs w:val="22"/>
              </w:rPr>
              <w:t>Achevé</w:t>
            </w:r>
          </w:p>
        </w:tc>
        <w:tc>
          <w:tcPr>
            <w:tcW w:w="786" w:type="pct"/>
            <w:hideMark/>
          </w:tcPr>
          <w:p w14:paraId="64EE64B2" w14:textId="77777777" w:rsidR="00F27C69" w:rsidRPr="002D39D0" w:rsidRDefault="00F27C69" w:rsidP="00A14577">
            <w:pPr>
              <w:jc w:val="center"/>
              <w:rPr>
                <w:rFonts w:asciiTheme="minorHAnsi" w:hAnsiTheme="minorHAnsi" w:cstheme="minorHAnsi"/>
                <w:color w:val="000000"/>
                <w:sz w:val="22"/>
                <w:szCs w:val="22"/>
              </w:rPr>
            </w:pPr>
            <w:r w:rsidRPr="002D39D0">
              <w:rPr>
                <w:rFonts w:asciiTheme="minorHAnsi" w:hAnsiTheme="minorHAnsi" w:cstheme="minorHAnsi"/>
                <w:color w:val="000000"/>
                <w:sz w:val="22"/>
                <w:szCs w:val="22"/>
              </w:rPr>
              <w:t>8</w:t>
            </w:r>
          </w:p>
        </w:tc>
        <w:tc>
          <w:tcPr>
            <w:tcW w:w="783" w:type="pct"/>
            <w:hideMark/>
          </w:tcPr>
          <w:p w14:paraId="2899E2BF" w14:textId="77777777" w:rsidR="00F27C69" w:rsidRPr="002D39D0" w:rsidRDefault="00F27C69" w:rsidP="00A14577">
            <w:pPr>
              <w:jc w:val="center"/>
              <w:rPr>
                <w:rFonts w:asciiTheme="minorHAnsi" w:hAnsiTheme="minorHAnsi" w:cstheme="minorHAnsi"/>
                <w:color w:val="000000"/>
                <w:sz w:val="22"/>
                <w:szCs w:val="22"/>
              </w:rPr>
            </w:pPr>
            <w:r w:rsidRPr="002D39D0">
              <w:rPr>
                <w:rFonts w:asciiTheme="minorHAnsi" w:hAnsiTheme="minorHAnsi" w:cstheme="minorHAnsi"/>
                <w:color w:val="000000"/>
                <w:sz w:val="22"/>
                <w:szCs w:val="22"/>
              </w:rPr>
              <w:t>Conseiller en ressources humaines, perfectionnement, classification</w:t>
            </w:r>
          </w:p>
        </w:tc>
        <w:tc>
          <w:tcPr>
            <w:tcW w:w="523" w:type="pct"/>
            <w:hideMark/>
          </w:tcPr>
          <w:p w14:paraId="329C8A4F" w14:textId="77777777" w:rsidR="00F27C69" w:rsidRPr="002D39D0" w:rsidRDefault="00F27C69" w:rsidP="00A14577">
            <w:pPr>
              <w:jc w:val="center"/>
              <w:rPr>
                <w:rFonts w:asciiTheme="minorHAnsi" w:hAnsiTheme="minorHAnsi" w:cstheme="minorHAnsi"/>
                <w:color w:val="000000"/>
                <w:sz w:val="22"/>
                <w:szCs w:val="22"/>
              </w:rPr>
            </w:pPr>
            <w:r w:rsidRPr="002D39D0">
              <w:rPr>
                <w:rFonts w:asciiTheme="minorHAnsi" w:hAnsiTheme="minorHAnsi" w:cstheme="minorHAnsi"/>
                <w:color w:val="000000"/>
                <w:sz w:val="22"/>
                <w:szCs w:val="22"/>
              </w:rPr>
              <w:t>PE-01</w:t>
            </w:r>
          </w:p>
        </w:tc>
        <w:tc>
          <w:tcPr>
            <w:tcW w:w="818" w:type="pct"/>
            <w:hideMark/>
          </w:tcPr>
          <w:p w14:paraId="3A72D922" w14:textId="77777777" w:rsidR="00F27C69" w:rsidRPr="002D39D0" w:rsidRDefault="00F27C69" w:rsidP="00A14577">
            <w:pPr>
              <w:jc w:val="center"/>
              <w:rPr>
                <w:rFonts w:asciiTheme="minorHAnsi" w:hAnsiTheme="minorHAnsi" w:cstheme="minorHAnsi"/>
                <w:color w:val="000000"/>
                <w:sz w:val="22"/>
                <w:szCs w:val="22"/>
              </w:rPr>
            </w:pPr>
            <w:r w:rsidRPr="002D39D0">
              <w:rPr>
                <w:rFonts w:asciiTheme="minorHAnsi" w:hAnsiTheme="minorHAnsi" w:cstheme="minorHAnsi"/>
                <w:color w:val="000000"/>
                <w:sz w:val="22"/>
                <w:szCs w:val="22"/>
              </w:rPr>
              <w:t>Durée indéterminée</w:t>
            </w:r>
          </w:p>
        </w:tc>
        <w:tc>
          <w:tcPr>
            <w:tcW w:w="723" w:type="pct"/>
            <w:hideMark/>
          </w:tcPr>
          <w:p w14:paraId="6300BE6C" w14:textId="77777777" w:rsidR="00F27C69" w:rsidRPr="002D39D0" w:rsidRDefault="00F27C69" w:rsidP="00A14577">
            <w:pPr>
              <w:jc w:val="center"/>
              <w:rPr>
                <w:rFonts w:asciiTheme="minorHAnsi" w:hAnsiTheme="minorHAnsi" w:cstheme="minorHAnsi"/>
                <w:color w:val="000000"/>
                <w:sz w:val="22"/>
                <w:szCs w:val="22"/>
              </w:rPr>
            </w:pPr>
            <w:r w:rsidRPr="002D39D0">
              <w:rPr>
                <w:rFonts w:asciiTheme="minorHAnsi" w:hAnsiTheme="minorHAnsi" w:cstheme="minorHAnsi"/>
                <w:color w:val="000000"/>
                <w:sz w:val="22"/>
                <w:szCs w:val="22"/>
              </w:rPr>
              <w:t>4</w:t>
            </w:r>
          </w:p>
        </w:tc>
      </w:tr>
      <w:tr w:rsidR="00466495" w:rsidRPr="002D39D0" w14:paraId="752B3BFA" w14:textId="77777777" w:rsidTr="00A14577">
        <w:trPr>
          <w:cantSplit/>
          <w:trHeight w:val="288"/>
          <w:tblHeader/>
          <w:jc w:val="center"/>
        </w:trPr>
        <w:tc>
          <w:tcPr>
            <w:tcW w:w="942" w:type="pct"/>
            <w:noWrap/>
            <w:hideMark/>
          </w:tcPr>
          <w:p w14:paraId="50E0BA23" w14:textId="77777777" w:rsidR="00F27C69" w:rsidRPr="002D39D0" w:rsidRDefault="00F27C69" w:rsidP="00F27C69">
            <w:pPr>
              <w:rPr>
                <w:rFonts w:asciiTheme="minorHAnsi" w:hAnsiTheme="minorHAnsi" w:cstheme="minorHAnsi"/>
                <w:color w:val="000000"/>
                <w:sz w:val="22"/>
                <w:szCs w:val="22"/>
              </w:rPr>
            </w:pPr>
            <w:r w:rsidRPr="002D39D0">
              <w:rPr>
                <w:rFonts w:asciiTheme="minorHAnsi" w:hAnsiTheme="minorHAnsi" w:cstheme="minorHAnsi"/>
                <w:color w:val="000000"/>
                <w:sz w:val="22"/>
                <w:szCs w:val="22"/>
              </w:rPr>
              <w:t xml:space="preserve">Affaires mondiales Canada </w:t>
            </w:r>
          </w:p>
        </w:tc>
        <w:tc>
          <w:tcPr>
            <w:tcW w:w="425" w:type="pct"/>
            <w:hideMark/>
          </w:tcPr>
          <w:p w14:paraId="5851BFD5" w14:textId="77777777" w:rsidR="00F27C69" w:rsidRPr="002D39D0" w:rsidRDefault="00F27C69" w:rsidP="00A14577">
            <w:pPr>
              <w:jc w:val="center"/>
              <w:rPr>
                <w:rFonts w:asciiTheme="minorHAnsi" w:hAnsiTheme="minorHAnsi" w:cstheme="minorHAnsi"/>
                <w:color w:val="000000"/>
                <w:sz w:val="22"/>
                <w:szCs w:val="22"/>
              </w:rPr>
            </w:pPr>
            <w:r w:rsidRPr="002D39D0">
              <w:rPr>
                <w:rFonts w:asciiTheme="minorHAnsi" w:hAnsiTheme="minorHAnsi" w:cstheme="minorHAnsi"/>
                <w:color w:val="000000"/>
                <w:sz w:val="22"/>
                <w:szCs w:val="22"/>
              </w:rPr>
              <w:t>Achevé</w:t>
            </w:r>
          </w:p>
        </w:tc>
        <w:tc>
          <w:tcPr>
            <w:tcW w:w="786" w:type="pct"/>
            <w:hideMark/>
          </w:tcPr>
          <w:p w14:paraId="53393687" w14:textId="77777777" w:rsidR="00F27C69" w:rsidRPr="002D39D0" w:rsidRDefault="00F27C69" w:rsidP="00A14577">
            <w:pPr>
              <w:jc w:val="center"/>
              <w:rPr>
                <w:rFonts w:asciiTheme="minorHAnsi" w:hAnsiTheme="minorHAnsi" w:cstheme="minorHAnsi"/>
                <w:color w:val="000000"/>
                <w:sz w:val="22"/>
                <w:szCs w:val="22"/>
              </w:rPr>
            </w:pPr>
            <w:r w:rsidRPr="002D39D0">
              <w:rPr>
                <w:rFonts w:asciiTheme="minorHAnsi" w:hAnsiTheme="minorHAnsi" w:cstheme="minorHAnsi"/>
                <w:color w:val="000000"/>
                <w:sz w:val="22"/>
                <w:szCs w:val="22"/>
              </w:rPr>
              <w:t>8</w:t>
            </w:r>
          </w:p>
        </w:tc>
        <w:tc>
          <w:tcPr>
            <w:tcW w:w="783" w:type="pct"/>
            <w:hideMark/>
          </w:tcPr>
          <w:p w14:paraId="54EDC550" w14:textId="77777777" w:rsidR="00F27C69" w:rsidRPr="002D39D0" w:rsidRDefault="00F27C69" w:rsidP="00A14577">
            <w:pPr>
              <w:jc w:val="center"/>
              <w:rPr>
                <w:rFonts w:asciiTheme="minorHAnsi" w:hAnsiTheme="minorHAnsi" w:cstheme="minorHAnsi"/>
                <w:color w:val="000000"/>
                <w:sz w:val="22"/>
                <w:szCs w:val="22"/>
              </w:rPr>
            </w:pPr>
            <w:r w:rsidRPr="002D39D0">
              <w:rPr>
                <w:rFonts w:asciiTheme="minorHAnsi" w:hAnsiTheme="minorHAnsi" w:cstheme="minorHAnsi"/>
                <w:color w:val="000000"/>
                <w:sz w:val="22"/>
                <w:szCs w:val="22"/>
              </w:rPr>
              <w:t>Conseiller en ressources humaines</w:t>
            </w:r>
          </w:p>
        </w:tc>
        <w:tc>
          <w:tcPr>
            <w:tcW w:w="523" w:type="pct"/>
            <w:hideMark/>
          </w:tcPr>
          <w:p w14:paraId="40B779F6" w14:textId="77777777" w:rsidR="00F27C69" w:rsidRPr="002D39D0" w:rsidRDefault="00F27C69" w:rsidP="00A14577">
            <w:pPr>
              <w:jc w:val="center"/>
              <w:rPr>
                <w:rFonts w:asciiTheme="minorHAnsi" w:hAnsiTheme="minorHAnsi" w:cstheme="minorHAnsi"/>
                <w:color w:val="000000"/>
                <w:sz w:val="22"/>
                <w:szCs w:val="22"/>
              </w:rPr>
            </w:pPr>
            <w:r w:rsidRPr="002D39D0">
              <w:rPr>
                <w:rFonts w:asciiTheme="minorHAnsi" w:hAnsiTheme="minorHAnsi" w:cstheme="minorHAnsi"/>
                <w:color w:val="000000"/>
                <w:sz w:val="22"/>
                <w:szCs w:val="22"/>
              </w:rPr>
              <w:t>PE-01</w:t>
            </w:r>
          </w:p>
        </w:tc>
        <w:tc>
          <w:tcPr>
            <w:tcW w:w="818" w:type="pct"/>
            <w:hideMark/>
          </w:tcPr>
          <w:p w14:paraId="59CE9B6C" w14:textId="77777777" w:rsidR="00F27C69" w:rsidRPr="002D39D0" w:rsidRDefault="00F27C69" w:rsidP="00A14577">
            <w:pPr>
              <w:jc w:val="center"/>
              <w:rPr>
                <w:rFonts w:asciiTheme="minorHAnsi" w:hAnsiTheme="minorHAnsi" w:cstheme="minorHAnsi"/>
                <w:color w:val="000000"/>
                <w:sz w:val="22"/>
                <w:szCs w:val="22"/>
              </w:rPr>
            </w:pPr>
            <w:r w:rsidRPr="002D39D0">
              <w:rPr>
                <w:rFonts w:asciiTheme="minorHAnsi" w:hAnsiTheme="minorHAnsi" w:cstheme="minorHAnsi"/>
                <w:color w:val="000000"/>
                <w:sz w:val="22"/>
                <w:szCs w:val="22"/>
              </w:rPr>
              <w:t>Durée déterminée de 6 à 12 mois</w:t>
            </w:r>
          </w:p>
        </w:tc>
        <w:tc>
          <w:tcPr>
            <w:tcW w:w="723" w:type="pct"/>
            <w:hideMark/>
          </w:tcPr>
          <w:p w14:paraId="662D5BE5" w14:textId="77777777" w:rsidR="00F27C69" w:rsidRPr="002D39D0" w:rsidRDefault="00F27C69" w:rsidP="00A14577">
            <w:pPr>
              <w:jc w:val="center"/>
              <w:rPr>
                <w:rFonts w:asciiTheme="minorHAnsi" w:hAnsiTheme="minorHAnsi" w:cstheme="minorHAnsi"/>
                <w:color w:val="000000"/>
                <w:sz w:val="22"/>
                <w:szCs w:val="22"/>
              </w:rPr>
            </w:pPr>
            <w:r w:rsidRPr="002D39D0">
              <w:rPr>
                <w:rFonts w:asciiTheme="minorHAnsi" w:hAnsiTheme="minorHAnsi" w:cstheme="minorHAnsi"/>
                <w:color w:val="000000"/>
                <w:sz w:val="22"/>
                <w:szCs w:val="22"/>
              </w:rPr>
              <w:t>1</w:t>
            </w:r>
          </w:p>
        </w:tc>
      </w:tr>
      <w:tr w:rsidR="00466495" w:rsidRPr="002D39D0" w14:paraId="38B4AA67" w14:textId="77777777" w:rsidTr="00A14577">
        <w:trPr>
          <w:cantSplit/>
          <w:trHeight w:val="288"/>
          <w:tblHeader/>
          <w:jc w:val="center"/>
        </w:trPr>
        <w:tc>
          <w:tcPr>
            <w:tcW w:w="942" w:type="pct"/>
            <w:noWrap/>
            <w:hideMark/>
          </w:tcPr>
          <w:p w14:paraId="16A8D338" w14:textId="77777777" w:rsidR="00F27C69" w:rsidRPr="002D39D0" w:rsidRDefault="00F27C69" w:rsidP="00F27C69">
            <w:pPr>
              <w:rPr>
                <w:rFonts w:asciiTheme="minorHAnsi" w:hAnsiTheme="minorHAnsi" w:cstheme="minorHAnsi"/>
                <w:color w:val="000000"/>
                <w:sz w:val="22"/>
                <w:szCs w:val="22"/>
              </w:rPr>
            </w:pPr>
            <w:r w:rsidRPr="002D39D0">
              <w:rPr>
                <w:rFonts w:asciiTheme="minorHAnsi" w:hAnsiTheme="minorHAnsi" w:cstheme="minorHAnsi"/>
                <w:color w:val="000000"/>
                <w:sz w:val="22"/>
                <w:szCs w:val="22"/>
              </w:rPr>
              <w:t xml:space="preserve">Affaires mondiales Canada </w:t>
            </w:r>
          </w:p>
        </w:tc>
        <w:tc>
          <w:tcPr>
            <w:tcW w:w="425" w:type="pct"/>
            <w:hideMark/>
          </w:tcPr>
          <w:p w14:paraId="65BBC64F" w14:textId="77777777" w:rsidR="00F27C69" w:rsidRPr="002D39D0" w:rsidRDefault="00F27C69" w:rsidP="00A14577">
            <w:pPr>
              <w:jc w:val="center"/>
              <w:rPr>
                <w:rFonts w:asciiTheme="minorHAnsi" w:hAnsiTheme="minorHAnsi" w:cstheme="minorHAnsi"/>
                <w:color w:val="000000"/>
                <w:sz w:val="22"/>
                <w:szCs w:val="22"/>
              </w:rPr>
            </w:pPr>
            <w:r w:rsidRPr="002D39D0">
              <w:rPr>
                <w:rFonts w:asciiTheme="minorHAnsi" w:hAnsiTheme="minorHAnsi" w:cstheme="minorHAnsi"/>
                <w:color w:val="000000"/>
                <w:sz w:val="22"/>
                <w:szCs w:val="22"/>
              </w:rPr>
              <w:t>Achevé</w:t>
            </w:r>
          </w:p>
        </w:tc>
        <w:tc>
          <w:tcPr>
            <w:tcW w:w="786" w:type="pct"/>
            <w:hideMark/>
          </w:tcPr>
          <w:p w14:paraId="6FB3C307" w14:textId="77777777" w:rsidR="00F27C69" w:rsidRPr="002D39D0" w:rsidRDefault="00F27C69" w:rsidP="00A14577">
            <w:pPr>
              <w:jc w:val="center"/>
              <w:rPr>
                <w:rFonts w:asciiTheme="minorHAnsi" w:hAnsiTheme="minorHAnsi" w:cstheme="minorHAnsi"/>
                <w:color w:val="000000"/>
                <w:sz w:val="22"/>
                <w:szCs w:val="22"/>
              </w:rPr>
            </w:pPr>
            <w:r w:rsidRPr="002D39D0">
              <w:rPr>
                <w:rFonts w:asciiTheme="minorHAnsi" w:hAnsiTheme="minorHAnsi" w:cstheme="minorHAnsi"/>
                <w:color w:val="000000"/>
                <w:sz w:val="22"/>
                <w:szCs w:val="22"/>
              </w:rPr>
              <w:t>12</w:t>
            </w:r>
          </w:p>
        </w:tc>
        <w:tc>
          <w:tcPr>
            <w:tcW w:w="783" w:type="pct"/>
            <w:hideMark/>
          </w:tcPr>
          <w:p w14:paraId="5E4DC6D2" w14:textId="77777777" w:rsidR="00F27C69" w:rsidRPr="002D39D0" w:rsidRDefault="00F27C69" w:rsidP="00A14577">
            <w:pPr>
              <w:jc w:val="center"/>
              <w:rPr>
                <w:rFonts w:asciiTheme="minorHAnsi" w:hAnsiTheme="minorHAnsi" w:cstheme="minorHAnsi"/>
                <w:color w:val="000000"/>
                <w:sz w:val="22"/>
                <w:szCs w:val="22"/>
              </w:rPr>
            </w:pPr>
            <w:r w:rsidRPr="002D39D0">
              <w:rPr>
                <w:rFonts w:asciiTheme="minorHAnsi" w:hAnsiTheme="minorHAnsi" w:cstheme="minorHAnsi"/>
                <w:color w:val="000000"/>
                <w:sz w:val="22"/>
                <w:szCs w:val="22"/>
              </w:rPr>
              <w:t>Agent de négociation des contrats de la finance innovatrice</w:t>
            </w:r>
          </w:p>
        </w:tc>
        <w:tc>
          <w:tcPr>
            <w:tcW w:w="523" w:type="pct"/>
            <w:hideMark/>
          </w:tcPr>
          <w:p w14:paraId="68D15A0D" w14:textId="77777777" w:rsidR="00F27C69" w:rsidRPr="002D39D0" w:rsidRDefault="00F27C69" w:rsidP="00A14577">
            <w:pPr>
              <w:jc w:val="center"/>
              <w:rPr>
                <w:rFonts w:asciiTheme="minorHAnsi" w:hAnsiTheme="minorHAnsi" w:cstheme="minorHAnsi"/>
                <w:color w:val="000000"/>
                <w:sz w:val="22"/>
                <w:szCs w:val="22"/>
              </w:rPr>
            </w:pPr>
            <w:r w:rsidRPr="002D39D0">
              <w:rPr>
                <w:rFonts w:asciiTheme="minorHAnsi" w:hAnsiTheme="minorHAnsi" w:cstheme="minorHAnsi"/>
                <w:color w:val="000000"/>
                <w:sz w:val="22"/>
                <w:szCs w:val="22"/>
              </w:rPr>
              <w:t>PG-04</w:t>
            </w:r>
          </w:p>
        </w:tc>
        <w:tc>
          <w:tcPr>
            <w:tcW w:w="818" w:type="pct"/>
            <w:hideMark/>
          </w:tcPr>
          <w:p w14:paraId="427896EA" w14:textId="77777777" w:rsidR="00F27C69" w:rsidRPr="002D39D0" w:rsidRDefault="00F27C69" w:rsidP="00A14577">
            <w:pPr>
              <w:jc w:val="center"/>
              <w:rPr>
                <w:rFonts w:asciiTheme="minorHAnsi" w:hAnsiTheme="minorHAnsi" w:cstheme="minorHAnsi"/>
                <w:color w:val="000000"/>
                <w:sz w:val="22"/>
                <w:szCs w:val="22"/>
              </w:rPr>
            </w:pPr>
            <w:r w:rsidRPr="002D39D0">
              <w:rPr>
                <w:rFonts w:asciiTheme="minorHAnsi" w:hAnsiTheme="minorHAnsi" w:cstheme="minorHAnsi"/>
                <w:color w:val="000000"/>
                <w:sz w:val="22"/>
                <w:szCs w:val="22"/>
              </w:rPr>
              <w:t>Durée déterminée de 12 mois et plus</w:t>
            </w:r>
          </w:p>
        </w:tc>
        <w:tc>
          <w:tcPr>
            <w:tcW w:w="723" w:type="pct"/>
            <w:hideMark/>
          </w:tcPr>
          <w:p w14:paraId="274261F5" w14:textId="77777777" w:rsidR="00F27C69" w:rsidRPr="002D39D0" w:rsidRDefault="00F27C69" w:rsidP="00A14577">
            <w:pPr>
              <w:jc w:val="center"/>
              <w:rPr>
                <w:rFonts w:asciiTheme="minorHAnsi" w:hAnsiTheme="minorHAnsi" w:cstheme="minorHAnsi"/>
                <w:color w:val="000000"/>
                <w:sz w:val="22"/>
                <w:szCs w:val="22"/>
              </w:rPr>
            </w:pPr>
            <w:r w:rsidRPr="002D39D0">
              <w:rPr>
                <w:rFonts w:asciiTheme="minorHAnsi" w:hAnsiTheme="minorHAnsi" w:cstheme="minorHAnsi"/>
                <w:color w:val="000000"/>
                <w:sz w:val="22"/>
                <w:szCs w:val="22"/>
              </w:rPr>
              <w:t>1</w:t>
            </w:r>
          </w:p>
        </w:tc>
      </w:tr>
      <w:tr w:rsidR="00466495" w:rsidRPr="002D39D0" w14:paraId="59E1E2E5" w14:textId="77777777" w:rsidTr="00A14577">
        <w:trPr>
          <w:cantSplit/>
          <w:trHeight w:val="288"/>
          <w:tblHeader/>
          <w:jc w:val="center"/>
        </w:trPr>
        <w:tc>
          <w:tcPr>
            <w:tcW w:w="942" w:type="pct"/>
            <w:noWrap/>
            <w:hideMark/>
          </w:tcPr>
          <w:p w14:paraId="05FA0651" w14:textId="77777777" w:rsidR="00F27C69" w:rsidRPr="002D39D0" w:rsidRDefault="00F27C69" w:rsidP="00F27C69">
            <w:pPr>
              <w:rPr>
                <w:rFonts w:asciiTheme="minorHAnsi" w:hAnsiTheme="minorHAnsi" w:cstheme="minorHAnsi"/>
                <w:color w:val="000000"/>
                <w:sz w:val="22"/>
                <w:szCs w:val="22"/>
              </w:rPr>
            </w:pPr>
            <w:r w:rsidRPr="002D39D0">
              <w:rPr>
                <w:rFonts w:asciiTheme="minorHAnsi" w:hAnsiTheme="minorHAnsi" w:cstheme="minorHAnsi"/>
                <w:color w:val="000000"/>
                <w:sz w:val="22"/>
                <w:szCs w:val="22"/>
              </w:rPr>
              <w:t xml:space="preserve">Affaires mondiales Canada </w:t>
            </w:r>
          </w:p>
        </w:tc>
        <w:tc>
          <w:tcPr>
            <w:tcW w:w="425" w:type="pct"/>
            <w:hideMark/>
          </w:tcPr>
          <w:p w14:paraId="63D0FD2F" w14:textId="77777777" w:rsidR="00F27C69" w:rsidRPr="002D39D0" w:rsidRDefault="00F27C69" w:rsidP="00A14577">
            <w:pPr>
              <w:jc w:val="center"/>
              <w:rPr>
                <w:rFonts w:asciiTheme="minorHAnsi" w:hAnsiTheme="minorHAnsi" w:cstheme="minorHAnsi"/>
                <w:color w:val="000000"/>
                <w:sz w:val="22"/>
                <w:szCs w:val="22"/>
              </w:rPr>
            </w:pPr>
            <w:r w:rsidRPr="002D39D0">
              <w:rPr>
                <w:rFonts w:asciiTheme="minorHAnsi" w:hAnsiTheme="minorHAnsi" w:cstheme="minorHAnsi"/>
                <w:color w:val="000000"/>
                <w:sz w:val="22"/>
                <w:szCs w:val="22"/>
              </w:rPr>
              <w:t>Achevé</w:t>
            </w:r>
          </w:p>
        </w:tc>
        <w:tc>
          <w:tcPr>
            <w:tcW w:w="786" w:type="pct"/>
            <w:hideMark/>
          </w:tcPr>
          <w:p w14:paraId="638DD0E9" w14:textId="77777777" w:rsidR="00F27C69" w:rsidRPr="002D39D0" w:rsidRDefault="00A14577" w:rsidP="00A14577">
            <w:pPr>
              <w:jc w:val="center"/>
              <w:rPr>
                <w:rFonts w:asciiTheme="minorHAnsi" w:hAnsiTheme="minorHAnsi" w:cstheme="minorHAnsi"/>
                <w:color w:val="000000"/>
                <w:sz w:val="22"/>
                <w:szCs w:val="22"/>
              </w:rPr>
            </w:pPr>
            <w:r w:rsidRPr="002D39D0">
              <w:rPr>
                <w:rFonts w:asciiTheme="minorHAnsi" w:hAnsiTheme="minorHAnsi" w:cstheme="minorHAnsi"/>
                <w:color w:val="000000"/>
                <w:sz w:val="22"/>
                <w:szCs w:val="22"/>
              </w:rPr>
              <w:t>0</w:t>
            </w:r>
          </w:p>
        </w:tc>
        <w:tc>
          <w:tcPr>
            <w:tcW w:w="783" w:type="pct"/>
            <w:hideMark/>
          </w:tcPr>
          <w:p w14:paraId="52945681" w14:textId="77777777" w:rsidR="00F27C69" w:rsidRPr="002D39D0" w:rsidRDefault="00F27C69" w:rsidP="00A14577">
            <w:pPr>
              <w:jc w:val="center"/>
              <w:rPr>
                <w:rFonts w:asciiTheme="minorHAnsi" w:hAnsiTheme="minorHAnsi" w:cstheme="minorHAnsi"/>
                <w:color w:val="000000"/>
                <w:sz w:val="22"/>
                <w:szCs w:val="22"/>
              </w:rPr>
            </w:pPr>
            <w:r w:rsidRPr="002D39D0">
              <w:rPr>
                <w:rFonts w:asciiTheme="minorHAnsi" w:hAnsiTheme="minorHAnsi" w:cstheme="minorHAnsi"/>
                <w:color w:val="000000"/>
                <w:sz w:val="22"/>
                <w:szCs w:val="22"/>
              </w:rPr>
              <w:t>Agent de projet</w:t>
            </w:r>
          </w:p>
        </w:tc>
        <w:tc>
          <w:tcPr>
            <w:tcW w:w="523" w:type="pct"/>
            <w:hideMark/>
          </w:tcPr>
          <w:p w14:paraId="1FC7873B" w14:textId="77777777" w:rsidR="00F27C69" w:rsidRPr="002D39D0" w:rsidRDefault="00F27C69" w:rsidP="00A14577">
            <w:pPr>
              <w:jc w:val="center"/>
              <w:rPr>
                <w:rFonts w:asciiTheme="minorHAnsi" w:hAnsiTheme="minorHAnsi" w:cstheme="minorHAnsi"/>
                <w:color w:val="000000"/>
                <w:sz w:val="22"/>
                <w:szCs w:val="22"/>
              </w:rPr>
            </w:pPr>
            <w:r w:rsidRPr="002D39D0">
              <w:rPr>
                <w:rFonts w:asciiTheme="minorHAnsi" w:hAnsiTheme="minorHAnsi" w:cstheme="minorHAnsi"/>
                <w:color w:val="000000"/>
                <w:sz w:val="22"/>
                <w:szCs w:val="22"/>
              </w:rPr>
              <w:t>CS-01</w:t>
            </w:r>
          </w:p>
        </w:tc>
        <w:tc>
          <w:tcPr>
            <w:tcW w:w="818" w:type="pct"/>
            <w:hideMark/>
          </w:tcPr>
          <w:p w14:paraId="449B9948" w14:textId="77777777" w:rsidR="00F27C69" w:rsidRPr="002D39D0" w:rsidRDefault="00F27C69" w:rsidP="00A14577">
            <w:pPr>
              <w:jc w:val="center"/>
              <w:rPr>
                <w:rFonts w:asciiTheme="minorHAnsi" w:hAnsiTheme="minorHAnsi" w:cstheme="minorHAnsi"/>
                <w:color w:val="000000"/>
                <w:sz w:val="22"/>
                <w:szCs w:val="22"/>
              </w:rPr>
            </w:pPr>
            <w:r w:rsidRPr="002D39D0">
              <w:rPr>
                <w:rFonts w:asciiTheme="minorHAnsi" w:hAnsiTheme="minorHAnsi" w:cstheme="minorHAnsi"/>
                <w:color w:val="000000"/>
                <w:sz w:val="22"/>
                <w:szCs w:val="22"/>
              </w:rPr>
              <w:t>Durée indéterminée</w:t>
            </w:r>
          </w:p>
        </w:tc>
        <w:tc>
          <w:tcPr>
            <w:tcW w:w="723" w:type="pct"/>
            <w:hideMark/>
          </w:tcPr>
          <w:p w14:paraId="20543780" w14:textId="77777777" w:rsidR="00F27C69" w:rsidRPr="002D39D0" w:rsidRDefault="00F27C69" w:rsidP="00A14577">
            <w:pPr>
              <w:jc w:val="center"/>
              <w:rPr>
                <w:rFonts w:asciiTheme="minorHAnsi" w:hAnsiTheme="minorHAnsi" w:cstheme="minorHAnsi"/>
                <w:color w:val="000000"/>
                <w:sz w:val="22"/>
                <w:szCs w:val="22"/>
              </w:rPr>
            </w:pPr>
            <w:r w:rsidRPr="002D39D0">
              <w:rPr>
                <w:rFonts w:asciiTheme="minorHAnsi" w:hAnsiTheme="minorHAnsi" w:cstheme="minorHAnsi"/>
                <w:color w:val="000000"/>
                <w:sz w:val="22"/>
                <w:szCs w:val="22"/>
              </w:rPr>
              <w:t>2</w:t>
            </w:r>
          </w:p>
        </w:tc>
      </w:tr>
    </w:tbl>
    <w:p w14:paraId="49CA4A46" w14:textId="77777777" w:rsidR="00F27C69" w:rsidRPr="002D39D0" w:rsidRDefault="00F27C69" w:rsidP="00F27C69"/>
    <w:p w14:paraId="70904C86" w14:textId="77777777" w:rsidR="00F27C69" w:rsidRPr="002D39D0" w:rsidRDefault="00F27C69" w:rsidP="00F27C69">
      <w:pPr>
        <w:sectPr w:rsidR="00F27C69" w:rsidRPr="002D39D0" w:rsidSect="00957E14">
          <w:pgSz w:w="15840" w:h="12240" w:orient="landscape" w:code="1"/>
          <w:pgMar w:top="680" w:right="680" w:bottom="680" w:left="680" w:header="567" w:footer="567" w:gutter="0"/>
          <w:cols w:space="708"/>
          <w:titlePg/>
          <w:docGrid w:linePitch="360"/>
        </w:sectPr>
      </w:pPr>
    </w:p>
    <w:p w14:paraId="6AD49C80" w14:textId="77777777" w:rsidR="00E45026" w:rsidRPr="002D39D0" w:rsidRDefault="00E45026" w:rsidP="00E45026">
      <w:pPr>
        <w:pStyle w:val="Heading1"/>
        <w:spacing w:before="120" w:after="120"/>
        <w:rPr>
          <w:sz w:val="40"/>
        </w:rPr>
      </w:pPr>
      <w:r w:rsidRPr="002D39D0">
        <w:rPr>
          <w:sz w:val="40"/>
        </w:rPr>
        <w:lastRenderedPageBreak/>
        <w:t>Durée de dotation interne</w:t>
      </w:r>
    </w:p>
    <w:p w14:paraId="7984C306" w14:textId="77777777" w:rsidR="00142B77" w:rsidRPr="002D39D0" w:rsidRDefault="00E56E7F" w:rsidP="00142B77">
      <w:pPr>
        <w:keepNext/>
      </w:pPr>
      <w:r w:rsidRPr="00302F5B">
        <w:rPr>
          <w:noProof/>
          <w:lang w:val="en-CA" w:eastAsia="en-CA"/>
        </w:rPr>
        <w:drawing>
          <wp:inline distT="0" distB="0" distL="0" distR="0" wp14:anchorId="5B4C0415" wp14:editId="5CA6E6E5">
            <wp:extent cx="5648400" cy="3049200"/>
            <wp:effectExtent l="0" t="0" r="9525" b="18415"/>
            <wp:docPr id="22" name="Chart 22" descr="Durée de dotation interne pour la fonction publique"/>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r w:rsidR="00142B77" w:rsidRPr="006C61AE">
        <w:rPr>
          <w:noProof/>
          <w:lang w:val="en-CA" w:eastAsia="en-CA"/>
        </w:rPr>
        <w:drawing>
          <wp:inline distT="0" distB="0" distL="0" distR="0" wp14:anchorId="197433E1" wp14:editId="10FD24F2">
            <wp:extent cx="5648400" cy="3049200"/>
            <wp:effectExtent l="0" t="0" r="9525" b="18415"/>
            <wp:docPr id="23" name="Chart 23" descr="Durée de dotation interne pour Affaires mondiales Canada"/>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14:paraId="753AA600" w14:textId="77777777" w:rsidR="00142B77" w:rsidRPr="002D39D0" w:rsidRDefault="00142B77" w:rsidP="007C1E3E">
      <w:pPr>
        <w:pStyle w:val="Caption"/>
        <w:tabs>
          <w:tab w:val="left" w:pos="8789"/>
          <w:tab w:val="left" w:pos="8931"/>
        </w:tabs>
        <w:spacing w:after="0"/>
        <w:rPr>
          <w:rFonts w:asciiTheme="minorHAnsi" w:hAnsiTheme="minorHAnsi" w:cstheme="minorHAnsi"/>
          <w:i w:val="0"/>
          <w:color w:val="auto"/>
        </w:rPr>
      </w:pPr>
      <w:r w:rsidRPr="002D39D0">
        <w:rPr>
          <w:rFonts w:asciiTheme="minorHAnsi" w:hAnsiTheme="minorHAnsi" w:cstheme="minorHAnsi"/>
          <w:i w:val="0"/>
          <w:color w:val="auto"/>
        </w:rPr>
        <w:t xml:space="preserve">Figure </w:t>
      </w:r>
      <w:r w:rsidRPr="006C61AE">
        <w:rPr>
          <w:rFonts w:asciiTheme="minorHAnsi" w:hAnsiTheme="minorHAnsi" w:cstheme="minorHAnsi"/>
          <w:i w:val="0"/>
          <w:color w:val="auto"/>
        </w:rPr>
        <w:fldChar w:fldCharType="begin"/>
      </w:r>
      <w:r w:rsidRPr="002D39D0">
        <w:rPr>
          <w:rFonts w:asciiTheme="minorHAnsi" w:hAnsiTheme="minorHAnsi" w:cstheme="minorHAnsi"/>
          <w:i w:val="0"/>
          <w:color w:val="auto"/>
        </w:rPr>
        <w:instrText xml:space="preserve"> SEQ Figure \* ARABIC </w:instrText>
      </w:r>
      <w:r w:rsidRPr="006C61AE">
        <w:rPr>
          <w:rFonts w:asciiTheme="minorHAnsi" w:hAnsiTheme="minorHAnsi" w:cstheme="minorHAnsi"/>
          <w:i w:val="0"/>
          <w:color w:val="auto"/>
        </w:rPr>
        <w:fldChar w:fldCharType="separate"/>
      </w:r>
      <w:r w:rsidR="00DE5258" w:rsidRPr="002D39D0">
        <w:rPr>
          <w:rFonts w:asciiTheme="minorHAnsi" w:hAnsiTheme="minorHAnsi" w:cstheme="minorHAnsi"/>
          <w:i w:val="0"/>
          <w:noProof/>
          <w:color w:val="auto"/>
        </w:rPr>
        <w:t>12</w:t>
      </w:r>
      <w:r w:rsidRPr="006C61AE">
        <w:rPr>
          <w:rFonts w:asciiTheme="minorHAnsi" w:hAnsiTheme="minorHAnsi" w:cstheme="minorHAnsi"/>
          <w:i w:val="0"/>
          <w:color w:val="auto"/>
        </w:rPr>
        <w:fldChar w:fldCharType="end"/>
      </w:r>
      <w:r w:rsidRPr="002D39D0">
        <w:rPr>
          <w:rFonts w:asciiTheme="minorHAnsi" w:hAnsiTheme="minorHAnsi" w:cstheme="minorHAnsi"/>
          <w:i w:val="0"/>
          <w:color w:val="auto"/>
        </w:rPr>
        <w:t xml:space="preserve"> - Durée de dotation interne - Médiane pour la fonction publique </w:t>
      </w:r>
      <w:r w:rsidRPr="002D39D0">
        <w:rPr>
          <w:rFonts w:asciiTheme="minorHAnsi" w:hAnsiTheme="minorHAnsi" w:cstheme="minorHAnsi"/>
          <w:i w:val="0"/>
          <w:color w:val="auto"/>
        </w:rPr>
        <w:tab/>
        <w:t xml:space="preserve">Figure </w:t>
      </w:r>
      <w:r w:rsidRPr="006C61AE">
        <w:rPr>
          <w:rFonts w:asciiTheme="minorHAnsi" w:hAnsiTheme="minorHAnsi" w:cstheme="minorHAnsi"/>
          <w:i w:val="0"/>
          <w:color w:val="auto"/>
        </w:rPr>
        <w:fldChar w:fldCharType="begin"/>
      </w:r>
      <w:r w:rsidRPr="002D39D0">
        <w:rPr>
          <w:rFonts w:asciiTheme="minorHAnsi" w:hAnsiTheme="minorHAnsi" w:cstheme="minorHAnsi"/>
          <w:i w:val="0"/>
          <w:color w:val="auto"/>
        </w:rPr>
        <w:instrText xml:space="preserve"> SEQ Figure \* ARABIC </w:instrText>
      </w:r>
      <w:r w:rsidRPr="006C61AE">
        <w:rPr>
          <w:rFonts w:asciiTheme="minorHAnsi" w:hAnsiTheme="minorHAnsi" w:cstheme="minorHAnsi"/>
          <w:i w:val="0"/>
          <w:color w:val="auto"/>
        </w:rPr>
        <w:fldChar w:fldCharType="separate"/>
      </w:r>
      <w:r w:rsidR="00DE5258" w:rsidRPr="002D39D0">
        <w:rPr>
          <w:rFonts w:asciiTheme="minorHAnsi" w:hAnsiTheme="minorHAnsi" w:cstheme="minorHAnsi"/>
          <w:i w:val="0"/>
          <w:noProof/>
          <w:color w:val="auto"/>
        </w:rPr>
        <w:t>13</w:t>
      </w:r>
      <w:r w:rsidRPr="006C61AE">
        <w:rPr>
          <w:rFonts w:asciiTheme="minorHAnsi" w:hAnsiTheme="minorHAnsi" w:cstheme="minorHAnsi"/>
          <w:i w:val="0"/>
          <w:color w:val="auto"/>
        </w:rPr>
        <w:fldChar w:fldCharType="end"/>
      </w:r>
      <w:r w:rsidRPr="002D39D0">
        <w:rPr>
          <w:rFonts w:asciiTheme="minorHAnsi" w:hAnsiTheme="minorHAnsi" w:cstheme="minorHAnsi"/>
          <w:i w:val="0"/>
          <w:color w:val="auto"/>
        </w:rPr>
        <w:t xml:space="preserve"> - Durée de dotation interne - Médiane pour Affaires mondiales Canada</w:t>
      </w:r>
    </w:p>
    <w:p w14:paraId="65FF52B2" w14:textId="77777777" w:rsidR="00142B77" w:rsidRPr="004721CE" w:rsidRDefault="002A0E9B" w:rsidP="007C1E3E">
      <w:pPr>
        <w:spacing w:before="120" w:after="120"/>
        <w:rPr>
          <w:rFonts w:asciiTheme="minorHAnsi" w:hAnsiTheme="minorHAnsi" w:cstheme="minorHAnsi"/>
          <w:sz w:val="22"/>
          <w:szCs w:val="22"/>
        </w:rPr>
      </w:pPr>
      <w:hyperlink w:anchor="Durée_de_dotation_interne" w:history="1">
        <w:r w:rsidR="00142B77" w:rsidRPr="004721CE">
          <w:rPr>
            <w:rStyle w:val="Hyperlink"/>
            <w:rFonts w:asciiTheme="minorHAnsi" w:hAnsiTheme="minorHAnsi" w:cstheme="minorHAnsi"/>
            <w:b/>
            <w:sz w:val="22"/>
            <w:szCs w:val="22"/>
          </w:rPr>
          <w:t>Tableau des données sur la durée de dotation interne disponible ici</w:t>
        </w:r>
      </w:hyperlink>
    </w:p>
    <w:p w14:paraId="0F146AE2" w14:textId="77777777" w:rsidR="00142B77" w:rsidRPr="002D39D0" w:rsidRDefault="00142B77" w:rsidP="00142B77"/>
    <w:p w14:paraId="1D550904" w14:textId="77777777" w:rsidR="00142B77" w:rsidRPr="002D39D0" w:rsidRDefault="00142B77" w:rsidP="00142B77">
      <w:pPr>
        <w:rPr>
          <w:rFonts w:asciiTheme="minorHAnsi" w:hAnsiTheme="minorHAnsi" w:cstheme="minorHAnsi"/>
          <w:lang w:eastAsia="en-CA"/>
        </w:rPr>
        <w:sectPr w:rsidR="00142B77" w:rsidRPr="002D39D0" w:rsidSect="00142B77">
          <w:pgSz w:w="20160" w:h="12240" w:orient="landscape" w:code="5"/>
          <w:pgMar w:top="680" w:right="680" w:bottom="680" w:left="680" w:header="567" w:footer="567" w:gutter="0"/>
          <w:cols w:space="708"/>
          <w:titlePg/>
          <w:docGrid w:linePitch="360"/>
        </w:sectPr>
      </w:pPr>
    </w:p>
    <w:p w14:paraId="624798AC" w14:textId="77777777" w:rsidR="00142B77" w:rsidRPr="004721CE" w:rsidRDefault="00DD662D" w:rsidP="00142B77">
      <w:pPr>
        <w:rPr>
          <w:rFonts w:asciiTheme="minorHAnsi" w:hAnsiTheme="minorHAnsi" w:cstheme="minorHAnsi"/>
          <w:b/>
          <w:sz w:val="22"/>
          <w:szCs w:val="22"/>
        </w:rPr>
      </w:pPr>
      <w:r w:rsidRPr="004721CE">
        <w:rPr>
          <w:rFonts w:asciiTheme="minorHAnsi" w:hAnsiTheme="minorHAnsi" w:cstheme="minorHAnsi"/>
          <w:sz w:val="22"/>
          <w:szCs w:val="22"/>
          <w:lang w:eastAsia="en-CA"/>
        </w:rPr>
        <w:t>La durée de dotation interne correspond au nombre de jours civils entre la date d'ouverture de l'annonce et la date de la première notification.</w:t>
      </w:r>
    </w:p>
    <w:p w14:paraId="6FB8DD7E" w14:textId="77777777" w:rsidR="00142B77" w:rsidRPr="004721CE" w:rsidRDefault="00142B77" w:rsidP="00142B77">
      <w:pPr>
        <w:rPr>
          <w:rFonts w:asciiTheme="minorHAnsi" w:hAnsiTheme="minorHAnsi" w:cstheme="minorHAnsi"/>
          <w:sz w:val="22"/>
          <w:szCs w:val="22"/>
        </w:rPr>
      </w:pPr>
      <w:r w:rsidRPr="004721CE">
        <w:rPr>
          <w:rFonts w:asciiTheme="minorHAnsi" w:hAnsiTheme="minorHAnsi" w:cstheme="minorHAnsi"/>
          <w:sz w:val="22"/>
          <w:szCs w:val="22"/>
        </w:rPr>
        <w:t xml:space="preserve">La durée médiane de dotation interne pour la fonction publique (organisations assujetties à la </w:t>
      </w:r>
      <w:r w:rsidRPr="004721CE">
        <w:rPr>
          <w:rStyle w:val="Emphasis"/>
          <w:rFonts w:cstheme="minorHAnsi"/>
          <w:szCs w:val="22"/>
        </w:rPr>
        <w:t>Loi sur l’emploi dans la fonction publique</w:t>
      </w:r>
      <w:r w:rsidRPr="004721CE">
        <w:rPr>
          <w:rFonts w:asciiTheme="minorHAnsi" w:hAnsiTheme="minorHAnsi" w:cstheme="minorHAnsi"/>
          <w:sz w:val="22"/>
          <w:szCs w:val="22"/>
        </w:rPr>
        <w:t>) pour l’exercice financier 2018 à 2019 est 176 jours</w:t>
      </w:r>
      <w:r w:rsidR="009A00C5" w:rsidRPr="004721CE">
        <w:rPr>
          <w:rFonts w:asciiTheme="minorHAnsi" w:hAnsiTheme="minorHAnsi" w:cstheme="minorHAnsi"/>
          <w:sz w:val="22"/>
          <w:szCs w:val="22"/>
        </w:rPr>
        <w:t>.</w:t>
      </w:r>
    </w:p>
    <w:p w14:paraId="221610E7" w14:textId="77777777" w:rsidR="00142B77" w:rsidRPr="004721CE" w:rsidRDefault="00142B77" w:rsidP="00142B77">
      <w:pPr>
        <w:rPr>
          <w:rStyle w:val="Strong"/>
          <w:i w:val="0"/>
          <w:szCs w:val="22"/>
        </w:rPr>
      </w:pPr>
      <w:r w:rsidRPr="004721CE">
        <w:rPr>
          <w:rStyle w:val="Strong"/>
          <w:i w:val="0"/>
          <w:szCs w:val="22"/>
        </w:rPr>
        <w:t>Durée de dotation interne pour l’exercice financier de 2018 à 2019</w:t>
      </w:r>
    </w:p>
    <w:p w14:paraId="43933793" w14:textId="12CC306E" w:rsidR="00142B77" w:rsidRPr="004721CE" w:rsidRDefault="00142B77">
      <w:pPr>
        <w:rPr>
          <w:rFonts w:asciiTheme="minorHAnsi" w:hAnsiTheme="minorHAnsi" w:cstheme="minorHAnsi"/>
          <w:sz w:val="22"/>
          <w:szCs w:val="22"/>
        </w:rPr>
      </w:pPr>
      <w:r w:rsidRPr="004721CE">
        <w:rPr>
          <w:rFonts w:asciiTheme="minorHAnsi" w:hAnsiTheme="minorHAnsi" w:cstheme="minorHAnsi"/>
          <w:sz w:val="22"/>
          <w:szCs w:val="22"/>
        </w:rPr>
        <w:t>La durée médiane de dotation interne pour les Affaires mondiales Canada pour l’exercice financier 2018 à 2019 est</w:t>
      </w:r>
      <w:r w:rsidR="006C00E4" w:rsidRPr="004721CE">
        <w:rPr>
          <w:rFonts w:asciiTheme="minorHAnsi" w:hAnsiTheme="minorHAnsi" w:cstheme="minorHAnsi"/>
          <w:sz w:val="22"/>
          <w:szCs w:val="22"/>
        </w:rPr>
        <w:t xml:space="preserve"> de</w:t>
      </w:r>
      <w:r w:rsidRPr="004721CE">
        <w:rPr>
          <w:rFonts w:asciiTheme="minorHAnsi" w:hAnsiTheme="minorHAnsi" w:cstheme="minorHAnsi"/>
          <w:sz w:val="22"/>
          <w:szCs w:val="22"/>
        </w:rPr>
        <w:t xml:space="preserve"> 189 jours</w:t>
      </w:r>
      <w:r w:rsidR="009A00C5" w:rsidRPr="004721CE">
        <w:rPr>
          <w:rFonts w:asciiTheme="minorHAnsi" w:hAnsiTheme="minorHAnsi" w:cstheme="minorHAnsi"/>
          <w:sz w:val="22"/>
          <w:szCs w:val="22"/>
        </w:rPr>
        <w:t>.</w:t>
      </w:r>
    </w:p>
    <w:p w14:paraId="01C7CB16" w14:textId="77777777" w:rsidR="00142B77" w:rsidRPr="002D39D0" w:rsidRDefault="00142B77" w:rsidP="00E56E7F">
      <w:pPr>
        <w:sectPr w:rsidR="00142B77" w:rsidRPr="002D39D0" w:rsidSect="00142B77">
          <w:type w:val="continuous"/>
          <w:pgSz w:w="20160" w:h="12240" w:orient="landscape" w:code="5"/>
          <w:pgMar w:top="680" w:right="680" w:bottom="680" w:left="680" w:header="567" w:footer="567" w:gutter="0"/>
          <w:cols w:num="2" w:space="708"/>
          <w:titlePg/>
          <w:docGrid w:linePitch="360"/>
        </w:sectPr>
      </w:pPr>
    </w:p>
    <w:p w14:paraId="68C6C5CF" w14:textId="77777777" w:rsidR="00DD662D" w:rsidRPr="002D39D0" w:rsidRDefault="00DD662D" w:rsidP="00E56E7F">
      <w:pPr>
        <w:sectPr w:rsidR="00DD662D" w:rsidRPr="002D39D0" w:rsidSect="00142B77">
          <w:type w:val="continuous"/>
          <w:pgSz w:w="20160" w:h="12240" w:orient="landscape" w:code="5"/>
          <w:pgMar w:top="680" w:right="680" w:bottom="680" w:left="680" w:header="567" w:footer="567" w:gutter="0"/>
          <w:cols w:space="708"/>
          <w:titlePg/>
          <w:docGrid w:linePitch="360"/>
        </w:sectPr>
      </w:pPr>
    </w:p>
    <w:p w14:paraId="2C9F8698" w14:textId="77777777" w:rsidR="00B36388" w:rsidRPr="002D39D0" w:rsidRDefault="00B36388" w:rsidP="00B36388">
      <w:pPr>
        <w:pStyle w:val="Heading1"/>
        <w:spacing w:before="120" w:after="120"/>
        <w:rPr>
          <w:sz w:val="40"/>
        </w:rPr>
      </w:pPr>
      <w:r w:rsidRPr="002D39D0">
        <w:rPr>
          <w:sz w:val="40"/>
        </w:rPr>
        <w:lastRenderedPageBreak/>
        <w:t>Durée de dotation interne</w:t>
      </w:r>
    </w:p>
    <w:p w14:paraId="7EFB5161" w14:textId="1F07261D" w:rsidR="00B36388" w:rsidRPr="002D39D0" w:rsidRDefault="00B36388" w:rsidP="00B36388">
      <w:pPr>
        <w:pStyle w:val="Caption"/>
        <w:keepNext/>
        <w:spacing w:after="0"/>
        <w:rPr>
          <w:rFonts w:asciiTheme="minorHAnsi" w:hAnsiTheme="minorHAnsi" w:cstheme="minorHAnsi"/>
          <w:i w:val="0"/>
          <w:color w:val="auto"/>
        </w:rPr>
      </w:pPr>
      <w:r w:rsidRPr="002D39D0">
        <w:rPr>
          <w:rFonts w:asciiTheme="minorHAnsi" w:hAnsiTheme="minorHAnsi" w:cstheme="minorHAnsi"/>
          <w:i w:val="0"/>
          <w:color w:val="auto"/>
        </w:rPr>
        <w:t xml:space="preserve">Table </w:t>
      </w:r>
      <w:r w:rsidR="00430E64">
        <w:rPr>
          <w:rFonts w:asciiTheme="minorHAnsi" w:hAnsiTheme="minorHAnsi" w:cstheme="minorHAnsi"/>
          <w:i w:val="0"/>
          <w:color w:val="auto"/>
        </w:rPr>
        <w:t>18</w:t>
      </w:r>
      <w:r w:rsidRPr="002D39D0">
        <w:rPr>
          <w:rFonts w:asciiTheme="minorHAnsi" w:hAnsiTheme="minorHAnsi" w:cstheme="minorHAnsi"/>
          <w:i w:val="0"/>
          <w:color w:val="auto"/>
        </w:rPr>
        <w:t xml:space="preserve"> - Durée de dotation interne</w:t>
      </w:r>
    </w:p>
    <w:tbl>
      <w:tblPr>
        <w:tblStyle w:val="TableGrid"/>
        <w:tblW w:w="0" w:type="auto"/>
        <w:jc w:val="center"/>
        <w:tblLook w:val="0020" w:firstRow="1" w:lastRow="0" w:firstColumn="0" w:lastColumn="0" w:noHBand="0" w:noVBand="0"/>
        <w:tblDescription w:val="Durée de dotation interne"/>
      </w:tblPr>
      <w:tblGrid>
        <w:gridCol w:w="3823"/>
        <w:gridCol w:w="9880"/>
        <w:gridCol w:w="9407"/>
      </w:tblGrid>
      <w:tr w:rsidR="00E45026" w:rsidRPr="004721CE" w14:paraId="756F6145" w14:textId="77777777" w:rsidTr="00222D78">
        <w:trPr>
          <w:cantSplit/>
          <w:trHeight w:val="290"/>
          <w:tblHeader/>
          <w:jc w:val="center"/>
        </w:trPr>
        <w:tc>
          <w:tcPr>
            <w:tcW w:w="3823" w:type="dxa"/>
          </w:tcPr>
          <w:p w14:paraId="0A6DE01E" w14:textId="77777777" w:rsidR="00E45026" w:rsidRPr="004721CE" w:rsidRDefault="00E45026">
            <w:pPr>
              <w:pStyle w:val="TableTitle"/>
              <w:rPr>
                <w:rFonts w:cs="Segoe UI Semibold"/>
                <w:b w:val="0"/>
                <w:szCs w:val="22"/>
              </w:rPr>
            </w:pPr>
            <w:bookmarkStart w:id="1" w:name="Durée_de_dotation_interne"/>
            <w:r w:rsidRPr="004721CE">
              <w:rPr>
                <w:rFonts w:cs="Segoe UI Semibold"/>
                <w:b w:val="0"/>
                <w:szCs w:val="22"/>
              </w:rPr>
              <w:t>Nombre de jours civils</w:t>
            </w:r>
            <w:bookmarkEnd w:id="1"/>
          </w:p>
        </w:tc>
        <w:tc>
          <w:tcPr>
            <w:tcW w:w="9880" w:type="dxa"/>
          </w:tcPr>
          <w:p w14:paraId="343B8556" w14:textId="38BAF5FB" w:rsidR="00E45026" w:rsidRPr="004721CE" w:rsidRDefault="00E45026" w:rsidP="006C00E4">
            <w:pPr>
              <w:pStyle w:val="TableTitle"/>
              <w:rPr>
                <w:rFonts w:cs="Segoe UI Semibold"/>
                <w:b w:val="0"/>
                <w:szCs w:val="22"/>
              </w:rPr>
            </w:pPr>
            <w:r w:rsidRPr="004721CE">
              <w:rPr>
                <w:rFonts w:cs="Segoe UI Semibold"/>
                <w:b w:val="0"/>
                <w:szCs w:val="22"/>
              </w:rPr>
              <w:t xml:space="preserve">Le nombre de premières embauches internes dans un processus interne (durée de dotation interne) dans les organisations assujetties à la </w:t>
            </w:r>
            <w:r w:rsidRPr="004721CE">
              <w:rPr>
                <w:rStyle w:val="Emphasis"/>
                <w:rFonts w:ascii="Segoe UI Semibold" w:hAnsi="Segoe UI Semibold" w:cs="Segoe UI Semibold"/>
                <w:b w:val="0"/>
                <w:szCs w:val="22"/>
              </w:rPr>
              <w:t>Loi sur l’emploi dans la fonction publique</w:t>
            </w:r>
            <w:r w:rsidRPr="004721CE">
              <w:rPr>
                <w:rFonts w:cs="Segoe UI Semibold"/>
                <w:b w:val="0"/>
                <w:szCs w:val="22"/>
              </w:rPr>
              <w:t xml:space="preserve">, </w:t>
            </w:r>
            <w:r w:rsidR="006C00E4" w:rsidRPr="004721CE">
              <w:rPr>
                <w:rFonts w:cs="Segoe UI Semibold"/>
                <w:b w:val="0"/>
                <w:szCs w:val="22"/>
              </w:rPr>
              <w:t xml:space="preserve">selon </w:t>
            </w:r>
            <w:r w:rsidRPr="004721CE">
              <w:rPr>
                <w:rFonts w:cs="Segoe UI Semibold"/>
                <w:b w:val="0"/>
                <w:szCs w:val="22"/>
              </w:rPr>
              <w:t>le nombre de jours civils spécifié</w:t>
            </w:r>
          </w:p>
        </w:tc>
        <w:tc>
          <w:tcPr>
            <w:tcW w:w="0" w:type="auto"/>
          </w:tcPr>
          <w:p w14:paraId="6A77150C" w14:textId="777B60A4" w:rsidR="00E45026" w:rsidRPr="004721CE" w:rsidRDefault="00E45026" w:rsidP="006C00E4">
            <w:pPr>
              <w:pStyle w:val="TableTitle"/>
              <w:rPr>
                <w:rFonts w:cs="Segoe UI Semibold"/>
                <w:b w:val="0"/>
                <w:szCs w:val="22"/>
              </w:rPr>
            </w:pPr>
            <w:r w:rsidRPr="004721CE">
              <w:rPr>
                <w:rFonts w:cs="Segoe UI Semibold"/>
                <w:b w:val="0"/>
                <w:szCs w:val="22"/>
              </w:rPr>
              <w:t xml:space="preserve">Le nombre de premières embauches internes dans un processus interne (durée de dotation interne) dans l’organisation spécifiée, </w:t>
            </w:r>
            <w:r w:rsidR="006C00E4" w:rsidRPr="004721CE">
              <w:rPr>
                <w:rFonts w:cs="Segoe UI Semibold"/>
                <w:b w:val="0"/>
                <w:szCs w:val="22"/>
              </w:rPr>
              <w:t xml:space="preserve">selon </w:t>
            </w:r>
            <w:proofErr w:type="gramStart"/>
            <w:r w:rsidR="006C00E4" w:rsidRPr="004721CE">
              <w:rPr>
                <w:rFonts w:cs="Segoe UI Semibold"/>
                <w:b w:val="0"/>
                <w:szCs w:val="22"/>
              </w:rPr>
              <w:t xml:space="preserve">le </w:t>
            </w:r>
            <w:r w:rsidRPr="004721CE">
              <w:rPr>
                <w:rFonts w:cs="Segoe UI Semibold"/>
                <w:b w:val="0"/>
                <w:szCs w:val="22"/>
              </w:rPr>
              <w:t xml:space="preserve"> nombre</w:t>
            </w:r>
            <w:proofErr w:type="gramEnd"/>
            <w:r w:rsidRPr="004721CE">
              <w:rPr>
                <w:rFonts w:cs="Segoe UI Semibold"/>
                <w:b w:val="0"/>
                <w:szCs w:val="22"/>
              </w:rPr>
              <w:t xml:space="preserve"> de jours civils spécifié</w:t>
            </w:r>
          </w:p>
        </w:tc>
      </w:tr>
      <w:tr w:rsidR="00E45026" w:rsidRPr="002D39D0" w14:paraId="6CE48C86" w14:textId="77777777" w:rsidTr="00222D78">
        <w:trPr>
          <w:cantSplit/>
          <w:trHeight w:val="290"/>
          <w:tblHeader/>
          <w:jc w:val="center"/>
        </w:trPr>
        <w:tc>
          <w:tcPr>
            <w:tcW w:w="3823" w:type="dxa"/>
          </w:tcPr>
          <w:p w14:paraId="4CF39431" w14:textId="77777777" w:rsidR="00E45026" w:rsidRPr="002D39D0" w:rsidRDefault="00E45026" w:rsidP="000F48C6">
            <w:pPr>
              <w:autoSpaceDE w:val="0"/>
              <w:autoSpaceDN w:val="0"/>
              <w:adjustRightInd w:val="0"/>
              <w:rPr>
                <w:rFonts w:asciiTheme="minorHAnsi" w:hAnsiTheme="minorHAnsi" w:cstheme="minorHAnsi"/>
                <w:color w:val="000000"/>
                <w:szCs w:val="24"/>
              </w:rPr>
            </w:pPr>
            <w:r w:rsidRPr="002D39D0">
              <w:rPr>
                <w:rFonts w:asciiTheme="minorHAnsi" w:hAnsiTheme="minorHAnsi" w:cstheme="minorHAnsi"/>
                <w:color w:val="000000"/>
                <w:szCs w:val="24"/>
              </w:rPr>
              <w:t>0 jours civils</w:t>
            </w:r>
          </w:p>
        </w:tc>
        <w:tc>
          <w:tcPr>
            <w:tcW w:w="9880" w:type="dxa"/>
          </w:tcPr>
          <w:p w14:paraId="37890D05" w14:textId="77777777" w:rsidR="00E45026" w:rsidRPr="002D39D0" w:rsidRDefault="00E45026" w:rsidP="000F48C6">
            <w:pPr>
              <w:autoSpaceDE w:val="0"/>
              <w:autoSpaceDN w:val="0"/>
              <w:adjustRightInd w:val="0"/>
              <w:jc w:val="center"/>
              <w:rPr>
                <w:rFonts w:asciiTheme="minorHAnsi" w:hAnsiTheme="minorHAnsi" w:cstheme="minorHAnsi"/>
                <w:color w:val="000000"/>
                <w:szCs w:val="24"/>
              </w:rPr>
            </w:pPr>
            <w:r w:rsidRPr="002D39D0">
              <w:rPr>
                <w:rFonts w:asciiTheme="minorHAnsi" w:hAnsiTheme="minorHAnsi" w:cstheme="minorHAnsi"/>
                <w:color w:val="000000"/>
                <w:szCs w:val="24"/>
              </w:rPr>
              <w:t>0</w:t>
            </w:r>
          </w:p>
        </w:tc>
        <w:tc>
          <w:tcPr>
            <w:tcW w:w="0" w:type="auto"/>
          </w:tcPr>
          <w:p w14:paraId="1FC53DE7" w14:textId="77777777" w:rsidR="00E45026" w:rsidRPr="002D39D0" w:rsidRDefault="00E45026" w:rsidP="000F48C6">
            <w:pPr>
              <w:autoSpaceDE w:val="0"/>
              <w:autoSpaceDN w:val="0"/>
              <w:adjustRightInd w:val="0"/>
              <w:jc w:val="center"/>
              <w:rPr>
                <w:rFonts w:asciiTheme="minorHAnsi" w:hAnsiTheme="minorHAnsi" w:cstheme="minorHAnsi"/>
                <w:color w:val="000000"/>
                <w:szCs w:val="24"/>
              </w:rPr>
            </w:pPr>
            <w:r w:rsidRPr="002D39D0">
              <w:rPr>
                <w:rFonts w:asciiTheme="minorHAnsi" w:hAnsiTheme="minorHAnsi" w:cstheme="minorHAnsi"/>
                <w:color w:val="000000"/>
                <w:szCs w:val="24"/>
              </w:rPr>
              <w:t>0</w:t>
            </w:r>
          </w:p>
        </w:tc>
      </w:tr>
      <w:tr w:rsidR="00E45026" w:rsidRPr="002D39D0" w14:paraId="2F467574" w14:textId="77777777" w:rsidTr="00222D78">
        <w:trPr>
          <w:cantSplit/>
          <w:trHeight w:val="290"/>
          <w:tblHeader/>
          <w:jc w:val="center"/>
        </w:trPr>
        <w:tc>
          <w:tcPr>
            <w:tcW w:w="3823" w:type="dxa"/>
          </w:tcPr>
          <w:p w14:paraId="16EFE712" w14:textId="77777777" w:rsidR="00E45026" w:rsidRPr="002D39D0" w:rsidRDefault="00E45026" w:rsidP="000F48C6">
            <w:pPr>
              <w:autoSpaceDE w:val="0"/>
              <w:autoSpaceDN w:val="0"/>
              <w:adjustRightInd w:val="0"/>
              <w:rPr>
                <w:rFonts w:asciiTheme="minorHAnsi" w:hAnsiTheme="minorHAnsi" w:cstheme="minorHAnsi"/>
                <w:color w:val="000000"/>
                <w:szCs w:val="24"/>
              </w:rPr>
            </w:pPr>
            <w:r w:rsidRPr="002D39D0">
              <w:rPr>
                <w:rFonts w:asciiTheme="minorHAnsi" w:hAnsiTheme="minorHAnsi" w:cstheme="minorHAnsi"/>
                <w:color w:val="000000"/>
                <w:szCs w:val="24"/>
              </w:rPr>
              <w:t>0 à 29 jours civils</w:t>
            </w:r>
          </w:p>
        </w:tc>
        <w:tc>
          <w:tcPr>
            <w:tcW w:w="9880" w:type="dxa"/>
          </w:tcPr>
          <w:p w14:paraId="0C8050B8" w14:textId="77777777" w:rsidR="00E45026" w:rsidRPr="002D39D0" w:rsidRDefault="00E45026" w:rsidP="000F48C6">
            <w:pPr>
              <w:autoSpaceDE w:val="0"/>
              <w:autoSpaceDN w:val="0"/>
              <w:adjustRightInd w:val="0"/>
              <w:jc w:val="center"/>
              <w:rPr>
                <w:rFonts w:asciiTheme="minorHAnsi" w:hAnsiTheme="minorHAnsi" w:cstheme="minorHAnsi"/>
                <w:color w:val="000000"/>
                <w:szCs w:val="24"/>
              </w:rPr>
            </w:pPr>
            <w:r w:rsidRPr="002D39D0">
              <w:rPr>
                <w:rFonts w:asciiTheme="minorHAnsi" w:hAnsiTheme="minorHAnsi" w:cstheme="minorHAnsi"/>
                <w:szCs w:val="24"/>
              </w:rPr>
              <w:t>15</w:t>
            </w:r>
          </w:p>
        </w:tc>
        <w:tc>
          <w:tcPr>
            <w:tcW w:w="0" w:type="auto"/>
          </w:tcPr>
          <w:p w14:paraId="31A558A5" w14:textId="77777777" w:rsidR="00E45026" w:rsidRPr="002D39D0" w:rsidRDefault="00E45026" w:rsidP="000F48C6">
            <w:pPr>
              <w:autoSpaceDE w:val="0"/>
              <w:autoSpaceDN w:val="0"/>
              <w:adjustRightInd w:val="0"/>
              <w:jc w:val="center"/>
              <w:rPr>
                <w:rFonts w:asciiTheme="minorHAnsi" w:hAnsiTheme="minorHAnsi" w:cstheme="minorHAnsi"/>
                <w:color w:val="000000"/>
                <w:szCs w:val="24"/>
              </w:rPr>
            </w:pPr>
            <w:r w:rsidRPr="002D39D0">
              <w:rPr>
                <w:rFonts w:asciiTheme="minorHAnsi" w:hAnsiTheme="minorHAnsi" w:cstheme="minorHAnsi"/>
                <w:color w:val="000000"/>
                <w:szCs w:val="24"/>
              </w:rPr>
              <w:t>0</w:t>
            </w:r>
          </w:p>
        </w:tc>
      </w:tr>
      <w:tr w:rsidR="00E45026" w:rsidRPr="002D39D0" w14:paraId="00EF3106" w14:textId="77777777" w:rsidTr="00222D78">
        <w:trPr>
          <w:cantSplit/>
          <w:trHeight w:val="290"/>
          <w:tblHeader/>
          <w:jc w:val="center"/>
        </w:trPr>
        <w:tc>
          <w:tcPr>
            <w:tcW w:w="3823" w:type="dxa"/>
          </w:tcPr>
          <w:p w14:paraId="3D14AFDE" w14:textId="77777777" w:rsidR="00E45026" w:rsidRPr="002D39D0" w:rsidRDefault="00E45026" w:rsidP="000F48C6">
            <w:pPr>
              <w:autoSpaceDE w:val="0"/>
              <w:autoSpaceDN w:val="0"/>
              <w:adjustRightInd w:val="0"/>
              <w:rPr>
                <w:rFonts w:asciiTheme="minorHAnsi" w:hAnsiTheme="minorHAnsi" w:cstheme="minorHAnsi"/>
                <w:color w:val="000000"/>
                <w:szCs w:val="24"/>
              </w:rPr>
            </w:pPr>
            <w:r w:rsidRPr="002D39D0">
              <w:rPr>
                <w:rFonts w:asciiTheme="minorHAnsi" w:hAnsiTheme="minorHAnsi" w:cstheme="minorHAnsi"/>
                <w:color w:val="000000"/>
                <w:szCs w:val="24"/>
              </w:rPr>
              <w:t>30 à 59 jours civils</w:t>
            </w:r>
          </w:p>
        </w:tc>
        <w:tc>
          <w:tcPr>
            <w:tcW w:w="9880" w:type="dxa"/>
          </w:tcPr>
          <w:p w14:paraId="5DABB17C" w14:textId="77777777" w:rsidR="00E45026" w:rsidRPr="002D39D0" w:rsidRDefault="00E45026" w:rsidP="000F48C6">
            <w:pPr>
              <w:autoSpaceDE w:val="0"/>
              <w:autoSpaceDN w:val="0"/>
              <w:adjustRightInd w:val="0"/>
              <w:jc w:val="center"/>
              <w:rPr>
                <w:rFonts w:asciiTheme="minorHAnsi" w:hAnsiTheme="minorHAnsi" w:cstheme="minorHAnsi"/>
                <w:color w:val="000000"/>
                <w:szCs w:val="24"/>
              </w:rPr>
            </w:pPr>
            <w:r w:rsidRPr="002D39D0">
              <w:rPr>
                <w:rFonts w:asciiTheme="minorHAnsi" w:hAnsiTheme="minorHAnsi" w:cstheme="minorHAnsi"/>
                <w:szCs w:val="24"/>
              </w:rPr>
              <w:t>130</w:t>
            </w:r>
          </w:p>
        </w:tc>
        <w:tc>
          <w:tcPr>
            <w:tcW w:w="0" w:type="auto"/>
          </w:tcPr>
          <w:p w14:paraId="1EC4DA16" w14:textId="77777777" w:rsidR="00E45026" w:rsidRPr="002D39D0" w:rsidRDefault="00E45026" w:rsidP="000F48C6">
            <w:pPr>
              <w:autoSpaceDE w:val="0"/>
              <w:autoSpaceDN w:val="0"/>
              <w:adjustRightInd w:val="0"/>
              <w:jc w:val="center"/>
              <w:rPr>
                <w:rFonts w:asciiTheme="minorHAnsi" w:hAnsiTheme="minorHAnsi" w:cstheme="minorHAnsi"/>
                <w:color w:val="000000"/>
                <w:szCs w:val="24"/>
              </w:rPr>
            </w:pPr>
            <w:r w:rsidRPr="002D39D0">
              <w:rPr>
                <w:rFonts w:asciiTheme="minorHAnsi" w:hAnsiTheme="minorHAnsi" w:cstheme="minorHAnsi"/>
                <w:color w:val="000000"/>
                <w:szCs w:val="24"/>
              </w:rPr>
              <w:t>0</w:t>
            </w:r>
          </w:p>
        </w:tc>
      </w:tr>
      <w:tr w:rsidR="00E45026" w:rsidRPr="002D39D0" w14:paraId="257B7969" w14:textId="77777777" w:rsidTr="00222D78">
        <w:trPr>
          <w:cantSplit/>
          <w:trHeight w:val="290"/>
          <w:tblHeader/>
          <w:jc w:val="center"/>
        </w:trPr>
        <w:tc>
          <w:tcPr>
            <w:tcW w:w="3823" w:type="dxa"/>
          </w:tcPr>
          <w:p w14:paraId="73385B0A" w14:textId="77777777" w:rsidR="00E45026" w:rsidRPr="002D39D0" w:rsidRDefault="00E45026" w:rsidP="000F48C6">
            <w:pPr>
              <w:autoSpaceDE w:val="0"/>
              <w:autoSpaceDN w:val="0"/>
              <w:adjustRightInd w:val="0"/>
              <w:rPr>
                <w:rFonts w:asciiTheme="minorHAnsi" w:hAnsiTheme="minorHAnsi" w:cstheme="minorHAnsi"/>
                <w:color w:val="000000"/>
                <w:szCs w:val="24"/>
              </w:rPr>
            </w:pPr>
            <w:r w:rsidRPr="002D39D0">
              <w:rPr>
                <w:rFonts w:asciiTheme="minorHAnsi" w:hAnsiTheme="minorHAnsi" w:cstheme="minorHAnsi"/>
                <w:color w:val="000000"/>
                <w:szCs w:val="24"/>
              </w:rPr>
              <w:t>60 à 89 jours civils</w:t>
            </w:r>
          </w:p>
        </w:tc>
        <w:tc>
          <w:tcPr>
            <w:tcW w:w="9880" w:type="dxa"/>
          </w:tcPr>
          <w:p w14:paraId="540980C0" w14:textId="77777777" w:rsidR="00E45026" w:rsidRPr="002D39D0" w:rsidRDefault="00E45026" w:rsidP="000F48C6">
            <w:pPr>
              <w:autoSpaceDE w:val="0"/>
              <w:autoSpaceDN w:val="0"/>
              <w:adjustRightInd w:val="0"/>
              <w:jc w:val="center"/>
              <w:rPr>
                <w:rFonts w:asciiTheme="minorHAnsi" w:hAnsiTheme="minorHAnsi" w:cstheme="minorHAnsi"/>
                <w:color w:val="000000"/>
                <w:szCs w:val="24"/>
              </w:rPr>
            </w:pPr>
            <w:r w:rsidRPr="002D39D0">
              <w:rPr>
                <w:rFonts w:asciiTheme="minorHAnsi" w:hAnsiTheme="minorHAnsi" w:cstheme="minorHAnsi"/>
                <w:szCs w:val="24"/>
              </w:rPr>
              <w:t>277</w:t>
            </w:r>
          </w:p>
        </w:tc>
        <w:tc>
          <w:tcPr>
            <w:tcW w:w="0" w:type="auto"/>
          </w:tcPr>
          <w:p w14:paraId="0B9D1D58" w14:textId="77777777" w:rsidR="00E45026" w:rsidRPr="002D39D0" w:rsidRDefault="00E45026" w:rsidP="000F48C6">
            <w:pPr>
              <w:autoSpaceDE w:val="0"/>
              <w:autoSpaceDN w:val="0"/>
              <w:adjustRightInd w:val="0"/>
              <w:jc w:val="center"/>
              <w:rPr>
                <w:rFonts w:asciiTheme="minorHAnsi" w:hAnsiTheme="minorHAnsi" w:cstheme="minorHAnsi"/>
                <w:color w:val="000000"/>
                <w:szCs w:val="24"/>
              </w:rPr>
            </w:pPr>
            <w:r w:rsidRPr="002D39D0">
              <w:rPr>
                <w:rFonts w:asciiTheme="minorHAnsi" w:hAnsiTheme="minorHAnsi" w:cstheme="minorHAnsi"/>
                <w:color w:val="000000"/>
                <w:szCs w:val="24"/>
              </w:rPr>
              <w:t>4</w:t>
            </w:r>
          </w:p>
        </w:tc>
      </w:tr>
      <w:tr w:rsidR="00E45026" w:rsidRPr="002D39D0" w14:paraId="54AB409A" w14:textId="77777777" w:rsidTr="00222D78">
        <w:trPr>
          <w:cantSplit/>
          <w:trHeight w:val="290"/>
          <w:tblHeader/>
          <w:jc w:val="center"/>
        </w:trPr>
        <w:tc>
          <w:tcPr>
            <w:tcW w:w="3823" w:type="dxa"/>
          </w:tcPr>
          <w:p w14:paraId="0CED6CB7" w14:textId="77777777" w:rsidR="00E45026" w:rsidRPr="002D39D0" w:rsidRDefault="00E45026" w:rsidP="000F48C6">
            <w:pPr>
              <w:autoSpaceDE w:val="0"/>
              <w:autoSpaceDN w:val="0"/>
              <w:adjustRightInd w:val="0"/>
              <w:rPr>
                <w:rFonts w:asciiTheme="minorHAnsi" w:hAnsiTheme="minorHAnsi" w:cstheme="minorHAnsi"/>
                <w:color w:val="000000"/>
                <w:szCs w:val="24"/>
              </w:rPr>
            </w:pPr>
            <w:r w:rsidRPr="002D39D0">
              <w:rPr>
                <w:rFonts w:asciiTheme="minorHAnsi" w:hAnsiTheme="minorHAnsi" w:cstheme="minorHAnsi"/>
                <w:color w:val="000000"/>
                <w:szCs w:val="24"/>
              </w:rPr>
              <w:t>90 à 119 jours civils</w:t>
            </w:r>
          </w:p>
        </w:tc>
        <w:tc>
          <w:tcPr>
            <w:tcW w:w="9880" w:type="dxa"/>
          </w:tcPr>
          <w:p w14:paraId="0B706B78" w14:textId="77777777" w:rsidR="00E45026" w:rsidRPr="002D39D0" w:rsidRDefault="00E45026" w:rsidP="000F48C6">
            <w:pPr>
              <w:autoSpaceDE w:val="0"/>
              <w:autoSpaceDN w:val="0"/>
              <w:adjustRightInd w:val="0"/>
              <w:jc w:val="center"/>
              <w:rPr>
                <w:rFonts w:asciiTheme="minorHAnsi" w:hAnsiTheme="minorHAnsi" w:cstheme="minorHAnsi"/>
                <w:color w:val="000000"/>
                <w:szCs w:val="24"/>
              </w:rPr>
            </w:pPr>
            <w:r w:rsidRPr="002D39D0">
              <w:rPr>
                <w:rFonts w:asciiTheme="minorHAnsi" w:hAnsiTheme="minorHAnsi" w:cstheme="minorHAnsi"/>
                <w:szCs w:val="24"/>
              </w:rPr>
              <w:t>391</w:t>
            </w:r>
          </w:p>
        </w:tc>
        <w:tc>
          <w:tcPr>
            <w:tcW w:w="0" w:type="auto"/>
          </w:tcPr>
          <w:p w14:paraId="72D79CE7" w14:textId="77777777" w:rsidR="00E45026" w:rsidRPr="002D39D0" w:rsidRDefault="00E45026" w:rsidP="000F48C6">
            <w:pPr>
              <w:autoSpaceDE w:val="0"/>
              <w:autoSpaceDN w:val="0"/>
              <w:adjustRightInd w:val="0"/>
              <w:jc w:val="center"/>
              <w:rPr>
                <w:rFonts w:asciiTheme="minorHAnsi" w:hAnsiTheme="minorHAnsi" w:cstheme="minorHAnsi"/>
                <w:color w:val="000000"/>
                <w:szCs w:val="24"/>
              </w:rPr>
            </w:pPr>
            <w:r w:rsidRPr="002D39D0">
              <w:rPr>
                <w:rFonts w:asciiTheme="minorHAnsi" w:hAnsiTheme="minorHAnsi" w:cstheme="minorHAnsi"/>
                <w:color w:val="000000"/>
                <w:szCs w:val="24"/>
              </w:rPr>
              <w:t>9</w:t>
            </w:r>
          </w:p>
        </w:tc>
      </w:tr>
      <w:tr w:rsidR="00E45026" w:rsidRPr="002D39D0" w14:paraId="1C937339" w14:textId="77777777" w:rsidTr="00222D78">
        <w:trPr>
          <w:cantSplit/>
          <w:trHeight w:val="290"/>
          <w:tblHeader/>
          <w:jc w:val="center"/>
        </w:trPr>
        <w:tc>
          <w:tcPr>
            <w:tcW w:w="3823" w:type="dxa"/>
          </w:tcPr>
          <w:p w14:paraId="48DA495C" w14:textId="77777777" w:rsidR="00E45026" w:rsidRPr="002D39D0" w:rsidRDefault="00E45026" w:rsidP="000F48C6">
            <w:pPr>
              <w:autoSpaceDE w:val="0"/>
              <w:autoSpaceDN w:val="0"/>
              <w:adjustRightInd w:val="0"/>
              <w:rPr>
                <w:rFonts w:asciiTheme="minorHAnsi" w:hAnsiTheme="minorHAnsi" w:cstheme="minorHAnsi"/>
                <w:color w:val="000000"/>
                <w:szCs w:val="24"/>
              </w:rPr>
            </w:pPr>
            <w:r w:rsidRPr="002D39D0">
              <w:rPr>
                <w:rFonts w:asciiTheme="minorHAnsi" w:hAnsiTheme="minorHAnsi" w:cstheme="minorHAnsi"/>
                <w:color w:val="000000"/>
                <w:szCs w:val="24"/>
              </w:rPr>
              <w:t>120 à 149 jours civils</w:t>
            </w:r>
          </w:p>
        </w:tc>
        <w:tc>
          <w:tcPr>
            <w:tcW w:w="9880" w:type="dxa"/>
          </w:tcPr>
          <w:p w14:paraId="793D1A19" w14:textId="77777777" w:rsidR="00E45026" w:rsidRPr="002D39D0" w:rsidRDefault="00E45026" w:rsidP="000F48C6">
            <w:pPr>
              <w:autoSpaceDE w:val="0"/>
              <w:autoSpaceDN w:val="0"/>
              <w:adjustRightInd w:val="0"/>
              <w:jc w:val="center"/>
              <w:rPr>
                <w:rFonts w:asciiTheme="minorHAnsi" w:hAnsiTheme="minorHAnsi" w:cstheme="minorHAnsi"/>
                <w:color w:val="000000"/>
                <w:szCs w:val="24"/>
              </w:rPr>
            </w:pPr>
            <w:r w:rsidRPr="002D39D0">
              <w:rPr>
                <w:rFonts w:asciiTheme="minorHAnsi" w:hAnsiTheme="minorHAnsi" w:cstheme="minorHAnsi"/>
                <w:szCs w:val="24"/>
              </w:rPr>
              <w:t>367</w:t>
            </w:r>
          </w:p>
        </w:tc>
        <w:tc>
          <w:tcPr>
            <w:tcW w:w="0" w:type="auto"/>
          </w:tcPr>
          <w:p w14:paraId="381F1C75" w14:textId="77777777" w:rsidR="00E45026" w:rsidRPr="002D39D0" w:rsidRDefault="00E45026" w:rsidP="000F48C6">
            <w:pPr>
              <w:autoSpaceDE w:val="0"/>
              <w:autoSpaceDN w:val="0"/>
              <w:adjustRightInd w:val="0"/>
              <w:jc w:val="center"/>
              <w:rPr>
                <w:rFonts w:asciiTheme="minorHAnsi" w:hAnsiTheme="minorHAnsi" w:cstheme="minorHAnsi"/>
                <w:color w:val="000000"/>
                <w:szCs w:val="24"/>
              </w:rPr>
            </w:pPr>
            <w:r w:rsidRPr="002D39D0">
              <w:rPr>
                <w:rFonts w:asciiTheme="minorHAnsi" w:hAnsiTheme="minorHAnsi" w:cstheme="minorHAnsi"/>
                <w:color w:val="000000"/>
                <w:szCs w:val="24"/>
              </w:rPr>
              <w:t>9</w:t>
            </w:r>
          </w:p>
        </w:tc>
      </w:tr>
      <w:tr w:rsidR="00E45026" w:rsidRPr="002D39D0" w14:paraId="2AA060F7" w14:textId="77777777" w:rsidTr="00222D78">
        <w:trPr>
          <w:cantSplit/>
          <w:trHeight w:val="290"/>
          <w:tblHeader/>
          <w:jc w:val="center"/>
        </w:trPr>
        <w:tc>
          <w:tcPr>
            <w:tcW w:w="3823" w:type="dxa"/>
          </w:tcPr>
          <w:p w14:paraId="5FB80674" w14:textId="77777777" w:rsidR="00E45026" w:rsidRPr="002D39D0" w:rsidRDefault="00E45026" w:rsidP="000F48C6">
            <w:pPr>
              <w:autoSpaceDE w:val="0"/>
              <w:autoSpaceDN w:val="0"/>
              <w:adjustRightInd w:val="0"/>
              <w:rPr>
                <w:rFonts w:asciiTheme="minorHAnsi" w:hAnsiTheme="minorHAnsi" w:cstheme="minorHAnsi"/>
                <w:color w:val="000000"/>
                <w:szCs w:val="24"/>
              </w:rPr>
            </w:pPr>
            <w:r w:rsidRPr="002D39D0">
              <w:rPr>
                <w:rFonts w:asciiTheme="minorHAnsi" w:hAnsiTheme="minorHAnsi" w:cstheme="minorHAnsi"/>
                <w:color w:val="000000"/>
                <w:szCs w:val="24"/>
              </w:rPr>
              <w:t>150 à 179 jours civils</w:t>
            </w:r>
          </w:p>
        </w:tc>
        <w:tc>
          <w:tcPr>
            <w:tcW w:w="9880" w:type="dxa"/>
          </w:tcPr>
          <w:p w14:paraId="31DC8B8C" w14:textId="77777777" w:rsidR="00E45026" w:rsidRPr="002D39D0" w:rsidRDefault="00E45026" w:rsidP="000F48C6">
            <w:pPr>
              <w:autoSpaceDE w:val="0"/>
              <w:autoSpaceDN w:val="0"/>
              <w:adjustRightInd w:val="0"/>
              <w:jc w:val="center"/>
              <w:rPr>
                <w:rFonts w:asciiTheme="minorHAnsi" w:hAnsiTheme="minorHAnsi" w:cstheme="minorHAnsi"/>
                <w:color w:val="000000"/>
                <w:szCs w:val="24"/>
              </w:rPr>
            </w:pPr>
            <w:r w:rsidRPr="002D39D0">
              <w:rPr>
                <w:rFonts w:asciiTheme="minorHAnsi" w:hAnsiTheme="minorHAnsi" w:cstheme="minorHAnsi"/>
                <w:szCs w:val="24"/>
              </w:rPr>
              <w:t>322</w:t>
            </w:r>
          </w:p>
        </w:tc>
        <w:tc>
          <w:tcPr>
            <w:tcW w:w="0" w:type="auto"/>
          </w:tcPr>
          <w:p w14:paraId="74E259EA" w14:textId="77777777" w:rsidR="00E45026" w:rsidRPr="002D39D0" w:rsidRDefault="00E45026" w:rsidP="000F48C6">
            <w:pPr>
              <w:autoSpaceDE w:val="0"/>
              <w:autoSpaceDN w:val="0"/>
              <w:adjustRightInd w:val="0"/>
              <w:jc w:val="center"/>
              <w:rPr>
                <w:rFonts w:asciiTheme="minorHAnsi" w:hAnsiTheme="minorHAnsi" w:cstheme="minorHAnsi"/>
                <w:color w:val="000000"/>
                <w:szCs w:val="24"/>
              </w:rPr>
            </w:pPr>
            <w:r w:rsidRPr="002D39D0">
              <w:rPr>
                <w:rFonts w:asciiTheme="minorHAnsi" w:hAnsiTheme="minorHAnsi" w:cstheme="minorHAnsi"/>
                <w:color w:val="000000"/>
                <w:szCs w:val="24"/>
              </w:rPr>
              <w:t>9</w:t>
            </w:r>
          </w:p>
        </w:tc>
      </w:tr>
      <w:tr w:rsidR="00E45026" w:rsidRPr="002D39D0" w14:paraId="1B78E729" w14:textId="77777777" w:rsidTr="00222D78">
        <w:trPr>
          <w:cantSplit/>
          <w:trHeight w:val="290"/>
          <w:tblHeader/>
          <w:jc w:val="center"/>
        </w:trPr>
        <w:tc>
          <w:tcPr>
            <w:tcW w:w="3823" w:type="dxa"/>
          </w:tcPr>
          <w:p w14:paraId="65B4C06A" w14:textId="77777777" w:rsidR="00E45026" w:rsidRPr="002D39D0" w:rsidRDefault="00E45026" w:rsidP="000F48C6">
            <w:pPr>
              <w:autoSpaceDE w:val="0"/>
              <w:autoSpaceDN w:val="0"/>
              <w:adjustRightInd w:val="0"/>
              <w:rPr>
                <w:rFonts w:asciiTheme="minorHAnsi" w:hAnsiTheme="minorHAnsi" w:cstheme="minorHAnsi"/>
                <w:color w:val="000000"/>
                <w:szCs w:val="24"/>
              </w:rPr>
            </w:pPr>
            <w:r w:rsidRPr="002D39D0">
              <w:rPr>
                <w:rFonts w:asciiTheme="minorHAnsi" w:hAnsiTheme="minorHAnsi" w:cstheme="minorHAnsi"/>
                <w:color w:val="000000"/>
                <w:szCs w:val="24"/>
              </w:rPr>
              <w:t>180 à 209 jours civils</w:t>
            </w:r>
          </w:p>
        </w:tc>
        <w:tc>
          <w:tcPr>
            <w:tcW w:w="9880" w:type="dxa"/>
          </w:tcPr>
          <w:p w14:paraId="624696CB" w14:textId="77777777" w:rsidR="00E45026" w:rsidRPr="002D39D0" w:rsidRDefault="00E45026" w:rsidP="000F48C6">
            <w:pPr>
              <w:autoSpaceDE w:val="0"/>
              <w:autoSpaceDN w:val="0"/>
              <w:adjustRightInd w:val="0"/>
              <w:jc w:val="center"/>
              <w:rPr>
                <w:rFonts w:asciiTheme="minorHAnsi" w:hAnsiTheme="minorHAnsi" w:cstheme="minorHAnsi"/>
                <w:color w:val="000000"/>
                <w:szCs w:val="24"/>
              </w:rPr>
            </w:pPr>
            <w:r w:rsidRPr="002D39D0">
              <w:rPr>
                <w:rFonts w:asciiTheme="minorHAnsi" w:hAnsiTheme="minorHAnsi" w:cstheme="minorHAnsi"/>
                <w:szCs w:val="24"/>
              </w:rPr>
              <w:t>278</w:t>
            </w:r>
          </w:p>
        </w:tc>
        <w:tc>
          <w:tcPr>
            <w:tcW w:w="0" w:type="auto"/>
          </w:tcPr>
          <w:p w14:paraId="4913E65A" w14:textId="77777777" w:rsidR="00E45026" w:rsidRPr="002D39D0" w:rsidRDefault="00E45026" w:rsidP="000F48C6">
            <w:pPr>
              <w:autoSpaceDE w:val="0"/>
              <w:autoSpaceDN w:val="0"/>
              <w:adjustRightInd w:val="0"/>
              <w:jc w:val="center"/>
              <w:rPr>
                <w:rFonts w:asciiTheme="minorHAnsi" w:hAnsiTheme="minorHAnsi" w:cstheme="minorHAnsi"/>
                <w:color w:val="000000"/>
                <w:szCs w:val="24"/>
              </w:rPr>
            </w:pPr>
            <w:r w:rsidRPr="002D39D0">
              <w:rPr>
                <w:rFonts w:asciiTheme="minorHAnsi" w:hAnsiTheme="minorHAnsi" w:cstheme="minorHAnsi"/>
                <w:color w:val="000000"/>
                <w:szCs w:val="24"/>
              </w:rPr>
              <w:t>8</w:t>
            </w:r>
          </w:p>
        </w:tc>
      </w:tr>
      <w:tr w:rsidR="00E45026" w:rsidRPr="002D39D0" w14:paraId="47977389" w14:textId="77777777" w:rsidTr="00222D78">
        <w:trPr>
          <w:cantSplit/>
          <w:trHeight w:val="290"/>
          <w:tblHeader/>
          <w:jc w:val="center"/>
        </w:trPr>
        <w:tc>
          <w:tcPr>
            <w:tcW w:w="3823" w:type="dxa"/>
          </w:tcPr>
          <w:p w14:paraId="0848C8EB" w14:textId="77777777" w:rsidR="00E45026" w:rsidRPr="002D39D0" w:rsidRDefault="00E45026" w:rsidP="000F48C6">
            <w:pPr>
              <w:autoSpaceDE w:val="0"/>
              <w:autoSpaceDN w:val="0"/>
              <w:adjustRightInd w:val="0"/>
              <w:rPr>
                <w:rFonts w:asciiTheme="minorHAnsi" w:hAnsiTheme="minorHAnsi" w:cstheme="minorHAnsi"/>
                <w:color w:val="000000"/>
                <w:szCs w:val="24"/>
              </w:rPr>
            </w:pPr>
            <w:r w:rsidRPr="002D39D0">
              <w:rPr>
                <w:rFonts w:asciiTheme="minorHAnsi" w:hAnsiTheme="minorHAnsi" w:cstheme="minorHAnsi"/>
                <w:color w:val="000000"/>
                <w:szCs w:val="24"/>
              </w:rPr>
              <w:t>210 à 239 jours civils</w:t>
            </w:r>
          </w:p>
        </w:tc>
        <w:tc>
          <w:tcPr>
            <w:tcW w:w="9880" w:type="dxa"/>
          </w:tcPr>
          <w:p w14:paraId="6B509B9C" w14:textId="77777777" w:rsidR="00E45026" w:rsidRPr="002D39D0" w:rsidRDefault="00E45026" w:rsidP="000F48C6">
            <w:pPr>
              <w:autoSpaceDE w:val="0"/>
              <w:autoSpaceDN w:val="0"/>
              <w:adjustRightInd w:val="0"/>
              <w:jc w:val="center"/>
              <w:rPr>
                <w:rFonts w:asciiTheme="minorHAnsi" w:hAnsiTheme="minorHAnsi" w:cstheme="minorHAnsi"/>
                <w:color w:val="000000"/>
                <w:szCs w:val="24"/>
              </w:rPr>
            </w:pPr>
            <w:r w:rsidRPr="002D39D0">
              <w:rPr>
                <w:rFonts w:asciiTheme="minorHAnsi" w:hAnsiTheme="minorHAnsi" w:cstheme="minorHAnsi"/>
                <w:szCs w:val="24"/>
              </w:rPr>
              <w:t>241</w:t>
            </w:r>
          </w:p>
        </w:tc>
        <w:tc>
          <w:tcPr>
            <w:tcW w:w="0" w:type="auto"/>
          </w:tcPr>
          <w:p w14:paraId="0E6EB160" w14:textId="77777777" w:rsidR="00E45026" w:rsidRPr="002D39D0" w:rsidRDefault="00E45026" w:rsidP="000F48C6">
            <w:pPr>
              <w:autoSpaceDE w:val="0"/>
              <w:autoSpaceDN w:val="0"/>
              <w:adjustRightInd w:val="0"/>
              <w:jc w:val="center"/>
              <w:rPr>
                <w:rFonts w:asciiTheme="minorHAnsi" w:hAnsiTheme="minorHAnsi" w:cstheme="minorHAnsi"/>
                <w:color w:val="000000"/>
                <w:szCs w:val="24"/>
              </w:rPr>
            </w:pPr>
            <w:r w:rsidRPr="002D39D0">
              <w:rPr>
                <w:rFonts w:asciiTheme="minorHAnsi" w:hAnsiTheme="minorHAnsi" w:cstheme="minorHAnsi"/>
                <w:color w:val="000000"/>
                <w:szCs w:val="24"/>
              </w:rPr>
              <w:t>7</w:t>
            </w:r>
          </w:p>
        </w:tc>
      </w:tr>
      <w:tr w:rsidR="00E45026" w:rsidRPr="002D39D0" w14:paraId="1BDB58E1" w14:textId="77777777" w:rsidTr="00222D78">
        <w:trPr>
          <w:cantSplit/>
          <w:trHeight w:val="290"/>
          <w:tblHeader/>
          <w:jc w:val="center"/>
        </w:trPr>
        <w:tc>
          <w:tcPr>
            <w:tcW w:w="3823" w:type="dxa"/>
          </w:tcPr>
          <w:p w14:paraId="1838296F" w14:textId="77777777" w:rsidR="00E45026" w:rsidRPr="002D39D0" w:rsidRDefault="00E45026" w:rsidP="000F48C6">
            <w:pPr>
              <w:autoSpaceDE w:val="0"/>
              <w:autoSpaceDN w:val="0"/>
              <w:adjustRightInd w:val="0"/>
              <w:rPr>
                <w:rFonts w:asciiTheme="minorHAnsi" w:hAnsiTheme="minorHAnsi" w:cstheme="minorHAnsi"/>
                <w:color w:val="000000"/>
                <w:szCs w:val="24"/>
              </w:rPr>
            </w:pPr>
            <w:r w:rsidRPr="002D39D0">
              <w:rPr>
                <w:rFonts w:asciiTheme="minorHAnsi" w:hAnsiTheme="minorHAnsi" w:cstheme="minorHAnsi"/>
                <w:color w:val="000000"/>
                <w:szCs w:val="24"/>
              </w:rPr>
              <w:t>240 à 269 jours civils</w:t>
            </w:r>
          </w:p>
        </w:tc>
        <w:tc>
          <w:tcPr>
            <w:tcW w:w="9880" w:type="dxa"/>
          </w:tcPr>
          <w:p w14:paraId="3D9A58EC" w14:textId="77777777" w:rsidR="00E45026" w:rsidRPr="002D39D0" w:rsidRDefault="00E45026" w:rsidP="000F48C6">
            <w:pPr>
              <w:autoSpaceDE w:val="0"/>
              <w:autoSpaceDN w:val="0"/>
              <w:adjustRightInd w:val="0"/>
              <w:jc w:val="center"/>
              <w:rPr>
                <w:rFonts w:asciiTheme="minorHAnsi" w:hAnsiTheme="minorHAnsi" w:cstheme="minorHAnsi"/>
                <w:color w:val="000000"/>
                <w:szCs w:val="24"/>
              </w:rPr>
            </w:pPr>
            <w:r w:rsidRPr="002D39D0">
              <w:rPr>
                <w:rFonts w:asciiTheme="minorHAnsi" w:hAnsiTheme="minorHAnsi" w:cstheme="minorHAnsi"/>
                <w:szCs w:val="24"/>
              </w:rPr>
              <w:t>165</w:t>
            </w:r>
          </w:p>
        </w:tc>
        <w:tc>
          <w:tcPr>
            <w:tcW w:w="0" w:type="auto"/>
          </w:tcPr>
          <w:p w14:paraId="65522827" w14:textId="77777777" w:rsidR="00E45026" w:rsidRPr="002D39D0" w:rsidRDefault="00E45026" w:rsidP="000F48C6">
            <w:pPr>
              <w:autoSpaceDE w:val="0"/>
              <w:autoSpaceDN w:val="0"/>
              <w:adjustRightInd w:val="0"/>
              <w:jc w:val="center"/>
              <w:rPr>
                <w:rFonts w:asciiTheme="minorHAnsi" w:hAnsiTheme="minorHAnsi" w:cstheme="minorHAnsi"/>
                <w:color w:val="000000"/>
                <w:szCs w:val="24"/>
              </w:rPr>
            </w:pPr>
            <w:r w:rsidRPr="002D39D0">
              <w:rPr>
                <w:rFonts w:asciiTheme="minorHAnsi" w:hAnsiTheme="minorHAnsi" w:cstheme="minorHAnsi"/>
                <w:color w:val="000000"/>
                <w:szCs w:val="24"/>
              </w:rPr>
              <w:t>4</w:t>
            </w:r>
          </w:p>
        </w:tc>
      </w:tr>
      <w:tr w:rsidR="00E45026" w:rsidRPr="002D39D0" w14:paraId="2EC0145C" w14:textId="77777777" w:rsidTr="00222D78">
        <w:trPr>
          <w:cantSplit/>
          <w:trHeight w:val="290"/>
          <w:tblHeader/>
          <w:jc w:val="center"/>
        </w:trPr>
        <w:tc>
          <w:tcPr>
            <w:tcW w:w="3823" w:type="dxa"/>
          </w:tcPr>
          <w:p w14:paraId="48ED7B1E" w14:textId="77777777" w:rsidR="00E45026" w:rsidRPr="002D39D0" w:rsidRDefault="00E45026" w:rsidP="000F48C6">
            <w:pPr>
              <w:autoSpaceDE w:val="0"/>
              <w:autoSpaceDN w:val="0"/>
              <w:adjustRightInd w:val="0"/>
              <w:rPr>
                <w:rFonts w:asciiTheme="minorHAnsi" w:hAnsiTheme="minorHAnsi" w:cstheme="minorHAnsi"/>
                <w:color w:val="000000"/>
                <w:szCs w:val="24"/>
              </w:rPr>
            </w:pPr>
            <w:r w:rsidRPr="002D39D0">
              <w:rPr>
                <w:rFonts w:asciiTheme="minorHAnsi" w:hAnsiTheme="minorHAnsi" w:cstheme="minorHAnsi"/>
                <w:color w:val="000000"/>
                <w:szCs w:val="24"/>
              </w:rPr>
              <w:t>270 à 299 jours civils</w:t>
            </w:r>
          </w:p>
        </w:tc>
        <w:tc>
          <w:tcPr>
            <w:tcW w:w="9880" w:type="dxa"/>
          </w:tcPr>
          <w:p w14:paraId="5998FD65" w14:textId="77777777" w:rsidR="00E45026" w:rsidRPr="002D39D0" w:rsidRDefault="00E45026" w:rsidP="000F48C6">
            <w:pPr>
              <w:autoSpaceDE w:val="0"/>
              <w:autoSpaceDN w:val="0"/>
              <w:adjustRightInd w:val="0"/>
              <w:jc w:val="center"/>
              <w:rPr>
                <w:rFonts w:asciiTheme="minorHAnsi" w:hAnsiTheme="minorHAnsi" w:cstheme="minorHAnsi"/>
                <w:color w:val="000000"/>
                <w:szCs w:val="24"/>
              </w:rPr>
            </w:pPr>
            <w:r w:rsidRPr="002D39D0">
              <w:rPr>
                <w:rFonts w:asciiTheme="minorHAnsi" w:hAnsiTheme="minorHAnsi" w:cstheme="minorHAnsi"/>
                <w:szCs w:val="24"/>
              </w:rPr>
              <w:t>134</w:t>
            </w:r>
          </w:p>
        </w:tc>
        <w:tc>
          <w:tcPr>
            <w:tcW w:w="0" w:type="auto"/>
          </w:tcPr>
          <w:p w14:paraId="5D3E012D" w14:textId="77777777" w:rsidR="00E45026" w:rsidRPr="002D39D0" w:rsidRDefault="00E45026" w:rsidP="000F48C6">
            <w:pPr>
              <w:autoSpaceDE w:val="0"/>
              <w:autoSpaceDN w:val="0"/>
              <w:adjustRightInd w:val="0"/>
              <w:jc w:val="center"/>
              <w:rPr>
                <w:rFonts w:asciiTheme="minorHAnsi" w:hAnsiTheme="minorHAnsi" w:cstheme="minorHAnsi"/>
                <w:color w:val="000000"/>
                <w:szCs w:val="24"/>
              </w:rPr>
            </w:pPr>
            <w:r w:rsidRPr="002D39D0">
              <w:rPr>
                <w:rFonts w:asciiTheme="minorHAnsi" w:hAnsiTheme="minorHAnsi" w:cstheme="minorHAnsi"/>
                <w:color w:val="000000"/>
                <w:szCs w:val="24"/>
              </w:rPr>
              <w:t>1</w:t>
            </w:r>
          </w:p>
        </w:tc>
      </w:tr>
      <w:tr w:rsidR="00E45026" w:rsidRPr="002D39D0" w14:paraId="0A0FC464" w14:textId="77777777" w:rsidTr="00222D78">
        <w:trPr>
          <w:cantSplit/>
          <w:trHeight w:val="290"/>
          <w:tblHeader/>
          <w:jc w:val="center"/>
        </w:trPr>
        <w:tc>
          <w:tcPr>
            <w:tcW w:w="3823" w:type="dxa"/>
          </w:tcPr>
          <w:p w14:paraId="19D9CE50" w14:textId="77777777" w:rsidR="00E45026" w:rsidRPr="002D39D0" w:rsidRDefault="00E45026" w:rsidP="000F48C6">
            <w:pPr>
              <w:autoSpaceDE w:val="0"/>
              <w:autoSpaceDN w:val="0"/>
              <w:adjustRightInd w:val="0"/>
              <w:rPr>
                <w:rFonts w:asciiTheme="minorHAnsi" w:hAnsiTheme="minorHAnsi" w:cstheme="minorHAnsi"/>
                <w:color w:val="000000"/>
                <w:szCs w:val="24"/>
              </w:rPr>
            </w:pPr>
            <w:r w:rsidRPr="002D39D0">
              <w:rPr>
                <w:rFonts w:asciiTheme="minorHAnsi" w:hAnsiTheme="minorHAnsi" w:cstheme="minorHAnsi"/>
                <w:color w:val="000000"/>
                <w:szCs w:val="24"/>
              </w:rPr>
              <w:t>300 à 329 jours civils</w:t>
            </w:r>
          </w:p>
        </w:tc>
        <w:tc>
          <w:tcPr>
            <w:tcW w:w="9880" w:type="dxa"/>
          </w:tcPr>
          <w:p w14:paraId="53CC9214" w14:textId="77777777" w:rsidR="00E45026" w:rsidRPr="002D39D0" w:rsidRDefault="00E45026" w:rsidP="000F48C6">
            <w:pPr>
              <w:autoSpaceDE w:val="0"/>
              <w:autoSpaceDN w:val="0"/>
              <w:adjustRightInd w:val="0"/>
              <w:jc w:val="center"/>
              <w:rPr>
                <w:rFonts w:asciiTheme="minorHAnsi" w:hAnsiTheme="minorHAnsi" w:cstheme="minorHAnsi"/>
                <w:color w:val="000000"/>
                <w:szCs w:val="24"/>
              </w:rPr>
            </w:pPr>
            <w:r w:rsidRPr="002D39D0">
              <w:rPr>
                <w:rFonts w:asciiTheme="minorHAnsi" w:hAnsiTheme="minorHAnsi" w:cstheme="minorHAnsi"/>
                <w:szCs w:val="24"/>
              </w:rPr>
              <w:t>107</w:t>
            </w:r>
          </w:p>
        </w:tc>
        <w:tc>
          <w:tcPr>
            <w:tcW w:w="0" w:type="auto"/>
          </w:tcPr>
          <w:p w14:paraId="6A0CD9E3" w14:textId="77777777" w:rsidR="00E45026" w:rsidRPr="002D39D0" w:rsidRDefault="00E45026" w:rsidP="000F48C6">
            <w:pPr>
              <w:autoSpaceDE w:val="0"/>
              <w:autoSpaceDN w:val="0"/>
              <w:adjustRightInd w:val="0"/>
              <w:jc w:val="center"/>
              <w:rPr>
                <w:rFonts w:asciiTheme="minorHAnsi" w:hAnsiTheme="minorHAnsi" w:cstheme="minorHAnsi"/>
                <w:color w:val="000000"/>
                <w:szCs w:val="24"/>
              </w:rPr>
            </w:pPr>
            <w:r w:rsidRPr="002D39D0">
              <w:rPr>
                <w:rFonts w:asciiTheme="minorHAnsi" w:hAnsiTheme="minorHAnsi" w:cstheme="minorHAnsi"/>
                <w:color w:val="000000"/>
                <w:szCs w:val="24"/>
              </w:rPr>
              <w:t>0</w:t>
            </w:r>
          </w:p>
        </w:tc>
      </w:tr>
      <w:tr w:rsidR="00E45026" w:rsidRPr="002D39D0" w14:paraId="7049E382" w14:textId="77777777" w:rsidTr="00222D78">
        <w:trPr>
          <w:cantSplit/>
          <w:trHeight w:val="290"/>
          <w:tblHeader/>
          <w:jc w:val="center"/>
        </w:trPr>
        <w:tc>
          <w:tcPr>
            <w:tcW w:w="3823" w:type="dxa"/>
          </w:tcPr>
          <w:p w14:paraId="19EDEB86" w14:textId="77777777" w:rsidR="00E45026" w:rsidRPr="002D39D0" w:rsidRDefault="00E45026" w:rsidP="000F48C6">
            <w:pPr>
              <w:autoSpaceDE w:val="0"/>
              <w:autoSpaceDN w:val="0"/>
              <w:adjustRightInd w:val="0"/>
              <w:rPr>
                <w:rFonts w:asciiTheme="minorHAnsi" w:hAnsiTheme="minorHAnsi" w:cstheme="minorHAnsi"/>
                <w:color w:val="000000"/>
                <w:szCs w:val="24"/>
              </w:rPr>
            </w:pPr>
            <w:r w:rsidRPr="002D39D0">
              <w:rPr>
                <w:rFonts w:asciiTheme="minorHAnsi" w:hAnsiTheme="minorHAnsi" w:cstheme="minorHAnsi"/>
                <w:color w:val="000000"/>
                <w:szCs w:val="24"/>
              </w:rPr>
              <w:t>330 à 359 jours civils</w:t>
            </w:r>
          </w:p>
        </w:tc>
        <w:tc>
          <w:tcPr>
            <w:tcW w:w="9880" w:type="dxa"/>
          </w:tcPr>
          <w:p w14:paraId="57713A30" w14:textId="77777777" w:rsidR="00E45026" w:rsidRPr="002D39D0" w:rsidRDefault="00E45026" w:rsidP="000F48C6">
            <w:pPr>
              <w:autoSpaceDE w:val="0"/>
              <w:autoSpaceDN w:val="0"/>
              <w:adjustRightInd w:val="0"/>
              <w:jc w:val="center"/>
              <w:rPr>
                <w:rFonts w:asciiTheme="minorHAnsi" w:hAnsiTheme="minorHAnsi" w:cstheme="minorHAnsi"/>
                <w:color w:val="000000"/>
                <w:szCs w:val="24"/>
              </w:rPr>
            </w:pPr>
            <w:r w:rsidRPr="002D39D0">
              <w:rPr>
                <w:rFonts w:asciiTheme="minorHAnsi" w:hAnsiTheme="minorHAnsi" w:cstheme="minorHAnsi"/>
                <w:szCs w:val="24"/>
              </w:rPr>
              <w:t>77</w:t>
            </w:r>
          </w:p>
        </w:tc>
        <w:tc>
          <w:tcPr>
            <w:tcW w:w="0" w:type="auto"/>
          </w:tcPr>
          <w:p w14:paraId="2DD21A5B" w14:textId="77777777" w:rsidR="00E45026" w:rsidRPr="002D39D0" w:rsidRDefault="00E45026" w:rsidP="000F48C6">
            <w:pPr>
              <w:autoSpaceDE w:val="0"/>
              <w:autoSpaceDN w:val="0"/>
              <w:adjustRightInd w:val="0"/>
              <w:jc w:val="center"/>
              <w:rPr>
                <w:rFonts w:asciiTheme="minorHAnsi" w:hAnsiTheme="minorHAnsi" w:cstheme="minorHAnsi"/>
                <w:color w:val="000000"/>
                <w:szCs w:val="24"/>
              </w:rPr>
            </w:pPr>
            <w:r w:rsidRPr="002D39D0">
              <w:rPr>
                <w:rFonts w:asciiTheme="minorHAnsi" w:hAnsiTheme="minorHAnsi" w:cstheme="minorHAnsi"/>
                <w:color w:val="000000"/>
                <w:szCs w:val="24"/>
              </w:rPr>
              <w:t>3</w:t>
            </w:r>
          </w:p>
        </w:tc>
      </w:tr>
      <w:tr w:rsidR="00E45026" w:rsidRPr="002D39D0" w14:paraId="589BD62A" w14:textId="77777777" w:rsidTr="00222D78">
        <w:trPr>
          <w:cantSplit/>
          <w:trHeight w:val="290"/>
          <w:tblHeader/>
          <w:jc w:val="center"/>
        </w:trPr>
        <w:tc>
          <w:tcPr>
            <w:tcW w:w="3823" w:type="dxa"/>
          </w:tcPr>
          <w:p w14:paraId="5DA9D2E2" w14:textId="77777777" w:rsidR="00E45026" w:rsidRPr="002D39D0" w:rsidRDefault="00E45026" w:rsidP="000F48C6">
            <w:pPr>
              <w:autoSpaceDE w:val="0"/>
              <w:autoSpaceDN w:val="0"/>
              <w:adjustRightInd w:val="0"/>
              <w:rPr>
                <w:rFonts w:asciiTheme="minorHAnsi" w:hAnsiTheme="minorHAnsi" w:cstheme="minorHAnsi"/>
                <w:color w:val="000000"/>
                <w:szCs w:val="24"/>
              </w:rPr>
            </w:pPr>
            <w:r w:rsidRPr="002D39D0">
              <w:rPr>
                <w:rFonts w:asciiTheme="minorHAnsi" w:hAnsiTheme="minorHAnsi" w:cstheme="minorHAnsi"/>
                <w:color w:val="000000"/>
                <w:szCs w:val="24"/>
              </w:rPr>
              <w:t>360 à 389 jours civils</w:t>
            </w:r>
          </w:p>
        </w:tc>
        <w:tc>
          <w:tcPr>
            <w:tcW w:w="9880" w:type="dxa"/>
          </w:tcPr>
          <w:p w14:paraId="570C0E3A" w14:textId="77777777" w:rsidR="00E45026" w:rsidRPr="002D39D0" w:rsidRDefault="00E45026" w:rsidP="000F48C6">
            <w:pPr>
              <w:autoSpaceDE w:val="0"/>
              <w:autoSpaceDN w:val="0"/>
              <w:adjustRightInd w:val="0"/>
              <w:jc w:val="center"/>
              <w:rPr>
                <w:rFonts w:asciiTheme="minorHAnsi" w:hAnsiTheme="minorHAnsi" w:cstheme="minorHAnsi"/>
                <w:color w:val="000000"/>
                <w:szCs w:val="24"/>
              </w:rPr>
            </w:pPr>
            <w:r w:rsidRPr="002D39D0">
              <w:rPr>
                <w:rFonts w:asciiTheme="minorHAnsi" w:hAnsiTheme="minorHAnsi" w:cstheme="minorHAnsi"/>
                <w:szCs w:val="24"/>
              </w:rPr>
              <w:t>61</w:t>
            </w:r>
          </w:p>
        </w:tc>
        <w:tc>
          <w:tcPr>
            <w:tcW w:w="0" w:type="auto"/>
          </w:tcPr>
          <w:p w14:paraId="048AB704" w14:textId="77777777" w:rsidR="00E45026" w:rsidRPr="002D39D0" w:rsidRDefault="00E45026" w:rsidP="000F48C6">
            <w:pPr>
              <w:autoSpaceDE w:val="0"/>
              <w:autoSpaceDN w:val="0"/>
              <w:adjustRightInd w:val="0"/>
              <w:jc w:val="center"/>
              <w:rPr>
                <w:rFonts w:asciiTheme="minorHAnsi" w:hAnsiTheme="minorHAnsi" w:cstheme="minorHAnsi"/>
                <w:color w:val="000000"/>
                <w:szCs w:val="24"/>
              </w:rPr>
            </w:pPr>
            <w:r w:rsidRPr="002D39D0">
              <w:rPr>
                <w:rFonts w:asciiTheme="minorHAnsi" w:hAnsiTheme="minorHAnsi" w:cstheme="minorHAnsi"/>
                <w:color w:val="000000"/>
                <w:szCs w:val="24"/>
              </w:rPr>
              <w:t>2</w:t>
            </w:r>
          </w:p>
        </w:tc>
      </w:tr>
      <w:tr w:rsidR="00E45026" w:rsidRPr="002D39D0" w14:paraId="551601FB" w14:textId="77777777" w:rsidTr="00222D78">
        <w:trPr>
          <w:cantSplit/>
          <w:trHeight w:val="290"/>
          <w:tblHeader/>
          <w:jc w:val="center"/>
        </w:trPr>
        <w:tc>
          <w:tcPr>
            <w:tcW w:w="3823" w:type="dxa"/>
          </w:tcPr>
          <w:p w14:paraId="6D73EE8F" w14:textId="77777777" w:rsidR="00E45026" w:rsidRPr="002D39D0" w:rsidRDefault="00E45026" w:rsidP="000F48C6">
            <w:pPr>
              <w:autoSpaceDE w:val="0"/>
              <w:autoSpaceDN w:val="0"/>
              <w:adjustRightInd w:val="0"/>
              <w:rPr>
                <w:rFonts w:asciiTheme="minorHAnsi" w:hAnsiTheme="minorHAnsi" w:cstheme="minorHAnsi"/>
                <w:color w:val="000000"/>
                <w:szCs w:val="24"/>
              </w:rPr>
            </w:pPr>
            <w:r w:rsidRPr="002D39D0">
              <w:rPr>
                <w:rFonts w:asciiTheme="minorHAnsi" w:hAnsiTheme="minorHAnsi" w:cstheme="minorHAnsi"/>
                <w:color w:val="000000"/>
                <w:szCs w:val="24"/>
              </w:rPr>
              <w:t>390 à 419 jours civils</w:t>
            </w:r>
          </w:p>
        </w:tc>
        <w:tc>
          <w:tcPr>
            <w:tcW w:w="9880" w:type="dxa"/>
          </w:tcPr>
          <w:p w14:paraId="1393D3F8" w14:textId="77777777" w:rsidR="00E45026" w:rsidRPr="002D39D0" w:rsidRDefault="00E45026" w:rsidP="000F48C6">
            <w:pPr>
              <w:autoSpaceDE w:val="0"/>
              <w:autoSpaceDN w:val="0"/>
              <w:adjustRightInd w:val="0"/>
              <w:jc w:val="center"/>
              <w:rPr>
                <w:rFonts w:asciiTheme="minorHAnsi" w:hAnsiTheme="minorHAnsi" w:cstheme="minorHAnsi"/>
                <w:color w:val="000000"/>
                <w:szCs w:val="24"/>
              </w:rPr>
            </w:pPr>
            <w:r w:rsidRPr="002D39D0">
              <w:rPr>
                <w:rFonts w:asciiTheme="minorHAnsi" w:hAnsiTheme="minorHAnsi" w:cstheme="minorHAnsi"/>
                <w:szCs w:val="24"/>
              </w:rPr>
              <w:t>53</w:t>
            </w:r>
          </w:p>
        </w:tc>
        <w:tc>
          <w:tcPr>
            <w:tcW w:w="0" w:type="auto"/>
          </w:tcPr>
          <w:p w14:paraId="293799DA" w14:textId="77777777" w:rsidR="00E45026" w:rsidRPr="002D39D0" w:rsidRDefault="00E45026" w:rsidP="000F48C6">
            <w:pPr>
              <w:autoSpaceDE w:val="0"/>
              <w:autoSpaceDN w:val="0"/>
              <w:adjustRightInd w:val="0"/>
              <w:jc w:val="center"/>
              <w:rPr>
                <w:rFonts w:asciiTheme="minorHAnsi" w:hAnsiTheme="minorHAnsi" w:cstheme="minorHAnsi"/>
                <w:color w:val="000000"/>
                <w:szCs w:val="24"/>
              </w:rPr>
            </w:pPr>
            <w:r w:rsidRPr="002D39D0">
              <w:rPr>
                <w:rFonts w:asciiTheme="minorHAnsi" w:hAnsiTheme="minorHAnsi" w:cstheme="minorHAnsi"/>
                <w:color w:val="000000"/>
                <w:szCs w:val="24"/>
              </w:rPr>
              <w:t>3</w:t>
            </w:r>
          </w:p>
        </w:tc>
      </w:tr>
      <w:tr w:rsidR="00E45026" w:rsidRPr="002D39D0" w14:paraId="49CB2199" w14:textId="77777777" w:rsidTr="00222D78">
        <w:trPr>
          <w:cantSplit/>
          <w:trHeight w:val="290"/>
          <w:tblHeader/>
          <w:jc w:val="center"/>
        </w:trPr>
        <w:tc>
          <w:tcPr>
            <w:tcW w:w="3823" w:type="dxa"/>
          </w:tcPr>
          <w:p w14:paraId="4856E674" w14:textId="77777777" w:rsidR="00E45026" w:rsidRPr="002D39D0" w:rsidRDefault="00E45026" w:rsidP="000F48C6">
            <w:pPr>
              <w:autoSpaceDE w:val="0"/>
              <w:autoSpaceDN w:val="0"/>
              <w:adjustRightInd w:val="0"/>
              <w:rPr>
                <w:rFonts w:asciiTheme="minorHAnsi" w:hAnsiTheme="minorHAnsi" w:cstheme="minorHAnsi"/>
                <w:color w:val="000000"/>
                <w:szCs w:val="24"/>
              </w:rPr>
            </w:pPr>
            <w:r w:rsidRPr="002D39D0">
              <w:rPr>
                <w:rFonts w:asciiTheme="minorHAnsi" w:hAnsiTheme="minorHAnsi" w:cstheme="minorHAnsi"/>
                <w:color w:val="000000"/>
                <w:szCs w:val="24"/>
              </w:rPr>
              <w:t>420 à 449 jours civils</w:t>
            </w:r>
          </w:p>
        </w:tc>
        <w:tc>
          <w:tcPr>
            <w:tcW w:w="9880" w:type="dxa"/>
          </w:tcPr>
          <w:p w14:paraId="48D3DC0A" w14:textId="77777777" w:rsidR="00E45026" w:rsidRPr="002D39D0" w:rsidRDefault="00E45026" w:rsidP="000F48C6">
            <w:pPr>
              <w:autoSpaceDE w:val="0"/>
              <w:autoSpaceDN w:val="0"/>
              <w:adjustRightInd w:val="0"/>
              <w:jc w:val="center"/>
              <w:rPr>
                <w:rFonts w:asciiTheme="minorHAnsi" w:hAnsiTheme="minorHAnsi" w:cstheme="minorHAnsi"/>
                <w:color w:val="000000"/>
                <w:szCs w:val="24"/>
              </w:rPr>
            </w:pPr>
            <w:r w:rsidRPr="002D39D0">
              <w:rPr>
                <w:rFonts w:asciiTheme="minorHAnsi" w:hAnsiTheme="minorHAnsi" w:cstheme="minorHAnsi"/>
                <w:szCs w:val="24"/>
              </w:rPr>
              <w:t>51</w:t>
            </w:r>
          </w:p>
        </w:tc>
        <w:tc>
          <w:tcPr>
            <w:tcW w:w="0" w:type="auto"/>
          </w:tcPr>
          <w:p w14:paraId="02AD34B1" w14:textId="77777777" w:rsidR="00E45026" w:rsidRPr="002D39D0" w:rsidRDefault="00E45026" w:rsidP="000F48C6">
            <w:pPr>
              <w:autoSpaceDE w:val="0"/>
              <w:autoSpaceDN w:val="0"/>
              <w:adjustRightInd w:val="0"/>
              <w:jc w:val="center"/>
              <w:rPr>
                <w:rFonts w:asciiTheme="minorHAnsi" w:hAnsiTheme="minorHAnsi" w:cstheme="minorHAnsi"/>
                <w:color w:val="000000"/>
                <w:szCs w:val="24"/>
              </w:rPr>
            </w:pPr>
            <w:r w:rsidRPr="002D39D0">
              <w:rPr>
                <w:rFonts w:asciiTheme="minorHAnsi" w:hAnsiTheme="minorHAnsi" w:cstheme="minorHAnsi"/>
                <w:color w:val="000000"/>
                <w:szCs w:val="24"/>
              </w:rPr>
              <w:t>2</w:t>
            </w:r>
          </w:p>
        </w:tc>
      </w:tr>
      <w:tr w:rsidR="00E45026" w:rsidRPr="002D39D0" w14:paraId="6CFE936A" w14:textId="77777777" w:rsidTr="00222D78">
        <w:trPr>
          <w:cantSplit/>
          <w:trHeight w:val="290"/>
          <w:tblHeader/>
          <w:jc w:val="center"/>
        </w:trPr>
        <w:tc>
          <w:tcPr>
            <w:tcW w:w="3823" w:type="dxa"/>
          </w:tcPr>
          <w:p w14:paraId="10D4C660" w14:textId="77777777" w:rsidR="00E45026" w:rsidRPr="002D39D0" w:rsidRDefault="00E45026" w:rsidP="000F48C6">
            <w:pPr>
              <w:autoSpaceDE w:val="0"/>
              <w:autoSpaceDN w:val="0"/>
              <w:adjustRightInd w:val="0"/>
              <w:rPr>
                <w:rFonts w:asciiTheme="minorHAnsi" w:hAnsiTheme="minorHAnsi" w:cstheme="minorHAnsi"/>
                <w:color w:val="000000"/>
                <w:szCs w:val="24"/>
              </w:rPr>
            </w:pPr>
            <w:r w:rsidRPr="002D39D0">
              <w:rPr>
                <w:rFonts w:asciiTheme="minorHAnsi" w:hAnsiTheme="minorHAnsi" w:cstheme="minorHAnsi"/>
                <w:color w:val="000000"/>
                <w:szCs w:val="24"/>
              </w:rPr>
              <w:t>450 à 479 jours civils</w:t>
            </w:r>
          </w:p>
        </w:tc>
        <w:tc>
          <w:tcPr>
            <w:tcW w:w="9880" w:type="dxa"/>
          </w:tcPr>
          <w:p w14:paraId="4DCB088C" w14:textId="77777777" w:rsidR="00E45026" w:rsidRPr="002D39D0" w:rsidRDefault="00E45026" w:rsidP="000F48C6">
            <w:pPr>
              <w:autoSpaceDE w:val="0"/>
              <w:autoSpaceDN w:val="0"/>
              <w:adjustRightInd w:val="0"/>
              <w:jc w:val="center"/>
              <w:rPr>
                <w:rFonts w:asciiTheme="minorHAnsi" w:hAnsiTheme="minorHAnsi" w:cstheme="minorHAnsi"/>
                <w:color w:val="000000"/>
                <w:szCs w:val="24"/>
              </w:rPr>
            </w:pPr>
            <w:r w:rsidRPr="002D39D0">
              <w:rPr>
                <w:rFonts w:asciiTheme="minorHAnsi" w:hAnsiTheme="minorHAnsi" w:cstheme="minorHAnsi"/>
                <w:szCs w:val="24"/>
              </w:rPr>
              <w:t>42</w:t>
            </w:r>
          </w:p>
        </w:tc>
        <w:tc>
          <w:tcPr>
            <w:tcW w:w="0" w:type="auto"/>
          </w:tcPr>
          <w:p w14:paraId="0113BB21" w14:textId="77777777" w:rsidR="00E45026" w:rsidRPr="002D39D0" w:rsidRDefault="00E45026" w:rsidP="000F48C6">
            <w:pPr>
              <w:autoSpaceDE w:val="0"/>
              <w:autoSpaceDN w:val="0"/>
              <w:adjustRightInd w:val="0"/>
              <w:jc w:val="center"/>
              <w:rPr>
                <w:rFonts w:asciiTheme="minorHAnsi" w:hAnsiTheme="minorHAnsi" w:cstheme="minorHAnsi"/>
                <w:color w:val="000000"/>
                <w:szCs w:val="24"/>
              </w:rPr>
            </w:pPr>
            <w:r w:rsidRPr="002D39D0">
              <w:rPr>
                <w:rFonts w:asciiTheme="minorHAnsi" w:hAnsiTheme="minorHAnsi" w:cstheme="minorHAnsi"/>
                <w:color w:val="000000"/>
                <w:szCs w:val="24"/>
              </w:rPr>
              <w:t>0</w:t>
            </w:r>
          </w:p>
        </w:tc>
      </w:tr>
      <w:tr w:rsidR="00E45026" w:rsidRPr="002D39D0" w14:paraId="75DA30CA" w14:textId="77777777" w:rsidTr="00222D78">
        <w:trPr>
          <w:cantSplit/>
          <w:trHeight w:val="290"/>
          <w:tblHeader/>
          <w:jc w:val="center"/>
        </w:trPr>
        <w:tc>
          <w:tcPr>
            <w:tcW w:w="3823" w:type="dxa"/>
          </w:tcPr>
          <w:p w14:paraId="7D6A2CB6" w14:textId="77777777" w:rsidR="00E45026" w:rsidRPr="002D39D0" w:rsidRDefault="00E45026" w:rsidP="000F48C6">
            <w:pPr>
              <w:autoSpaceDE w:val="0"/>
              <w:autoSpaceDN w:val="0"/>
              <w:adjustRightInd w:val="0"/>
              <w:rPr>
                <w:rFonts w:asciiTheme="minorHAnsi" w:hAnsiTheme="minorHAnsi" w:cstheme="minorHAnsi"/>
                <w:color w:val="000000"/>
                <w:szCs w:val="24"/>
              </w:rPr>
            </w:pPr>
            <w:r w:rsidRPr="002D39D0">
              <w:rPr>
                <w:rFonts w:asciiTheme="minorHAnsi" w:hAnsiTheme="minorHAnsi" w:cstheme="minorHAnsi"/>
                <w:color w:val="000000"/>
                <w:szCs w:val="24"/>
              </w:rPr>
              <w:t>480 à 509 jours civils</w:t>
            </w:r>
          </w:p>
        </w:tc>
        <w:tc>
          <w:tcPr>
            <w:tcW w:w="9880" w:type="dxa"/>
          </w:tcPr>
          <w:p w14:paraId="6D423A60" w14:textId="77777777" w:rsidR="00E45026" w:rsidRPr="002D39D0" w:rsidRDefault="00E45026" w:rsidP="000F48C6">
            <w:pPr>
              <w:autoSpaceDE w:val="0"/>
              <w:autoSpaceDN w:val="0"/>
              <w:adjustRightInd w:val="0"/>
              <w:jc w:val="center"/>
              <w:rPr>
                <w:rFonts w:asciiTheme="minorHAnsi" w:hAnsiTheme="minorHAnsi" w:cstheme="minorHAnsi"/>
                <w:color w:val="000000"/>
                <w:szCs w:val="24"/>
              </w:rPr>
            </w:pPr>
            <w:r w:rsidRPr="002D39D0">
              <w:rPr>
                <w:rFonts w:asciiTheme="minorHAnsi" w:hAnsiTheme="minorHAnsi" w:cstheme="minorHAnsi"/>
                <w:szCs w:val="24"/>
              </w:rPr>
              <w:t>40</w:t>
            </w:r>
          </w:p>
        </w:tc>
        <w:tc>
          <w:tcPr>
            <w:tcW w:w="0" w:type="auto"/>
          </w:tcPr>
          <w:p w14:paraId="20C6633F" w14:textId="77777777" w:rsidR="00E45026" w:rsidRPr="002D39D0" w:rsidRDefault="00E45026" w:rsidP="000F48C6">
            <w:pPr>
              <w:autoSpaceDE w:val="0"/>
              <w:autoSpaceDN w:val="0"/>
              <w:adjustRightInd w:val="0"/>
              <w:jc w:val="center"/>
              <w:rPr>
                <w:rFonts w:asciiTheme="minorHAnsi" w:hAnsiTheme="minorHAnsi" w:cstheme="minorHAnsi"/>
                <w:color w:val="000000"/>
                <w:szCs w:val="24"/>
              </w:rPr>
            </w:pPr>
            <w:r w:rsidRPr="002D39D0">
              <w:rPr>
                <w:rFonts w:asciiTheme="minorHAnsi" w:hAnsiTheme="minorHAnsi" w:cstheme="minorHAnsi"/>
                <w:color w:val="000000"/>
                <w:szCs w:val="24"/>
              </w:rPr>
              <w:t>1</w:t>
            </w:r>
          </w:p>
        </w:tc>
      </w:tr>
      <w:tr w:rsidR="00E45026" w:rsidRPr="002D39D0" w14:paraId="5237AC28" w14:textId="77777777" w:rsidTr="00222D78">
        <w:trPr>
          <w:cantSplit/>
          <w:trHeight w:val="290"/>
          <w:tblHeader/>
          <w:jc w:val="center"/>
        </w:trPr>
        <w:tc>
          <w:tcPr>
            <w:tcW w:w="3823" w:type="dxa"/>
          </w:tcPr>
          <w:p w14:paraId="4E8EAB78" w14:textId="77777777" w:rsidR="00E45026" w:rsidRPr="002D39D0" w:rsidRDefault="00E45026" w:rsidP="000F48C6">
            <w:pPr>
              <w:autoSpaceDE w:val="0"/>
              <w:autoSpaceDN w:val="0"/>
              <w:adjustRightInd w:val="0"/>
              <w:rPr>
                <w:rFonts w:asciiTheme="minorHAnsi" w:hAnsiTheme="minorHAnsi" w:cstheme="minorHAnsi"/>
                <w:color w:val="000000"/>
                <w:szCs w:val="24"/>
              </w:rPr>
            </w:pPr>
            <w:r w:rsidRPr="002D39D0">
              <w:rPr>
                <w:rFonts w:asciiTheme="minorHAnsi" w:hAnsiTheme="minorHAnsi" w:cstheme="minorHAnsi"/>
                <w:color w:val="000000"/>
                <w:szCs w:val="24"/>
              </w:rPr>
              <w:t xml:space="preserve">510 à 539 jours civils </w:t>
            </w:r>
          </w:p>
        </w:tc>
        <w:tc>
          <w:tcPr>
            <w:tcW w:w="9880" w:type="dxa"/>
          </w:tcPr>
          <w:p w14:paraId="5254FE9F" w14:textId="77777777" w:rsidR="00E45026" w:rsidRPr="002D39D0" w:rsidRDefault="00E45026" w:rsidP="000F48C6">
            <w:pPr>
              <w:autoSpaceDE w:val="0"/>
              <w:autoSpaceDN w:val="0"/>
              <w:adjustRightInd w:val="0"/>
              <w:jc w:val="center"/>
              <w:rPr>
                <w:rFonts w:asciiTheme="minorHAnsi" w:hAnsiTheme="minorHAnsi" w:cstheme="minorHAnsi"/>
                <w:color w:val="000000"/>
                <w:szCs w:val="24"/>
              </w:rPr>
            </w:pPr>
            <w:r w:rsidRPr="002D39D0">
              <w:rPr>
                <w:rFonts w:asciiTheme="minorHAnsi" w:hAnsiTheme="minorHAnsi" w:cstheme="minorHAnsi"/>
                <w:szCs w:val="24"/>
              </w:rPr>
              <w:t>32</w:t>
            </w:r>
          </w:p>
        </w:tc>
        <w:tc>
          <w:tcPr>
            <w:tcW w:w="0" w:type="auto"/>
          </w:tcPr>
          <w:p w14:paraId="21B90669" w14:textId="77777777" w:rsidR="00E45026" w:rsidRPr="002D39D0" w:rsidRDefault="00E45026" w:rsidP="000F48C6">
            <w:pPr>
              <w:autoSpaceDE w:val="0"/>
              <w:autoSpaceDN w:val="0"/>
              <w:adjustRightInd w:val="0"/>
              <w:jc w:val="center"/>
              <w:rPr>
                <w:rFonts w:asciiTheme="minorHAnsi" w:hAnsiTheme="minorHAnsi" w:cstheme="minorHAnsi"/>
                <w:color w:val="000000"/>
                <w:szCs w:val="24"/>
              </w:rPr>
            </w:pPr>
            <w:r w:rsidRPr="002D39D0">
              <w:rPr>
                <w:rFonts w:asciiTheme="minorHAnsi" w:hAnsiTheme="minorHAnsi" w:cstheme="minorHAnsi"/>
                <w:color w:val="000000"/>
                <w:szCs w:val="24"/>
              </w:rPr>
              <w:t>1</w:t>
            </w:r>
          </w:p>
        </w:tc>
      </w:tr>
      <w:tr w:rsidR="00E45026" w:rsidRPr="002D39D0" w14:paraId="116A2C18" w14:textId="77777777" w:rsidTr="00222D78">
        <w:trPr>
          <w:cantSplit/>
          <w:trHeight w:val="290"/>
          <w:tblHeader/>
          <w:jc w:val="center"/>
        </w:trPr>
        <w:tc>
          <w:tcPr>
            <w:tcW w:w="3823" w:type="dxa"/>
          </w:tcPr>
          <w:p w14:paraId="3CD45558" w14:textId="77777777" w:rsidR="00E45026" w:rsidRPr="002D39D0" w:rsidRDefault="00E45026" w:rsidP="000F48C6">
            <w:pPr>
              <w:autoSpaceDE w:val="0"/>
              <w:autoSpaceDN w:val="0"/>
              <w:adjustRightInd w:val="0"/>
              <w:rPr>
                <w:rFonts w:asciiTheme="minorHAnsi" w:hAnsiTheme="minorHAnsi" w:cstheme="minorHAnsi"/>
                <w:color w:val="000000"/>
                <w:szCs w:val="24"/>
              </w:rPr>
            </w:pPr>
            <w:r w:rsidRPr="002D39D0">
              <w:rPr>
                <w:rFonts w:asciiTheme="minorHAnsi" w:hAnsiTheme="minorHAnsi" w:cstheme="minorHAnsi"/>
                <w:color w:val="000000"/>
                <w:szCs w:val="24"/>
              </w:rPr>
              <w:t>540 à 569 jours civils</w:t>
            </w:r>
          </w:p>
        </w:tc>
        <w:tc>
          <w:tcPr>
            <w:tcW w:w="9880" w:type="dxa"/>
          </w:tcPr>
          <w:p w14:paraId="38DAF081" w14:textId="77777777" w:rsidR="00E45026" w:rsidRPr="002D39D0" w:rsidRDefault="00E45026" w:rsidP="000F48C6">
            <w:pPr>
              <w:autoSpaceDE w:val="0"/>
              <w:autoSpaceDN w:val="0"/>
              <w:adjustRightInd w:val="0"/>
              <w:jc w:val="center"/>
              <w:rPr>
                <w:rFonts w:asciiTheme="minorHAnsi" w:hAnsiTheme="minorHAnsi" w:cstheme="minorHAnsi"/>
                <w:color w:val="000000"/>
                <w:szCs w:val="24"/>
              </w:rPr>
            </w:pPr>
            <w:r w:rsidRPr="002D39D0">
              <w:rPr>
                <w:rFonts w:asciiTheme="minorHAnsi" w:hAnsiTheme="minorHAnsi" w:cstheme="minorHAnsi"/>
                <w:szCs w:val="24"/>
              </w:rPr>
              <w:t>24</w:t>
            </w:r>
          </w:p>
        </w:tc>
        <w:tc>
          <w:tcPr>
            <w:tcW w:w="0" w:type="auto"/>
          </w:tcPr>
          <w:p w14:paraId="42494F0B" w14:textId="77777777" w:rsidR="00E45026" w:rsidRPr="002D39D0" w:rsidRDefault="00E45026" w:rsidP="000F48C6">
            <w:pPr>
              <w:autoSpaceDE w:val="0"/>
              <w:autoSpaceDN w:val="0"/>
              <w:adjustRightInd w:val="0"/>
              <w:jc w:val="center"/>
              <w:rPr>
                <w:rFonts w:asciiTheme="minorHAnsi" w:hAnsiTheme="minorHAnsi" w:cstheme="minorHAnsi"/>
                <w:color w:val="000000"/>
                <w:szCs w:val="24"/>
              </w:rPr>
            </w:pPr>
            <w:r w:rsidRPr="002D39D0">
              <w:rPr>
                <w:rFonts w:asciiTheme="minorHAnsi" w:hAnsiTheme="minorHAnsi" w:cstheme="minorHAnsi"/>
                <w:color w:val="000000"/>
                <w:szCs w:val="24"/>
              </w:rPr>
              <w:t>0</w:t>
            </w:r>
          </w:p>
        </w:tc>
      </w:tr>
      <w:tr w:rsidR="00E45026" w:rsidRPr="002D39D0" w14:paraId="13B03234" w14:textId="77777777" w:rsidTr="00222D78">
        <w:trPr>
          <w:cantSplit/>
          <w:trHeight w:val="290"/>
          <w:tblHeader/>
          <w:jc w:val="center"/>
        </w:trPr>
        <w:tc>
          <w:tcPr>
            <w:tcW w:w="3823" w:type="dxa"/>
          </w:tcPr>
          <w:p w14:paraId="312A590E" w14:textId="77777777" w:rsidR="00E45026" w:rsidRPr="002D39D0" w:rsidRDefault="00E45026" w:rsidP="000F48C6">
            <w:pPr>
              <w:autoSpaceDE w:val="0"/>
              <w:autoSpaceDN w:val="0"/>
              <w:adjustRightInd w:val="0"/>
              <w:rPr>
                <w:rFonts w:asciiTheme="minorHAnsi" w:hAnsiTheme="minorHAnsi" w:cstheme="minorHAnsi"/>
                <w:color w:val="000000"/>
                <w:szCs w:val="24"/>
              </w:rPr>
            </w:pPr>
            <w:r w:rsidRPr="002D39D0">
              <w:rPr>
                <w:rFonts w:asciiTheme="minorHAnsi" w:hAnsiTheme="minorHAnsi" w:cstheme="minorHAnsi"/>
                <w:color w:val="000000"/>
                <w:szCs w:val="24"/>
              </w:rPr>
              <w:t>570 à 599 jours civils</w:t>
            </w:r>
          </w:p>
        </w:tc>
        <w:tc>
          <w:tcPr>
            <w:tcW w:w="9880" w:type="dxa"/>
          </w:tcPr>
          <w:p w14:paraId="40A73ABD" w14:textId="77777777" w:rsidR="00E45026" w:rsidRPr="002D39D0" w:rsidRDefault="00E45026" w:rsidP="000F48C6">
            <w:pPr>
              <w:autoSpaceDE w:val="0"/>
              <w:autoSpaceDN w:val="0"/>
              <w:adjustRightInd w:val="0"/>
              <w:jc w:val="center"/>
              <w:rPr>
                <w:rFonts w:asciiTheme="minorHAnsi" w:hAnsiTheme="minorHAnsi" w:cstheme="minorHAnsi"/>
                <w:color w:val="000000"/>
                <w:szCs w:val="24"/>
              </w:rPr>
            </w:pPr>
            <w:r w:rsidRPr="002D39D0">
              <w:rPr>
                <w:rFonts w:asciiTheme="minorHAnsi" w:hAnsiTheme="minorHAnsi" w:cstheme="minorHAnsi"/>
                <w:szCs w:val="24"/>
              </w:rPr>
              <w:t>21</w:t>
            </w:r>
          </w:p>
        </w:tc>
        <w:tc>
          <w:tcPr>
            <w:tcW w:w="0" w:type="auto"/>
          </w:tcPr>
          <w:p w14:paraId="6A853787" w14:textId="77777777" w:rsidR="00E45026" w:rsidRPr="002D39D0" w:rsidRDefault="00E45026" w:rsidP="000F48C6">
            <w:pPr>
              <w:autoSpaceDE w:val="0"/>
              <w:autoSpaceDN w:val="0"/>
              <w:adjustRightInd w:val="0"/>
              <w:jc w:val="center"/>
              <w:rPr>
                <w:rFonts w:asciiTheme="minorHAnsi" w:hAnsiTheme="minorHAnsi" w:cstheme="minorHAnsi"/>
                <w:color w:val="000000"/>
                <w:szCs w:val="24"/>
              </w:rPr>
            </w:pPr>
            <w:r w:rsidRPr="002D39D0">
              <w:rPr>
                <w:rFonts w:asciiTheme="minorHAnsi" w:hAnsiTheme="minorHAnsi" w:cstheme="minorHAnsi"/>
                <w:color w:val="000000"/>
                <w:szCs w:val="24"/>
              </w:rPr>
              <w:t>0</w:t>
            </w:r>
          </w:p>
        </w:tc>
      </w:tr>
      <w:tr w:rsidR="00E45026" w:rsidRPr="002D39D0" w14:paraId="02768336" w14:textId="77777777" w:rsidTr="00222D78">
        <w:trPr>
          <w:cantSplit/>
          <w:trHeight w:val="290"/>
          <w:tblHeader/>
          <w:jc w:val="center"/>
        </w:trPr>
        <w:tc>
          <w:tcPr>
            <w:tcW w:w="3823" w:type="dxa"/>
          </w:tcPr>
          <w:p w14:paraId="6982A78A" w14:textId="77777777" w:rsidR="00E45026" w:rsidRPr="002D39D0" w:rsidRDefault="00E45026" w:rsidP="000F48C6">
            <w:pPr>
              <w:autoSpaceDE w:val="0"/>
              <w:autoSpaceDN w:val="0"/>
              <w:adjustRightInd w:val="0"/>
              <w:rPr>
                <w:rFonts w:asciiTheme="minorHAnsi" w:hAnsiTheme="minorHAnsi" w:cstheme="minorHAnsi"/>
                <w:color w:val="000000"/>
                <w:szCs w:val="24"/>
              </w:rPr>
            </w:pPr>
            <w:r w:rsidRPr="002D39D0">
              <w:rPr>
                <w:rFonts w:asciiTheme="minorHAnsi" w:hAnsiTheme="minorHAnsi" w:cstheme="minorHAnsi"/>
                <w:color w:val="000000"/>
                <w:szCs w:val="24"/>
              </w:rPr>
              <w:t>600 à 629 jours civils</w:t>
            </w:r>
          </w:p>
        </w:tc>
        <w:tc>
          <w:tcPr>
            <w:tcW w:w="9880" w:type="dxa"/>
          </w:tcPr>
          <w:p w14:paraId="5462513E" w14:textId="77777777" w:rsidR="00E45026" w:rsidRPr="002D39D0" w:rsidRDefault="00E45026" w:rsidP="000F48C6">
            <w:pPr>
              <w:autoSpaceDE w:val="0"/>
              <w:autoSpaceDN w:val="0"/>
              <w:adjustRightInd w:val="0"/>
              <w:jc w:val="center"/>
              <w:rPr>
                <w:rFonts w:asciiTheme="minorHAnsi" w:hAnsiTheme="minorHAnsi" w:cstheme="minorHAnsi"/>
                <w:color w:val="000000"/>
                <w:szCs w:val="24"/>
              </w:rPr>
            </w:pPr>
            <w:r w:rsidRPr="002D39D0">
              <w:rPr>
                <w:rFonts w:asciiTheme="minorHAnsi" w:hAnsiTheme="minorHAnsi" w:cstheme="minorHAnsi"/>
                <w:szCs w:val="24"/>
              </w:rPr>
              <w:t>11</w:t>
            </w:r>
          </w:p>
        </w:tc>
        <w:tc>
          <w:tcPr>
            <w:tcW w:w="0" w:type="auto"/>
          </w:tcPr>
          <w:p w14:paraId="5AD397E1" w14:textId="77777777" w:rsidR="00E45026" w:rsidRPr="002D39D0" w:rsidRDefault="00E45026" w:rsidP="000F48C6">
            <w:pPr>
              <w:autoSpaceDE w:val="0"/>
              <w:autoSpaceDN w:val="0"/>
              <w:adjustRightInd w:val="0"/>
              <w:jc w:val="center"/>
              <w:rPr>
                <w:rFonts w:asciiTheme="minorHAnsi" w:hAnsiTheme="minorHAnsi" w:cstheme="minorHAnsi"/>
                <w:color w:val="000000"/>
                <w:szCs w:val="24"/>
              </w:rPr>
            </w:pPr>
            <w:r w:rsidRPr="002D39D0">
              <w:rPr>
                <w:rFonts w:asciiTheme="minorHAnsi" w:hAnsiTheme="minorHAnsi" w:cstheme="minorHAnsi"/>
                <w:color w:val="000000"/>
                <w:szCs w:val="24"/>
              </w:rPr>
              <w:t>0</w:t>
            </w:r>
          </w:p>
        </w:tc>
      </w:tr>
      <w:tr w:rsidR="00E45026" w:rsidRPr="002D39D0" w14:paraId="5A630942" w14:textId="77777777" w:rsidTr="00222D78">
        <w:trPr>
          <w:cantSplit/>
          <w:trHeight w:val="290"/>
          <w:tblHeader/>
          <w:jc w:val="center"/>
        </w:trPr>
        <w:tc>
          <w:tcPr>
            <w:tcW w:w="3823" w:type="dxa"/>
          </w:tcPr>
          <w:p w14:paraId="17945462" w14:textId="77777777" w:rsidR="00E45026" w:rsidRPr="002D39D0" w:rsidRDefault="00E45026" w:rsidP="000F48C6">
            <w:pPr>
              <w:autoSpaceDE w:val="0"/>
              <w:autoSpaceDN w:val="0"/>
              <w:adjustRightInd w:val="0"/>
              <w:rPr>
                <w:rFonts w:asciiTheme="minorHAnsi" w:hAnsiTheme="minorHAnsi" w:cstheme="minorHAnsi"/>
                <w:color w:val="000000"/>
                <w:szCs w:val="24"/>
              </w:rPr>
            </w:pPr>
            <w:r w:rsidRPr="002D39D0">
              <w:rPr>
                <w:rFonts w:asciiTheme="minorHAnsi" w:hAnsiTheme="minorHAnsi" w:cstheme="minorHAnsi"/>
                <w:color w:val="000000"/>
                <w:szCs w:val="24"/>
              </w:rPr>
              <w:t>630 à 659 jours civils</w:t>
            </w:r>
          </w:p>
        </w:tc>
        <w:tc>
          <w:tcPr>
            <w:tcW w:w="9880" w:type="dxa"/>
          </w:tcPr>
          <w:p w14:paraId="3075FC10" w14:textId="77777777" w:rsidR="00E45026" w:rsidRPr="002D39D0" w:rsidRDefault="00E45026" w:rsidP="000F48C6">
            <w:pPr>
              <w:autoSpaceDE w:val="0"/>
              <w:autoSpaceDN w:val="0"/>
              <w:adjustRightInd w:val="0"/>
              <w:jc w:val="center"/>
              <w:rPr>
                <w:rFonts w:asciiTheme="minorHAnsi" w:hAnsiTheme="minorHAnsi" w:cstheme="minorHAnsi"/>
                <w:color w:val="000000"/>
                <w:szCs w:val="24"/>
              </w:rPr>
            </w:pPr>
            <w:r w:rsidRPr="002D39D0">
              <w:rPr>
                <w:rFonts w:asciiTheme="minorHAnsi" w:hAnsiTheme="minorHAnsi" w:cstheme="minorHAnsi"/>
                <w:szCs w:val="24"/>
              </w:rPr>
              <w:t>19</w:t>
            </w:r>
          </w:p>
        </w:tc>
        <w:tc>
          <w:tcPr>
            <w:tcW w:w="0" w:type="auto"/>
          </w:tcPr>
          <w:p w14:paraId="3953AEBB" w14:textId="77777777" w:rsidR="00E45026" w:rsidRPr="002D39D0" w:rsidRDefault="00E45026" w:rsidP="000F48C6">
            <w:pPr>
              <w:autoSpaceDE w:val="0"/>
              <w:autoSpaceDN w:val="0"/>
              <w:adjustRightInd w:val="0"/>
              <w:jc w:val="center"/>
              <w:rPr>
                <w:rFonts w:asciiTheme="minorHAnsi" w:hAnsiTheme="minorHAnsi" w:cstheme="minorHAnsi"/>
                <w:color w:val="000000"/>
                <w:szCs w:val="24"/>
              </w:rPr>
            </w:pPr>
            <w:r w:rsidRPr="002D39D0">
              <w:rPr>
                <w:rFonts w:asciiTheme="minorHAnsi" w:hAnsiTheme="minorHAnsi" w:cstheme="minorHAnsi"/>
                <w:color w:val="000000"/>
                <w:szCs w:val="24"/>
              </w:rPr>
              <w:t>0</w:t>
            </w:r>
          </w:p>
        </w:tc>
      </w:tr>
      <w:tr w:rsidR="00E45026" w:rsidRPr="002D39D0" w14:paraId="21CF40BA" w14:textId="77777777" w:rsidTr="00222D78">
        <w:trPr>
          <w:cantSplit/>
          <w:trHeight w:val="290"/>
          <w:tblHeader/>
          <w:jc w:val="center"/>
        </w:trPr>
        <w:tc>
          <w:tcPr>
            <w:tcW w:w="3823" w:type="dxa"/>
          </w:tcPr>
          <w:p w14:paraId="24671433" w14:textId="77777777" w:rsidR="00E45026" w:rsidRPr="002D39D0" w:rsidRDefault="00E45026" w:rsidP="000F48C6">
            <w:pPr>
              <w:autoSpaceDE w:val="0"/>
              <w:autoSpaceDN w:val="0"/>
              <w:adjustRightInd w:val="0"/>
              <w:rPr>
                <w:rFonts w:asciiTheme="minorHAnsi" w:hAnsiTheme="minorHAnsi" w:cstheme="minorHAnsi"/>
                <w:color w:val="000000"/>
                <w:szCs w:val="24"/>
              </w:rPr>
            </w:pPr>
            <w:r w:rsidRPr="002D39D0">
              <w:rPr>
                <w:rFonts w:asciiTheme="minorHAnsi" w:hAnsiTheme="minorHAnsi" w:cstheme="minorHAnsi"/>
                <w:color w:val="000000"/>
                <w:szCs w:val="24"/>
              </w:rPr>
              <w:t>660 à 689 jours civils</w:t>
            </w:r>
          </w:p>
        </w:tc>
        <w:tc>
          <w:tcPr>
            <w:tcW w:w="9880" w:type="dxa"/>
          </w:tcPr>
          <w:p w14:paraId="217EBF99" w14:textId="77777777" w:rsidR="00E45026" w:rsidRPr="002D39D0" w:rsidRDefault="00E45026" w:rsidP="000F48C6">
            <w:pPr>
              <w:autoSpaceDE w:val="0"/>
              <w:autoSpaceDN w:val="0"/>
              <w:adjustRightInd w:val="0"/>
              <w:jc w:val="center"/>
              <w:rPr>
                <w:rFonts w:asciiTheme="minorHAnsi" w:hAnsiTheme="minorHAnsi" w:cstheme="minorHAnsi"/>
                <w:color w:val="000000"/>
                <w:szCs w:val="24"/>
              </w:rPr>
            </w:pPr>
            <w:r w:rsidRPr="002D39D0">
              <w:rPr>
                <w:rFonts w:asciiTheme="minorHAnsi" w:hAnsiTheme="minorHAnsi" w:cstheme="minorHAnsi"/>
                <w:szCs w:val="24"/>
              </w:rPr>
              <w:t>3</w:t>
            </w:r>
          </w:p>
        </w:tc>
        <w:tc>
          <w:tcPr>
            <w:tcW w:w="0" w:type="auto"/>
          </w:tcPr>
          <w:p w14:paraId="1689069C" w14:textId="77777777" w:rsidR="00E45026" w:rsidRPr="002D39D0" w:rsidRDefault="00E45026" w:rsidP="000F48C6">
            <w:pPr>
              <w:autoSpaceDE w:val="0"/>
              <w:autoSpaceDN w:val="0"/>
              <w:adjustRightInd w:val="0"/>
              <w:jc w:val="center"/>
              <w:rPr>
                <w:rFonts w:asciiTheme="minorHAnsi" w:hAnsiTheme="minorHAnsi" w:cstheme="minorHAnsi"/>
                <w:color w:val="000000"/>
                <w:szCs w:val="24"/>
              </w:rPr>
            </w:pPr>
            <w:r w:rsidRPr="002D39D0">
              <w:rPr>
                <w:rFonts w:asciiTheme="minorHAnsi" w:hAnsiTheme="minorHAnsi" w:cstheme="minorHAnsi"/>
                <w:color w:val="000000"/>
                <w:szCs w:val="24"/>
              </w:rPr>
              <w:t>0</w:t>
            </w:r>
          </w:p>
        </w:tc>
      </w:tr>
      <w:tr w:rsidR="00E45026" w:rsidRPr="002D39D0" w14:paraId="07F69DB7" w14:textId="77777777" w:rsidTr="00222D78">
        <w:trPr>
          <w:cantSplit/>
          <w:trHeight w:val="290"/>
          <w:tblHeader/>
          <w:jc w:val="center"/>
        </w:trPr>
        <w:tc>
          <w:tcPr>
            <w:tcW w:w="3823" w:type="dxa"/>
          </w:tcPr>
          <w:p w14:paraId="26F2DFF0" w14:textId="77777777" w:rsidR="00E45026" w:rsidRPr="002D39D0" w:rsidRDefault="00E45026" w:rsidP="000F48C6">
            <w:pPr>
              <w:autoSpaceDE w:val="0"/>
              <w:autoSpaceDN w:val="0"/>
              <w:adjustRightInd w:val="0"/>
              <w:rPr>
                <w:rFonts w:asciiTheme="minorHAnsi" w:hAnsiTheme="minorHAnsi" w:cstheme="minorHAnsi"/>
                <w:color w:val="000000"/>
                <w:szCs w:val="24"/>
              </w:rPr>
            </w:pPr>
            <w:r w:rsidRPr="002D39D0">
              <w:rPr>
                <w:rFonts w:asciiTheme="minorHAnsi" w:hAnsiTheme="minorHAnsi" w:cstheme="minorHAnsi"/>
                <w:color w:val="000000"/>
                <w:szCs w:val="24"/>
              </w:rPr>
              <w:t>690 à 719 jours civils</w:t>
            </w:r>
          </w:p>
        </w:tc>
        <w:tc>
          <w:tcPr>
            <w:tcW w:w="9880" w:type="dxa"/>
          </w:tcPr>
          <w:p w14:paraId="4E85AEC9" w14:textId="77777777" w:rsidR="00E45026" w:rsidRPr="002D39D0" w:rsidRDefault="00E45026" w:rsidP="000F48C6">
            <w:pPr>
              <w:autoSpaceDE w:val="0"/>
              <w:autoSpaceDN w:val="0"/>
              <w:adjustRightInd w:val="0"/>
              <w:jc w:val="center"/>
              <w:rPr>
                <w:rFonts w:asciiTheme="minorHAnsi" w:hAnsiTheme="minorHAnsi" w:cstheme="minorHAnsi"/>
                <w:color w:val="000000"/>
                <w:szCs w:val="24"/>
              </w:rPr>
            </w:pPr>
            <w:r w:rsidRPr="002D39D0">
              <w:rPr>
                <w:rFonts w:asciiTheme="minorHAnsi" w:hAnsiTheme="minorHAnsi" w:cstheme="minorHAnsi"/>
                <w:szCs w:val="24"/>
              </w:rPr>
              <w:t>13</w:t>
            </w:r>
          </w:p>
        </w:tc>
        <w:tc>
          <w:tcPr>
            <w:tcW w:w="0" w:type="auto"/>
          </w:tcPr>
          <w:p w14:paraId="798F427D" w14:textId="77777777" w:rsidR="00E45026" w:rsidRPr="002D39D0" w:rsidRDefault="00E45026" w:rsidP="000F48C6">
            <w:pPr>
              <w:autoSpaceDE w:val="0"/>
              <w:autoSpaceDN w:val="0"/>
              <w:adjustRightInd w:val="0"/>
              <w:jc w:val="center"/>
              <w:rPr>
                <w:rFonts w:asciiTheme="minorHAnsi" w:hAnsiTheme="minorHAnsi" w:cstheme="minorHAnsi"/>
                <w:color w:val="000000"/>
                <w:szCs w:val="24"/>
              </w:rPr>
            </w:pPr>
            <w:r w:rsidRPr="002D39D0">
              <w:rPr>
                <w:rFonts w:asciiTheme="minorHAnsi" w:hAnsiTheme="minorHAnsi" w:cstheme="minorHAnsi"/>
                <w:color w:val="000000"/>
                <w:szCs w:val="24"/>
              </w:rPr>
              <w:t>0</w:t>
            </w:r>
          </w:p>
        </w:tc>
      </w:tr>
      <w:tr w:rsidR="00E45026" w:rsidRPr="002D39D0" w14:paraId="5B84602A" w14:textId="77777777" w:rsidTr="00222D78">
        <w:trPr>
          <w:cantSplit/>
          <w:trHeight w:val="302"/>
          <w:tblHeader/>
          <w:jc w:val="center"/>
        </w:trPr>
        <w:tc>
          <w:tcPr>
            <w:tcW w:w="3823" w:type="dxa"/>
          </w:tcPr>
          <w:p w14:paraId="1B0D22F7" w14:textId="77777777" w:rsidR="00E45026" w:rsidRPr="002D39D0" w:rsidRDefault="00E45026" w:rsidP="000F48C6">
            <w:pPr>
              <w:autoSpaceDE w:val="0"/>
              <w:autoSpaceDN w:val="0"/>
              <w:adjustRightInd w:val="0"/>
              <w:rPr>
                <w:rFonts w:asciiTheme="minorHAnsi" w:hAnsiTheme="minorHAnsi" w:cstheme="minorHAnsi"/>
                <w:color w:val="000000"/>
                <w:szCs w:val="24"/>
              </w:rPr>
            </w:pPr>
            <w:r w:rsidRPr="002D39D0">
              <w:rPr>
                <w:rFonts w:asciiTheme="minorHAnsi" w:hAnsiTheme="minorHAnsi" w:cstheme="minorHAnsi"/>
                <w:color w:val="000000"/>
                <w:szCs w:val="24"/>
              </w:rPr>
              <w:t>720 à 749 jours civils</w:t>
            </w:r>
          </w:p>
        </w:tc>
        <w:tc>
          <w:tcPr>
            <w:tcW w:w="9880" w:type="dxa"/>
          </w:tcPr>
          <w:p w14:paraId="62031B05" w14:textId="77777777" w:rsidR="00E45026" w:rsidRPr="002D39D0" w:rsidRDefault="00E45026" w:rsidP="000F48C6">
            <w:pPr>
              <w:autoSpaceDE w:val="0"/>
              <w:autoSpaceDN w:val="0"/>
              <w:adjustRightInd w:val="0"/>
              <w:jc w:val="center"/>
              <w:rPr>
                <w:rFonts w:asciiTheme="minorHAnsi" w:hAnsiTheme="minorHAnsi" w:cstheme="minorHAnsi"/>
                <w:color w:val="000000"/>
                <w:szCs w:val="24"/>
              </w:rPr>
            </w:pPr>
            <w:r w:rsidRPr="002D39D0">
              <w:rPr>
                <w:rFonts w:asciiTheme="minorHAnsi" w:hAnsiTheme="minorHAnsi" w:cstheme="minorHAnsi"/>
                <w:szCs w:val="24"/>
              </w:rPr>
              <w:t>6</w:t>
            </w:r>
          </w:p>
        </w:tc>
        <w:tc>
          <w:tcPr>
            <w:tcW w:w="0" w:type="auto"/>
          </w:tcPr>
          <w:p w14:paraId="2C307EFC" w14:textId="77777777" w:rsidR="00E45026" w:rsidRPr="002D39D0" w:rsidRDefault="00E45026" w:rsidP="000F48C6">
            <w:pPr>
              <w:autoSpaceDE w:val="0"/>
              <w:autoSpaceDN w:val="0"/>
              <w:adjustRightInd w:val="0"/>
              <w:jc w:val="center"/>
              <w:rPr>
                <w:rFonts w:asciiTheme="minorHAnsi" w:hAnsiTheme="minorHAnsi" w:cstheme="minorHAnsi"/>
                <w:color w:val="000000"/>
                <w:szCs w:val="24"/>
              </w:rPr>
            </w:pPr>
            <w:r w:rsidRPr="002D39D0">
              <w:rPr>
                <w:rFonts w:asciiTheme="minorHAnsi" w:hAnsiTheme="minorHAnsi" w:cstheme="minorHAnsi"/>
                <w:color w:val="000000"/>
                <w:szCs w:val="24"/>
              </w:rPr>
              <w:t>0</w:t>
            </w:r>
          </w:p>
        </w:tc>
      </w:tr>
      <w:tr w:rsidR="00E45026" w:rsidRPr="002D39D0" w14:paraId="6442291D" w14:textId="77777777" w:rsidTr="00222D78">
        <w:trPr>
          <w:cantSplit/>
          <w:trHeight w:val="290"/>
          <w:tblHeader/>
          <w:jc w:val="center"/>
        </w:trPr>
        <w:tc>
          <w:tcPr>
            <w:tcW w:w="3823" w:type="dxa"/>
          </w:tcPr>
          <w:p w14:paraId="006A0434" w14:textId="77777777" w:rsidR="00E45026" w:rsidRPr="002D39D0" w:rsidRDefault="00E45026" w:rsidP="000F48C6">
            <w:pPr>
              <w:autoSpaceDE w:val="0"/>
              <w:autoSpaceDN w:val="0"/>
              <w:adjustRightInd w:val="0"/>
              <w:rPr>
                <w:rFonts w:asciiTheme="minorHAnsi" w:hAnsiTheme="minorHAnsi" w:cstheme="minorHAnsi"/>
                <w:color w:val="000000"/>
                <w:szCs w:val="24"/>
              </w:rPr>
            </w:pPr>
            <w:r w:rsidRPr="002D39D0">
              <w:rPr>
                <w:rFonts w:asciiTheme="minorHAnsi" w:hAnsiTheme="minorHAnsi" w:cstheme="minorHAnsi"/>
                <w:color w:val="000000"/>
                <w:szCs w:val="24"/>
              </w:rPr>
              <w:t>750 à 779 jours civils</w:t>
            </w:r>
          </w:p>
        </w:tc>
        <w:tc>
          <w:tcPr>
            <w:tcW w:w="9880" w:type="dxa"/>
          </w:tcPr>
          <w:p w14:paraId="7E2FE34D" w14:textId="77777777" w:rsidR="00E45026" w:rsidRPr="002D39D0" w:rsidRDefault="00E45026" w:rsidP="000F48C6">
            <w:pPr>
              <w:autoSpaceDE w:val="0"/>
              <w:autoSpaceDN w:val="0"/>
              <w:adjustRightInd w:val="0"/>
              <w:jc w:val="center"/>
              <w:rPr>
                <w:rFonts w:asciiTheme="minorHAnsi" w:hAnsiTheme="minorHAnsi" w:cstheme="minorHAnsi"/>
                <w:color w:val="000000"/>
                <w:szCs w:val="24"/>
              </w:rPr>
            </w:pPr>
            <w:r w:rsidRPr="002D39D0">
              <w:rPr>
                <w:rFonts w:asciiTheme="minorHAnsi" w:hAnsiTheme="minorHAnsi" w:cstheme="minorHAnsi"/>
                <w:szCs w:val="24"/>
              </w:rPr>
              <w:t>5</w:t>
            </w:r>
          </w:p>
        </w:tc>
        <w:tc>
          <w:tcPr>
            <w:tcW w:w="0" w:type="auto"/>
          </w:tcPr>
          <w:p w14:paraId="0E300BD2" w14:textId="77777777" w:rsidR="00E45026" w:rsidRPr="002D39D0" w:rsidRDefault="00E45026" w:rsidP="000F48C6">
            <w:pPr>
              <w:autoSpaceDE w:val="0"/>
              <w:autoSpaceDN w:val="0"/>
              <w:adjustRightInd w:val="0"/>
              <w:jc w:val="center"/>
              <w:rPr>
                <w:rFonts w:asciiTheme="minorHAnsi" w:hAnsiTheme="minorHAnsi" w:cstheme="minorHAnsi"/>
                <w:color w:val="000000"/>
                <w:szCs w:val="24"/>
              </w:rPr>
            </w:pPr>
            <w:r w:rsidRPr="002D39D0">
              <w:rPr>
                <w:rFonts w:asciiTheme="minorHAnsi" w:hAnsiTheme="minorHAnsi" w:cstheme="minorHAnsi"/>
                <w:color w:val="000000"/>
                <w:szCs w:val="24"/>
              </w:rPr>
              <w:t>1</w:t>
            </w:r>
          </w:p>
        </w:tc>
      </w:tr>
      <w:tr w:rsidR="00E45026" w:rsidRPr="002D39D0" w14:paraId="223B9299" w14:textId="77777777" w:rsidTr="00222D78">
        <w:trPr>
          <w:cantSplit/>
          <w:trHeight w:val="290"/>
          <w:tblHeader/>
          <w:jc w:val="center"/>
        </w:trPr>
        <w:tc>
          <w:tcPr>
            <w:tcW w:w="3823" w:type="dxa"/>
          </w:tcPr>
          <w:p w14:paraId="593035B8" w14:textId="77777777" w:rsidR="00E45026" w:rsidRPr="002D39D0" w:rsidRDefault="00E45026" w:rsidP="000F48C6">
            <w:pPr>
              <w:autoSpaceDE w:val="0"/>
              <w:autoSpaceDN w:val="0"/>
              <w:adjustRightInd w:val="0"/>
              <w:rPr>
                <w:rFonts w:asciiTheme="minorHAnsi" w:hAnsiTheme="minorHAnsi" w:cstheme="minorHAnsi"/>
                <w:color w:val="000000"/>
                <w:szCs w:val="24"/>
              </w:rPr>
            </w:pPr>
            <w:r w:rsidRPr="002D39D0">
              <w:rPr>
                <w:rFonts w:asciiTheme="minorHAnsi" w:hAnsiTheme="minorHAnsi" w:cstheme="minorHAnsi"/>
                <w:color w:val="000000"/>
                <w:szCs w:val="24"/>
              </w:rPr>
              <w:t>780 à 809 jours civils</w:t>
            </w:r>
          </w:p>
        </w:tc>
        <w:tc>
          <w:tcPr>
            <w:tcW w:w="9880" w:type="dxa"/>
          </w:tcPr>
          <w:p w14:paraId="2989BB2C" w14:textId="77777777" w:rsidR="00E45026" w:rsidRPr="002D39D0" w:rsidRDefault="00E45026" w:rsidP="000F48C6">
            <w:pPr>
              <w:autoSpaceDE w:val="0"/>
              <w:autoSpaceDN w:val="0"/>
              <w:adjustRightInd w:val="0"/>
              <w:jc w:val="center"/>
              <w:rPr>
                <w:rFonts w:asciiTheme="minorHAnsi" w:hAnsiTheme="minorHAnsi" w:cstheme="minorHAnsi"/>
                <w:color w:val="000000"/>
                <w:szCs w:val="24"/>
              </w:rPr>
            </w:pPr>
            <w:r w:rsidRPr="002D39D0">
              <w:rPr>
                <w:rFonts w:asciiTheme="minorHAnsi" w:hAnsiTheme="minorHAnsi" w:cstheme="minorHAnsi"/>
                <w:szCs w:val="24"/>
              </w:rPr>
              <w:t>8</w:t>
            </w:r>
          </w:p>
        </w:tc>
        <w:tc>
          <w:tcPr>
            <w:tcW w:w="0" w:type="auto"/>
          </w:tcPr>
          <w:p w14:paraId="23DE4CF8" w14:textId="77777777" w:rsidR="00E45026" w:rsidRPr="002D39D0" w:rsidRDefault="00E45026" w:rsidP="000F48C6">
            <w:pPr>
              <w:autoSpaceDE w:val="0"/>
              <w:autoSpaceDN w:val="0"/>
              <w:adjustRightInd w:val="0"/>
              <w:jc w:val="center"/>
              <w:rPr>
                <w:rFonts w:asciiTheme="minorHAnsi" w:hAnsiTheme="minorHAnsi" w:cstheme="minorHAnsi"/>
                <w:color w:val="000000"/>
                <w:szCs w:val="24"/>
              </w:rPr>
            </w:pPr>
            <w:r w:rsidRPr="002D39D0">
              <w:rPr>
                <w:rFonts w:asciiTheme="minorHAnsi" w:hAnsiTheme="minorHAnsi" w:cstheme="minorHAnsi"/>
                <w:color w:val="000000"/>
                <w:szCs w:val="24"/>
              </w:rPr>
              <w:t>0</w:t>
            </w:r>
          </w:p>
        </w:tc>
      </w:tr>
      <w:tr w:rsidR="00E45026" w:rsidRPr="002D39D0" w14:paraId="51E54A23" w14:textId="77777777" w:rsidTr="00222D78">
        <w:trPr>
          <w:cantSplit/>
          <w:trHeight w:val="290"/>
          <w:tblHeader/>
          <w:jc w:val="center"/>
        </w:trPr>
        <w:tc>
          <w:tcPr>
            <w:tcW w:w="3823" w:type="dxa"/>
          </w:tcPr>
          <w:p w14:paraId="6273BC84" w14:textId="77777777" w:rsidR="00E45026" w:rsidRPr="002D39D0" w:rsidRDefault="00E45026" w:rsidP="000F48C6">
            <w:pPr>
              <w:autoSpaceDE w:val="0"/>
              <w:autoSpaceDN w:val="0"/>
              <w:adjustRightInd w:val="0"/>
              <w:rPr>
                <w:rFonts w:asciiTheme="minorHAnsi" w:hAnsiTheme="minorHAnsi" w:cstheme="minorHAnsi"/>
                <w:color w:val="000000"/>
                <w:szCs w:val="24"/>
              </w:rPr>
            </w:pPr>
            <w:r w:rsidRPr="002D39D0">
              <w:rPr>
                <w:rFonts w:asciiTheme="minorHAnsi" w:hAnsiTheme="minorHAnsi" w:cstheme="minorHAnsi"/>
                <w:color w:val="000000"/>
                <w:szCs w:val="24"/>
              </w:rPr>
              <w:t>810 à 839 jours civils</w:t>
            </w:r>
          </w:p>
        </w:tc>
        <w:tc>
          <w:tcPr>
            <w:tcW w:w="9880" w:type="dxa"/>
          </w:tcPr>
          <w:p w14:paraId="0D13F1FE" w14:textId="77777777" w:rsidR="00E45026" w:rsidRPr="002D39D0" w:rsidRDefault="00E45026" w:rsidP="000F48C6">
            <w:pPr>
              <w:autoSpaceDE w:val="0"/>
              <w:autoSpaceDN w:val="0"/>
              <w:adjustRightInd w:val="0"/>
              <w:jc w:val="center"/>
              <w:rPr>
                <w:rFonts w:asciiTheme="minorHAnsi" w:hAnsiTheme="minorHAnsi" w:cstheme="minorHAnsi"/>
                <w:color w:val="000000"/>
                <w:szCs w:val="24"/>
              </w:rPr>
            </w:pPr>
            <w:r w:rsidRPr="002D39D0">
              <w:rPr>
                <w:rFonts w:asciiTheme="minorHAnsi" w:hAnsiTheme="minorHAnsi" w:cstheme="minorHAnsi"/>
                <w:szCs w:val="24"/>
              </w:rPr>
              <w:t>4</w:t>
            </w:r>
          </w:p>
        </w:tc>
        <w:tc>
          <w:tcPr>
            <w:tcW w:w="0" w:type="auto"/>
          </w:tcPr>
          <w:p w14:paraId="51374F2D" w14:textId="77777777" w:rsidR="00E45026" w:rsidRPr="002D39D0" w:rsidRDefault="00E45026" w:rsidP="000F48C6">
            <w:pPr>
              <w:autoSpaceDE w:val="0"/>
              <w:autoSpaceDN w:val="0"/>
              <w:adjustRightInd w:val="0"/>
              <w:jc w:val="center"/>
              <w:rPr>
                <w:rFonts w:asciiTheme="minorHAnsi" w:hAnsiTheme="minorHAnsi" w:cstheme="minorHAnsi"/>
                <w:color w:val="000000"/>
                <w:szCs w:val="24"/>
              </w:rPr>
            </w:pPr>
            <w:r w:rsidRPr="002D39D0">
              <w:rPr>
                <w:rFonts w:asciiTheme="minorHAnsi" w:hAnsiTheme="minorHAnsi" w:cstheme="minorHAnsi"/>
                <w:color w:val="000000"/>
                <w:szCs w:val="24"/>
              </w:rPr>
              <w:t>0</w:t>
            </w:r>
          </w:p>
        </w:tc>
      </w:tr>
      <w:tr w:rsidR="00E45026" w:rsidRPr="002D39D0" w14:paraId="5EFB39DE" w14:textId="77777777" w:rsidTr="00222D78">
        <w:trPr>
          <w:cantSplit/>
          <w:trHeight w:val="290"/>
          <w:tblHeader/>
          <w:jc w:val="center"/>
        </w:trPr>
        <w:tc>
          <w:tcPr>
            <w:tcW w:w="3823" w:type="dxa"/>
          </w:tcPr>
          <w:p w14:paraId="645A03EB" w14:textId="77777777" w:rsidR="00E45026" w:rsidRPr="002D39D0" w:rsidRDefault="00E45026" w:rsidP="000F48C6">
            <w:pPr>
              <w:autoSpaceDE w:val="0"/>
              <w:autoSpaceDN w:val="0"/>
              <w:adjustRightInd w:val="0"/>
              <w:rPr>
                <w:rFonts w:asciiTheme="minorHAnsi" w:hAnsiTheme="minorHAnsi" w:cstheme="minorHAnsi"/>
                <w:color w:val="000000"/>
                <w:szCs w:val="24"/>
              </w:rPr>
            </w:pPr>
            <w:r w:rsidRPr="002D39D0">
              <w:rPr>
                <w:rFonts w:asciiTheme="minorHAnsi" w:hAnsiTheme="minorHAnsi" w:cstheme="minorHAnsi"/>
                <w:color w:val="000000"/>
                <w:szCs w:val="24"/>
              </w:rPr>
              <w:t>840 à 869 jours civils</w:t>
            </w:r>
          </w:p>
        </w:tc>
        <w:tc>
          <w:tcPr>
            <w:tcW w:w="9880" w:type="dxa"/>
          </w:tcPr>
          <w:p w14:paraId="6C553B17" w14:textId="77777777" w:rsidR="00E45026" w:rsidRPr="002D39D0" w:rsidRDefault="00E45026" w:rsidP="000F48C6">
            <w:pPr>
              <w:autoSpaceDE w:val="0"/>
              <w:autoSpaceDN w:val="0"/>
              <w:adjustRightInd w:val="0"/>
              <w:jc w:val="center"/>
              <w:rPr>
                <w:rFonts w:asciiTheme="minorHAnsi" w:hAnsiTheme="minorHAnsi" w:cstheme="minorHAnsi"/>
                <w:color w:val="000000"/>
                <w:szCs w:val="24"/>
              </w:rPr>
            </w:pPr>
            <w:r w:rsidRPr="002D39D0">
              <w:rPr>
                <w:rFonts w:asciiTheme="minorHAnsi" w:hAnsiTheme="minorHAnsi" w:cstheme="minorHAnsi"/>
                <w:szCs w:val="24"/>
              </w:rPr>
              <w:t>10</w:t>
            </w:r>
          </w:p>
        </w:tc>
        <w:tc>
          <w:tcPr>
            <w:tcW w:w="0" w:type="auto"/>
          </w:tcPr>
          <w:p w14:paraId="1CC8D0B4" w14:textId="77777777" w:rsidR="00E45026" w:rsidRPr="002D39D0" w:rsidRDefault="00E45026" w:rsidP="000F48C6">
            <w:pPr>
              <w:autoSpaceDE w:val="0"/>
              <w:autoSpaceDN w:val="0"/>
              <w:adjustRightInd w:val="0"/>
              <w:jc w:val="center"/>
              <w:rPr>
                <w:rFonts w:asciiTheme="minorHAnsi" w:hAnsiTheme="minorHAnsi" w:cstheme="minorHAnsi"/>
                <w:color w:val="000000"/>
                <w:szCs w:val="24"/>
              </w:rPr>
            </w:pPr>
            <w:r w:rsidRPr="002D39D0">
              <w:rPr>
                <w:rFonts w:asciiTheme="minorHAnsi" w:hAnsiTheme="minorHAnsi" w:cstheme="minorHAnsi"/>
                <w:color w:val="000000"/>
                <w:szCs w:val="24"/>
              </w:rPr>
              <w:t>0</w:t>
            </w:r>
          </w:p>
        </w:tc>
      </w:tr>
      <w:tr w:rsidR="00E45026" w:rsidRPr="002D39D0" w14:paraId="128CAB2F" w14:textId="77777777" w:rsidTr="00222D78">
        <w:trPr>
          <w:cantSplit/>
          <w:trHeight w:val="290"/>
          <w:tblHeader/>
          <w:jc w:val="center"/>
        </w:trPr>
        <w:tc>
          <w:tcPr>
            <w:tcW w:w="3823" w:type="dxa"/>
          </w:tcPr>
          <w:p w14:paraId="66E7E77E" w14:textId="77777777" w:rsidR="00E45026" w:rsidRPr="002D39D0" w:rsidRDefault="00E45026" w:rsidP="000F48C6">
            <w:pPr>
              <w:autoSpaceDE w:val="0"/>
              <w:autoSpaceDN w:val="0"/>
              <w:adjustRightInd w:val="0"/>
              <w:rPr>
                <w:rFonts w:asciiTheme="minorHAnsi" w:hAnsiTheme="minorHAnsi" w:cstheme="minorHAnsi"/>
                <w:color w:val="000000"/>
                <w:szCs w:val="24"/>
              </w:rPr>
            </w:pPr>
            <w:r w:rsidRPr="002D39D0">
              <w:rPr>
                <w:rFonts w:asciiTheme="minorHAnsi" w:hAnsiTheme="minorHAnsi" w:cstheme="minorHAnsi"/>
                <w:color w:val="000000"/>
                <w:szCs w:val="24"/>
              </w:rPr>
              <w:t>870 à 899 jours civils</w:t>
            </w:r>
          </w:p>
        </w:tc>
        <w:tc>
          <w:tcPr>
            <w:tcW w:w="9880" w:type="dxa"/>
          </w:tcPr>
          <w:p w14:paraId="69A8B18D" w14:textId="77777777" w:rsidR="00E45026" w:rsidRPr="002D39D0" w:rsidRDefault="00E45026" w:rsidP="000F48C6">
            <w:pPr>
              <w:autoSpaceDE w:val="0"/>
              <w:autoSpaceDN w:val="0"/>
              <w:adjustRightInd w:val="0"/>
              <w:jc w:val="center"/>
              <w:rPr>
                <w:rFonts w:asciiTheme="minorHAnsi" w:hAnsiTheme="minorHAnsi" w:cstheme="minorHAnsi"/>
                <w:color w:val="000000"/>
                <w:szCs w:val="24"/>
              </w:rPr>
            </w:pPr>
            <w:r w:rsidRPr="002D39D0">
              <w:rPr>
                <w:rFonts w:asciiTheme="minorHAnsi" w:hAnsiTheme="minorHAnsi" w:cstheme="minorHAnsi"/>
                <w:szCs w:val="24"/>
              </w:rPr>
              <w:t>4</w:t>
            </w:r>
          </w:p>
        </w:tc>
        <w:tc>
          <w:tcPr>
            <w:tcW w:w="0" w:type="auto"/>
          </w:tcPr>
          <w:p w14:paraId="07B053D4" w14:textId="77777777" w:rsidR="00E45026" w:rsidRPr="002D39D0" w:rsidRDefault="00E45026" w:rsidP="000F48C6">
            <w:pPr>
              <w:autoSpaceDE w:val="0"/>
              <w:autoSpaceDN w:val="0"/>
              <w:adjustRightInd w:val="0"/>
              <w:jc w:val="center"/>
              <w:rPr>
                <w:rFonts w:asciiTheme="minorHAnsi" w:hAnsiTheme="minorHAnsi" w:cstheme="minorHAnsi"/>
                <w:color w:val="000000"/>
                <w:szCs w:val="24"/>
              </w:rPr>
            </w:pPr>
            <w:r w:rsidRPr="002D39D0">
              <w:rPr>
                <w:rFonts w:asciiTheme="minorHAnsi" w:hAnsiTheme="minorHAnsi" w:cstheme="minorHAnsi"/>
                <w:color w:val="000000"/>
                <w:szCs w:val="24"/>
              </w:rPr>
              <w:t>0</w:t>
            </w:r>
          </w:p>
        </w:tc>
      </w:tr>
      <w:tr w:rsidR="00E45026" w:rsidRPr="002D39D0" w14:paraId="62117420" w14:textId="77777777" w:rsidTr="00222D78">
        <w:trPr>
          <w:cantSplit/>
          <w:trHeight w:val="290"/>
          <w:tblHeader/>
          <w:jc w:val="center"/>
        </w:trPr>
        <w:tc>
          <w:tcPr>
            <w:tcW w:w="3823" w:type="dxa"/>
          </w:tcPr>
          <w:p w14:paraId="398FE245" w14:textId="77777777" w:rsidR="00E45026" w:rsidRPr="002D39D0" w:rsidRDefault="00E45026" w:rsidP="000F48C6">
            <w:pPr>
              <w:autoSpaceDE w:val="0"/>
              <w:autoSpaceDN w:val="0"/>
              <w:adjustRightInd w:val="0"/>
              <w:rPr>
                <w:rFonts w:asciiTheme="minorHAnsi" w:hAnsiTheme="minorHAnsi" w:cstheme="minorHAnsi"/>
                <w:color w:val="000000"/>
                <w:szCs w:val="24"/>
              </w:rPr>
            </w:pPr>
            <w:r w:rsidRPr="002D39D0">
              <w:rPr>
                <w:rFonts w:asciiTheme="minorHAnsi" w:hAnsiTheme="minorHAnsi" w:cstheme="minorHAnsi"/>
                <w:color w:val="000000"/>
                <w:szCs w:val="24"/>
              </w:rPr>
              <w:t>900 à 929 jours civils</w:t>
            </w:r>
          </w:p>
        </w:tc>
        <w:tc>
          <w:tcPr>
            <w:tcW w:w="9880" w:type="dxa"/>
          </w:tcPr>
          <w:p w14:paraId="5FE853BF" w14:textId="77777777" w:rsidR="00E45026" w:rsidRPr="002D39D0" w:rsidRDefault="00E45026" w:rsidP="000F48C6">
            <w:pPr>
              <w:autoSpaceDE w:val="0"/>
              <w:autoSpaceDN w:val="0"/>
              <w:adjustRightInd w:val="0"/>
              <w:jc w:val="center"/>
              <w:rPr>
                <w:rFonts w:asciiTheme="minorHAnsi" w:hAnsiTheme="minorHAnsi" w:cstheme="minorHAnsi"/>
                <w:color w:val="000000"/>
                <w:szCs w:val="24"/>
              </w:rPr>
            </w:pPr>
            <w:r w:rsidRPr="002D39D0">
              <w:rPr>
                <w:rFonts w:asciiTheme="minorHAnsi" w:hAnsiTheme="minorHAnsi" w:cstheme="minorHAnsi"/>
                <w:szCs w:val="24"/>
              </w:rPr>
              <w:t>5</w:t>
            </w:r>
          </w:p>
        </w:tc>
        <w:tc>
          <w:tcPr>
            <w:tcW w:w="0" w:type="auto"/>
          </w:tcPr>
          <w:p w14:paraId="6EE1A8B1" w14:textId="77777777" w:rsidR="00E45026" w:rsidRPr="002D39D0" w:rsidRDefault="00E45026" w:rsidP="000F48C6">
            <w:pPr>
              <w:autoSpaceDE w:val="0"/>
              <w:autoSpaceDN w:val="0"/>
              <w:adjustRightInd w:val="0"/>
              <w:jc w:val="center"/>
              <w:rPr>
                <w:rFonts w:asciiTheme="minorHAnsi" w:hAnsiTheme="minorHAnsi" w:cstheme="minorHAnsi"/>
                <w:color w:val="000000"/>
                <w:szCs w:val="24"/>
              </w:rPr>
            </w:pPr>
            <w:r w:rsidRPr="002D39D0">
              <w:rPr>
                <w:rFonts w:asciiTheme="minorHAnsi" w:hAnsiTheme="minorHAnsi" w:cstheme="minorHAnsi"/>
                <w:color w:val="000000"/>
                <w:szCs w:val="24"/>
              </w:rPr>
              <w:t>0</w:t>
            </w:r>
          </w:p>
        </w:tc>
      </w:tr>
      <w:tr w:rsidR="00E45026" w:rsidRPr="002D39D0" w14:paraId="4FC3BB55" w14:textId="77777777" w:rsidTr="00222D78">
        <w:trPr>
          <w:cantSplit/>
          <w:trHeight w:val="290"/>
          <w:tblHeader/>
          <w:jc w:val="center"/>
        </w:trPr>
        <w:tc>
          <w:tcPr>
            <w:tcW w:w="3823" w:type="dxa"/>
          </w:tcPr>
          <w:p w14:paraId="52A0EA22" w14:textId="77777777" w:rsidR="00E45026" w:rsidRPr="002D39D0" w:rsidRDefault="00E45026" w:rsidP="000F48C6">
            <w:pPr>
              <w:autoSpaceDE w:val="0"/>
              <w:autoSpaceDN w:val="0"/>
              <w:adjustRightInd w:val="0"/>
              <w:rPr>
                <w:rFonts w:asciiTheme="minorHAnsi" w:hAnsiTheme="minorHAnsi" w:cstheme="minorHAnsi"/>
                <w:color w:val="000000"/>
                <w:szCs w:val="24"/>
              </w:rPr>
            </w:pPr>
            <w:r w:rsidRPr="002D39D0">
              <w:rPr>
                <w:rFonts w:asciiTheme="minorHAnsi" w:hAnsiTheme="minorHAnsi" w:cstheme="minorHAnsi"/>
                <w:color w:val="000000"/>
                <w:szCs w:val="24"/>
              </w:rPr>
              <w:t>930 à 959 jours civils</w:t>
            </w:r>
          </w:p>
        </w:tc>
        <w:tc>
          <w:tcPr>
            <w:tcW w:w="9880" w:type="dxa"/>
          </w:tcPr>
          <w:p w14:paraId="0242F385" w14:textId="77777777" w:rsidR="00E45026" w:rsidRPr="002D39D0" w:rsidRDefault="00E45026" w:rsidP="000F48C6">
            <w:pPr>
              <w:autoSpaceDE w:val="0"/>
              <w:autoSpaceDN w:val="0"/>
              <w:adjustRightInd w:val="0"/>
              <w:jc w:val="center"/>
              <w:rPr>
                <w:rFonts w:asciiTheme="minorHAnsi" w:hAnsiTheme="minorHAnsi" w:cstheme="minorHAnsi"/>
                <w:color w:val="000000"/>
                <w:szCs w:val="24"/>
              </w:rPr>
            </w:pPr>
            <w:r w:rsidRPr="002D39D0">
              <w:rPr>
                <w:rFonts w:asciiTheme="minorHAnsi" w:hAnsiTheme="minorHAnsi" w:cstheme="minorHAnsi"/>
                <w:szCs w:val="24"/>
              </w:rPr>
              <w:t>5</w:t>
            </w:r>
          </w:p>
        </w:tc>
        <w:tc>
          <w:tcPr>
            <w:tcW w:w="0" w:type="auto"/>
          </w:tcPr>
          <w:p w14:paraId="5D84EEA3" w14:textId="77777777" w:rsidR="00E45026" w:rsidRPr="002D39D0" w:rsidRDefault="00E45026" w:rsidP="000F48C6">
            <w:pPr>
              <w:autoSpaceDE w:val="0"/>
              <w:autoSpaceDN w:val="0"/>
              <w:adjustRightInd w:val="0"/>
              <w:jc w:val="center"/>
              <w:rPr>
                <w:rFonts w:asciiTheme="minorHAnsi" w:hAnsiTheme="minorHAnsi" w:cstheme="minorHAnsi"/>
                <w:color w:val="000000"/>
                <w:szCs w:val="24"/>
              </w:rPr>
            </w:pPr>
            <w:r w:rsidRPr="002D39D0">
              <w:rPr>
                <w:rFonts w:asciiTheme="minorHAnsi" w:hAnsiTheme="minorHAnsi" w:cstheme="minorHAnsi"/>
                <w:color w:val="000000"/>
                <w:szCs w:val="24"/>
              </w:rPr>
              <w:t>0</w:t>
            </w:r>
          </w:p>
        </w:tc>
      </w:tr>
      <w:tr w:rsidR="00E45026" w:rsidRPr="002D39D0" w14:paraId="55031DE4" w14:textId="77777777" w:rsidTr="00222D78">
        <w:trPr>
          <w:cantSplit/>
          <w:trHeight w:val="290"/>
          <w:tblHeader/>
          <w:jc w:val="center"/>
        </w:trPr>
        <w:tc>
          <w:tcPr>
            <w:tcW w:w="3823" w:type="dxa"/>
          </w:tcPr>
          <w:p w14:paraId="22F68DBD" w14:textId="77777777" w:rsidR="00E45026" w:rsidRPr="002D39D0" w:rsidRDefault="00E45026" w:rsidP="000F48C6">
            <w:pPr>
              <w:autoSpaceDE w:val="0"/>
              <w:autoSpaceDN w:val="0"/>
              <w:adjustRightInd w:val="0"/>
              <w:rPr>
                <w:rFonts w:asciiTheme="minorHAnsi" w:hAnsiTheme="minorHAnsi" w:cstheme="minorHAnsi"/>
                <w:color w:val="000000"/>
                <w:szCs w:val="24"/>
              </w:rPr>
            </w:pPr>
            <w:r w:rsidRPr="002D39D0">
              <w:rPr>
                <w:rFonts w:asciiTheme="minorHAnsi" w:hAnsiTheme="minorHAnsi" w:cstheme="minorHAnsi"/>
                <w:color w:val="000000"/>
                <w:szCs w:val="24"/>
              </w:rPr>
              <w:t>960 à 989 jours civils</w:t>
            </w:r>
          </w:p>
        </w:tc>
        <w:tc>
          <w:tcPr>
            <w:tcW w:w="9880" w:type="dxa"/>
          </w:tcPr>
          <w:p w14:paraId="67A847AD" w14:textId="77777777" w:rsidR="00E45026" w:rsidRPr="002D39D0" w:rsidRDefault="00E45026" w:rsidP="000F48C6">
            <w:pPr>
              <w:autoSpaceDE w:val="0"/>
              <w:autoSpaceDN w:val="0"/>
              <w:adjustRightInd w:val="0"/>
              <w:jc w:val="center"/>
              <w:rPr>
                <w:rFonts w:asciiTheme="minorHAnsi" w:hAnsiTheme="minorHAnsi" w:cstheme="minorHAnsi"/>
                <w:color w:val="000000"/>
                <w:szCs w:val="24"/>
              </w:rPr>
            </w:pPr>
            <w:r w:rsidRPr="002D39D0">
              <w:rPr>
                <w:rFonts w:asciiTheme="minorHAnsi" w:hAnsiTheme="minorHAnsi" w:cstheme="minorHAnsi"/>
                <w:szCs w:val="24"/>
              </w:rPr>
              <w:t>3</w:t>
            </w:r>
          </w:p>
        </w:tc>
        <w:tc>
          <w:tcPr>
            <w:tcW w:w="0" w:type="auto"/>
          </w:tcPr>
          <w:p w14:paraId="3DD2A4A5" w14:textId="77777777" w:rsidR="00E45026" w:rsidRPr="002D39D0" w:rsidRDefault="00E45026" w:rsidP="000F48C6">
            <w:pPr>
              <w:autoSpaceDE w:val="0"/>
              <w:autoSpaceDN w:val="0"/>
              <w:adjustRightInd w:val="0"/>
              <w:jc w:val="center"/>
              <w:rPr>
                <w:rFonts w:asciiTheme="minorHAnsi" w:hAnsiTheme="minorHAnsi" w:cstheme="minorHAnsi"/>
                <w:color w:val="000000"/>
                <w:szCs w:val="24"/>
              </w:rPr>
            </w:pPr>
            <w:r w:rsidRPr="002D39D0">
              <w:rPr>
                <w:rFonts w:asciiTheme="minorHAnsi" w:hAnsiTheme="minorHAnsi" w:cstheme="minorHAnsi"/>
                <w:color w:val="000000"/>
                <w:szCs w:val="24"/>
              </w:rPr>
              <w:t>0</w:t>
            </w:r>
          </w:p>
        </w:tc>
      </w:tr>
      <w:tr w:rsidR="00E45026" w:rsidRPr="002D39D0" w14:paraId="7EFD1424" w14:textId="77777777" w:rsidTr="00222D78">
        <w:trPr>
          <w:cantSplit/>
          <w:trHeight w:val="290"/>
          <w:tblHeader/>
          <w:jc w:val="center"/>
        </w:trPr>
        <w:tc>
          <w:tcPr>
            <w:tcW w:w="3823" w:type="dxa"/>
          </w:tcPr>
          <w:p w14:paraId="739E8665" w14:textId="77777777" w:rsidR="00E45026" w:rsidRPr="002D39D0" w:rsidRDefault="00E45026" w:rsidP="000F48C6">
            <w:pPr>
              <w:autoSpaceDE w:val="0"/>
              <w:autoSpaceDN w:val="0"/>
              <w:adjustRightInd w:val="0"/>
              <w:rPr>
                <w:rFonts w:asciiTheme="minorHAnsi" w:hAnsiTheme="minorHAnsi" w:cstheme="minorHAnsi"/>
                <w:color w:val="000000"/>
                <w:szCs w:val="24"/>
              </w:rPr>
            </w:pPr>
            <w:r w:rsidRPr="002D39D0">
              <w:rPr>
                <w:rFonts w:asciiTheme="minorHAnsi" w:hAnsiTheme="minorHAnsi" w:cstheme="minorHAnsi"/>
                <w:color w:val="000000"/>
                <w:szCs w:val="24"/>
              </w:rPr>
              <w:t>Plus de 990 jours civils</w:t>
            </w:r>
          </w:p>
        </w:tc>
        <w:tc>
          <w:tcPr>
            <w:tcW w:w="9880" w:type="dxa"/>
          </w:tcPr>
          <w:p w14:paraId="2396D757" w14:textId="77777777" w:rsidR="00E45026" w:rsidRPr="002D39D0" w:rsidRDefault="00E45026" w:rsidP="000F48C6">
            <w:pPr>
              <w:autoSpaceDE w:val="0"/>
              <w:autoSpaceDN w:val="0"/>
              <w:adjustRightInd w:val="0"/>
              <w:jc w:val="center"/>
              <w:rPr>
                <w:rFonts w:asciiTheme="minorHAnsi" w:hAnsiTheme="minorHAnsi" w:cstheme="minorHAnsi"/>
                <w:color w:val="000000"/>
                <w:szCs w:val="24"/>
              </w:rPr>
            </w:pPr>
            <w:r w:rsidRPr="002D39D0">
              <w:rPr>
                <w:rFonts w:asciiTheme="minorHAnsi" w:hAnsiTheme="minorHAnsi" w:cstheme="minorHAnsi"/>
                <w:szCs w:val="24"/>
              </w:rPr>
              <w:t>23</w:t>
            </w:r>
          </w:p>
        </w:tc>
        <w:tc>
          <w:tcPr>
            <w:tcW w:w="0" w:type="auto"/>
          </w:tcPr>
          <w:p w14:paraId="6CCFE7D0" w14:textId="77777777" w:rsidR="00E45026" w:rsidRPr="002D39D0" w:rsidRDefault="00E45026" w:rsidP="000F48C6">
            <w:pPr>
              <w:autoSpaceDE w:val="0"/>
              <w:autoSpaceDN w:val="0"/>
              <w:adjustRightInd w:val="0"/>
              <w:jc w:val="center"/>
              <w:rPr>
                <w:rFonts w:asciiTheme="minorHAnsi" w:hAnsiTheme="minorHAnsi" w:cstheme="minorHAnsi"/>
                <w:color w:val="000000"/>
                <w:szCs w:val="24"/>
              </w:rPr>
            </w:pPr>
            <w:r w:rsidRPr="002D39D0">
              <w:rPr>
                <w:rFonts w:asciiTheme="minorHAnsi" w:hAnsiTheme="minorHAnsi" w:cstheme="minorHAnsi"/>
                <w:color w:val="000000"/>
                <w:szCs w:val="24"/>
              </w:rPr>
              <w:t>0</w:t>
            </w:r>
          </w:p>
        </w:tc>
      </w:tr>
    </w:tbl>
    <w:p w14:paraId="4DFA9367" w14:textId="77777777" w:rsidR="00E45026" w:rsidRPr="002D39D0" w:rsidRDefault="00E45026" w:rsidP="00E45026">
      <w:pPr>
        <w:pStyle w:val="Heading1"/>
        <w:spacing w:before="120" w:after="120"/>
        <w:rPr>
          <w:sz w:val="40"/>
        </w:rPr>
        <w:sectPr w:rsidR="00E45026" w:rsidRPr="002D39D0" w:rsidSect="00E45026">
          <w:pgSz w:w="24480" w:h="15840" w:orient="landscape" w:code="3"/>
          <w:pgMar w:top="680" w:right="680" w:bottom="680" w:left="680" w:header="567" w:footer="567" w:gutter="0"/>
          <w:cols w:space="708"/>
          <w:titlePg/>
          <w:docGrid w:linePitch="360"/>
        </w:sectPr>
      </w:pPr>
    </w:p>
    <w:p w14:paraId="20F5A6AB" w14:textId="77777777" w:rsidR="00DD662D" w:rsidRPr="002D39D0" w:rsidRDefault="00E45026" w:rsidP="00E45026">
      <w:pPr>
        <w:pStyle w:val="Heading1"/>
        <w:spacing w:before="120" w:after="120"/>
        <w:rPr>
          <w:sz w:val="40"/>
        </w:rPr>
      </w:pPr>
      <w:r w:rsidRPr="002D39D0">
        <w:rPr>
          <w:sz w:val="40"/>
        </w:rPr>
        <w:lastRenderedPageBreak/>
        <w:t>Durée de dotation externe</w:t>
      </w:r>
    </w:p>
    <w:p w14:paraId="0B07B635" w14:textId="77777777" w:rsidR="00DE5258" w:rsidRPr="002D39D0" w:rsidRDefault="00DD662D" w:rsidP="00DE5258">
      <w:pPr>
        <w:keepNext/>
      </w:pPr>
      <w:r w:rsidRPr="00302F5B">
        <w:rPr>
          <w:noProof/>
          <w:lang w:val="en-CA" w:eastAsia="en-CA"/>
        </w:rPr>
        <w:drawing>
          <wp:inline distT="0" distB="0" distL="0" distR="0" wp14:anchorId="358B2D8E" wp14:editId="378D15E8">
            <wp:extent cx="5648400" cy="3049200"/>
            <wp:effectExtent l="0" t="0" r="9525" b="18415"/>
            <wp:docPr id="21" name="Chart 21" descr="Durée de dotation externe pour la fonction publique"/>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r w:rsidR="00DE5258" w:rsidRPr="006C61AE">
        <w:rPr>
          <w:noProof/>
          <w:lang w:val="en-CA" w:eastAsia="en-CA"/>
        </w:rPr>
        <mc:AlternateContent>
          <mc:Choice Requires="wps">
            <w:drawing>
              <wp:inline distT="0" distB="0" distL="0" distR="0" wp14:anchorId="6136C3D1" wp14:editId="0D030F6E">
                <wp:extent cx="5648400" cy="3049200"/>
                <wp:effectExtent l="0" t="0" r="28575" b="18415"/>
                <wp:docPr id="4" name="Text Box 4" descr="Durée de dotation externe – données insuffisante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8400" cy="3049200"/>
                        </a:xfrm>
                        <a:prstGeom prst="rect">
                          <a:avLst/>
                        </a:prstGeom>
                        <a:solidFill>
                          <a:srgbClr val="FFFFFF"/>
                        </a:solidFill>
                        <a:ln w="9525">
                          <a:solidFill>
                            <a:srgbClr val="000000"/>
                          </a:solidFill>
                          <a:miter lim="800000"/>
                          <a:headEnd/>
                          <a:tailEnd/>
                        </a:ln>
                      </wps:spPr>
                      <wps:txbx>
                        <w:txbxContent>
                          <w:p w14:paraId="34715315" w14:textId="77777777" w:rsidR="00333BC5" w:rsidRPr="007A1909" w:rsidRDefault="00333BC5" w:rsidP="00DE5258">
                            <w:pPr>
                              <w:rPr>
                                <w:rFonts w:asciiTheme="minorHAnsi" w:hAnsiTheme="minorHAnsi" w:cstheme="minorHAnsi"/>
                                <w:szCs w:val="24"/>
                              </w:rPr>
                            </w:pPr>
                            <w:r w:rsidRPr="007A1909">
                              <w:rPr>
                                <w:rFonts w:asciiTheme="minorHAnsi" w:hAnsiTheme="minorHAnsi" w:cstheme="minorHAnsi"/>
                                <w:szCs w:val="24"/>
                              </w:rPr>
                              <w:t>Durée de dotation externe</w:t>
                            </w:r>
                          </w:p>
                          <w:p w14:paraId="7A8D23C4" w14:textId="77777777" w:rsidR="00333BC5" w:rsidRPr="007A1909" w:rsidRDefault="00333BC5" w:rsidP="00DE5258">
                            <w:pPr>
                              <w:rPr>
                                <w:rFonts w:asciiTheme="minorHAnsi" w:hAnsiTheme="minorHAnsi" w:cstheme="minorHAnsi"/>
                                <w:szCs w:val="24"/>
                              </w:rPr>
                            </w:pPr>
                          </w:p>
                          <w:p w14:paraId="13A21FED" w14:textId="77777777" w:rsidR="00333BC5" w:rsidRPr="007A1909" w:rsidRDefault="00333BC5" w:rsidP="00DE5258">
                            <w:pPr>
                              <w:pStyle w:val="ListParagraph"/>
                              <w:ind w:left="360"/>
                              <w:rPr>
                                <w:rFonts w:asciiTheme="minorHAnsi" w:hAnsiTheme="minorHAnsi" w:cstheme="minorHAnsi"/>
                              </w:rPr>
                            </w:pPr>
                            <w:r w:rsidRPr="007A1909">
                              <w:rPr>
                                <w:rFonts w:asciiTheme="minorHAnsi" w:hAnsiTheme="minorHAnsi" w:cstheme="minorHAnsi"/>
                              </w:rPr>
                              <w:t>Les données sont insuffisantes pour fournir des résultats sur la durée des processus de dotation externe à Affaires mondiales Canada</w:t>
                            </w:r>
                          </w:p>
                        </w:txbxContent>
                      </wps:txbx>
                      <wps:bodyPr rot="0" vert="horz" wrap="square" lIns="91440" tIns="45720" rIns="91440" bIns="45720" anchor="t" anchorCtr="0">
                        <a:noAutofit/>
                      </wps:bodyPr>
                    </wps:wsp>
                  </a:graphicData>
                </a:graphic>
              </wp:inline>
            </w:drawing>
          </mc:Choice>
          <mc:Fallback>
            <w:pict>
              <v:shapetype w14:anchorId="6136C3D1" id="_x0000_t202" coordsize="21600,21600" o:spt="202" path="m,l,21600r21600,l21600,xe">
                <v:stroke joinstyle="miter"/>
                <v:path gradientshapeok="t" o:connecttype="rect"/>
              </v:shapetype>
              <v:shape id="Text Box 4" o:spid="_x0000_s1026" type="#_x0000_t202" alt="Durée de dotation externe – données insuffisantes" style="width:444.75pt;height:240.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">
                <v:textbox>
                  <w:txbxContent>
                    <w:p w14:paraId="34715315" w14:textId="77777777" w:rsidR="00333BC5" w:rsidRPr="007A1909" w:rsidRDefault="00333BC5" w:rsidP="00DE5258">
                      <w:pPr>
                        <w:rPr>
                          <w:rFonts w:asciiTheme="minorHAnsi" w:hAnsiTheme="minorHAnsi" w:cstheme="minorHAnsi"/>
                          <w:szCs w:val="24"/>
                        </w:rPr>
                      </w:pPr>
                      <w:r w:rsidRPr="007A1909">
                        <w:rPr>
                          <w:rFonts w:asciiTheme="minorHAnsi" w:hAnsiTheme="minorHAnsi" w:cstheme="minorHAnsi"/>
                          <w:szCs w:val="24"/>
                        </w:rPr>
                        <w:t>Durée de dotation externe</w:t>
                      </w:r>
                    </w:p>
                    <w:p w14:paraId="7A8D23C4" w14:textId="77777777" w:rsidR="00333BC5" w:rsidRPr="007A1909" w:rsidRDefault="00333BC5" w:rsidP="00DE5258">
                      <w:pPr>
                        <w:rPr>
                          <w:rFonts w:asciiTheme="minorHAnsi" w:hAnsiTheme="minorHAnsi" w:cstheme="minorHAnsi"/>
                          <w:szCs w:val="24"/>
                        </w:rPr>
                      </w:pPr>
                    </w:p>
                    <w:p w14:paraId="13A21FED" w14:textId="77777777" w:rsidR="00333BC5" w:rsidRPr="007A1909" w:rsidRDefault="00333BC5" w:rsidP="00DE5258">
                      <w:pPr>
                        <w:pStyle w:val="ListParagraph"/>
                        <w:ind w:left="360"/>
                        <w:rPr>
                          <w:rFonts w:asciiTheme="minorHAnsi" w:hAnsiTheme="minorHAnsi" w:cstheme="minorHAnsi"/>
                        </w:rPr>
                      </w:pPr>
                      <w:r w:rsidRPr="007A1909">
                        <w:rPr>
                          <w:rFonts w:asciiTheme="minorHAnsi" w:hAnsiTheme="minorHAnsi" w:cstheme="minorHAnsi"/>
                        </w:rPr>
                        <w:t>Les données sont insuffisantes pour fournir des résultats sur la durée des processus de dotation externe à Affaires mondiales Canada</w:t>
                      </w:r>
                    </w:p>
                  </w:txbxContent>
                </v:textbox>
                <w10:anchorlock/>
              </v:shape>
            </w:pict>
          </mc:Fallback>
        </mc:AlternateContent>
      </w:r>
    </w:p>
    <w:p w14:paraId="41E5B8B1" w14:textId="77777777" w:rsidR="00DE5258" w:rsidRPr="002D39D0" w:rsidRDefault="00DE5258" w:rsidP="007C1E3E">
      <w:pPr>
        <w:pStyle w:val="Caption"/>
        <w:spacing w:after="0"/>
        <w:rPr>
          <w:rFonts w:asciiTheme="minorHAnsi" w:hAnsiTheme="minorHAnsi" w:cstheme="minorHAnsi"/>
          <w:i w:val="0"/>
          <w:color w:val="auto"/>
        </w:rPr>
      </w:pPr>
      <w:r w:rsidRPr="002D39D0">
        <w:rPr>
          <w:rFonts w:asciiTheme="minorHAnsi" w:hAnsiTheme="minorHAnsi" w:cstheme="minorHAnsi"/>
          <w:i w:val="0"/>
          <w:color w:val="auto"/>
        </w:rPr>
        <w:t xml:space="preserve">Figure </w:t>
      </w:r>
      <w:r w:rsidRPr="006C61AE">
        <w:rPr>
          <w:rFonts w:asciiTheme="minorHAnsi" w:hAnsiTheme="minorHAnsi" w:cstheme="minorHAnsi"/>
          <w:i w:val="0"/>
          <w:color w:val="auto"/>
        </w:rPr>
        <w:fldChar w:fldCharType="begin"/>
      </w:r>
      <w:r w:rsidRPr="002D39D0">
        <w:rPr>
          <w:rFonts w:asciiTheme="minorHAnsi" w:hAnsiTheme="minorHAnsi" w:cstheme="minorHAnsi"/>
          <w:i w:val="0"/>
          <w:color w:val="auto"/>
        </w:rPr>
        <w:instrText xml:space="preserve"> SEQ Figure \* ARABIC </w:instrText>
      </w:r>
      <w:r w:rsidRPr="006C61AE">
        <w:rPr>
          <w:rFonts w:asciiTheme="minorHAnsi" w:hAnsiTheme="minorHAnsi" w:cstheme="minorHAnsi"/>
          <w:i w:val="0"/>
          <w:color w:val="auto"/>
        </w:rPr>
        <w:fldChar w:fldCharType="separate"/>
      </w:r>
      <w:r w:rsidRPr="002D39D0">
        <w:rPr>
          <w:rFonts w:asciiTheme="minorHAnsi" w:hAnsiTheme="minorHAnsi" w:cstheme="minorHAnsi"/>
          <w:i w:val="0"/>
          <w:noProof/>
          <w:color w:val="auto"/>
        </w:rPr>
        <w:t>14</w:t>
      </w:r>
      <w:r w:rsidRPr="006C61AE">
        <w:rPr>
          <w:rFonts w:asciiTheme="minorHAnsi" w:hAnsiTheme="minorHAnsi" w:cstheme="minorHAnsi"/>
          <w:i w:val="0"/>
          <w:color w:val="auto"/>
        </w:rPr>
        <w:fldChar w:fldCharType="end"/>
      </w:r>
      <w:r w:rsidRPr="002D39D0">
        <w:rPr>
          <w:rFonts w:asciiTheme="minorHAnsi" w:hAnsiTheme="minorHAnsi" w:cstheme="minorHAnsi"/>
          <w:i w:val="0"/>
          <w:color w:val="auto"/>
        </w:rPr>
        <w:t xml:space="preserve"> - Durée de dotation externe – Médiane pour la fonction publique</w:t>
      </w:r>
    </w:p>
    <w:p w14:paraId="24EB22F0" w14:textId="77777777" w:rsidR="00DE5258" w:rsidRPr="002D39D0" w:rsidRDefault="00DE5258" w:rsidP="00DE5258">
      <w:pPr>
        <w:rPr>
          <w:rFonts w:asciiTheme="minorHAnsi" w:hAnsiTheme="minorHAnsi" w:cstheme="minorHAnsi"/>
          <w:lang w:eastAsia="en-CA"/>
        </w:rPr>
        <w:sectPr w:rsidR="00DE5258" w:rsidRPr="002D39D0" w:rsidSect="00DE5258">
          <w:pgSz w:w="20160" w:h="12240" w:orient="landscape" w:code="5"/>
          <w:pgMar w:top="680" w:right="680" w:bottom="680" w:left="680" w:header="567" w:footer="567" w:gutter="0"/>
          <w:cols w:space="708"/>
          <w:titlePg/>
          <w:docGrid w:linePitch="360"/>
        </w:sectPr>
      </w:pPr>
    </w:p>
    <w:p w14:paraId="6BA81359" w14:textId="77777777" w:rsidR="00DE5258" w:rsidRPr="004721CE" w:rsidRDefault="002A0E9B" w:rsidP="007C1E3E">
      <w:pPr>
        <w:spacing w:before="120" w:after="120"/>
        <w:rPr>
          <w:rStyle w:val="Hyperlink"/>
          <w:rFonts w:asciiTheme="minorHAnsi" w:hAnsiTheme="minorHAnsi" w:cstheme="minorHAnsi"/>
          <w:b/>
          <w:sz w:val="22"/>
          <w:szCs w:val="22"/>
        </w:rPr>
        <w:sectPr w:rsidR="00DE5258" w:rsidRPr="004721CE" w:rsidSect="00DE5258">
          <w:type w:val="continuous"/>
          <w:pgSz w:w="20160" w:h="12240" w:orient="landscape" w:code="5"/>
          <w:pgMar w:top="680" w:right="680" w:bottom="680" w:left="680" w:header="567" w:footer="567" w:gutter="0"/>
          <w:cols w:space="708"/>
          <w:titlePg/>
          <w:docGrid w:linePitch="360"/>
        </w:sectPr>
      </w:pPr>
      <w:hyperlink w:anchor="Durée_de_dotation_externe" w:history="1">
        <w:r w:rsidR="00DE5258" w:rsidRPr="004721CE">
          <w:rPr>
            <w:rStyle w:val="Hyperlink"/>
            <w:rFonts w:asciiTheme="minorHAnsi" w:hAnsiTheme="minorHAnsi" w:cstheme="minorHAnsi"/>
            <w:b/>
            <w:sz w:val="22"/>
            <w:szCs w:val="22"/>
          </w:rPr>
          <w:t>Tableau des données sur la durée de dotation interne disponible ici</w:t>
        </w:r>
      </w:hyperlink>
    </w:p>
    <w:p w14:paraId="29FB2615" w14:textId="7433F6E5" w:rsidR="00DE5258" w:rsidRPr="002D39D0" w:rsidRDefault="00DE5258" w:rsidP="00DE5258">
      <w:pPr>
        <w:rPr>
          <w:rFonts w:cs="Arial"/>
          <w:sz w:val="22"/>
          <w:szCs w:val="22"/>
          <w:lang w:eastAsia="en-CA"/>
        </w:rPr>
      </w:pPr>
      <w:r w:rsidRPr="002D39D0">
        <w:rPr>
          <w:rFonts w:asciiTheme="minorHAnsi" w:hAnsiTheme="minorHAnsi" w:cstheme="minorHAnsi"/>
          <w:sz w:val="22"/>
          <w:szCs w:val="22"/>
          <w:lang w:eastAsia="en-CA"/>
        </w:rPr>
        <w:t>La durée de dotation externe est calculée en tant que le nombre de jours civils entre la date d’ouverture de l’annonce et la date estimée de la première embauche externe</w:t>
      </w:r>
      <w:r w:rsidR="006C00E4">
        <w:rPr>
          <w:rFonts w:asciiTheme="minorHAnsi" w:hAnsiTheme="minorHAnsi" w:cstheme="minorHAnsi"/>
          <w:sz w:val="22"/>
          <w:szCs w:val="22"/>
          <w:lang w:eastAsia="en-CA"/>
        </w:rPr>
        <w:t>.</w:t>
      </w:r>
    </w:p>
    <w:p w14:paraId="22F0CB13" w14:textId="4FCCA5B4" w:rsidR="00DE5258" w:rsidRPr="002D39D0" w:rsidRDefault="00DE5258" w:rsidP="00DE5258">
      <w:pPr>
        <w:rPr>
          <w:rFonts w:cs="Arial"/>
          <w:sz w:val="22"/>
          <w:szCs w:val="22"/>
          <w:lang w:eastAsia="en-CA"/>
        </w:rPr>
      </w:pPr>
      <w:r w:rsidRPr="002D39D0">
        <w:rPr>
          <w:rFonts w:asciiTheme="minorHAnsi" w:hAnsiTheme="minorHAnsi" w:cstheme="minorHAnsi"/>
          <w:sz w:val="22"/>
          <w:szCs w:val="22"/>
          <w:lang w:eastAsia="en-CA"/>
        </w:rPr>
        <w:t xml:space="preserve">La durée médiane de dotation externe pour la fonction publique (organisations assujetties à la </w:t>
      </w:r>
      <w:r w:rsidRPr="002D39D0">
        <w:rPr>
          <w:rStyle w:val="Emphasis"/>
          <w:rFonts w:cstheme="minorHAnsi"/>
          <w:szCs w:val="22"/>
        </w:rPr>
        <w:t>Loi sur l’emploi dans la fonction publique</w:t>
      </w:r>
      <w:r w:rsidRPr="002D39D0">
        <w:rPr>
          <w:rFonts w:asciiTheme="minorHAnsi" w:hAnsiTheme="minorHAnsi" w:cstheme="minorHAnsi"/>
          <w:i/>
          <w:sz w:val="22"/>
          <w:szCs w:val="22"/>
          <w:lang w:eastAsia="en-CA"/>
        </w:rPr>
        <w:t xml:space="preserve"> </w:t>
      </w:r>
      <w:r w:rsidRPr="002D39D0">
        <w:rPr>
          <w:rFonts w:asciiTheme="minorHAnsi" w:hAnsiTheme="minorHAnsi" w:cstheme="minorHAnsi"/>
          <w:sz w:val="22"/>
          <w:szCs w:val="22"/>
          <w:lang w:eastAsia="en-CA"/>
        </w:rPr>
        <w:t xml:space="preserve">(LEFP)) pour l’exercice financier 2018 à 2019 est </w:t>
      </w:r>
      <w:r w:rsidR="006C00E4">
        <w:rPr>
          <w:rFonts w:asciiTheme="minorHAnsi" w:hAnsiTheme="minorHAnsi" w:cstheme="minorHAnsi"/>
          <w:sz w:val="22"/>
          <w:szCs w:val="22"/>
          <w:lang w:eastAsia="en-CA"/>
        </w:rPr>
        <w:t xml:space="preserve">de </w:t>
      </w:r>
      <w:r w:rsidRPr="002D39D0">
        <w:rPr>
          <w:rFonts w:asciiTheme="minorHAnsi" w:hAnsiTheme="minorHAnsi" w:cstheme="minorHAnsi"/>
          <w:sz w:val="22"/>
          <w:szCs w:val="22"/>
          <w:lang w:eastAsia="en-CA"/>
        </w:rPr>
        <w:t>186 jours.</w:t>
      </w:r>
    </w:p>
    <w:p w14:paraId="0AAB4A68" w14:textId="77777777" w:rsidR="00DE5258" w:rsidRPr="00B4472C" w:rsidRDefault="00DE5258" w:rsidP="00DE5258">
      <w:pPr>
        <w:rPr>
          <w:rStyle w:val="Strong"/>
          <w:i w:val="0"/>
        </w:rPr>
      </w:pPr>
      <w:r w:rsidRPr="006C61AE">
        <w:rPr>
          <w:rStyle w:val="Strong"/>
          <w:i w:val="0"/>
        </w:rPr>
        <w:t>Durée de dotation externe pou</w:t>
      </w:r>
      <w:r w:rsidRPr="00120B98">
        <w:rPr>
          <w:rStyle w:val="Strong"/>
          <w:i w:val="0"/>
        </w:rPr>
        <w:t>r l’exercice financier 2018 à 2019</w:t>
      </w:r>
    </w:p>
    <w:p w14:paraId="35C4F875" w14:textId="0BD8CC1F" w:rsidR="00DE5258" w:rsidRPr="002D39D0" w:rsidRDefault="00DE5258" w:rsidP="00E56E7F">
      <w:pPr>
        <w:rPr>
          <w:rFonts w:cs="Arial"/>
          <w:lang w:eastAsia="en-CA"/>
        </w:rPr>
        <w:sectPr w:rsidR="00DE5258" w:rsidRPr="002D39D0" w:rsidSect="00DE5258">
          <w:type w:val="continuous"/>
          <w:pgSz w:w="20160" w:h="12240" w:orient="landscape" w:code="5"/>
          <w:pgMar w:top="680" w:right="680" w:bottom="680" w:left="680" w:header="567" w:footer="567" w:gutter="0"/>
          <w:cols w:num="2" w:space="708"/>
          <w:titlePg/>
          <w:docGrid w:linePitch="360"/>
        </w:sectPr>
      </w:pPr>
      <w:r w:rsidRPr="002D39D0">
        <w:rPr>
          <w:rFonts w:asciiTheme="minorHAnsi" w:hAnsiTheme="minorHAnsi" w:cstheme="minorHAnsi"/>
          <w:sz w:val="22"/>
        </w:rPr>
        <w:t>Les données sont insuffisantes pour fournir des résultats sur la durée des processus de dotation externe pour les Affaires mondiales Canada.</w:t>
      </w:r>
    </w:p>
    <w:p w14:paraId="607C69DB" w14:textId="77777777" w:rsidR="00E56E7F" w:rsidRPr="002D39D0" w:rsidRDefault="00E56E7F" w:rsidP="00E56E7F">
      <w:pPr>
        <w:rPr>
          <w:rFonts w:cs="Arial"/>
          <w:lang w:eastAsia="en-CA"/>
        </w:rPr>
      </w:pPr>
    </w:p>
    <w:p w14:paraId="1FF5F018" w14:textId="77777777" w:rsidR="00DE5258" w:rsidRPr="002D39D0" w:rsidRDefault="00DE5258" w:rsidP="00E56E7F">
      <w:pPr>
        <w:rPr>
          <w:rFonts w:cs="Arial"/>
          <w:lang w:eastAsia="en-CA"/>
        </w:rPr>
        <w:sectPr w:rsidR="00DE5258" w:rsidRPr="002D39D0" w:rsidSect="00DE5258">
          <w:type w:val="continuous"/>
          <w:pgSz w:w="20160" w:h="12240" w:orient="landscape" w:code="5"/>
          <w:pgMar w:top="680" w:right="680" w:bottom="680" w:left="680" w:header="567" w:footer="567" w:gutter="0"/>
          <w:cols w:space="708"/>
          <w:titlePg/>
          <w:docGrid w:linePitch="360"/>
        </w:sectPr>
      </w:pPr>
    </w:p>
    <w:p w14:paraId="39089406" w14:textId="77777777" w:rsidR="00B36388" w:rsidRPr="002D39D0" w:rsidRDefault="00B36388" w:rsidP="007C1E3E">
      <w:pPr>
        <w:pStyle w:val="Heading1"/>
        <w:spacing w:before="120" w:after="120"/>
        <w:rPr>
          <w:sz w:val="40"/>
        </w:rPr>
      </w:pPr>
      <w:r w:rsidRPr="002D39D0">
        <w:rPr>
          <w:sz w:val="40"/>
        </w:rPr>
        <w:lastRenderedPageBreak/>
        <w:t>Durée de dotation externe</w:t>
      </w:r>
    </w:p>
    <w:p w14:paraId="192372B7" w14:textId="60B37E42" w:rsidR="00B36388" w:rsidRPr="002D39D0" w:rsidRDefault="00B36388" w:rsidP="00B36388">
      <w:pPr>
        <w:pStyle w:val="Caption"/>
        <w:keepNext/>
        <w:spacing w:after="0"/>
        <w:rPr>
          <w:rFonts w:asciiTheme="minorHAnsi" w:hAnsiTheme="minorHAnsi" w:cstheme="minorHAnsi"/>
          <w:i w:val="0"/>
        </w:rPr>
      </w:pPr>
      <w:r w:rsidRPr="002D39D0">
        <w:rPr>
          <w:rFonts w:asciiTheme="minorHAnsi" w:hAnsiTheme="minorHAnsi" w:cstheme="minorHAnsi"/>
          <w:i w:val="0"/>
        </w:rPr>
        <w:t xml:space="preserve">Table </w:t>
      </w:r>
      <w:r w:rsidR="00B4472C">
        <w:rPr>
          <w:rFonts w:asciiTheme="minorHAnsi" w:hAnsiTheme="minorHAnsi" w:cstheme="minorHAnsi"/>
          <w:i w:val="0"/>
        </w:rPr>
        <w:t>19</w:t>
      </w:r>
      <w:r w:rsidRPr="002D39D0">
        <w:rPr>
          <w:rFonts w:asciiTheme="minorHAnsi" w:hAnsiTheme="minorHAnsi" w:cstheme="minorHAnsi"/>
          <w:i w:val="0"/>
        </w:rPr>
        <w:t xml:space="preserve"> - Durée de dotation externe</w:t>
      </w:r>
    </w:p>
    <w:tbl>
      <w:tblPr>
        <w:tblStyle w:val="TableGrid"/>
        <w:tblW w:w="5000" w:type="pct"/>
        <w:jc w:val="center"/>
        <w:tblLook w:val="0020" w:firstRow="1" w:lastRow="0" w:firstColumn="0" w:lastColumn="0" w:noHBand="0" w:noVBand="0"/>
        <w:tblDescription w:val="Durée de dotation externe"/>
      </w:tblPr>
      <w:tblGrid>
        <w:gridCol w:w="4530"/>
        <w:gridCol w:w="9230"/>
      </w:tblGrid>
      <w:tr w:rsidR="00D76397" w:rsidRPr="004721CE" w14:paraId="25455903" w14:textId="77777777" w:rsidTr="00222D78">
        <w:trPr>
          <w:cantSplit/>
          <w:trHeight w:val="290"/>
          <w:tblHeader/>
          <w:jc w:val="center"/>
        </w:trPr>
        <w:tc>
          <w:tcPr>
            <w:tcW w:w="1646" w:type="pct"/>
          </w:tcPr>
          <w:p w14:paraId="7FF4835C" w14:textId="77777777" w:rsidR="00D76397" w:rsidRPr="004721CE" w:rsidRDefault="00D76397">
            <w:pPr>
              <w:pStyle w:val="TableTitle"/>
              <w:rPr>
                <w:rFonts w:asciiTheme="minorHAnsi" w:hAnsiTheme="minorHAnsi" w:cstheme="minorHAnsi"/>
                <w:b w:val="0"/>
                <w:szCs w:val="22"/>
              </w:rPr>
            </w:pPr>
            <w:bookmarkStart w:id="2" w:name="Durée_de_dotation_externe"/>
            <w:r w:rsidRPr="004721CE">
              <w:rPr>
                <w:rFonts w:asciiTheme="minorHAnsi" w:hAnsiTheme="minorHAnsi" w:cstheme="minorHAnsi"/>
                <w:b w:val="0"/>
                <w:szCs w:val="22"/>
              </w:rPr>
              <w:t>Nombre de jours civils</w:t>
            </w:r>
            <w:bookmarkEnd w:id="2"/>
          </w:p>
        </w:tc>
        <w:tc>
          <w:tcPr>
            <w:tcW w:w="3354" w:type="pct"/>
          </w:tcPr>
          <w:p w14:paraId="6260590E" w14:textId="79039A03" w:rsidR="00D76397" w:rsidRPr="004721CE" w:rsidRDefault="00D76397" w:rsidP="006C00E4">
            <w:pPr>
              <w:pStyle w:val="TableTitle"/>
              <w:rPr>
                <w:rFonts w:asciiTheme="minorHAnsi" w:hAnsiTheme="minorHAnsi" w:cstheme="minorHAnsi"/>
                <w:b w:val="0"/>
                <w:szCs w:val="22"/>
              </w:rPr>
            </w:pPr>
            <w:r w:rsidRPr="004721CE">
              <w:rPr>
                <w:rFonts w:asciiTheme="minorHAnsi" w:hAnsiTheme="minorHAnsi" w:cstheme="minorHAnsi"/>
                <w:b w:val="0"/>
                <w:szCs w:val="22"/>
              </w:rPr>
              <w:t xml:space="preserve">Le nombre de premières embauches externes dans un processus externe (durée de dotation externe) dans les organisations assujetties à la </w:t>
            </w:r>
            <w:r w:rsidRPr="004721CE">
              <w:rPr>
                <w:rStyle w:val="Emphasis"/>
                <w:rFonts w:cstheme="minorHAnsi"/>
                <w:b w:val="0"/>
                <w:szCs w:val="22"/>
              </w:rPr>
              <w:t>Loi sur l’emploi dans la fonction publique</w:t>
            </w:r>
            <w:r w:rsidRPr="004721CE">
              <w:rPr>
                <w:rFonts w:asciiTheme="minorHAnsi" w:hAnsiTheme="minorHAnsi" w:cstheme="minorHAnsi"/>
                <w:b w:val="0"/>
                <w:szCs w:val="22"/>
              </w:rPr>
              <w:t xml:space="preserve">, </w:t>
            </w:r>
            <w:r w:rsidR="006C00E4" w:rsidRPr="004721CE">
              <w:rPr>
                <w:rFonts w:asciiTheme="minorHAnsi" w:hAnsiTheme="minorHAnsi" w:cstheme="minorHAnsi"/>
                <w:b w:val="0"/>
                <w:szCs w:val="22"/>
              </w:rPr>
              <w:t xml:space="preserve">selon </w:t>
            </w:r>
            <w:r w:rsidRPr="004721CE">
              <w:rPr>
                <w:rFonts w:asciiTheme="minorHAnsi" w:hAnsiTheme="minorHAnsi" w:cstheme="minorHAnsi"/>
                <w:b w:val="0"/>
                <w:szCs w:val="22"/>
              </w:rPr>
              <w:t>le nombre de jours civils spécifié</w:t>
            </w:r>
          </w:p>
        </w:tc>
      </w:tr>
      <w:tr w:rsidR="00D76397" w:rsidRPr="002D39D0" w14:paraId="0507398A" w14:textId="77777777" w:rsidTr="00222D78">
        <w:trPr>
          <w:cantSplit/>
          <w:trHeight w:val="290"/>
          <w:tblHeader/>
          <w:jc w:val="center"/>
        </w:trPr>
        <w:tc>
          <w:tcPr>
            <w:tcW w:w="1646" w:type="pct"/>
          </w:tcPr>
          <w:p w14:paraId="70748348" w14:textId="77777777" w:rsidR="00D76397" w:rsidRPr="002D39D0" w:rsidRDefault="00D76397" w:rsidP="00D76397">
            <w:pPr>
              <w:autoSpaceDE w:val="0"/>
              <w:autoSpaceDN w:val="0"/>
              <w:adjustRightInd w:val="0"/>
              <w:rPr>
                <w:rFonts w:asciiTheme="minorHAnsi" w:hAnsiTheme="minorHAnsi" w:cstheme="minorHAnsi"/>
                <w:color w:val="000000"/>
                <w:szCs w:val="24"/>
              </w:rPr>
            </w:pPr>
            <w:r w:rsidRPr="002D39D0">
              <w:rPr>
                <w:rFonts w:asciiTheme="minorHAnsi" w:hAnsiTheme="minorHAnsi" w:cstheme="minorHAnsi"/>
                <w:color w:val="000000"/>
                <w:szCs w:val="24"/>
              </w:rPr>
              <w:t>0 jours civils</w:t>
            </w:r>
          </w:p>
        </w:tc>
        <w:tc>
          <w:tcPr>
            <w:tcW w:w="3354" w:type="pct"/>
          </w:tcPr>
          <w:p w14:paraId="40DD4E07" w14:textId="77777777" w:rsidR="00D76397" w:rsidRPr="002D39D0" w:rsidRDefault="00D76397" w:rsidP="00D76397">
            <w:pPr>
              <w:autoSpaceDE w:val="0"/>
              <w:autoSpaceDN w:val="0"/>
              <w:adjustRightInd w:val="0"/>
              <w:jc w:val="center"/>
              <w:rPr>
                <w:rFonts w:asciiTheme="minorHAnsi" w:hAnsiTheme="minorHAnsi" w:cstheme="minorHAnsi"/>
                <w:color w:val="000000"/>
                <w:szCs w:val="24"/>
              </w:rPr>
            </w:pPr>
            <w:r w:rsidRPr="002D39D0">
              <w:rPr>
                <w:rFonts w:asciiTheme="minorHAnsi" w:hAnsiTheme="minorHAnsi" w:cstheme="minorHAnsi"/>
                <w:color w:val="000000"/>
                <w:szCs w:val="24"/>
              </w:rPr>
              <w:t>0</w:t>
            </w:r>
          </w:p>
        </w:tc>
      </w:tr>
      <w:tr w:rsidR="00D76397" w:rsidRPr="002D39D0" w14:paraId="75F011CF" w14:textId="77777777" w:rsidTr="00222D78">
        <w:trPr>
          <w:cantSplit/>
          <w:trHeight w:val="290"/>
          <w:tblHeader/>
          <w:jc w:val="center"/>
        </w:trPr>
        <w:tc>
          <w:tcPr>
            <w:tcW w:w="1646" w:type="pct"/>
          </w:tcPr>
          <w:p w14:paraId="01371231" w14:textId="77777777" w:rsidR="00D76397" w:rsidRPr="002D39D0" w:rsidRDefault="00D76397" w:rsidP="00D76397">
            <w:pPr>
              <w:autoSpaceDE w:val="0"/>
              <w:autoSpaceDN w:val="0"/>
              <w:adjustRightInd w:val="0"/>
              <w:rPr>
                <w:rFonts w:asciiTheme="minorHAnsi" w:hAnsiTheme="minorHAnsi" w:cstheme="minorHAnsi"/>
                <w:color w:val="000000"/>
                <w:szCs w:val="24"/>
              </w:rPr>
            </w:pPr>
            <w:r w:rsidRPr="002D39D0">
              <w:rPr>
                <w:rFonts w:asciiTheme="minorHAnsi" w:hAnsiTheme="minorHAnsi" w:cstheme="minorHAnsi"/>
                <w:color w:val="000000"/>
                <w:szCs w:val="24"/>
              </w:rPr>
              <w:t>0 à 29 jours civils</w:t>
            </w:r>
          </w:p>
        </w:tc>
        <w:tc>
          <w:tcPr>
            <w:tcW w:w="3354" w:type="pct"/>
          </w:tcPr>
          <w:p w14:paraId="38C197FA" w14:textId="77777777" w:rsidR="00D76397" w:rsidRPr="002D39D0" w:rsidRDefault="00D76397" w:rsidP="00D76397">
            <w:pPr>
              <w:autoSpaceDE w:val="0"/>
              <w:autoSpaceDN w:val="0"/>
              <w:adjustRightInd w:val="0"/>
              <w:jc w:val="center"/>
              <w:rPr>
                <w:rFonts w:asciiTheme="minorHAnsi" w:hAnsiTheme="minorHAnsi" w:cstheme="minorHAnsi"/>
                <w:color w:val="000000"/>
                <w:szCs w:val="24"/>
              </w:rPr>
            </w:pPr>
            <w:r w:rsidRPr="002D39D0">
              <w:rPr>
                <w:rFonts w:asciiTheme="minorHAnsi" w:hAnsiTheme="minorHAnsi" w:cstheme="minorHAnsi"/>
                <w:color w:val="000000"/>
                <w:szCs w:val="24"/>
              </w:rPr>
              <w:t>49</w:t>
            </w:r>
          </w:p>
        </w:tc>
      </w:tr>
      <w:tr w:rsidR="00D76397" w:rsidRPr="002D39D0" w14:paraId="248810F6" w14:textId="77777777" w:rsidTr="00222D78">
        <w:trPr>
          <w:cantSplit/>
          <w:trHeight w:val="290"/>
          <w:tblHeader/>
          <w:jc w:val="center"/>
        </w:trPr>
        <w:tc>
          <w:tcPr>
            <w:tcW w:w="1646" w:type="pct"/>
          </w:tcPr>
          <w:p w14:paraId="15E81C27" w14:textId="77777777" w:rsidR="00D76397" w:rsidRPr="002D39D0" w:rsidRDefault="00D76397" w:rsidP="00D76397">
            <w:pPr>
              <w:autoSpaceDE w:val="0"/>
              <w:autoSpaceDN w:val="0"/>
              <w:adjustRightInd w:val="0"/>
              <w:rPr>
                <w:rFonts w:asciiTheme="minorHAnsi" w:hAnsiTheme="minorHAnsi" w:cstheme="minorHAnsi"/>
                <w:color w:val="000000"/>
                <w:szCs w:val="24"/>
              </w:rPr>
            </w:pPr>
            <w:r w:rsidRPr="002D39D0">
              <w:rPr>
                <w:rFonts w:asciiTheme="minorHAnsi" w:hAnsiTheme="minorHAnsi" w:cstheme="minorHAnsi"/>
                <w:color w:val="000000"/>
                <w:szCs w:val="24"/>
              </w:rPr>
              <w:t>30 à 59 jours civils</w:t>
            </w:r>
          </w:p>
        </w:tc>
        <w:tc>
          <w:tcPr>
            <w:tcW w:w="3354" w:type="pct"/>
          </w:tcPr>
          <w:p w14:paraId="048CB1A7" w14:textId="77777777" w:rsidR="00D76397" w:rsidRPr="002D39D0" w:rsidRDefault="00D76397" w:rsidP="00D76397">
            <w:pPr>
              <w:autoSpaceDE w:val="0"/>
              <w:autoSpaceDN w:val="0"/>
              <w:adjustRightInd w:val="0"/>
              <w:jc w:val="center"/>
              <w:rPr>
                <w:rFonts w:asciiTheme="minorHAnsi" w:hAnsiTheme="minorHAnsi" w:cstheme="minorHAnsi"/>
                <w:color w:val="000000"/>
                <w:szCs w:val="24"/>
              </w:rPr>
            </w:pPr>
            <w:r w:rsidRPr="002D39D0">
              <w:rPr>
                <w:rFonts w:asciiTheme="minorHAnsi" w:hAnsiTheme="minorHAnsi" w:cstheme="minorHAnsi"/>
                <w:color w:val="000000"/>
                <w:szCs w:val="24"/>
              </w:rPr>
              <w:t>82</w:t>
            </w:r>
          </w:p>
        </w:tc>
      </w:tr>
      <w:tr w:rsidR="00D76397" w:rsidRPr="002D39D0" w14:paraId="21F651E3" w14:textId="77777777" w:rsidTr="00222D78">
        <w:trPr>
          <w:cantSplit/>
          <w:trHeight w:val="290"/>
          <w:tblHeader/>
          <w:jc w:val="center"/>
        </w:trPr>
        <w:tc>
          <w:tcPr>
            <w:tcW w:w="1646" w:type="pct"/>
          </w:tcPr>
          <w:p w14:paraId="12FF772D" w14:textId="77777777" w:rsidR="00D76397" w:rsidRPr="002D39D0" w:rsidRDefault="00D76397" w:rsidP="00D76397">
            <w:pPr>
              <w:autoSpaceDE w:val="0"/>
              <w:autoSpaceDN w:val="0"/>
              <w:adjustRightInd w:val="0"/>
              <w:rPr>
                <w:rFonts w:asciiTheme="minorHAnsi" w:hAnsiTheme="minorHAnsi" w:cstheme="minorHAnsi"/>
                <w:color w:val="000000"/>
                <w:szCs w:val="24"/>
              </w:rPr>
            </w:pPr>
            <w:r w:rsidRPr="002D39D0">
              <w:rPr>
                <w:rFonts w:asciiTheme="minorHAnsi" w:hAnsiTheme="minorHAnsi" w:cstheme="minorHAnsi"/>
                <w:color w:val="000000"/>
                <w:szCs w:val="24"/>
              </w:rPr>
              <w:t>60 à 89 jours civils</w:t>
            </w:r>
          </w:p>
        </w:tc>
        <w:tc>
          <w:tcPr>
            <w:tcW w:w="3354" w:type="pct"/>
          </w:tcPr>
          <w:p w14:paraId="6D8BA999" w14:textId="77777777" w:rsidR="00D76397" w:rsidRPr="002D39D0" w:rsidRDefault="00D76397" w:rsidP="00D76397">
            <w:pPr>
              <w:autoSpaceDE w:val="0"/>
              <w:autoSpaceDN w:val="0"/>
              <w:adjustRightInd w:val="0"/>
              <w:jc w:val="center"/>
              <w:rPr>
                <w:rFonts w:asciiTheme="minorHAnsi" w:hAnsiTheme="minorHAnsi" w:cstheme="minorHAnsi"/>
                <w:color w:val="000000"/>
                <w:szCs w:val="24"/>
              </w:rPr>
            </w:pPr>
            <w:r w:rsidRPr="002D39D0">
              <w:rPr>
                <w:rFonts w:asciiTheme="minorHAnsi" w:hAnsiTheme="minorHAnsi" w:cstheme="minorHAnsi"/>
                <w:color w:val="000000"/>
                <w:szCs w:val="24"/>
              </w:rPr>
              <w:t>124</w:t>
            </w:r>
          </w:p>
        </w:tc>
      </w:tr>
      <w:tr w:rsidR="00D76397" w:rsidRPr="002D39D0" w14:paraId="5F0788FC" w14:textId="77777777" w:rsidTr="00222D78">
        <w:trPr>
          <w:cantSplit/>
          <w:trHeight w:val="290"/>
          <w:tblHeader/>
          <w:jc w:val="center"/>
        </w:trPr>
        <w:tc>
          <w:tcPr>
            <w:tcW w:w="1646" w:type="pct"/>
          </w:tcPr>
          <w:p w14:paraId="01B03C53" w14:textId="77777777" w:rsidR="00D76397" w:rsidRPr="002D39D0" w:rsidRDefault="00D76397" w:rsidP="00D76397">
            <w:pPr>
              <w:autoSpaceDE w:val="0"/>
              <w:autoSpaceDN w:val="0"/>
              <w:adjustRightInd w:val="0"/>
              <w:rPr>
                <w:rFonts w:asciiTheme="minorHAnsi" w:hAnsiTheme="minorHAnsi" w:cstheme="minorHAnsi"/>
                <w:color w:val="000000"/>
                <w:szCs w:val="24"/>
              </w:rPr>
            </w:pPr>
            <w:r w:rsidRPr="002D39D0">
              <w:rPr>
                <w:rFonts w:asciiTheme="minorHAnsi" w:hAnsiTheme="minorHAnsi" w:cstheme="minorHAnsi"/>
                <w:color w:val="000000"/>
                <w:szCs w:val="24"/>
              </w:rPr>
              <w:t>90 à 119 jours civils</w:t>
            </w:r>
          </w:p>
        </w:tc>
        <w:tc>
          <w:tcPr>
            <w:tcW w:w="3354" w:type="pct"/>
          </w:tcPr>
          <w:p w14:paraId="6106DADF" w14:textId="77777777" w:rsidR="00D76397" w:rsidRPr="002D39D0" w:rsidRDefault="00D76397" w:rsidP="00D76397">
            <w:pPr>
              <w:autoSpaceDE w:val="0"/>
              <w:autoSpaceDN w:val="0"/>
              <w:adjustRightInd w:val="0"/>
              <w:jc w:val="center"/>
              <w:rPr>
                <w:rFonts w:asciiTheme="minorHAnsi" w:hAnsiTheme="minorHAnsi" w:cstheme="minorHAnsi"/>
                <w:color w:val="000000"/>
                <w:szCs w:val="24"/>
              </w:rPr>
            </w:pPr>
            <w:r w:rsidRPr="002D39D0">
              <w:rPr>
                <w:rFonts w:asciiTheme="minorHAnsi" w:hAnsiTheme="minorHAnsi" w:cstheme="minorHAnsi"/>
                <w:color w:val="000000"/>
                <w:szCs w:val="24"/>
              </w:rPr>
              <w:t>160</w:t>
            </w:r>
          </w:p>
        </w:tc>
      </w:tr>
      <w:tr w:rsidR="00D76397" w:rsidRPr="002D39D0" w14:paraId="106FAB5D" w14:textId="77777777" w:rsidTr="00222D78">
        <w:trPr>
          <w:cantSplit/>
          <w:trHeight w:val="290"/>
          <w:tblHeader/>
          <w:jc w:val="center"/>
        </w:trPr>
        <w:tc>
          <w:tcPr>
            <w:tcW w:w="1646" w:type="pct"/>
          </w:tcPr>
          <w:p w14:paraId="3F1F1293" w14:textId="77777777" w:rsidR="00D76397" w:rsidRPr="002D39D0" w:rsidRDefault="00D76397" w:rsidP="00D76397">
            <w:pPr>
              <w:autoSpaceDE w:val="0"/>
              <w:autoSpaceDN w:val="0"/>
              <w:adjustRightInd w:val="0"/>
              <w:rPr>
                <w:rFonts w:asciiTheme="minorHAnsi" w:hAnsiTheme="minorHAnsi" w:cstheme="minorHAnsi"/>
                <w:color w:val="000000"/>
                <w:szCs w:val="24"/>
              </w:rPr>
            </w:pPr>
            <w:r w:rsidRPr="002D39D0">
              <w:rPr>
                <w:rFonts w:asciiTheme="minorHAnsi" w:hAnsiTheme="minorHAnsi" w:cstheme="minorHAnsi"/>
                <w:color w:val="000000"/>
                <w:szCs w:val="24"/>
              </w:rPr>
              <w:t>120 à 149 jours civils</w:t>
            </w:r>
          </w:p>
        </w:tc>
        <w:tc>
          <w:tcPr>
            <w:tcW w:w="3354" w:type="pct"/>
          </w:tcPr>
          <w:p w14:paraId="261861E1" w14:textId="77777777" w:rsidR="00D76397" w:rsidRPr="002D39D0" w:rsidRDefault="00D76397" w:rsidP="00D76397">
            <w:pPr>
              <w:autoSpaceDE w:val="0"/>
              <w:autoSpaceDN w:val="0"/>
              <w:adjustRightInd w:val="0"/>
              <w:jc w:val="center"/>
              <w:rPr>
                <w:rFonts w:asciiTheme="minorHAnsi" w:hAnsiTheme="minorHAnsi" w:cstheme="minorHAnsi"/>
                <w:color w:val="000000"/>
                <w:szCs w:val="24"/>
              </w:rPr>
            </w:pPr>
            <w:r w:rsidRPr="002D39D0">
              <w:rPr>
                <w:rFonts w:asciiTheme="minorHAnsi" w:hAnsiTheme="minorHAnsi" w:cstheme="minorHAnsi"/>
                <w:color w:val="000000"/>
                <w:szCs w:val="24"/>
              </w:rPr>
              <w:t>181</w:t>
            </w:r>
          </w:p>
        </w:tc>
      </w:tr>
      <w:tr w:rsidR="00D76397" w:rsidRPr="002D39D0" w14:paraId="27A0A531" w14:textId="77777777" w:rsidTr="00222D78">
        <w:trPr>
          <w:cantSplit/>
          <w:trHeight w:val="290"/>
          <w:tblHeader/>
          <w:jc w:val="center"/>
        </w:trPr>
        <w:tc>
          <w:tcPr>
            <w:tcW w:w="1646" w:type="pct"/>
          </w:tcPr>
          <w:p w14:paraId="270DD239" w14:textId="77777777" w:rsidR="00D76397" w:rsidRPr="002D39D0" w:rsidRDefault="00D76397" w:rsidP="00D76397">
            <w:pPr>
              <w:autoSpaceDE w:val="0"/>
              <w:autoSpaceDN w:val="0"/>
              <w:adjustRightInd w:val="0"/>
              <w:rPr>
                <w:rFonts w:asciiTheme="minorHAnsi" w:hAnsiTheme="minorHAnsi" w:cstheme="minorHAnsi"/>
                <w:color w:val="000000"/>
                <w:szCs w:val="24"/>
              </w:rPr>
            </w:pPr>
            <w:r w:rsidRPr="002D39D0">
              <w:rPr>
                <w:rFonts w:asciiTheme="minorHAnsi" w:hAnsiTheme="minorHAnsi" w:cstheme="minorHAnsi"/>
                <w:color w:val="000000"/>
                <w:szCs w:val="24"/>
              </w:rPr>
              <w:t>150 à 179 jours civils</w:t>
            </w:r>
          </w:p>
        </w:tc>
        <w:tc>
          <w:tcPr>
            <w:tcW w:w="3354" w:type="pct"/>
          </w:tcPr>
          <w:p w14:paraId="58469A77" w14:textId="77777777" w:rsidR="00D76397" w:rsidRPr="002D39D0" w:rsidRDefault="00D76397" w:rsidP="00D76397">
            <w:pPr>
              <w:autoSpaceDE w:val="0"/>
              <w:autoSpaceDN w:val="0"/>
              <w:adjustRightInd w:val="0"/>
              <w:jc w:val="center"/>
              <w:rPr>
                <w:rFonts w:asciiTheme="minorHAnsi" w:hAnsiTheme="minorHAnsi" w:cstheme="minorHAnsi"/>
                <w:color w:val="000000"/>
                <w:szCs w:val="24"/>
              </w:rPr>
            </w:pPr>
            <w:r w:rsidRPr="002D39D0">
              <w:rPr>
                <w:rFonts w:asciiTheme="minorHAnsi" w:hAnsiTheme="minorHAnsi" w:cstheme="minorHAnsi"/>
                <w:color w:val="000000"/>
                <w:szCs w:val="24"/>
              </w:rPr>
              <w:t>179</w:t>
            </w:r>
          </w:p>
        </w:tc>
      </w:tr>
      <w:tr w:rsidR="00D76397" w:rsidRPr="002D39D0" w14:paraId="6961AC1A" w14:textId="77777777" w:rsidTr="00222D78">
        <w:trPr>
          <w:cantSplit/>
          <w:trHeight w:val="290"/>
          <w:tblHeader/>
          <w:jc w:val="center"/>
        </w:trPr>
        <w:tc>
          <w:tcPr>
            <w:tcW w:w="1646" w:type="pct"/>
          </w:tcPr>
          <w:p w14:paraId="58EE1A19" w14:textId="77777777" w:rsidR="00D76397" w:rsidRPr="002D39D0" w:rsidRDefault="00D76397" w:rsidP="00D76397">
            <w:pPr>
              <w:autoSpaceDE w:val="0"/>
              <w:autoSpaceDN w:val="0"/>
              <w:adjustRightInd w:val="0"/>
              <w:rPr>
                <w:rFonts w:asciiTheme="minorHAnsi" w:hAnsiTheme="minorHAnsi" w:cstheme="minorHAnsi"/>
                <w:color w:val="000000"/>
                <w:szCs w:val="24"/>
              </w:rPr>
            </w:pPr>
            <w:r w:rsidRPr="002D39D0">
              <w:rPr>
                <w:rFonts w:asciiTheme="minorHAnsi" w:hAnsiTheme="minorHAnsi" w:cstheme="minorHAnsi"/>
                <w:color w:val="000000"/>
                <w:szCs w:val="24"/>
              </w:rPr>
              <w:t>180 à 209 jours civils</w:t>
            </w:r>
          </w:p>
        </w:tc>
        <w:tc>
          <w:tcPr>
            <w:tcW w:w="3354" w:type="pct"/>
          </w:tcPr>
          <w:p w14:paraId="416C0DFE" w14:textId="77777777" w:rsidR="00D76397" w:rsidRPr="002D39D0" w:rsidRDefault="00D76397" w:rsidP="00D76397">
            <w:pPr>
              <w:autoSpaceDE w:val="0"/>
              <w:autoSpaceDN w:val="0"/>
              <w:adjustRightInd w:val="0"/>
              <w:jc w:val="center"/>
              <w:rPr>
                <w:rFonts w:asciiTheme="minorHAnsi" w:hAnsiTheme="minorHAnsi" w:cstheme="minorHAnsi"/>
                <w:color w:val="000000"/>
                <w:szCs w:val="24"/>
              </w:rPr>
            </w:pPr>
            <w:r w:rsidRPr="002D39D0">
              <w:rPr>
                <w:rFonts w:asciiTheme="minorHAnsi" w:hAnsiTheme="minorHAnsi" w:cstheme="minorHAnsi"/>
                <w:color w:val="000000"/>
                <w:szCs w:val="24"/>
              </w:rPr>
              <w:t>160</w:t>
            </w:r>
          </w:p>
        </w:tc>
      </w:tr>
      <w:tr w:rsidR="00D76397" w:rsidRPr="002D39D0" w14:paraId="0530AB81" w14:textId="77777777" w:rsidTr="00222D78">
        <w:trPr>
          <w:cantSplit/>
          <w:trHeight w:val="290"/>
          <w:tblHeader/>
          <w:jc w:val="center"/>
        </w:trPr>
        <w:tc>
          <w:tcPr>
            <w:tcW w:w="1646" w:type="pct"/>
          </w:tcPr>
          <w:p w14:paraId="631451B0" w14:textId="77777777" w:rsidR="00D76397" w:rsidRPr="002D39D0" w:rsidRDefault="00D76397" w:rsidP="00D76397">
            <w:pPr>
              <w:autoSpaceDE w:val="0"/>
              <w:autoSpaceDN w:val="0"/>
              <w:adjustRightInd w:val="0"/>
              <w:rPr>
                <w:rFonts w:asciiTheme="minorHAnsi" w:hAnsiTheme="minorHAnsi" w:cstheme="minorHAnsi"/>
                <w:color w:val="000000"/>
                <w:szCs w:val="24"/>
              </w:rPr>
            </w:pPr>
            <w:r w:rsidRPr="002D39D0">
              <w:rPr>
                <w:rFonts w:asciiTheme="minorHAnsi" w:hAnsiTheme="minorHAnsi" w:cstheme="minorHAnsi"/>
                <w:color w:val="000000"/>
                <w:szCs w:val="24"/>
              </w:rPr>
              <w:t>210 à 239 jours civils</w:t>
            </w:r>
          </w:p>
        </w:tc>
        <w:tc>
          <w:tcPr>
            <w:tcW w:w="3354" w:type="pct"/>
          </w:tcPr>
          <w:p w14:paraId="1D8EAA86" w14:textId="77777777" w:rsidR="00D76397" w:rsidRPr="002D39D0" w:rsidRDefault="00D76397" w:rsidP="00D76397">
            <w:pPr>
              <w:autoSpaceDE w:val="0"/>
              <w:autoSpaceDN w:val="0"/>
              <w:adjustRightInd w:val="0"/>
              <w:jc w:val="center"/>
              <w:rPr>
                <w:rFonts w:asciiTheme="minorHAnsi" w:hAnsiTheme="minorHAnsi" w:cstheme="minorHAnsi"/>
                <w:color w:val="000000"/>
                <w:szCs w:val="24"/>
              </w:rPr>
            </w:pPr>
            <w:r w:rsidRPr="002D39D0">
              <w:rPr>
                <w:rFonts w:asciiTheme="minorHAnsi" w:hAnsiTheme="minorHAnsi" w:cstheme="minorHAnsi"/>
                <w:color w:val="000000"/>
                <w:szCs w:val="24"/>
              </w:rPr>
              <w:t>139</w:t>
            </w:r>
          </w:p>
        </w:tc>
      </w:tr>
      <w:tr w:rsidR="00D76397" w:rsidRPr="002D39D0" w14:paraId="56AE989D" w14:textId="77777777" w:rsidTr="00222D78">
        <w:trPr>
          <w:cantSplit/>
          <w:trHeight w:val="290"/>
          <w:tblHeader/>
          <w:jc w:val="center"/>
        </w:trPr>
        <w:tc>
          <w:tcPr>
            <w:tcW w:w="1646" w:type="pct"/>
          </w:tcPr>
          <w:p w14:paraId="373018A7" w14:textId="77777777" w:rsidR="00D76397" w:rsidRPr="002D39D0" w:rsidRDefault="00D76397" w:rsidP="00D76397">
            <w:pPr>
              <w:autoSpaceDE w:val="0"/>
              <w:autoSpaceDN w:val="0"/>
              <w:adjustRightInd w:val="0"/>
              <w:rPr>
                <w:rFonts w:asciiTheme="minorHAnsi" w:hAnsiTheme="minorHAnsi" w:cstheme="minorHAnsi"/>
                <w:color w:val="000000"/>
                <w:szCs w:val="24"/>
              </w:rPr>
            </w:pPr>
            <w:r w:rsidRPr="002D39D0">
              <w:rPr>
                <w:rFonts w:asciiTheme="minorHAnsi" w:hAnsiTheme="minorHAnsi" w:cstheme="minorHAnsi"/>
                <w:color w:val="000000"/>
                <w:szCs w:val="24"/>
              </w:rPr>
              <w:t>240 à 269 jours civils</w:t>
            </w:r>
          </w:p>
        </w:tc>
        <w:tc>
          <w:tcPr>
            <w:tcW w:w="3354" w:type="pct"/>
          </w:tcPr>
          <w:p w14:paraId="4B2E9FA0" w14:textId="77777777" w:rsidR="00D76397" w:rsidRPr="002D39D0" w:rsidRDefault="00D76397" w:rsidP="00D76397">
            <w:pPr>
              <w:autoSpaceDE w:val="0"/>
              <w:autoSpaceDN w:val="0"/>
              <w:adjustRightInd w:val="0"/>
              <w:jc w:val="center"/>
              <w:rPr>
                <w:rFonts w:asciiTheme="minorHAnsi" w:hAnsiTheme="minorHAnsi" w:cstheme="minorHAnsi"/>
                <w:color w:val="000000"/>
                <w:szCs w:val="24"/>
              </w:rPr>
            </w:pPr>
            <w:r w:rsidRPr="002D39D0">
              <w:rPr>
                <w:rFonts w:asciiTheme="minorHAnsi" w:hAnsiTheme="minorHAnsi" w:cstheme="minorHAnsi"/>
                <w:color w:val="000000"/>
                <w:szCs w:val="24"/>
              </w:rPr>
              <w:t>84</w:t>
            </w:r>
          </w:p>
        </w:tc>
      </w:tr>
      <w:tr w:rsidR="00D76397" w:rsidRPr="002D39D0" w14:paraId="37AB0AE3" w14:textId="77777777" w:rsidTr="00222D78">
        <w:trPr>
          <w:cantSplit/>
          <w:trHeight w:val="290"/>
          <w:tblHeader/>
          <w:jc w:val="center"/>
        </w:trPr>
        <w:tc>
          <w:tcPr>
            <w:tcW w:w="1646" w:type="pct"/>
          </w:tcPr>
          <w:p w14:paraId="03219090" w14:textId="77777777" w:rsidR="00D76397" w:rsidRPr="002D39D0" w:rsidRDefault="00D76397" w:rsidP="00D76397">
            <w:pPr>
              <w:autoSpaceDE w:val="0"/>
              <w:autoSpaceDN w:val="0"/>
              <w:adjustRightInd w:val="0"/>
              <w:rPr>
                <w:rFonts w:asciiTheme="minorHAnsi" w:hAnsiTheme="minorHAnsi" w:cstheme="minorHAnsi"/>
                <w:color w:val="000000"/>
                <w:szCs w:val="24"/>
              </w:rPr>
            </w:pPr>
            <w:r w:rsidRPr="002D39D0">
              <w:rPr>
                <w:rFonts w:asciiTheme="minorHAnsi" w:hAnsiTheme="minorHAnsi" w:cstheme="minorHAnsi"/>
                <w:color w:val="000000"/>
                <w:szCs w:val="24"/>
              </w:rPr>
              <w:t>270 à 299 jours civils</w:t>
            </w:r>
          </w:p>
        </w:tc>
        <w:tc>
          <w:tcPr>
            <w:tcW w:w="3354" w:type="pct"/>
          </w:tcPr>
          <w:p w14:paraId="39B38967" w14:textId="77777777" w:rsidR="00D76397" w:rsidRPr="002D39D0" w:rsidRDefault="00D76397" w:rsidP="00D76397">
            <w:pPr>
              <w:autoSpaceDE w:val="0"/>
              <w:autoSpaceDN w:val="0"/>
              <w:adjustRightInd w:val="0"/>
              <w:jc w:val="center"/>
              <w:rPr>
                <w:rFonts w:asciiTheme="minorHAnsi" w:hAnsiTheme="minorHAnsi" w:cstheme="minorHAnsi"/>
                <w:color w:val="000000"/>
                <w:szCs w:val="24"/>
              </w:rPr>
            </w:pPr>
            <w:r w:rsidRPr="002D39D0">
              <w:rPr>
                <w:rFonts w:asciiTheme="minorHAnsi" w:hAnsiTheme="minorHAnsi" w:cstheme="minorHAnsi"/>
                <w:color w:val="000000"/>
                <w:szCs w:val="24"/>
              </w:rPr>
              <w:t>73</w:t>
            </w:r>
          </w:p>
        </w:tc>
      </w:tr>
      <w:tr w:rsidR="00D76397" w:rsidRPr="002D39D0" w14:paraId="1214F634" w14:textId="77777777" w:rsidTr="00222D78">
        <w:trPr>
          <w:cantSplit/>
          <w:trHeight w:val="290"/>
          <w:tblHeader/>
          <w:jc w:val="center"/>
        </w:trPr>
        <w:tc>
          <w:tcPr>
            <w:tcW w:w="1646" w:type="pct"/>
          </w:tcPr>
          <w:p w14:paraId="37CD8879" w14:textId="77777777" w:rsidR="00D76397" w:rsidRPr="002D39D0" w:rsidRDefault="00D76397" w:rsidP="00D76397">
            <w:pPr>
              <w:autoSpaceDE w:val="0"/>
              <w:autoSpaceDN w:val="0"/>
              <w:adjustRightInd w:val="0"/>
              <w:rPr>
                <w:rFonts w:asciiTheme="minorHAnsi" w:hAnsiTheme="minorHAnsi" w:cstheme="minorHAnsi"/>
                <w:color w:val="000000"/>
                <w:szCs w:val="24"/>
              </w:rPr>
            </w:pPr>
            <w:r w:rsidRPr="002D39D0">
              <w:rPr>
                <w:rFonts w:asciiTheme="minorHAnsi" w:hAnsiTheme="minorHAnsi" w:cstheme="minorHAnsi"/>
                <w:color w:val="000000"/>
                <w:szCs w:val="24"/>
              </w:rPr>
              <w:t>300 à 329 jours civils</w:t>
            </w:r>
          </w:p>
        </w:tc>
        <w:tc>
          <w:tcPr>
            <w:tcW w:w="3354" w:type="pct"/>
          </w:tcPr>
          <w:p w14:paraId="62F953E9" w14:textId="77777777" w:rsidR="00D76397" w:rsidRPr="002D39D0" w:rsidRDefault="00D76397" w:rsidP="00D76397">
            <w:pPr>
              <w:autoSpaceDE w:val="0"/>
              <w:autoSpaceDN w:val="0"/>
              <w:adjustRightInd w:val="0"/>
              <w:jc w:val="center"/>
              <w:rPr>
                <w:rFonts w:asciiTheme="minorHAnsi" w:hAnsiTheme="minorHAnsi" w:cstheme="minorHAnsi"/>
                <w:color w:val="000000"/>
                <w:szCs w:val="24"/>
              </w:rPr>
            </w:pPr>
            <w:r w:rsidRPr="002D39D0">
              <w:rPr>
                <w:rFonts w:asciiTheme="minorHAnsi" w:hAnsiTheme="minorHAnsi" w:cstheme="minorHAnsi"/>
                <w:color w:val="000000"/>
                <w:szCs w:val="24"/>
              </w:rPr>
              <w:t>61</w:t>
            </w:r>
          </w:p>
        </w:tc>
      </w:tr>
      <w:tr w:rsidR="00D76397" w:rsidRPr="002D39D0" w14:paraId="47638204" w14:textId="77777777" w:rsidTr="00222D78">
        <w:trPr>
          <w:cantSplit/>
          <w:trHeight w:val="290"/>
          <w:tblHeader/>
          <w:jc w:val="center"/>
        </w:trPr>
        <w:tc>
          <w:tcPr>
            <w:tcW w:w="1646" w:type="pct"/>
          </w:tcPr>
          <w:p w14:paraId="4935D33A" w14:textId="77777777" w:rsidR="00D76397" w:rsidRPr="002D39D0" w:rsidRDefault="00D76397" w:rsidP="00D76397">
            <w:pPr>
              <w:autoSpaceDE w:val="0"/>
              <w:autoSpaceDN w:val="0"/>
              <w:adjustRightInd w:val="0"/>
              <w:rPr>
                <w:rFonts w:asciiTheme="minorHAnsi" w:hAnsiTheme="minorHAnsi" w:cstheme="minorHAnsi"/>
                <w:color w:val="000000"/>
                <w:szCs w:val="24"/>
              </w:rPr>
            </w:pPr>
            <w:r w:rsidRPr="002D39D0">
              <w:rPr>
                <w:rFonts w:asciiTheme="minorHAnsi" w:hAnsiTheme="minorHAnsi" w:cstheme="minorHAnsi"/>
                <w:color w:val="000000"/>
                <w:szCs w:val="24"/>
              </w:rPr>
              <w:t>330 à 359 jours civils</w:t>
            </w:r>
          </w:p>
        </w:tc>
        <w:tc>
          <w:tcPr>
            <w:tcW w:w="3354" w:type="pct"/>
          </w:tcPr>
          <w:p w14:paraId="30F52399" w14:textId="77777777" w:rsidR="00D76397" w:rsidRPr="002D39D0" w:rsidRDefault="00D76397" w:rsidP="00D76397">
            <w:pPr>
              <w:autoSpaceDE w:val="0"/>
              <w:autoSpaceDN w:val="0"/>
              <w:adjustRightInd w:val="0"/>
              <w:jc w:val="center"/>
              <w:rPr>
                <w:rFonts w:asciiTheme="minorHAnsi" w:hAnsiTheme="minorHAnsi" w:cstheme="minorHAnsi"/>
                <w:color w:val="000000"/>
                <w:szCs w:val="24"/>
              </w:rPr>
            </w:pPr>
            <w:r w:rsidRPr="002D39D0">
              <w:rPr>
                <w:rFonts w:asciiTheme="minorHAnsi" w:hAnsiTheme="minorHAnsi" w:cstheme="minorHAnsi"/>
                <w:color w:val="000000"/>
                <w:szCs w:val="24"/>
              </w:rPr>
              <w:t>41</w:t>
            </w:r>
          </w:p>
        </w:tc>
      </w:tr>
      <w:tr w:rsidR="00D76397" w:rsidRPr="002D39D0" w14:paraId="57361D71" w14:textId="77777777" w:rsidTr="00222D78">
        <w:trPr>
          <w:cantSplit/>
          <w:trHeight w:val="290"/>
          <w:tblHeader/>
          <w:jc w:val="center"/>
        </w:trPr>
        <w:tc>
          <w:tcPr>
            <w:tcW w:w="1646" w:type="pct"/>
          </w:tcPr>
          <w:p w14:paraId="4F7FC0B3" w14:textId="77777777" w:rsidR="00D76397" w:rsidRPr="002D39D0" w:rsidRDefault="00D76397" w:rsidP="00D76397">
            <w:pPr>
              <w:autoSpaceDE w:val="0"/>
              <w:autoSpaceDN w:val="0"/>
              <w:adjustRightInd w:val="0"/>
              <w:rPr>
                <w:rFonts w:asciiTheme="minorHAnsi" w:hAnsiTheme="minorHAnsi" w:cstheme="minorHAnsi"/>
                <w:color w:val="000000"/>
                <w:szCs w:val="24"/>
              </w:rPr>
            </w:pPr>
            <w:r w:rsidRPr="002D39D0">
              <w:rPr>
                <w:rFonts w:asciiTheme="minorHAnsi" w:hAnsiTheme="minorHAnsi" w:cstheme="minorHAnsi"/>
                <w:color w:val="000000"/>
                <w:szCs w:val="24"/>
              </w:rPr>
              <w:t>360 à 389 jours civils</w:t>
            </w:r>
          </w:p>
        </w:tc>
        <w:tc>
          <w:tcPr>
            <w:tcW w:w="3354" w:type="pct"/>
          </w:tcPr>
          <w:p w14:paraId="7310666B" w14:textId="77777777" w:rsidR="00D76397" w:rsidRPr="002D39D0" w:rsidRDefault="00D76397" w:rsidP="00D76397">
            <w:pPr>
              <w:autoSpaceDE w:val="0"/>
              <w:autoSpaceDN w:val="0"/>
              <w:adjustRightInd w:val="0"/>
              <w:jc w:val="center"/>
              <w:rPr>
                <w:rFonts w:asciiTheme="minorHAnsi" w:hAnsiTheme="minorHAnsi" w:cstheme="minorHAnsi"/>
                <w:color w:val="000000"/>
                <w:szCs w:val="24"/>
              </w:rPr>
            </w:pPr>
            <w:r w:rsidRPr="002D39D0">
              <w:rPr>
                <w:rFonts w:asciiTheme="minorHAnsi" w:hAnsiTheme="minorHAnsi" w:cstheme="minorHAnsi"/>
                <w:color w:val="000000"/>
                <w:szCs w:val="24"/>
              </w:rPr>
              <w:t>43</w:t>
            </w:r>
          </w:p>
        </w:tc>
      </w:tr>
      <w:tr w:rsidR="00D76397" w:rsidRPr="002D39D0" w14:paraId="4D422835" w14:textId="77777777" w:rsidTr="00222D78">
        <w:trPr>
          <w:cantSplit/>
          <w:trHeight w:val="290"/>
          <w:tblHeader/>
          <w:jc w:val="center"/>
        </w:trPr>
        <w:tc>
          <w:tcPr>
            <w:tcW w:w="1646" w:type="pct"/>
          </w:tcPr>
          <w:p w14:paraId="52145A95" w14:textId="77777777" w:rsidR="00D76397" w:rsidRPr="002D39D0" w:rsidRDefault="00D76397" w:rsidP="00D76397">
            <w:pPr>
              <w:autoSpaceDE w:val="0"/>
              <w:autoSpaceDN w:val="0"/>
              <w:adjustRightInd w:val="0"/>
              <w:rPr>
                <w:rFonts w:asciiTheme="minorHAnsi" w:hAnsiTheme="minorHAnsi" w:cstheme="minorHAnsi"/>
                <w:color w:val="000000"/>
                <w:szCs w:val="24"/>
              </w:rPr>
            </w:pPr>
            <w:r w:rsidRPr="002D39D0">
              <w:rPr>
                <w:rFonts w:asciiTheme="minorHAnsi" w:hAnsiTheme="minorHAnsi" w:cstheme="minorHAnsi"/>
                <w:color w:val="000000"/>
                <w:szCs w:val="24"/>
              </w:rPr>
              <w:t>390 à 419 jours civils</w:t>
            </w:r>
          </w:p>
        </w:tc>
        <w:tc>
          <w:tcPr>
            <w:tcW w:w="3354" w:type="pct"/>
          </w:tcPr>
          <w:p w14:paraId="71E3DA7F" w14:textId="77777777" w:rsidR="00D76397" w:rsidRPr="002D39D0" w:rsidRDefault="00D76397" w:rsidP="00D76397">
            <w:pPr>
              <w:autoSpaceDE w:val="0"/>
              <w:autoSpaceDN w:val="0"/>
              <w:adjustRightInd w:val="0"/>
              <w:jc w:val="center"/>
              <w:rPr>
                <w:rFonts w:asciiTheme="minorHAnsi" w:hAnsiTheme="minorHAnsi" w:cstheme="minorHAnsi"/>
                <w:color w:val="000000"/>
                <w:szCs w:val="24"/>
              </w:rPr>
            </w:pPr>
            <w:r w:rsidRPr="002D39D0">
              <w:rPr>
                <w:rFonts w:asciiTheme="minorHAnsi" w:hAnsiTheme="minorHAnsi" w:cstheme="minorHAnsi"/>
                <w:color w:val="000000"/>
                <w:szCs w:val="24"/>
              </w:rPr>
              <w:t>49</w:t>
            </w:r>
          </w:p>
        </w:tc>
      </w:tr>
      <w:tr w:rsidR="00D76397" w:rsidRPr="002D39D0" w14:paraId="0FE3F020" w14:textId="77777777" w:rsidTr="00222D78">
        <w:trPr>
          <w:cantSplit/>
          <w:trHeight w:val="290"/>
          <w:tblHeader/>
          <w:jc w:val="center"/>
        </w:trPr>
        <w:tc>
          <w:tcPr>
            <w:tcW w:w="1646" w:type="pct"/>
          </w:tcPr>
          <w:p w14:paraId="7E0D4CA5" w14:textId="77777777" w:rsidR="00D76397" w:rsidRPr="002D39D0" w:rsidRDefault="00D76397" w:rsidP="00D76397">
            <w:pPr>
              <w:autoSpaceDE w:val="0"/>
              <w:autoSpaceDN w:val="0"/>
              <w:adjustRightInd w:val="0"/>
              <w:rPr>
                <w:rFonts w:asciiTheme="minorHAnsi" w:hAnsiTheme="minorHAnsi" w:cstheme="minorHAnsi"/>
                <w:color w:val="000000"/>
                <w:szCs w:val="24"/>
              </w:rPr>
            </w:pPr>
            <w:r w:rsidRPr="002D39D0">
              <w:rPr>
                <w:rFonts w:asciiTheme="minorHAnsi" w:hAnsiTheme="minorHAnsi" w:cstheme="minorHAnsi"/>
                <w:color w:val="000000"/>
                <w:szCs w:val="24"/>
              </w:rPr>
              <w:t>420 à 449 jours civils</w:t>
            </w:r>
          </w:p>
        </w:tc>
        <w:tc>
          <w:tcPr>
            <w:tcW w:w="3354" w:type="pct"/>
          </w:tcPr>
          <w:p w14:paraId="5F425C83" w14:textId="77777777" w:rsidR="00D76397" w:rsidRPr="002D39D0" w:rsidRDefault="00D76397" w:rsidP="00D76397">
            <w:pPr>
              <w:autoSpaceDE w:val="0"/>
              <w:autoSpaceDN w:val="0"/>
              <w:adjustRightInd w:val="0"/>
              <w:jc w:val="center"/>
              <w:rPr>
                <w:rFonts w:asciiTheme="minorHAnsi" w:hAnsiTheme="minorHAnsi" w:cstheme="minorHAnsi"/>
                <w:color w:val="000000"/>
                <w:szCs w:val="24"/>
              </w:rPr>
            </w:pPr>
            <w:r w:rsidRPr="002D39D0">
              <w:rPr>
                <w:rFonts w:asciiTheme="minorHAnsi" w:hAnsiTheme="minorHAnsi" w:cstheme="minorHAnsi"/>
                <w:color w:val="000000"/>
                <w:szCs w:val="24"/>
              </w:rPr>
              <w:t>35</w:t>
            </w:r>
          </w:p>
        </w:tc>
      </w:tr>
      <w:tr w:rsidR="00D76397" w:rsidRPr="002D39D0" w14:paraId="18AD0846" w14:textId="77777777" w:rsidTr="00222D78">
        <w:trPr>
          <w:cantSplit/>
          <w:trHeight w:val="290"/>
          <w:tblHeader/>
          <w:jc w:val="center"/>
        </w:trPr>
        <w:tc>
          <w:tcPr>
            <w:tcW w:w="1646" w:type="pct"/>
          </w:tcPr>
          <w:p w14:paraId="367FA9A2" w14:textId="77777777" w:rsidR="00D76397" w:rsidRPr="002D39D0" w:rsidRDefault="00D76397" w:rsidP="00D76397">
            <w:pPr>
              <w:autoSpaceDE w:val="0"/>
              <w:autoSpaceDN w:val="0"/>
              <w:adjustRightInd w:val="0"/>
              <w:rPr>
                <w:rFonts w:asciiTheme="minorHAnsi" w:hAnsiTheme="minorHAnsi" w:cstheme="minorHAnsi"/>
                <w:color w:val="000000"/>
                <w:szCs w:val="24"/>
              </w:rPr>
            </w:pPr>
            <w:r w:rsidRPr="002D39D0">
              <w:rPr>
                <w:rFonts w:asciiTheme="minorHAnsi" w:hAnsiTheme="minorHAnsi" w:cstheme="minorHAnsi"/>
                <w:color w:val="000000"/>
                <w:szCs w:val="24"/>
              </w:rPr>
              <w:t>450 à 479 jours civils</w:t>
            </w:r>
          </w:p>
        </w:tc>
        <w:tc>
          <w:tcPr>
            <w:tcW w:w="3354" w:type="pct"/>
          </w:tcPr>
          <w:p w14:paraId="5A9B738F" w14:textId="77777777" w:rsidR="00D76397" w:rsidRPr="002D39D0" w:rsidRDefault="00D76397" w:rsidP="00D76397">
            <w:pPr>
              <w:autoSpaceDE w:val="0"/>
              <w:autoSpaceDN w:val="0"/>
              <w:adjustRightInd w:val="0"/>
              <w:jc w:val="center"/>
              <w:rPr>
                <w:rFonts w:asciiTheme="minorHAnsi" w:hAnsiTheme="minorHAnsi" w:cstheme="minorHAnsi"/>
                <w:color w:val="000000"/>
                <w:szCs w:val="24"/>
              </w:rPr>
            </w:pPr>
            <w:r w:rsidRPr="002D39D0">
              <w:rPr>
                <w:rFonts w:asciiTheme="minorHAnsi" w:hAnsiTheme="minorHAnsi" w:cstheme="minorHAnsi"/>
                <w:color w:val="000000"/>
                <w:szCs w:val="24"/>
              </w:rPr>
              <w:t>22</w:t>
            </w:r>
          </w:p>
        </w:tc>
      </w:tr>
      <w:tr w:rsidR="00D76397" w:rsidRPr="002D39D0" w14:paraId="0EAB13E8" w14:textId="77777777" w:rsidTr="00222D78">
        <w:trPr>
          <w:cantSplit/>
          <w:trHeight w:val="290"/>
          <w:tblHeader/>
          <w:jc w:val="center"/>
        </w:trPr>
        <w:tc>
          <w:tcPr>
            <w:tcW w:w="1646" w:type="pct"/>
          </w:tcPr>
          <w:p w14:paraId="4123184E" w14:textId="77777777" w:rsidR="00D76397" w:rsidRPr="002D39D0" w:rsidRDefault="00D76397" w:rsidP="00D76397">
            <w:pPr>
              <w:autoSpaceDE w:val="0"/>
              <w:autoSpaceDN w:val="0"/>
              <w:adjustRightInd w:val="0"/>
              <w:rPr>
                <w:rFonts w:asciiTheme="minorHAnsi" w:hAnsiTheme="minorHAnsi" w:cstheme="minorHAnsi"/>
                <w:color w:val="000000"/>
                <w:szCs w:val="24"/>
              </w:rPr>
            </w:pPr>
            <w:r w:rsidRPr="002D39D0">
              <w:rPr>
                <w:rFonts w:asciiTheme="minorHAnsi" w:hAnsiTheme="minorHAnsi" w:cstheme="minorHAnsi"/>
                <w:color w:val="000000"/>
                <w:szCs w:val="24"/>
              </w:rPr>
              <w:t>480 à 509 jours civils</w:t>
            </w:r>
          </w:p>
        </w:tc>
        <w:tc>
          <w:tcPr>
            <w:tcW w:w="3354" w:type="pct"/>
          </w:tcPr>
          <w:p w14:paraId="7A684EFC" w14:textId="77777777" w:rsidR="00D76397" w:rsidRPr="002D39D0" w:rsidRDefault="00D76397" w:rsidP="00D76397">
            <w:pPr>
              <w:autoSpaceDE w:val="0"/>
              <w:autoSpaceDN w:val="0"/>
              <w:adjustRightInd w:val="0"/>
              <w:jc w:val="center"/>
              <w:rPr>
                <w:rFonts w:asciiTheme="minorHAnsi" w:hAnsiTheme="minorHAnsi" w:cstheme="minorHAnsi"/>
                <w:color w:val="000000"/>
                <w:szCs w:val="24"/>
              </w:rPr>
            </w:pPr>
            <w:r w:rsidRPr="002D39D0">
              <w:rPr>
                <w:rFonts w:asciiTheme="minorHAnsi" w:hAnsiTheme="minorHAnsi" w:cstheme="minorHAnsi"/>
                <w:color w:val="000000"/>
                <w:szCs w:val="24"/>
              </w:rPr>
              <w:t>27</w:t>
            </w:r>
          </w:p>
        </w:tc>
      </w:tr>
      <w:tr w:rsidR="00D76397" w:rsidRPr="002D39D0" w14:paraId="71E8B66C" w14:textId="77777777" w:rsidTr="00222D78">
        <w:trPr>
          <w:cantSplit/>
          <w:trHeight w:val="290"/>
          <w:tblHeader/>
          <w:jc w:val="center"/>
        </w:trPr>
        <w:tc>
          <w:tcPr>
            <w:tcW w:w="1646" w:type="pct"/>
          </w:tcPr>
          <w:p w14:paraId="54277695" w14:textId="77777777" w:rsidR="00D76397" w:rsidRPr="002D39D0" w:rsidRDefault="00D76397" w:rsidP="00D76397">
            <w:pPr>
              <w:autoSpaceDE w:val="0"/>
              <w:autoSpaceDN w:val="0"/>
              <w:adjustRightInd w:val="0"/>
              <w:rPr>
                <w:rFonts w:asciiTheme="minorHAnsi" w:hAnsiTheme="minorHAnsi" w:cstheme="minorHAnsi"/>
                <w:color w:val="000000"/>
                <w:szCs w:val="24"/>
              </w:rPr>
            </w:pPr>
            <w:r w:rsidRPr="002D39D0">
              <w:rPr>
                <w:rFonts w:asciiTheme="minorHAnsi" w:hAnsiTheme="minorHAnsi" w:cstheme="minorHAnsi"/>
                <w:color w:val="000000"/>
                <w:szCs w:val="24"/>
              </w:rPr>
              <w:t xml:space="preserve">510 à 539 jours civils </w:t>
            </w:r>
          </w:p>
        </w:tc>
        <w:tc>
          <w:tcPr>
            <w:tcW w:w="3354" w:type="pct"/>
          </w:tcPr>
          <w:p w14:paraId="08FD2107" w14:textId="77777777" w:rsidR="00D76397" w:rsidRPr="002D39D0" w:rsidRDefault="00D76397" w:rsidP="00D76397">
            <w:pPr>
              <w:autoSpaceDE w:val="0"/>
              <w:autoSpaceDN w:val="0"/>
              <w:adjustRightInd w:val="0"/>
              <w:jc w:val="center"/>
              <w:rPr>
                <w:rFonts w:asciiTheme="minorHAnsi" w:hAnsiTheme="minorHAnsi" w:cstheme="minorHAnsi"/>
                <w:color w:val="000000"/>
                <w:szCs w:val="24"/>
              </w:rPr>
            </w:pPr>
            <w:r w:rsidRPr="002D39D0">
              <w:rPr>
                <w:rFonts w:asciiTheme="minorHAnsi" w:hAnsiTheme="minorHAnsi" w:cstheme="minorHAnsi"/>
                <w:color w:val="000000"/>
                <w:szCs w:val="24"/>
              </w:rPr>
              <w:t>17</w:t>
            </w:r>
          </w:p>
        </w:tc>
      </w:tr>
      <w:tr w:rsidR="00D76397" w:rsidRPr="002D39D0" w14:paraId="484E0298" w14:textId="77777777" w:rsidTr="00222D78">
        <w:trPr>
          <w:cantSplit/>
          <w:trHeight w:val="290"/>
          <w:tblHeader/>
          <w:jc w:val="center"/>
        </w:trPr>
        <w:tc>
          <w:tcPr>
            <w:tcW w:w="1646" w:type="pct"/>
          </w:tcPr>
          <w:p w14:paraId="07AB45DF" w14:textId="77777777" w:rsidR="00D76397" w:rsidRPr="002D39D0" w:rsidRDefault="00D76397" w:rsidP="00D76397">
            <w:pPr>
              <w:autoSpaceDE w:val="0"/>
              <w:autoSpaceDN w:val="0"/>
              <w:adjustRightInd w:val="0"/>
              <w:rPr>
                <w:rFonts w:asciiTheme="minorHAnsi" w:hAnsiTheme="minorHAnsi" w:cstheme="minorHAnsi"/>
                <w:color w:val="000000"/>
                <w:szCs w:val="24"/>
              </w:rPr>
            </w:pPr>
            <w:r w:rsidRPr="002D39D0">
              <w:rPr>
                <w:rFonts w:asciiTheme="minorHAnsi" w:hAnsiTheme="minorHAnsi" w:cstheme="minorHAnsi"/>
                <w:color w:val="000000"/>
                <w:szCs w:val="24"/>
              </w:rPr>
              <w:t>540 à 569 jours civils</w:t>
            </w:r>
          </w:p>
        </w:tc>
        <w:tc>
          <w:tcPr>
            <w:tcW w:w="3354" w:type="pct"/>
          </w:tcPr>
          <w:p w14:paraId="50A44092" w14:textId="77777777" w:rsidR="00D76397" w:rsidRPr="002D39D0" w:rsidRDefault="00D76397" w:rsidP="00D76397">
            <w:pPr>
              <w:autoSpaceDE w:val="0"/>
              <w:autoSpaceDN w:val="0"/>
              <w:adjustRightInd w:val="0"/>
              <w:jc w:val="center"/>
              <w:rPr>
                <w:rFonts w:asciiTheme="minorHAnsi" w:hAnsiTheme="minorHAnsi" w:cstheme="minorHAnsi"/>
                <w:color w:val="000000"/>
                <w:szCs w:val="24"/>
              </w:rPr>
            </w:pPr>
            <w:r w:rsidRPr="002D39D0">
              <w:rPr>
                <w:rFonts w:asciiTheme="minorHAnsi" w:hAnsiTheme="minorHAnsi" w:cstheme="minorHAnsi"/>
                <w:color w:val="000000"/>
                <w:szCs w:val="24"/>
              </w:rPr>
              <w:t>15</w:t>
            </w:r>
          </w:p>
        </w:tc>
      </w:tr>
      <w:tr w:rsidR="00D76397" w:rsidRPr="002D39D0" w14:paraId="52DA2EE1" w14:textId="77777777" w:rsidTr="00222D78">
        <w:trPr>
          <w:cantSplit/>
          <w:trHeight w:val="290"/>
          <w:tblHeader/>
          <w:jc w:val="center"/>
        </w:trPr>
        <w:tc>
          <w:tcPr>
            <w:tcW w:w="1646" w:type="pct"/>
          </w:tcPr>
          <w:p w14:paraId="73C66E16" w14:textId="77777777" w:rsidR="00D76397" w:rsidRPr="002D39D0" w:rsidRDefault="00D76397" w:rsidP="00D76397">
            <w:pPr>
              <w:autoSpaceDE w:val="0"/>
              <w:autoSpaceDN w:val="0"/>
              <w:adjustRightInd w:val="0"/>
              <w:rPr>
                <w:rFonts w:asciiTheme="minorHAnsi" w:hAnsiTheme="minorHAnsi" w:cstheme="minorHAnsi"/>
                <w:color w:val="000000"/>
                <w:szCs w:val="24"/>
              </w:rPr>
            </w:pPr>
            <w:r w:rsidRPr="002D39D0">
              <w:rPr>
                <w:rFonts w:asciiTheme="minorHAnsi" w:hAnsiTheme="minorHAnsi" w:cstheme="minorHAnsi"/>
                <w:color w:val="000000"/>
                <w:szCs w:val="24"/>
              </w:rPr>
              <w:t>570 à 599 jours civils</w:t>
            </w:r>
          </w:p>
        </w:tc>
        <w:tc>
          <w:tcPr>
            <w:tcW w:w="3354" w:type="pct"/>
          </w:tcPr>
          <w:p w14:paraId="1E7A3F46" w14:textId="77777777" w:rsidR="00D76397" w:rsidRPr="002D39D0" w:rsidRDefault="00D76397" w:rsidP="00D76397">
            <w:pPr>
              <w:autoSpaceDE w:val="0"/>
              <w:autoSpaceDN w:val="0"/>
              <w:adjustRightInd w:val="0"/>
              <w:jc w:val="center"/>
              <w:rPr>
                <w:rFonts w:asciiTheme="minorHAnsi" w:hAnsiTheme="minorHAnsi" w:cstheme="minorHAnsi"/>
                <w:color w:val="000000"/>
                <w:szCs w:val="24"/>
              </w:rPr>
            </w:pPr>
            <w:r w:rsidRPr="002D39D0">
              <w:rPr>
                <w:rFonts w:asciiTheme="minorHAnsi" w:hAnsiTheme="minorHAnsi" w:cstheme="minorHAnsi"/>
                <w:color w:val="000000"/>
                <w:szCs w:val="24"/>
              </w:rPr>
              <w:t>14</w:t>
            </w:r>
          </w:p>
        </w:tc>
      </w:tr>
      <w:tr w:rsidR="00D76397" w:rsidRPr="002D39D0" w14:paraId="3F85A821" w14:textId="77777777" w:rsidTr="00222D78">
        <w:trPr>
          <w:cantSplit/>
          <w:trHeight w:val="290"/>
          <w:tblHeader/>
          <w:jc w:val="center"/>
        </w:trPr>
        <w:tc>
          <w:tcPr>
            <w:tcW w:w="1646" w:type="pct"/>
          </w:tcPr>
          <w:p w14:paraId="17454E66" w14:textId="77777777" w:rsidR="00D76397" w:rsidRPr="002D39D0" w:rsidRDefault="00D76397" w:rsidP="00D76397">
            <w:pPr>
              <w:autoSpaceDE w:val="0"/>
              <w:autoSpaceDN w:val="0"/>
              <w:adjustRightInd w:val="0"/>
              <w:rPr>
                <w:rFonts w:asciiTheme="minorHAnsi" w:hAnsiTheme="minorHAnsi" w:cstheme="minorHAnsi"/>
                <w:color w:val="000000"/>
                <w:szCs w:val="24"/>
              </w:rPr>
            </w:pPr>
            <w:r w:rsidRPr="002D39D0">
              <w:rPr>
                <w:rFonts w:asciiTheme="minorHAnsi" w:hAnsiTheme="minorHAnsi" w:cstheme="minorHAnsi"/>
                <w:color w:val="000000"/>
                <w:szCs w:val="24"/>
              </w:rPr>
              <w:t>600 à 629 jours civils</w:t>
            </w:r>
          </w:p>
        </w:tc>
        <w:tc>
          <w:tcPr>
            <w:tcW w:w="3354" w:type="pct"/>
          </w:tcPr>
          <w:p w14:paraId="58DD5EAB" w14:textId="77777777" w:rsidR="00D76397" w:rsidRPr="002D39D0" w:rsidRDefault="00D76397" w:rsidP="00D76397">
            <w:pPr>
              <w:autoSpaceDE w:val="0"/>
              <w:autoSpaceDN w:val="0"/>
              <w:adjustRightInd w:val="0"/>
              <w:jc w:val="center"/>
              <w:rPr>
                <w:rFonts w:asciiTheme="minorHAnsi" w:hAnsiTheme="minorHAnsi" w:cstheme="minorHAnsi"/>
                <w:color w:val="000000"/>
                <w:szCs w:val="24"/>
              </w:rPr>
            </w:pPr>
            <w:r w:rsidRPr="002D39D0">
              <w:rPr>
                <w:rFonts w:asciiTheme="minorHAnsi" w:hAnsiTheme="minorHAnsi" w:cstheme="minorHAnsi"/>
                <w:color w:val="000000"/>
                <w:szCs w:val="24"/>
              </w:rPr>
              <w:t>12</w:t>
            </w:r>
          </w:p>
        </w:tc>
      </w:tr>
      <w:tr w:rsidR="00D76397" w:rsidRPr="002D39D0" w14:paraId="4001B182" w14:textId="77777777" w:rsidTr="00222D78">
        <w:trPr>
          <w:cantSplit/>
          <w:trHeight w:val="290"/>
          <w:tblHeader/>
          <w:jc w:val="center"/>
        </w:trPr>
        <w:tc>
          <w:tcPr>
            <w:tcW w:w="1646" w:type="pct"/>
          </w:tcPr>
          <w:p w14:paraId="058FC3F2" w14:textId="77777777" w:rsidR="00D76397" w:rsidRPr="002D39D0" w:rsidRDefault="00D76397" w:rsidP="00D76397">
            <w:pPr>
              <w:autoSpaceDE w:val="0"/>
              <w:autoSpaceDN w:val="0"/>
              <w:adjustRightInd w:val="0"/>
              <w:rPr>
                <w:rFonts w:asciiTheme="minorHAnsi" w:hAnsiTheme="minorHAnsi" w:cstheme="minorHAnsi"/>
                <w:color w:val="000000"/>
                <w:szCs w:val="24"/>
              </w:rPr>
            </w:pPr>
            <w:r w:rsidRPr="002D39D0">
              <w:rPr>
                <w:rFonts w:asciiTheme="minorHAnsi" w:hAnsiTheme="minorHAnsi" w:cstheme="minorHAnsi"/>
                <w:color w:val="000000"/>
                <w:szCs w:val="24"/>
              </w:rPr>
              <w:t>630 à 659 jours civils</w:t>
            </w:r>
          </w:p>
        </w:tc>
        <w:tc>
          <w:tcPr>
            <w:tcW w:w="3354" w:type="pct"/>
          </w:tcPr>
          <w:p w14:paraId="775CD91A" w14:textId="77777777" w:rsidR="00D76397" w:rsidRPr="002D39D0" w:rsidRDefault="00D76397" w:rsidP="00D76397">
            <w:pPr>
              <w:autoSpaceDE w:val="0"/>
              <w:autoSpaceDN w:val="0"/>
              <w:adjustRightInd w:val="0"/>
              <w:jc w:val="center"/>
              <w:rPr>
                <w:rFonts w:asciiTheme="minorHAnsi" w:hAnsiTheme="minorHAnsi" w:cstheme="minorHAnsi"/>
                <w:color w:val="000000"/>
                <w:szCs w:val="24"/>
              </w:rPr>
            </w:pPr>
            <w:r w:rsidRPr="002D39D0">
              <w:rPr>
                <w:rFonts w:asciiTheme="minorHAnsi" w:hAnsiTheme="minorHAnsi" w:cstheme="minorHAnsi"/>
                <w:color w:val="000000"/>
                <w:szCs w:val="24"/>
              </w:rPr>
              <w:t>7</w:t>
            </w:r>
          </w:p>
        </w:tc>
      </w:tr>
      <w:tr w:rsidR="00D76397" w:rsidRPr="002D39D0" w14:paraId="6AC1C1FE" w14:textId="77777777" w:rsidTr="00222D78">
        <w:trPr>
          <w:cantSplit/>
          <w:trHeight w:val="290"/>
          <w:tblHeader/>
          <w:jc w:val="center"/>
        </w:trPr>
        <w:tc>
          <w:tcPr>
            <w:tcW w:w="1646" w:type="pct"/>
          </w:tcPr>
          <w:p w14:paraId="1C0393D5" w14:textId="77777777" w:rsidR="00D76397" w:rsidRPr="002D39D0" w:rsidRDefault="00D76397" w:rsidP="00D76397">
            <w:pPr>
              <w:autoSpaceDE w:val="0"/>
              <w:autoSpaceDN w:val="0"/>
              <w:adjustRightInd w:val="0"/>
              <w:rPr>
                <w:rFonts w:asciiTheme="minorHAnsi" w:hAnsiTheme="minorHAnsi" w:cstheme="minorHAnsi"/>
                <w:color w:val="000000"/>
                <w:szCs w:val="24"/>
              </w:rPr>
            </w:pPr>
            <w:r w:rsidRPr="002D39D0">
              <w:rPr>
                <w:rFonts w:asciiTheme="minorHAnsi" w:hAnsiTheme="minorHAnsi" w:cstheme="minorHAnsi"/>
                <w:color w:val="000000"/>
                <w:szCs w:val="24"/>
              </w:rPr>
              <w:t>660 à 689 jours civils</w:t>
            </w:r>
          </w:p>
        </w:tc>
        <w:tc>
          <w:tcPr>
            <w:tcW w:w="3354" w:type="pct"/>
          </w:tcPr>
          <w:p w14:paraId="504B106B" w14:textId="77777777" w:rsidR="00D76397" w:rsidRPr="002D39D0" w:rsidRDefault="00D76397" w:rsidP="00D76397">
            <w:pPr>
              <w:autoSpaceDE w:val="0"/>
              <w:autoSpaceDN w:val="0"/>
              <w:adjustRightInd w:val="0"/>
              <w:jc w:val="center"/>
              <w:rPr>
                <w:rFonts w:asciiTheme="minorHAnsi" w:hAnsiTheme="minorHAnsi" w:cstheme="minorHAnsi"/>
                <w:color w:val="000000"/>
                <w:szCs w:val="24"/>
              </w:rPr>
            </w:pPr>
            <w:r w:rsidRPr="002D39D0">
              <w:rPr>
                <w:rFonts w:asciiTheme="minorHAnsi" w:hAnsiTheme="minorHAnsi" w:cstheme="minorHAnsi"/>
                <w:color w:val="000000"/>
                <w:szCs w:val="24"/>
              </w:rPr>
              <w:t>5</w:t>
            </w:r>
          </w:p>
        </w:tc>
      </w:tr>
      <w:tr w:rsidR="00D76397" w:rsidRPr="002D39D0" w14:paraId="3465D285" w14:textId="77777777" w:rsidTr="00222D78">
        <w:trPr>
          <w:cantSplit/>
          <w:trHeight w:val="290"/>
          <w:tblHeader/>
          <w:jc w:val="center"/>
        </w:trPr>
        <w:tc>
          <w:tcPr>
            <w:tcW w:w="1646" w:type="pct"/>
          </w:tcPr>
          <w:p w14:paraId="263C2769" w14:textId="77777777" w:rsidR="00D76397" w:rsidRPr="002D39D0" w:rsidRDefault="00D76397" w:rsidP="00D76397">
            <w:pPr>
              <w:autoSpaceDE w:val="0"/>
              <w:autoSpaceDN w:val="0"/>
              <w:adjustRightInd w:val="0"/>
              <w:rPr>
                <w:rFonts w:asciiTheme="minorHAnsi" w:hAnsiTheme="minorHAnsi" w:cstheme="minorHAnsi"/>
                <w:color w:val="000000"/>
                <w:szCs w:val="24"/>
              </w:rPr>
            </w:pPr>
            <w:r w:rsidRPr="002D39D0">
              <w:rPr>
                <w:rFonts w:asciiTheme="minorHAnsi" w:hAnsiTheme="minorHAnsi" w:cstheme="minorHAnsi"/>
                <w:color w:val="000000"/>
                <w:szCs w:val="24"/>
              </w:rPr>
              <w:t>690 à 719 jours civils</w:t>
            </w:r>
          </w:p>
        </w:tc>
        <w:tc>
          <w:tcPr>
            <w:tcW w:w="3354" w:type="pct"/>
          </w:tcPr>
          <w:p w14:paraId="6CC09D77" w14:textId="77777777" w:rsidR="00D76397" w:rsidRPr="002D39D0" w:rsidRDefault="00D76397" w:rsidP="00D76397">
            <w:pPr>
              <w:autoSpaceDE w:val="0"/>
              <w:autoSpaceDN w:val="0"/>
              <w:adjustRightInd w:val="0"/>
              <w:jc w:val="center"/>
              <w:rPr>
                <w:rFonts w:asciiTheme="minorHAnsi" w:hAnsiTheme="minorHAnsi" w:cstheme="minorHAnsi"/>
                <w:color w:val="000000"/>
                <w:szCs w:val="24"/>
              </w:rPr>
            </w:pPr>
            <w:r w:rsidRPr="002D39D0">
              <w:rPr>
                <w:rFonts w:asciiTheme="minorHAnsi" w:hAnsiTheme="minorHAnsi" w:cstheme="minorHAnsi"/>
                <w:color w:val="000000"/>
                <w:szCs w:val="24"/>
              </w:rPr>
              <w:t>7</w:t>
            </w:r>
          </w:p>
        </w:tc>
      </w:tr>
      <w:tr w:rsidR="00D76397" w:rsidRPr="002D39D0" w14:paraId="6F087B87" w14:textId="77777777" w:rsidTr="00222D78">
        <w:trPr>
          <w:cantSplit/>
          <w:trHeight w:val="302"/>
          <w:tblHeader/>
          <w:jc w:val="center"/>
        </w:trPr>
        <w:tc>
          <w:tcPr>
            <w:tcW w:w="1646" w:type="pct"/>
          </w:tcPr>
          <w:p w14:paraId="414A0E8F" w14:textId="77777777" w:rsidR="00D76397" w:rsidRPr="002D39D0" w:rsidRDefault="00D76397" w:rsidP="00D76397">
            <w:pPr>
              <w:autoSpaceDE w:val="0"/>
              <w:autoSpaceDN w:val="0"/>
              <w:adjustRightInd w:val="0"/>
              <w:rPr>
                <w:rFonts w:asciiTheme="minorHAnsi" w:hAnsiTheme="minorHAnsi" w:cstheme="minorHAnsi"/>
                <w:color w:val="000000"/>
                <w:szCs w:val="24"/>
              </w:rPr>
            </w:pPr>
            <w:r w:rsidRPr="002D39D0">
              <w:rPr>
                <w:rFonts w:asciiTheme="minorHAnsi" w:hAnsiTheme="minorHAnsi" w:cstheme="minorHAnsi"/>
                <w:color w:val="000000"/>
                <w:szCs w:val="24"/>
              </w:rPr>
              <w:t>720 à 749 jours civils</w:t>
            </w:r>
          </w:p>
        </w:tc>
        <w:tc>
          <w:tcPr>
            <w:tcW w:w="3354" w:type="pct"/>
          </w:tcPr>
          <w:p w14:paraId="511D6069" w14:textId="77777777" w:rsidR="00D76397" w:rsidRPr="002D39D0" w:rsidRDefault="00D76397" w:rsidP="00D76397">
            <w:pPr>
              <w:autoSpaceDE w:val="0"/>
              <w:autoSpaceDN w:val="0"/>
              <w:adjustRightInd w:val="0"/>
              <w:jc w:val="center"/>
              <w:rPr>
                <w:rFonts w:asciiTheme="minorHAnsi" w:hAnsiTheme="minorHAnsi" w:cstheme="minorHAnsi"/>
                <w:color w:val="000000"/>
                <w:szCs w:val="24"/>
              </w:rPr>
            </w:pPr>
            <w:r w:rsidRPr="002D39D0">
              <w:rPr>
                <w:rFonts w:asciiTheme="minorHAnsi" w:hAnsiTheme="minorHAnsi" w:cstheme="minorHAnsi"/>
                <w:color w:val="000000"/>
                <w:szCs w:val="24"/>
              </w:rPr>
              <w:t>11</w:t>
            </w:r>
          </w:p>
        </w:tc>
      </w:tr>
      <w:tr w:rsidR="00D76397" w:rsidRPr="002D39D0" w14:paraId="20479887" w14:textId="77777777" w:rsidTr="00222D78">
        <w:trPr>
          <w:cantSplit/>
          <w:trHeight w:val="290"/>
          <w:tblHeader/>
          <w:jc w:val="center"/>
        </w:trPr>
        <w:tc>
          <w:tcPr>
            <w:tcW w:w="1646" w:type="pct"/>
          </w:tcPr>
          <w:p w14:paraId="3377CCA6" w14:textId="77777777" w:rsidR="00D76397" w:rsidRPr="002D39D0" w:rsidRDefault="00D76397" w:rsidP="00D76397">
            <w:pPr>
              <w:autoSpaceDE w:val="0"/>
              <w:autoSpaceDN w:val="0"/>
              <w:adjustRightInd w:val="0"/>
              <w:rPr>
                <w:rFonts w:asciiTheme="minorHAnsi" w:hAnsiTheme="minorHAnsi" w:cstheme="minorHAnsi"/>
                <w:color w:val="000000"/>
                <w:szCs w:val="24"/>
              </w:rPr>
            </w:pPr>
            <w:r w:rsidRPr="002D39D0">
              <w:rPr>
                <w:rFonts w:asciiTheme="minorHAnsi" w:hAnsiTheme="minorHAnsi" w:cstheme="minorHAnsi"/>
                <w:color w:val="000000"/>
                <w:szCs w:val="24"/>
              </w:rPr>
              <w:t>750 à 779 jours civils</w:t>
            </w:r>
          </w:p>
        </w:tc>
        <w:tc>
          <w:tcPr>
            <w:tcW w:w="3354" w:type="pct"/>
          </w:tcPr>
          <w:p w14:paraId="15F2D7A5" w14:textId="77777777" w:rsidR="00D76397" w:rsidRPr="002D39D0" w:rsidRDefault="00D76397" w:rsidP="00D76397">
            <w:pPr>
              <w:autoSpaceDE w:val="0"/>
              <w:autoSpaceDN w:val="0"/>
              <w:adjustRightInd w:val="0"/>
              <w:jc w:val="center"/>
              <w:rPr>
                <w:rFonts w:asciiTheme="minorHAnsi" w:hAnsiTheme="minorHAnsi" w:cstheme="minorHAnsi"/>
                <w:color w:val="000000"/>
                <w:szCs w:val="24"/>
              </w:rPr>
            </w:pPr>
            <w:r w:rsidRPr="002D39D0">
              <w:rPr>
                <w:rFonts w:asciiTheme="minorHAnsi" w:hAnsiTheme="minorHAnsi" w:cstheme="minorHAnsi"/>
                <w:color w:val="000000"/>
                <w:szCs w:val="24"/>
              </w:rPr>
              <w:t>3</w:t>
            </w:r>
          </w:p>
        </w:tc>
      </w:tr>
      <w:tr w:rsidR="00D76397" w:rsidRPr="002D39D0" w14:paraId="136ED94A" w14:textId="77777777" w:rsidTr="00222D78">
        <w:trPr>
          <w:cantSplit/>
          <w:trHeight w:val="290"/>
          <w:tblHeader/>
          <w:jc w:val="center"/>
        </w:trPr>
        <w:tc>
          <w:tcPr>
            <w:tcW w:w="1646" w:type="pct"/>
          </w:tcPr>
          <w:p w14:paraId="75B346BC" w14:textId="77777777" w:rsidR="00D76397" w:rsidRPr="002D39D0" w:rsidRDefault="00D76397" w:rsidP="00D76397">
            <w:pPr>
              <w:autoSpaceDE w:val="0"/>
              <w:autoSpaceDN w:val="0"/>
              <w:adjustRightInd w:val="0"/>
              <w:rPr>
                <w:rFonts w:asciiTheme="minorHAnsi" w:hAnsiTheme="minorHAnsi" w:cstheme="minorHAnsi"/>
                <w:color w:val="000000"/>
                <w:szCs w:val="24"/>
              </w:rPr>
            </w:pPr>
            <w:r w:rsidRPr="002D39D0">
              <w:rPr>
                <w:rFonts w:asciiTheme="minorHAnsi" w:hAnsiTheme="minorHAnsi" w:cstheme="minorHAnsi"/>
                <w:color w:val="000000"/>
                <w:szCs w:val="24"/>
              </w:rPr>
              <w:t>780 à 809 jours civils</w:t>
            </w:r>
          </w:p>
        </w:tc>
        <w:tc>
          <w:tcPr>
            <w:tcW w:w="3354" w:type="pct"/>
          </w:tcPr>
          <w:p w14:paraId="79AD9660" w14:textId="77777777" w:rsidR="00D76397" w:rsidRPr="002D39D0" w:rsidRDefault="00D76397" w:rsidP="00D76397">
            <w:pPr>
              <w:autoSpaceDE w:val="0"/>
              <w:autoSpaceDN w:val="0"/>
              <w:adjustRightInd w:val="0"/>
              <w:jc w:val="center"/>
              <w:rPr>
                <w:rFonts w:asciiTheme="minorHAnsi" w:hAnsiTheme="minorHAnsi" w:cstheme="minorHAnsi"/>
                <w:color w:val="000000"/>
                <w:szCs w:val="24"/>
              </w:rPr>
            </w:pPr>
            <w:r w:rsidRPr="002D39D0">
              <w:rPr>
                <w:rFonts w:asciiTheme="minorHAnsi" w:hAnsiTheme="minorHAnsi" w:cstheme="minorHAnsi"/>
                <w:color w:val="000000"/>
                <w:szCs w:val="24"/>
              </w:rPr>
              <w:t>7</w:t>
            </w:r>
          </w:p>
        </w:tc>
      </w:tr>
      <w:tr w:rsidR="00D76397" w:rsidRPr="002D39D0" w14:paraId="61F115CB" w14:textId="77777777" w:rsidTr="00222D78">
        <w:trPr>
          <w:cantSplit/>
          <w:trHeight w:val="290"/>
          <w:tblHeader/>
          <w:jc w:val="center"/>
        </w:trPr>
        <w:tc>
          <w:tcPr>
            <w:tcW w:w="1646" w:type="pct"/>
          </w:tcPr>
          <w:p w14:paraId="1E929B77" w14:textId="77777777" w:rsidR="00D76397" w:rsidRPr="002D39D0" w:rsidRDefault="00D76397" w:rsidP="00D76397">
            <w:pPr>
              <w:autoSpaceDE w:val="0"/>
              <w:autoSpaceDN w:val="0"/>
              <w:adjustRightInd w:val="0"/>
              <w:rPr>
                <w:rFonts w:asciiTheme="minorHAnsi" w:hAnsiTheme="minorHAnsi" w:cstheme="minorHAnsi"/>
                <w:color w:val="000000"/>
                <w:szCs w:val="24"/>
              </w:rPr>
            </w:pPr>
            <w:r w:rsidRPr="002D39D0">
              <w:rPr>
                <w:rFonts w:asciiTheme="minorHAnsi" w:hAnsiTheme="minorHAnsi" w:cstheme="minorHAnsi"/>
                <w:color w:val="000000"/>
                <w:szCs w:val="24"/>
              </w:rPr>
              <w:t>810 à 839 jours civils</w:t>
            </w:r>
          </w:p>
        </w:tc>
        <w:tc>
          <w:tcPr>
            <w:tcW w:w="3354" w:type="pct"/>
          </w:tcPr>
          <w:p w14:paraId="7962E4D1" w14:textId="77777777" w:rsidR="00D76397" w:rsidRPr="002D39D0" w:rsidRDefault="00D76397" w:rsidP="00D76397">
            <w:pPr>
              <w:autoSpaceDE w:val="0"/>
              <w:autoSpaceDN w:val="0"/>
              <w:adjustRightInd w:val="0"/>
              <w:jc w:val="center"/>
              <w:rPr>
                <w:rFonts w:asciiTheme="minorHAnsi" w:hAnsiTheme="minorHAnsi" w:cstheme="minorHAnsi"/>
                <w:color w:val="000000"/>
                <w:szCs w:val="24"/>
              </w:rPr>
            </w:pPr>
            <w:r w:rsidRPr="002D39D0">
              <w:rPr>
                <w:rFonts w:asciiTheme="minorHAnsi" w:hAnsiTheme="minorHAnsi" w:cstheme="minorHAnsi"/>
                <w:color w:val="000000"/>
                <w:szCs w:val="24"/>
              </w:rPr>
              <w:t>2</w:t>
            </w:r>
          </w:p>
        </w:tc>
      </w:tr>
      <w:tr w:rsidR="00D76397" w:rsidRPr="002D39D0" w14:paraId="3E29DFEF" w14:textId="77777777" w:rsidTr="00222D78">
        <w:trPr>
          <w:cantSplit/>
          <w:trHeight w:val="290"/>
          <w:tblHeader/>
          <w:jc w:val="center"/>
        </w:trPr>
        <w:tc>
          <w:tcPr>
            <w:tcW w:w="1646" w:type="pct"/>
          </w:tcPr>
          <w:p w14:paraId="78DDEDED" w14:textId="77777777" w:rsidR="00D76397" w:rsidRPr="002D39D0" w:rsidRDefault="00D76397" w:rsidP="00D76397">
            <w:pPr>
              <w:autoSpaceDE w:val="0"/>
              <w:autoSpaceDN w:val="0"/>
              <w:adjustRightInd w:val="0"/>
              <w:rPr>
                <w:rFonts w:asciiTheme="minorHAnsi" w:hAnsiTheme="minorHAnsi" w:cstheme="minorHAnsi"/>
                <w:color w:val="000000"/>
                <w:szCs w:val="24"/>
              </w:rPr>
            </w:pPr>
            <w:r w:rsidRPr="002D39D0">
              <w:rPr>
                <w:rFonts w:asciiTheme="minorHAnsi" w:hAnsiTheme="minorHAnsi" w:cstheme="minorHAnsi"/>
                <w:color w:val="000000"/>
                <w:szCs w:val="24"/>
              </w:rPr>
              <w:t>840 à 869 jours civils</w:t>
            </w:r>
          </w:p>
        </w:tc>
        <w:tc>
          <w:tcPr>
            <w:tcW w:w="3354" w:type="pct"/>
          </w:tcPr>
          <w:p w14:paraId="74FD8D7D" w14:textId="77777777" w:rsidR="00D76397" w:rsidRPr="002D39D0" w:rsidRDefault="00D76397" w:rsidP="00D76397">
            <w:pPr>
              <w:autoSpaceDE w:val="0"/>
              <w:autoSpaceDN w:val="0"/>
              <w:adjustRightInd w:val="0"/>
              <w:jc w:val="center"/>
              <w:rPr>
                <w:rFonts w:asciiTheme="minorHAnsi" w:hAnsiTheme="minorHAnsi" w:cstheme="minorHAnsi"/>
                <w:color w:val="000000"/>
                <w:szCs w:val="24"/>
              </w:rPr>
            </w:pPr>
            <w:r w:rsidRPr="002D39D0">
              <w:rPr>
                <w:rFonts w:asciiTheme="minorHAnsi" w:hAnsiTheme="minorHAnsi" w:cstheme="minorHAnsi"/>
                <w:color w:val="000000"/>
                <w:szCs w:val="24"/>
              </w:rPr>
              <w:t>2</w:t>
            </w:r>
          </w:p>
        </w:tc>
      </w:tr>
      <w:tr w:rsidR="00D76397" w:rsidRPr="002D39D0" w14:paraId="2D809C98" w14:textId="77777777" w:rsidTr="00222D78">
        <w:trPr>
          <w:cantSplit/>
          <w:trHeight w:val="290"/>
          <w:tblHeader/>
          <w:jc w:val="center"/>
        </w:trPr>
        <w:tc>
          <w:tcPr>
            <w:tcW w:w="1646" w:type="pct"/>
          </w:tcPr>
          <w:p w14:paraId="6780A079" w14:textId="77777777" w:rsidR="00D76397" w:rsidRPr="002D39D0" w:rsidRDefault="00D76397" w:rsidP="00D76397">
            <w:pPr>
              <w:autoSpaceDE w:val="0"/>
              <w:autoSpaceDN w:val="0"/>
              <w:adjustRightInd w:val="0"/>
              <w:rPr>
                <w:rFonts w:asciiTheme="minorHAnsi" w:hAnsiTheme="minorHAnsi" w:cstheme="minorHAnsi"/>
                <w:color w:val="000000"/>
                <w:szCs w:val="24"/>
              </w:rPr>
            </w:pPr>
            <w:r w:rsidRPr="002D39D0">
              <w:rPr>
                <w:rFonts w:asciiTheme="minorHAnsi" w:hAnsiTheme="minorHAnsi" w:cstheme="minorHAnsi"/>
                <w:color w:val="000000"/>
                <w:szCs w:val="24"/>
              </w:rPr>
              <w:t>870 à 899 jours civils</w:t>
            </w:r>
          </w:p>
        </w:tc>
        <w:tc>
          <w:tcPr>
            <w:tcW w:w="3354" w:type="pct"/>
          </w:tcPr>
          <w:p w14:paraId="4C993B31" w14:textId="77777777" w:rsidR="00D76397" w:rsidRPr="002D39D0" w:rsidRDefault="00D76397" w:rsidP="00D76397">
            <w:pPr>
              <w:autoSpaceDE w:val="0"/>
              <w:autoSpaceDN w:val="0"/>
              <w:adjustRightInd w:val="0"/>
              <w:jc w:val="center"/>
              <w:rPr>
                <w:rFonts w:asciiTheme="minorHAnsi" w:hAnsiTheme="minorHAnsi" w:cstheme="minorHAnsi"/>
                <w:color w:val="000000"/>
                <w:szCs w:val="24"/>
              </w:rPr>
            </w:pPr>
            <w:r w:rsidRPr="002D39D0">
              <w:rPr>
                <w:rFonts w:asciiTheme="minorHAnsi" w:hAnsiTheme="minorHAnsi" w:cstheme="minorHAnsi"/>
                <w:color w:val="000000"/>
                <w:szCs w:val="24"/>
              </w:rPr>
              <w:t>0</w:t>
            </w:r>
          </w:p>
        </w:tc>
      </w:tr>
      <w:tr w:rsidR="00D76397" w:rsidRPr="002D39D0" w14:paraId="1C4393DB" w14:textId="77777777" w:rsidTr="00222D78">
        <w:trPr>
          <w:cantSplit/>
          <w:trHeight w:val="290"/>
          <w:tblHeader/>
          <w:jc w:val="center"/>
        </w:trPr>
        <w:tc>
          <w:tcPr>
            <w:tcW w:w="1646" w:type="pct"/>
          </w:tcPr>
          <w:p w14:paraId="3A044C3C" w14:textId="77777777" w:rsidR="00D76397" w:rsidRPr="002D39D0" w:rsidRDefault="00D76397" w:rsidP="00D76397">
            <w:pPr>
              <w:autoSpaceDE w:val="0"/>
              <w:autoSpaceDN w:val="0"/>
              <w:adjustRightInd w:val="0"/>
              <w:rPr>
                <w:rFonts w:asciiTheme="minorHAnsi" w:hAnsiTheme="minorHAnsi" w:cstheme="minorHAnsi"/>
                <w:color w:val="000000"/>
                <w:szCs w:val="24"/>
              </w:rPr>
            </w:pPr>
            <w:r w:rsidRPr="002D39D0">
              <w:rPr>
                <w:rFonts w:asciiTheme="minorHAnsi" w:hAnsiTheme="minorHAnsi" w:cstheme="minorHAnsi"/>
                <w:color w:val="000000"/>
                <w:szCs w:val="24"/>
              </w:rPr>
              <w:t>900 à 929 jours civils</w:t>
            </w:r>
          </w:p>
        </w:tc>
        <w:tc>
          <w:tcPr>
            <w:tcW w:w="3354" w:type="pct"/>
          </w:tcPr>
          <w:p w14:paraId="51ED6B8B" w14:textId="77777777" w:rsidR="00D76397" w:rsidRPr="002D39D0" w:rsidRDefault="00D76397" w:rsidP="00D76397">
            <w:pPr>
              <w:autoSpaceDE w:val="0"/>
              <w:autoSpaceDN w:val="0"/>
              <w:adjustRightInd w:val="0"/>
              <w:jc w:val="center"/>
              <w:rPr>
                <w:rFonts w:asciiTheme="minorHAnsi" w:hAnsiTheme="minorHAnsi" w:cstheme="minorHAnsi"/>
                <w:color w:val="000000"/>
                <w:szCs w:val="24"/>
              </w:rPr>
            </w:pPr>
            <w:r w:rsidRPr="002D39D0">
              <w:rPr>
                <w:rFonts w:asciiTheme="minorHAnsi" w:hAnsiTheme="minorHAnsi" w:cstheme="minorHAnsi"/>
                <w:color w:val="000000"/>
                <w:szCs w:val="24"/>
              </w:rPr>
              <w:t>3</w:t>
            </w:r>
          </w:p>
        </w:tc>
      </w:tr>
      <w:tr w:rsidR="00D76397" w:rsidRPr="002D39D0" w14:paraId="4EBB6FEC" w14:textId="77777777" w:rsidTr="00222D78">
        <w:trPr>
          <w:cantSplit/>
          <w:trHeight w:val="290"/>
          <w:tblHeader/>
          <w:jc w:val="center"/>
        </w:trPr>
        <w:tc>
          <w:tcPr>
            <w:tcW w:w="1646" w:type="pct"/>
          </w:tcPr>
          <w:p w14:paraId="678C02A9" w14:textId="77777777" w:rsidR="00D76397" w:rsidRPr="002D39D0" w:rsidRDefault="00D76397" w:rsidP="00D76397">
            <w:pPr>
              <w:autoSpaceDE w:val="0"/>
              <w:autoSpaceDN w:val="0"/>
              <w:adjustRightInd w:val="0"/>
              <w:rPr>
                <w:rFonts w:asciiTheme="minorHAnsi" w:hAnsiTheme="minorHAnsi" w:cstheme="minorHAnsi"/>
                <w:color w:val="000000"/>
                <w:szCs w:val="24"/>
              </w:rPr>
            </w:pPr>
            <w:r w:rsidRPr="002D39D0">
              <w:rPr>
                <w:rFonts w:asciiTheme="minorHAnsi" w:hAnsiTheme="minorHAnsi" w:cstheme="minorHAnsi"/>
                <w:color w:val="000000"/>
                <w:szCs w:val="24"/>
              </w:rPr>
              <w:t>930 à 959 jours civils</w:t>
            </w:r>
          </w:p>
        </w:tc>
        <w:tc>
          <w:tcPr>
            <w:tcW w:w="3354" w:type="pct"/>
          </w:tcPr>
          <w:p w14:paraId="014EFFE4" w14:textId="77777777" w:rsidR="00D76397" w:rsidRPr="002D39D0" w:rsidRDefault="00D76397" w:rsidP="00D76397">
            <w:pPr>
              <w:autoSpaceDE w:val="0"/>
              <w:autoSpaceDN w:val="0"/>
              <w:adjustRightInd w:val="0"/>
              <w:jc w:val="center"/>
              <w:rPr>
                <w:rFonts w:asciiTheme="minorHAnsi" w:hAnsiTheme="minorHAnsi" w:cstheme="minorHAnsi"/>
                <w:color w:val="000000"/>
                <w:szCs w:val="24"/>
              </w:rPr>
            </w:pPr>
            <w:r w:rsidRPr="002D39D0">
              <w:rPr>
                <w:rFonts w:asciiTheme="minorHAnsi" w:hAnsiTheme="minorHAnsi" w:cstheme="minorHAnsi"/>
                <w:color w:val="000000"/>
                <w:szCs w:val="24"/>
              </w:rPr>
              <w:t>1</w:t>
            </w:r>
          </w:p>
        </w:tc>
      </w:tr>
      <w:tr w:rsidR="00D76397" w:rsidRPr="002D39D0" w14:paraId="1CB4CF4C" w14:textId="77777777" w:rsidTr="00222D78">
        <w:trPr>
          <w:cantSplit/>
          <w:trHeight w:val="290"/>
          <w:tblHeader/>
          <w:jc w:val="center"/>
        </w:trPr>
        <w:tc>
          <w:tcPr>
            <w:tcW w:w="1646" w:type="pct"/>
          </w:tcPr>
          <w:p w14:paraId="07C17D04" w14:textId="77777777" w:rsidR="00D76397" w:rsidRPr="002D39D0" w:rsidRDefault="00D76397" w:rsidP="00D76397">
            <w:pPr>
              <w:autoSpaceDE w:val="0"/>
              <w:autoSpaceDN w:val="0"/>
              <w:adjustRightInd w:val="0"/>
              <w:rPr>
                <w:rFonts w:asciiTheme="minorHAnsi" w:hAnsiTheme="minorHAnsi" w:cstheme="minorHAnsi"/>
                <w:color w:val="000000"/>
                <w:szCs w:val="24"/>
              </w:rPr>
            </w:pPr>
            <w:r w:rsidRPr="002D39D0">
              <w:rPr>
                <w:rFonts w:asciiTheme="minorHAnsi" w:hAnsiTheme="minorHAnsi" w:cstheme="minorHAnsi"/>
                <w:color w:val="000000"/>
                <w:szCs w:val="24"/>
              </w:rPr>
              <w:t>960 à 989 jours civils</w:t>
            </w:r>
          </w:p>
        </w:tc>
        <w:tc>
          <w:tcPr>
            <w:tcW w:w="3354" w:type="pct"/>
          </w:tcPr>
          <w:p w14:paraId="24E5BDF3" w14:textId="77777777" w:rsidR="00D76397" w:rsidRPr="002D39D0" w:rsidRDefault="00D76397" w:rsidP="00D76397">
            <w:pPr>
              <w:autoSpaceDE w:val="0"/>
              <w:autoSpaceDN w:val="0"/>
              <w:adjustRightInd w:val="0"/>
              <w:jc w:val="center"/>
              <w:rPr>
                <w:rFonts w:asciiTheme="minorHAnsi" w:hAnsiTheme="minorHAnsi" w:cstheme="minorHAnsi"/>
                <w:color w:val="000000"/>
                <w:szCs w:val="24"/>
              </w:rPr>
            </w:pPr>
            <w:r w:rsidRPr="002D39D0">
              <w:rPr>
                <w:rFonts w:asciiTheme="minorHAnsi" w:hAnsiTheme="minorHAnsi" w:cstheme="minorHAnsi"/>
                <w:color w:val="000000"/>
                <w:szCs w:val="24"/>
              </w:rPr>
              <w:t>0</w:t>
            </w:r>
          </w:p>
        </w:tc>
      </w:tr>
      <w:tr w:rsidR="00D76397" w:rsidRPr="002D39D0" w14:paraId="760A9C7B" w14:textId="77777777" w:rsidTr="00222D78">
        <w:trPr>
          <w:cantSplit/>
          <w:trHeight w:val="290"/>
          <w:tblHeader/>
          <w:jc w:val="center"/>
        </w:trPr>
        <w:tc>
          <w:tcPr>
            <w:tcW w:w="1646" w:type="pct"/>
          </w:tcPr>
          <w:p w14:paraId="5F815D0A" w14:textId="77777777" w:rsidR="00D76397" w:rsidRPr="002D39D0" w:rsidRDefault="00D76397" w:rsidP="00D76397">
            <w:pPr>
              <w:autoSpaceDE w:val="0"/>
              <w:autoSpaceDN w:val="0"/>
              <w:adjustRightInd w:val="0"/>
              <w:rPr>
                <w:rFonts w:asciiTheme="minorHAnsi" w:hAnsiTheme="minorHAnsi" w:cstheme="minorHAnsi"/>
                <w:color w:val="000000"/>
                <w:szCs w:val="24"/>
              </w:rPr>
            </w:pPr>
            <w:r w:rsidRPr="002D39D0">
              <w:rPr>
                <w:rFonts w:asciiTheme="minorHAnsi" w:hAnsiTheme="minorHAnsi" w:cstheme="minorHAnsi"/>
                <w:color w:val="000000"/>
                <w:szCs w:val="24"/>
              </w:rPr>
              <w:t>Plus de 990 jours civils</w:t>
            </w:r>
          </w:p>
        </w:tc>
        <w:tc>
          <w:tcPr>
            <w:tcW w:w="3354" w:type="pct"/>
          </w:tcPr>
          <w:p w14:paraId="00DB3EF3" w14:textId="77777777" w:rsidR="00D76397" w:rsidRPr="002D39D0" w:rsidRDefault="00D76397" w:rsidP="00D76397">
            <w:pPr>
              <w:autoSpaceDE w:val="0"/>
              <w:autoSpaceDN w:val="0"/>
              <w:adjustRightInd w:val="0"/>
              <w:jc w:val="center"/>
              <w:rPr>
                <w:rFonts w:asciiTheme="minorHAnsi" w:hAnsiTheme="minorHAnsi" w:cstheme="minorHAnsi"/>
                <w:color w:val="000000"/>
                <w:szCs w:val="24"/>
              </w:rPr>
            </w:pPr>
            <w:r w:rsidRPr="002D39D0">
              <w:rPr>
                <w:rFonts w:asciiTheme="minorHAnsi" w:hAnsiTheme="minorHAnsi" w:cstheme="minorHAnsi"/>
                <w:color w:val="000000"/>
                <w:szCs w:val="24"/>
              </w:rPr>
              <w:t>0</w:t>
            </w:r>
          </w:p>
        </w:tc>
      </w:tr>
    </w:tbl>
    <w:p w14:paraId="10222156" w14:textId="77777777" w:rsidR="00E45026" w:rsidRPr="002D39D0" w:rsidRDefault="00E45026" w:rsidP="00E45026">
      <w:pPr>
        <w:pStyle w:val="Heading1"/>
        <w:rPr>
          <w:sz w:val="40"/>
        </w:rPr>
        <w:sectPr w:rsidR="00E45026" w:rsidRPr="002D39D0" w:rsidSect="007C1E3E">
          <w:headerReference w:type="default" r:id="rId33"/>
          <w:footerReference w:type="default" r:id="rId34"/>
          <w:pgSz w:w="15840" w:h="24480" w:code="3"/>
          <w:pgMar w:top="1304" w:right="1361" w:bottom="1304" w:left="709" w:header="708" w:footer="283" w:gutter="0"/>
          <w:cols w:space="708"/>
          <w:titlePg/>
          <w:docGrid w:linePitch="360"/>
        </w:sectPr>
      </w:pPr>
    </w:p>
    <w:p w14:paraId="086588A2" w14:textId="77777777" w:rsidR="00E56E7F" w:rsidRPr="002D39D0" w:rsidRDefault="00E56E7F" w:rsidP="007C1E3E">
      <w:pPr>
        <w:pStyle w:val="Heading1"/>
        <w:spacing w:after="120"/>
        <w:rPr>
          <w:sz w:val="40"/>
        </w:rPr>
      </w:pPr>
      <w:r w:rsidRPr="002D39D0">
        <w:rPr>
          <w:sz w:val="40"/>
        </w:rPr>
        <w:lastRenderedPageBreak/>
        <w:t>Notes techniques :</w:t>
      </w:r>
    </w:p>
    <w:p w14:paraId="3A375EA8" w14:textId="77777777" w:rsidR="00E56E7F" w:rsidRPr="004721CE" w:rsidRDefault="00E56E7F" w:rsidP="007C1E3E">
      <w:pPr>
        <w:pStyle w:val="ListParagraph"/>
        <w:numPr>
          <w:ilvl w:val="0"/>
          <w:numId w:val="14"/>
        </w:numPr>
        <w:spacing w:after="0"/>
        <w:ind w:left="426" w:hanging="426"/>
        <w:contextualSpacing w:val="0"/>
        <w:rPr>
          <w:rFonts w:asciiTheme="minorHAnsi" w:hAnsiTheme="minorHAnsi" w:cstheme="minorHAnsi"/>
          <w:sz w:val="22"/>
          <w:szCs w:val="22"/>
        </w:rPr>
      </w:pPr>
      <w:r w:rsidRPr="004721CE">
        <w:rPr>
          <w:rFonts w:asciiTheme="minorHAnsi" w:eastAsiaTheme="minorHAnsi" w:hAnsiTheme="minorHAnsi" w:cstheme="minorHAnsi"/>
          <w:bCs/>
          <w:sz w:val="22"/>
          <w:szCs w:val="22"/>
        </w:rPr>
        <w:t xml:space="preserve">Le temps nécessaire à la dotation - Nominations internes (TND-NI) est le nombre médian de jours civils entre la date d'ouverture d'une annonce interne et la date du premier avis de nomination ou de proposition de nomination (PANA) du Système de ressourcement de la fonction publique (SRFP) pour les postes internes de durée déterminée et ceux pour une période indéterminée. </w:t>
      </w:r>
      <w:r w:rsidRPr="004721CE">
        <w:rPr>
          <w:rFonts w:asciiTheme="minorHAnsi" w:hAnsiTheme="minorHAnsi" w:cstheme="minorHAnsi"/>
          <w:sz w:val="22"/>
          <w:szCs w:val="22"/>
        </w:rPr>
        <w:t xml:space="preserve">Les PANA ne sont pas requis pour toutes les activités de dotation interne. Par conséquent, cette mesure se limite aux rapports sur </w:t>
      </w:r>
      <w:proofErr w:type="gramStart"/>
      <w:r w:rsidRPr="004721CE">
        <w:rPr>
          <w:rFonts w:asciiTheme="minorHAnsi" w:hAnsiTheme="minorHAnsi" w:cstheme="minorHAnsi"/>
          <w:sz w:val="22"/>
          <w:szCs w:val="22"/>
        </w:rPr>
        <w:t>les nominations promotionnels</w:t>
      </w:r>
      <w:proofErr w:type="gramEnd"/>
      <w:r w:rsidRPr="004721CE">
        <w:rPr>
          <w:rFonts w:asciiTheme="minorHAnsi" w:hAnsiTheme="minorHAnsi" w:cstheme="minorHAnsi"/>
          <w:sz w:val="22"/>
          <w:szCs w:val="22"/>
        </w:rPr>
        <w:t xml:space="preserve"> internes.</w:t>
      </w:r>
    </w:p>
    <w:p w14:paraId="79372885" w14:textId="77777777" w:rsidR="00E56E7F" w:rsidRPr="004721CE" w:rsidRDefault="00E56E7F" w:rsidP="007C1E3E">
      <w:pPr>
        <w:pStyle w:val="ListParagraph"/>
        <w:numPr>
          <w:ilvl w:val="0"/>
          <w:numId w:val="11"/>
        </w:numPr>
        <w:spacing w:after="0"/>
        <w:ind w:left="357" w:hanging="357"/>
        <w:contextualSpacing w:val="0"/>
        <w:rPr>
          <w:rFonts w:asciiTheme="minorHAnsi" w:eastAsiaTheme="minorHAnsi" w:hAnsiTheme="minorHAnsi" w:cstheme="minorHAnsi"/>
          <w:bCs/>
          <w:sz w:val="22"/>
          <w:szCs w:val="22"/>
        </w:rPr>
      </w:pPr>
      <w:r w:rsidRPr="004721CE">
        <w:rPr>
          <w:rFonts w:asciiTheme="minorHAnsi" w:eastAsiaTheme="minorHAnsi" w:hAnsiTheme="minorHAnsi" w:cstheme="minorHAnsi"/>
          <w:bCs/>
          <w:sz w:val="22"/>
          <w:szCs w:val="22"/>
        </w:rPr>
        <w:t xml:space="preserve">Le temps nécessaire à la dotation - Nominations externes (TND-NE) est le nombre médian de jours civils entre la date d'ouverture d'une annonce externe et la date de la première nomination estimative d'une personne de l'extérieur d'une organisation assujettie à la </w:t>
      </w:r>
      <w:r w:rsidRPr="00110CE3">
        <w:rPr>
          <w:rStyle w:val="Emphasis"/>
          <w:rFonts w:eastAsiaTheme="minorHAnsi"/>
          <w:szCs w:val="22"/>
        </w:rPr>
        <w:t>Loi sur l'emploi dans la fonction publique</w:t>
      </w:r>
      <w:r w:rsidRPr="004721CE">
        <w:rPr>
          <w:rFonts w:asciiTheme="minorHAnsi" w:eastAsiaTheme="minorHAnsi" w:hAnsiTheme="minorHAnsi" w:cstheme="minorHAnsi"/>
          <w:bCs/>
          <w:i/>
          <w:sz w:val="22"/>
          <w:szCs w:val="22"/>
        </w:rPr>
        <w:t xml:space="preserve"> </w:t>
      </w:r>
      <w:r w:rsidRPr="004721CE">
        <w:rPr>
          <w:rFonts w:asciiTheme="minorHAnsi" w:eastAsiaTheme="minorHAnsi" w:hAnsiTheme="minorHAnsi" w:cstheme="minorHAnsi"/>
          <w:bCs/>
          <w:sz w:val="22"/>
          <w:szCs w:val="22"/>
        </w:rPr>
        <w:t>pour les postes de durée déterminée et ceux pour une période indéterminée. Parce que le lien des données entre les systèmes utilise un jumelage probabiliste, des erreurs de mesure sont donc possibles.</w:t>
      </w:r>
    </w:p>
    <w:p w14:paraId="541A802F" w14:textId="77777777" w:rsidR="00E56E7F" w:rsidRPr="004721CE" w:rsidRDefault="00E56E7F" w:rsidP="007C1E3E">
      <w:pPr>
        <w:pStyle w:val="ListParagraph"/>
        <w:numPr>
          <w:ilvl w:val="0"/>
          <w:numId w:val="11"/>
        </w:numPr>
        <w:spacing w:after="0"/>
        <w:ind w:left="357" w:hanging="357"/>
        <w:contextualSpacing w:val="0"/>
        <w:rPr>
          <w:rFonts w:asciiTheme="minorHAnsi" w:eastAsiaTheme="minorHAnsi" w:hAnsiTheme="minorHAnsi" w:cstheme="minorHAnsi"/>
          <w:bCs/>
          <w:sz w:val="22"/>
          <w:szCs w:val="22"/>
        </w:rPr>
      </w:pPr>
      <w:r w:rsidRPr="004721CE">
        <w:rPr>
          <w:rFonts w:asciiTheme="minorHAnsi" w:eastAsiaTheme="minorHAnsi" w:hAnsiTheme="minorHAnsi" w:cstheme="minorHAnsi"/>
          <w:bCs/>
          <w:sz w:val="22"/>
          <w:szCs w:val="22"/>
        </w:rPr>
        <w:t>Seules les nominations d'une durée déterminée et les nominations pour une période indéterminée sont incluses (les mutations, les nominations d’employés occasionnels et les nominations intérimaires sont exclues).</w:t>
      </w:r>
    </w:p>
    <w:p w14:paraId="17B46D4F" w14:textId="77777777" w:rsidR="00E56E7F" w:rsidRPr="004721CE" w:rsidRDefault="00E56E7F" w:rsidP="007C1E3E">
      <w:pPr>
        <w:pStyle w:val="ListParagraph"/>
        <w:numPr>
          <w:ilvl w:val="0"/>
          <w:numId w:val="16"/>
        </w:numPr>
        <w:spacing w:after="0"/>
        <w:ind w:left="357" w:hanging="357"/>
        <w:contextualSpacing w:val="0"/>
        <w:rPr>
          <w:rFonts w:asciiTheme="minorHAnsi" w:hAnsiTheme="minorHAnsi" w:cstheme="minorHAnsi"/>
          <w:sz w:val="22"/>
          <w:szCs w:val="22"/>
        </w:rPr>
      </w:pPr>
      <w:r w:rsidRPr="004721CE">
        <w:rPr>
          <w:rFonts w:asciiTheme="minorHAnsi" w:hAnsiTheme="minorHAnsi" w:cstheme="minorHAnsi"/>
          <w:sz w:val="22"/>
          <w:szCs w:val="22"/>
        </w:rPr>
        <w:t xml:space="preserve">Le temps nécessaire à la dotation – Nominations internes (TND-NI) est le nombre médian de jours civils entre la date d’ouverture d’une annonce interne et la date du premier avis de nomination ou de proposition de nomination (PANA) du Système de ressourcement de la fonction publique pour les postes internes de durée déterminée et indéterminée. Les PANA ne sont pas requis pour toutes les activités de dotation interne. Par conséquent, cette mesure se limite aux rapports sur </w:t>
      </w:r>
      <w:proofErr w:type="gramStart"/>
      <w:r w:rsidRPr="004721CE">
        <w:rPr>
          <w:rFonts w:asciiTheme="minorHAnsi" w:hAnsiTheme="minorHAnsi" w:cstheme="minorHAnsi"/>
          <w:sz w:val="22"/>
          <w:szCs w:val="22"/>
        </w:rPr>
        <w:t>les nominations promotionnels</w:t>
      </w:r>
      <w:proofErr w:type="gramEnd"/>
      <w:r w:rsidRPr="004721CE">
        <w:rPr>
          <w:rFonts w:asciiTheme="minorHAnsi" w:hAnsiTheme="minorHAnsi" w:cstheme="minorHAnsi"/>
          <w:sz w:val="22"/>
          <w:szCs w:val="22"/>
        </w:rPr>
        <w:t xml:space="preserve"> internes</w:t>
      </w:r>
    </w:p>
    <w:p w14:paraId="7FD22831" w14:textId="77777777" w:rsidR="00E56E7F" w:rsidRPr="004721CE" w:rsidRDefault="00E56E7F" w:rsidP="007C1E3E">
      <w:pPr>
        <w:pStyle w:val="ListParagraph"/>
        <w:numPr>
          <w:ilvl w:val="0"/>
          <w:numId w:val="16"/>
        </w:numPr>
        <w:spacing w:after="0"/>
        <w:ind w:left="357" w:hanging="357"/>
        <w:contextualSpacing w:val="0"/>
        <w:rPr>
          <w:rFonts w:asciiTheme="minorHAnsi" w:hAnsiTheme="minorHAnsi" w:cstheme="minorHAnsi"/>
          <w:sz w:val="22"/>
          <w:szCs w:val="22"/>
        </w:rPr>
      </w:pPr>
      <w:r w:rsidRPr="004721CE">
        <w:rPr>
          <w:rFonts w:asciiTheme="minorHAnsi" w:hAnsiTheme="minorHAnsi" w:cstheme="minorHAnsi"/>
          <w:sz w:val="22"/>
          <w:szCs w:val="22"/>
        </w:rPr>
        <w:t>Seules les nominations à des postes de durée déterminée et les nominations à des postes pour une période indéterminée sont incluses (les mutations, les nominations occasionnelles et les nominations intérimaires sont exclues)</w:t>
      </w:r>
    </w:p>
    <w:p w14:paraId="3C5CDE5B" w14:textId="77777777" w:rsidR="00E56E7F" w:rsidRPr="004721CE" w:rsidRDefault="00E56E7F" w:rsidP="007C1E3E">
      <w:pPr>
        <w:pStyle w:val="ListParagraph"/>
        <w:numPr>
          <w:ilvl w:val="0"/>
          <w:numId w:val="16"/>
        </w:numPr>
        <w:spacing w:after="0"/>
        <w:ind w:left="357" w:hanging="357"/>
        <w:contextualSpacing w:val="0"/>
        <w:rPr>
          <w:rFonts w:asciiTheme="minorHAnsi" w:hAnsiTheme="minorHAnsi" w:cstheme="minorHAnsi"/>
          <w:sz w:val="22"/>
          <w:szCs w:val="22"/>
        </w:rPr>
      </w:pPr>
      <w:r w:rsidRPr="004721CE">
        <w:rPr>
          <w:rFonts w:asciiTheme="minorHAnsi" w:hAnsiTheme="minorHAnsi" w:cstheme="minorHAnsi"/>
          <w:sz w:val="22"/>
          <w:szCs w:val="22"/>
        </w:rPr>
        <w:t xml:space="preserve">Le temps nécessaire à la dotation - Nominations externes (TND-NE) est le nombre médian de jours civils entre la date d'ouverture d'une annonce externe et la date de la première nomination estimative d'une personne de l'extérieur d'une organisation assujettie à la </w:t>
      </w:r>
      <w:r w:rsidRPr="004721CE">
        <w:rPr>
          <w:rStyle w:val="Emphasis"/>
        </w:rPr>
        <w:t>Loi sur l'emploi dans la fonction publique</w:t>
      </w:r>
      <w:r w:rsidRPr="004721CE">
        <w:rPr>
          <w:rFonts w:asciiTheme="minorHAnsi" w:hAnsiTheme="minorHAnsi" w:cstheme="minorHAnsi"/>
          <w:sz w:val="22"/>
          <w:szCs w:val="22"/>
        </w:rPr>
        <w:t xml:space="preserve"> pour les postes de durée déterminée et pour les postes pour une période indéterminée. Seules les nominations d’une durée déterminée et les nominations pour une période indéterminée sont incluses (les mutations, les nominations occasionnelles et les nominations intérimaires sont exclues)</w:t>
      </w:r>
    </w:p>
    <w:p w14:paraId="51CB1AF4" w14:textId="77777777" w:rsidR="00E56E7F" w:rsidRPr="004721CE" w:rsidRDefault="00E56E7F" w:rsidP="00E56E7F">
      <w:pPr>
        <w:pStyle w:val="ListParagraph"/>
        <w:numPr>
          <w:ilvl w:val="0"/>
          <w:numId w:val="16"/>
        </w:numPr>
        <w:spacing w:after="0"/>
        <w:ind w:left="360"/>
        <w:rPr>
          <w:rFonts w:asciiTheme="minorHAnsi" w:hAnsiTheme="minorHAnsi" w:cstheme="minorHAnsi"/>
          <w:sz w:val="22"/>
          <w:szCs w:val="22"/>
        </w:rPr>
      </w:pPr>
      <w:r w:rsidRPr="004721CE">
        <w:rPr>
          <w:rFonts w:asciiTheme="minorHAnsi" w:hAnsiTheme="minorHAnsi" w:cstheme="minorHAnsi"/>
          <w:sz w:val="22"/>
          <w:szCs w:val="22"/>
        </w:rPr>
        <w:t>Parce que le lien des données entre les systèmes utilise un jumelage probabiliste, des erreurs de mesure sont donc possibles</w:t>
      </w:r>
    </w:p>
    <w:sectPr w:rsidR="00E56E7F" w:rsidRPr="004721CE" w:rsidSect="00D90B74">
      <w:headerReference w:type="first" r:id="rId35"/>
      <w:pgSz w:w="12240" w:h="15840"/>
      <w:pgMar w:top="680" w:right="680" w:bottom="680" w:left="680" w:header="708"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A934EE" w14:textId="77777777" w:rsidR="002A0E9B" w:rsidRDefault="002A0E9B" w:rsidP="0051557E">
      <w:r>
        <w:separator/>
      </w:r>
    </w:p>
  </w:endnote>
  <w:endnote w:type="continuationSeparator" w:id="0">
    <w:p w14:paraId="13C46A2C" w14:textId="77777777" w:rsidR="002A0E9B" w:rsidRDefault="002A0E9B" w:rsidP="005155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emilight">
    <w:panose1 w:val="020B0402040204020203"/>
    <w:charset w:val="00"/>
    <w:family w:val="swiss"/>
    <w:pitch w:val="variable"/>
    <w:sig w:usb0="E4002EFF" w:usb1="C000E47F"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DBD040" w14:textId="77777777" w:rsidR="00333BC5" w:rsidRDefault="00333B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42829130"/>
      <w:docPartObj>
        <w:docPartGallery w:val="Page Numbers (Bottom of Page)"/>
        <w:docPartUnique/>
      </w:docPartObj>
    </w:sdtPr>
    <w:sdtEndPr/>
    <w:sdtContent>
      <w:p w14:paraId="7A216F3C" w14:textId="1B80CCD9" w:rsidR="00333BC5" w:rsidRDefault="00333BC5">
        <w:pPr>
          <w:pStyle w:val="Footer"/>
        </w:pPr>
        <w:r>
          <w:fldChar w:fldCharType="begin"/>
        </w:r>
        <w:r>
          <w:instrText>PAGE   \* MERGEFORMAT</w:instrText>
        </w:r>
        <w:r>
          <w:fldChar w:fldCharType="separate"/>
        </w:r>
        <w:r w:rsidR="0079072B" w:rsidRPr="0079072B">
          <w:rPr>
            <w:noProof/>
            <w:lang w:val="fr-FR"/>
          </w:rPr>
          <w:t>17</w:t>
        </w:r>
        <w:r>
          <w:fldChar w:fldCharType="end"/>
        </w:r>
      </w:p>
    </w:sdtContent>
  </w:sdt>
  <w:p w14:paraId="5126A773" w14:textId="77777777" w:rsidR="00333BC5" w:rsidRDefault="00333BC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F37021" w14:textId="77777777" w:rsidR="00333BC5" w:rsidRDefault="00333BC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C2B4EE" w14:textId="77777777" w:rsidR="00333BC5" w:rsidRPr="00ED49DF" w:rsidRDefault="00333BC5" w:rsidP="003B6D15">
    <w:pPr>
      <w:pStyle w:val="Footer"/>
      <w:jc w:val="center"/>
      <w:rPr>
        <w:sz w:val="20"/>
      </w:rPr>
    </w:pPr>
    <w:r w:rsidRPr="0079292E">
      <w:rPr>
        <w:sz w:val="20"/>
      </w:rPr>
      <w:t xml:space="preserve">Produit par la Direction des services de données et de l’analyse de la Commission de la fonction publique du Canada – Mise à jour le </w:t>
    </w:r>
    <w:r>
      <w:rPr>
        <w:sz w:val="20"/>
      </w:rPr>
      <w:t>21 août</w:t>
    </w:r>
    <w:r w:rsidRPr="0079292E">
      <w:rPr>
        <w:sz w:val="20"/>
      </w:rPr>
      <w:t xml:space="preserve"> 2019</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385809"/>
      <w:docPartObj>
        <w:docPartGallery w:val="Page Numbers (Bottom of Page)"/>
        <w:docPartUnique/>
      </w:docPartObj>
    </w:sdtPr>
    <w:sdtEndPr/>
    <w:sdtContent>
      <w:p w14:paraId="26D5790A" w14:textId="6B99B660" w:rsidR="00333BC5" w:rsidRDefault="00333BC5">
        <w:pPr>
          <w:pStyle w:val="Footer"/>
        </w:pPr>
        <w:r>
          <w:fldChar w:fldCharType="begin"/>
        </w:r>
        <w:r>
          <w:instrText>PAGE   \* MERGEFORMAT</w:instrText>
        </w:r>
        <w:r>
          <w:fldChar w:fldCharType="separate"/>
        </w:r>
        <w:r w:rsidR="0079072B" w:rsidRPr="0079072B">
          <w:rPr>
            <w:noProof/>
            <w:lang w:val="fr-FR"/>
          </w:rPr>
          <w:t>21</w:t>
        </w:r>
        <w:r>
          <w:fldChar w:fldCharType="end"/>
        </w:r>
      </w:p>
    </w:sdtContent>
  </w:sdt>
  <w:p w14:paraId="463D09AB" w14:textId="51A14E03" w:rsidR="00333BC5" w:rsidRPr="00F030FF" w:rsidRDefault="00333BC5">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A971C7" w14:textId="77777777" w:rsidR="00333BC5" w:rsidRPr="008A6060" w:rsidRDefault="00333BC5" w:rsidP="00735287">
    <w:pPr>
      <w:pStyle w:val="Footer"/>
    </w:pPr>
    <w:r w:rsidRPr="00F963C1">
      <w:rPr>
        <w:rFonts w:ascii="Calibri" w:eastAsia="Calibri" w:hAnsi="Calibri" w:cs="Arial"/>
        <w:sz w:val="16"/>
      </w:rPr>
      <w:fldChar w:fldCharType="begin"/>
    </w:r>
    <w:r w:rsidRPr="00F963C1">
      <w:rPr>
        <w:rFonts w:ascii="Calibri" w:eastAsia="Calibri" w:hAnsi="Calibri" w:cs="Arial"/>
        <w:sz w:val="16"/>
        <w:lang w:val="en-CA"/>
      </w:rPr>
      <w:instrText xml:space="preserve"> PAGE   \* MERGEFORMAT </w:instrText>
    </w:r>
    <w:r w:rsidRPr="00F963C1">
      <w:rPr>
        <w:rFonts w:ascii="Calibri" w:eastAsia="Calibri" w:hAnsi="Calibri" w:cs="Arial"/>
        <w:sz w:val="16"/>
      </w:rPr>
      <w:fldChar w:fldCharType="separate"/>
    </w:r>
    <w:r w:rsidRPr="00DE5258">
      <w:rPr>
        <w:rFonts w:ascii="Calibri" w:eastAsia="Calibri" w:hAnsi="Calibri" w:cs="Arial"/>
        <w:b/>
        <w:bCs/>
        <w:noProof/>
        <w:sz w:val="16"/>
        <w:lang w:val="en-CA"/>
      </w:rPr>
      <w:t>17</w:t>
    </w:r>
    <w:r w:rsidRPr="00F963C1">
      <w:rPr>
        <w:rFonts w:ascii="Calibri" w:eastAsia="Calibri" w:hAnsi="Calibri" w:cs="Arial"/>
        <w:b/>
        <w:bCs/>
        <w:noProof/>
        <w:sz w:val="16"/>
      </w:rPr>
      <w:fldChar w:fldCharType="end"/>
    </w:r>
    <w:r w:rsidRPr="006B2FDC">
      <w:rPr>
        <w:rFonts w:ascii="Calibri" w:eastAsia="Calibri" w:hAnsi="Calibri" w:cs="Arial"/>
        <w:b/>
        <w:bCs/>
        <w:sz w:val="16"/>
        <w:lang w:val="en-CA"/>
      </w:rPr>
      <w:t>|</w:t>
    </w:r>
    <w:r w:rsidRPr="00F963C1">
      <w:rPr>
        <w:rFonts w:ascii="Calibri" w:eastAsia="Calibri" w:hAnsi="Calibri" w:cs="Arial"/>
        <w:sz w:val="16"/>
        <w:lang w:val="en-CA"/>
      </w:rPr>
      <w:t xml:space="preserve"> </w:t>
    </w:r>
    <w:r>
      <w:rPr>
        <w:rFonts w:ascii="Calibri" w:eastAsia="Calibri" w:hAnsi="Calibri" w:cs="Arial"/>
        <w:sz w:val="16"/>
        <w:lang w:val="en-CA"/>
      </w:rPr>
      <w:tab/>
    </w:r>
    <w:r>
      <w:rPr>
        <w:rFonts w:ascii="Calibri" w:eastAsia="Calibri" w:hAnsi="Calibri" w:cs="Arial"/>
        <w:sz w:val="16"/>
        <w:lang w:val="en-CA"/>
      </w:rPr>
      <w:tab/>
    </w:r>
    <w:r w:rsidRPr="006B2FDC">
      <w:rPr>
        <w:rFonts w:ascii="Calibri" w:eastAsia="Calibri" w:hAnsi="Calibri" w:cs="Arial"/>
        <w:sz w:val="16"/>
        <w:lang w:val="en-CA"/>
      </w:rPr>
      <w:t xml:space="preserve">GCDOCS </w:t>
    </w:r>
    <w:r>
      <w:rPr>
        <w:rFonts w:ascii="Calibri" w:eastAsia="Calibri" w:hAnsi="Calibri" w:cs="Arial"/>
        <w:sz w:val="16"/>
        <w:lang w:val="en-CA"/>
      </w:rPr>
      <w:t>10598702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375400" w14:textId="77777777" w:rsidR="002A0E9B" w:rsidRDefault="002A0E9B" w:rsidP="0051557E">
      <w:r>
        <w:separator/>
      </w:r>
    </w:p>
  </w:footnote>
  <w:footnote w:type="continuationSeparator" w:id="0">
    <w:p w14:paraId="0BBED932" w14:textId="77777777" w:rsidR="002A0E9B" w:rsidRDefault="002A0E9B" w:rsidP="005155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BD2D8" w14:textId="77777777" w:rsidR="00333BC5" w:rsidRDefault="00333BC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75AEA4" w14:textId="77777777" w:rsidR="00333BC5" w:rsidRDefault="00333BC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A526B8" w14:textId="77777777" w:rsidR="00333BC5" w:rsidRDefault="00333BC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74CDB" w14:textId="77777777" w:rsidR="00333BC5" w:rsidRPr="00650BCD" w:rsidRDefault="00333BC5" w:rsidP="00650BC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A86EF4" w14:textId="77777777" w:rsidR="00333BC5" w:rsidRPr="002F4810" w:rsidRDefault="00333BC5" w:rsidP="002F4810">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36C395" w14:textId="77777777" w:rsidR="00333BC5" w:rsidRDefault="00333BC5" w:rsidP="0051557E">
    <w:pPr>
      <w:pStyle w:val="Header"/>
      <w:ind w:left="709"/>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F58EFC" w14:textId="77777777" w:rsidR="00333BC5" w:rsidRPr="002F4810" w:rsidRDefault="00333BC5" w:rsidP="002F48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63C21"/>
    <w:multiLevelType w:val="hybridMultilevel"/>
    <w:tmpl w:val="0256ED0E"/>
    <w:lvl w:ilvl="0" w:tplc="CE5C5B68">
      <w:start w:val="1"/>
      <w:numFmt w:val="bullet"/>
      <w:lvlText w:val="•"/>
      <w:lvlJc w:val="left"/>
      <w:pPr>
        <w:ind w:left="1004" w:hanging="360"/>
      </w:pPr>
      <w:rPr>
        <w:rFonts w:ascii="Arial" w:hAnsi="Arial" w:hint="default"/>
      </w:rPr>
    </w:lvl>
    <w:lvl w:ilvl="1" w:tplc="10090003" w:tentative="1">
      <w:start w:val="1"/>
      <w:numFmt w:val="bullet"/>
      <w:lvlText w:val="o"/>
      <w:lvlJc w:val="left"/>
      <w:pPr>
        <w:ind w:left="1724" w:hanging="360"/>
      </w:pPr>
      <w:rPr>
        <w:rFonts w:ascii="Courier New" w:hAnsi="Courier New" w:cs="Courier New" w:hint="default"/>
      </w:rPr>
    </w:lvl>
    <w:lvl w:ilvl="2" w:tplc="10090005" w:tentative="1">
      <w:start w:val="1"/>
      <w:numFmt w:val="bullet"/>
      <w:lvlText w:val=""/>
      <w:lvlJc w:val="left"/>
      <w:pPr>
        <w:ind w:left="2444" w:hanging="360"/>
      </w:pPr>
      <w:rPr>
        <w:rFonts w:ascii="Wingdings" w:hAnsi="Wingdings" w:hint="default"/>
      </w:rPr>
    </w:lvl>
    <w:lvl w:ilvl="3" w:tplc="10090001" w:tentative="1">
      <w:start w:val="1"/>
      <w:numFmt w:val="bullet"/>
      <w:lvlText w:val=""/>
      <w:lvlJc w:val="left"/>
      <w:pPr>
        <w:ind w:left="3164" w:hanging="360"/>
      </w:pPr>
      <w:rPr>
        <w:rFonts w:ascii="Symbol" w:hAnsi="Symbol" w:hint="default"/>
      </w:rPr>
    </w:lvl>
    <w:lvl w:ilvl="4" w:tplc="10090003" w:tentative="1">
      <w:start w:val="1"/>
      <w:numFmt w:val="bullet"/>
      <w:lvlText w:val="o"/>
      <w:lvlJc w:val="left"/>
      <w:pPr>
        <w:ind w:left="3884" w:hanging="360"/>
      </w:pPr>
      <w:rPr>
        <w:rFonts w:ascii="Courier New" w:hAnsi="Courier New" w:cs="Courier New" w:hint="default"/>
      </w:rPr>
    </w:lvl>
    <w:lvl w:ilvl="5" w:tplc="10090005" w:tentative="1">
      <w:start w:val="1"/>
      <w:numFmt w:val="bullet"/>
      <w:lvlText w:val=""/>
      <w:lvlJc w:val="left"/>
      <w:pPr>
        <w:ind w:left="4604" w:hanging="360"/>
      </w:pPr>
      <w:rPr>
        <w:rFonts w:ascii="Wingdings" w:hAnsi="Wingdings" w:hint="default"/>
      </w:rPr>
    </w:lvl>
    <w:lvl w:ilvl="6" w:tplc="10090001" w:tentative="1">
      <w:start w:val="1"/>
      <w:numFmt w:val="bullet"/>
      <w:lvlText w:val=""/>
      <w:lvlJc w:val="left"/>
      <w:pPr>
        <w:ind w:left="5324" w:hanging="360"/>
      </w:pPr>
      <w:rPr>
        <w:rFonts w:ascii="Symbol" w:hAnsi="Symbol" w:hint="default"/>
      </w:rPr>
    </w:lvl>
    <w:lvl w:ilvl="7" w:tplc="10090003" w:tentative="1">
      <w:start w:val="1"/>
      <w:numFmt w:val="bullet"/>
      <w:lvlText w:val="o"/>
      <w:lvlJc w:val="left"/>
      <w:pPr>
        <w:ind w:left="6044" w:hanging="360"/>
      </w:pPr>
      <w:rPr>
        <w:rFonts w:ascii="Courier New" w:hAnsi="Courier New" w:cs="Courier New" w:hint="default"/>
      </w:rPr>
    </w:lvl>
    <w:lvl w:ilvl="8" w:tplc="10090005" w:tentative="1">
      <w:start w:val="1"/>
      <w:numFmt w:val="bullet"/>
      <w:lvlText w:val=""/>
      <w:lvlJc w:val="left"/>
      <w:pPr>
        <w:ind w:left="6764" w:hanging="360"/>
      </w:pPr>
      <w:rPr>
        <w:rFonts w:ascii="Wingdings" w:hAnsi="Wingdings" w:hint="default"/>
      </w:rPr>
    </w:lvl>
  </w:abstractNum>
  <w:abstractNum w:abstractNumId="1" w15:restartNumberingAfterBreak="0">
    <w:nsid w:val="14745A0D"/>
    <w:multiLevelType w:val="hybridMultilevel"/>
    <w:tmpl w:val="CFE4E61A"/>
    <w:lvl w:ilvl="0" w:tplc="4D7CDC26">
      <w:start w:val="1"/>
      <w:numFmt w:val="bullet"/>
      <w:lvlText w:val=""/>
      <w:lvlJc w:val="left"/>
      <w:pPr>
        <w:ind w:left="720" w:hanging="360"/>
      </w:pPr>
      <w:rPr>
        <w:rFonts w:ascii="Symbol" w:hAnsi="Symbol" w:hint="default"/>
        <w:color w:val="auto"/>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19EF11D7"/>
    <w:multiLevelType w:val="hybridMultilevel"/>
    <w:tmpl w:val="2A66FE0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1BE710FF"/>
    <w:multiLevelType w:val="hybridMultilevel"/>
    <w:tmpl w:val="6F5211AC"/>
    <w:lvl w:ilvl="0" w:tplc="309E786C">
      <w:start w:val="1"/>
      <w:numFmt w:val="decimal"/>
      <w:lvlText w:val="%1."/>
      <w:lvlJc w:val="left"/>
      <w:pPr>
        <w:ind w:left="720" w:hanging="360"/>
      </w:pPr>
      <w:rPr>
        <w:rFont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1C2C6BF6"/>
    <w:multiLevelType w:val="hybridMultilevel"/>
    <w:tmpl w:val="56FA14D2"/>
    <w:lvl w:ilvl="0" w:tplc="3FAE77F8">
      <w:numFmt w:val="bullet"/>
      <w:lvlText w:val="•"/>
      <w:lvlJc w:val="left"/>
      <w:pPr>
        <w:ind w:left="720" w:hanging="360"/>
      </w:pPr>
      <w:rPr>
        <w:rFonts w:ascii="Segoe UI Semilight" w:eastAsiaTheme="minorHAnsi" w:hAnsi="Segoe UI Semilight" w:cs="Segoe UI Semilight"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247858AE"/>
    <w:multiLevelType w:val="multilevel"/>
    <w:tmpl w:val="0A76A30C"/>
    <w:lvl w:ilvl="0">
      <w:start w:val="1"/>
      <w:numFmt w:val="bullet"/>
      <w:lvlText w:val=""/>
      <w:lvlJc w:val="left"/>
      <w:pPr>
        <w:tabs>
          <w:tab w:val="num" w:pos="720"/>
        </w:tabs>
        <w:ind w:left="720" w:hanging="360"/>
      </w:pPr>
      <w:rPr>
        <w:rFonts w:ascii="Symbol" w:hAnsi="Symbol" w:hint="default"/>
        <w:sz w:val="20"/>
      </w:rPr>
    </w:lvl>
    <w:lvl w:ilvl="1">
      <w:start w:val="19"/>
      <w:numFmt w:val="bullet"/>
      <w:lvlText w:val="-"/>
      <w:lvlJc w:val="left"/>
      <w:pPr>
        <w:ind w:left="1440" w:hanging="360"/>
      </w:pPr>
      <w:rPr>
        <w:rFonts w:ascii="Arial" w:eastAsiaTheme="minorHAnsi" w:hAnsi="Arial" w:cs="Aria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47966E7"/>
    <w:multiLevelType w:val="hybridMultilevel"/>
    <w:tmpl w:val="F76C962E"/>
    <w:lvl w:ilvl="0" w:tplc="CE5C5B68">
      <w:start w:val="1"/>
      <w:numFmt w:val="bullet"/>
      <w:lvlText w:val="•"/>
      <w:lvlJc w:val="left"/>
      <w:pPr>
        <w:tabs>
          <w:tab w:val="num" w:pos="720"/>
        </w:tabs>
        <w:ind w:left="720" w:hanging="360"/>
      </w:pPr>
      <w:rPr>
        <w:rFonts w:ascii="Arial" w:hAnsi="Arial" w:hint="default"/>
      </w:rPr>
    </w:lvl>
    <w:lvl w:ilvl="1" w:tplc="F7F66436">
      <w:start w:val="76"/>
      <w:numFmt w:val="bullet"/>
      <w:lvlText w:val="•"/>
      <w:lvlJc w:val="left"/>
      <w:pPr>
        <w:tabs>
          <w:tab w:val="num" w:pos="1440"/>
        </w:tabs>
        <w:ind w:left="1440" w:hanging="360"/>
      </w:pPr>
      <w:rPr>
        <w:rFonts w:ascii="Arial" w:hAnsi="Arial" w:hint="default"/>
      </w:rPr>
    </w:lvl>
    <w:lvl w:ilvl="2" w:tplc="CEF41514" w:tentative="1">
      <w:start w:val="1"/>
      <w:numFmt w:val="bullet"/>
      <w:lvlText w:val="•"/>
      <w:lvlJc w:val="left"/>
      <w:pPr>
        <w:tabs>
          <w:tab w:val="num" w:pos="2160"/>
        </w:tabs>
        <w:ind w:left="2160" w:hanging="360"/>
      </w:pPr>
      <w:rPr>
        <w:rFonts w:ascii="Arial" w:hAnsi="Arial" w:hint="default"/>
      </w:rPr>
    </w:lvl>
    <w:lvl w:ilvl="3" w:tplc="F482A62E" w:tentative="1">
      <w:start w:val="1"/>
      <w:numFmt w:val="bullet"/>
      <w:lvlText w:val="•"/>
      <w:lvlJc w:val="left"/>
      <w:pPr>
        <w:tabs>
          <w:tab w:val="num" w:pos="2880"/>
        </w:tabs>
        <w:ind w:left="2880" w:hanging="360"/>
      </w:pPr>
      <w:rPr>
        <w:rFonts w:ascii="Arial" w:hAnsi="Arial" w:hint="default"/>
      </w:rPr>
    </w:lvl>
    <w:lvl w:ilvl="4" w:tplc="9AFC614C" w:tentative="1">
      <w:start w:val="1"/>
      <w:numFmt w:val="bullet"/>
      <w:lvlText w:val="•"/>
      <w:lvlJc w:val="left"/>
      <w:pPr>
        <w:tabs>
          <w:tab w:val="num" w:pos="3600"/>
        </w:tabs>
        <w:ind w:left="3600" w:hanging="360"/>
      </w:pPr>
      <w:rPr>
        <w:rFonts w:ascii="Arial" w:hAnsi="Arial" w:hint="default"/>
      </w:rPr>
    </w:lvl>
    <w:lvl w:ilvl="5" w:tplc="2CF65ECC" w:tentative="1">
      <w:start w:val="1"/>
      <w:numFmt w:val="bullet"/>
      <w:lvlText w:val="•"/>
      <w:lvlJc w:val="left"/>
      <w:pPr>
        <w:tabs>
          <w:tab w:val="num" w:pos="4320"/>
        </w:tabs>
        <w:ind w:left="4320" w:hanging="360"/>
      </w:pPr>
      <w:rPr>
        <w:rFonts w:ascii="Arial" w:hAnsi="Arial" w:hint="default"/>
      </w:rPr>
    </w:lvl>
    <w:lvl w:ilvl="6" w:tplc="41D4D958" w:tentative="1">
      <w:start w:val="1"/>
      <w:numFmt w:val="bullet"/>
      <w:lvlText w:val="•"/>
      <w:lvlJc w:val="left"/>
      <w:pPr>
        <w:tabs>
          <w:tab w:val="num" w:pos="5040"/>
        </w:tabs>
        <w:ind w:left="5040" w:hanging="360"/>
      </w:pPr>
      <w:rPr>
        <w:rFonts w:ascii="Arial" w:hAnsi="Arial" w:hint="default"/>
      </w:rPr>
    </w:lvl>
    <w:lvl w:ilvl="7" w:tplc="C680DA1A" w:tentative="1">
      <w:start w:val="1"/>
      <w:numFmt w:val="bullet"/>
      <w:lvlText w:val="•"/>
      <w:lvlJc w:val="left"/>
      <w:pPr>
        <w:tabs>
          <w:tab w:val="num" w:pos="5760"/>
        </w:tabs>
        <w:ind w:left="5760" w:hanging="360"/>
      </w:pPr>
      <w:rPr>
        <w:rFonts w:ascii="Arial" w:hAnsi="Arial" w:hint="default"/>
      </w:rPr>
    </w:lvl>
    <w:lvl w:ilvl="8" w:tplc="BED0E666"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27E374A2"/>
    <w:multiLevelType w:val="hybridMultilevel"/>
    <w:tmpl w:val="5CA82E1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298E5A3D"/>
    <w:multiLevelType w:val="hybridMultilevel"/>
    <w:tmpl w:val="70D89B88"/>
    <w:lvl w:ilvl="0" w:tplc="10090001">
      <w:start w:val="1"/>
      <w:numFmt w:val="bullet"/>
      <w:lvlText w:val=""/>
      <w:lvlJc w:val="left"/>
      <w:pPr>
        <w:ind w:left="360" w:hanging="360"/>
      </w:pPr>
      <w:rPr>
        <w:rFonts w:ascii="Symbol" w:hAnsi="Symbol" w:hint="default"/>
      </w:rPr>
    </w:lvl>
    <w:lvl w:ilvl="1" w:tplc="363019FC">
      <w:numFmt w:val="bullet"/>
      <w:lvlText w:val="-"/>
      <w:lvlJc w:val="left"/>
      <w:pPr>
        <w:ind w:left="1080" w:hanging="360"/>
      </w:pPr>
      <w:rPr>
        <w:rFonts w:ascii="Arial" w:eastAsia="Times New Roman" w:hAnsi="Arial" w:cs="Arial"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9" w15:restartNumberingAfterBreak="0">
    <w:nsid w:val="2BC84B0D"/>
    <w:multiLevelType w:val="hybridMultilevel"/>
    <w:tmpl w:val="EEFE1F2C"/>
    <w:lvl w:ilvl="0" w:tplc="4D7CDC26">
      <w:start w:val="1"/>
      <w:numFmt w:val="bullet"/>
      <w:lvlText w:val=""/>
      <w:lvlJc w:val="left"/>
      <w:pPr>
        <w:ind w:left="1083" w:hanging="360"/>
      </w:pPr>
      <w:rPr>
        <w:rFonts w:ascii="Symbol" w:hAnsi="Symbol" w:hint="default"/>
        <w:color w:val="auto"/>
      </w:rPr>
    </w:lvl>
    <w:lvl w:ilvl="1" w:tplc="10090003" w:tentative="1">
      <w:start w:val="1"/>
      <w:numFmt w:val="bullet"/>
      <w:lvlText w:val="o"/>
      <w:lvlJc w:val="left"/>
      <w:pPr>
        <w:ind w:left="1803" w:hanging="360"/>
      </w:pPr>
      <w:rPr>
        <w:rFonts w:ascii="Courier New" w:hAnsi="Courier New" w:cs="Courier New" w:hint="default"/>
      </w:rPr>
    </w:lvl>
    <w:lvl w:ilvl="2" w:tplc="10090005" w:tentative="1">
      <w:start w:val="1"/>
      <w:numFmt w:val="bullet"/>
      <w:lvlText w:val=""/>
      <w:lvlJc w:val="left"/>
      <w:pPr>
        <w:ind w:left="2523" w:hanging="360"/>
      </w:pPr>
      <w:rPr>
        <w:rFonts w:ascii="Wingdings" w:hAnsi="Wingdings" w:hint="default"/>
      </w:rPr>
    </w:lvl>
    <w:lvl w:ilvl="3" w:tplc="10090001" w:tentative="1">
      <w:start w:val="1"/>
      <w:numFmt w:val="bullet"/>
      <w:lvlText w:val=""/>
      <w:lvlJc w:val="left"/>
      <w:pPr>
        <w:ind w:left="3243" w:hanging="360"/>
      </w:pPr>
      <w:rPr>
        <w:rFonts w:ascii="Symbol" w:hAnsi="Symbol" w:hint="default"/>
      </w:rPr>
    </w:lvl>
    <w:lvl w:ilvl="4" w:tplc="10090003" w:tentative="1">
      <w:start w:val="1"/>
      <w:numFmt w:val="bullet"/>
      <w:lvlText w:val="o"/>
      <w:lvlJc w:val="left"/>
      <w:pPr>
        <w:ind w:left="3963" w:hanging="360"/>
      </w:pPr>
      <w:rPr>
        <w:rFonts w:ascii="Courier New" w:hAnsi="Courier New" w:cs="Courier New" w:hint="default"/>
      </w:rPr>
    </w:lvl>
    <w:lvl w:ilvl="5" w:tplc="10090005" w:tentative="1">
      <w:start w:val="1"/>
      <w:numFmt w:val="bullet"/>
      <w:lvlText w:val=""/>
      <w:lvlJc w:val="left"/>
      <w:pPr>
        <w:ind w:left="4683" w:hanging="360"/>
      </w:pPr>
      <w:rPr>
        <w:rFonts w:ascii="Wingdings" w:hAnsi="Wingdings" w:hint="default"/>
      </w:rPr>
    </w:lvl>
    <w:lvl w:ilvl="6" w:tplc="10090001" w:tentative="1">
      <w:start w:val="1"/>
      <w:numFmt w:val="bullet"/>
      <w:lvlText w:val=""/>
      <w:lvlJc w:val="left"/>
      <w:pPr>
        <w:ind w:left="5403" w:hanging="360"/>
      </w:pPr>
      <w:rPr>
        <w:rFonts w:ascii="Symbol" w:hAnsi="Symbol" w:hint="default"/>
      </w:rPr>
    </w:lvl>
    <w:lvl w:ilvl="7" w:tplc="10090003" w:tentative="1">
      <w:start w:val="1"/>
      <w:numFmt w:val="bullet"/>
      <w:lvlText w:val="o"/>
      <w:lvlJc w:val="left"/>
      <w:pPr>
        <w:ind w:left="6123" w:hanging="360"/>
      </w:pPr>
      <w:rPr>
        <w:rFonts w:ascii="Courier New" w:hAnsi="Courier New" w:cs="Courier New" w:hint="default"/>
      </w:rPr>
    </w:lvl>
    <w:lvl w:ilvl="8" w:tplc="10090005" w:tentative="1">
      <w:start w:val="1"/>
      <w:numFmt w:val="bullet"/>
      <w:lvlText w:val=""/>
      <w:lvlJc w:val="left"/>
      <w:pPr>
        <w:ind w:left="6843" w:hanging="360"/>
      </w:pPr>
      <w:rPr>
        <w:rFonts w:ascii="Wingdings" w:hAnsi="Wingdings" w:hint="default"/>
      </w:rPr>
    </w:lvl>
  </w:abstractNum>
  <w:abstractNum w:abstractNumId="10" w15:restartNumberingAfterBreak="0">
    <w:nsid w:val="2E040480"/>
    <w:multiLevelType w:val="hybridMultilevel"/>
    <w:tmpl w:val="878682A0"/>
    <w:lvl w:ilvl="0" w:tplc="4D7CDC26">
      <w:start w:val="1"/>
      <w:numFmt w:val="bullet"/>
      <w:lvlText w:val=""/>
      <w:lvlJc w:val="left"/>
      <w:pPr>
        <w:ind w:left="720"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305B4CB3"/>
    <w:multiLevelType w:val="hybridMultilevel"/>
    <w:tmpl w:val="4B3837C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307A6417"/>
    <w:multiLevelType w:val="hybridMultilevel"/>
    <w:tmpl w:val="39FABF78"/>
    <w:lvl w:ilvl="0" w:tplc="2AA66DAA">
      <w:numFmt w:val="bullet"/>
      <w:lvlText w:val="-"/>
      <w:lvlJc w:val="left"/>
      <w:pPr>
        <w:ind w:left="1080" w:hanging="360"/>
      </w:pPr>
      <w:rPr>
        <w:rFonts w:ascii="Arial" w:eastAsiaTheme="minorHAnsi" w:hAnsi="Arial" w:cs="Arial" w:hint="default"/>
        <w:color w:val="auto"/>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3" w15:restartNumberingAfterBreak="0">
    <w:nsid w:val="3112405F"/>
    <w:multiLevelType w:val="hybridMultilevel"/>
    <w:tmpl w:val="68A28780"/>
    <w:lvl w:ilvl="0" w:tplc="7C82211A">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36ED6957"/>
    <w:multiLevelType w:val="hybridMultilevel"/>
    <w:tmpl w:val="EDBCE650"/>
    <w:lvl w:ilvl="0" w:tplc="4D7CDC26">
      <w:start w:val="1"/>
      <w:numFmt w:val="bullet"/>
      <w:lvlText w:val=""/>
      <w:lvlJc w:val="left"/>
      <w:pPr>
        <w:ind w:left="720" w:hanging="360"/>
      </w:pPr>
      <w:rPr>
        <w:rFonts w:ascii="Symbol" w:hAnsi="Symbol" w:hint="default"/>
        <w:color w:val="auto"/>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3DBD2DBF"/>
    <w:multiLevelType w:val="hybridMultilevel"/>
    <w:tmpl w:val="657CDCC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3E44718C"/>
    <w:multiLevelType w:val="hybridMultilevel"/>
    <w:tmpl w:val="DF1E189A"/>
    <w:lvl w:ilvl="0" w:tplc="E084BEB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03E5263"/>
    <w:multiLevelType w:val="hybridMultilevel"/>
    <w:tmpl w:val="D01C428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47DC19D5"/>
    <w:multiLevelType w:val="hybridMultilevel"/>
    <w:tmpl w:val="F3D258B6"/>
    <w:lvl w:ilvl="0" w:tplc="10090005">
      <w:start w:val="1"/>
      <w:numFmt w:val="bullet"/>
      <w:lvlText w:val=""/>
      <w:lvlJc w:val="left"/>
      <w:pPr>
        <w:ind w:left="720" w:hanging="360"/>
      </w:pPr>
      <w:rPr>
        <w:rFonts w:ascii="Wingdings" w:hAnsi="Wingdings" w:hint="default"/>
      </w:rPr>
    </w:lvl>
    <w:lvl w:ilvl="1" w:tplc="2AA66DAA">
      <w:numFmt w:val="bullet"/>
      <w:lvlText w:val="-"/>
      <w:lvlJc w:val="left"/>
      <w:pPr>
        <w:ind w:left="1440" w:hanging="360"/>
      </w:pPr>
      <w:rPr>
        <w:rFonts w:ascii="Arial" w:eastAsiaTheme="minorHAnsi" w:hAnsi="Arial" w:cs="Arial"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55392DC6"/>
    <w:multiLevelType w:val="hybridMultilevel"/>
    <w:tmpl w:val="2090ADEA"/>
    <w:lvl w:ilvl="0" w:tplc="4D7CDC26">
      <w:start w:val="1"/>
      <w:numFmt w:val="bullet"/>
      <w:lvlText w:val=""/>
      <w:lvlJc w:val="left"/>
      <w:pPr>
        <w:ind w:left="720"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62603743"/>
    <w:multiLevelType w:val="hybridMultilevel"/>
    <w:tmpl w:val="80F83EE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1" w15:restartNumberingAfterBreak="0">
    <w:nsid w:val="63656CB2"/>
    <w:multiLevelType w:val="hybridMultilevel"/>
    <w:tmpl w:val="6DFE1124"/>
    <w:lvl w:ilvl="0" w:tplc="4D7CDC26">
      <w:start w:val="1"/>
      <w:numFmt w:val="bullet"/>
      <w:lvlText w:val=""/>
      <w:lvlJc w:val="left"/>
      <w:pPr>
        <w:ind w:left="720"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6CBA6217"/>
    <w:multiLevelType w:val="hybridMultilevel"/>
    <w:tmpl w:val="EAC4FDEC"/>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decimal"/>
      <w:lvlText w:val="%3."/>
      <w:lvlJc w:val="left"/>
      <w:pPr>
        <w:tabs>
          <w:tab w:val="num" w:pos="2160"/>
        </w:tabs>
        <w:ind w:left="2160" w:hanging="360"/>
      </w:pPr>
    </w:lvl>
    <w:lvl w:ilvl="3" w:tplc="1009000F">
      <w:start w:val="1"/>
      <w:numFmt w:val="decimal"/>
      <w:lvlText w:val="%4."/>
      <w:lvlJc w:val="left"/>
      <w:pPr>
        <w:tabs>
          <w:tab w:val="num" w:pos="2880"/>
        </w:tabs>
        <w:ind w:left="2880" w:hanging="360"/>
      </w:pPr>
    </w:lvl>
    <w:lvl w:ilvl="4" w:tplc="10090019">
      <w:start w:val="1"/>
      <w:numFmt w:val="decimal"/>
      <w:lvlText w:val="%5."/>
      <w:lvlJc w:val="left"/>
      <w:pPr>
        <w:tabs>
          <w:tab w:val="num" w:pos="3600"/>
        </w:tabs>
        <w:ind w:left="3600" w:hanging="360"/>
      </w:pPr>
    </w:lvl>
    <w:lvl w:ilvl="5" w:tplc="1009001B">
      <w:start w:val="1"/>
      <w:numFmt w:val="decimal"/>
      <w:lvlText w:val="%6."/>
      <w:lvlJc w:val="left"/>
      <w:pPr>
        <w:tabs>
          <w:tab w:val="num" w:pos="4320"/>
        </w:tabs>
        <w:ind w:left="4320" w:hanging="360"/>
      </w:pPr>
    </w:lvl>
    <w:lvl w:ilvl="6" w:tplc="1009000F">
      <w:start w:val="1"/>
      <w:numFmt w:val="decimal"/>
      <w:lvlText w:val="%7."/>
      <w:lvlJc w:val="left"/>
      <w:pPr>
        <w:tabs>
          <w:tab w:val="num" w:pos="5040"/>
        </w:tabs>
        <w:ind w:left="5040" w:hanging="360"/>
      </w:pPr>
    </w:lvl>
    <w:lvl w:ilvl="7" w:tplc="10090019">
      <w:start w:val="1"/>
      <w:numFmt w:val="decimal"/>
      <w:lvlText w:val="%8."/>
      <w:lvlJc w:val="left"/>
      <w:pPr>
        <w:tabs>
          <w:tab w:val="num" w:pos="5760"/>
        </w:tabs>
        <w:ind w:left="5760" w:hanging="360"/>
      </w:pPr>
    </w:lvl>
    <w:lvl w:ilvl="8" w:tplc="1009001B">
      <w:start w:val="1"/>
      <w:numFmt w:val="decimal"/>
      <w:lvlText w:val="%9."/>
      <w:lvlJc w:val="left"/>
      <w:pPr>
        <w:tabs>
          <w:tab w:val="num" w:pos="6480"/>
        </w:tabs>
        <w:ind w:left="6480" w:hanging="360"/>
      </w:pPr>
    </w:lvl>
  </w:abstractNum>
  <w:abstractNum w:abstractNumId="23" w15:restartNumberingAfterBreak="0">
    <w:nsid w:val="7276730E"/>
    <w:multiLevelType w:val="hybridMultilevel"/>
    <w:tmpl w:val="97562BCC"/>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4" w15:restartNumberingAfterBreak="0">
    <w:nsid w:val="73333A32"/>
    <w:multiLevelType w:val="hybridMultilevel"/>
    <w:tmpl w:val="8776397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5" w15:restartNumberingAfterBreak="0">
    <w:nsid w:val="7F857333"/>
    <w:multiLevelType w:val="hybridMultilevel"/>
    <w:tmpl w:val="564E671E"/>
    <w:lvl w:ilvl="0" w:tplc="2AA66DAA">
      <w:numFmt w:val="bullet"/>
      <w:lvlText w:val="-"/>
      <w:lvlJc w:val="left"/>
      <w:pPr>
        <w:ind w:left="1080" w:hanging="360"/>
      </w:pPr>
      <w:rPr>
        <w:rFonts w:ascii="Arial" w:eastAsiaTheme="minorHAnsi" w:hAnsi="Arial" w:cs="Aria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num w:numId="1">
    <w:abstractNumId w:val="4"/>
  </w:num>
  <w:num w:numId="2">
    <w:abstractNumId w:val="3"/>
  </w:num>
  <w:num w:numId="3">
    <w:abstractNumId w:val="16"/>
  </w:num>
  <w:num w:numId="4">
    <w:abstractNumId w:val="15"/>
  </w:num>
  <w:num w:numId="5">
    <w:abstractNumId w:val="17"/>
  </w:num>
  <w:num w:numId="6">
    <w:abstractNumId w:val="5"/>
  </w:num>
  <w:num w:numId="7">
    <w:abstractNumId w:val="7"/>
  </w:num>
  <w:num w:numId="8">
    <w:abstractNumId w:val="2"/>
  </w:num>
  <w:num w:numId="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3"/>
  </w:num>
  <w:num w:numId="11">
    <w:abstractNumId w:val="6"/>
  </w:num>
  <w:num w:numId="12">
    <w:abstractNumId w:val="8"/>
  </w:num>
  <w:num w:numId="13">
    <w:abstractNumId w:val="20"/>
  </w:num>
  <w:num w:numId="14">
    <w:abstractNumId w:val="0"/>
  </w:num>
  <w:num w:numId="15">
    <w:abstractNumId w:val="24"/>
  </w:num>
  <w:num w:numId="16">
    <w:abstractNumId w:val="11"/>
  </w:num>
  <w:num w:numId="17">
    <w:abstractNumId w:val="18"/>
  </w:num>
  <w:num w:numId="18">
    <w:abstractNumId w:val="25"/>
  </w:num>
  <w:num w:numId="19">
    <w:abstractNumId w:val="19"/>
  </w:num>
  <w:num w:numId="20">
    <w:abstractNumId w:val="12"/>
  </w:num>
  <w:num w:numId="21">
    <w:abstractNumId w:val="14"/>
  </w:num>
  <w:num w:numId="22">
    <w:abstractNumId w:val="1"/>
  </w:num>
  <w:num w:numId="23">
    <w:abstractNumId w:val="21"/>
  </w:num>
  <w:num w:numId="24">
    <w:abstractNumId w:val="10"/>
  </w:num>
  <w:num w:numId="25">
    <w:abstractNumId w:val="9"/>
  </w:num>
  <w:num w:numId="2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hyphenationZone w:val="425"/>
  <w:characterSpacingControl w:val="doNotCompress"/>
  <w:hdrShapeDefaults>
    <o:shapedefaults v:ext="edit" spidmax="2049"/>
  </w:hdrShapeDefaults>
  <w:footnotePr>
    <w:numFmt w:val="lowerLette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4B04"/>
    <w:rsid w:val="00000BAB"/>
    <w:rsid w:val="00007DA9"/>
    <w:rsid w:val="00021C16"/>
    <w:rsid w:val="00041054"/>
    <w:rsid w:val="00051B3F"/>
    <w:rsid w:val="00052F99"/>
    <w:rsid w:val="0006572C"/>
    <w:rsid w:val="000F48C6"/>
    <w:rsid w:val="000F7753"/>
    <w:rsid w:val="00102E83"/>
    <w:rsid w:val="00110CE3"/>
    <w:rsid w:val="00120B98"/>
    <w:rsid w:val="00142B77"/>
    <w:rsid w:val="001605A5"/>
    <w:rsid w:val="00167F61"/>
    <w:rsid w:val="002011FF"/>
    <w:rsid w:val="00210749"/>
    <w:rsid w:val="00222D78"/>
    <w:rsid w:val="00234236"/>
    <w:rsid w:val="00244CD0"/>
    <w:rsid w:val="00250DE1"/>
    <w:rsid w:val="002610C1"/>
    <w:rsid w:val="0029142A"/>
    <w:rsid w:val="002A0E9B"/>
    <w:rsid w:val="002B5B88"/>
    <w:rsid w:val="002D39D0"/>
    <w:rsid w:val="002D61B7"/>
    <w:rsid w:val="002E1F5B"/>
    <w:rsid w:val="002E50F1"/>
    <w:rsid w:val="002F254D"/>
    <w:rsid w:val="002F4810"/>
    <w:rsid w:val="00302F5B"/>
    <w:rsid w:val="00303993"/>
    <w:rsid w:val="0033375B"/>
    <w:rsid w:val="00333BC5"/>
    <w:rsid w:val="00347682"/>
    <w:rsid w:val="00375D62"/>
    <w:rsid w:val="003813F7"/>
    <w:rsid w:val="003A1B68"/>
    <w:rsid w:val="003B6D15"/>
    <w:rsid w:val="003B763E"/>
    <w:rsid w:val="003F2569"/>
    <w:rsid w:val="00430E64"/>
    <w:rsid w:val="00432A4B"/>
    <w:rsid w:val="0043319E"/>
    <w:rsid w:val="00446B51"/>
    <w:rsid w:val="00446FEC"/>
    <w:rsid w:val="00463745"/>
    <w:rsid w:val="00466495"/>
    <w:rsid w:val="004721CE"/>
    <w:rsid w:val="00490C11"/>
    <w:rsid w:val="00494591"/>
    <w:rsid w:val="00496253"/>
    <w:rsid w:val="004A03D8"/>
    <w:rsid w:val="004A588A"/>
    <w:rsid w:val="004B4CAB"/>
    <w:rsid w:val="004B4CEA"/>
    <w:rsid w:val="004C70DD"/>
    <w:rsid w:val="004D44CE"/>
    <w:rsid w:val="004D53A0"/>
    <w:rsid w:val="0051557E"/>
    <w:rsid w:val="00517044"/>
    <w:rsid w:val="005253A3"/>
    <w:rsid w:val="005400ED"/>
    <w:rsid w:val="00566DCC"/>
    <w:rsid w:val="00584A1F"/>
    <w:rsid w:val="005A1492"/>
    <w:rsid w:val="005E2DBE"/>
    <w:rsid w:val="00614B04"/>
    <w:rsid w:val="006433C9"/>
    <w:rsid w:val="006462B0"/>
    <w:rsid w:val="00650BCD"/>
    <w:rsid w:val="006974BF"/>
    <w:rsid w:val="006C00E4"/>
    <w:rsid w:val="006C2C4F"/>
    <w:rsid w:val="006C61AE"/>
    <w:rsid w:val="006D5993"/>
    <w:rsid w:val="006F5CF0"/>
    <w:rsid w:val="007235F1"/>
    <w:rsid w:val="00731E7F"/>
    <w:rsid w:val="00733856"/>
    <w:rsid w:val="00735287"/>
    <w:rsid w:val="0075185B"/>
    <w:rsid w:val="00754855"/>
    <w:rsid w:val="007619B8"/>
    <w:rsid w:val="00771D76"/>
    <w:rsid w:val="0078602B"/>
    <w:rsid w:val="00787D25"/>
    <w:rsid w:val="0079072B"/>
    <w:rsid w:val="007A1909"/>
    <w:rsid w:val="007C16C4"/>
    <w:rsid w:val="007C1E3E"/>
    <w:rsid w:val="007E00FF"/>
    <w:rsid w:val="007E17D1"/>
    <w:rsid w:val="007F2BBE"/>
    <w:rsid w:val="00813771"/>
    <w:rsid w:val="008626AF"/>
    <w:rsid w:val="00896672"/>
    <w:rsid w:val="008C74E6"/>
    <w:rsid w:val="00931053"/>
    <w:rsid w:val="00957E14"/>
    <w:rsid w:val="0097069A"/>
    <w:rsid w:val="00973883"/>
    <w:rsid w:val="009817CC"/>
    <w:rsid w:val="009942F9"/>
    <w:rsid w:val="00997D3F"/>
    <w:rsid w:val="009A00C5"/>
    <w:rsid w:val="009A216A"/>
    <w:rsid w:val="009B24C7"/>
    <w:rsid w:val="009D492B"/>
    <w:rsid w:val="00A14577"/>
    <w:rsid w:val="00A300E4"/>
    <w:rsid w:val="00A3677B"/>
    <w:rsid w:val="00A46950"/>
    <w:rsid w:val="00A53D94"/>
    <w:rsid w:val="00A60434"/>
    <w:rsid w:val="00A77330"/>
    <w:rsid w:val="00A91F9F"/>
    <w:rsid w:val="00A95A8A"/>
    <w:rsid w:val="00AA7791"/>
    <w:rsid w:val="00AB1635"/>
    <w:rsid w:val="00AB230E"/>
    <w:rsid w:val="00AB50B7"/>
    <w:rsid w:val="00AC5491"/>
    <w:rsid w:val="00AE09B0"/>
    <w:rsid w:val="00AE6523"/>
    <w:rsid w:val="00AE6D57"/>
    <w:rsid w:val="00AF6986"/>
    <w:rsid w:val="00B10F70"/>
    <w:rsid w:val="00B23826"/>
    <w:rsid w:val="00B36388"/>
    <w:rsid w:val="00B4472C"/>
    <w:rsid w:val="00B44852"/>
    <w:rsid w:val="00B4757F"/>
    <w:rsid w:val="00B53077"/>
    <w:rsid w:val="00BA40A6"/>
    <w:rsid w:val="00BB40A9"/>
    <w:rsid w:val="00C0720D"/>
    <w:rsid w:val="00C22851"/>
    <w:rsid w:val="00C42F1B"/>
    <w:rsid w:val="00C435E6"/>
    <w:rsid w:val="00C4482B"/>
    <w:rsid w:val="00C448DF"/>
    <w:rsid w:val="00C45F43"/>
    <w:rsid w:val="00C500D2"/>
    <w:rsid w:val="00C5048D"/>
    <w:rsid w:val="00C5397E"/>
    <w:rsid w:val="00C562F1"/>
    <w:rsid w:val="00C84A70"/>
    <w:rsid w:val="00CD4C6D"/>
    <w:rsid w:val="00CD5B65"/>
    <w:rsid w:val="00D266C8"/>
    <w:rsid w:val="00D633F5"/>
    <w:rsid w:val="00D65BC9"/>
    <w:rsid w:val="00D76397"/>
    <w:rsid w:val="00D90B74"/>
    <w:rsid w:val="00DB069E"/>
    <w:rsid w:val="00DB4AC6"/>
    <w:rsid w:val="00DD2924"/>
    <w:rsid w:val="00DD4EC2"/>
    <w:rsid w:val="00DD662D"/>
    <w:rsid w:val="00DE32DF"/>
    <w:rsid w:val="00DE5258"/>
    <w:rsid w:val="00DF2392"/>
    <w:rsid w:val="00E45026"/>
    <w:rsid w:val="00E5128F"/>
    <w:rsid w:val="00E56E7F"/>
    <w:rsid w:val="00E76F8A"/>
    <w:rsid w:val="00E835F9"/>
    <w:rsid w:val="00E901A3"/>
    <w:rsid w:val="00EA089D"/>
    <w:rsid w:val="00EA5B54"/>
    <w:rsid w:val="00EA603E"/>
    <w:rsid w:val="00EC078D"/>
    <w:rsid w:val="00ED7F0A"/>
    <w:rsid w:val="00EF5628"/>
    <w:rsid w:val="00F030FF"/>
    <w:rsid w:val="00F16651"/>
    <w:rsid w:val="00F27C69"/>
    <w:rsid w:val="00F3383E"/>
    <w:rsid w:val="00F77039"/>
    <w:rsid w:val="00F95561"/>
    <w:rsid w:val="00FA2BCA"/>
    <w:rsid w:val="00FB5A80"/>
    <w:rsid w:val="00FB65DE"/>
    <w:rsid w:val="00FC5B15"/>
    <w:rsid w:val="00FE736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B37915"/>
  <w15:chartTrackingRefBased/>
  <w15:docId w15:val="{F07D3635-0744-45C7-BCB5-90529B210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4B04"/>
    <w:pPr>
      <w:spacing w:after="0" w:line="240" w:lineRule="auto"/>
    </w:pPr>
    <w:rPr>
      <w:rFonts w:ascii="Times New Roman" w:eastAsia="Times New Roman" w:hAnsi="Times New Roman" w:cs="Times New Roman"/>
      <w:sz w:val="24"/>
      <w:szCs w:val="20"/>
      <w:lang w:val="fr-CA"/>
    </w:rPr>
  </w:style>
  <w:style w:type="paragraph" w:styleId="Heading1">
    <w:name w:val="heading 1"/>
    <w:basedOn w:val="Normal"/>
    <w:next w:val="Normal"/>
    <w:link w:val="Heading1Char"/>
    <w:uiPriority w:val="9"/>
    <w:qFormat/>
    <w:rsid w:val="00210749"/>
    <w:pPr>
      <w:keepNext/>
      <w:spacing w:before="240"/>
      <w:outlineLvl w:val="0"/>
    </w:pPr>
    <w:rPr>
      <w:rFonts w:asciiTheme="majorHAnsi" w:eastAsiaTheme="majorEastAsia" w:hAnsiTheme="majorHAnsi" w:cstheme="majorBidi"/>
      <w:sz w:val="48"/>
      <w:szCs w:val="48"/>
    </w:rPr>
  </w:style>
  <w:style w:type="paragraph" w:styleId="Heading2">
    <w:name w:val="heading 2"/>
    <w:basedOn w:val="Normal"/>
    <w:next w:val="Normal"/>
    <w:link w:val="Heading2Char"/>
    <w:uiPriority w:val="9"/>
    <w:unhideWhenUsed/>
    <w:qFormat/>
    <w:rsid w:val="00210749"/>
    <w:pPr>
      <w:keepNext/>
      <w:spacing w:before="40"/>
      <w:outlineLvl w:val="1"/>
    </w:pPr>
    <w:rPr>
      <w:rFonts w:ascii="Segoe UI" w:eastAsiaTheme="majorEastAsia" w:hAnsi="Segoe UI" w:cs="Segoe UI"/>
      <w:b/>
      <w:color w:val="5B315E" w:themeColor="accent2"/>
      <w:sz w:val="32"/>
      <w:szCs w:val="32"/>
    </w:rPr>
  </w:style>
  <w:style w:type="paragraph" w:styleId="Heading3">
    <w:name w:val="heading 3"/>
    <w:basedOn w:val="Normal"/>
    <w:next w:val="Normal"/>
    <w:link w:val="Heading3Char"/>
    <w:uiPriority w:val="9"/>
    <w:unhideWhenUsed/>
    <w:qFormat/>
    <w:rsid w:val="00210749"/>
    <w:pPr>
      <w:keepNext/>
      <w:spacing w:before="40"/>
      <w:outlineLvl w:val="2"/>
    </w:pPr>
    <w:rPr>
      <w:rFonts w:ascii="Segoe UI Semibold" w:eastAsiaTheme="majorEastAsia" w:hAnsi="Segoe UI Semibold" w:cs="Segoe UI Semibold"/>
      <w:szCs w:val="24"/>
    </w:rPr>
  </w:style>
  <w:style w:type="paragraph" w:styleId="Heading4">
    <w:name w:val="heading 4"/>
    <w:basedOn w:val="Normal"/>
    <w:next w:val="Normal"/>
    <w:link w:val="Heading4Char"/>
    <w:uiPriority w:val="9"/>
    <w:unhideWhenUsed/>
    <w:qFormat/>
    <w:rsid w:val="00210749"/>
    <w:pPr>
      <w:keepNext/>
      <w:spacing w:before="40"/>
      <w:outlineLvl w:val="3"/>
    </w:pPr>
    <w:rPr>
      <w:rFonts w:asciiTheme="majorHAnsi" w:eastAsiaTheme="majorEastAsia" w:hAnsiTheme="majorHAnsi" w:cstheme="majorBidi"/>
      <w:iCs/>
      <w:color w:val="54575A" w:themeColor="text2"/>
    </w:rPr>
  </w:style>
  <w:style w:type="paragraph" w:styleId="Heading5">
    <w:name w:val="heading 5"/>
    <w:basedOn w:val="Normal"/>
    <w:next w:val="Normal"/>
    <w:link w:val="Heading5Char"/>
    <w:uiPriority w:val="9"/>
    <w:unhideWhenUsed/>
    <w:qFormat/>
    <w:rsid w:val="00210749"/>
    <w:pPr>
      <w:keepNext/>
      <w:spacing w:before="40"/>
      <w:outlineLvl w:val="4"/>
    </w:pPr>
    <w:rPr>
      <w:rFonts w:asciiTheme="majorHAnsi" w:eastAsiaTheme="majorEastAsia" w:hAnsiTheme="majorHAnsi" w:cstheme="majorBidi"/>
      <w:color w:val="9F0040"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0749"/>
    <w:pPr>
      <w:tabs>
        <w:tab w:val="center" w:pos="4680"/>
        <w:tab w:val="right" w:pos="9360"/>
      </w:tabs>
    </w:pPr>
  </w:style>
  <w:style w:type="character" w:customStyle="1" w:styleId="HeaderChar">
    <w:name w:val="Header Char"/>
    <w:basedOn w:val="DefaultParagraphFont"/>
    <w:link w:val="Header"/>
    <w:uiPriority w:val="99"/>
    <w:rsid w:val="00210749"/>
    <w:rPr>
      <w:color w:val="54575A" w:themeColor="text1"/>
      <w:lang w:val="fr-CA"/>
    </w:rPr>
  </w:style>
  <w:style w:type="paragraph" w:styleId="Footer">
    <w:name w:val="footer"/>
    <w:basedOn w:val="Normal"/>
    <w:link w:val="FooterChar"/>
    <w:uiPriority w:val="99"/>
    <w:unhideWhenUsed/>
    <w:rsid w:val="00210749"/>
    <w:pPr>
      <w:tabs>
        <w:tab w:val="center" w:pos="4680"/>
        <w:tab w:val="right" w:pos="9360"/>
      </w:tabs>
    </w:pPr>
  </w:style>
  <w:style w:type="character" w:customStyle="1" w:styleId="FooterChar">
    <w:name w:val="Footer Char"/>
    <w:basedOn w:val="DefaultParagraphFont"/>
    <w:link w:val="Footer"/>
    <w:uiPriority w:val="99"/>
    <w:rsid w:val="00210749"/>
    <w:rPr>
      <w:color w:val="54575A" w:themeColor="text1"/>
      <w:lang w:val="fr-CA"/>
    </w:rPr>
  </w:style>
  <w:style w:type="paragraph" w:styleId="BalloonText">
    <w:name w:val="Balloon Text"/>
    <w:basedOn w:val="Normal"/>
    <w:link w:val="BalloonTextChar"/>
    <w:uiPriority w:val="99"/>
    <w:semiHidden/>
    <w:unhideWhenUsed/>
    <w:rsid w:val="0021074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0749"/>
    <w:rPr>
      <w:rFonts w:ascii="Segoe UI" w:hAnsi="Segoe UI" w:cs="Segoe UI"/>
      <w:color w:val="54575A" w:themeColor="text1"/>
      <w:sz w:val="18"/>
      <w:szCs w:val="18"/>
      <w:lang w:val="fr-CA"/>
    </w:rPr>
  </w:style>
  <w:style w:type="paragraph" w:customStyle="1" w:styleId="ColumnTitle">
    <w:name w:val="Column Title"/>
    <w:basedOn w:val="Normal"/>
    <w:qFormat/>
    <w:rsid w:val="00210749"/>
    <w:rPr>
      <w:rFonts w:ascii="Segoe UI Semibold" w:hAnsi="Segoe UI Semibold" w:cs="Segoe UI Semibold"/>
      <w:color w:val="F2F2F2" w:themeColor="background2"/>
      <w:szCs w:val="24"/>
    </w:rPr>
  </w:style>
  <w:style w:type="paragraph" w:customStyle="1" w:styleId="DataText">
    <w:name w:val="Data Text"/>
    <w:basedOn w:val="Normal"/>
    <w:qFormat/>
    <w:rsid w:val="00210749"/>
  </w:style>
  <w:style w:type="character" w:styleId="FootnoteReference">
    <w:name w:val="footnote reference"/>
    <w:basedOn w:val="DefaultParagraphFont"/>
    <w:uiPriority w:val="99"/>
    <w:semiHidden/>
    <w:unhideWhenUsed/>
    <w:rsid w:val="00210749"/>
    <w:rPr>
      <w:vertAlign w:val="superscript"/>
    </w:rPr>
  </w:style>
  <w:style w:type="paragraph" w:styleId="FootnoteText">
    <w:name w:val="footnote text"/>
    <w:basedOn w:val="Normal"/>
    <w:link w:val="FootnoteTextChar"/>
    <w:uiPriority w:val="99"/>
    <w:unhideWhenUsed/>
    <w:rsid w:val="00210749"/>
    <w:rPr>
      <w:sz w:val="20"/>
    </w:rPr>
  </w:style>
  <w:style w:type="character" w:customStyle="1" w:styleId="FootnoteTextChar">
    <w:name w:val="Footnote Text Char"/>
    <w:basedOn w:val="DefaultParagraphFont"/>
    <w:link w:val="FootnoteText"/>
    <w:uiPriority w:val="99"/>
    <w:rsid w:val="00210749"/>
    <w:rPr>
      <w:color w:val="54575A" w:themeColor="text1"/>
      <w:sz w:val="20"/>
      <w:szCs w:val="20"/>
      <w:lang w:val="fr-CA"/>
    </w:rPr>
  </w:style>
  <w:style w:type="character" w:customStyle="1" w:styleId="Heading1Char">
    <w:name w:val="Heading 1 Char"/>
    <w:basedOn w:val="DefaultParagraphFont"/>
    <w:link w:val="Heading1"/>
    <w:uiPriority w:val="9"/>
    <w:rsid w:val="00210749"/>
    <w:rPr>
      <w:rFonts w:asciiTheme="majorHAnsi" w:eastAsiaTheme="majorEastAsia" w:hAnsiTheme="majorHAnsi" w:cstheme="majorBidi"/>
      <w:color w:val="54575A" w:themeColor="text1"/>
      <w:sz w:val="48"/>
      <w:szCs w:val="48"/>
      <w:lang w:val="fr-CA"/>
    </w:rPr>
  </w:style>
  <w:style w:type="character" w:customStyle="1" w:styleId="Heading2Char">
    <w:name w:val="Heading 2 Char"/>
    <w:basedOn w:val="DefaultParagraphFont"/>
    <w:link w:val="Heading2"/>
    <w:uiPriority w:val="9"/>
    <w:rsid w:val="00210749"/>
    <w:rPr>
      <w:rFonts w:ascii="Segoe UI" w:eastAsiaTheme="majorEastAsia" w:hAnsi="Segoe UI" w:cs="Segoe UI"/>
      <w:b/>
      <w:color w:val="5B315E" w:themeColor="accent2"/>
      <w:sz w:val="32"/>
      <w:szCs w:val="32"/>
      <w:lang w:val="fr-CA"/>
    </w:rPr>
  </w:style>
  <w:style w:type="character" w:customStyle="1" w:styleId="Heading3Char">
    <w:name w:val="Heading 3 Char"/>
    <w:basedOn w:val="DefaultParagraphFont"/>
    <w:link w:val="Heading3"/>
    <w:uiPriority w:val="9"/>
    <w:rsid w:val="00210749"/>
    <w:rPr>
      <w:rFonts w:ascii="Segoe UI Semibold" w:eastAsiaTheme="majorEastAsia" w:hAnsi="Segoe UI Semibold" w:cs="Segoe UI Semibold"/>
      <w:color w:val="54575A" w:themeColor="text1"/>
      <w:sz w:val="24"/>
      <w:szCs w:val="24"/>
      <w:lang w:val="fr-CA"/>
    </w:rPr>
  </w:style>
  <w:style w:type="paragraph" w:customStyle="1" w:styleId="Heading3forBox">
    <w:name w:val="Heading 3 for Box"/>
    <w:basedOn w:val="Normal"/>
    <w:qFormat/>
    <w:rsid w:val="00210749"/>
    <w:rPr>
      <w:rFonts w:ascii="Segoe UI Semibold" w:eastAsiaTheme="majorEastAsia" w:hAnsi="Segoe UI Semibold" w:cs="Segoe UI Semibold"/>
      <w:color w:val="FFFFFF" w:themeColor="background1"/>
      <w:szCs w:val="24"/>
    </w:rPr>
  </w:style>
  <w:style w:type="character" w:customStyle="1" w:styleId="Heading4Char">
    <w:name w:val="Heading 4 Char"/>
    <w:basedOn w:val="DefaultParagraphFont"/>
    <w:link w:val="Heading4"/>
    <w:uiPriority w:val="9"/>
    <w:rsid w:val="00210749"/>
    <w:rPr>
      <w:rFonts w:asciiTheme="majorHAnsi" w:eastAsiaTheme="majorEastAsia" w:hAnsiTheme="majorHAnsi" w:cstheme="majorBidi"/>
      <w:iCs/>
      <w:color w:val="54575A" w:themeColor="text2"/>
      <w:lang w:val="fr-CA"/>
    </w:rPr>
  </w:style>
  <w:style w:type="character" w:customStyle="1" w:styleId="Heading5Char">
    <w:name w:val="Heading 5 Char"/>
    <w:basedOn w:val="DefaultParagraphFont"/>
    <w:link w:val="Heading5"/>
    <w:uiPriority w:val="9"/>
    <w:rsid w:val="00210749"/>
    <w:rPr>
      <w:rFonts w:asciiTheme="majorHAnsi" w:eastAsiaTheme="majorEastAsia" w:hAnsiTheme="majorHAnsi" w:cstheme="majorBidi"/>
      <w:color w:val="9F0040" w:themeColor="accent1" w:themeShade="BF"/>
      <w:lang w:val="fr-CA"/>
    </w:rPr>
  </w:style>
  <w:style w:type="paragraph" w:styleId="ListParagraph">
    <w:name w:val="List Paragraph"/>
    <w:aliases w:val="TBS PB List Paragraph,Table Paragraph,Dot pt,Liste 1,List Paragraph1,Recommendation,List Paragraph11,L,List Paragraph2,CV text,Table text,F5 List Paragraph,List Paragraph111,Medium Grid 1 - Accent 21,Bullet text,Bullet,table bullets"/>
    <w:basedOn w:val="Normal"/>
    <w:link w:val="ListParagraphChar"/>
    <w:uiPriority w:val="34"/>
    <w:qFormat/>
    <w:rsid w:val="00210749"/>
    <w:pPr>
      <w:spacing w:after="320"/>
      <w:contextualSpacing/>
    </w:pPr>
  </w:style>
  <w:style w:type="paragraph" w:customStyle="1" w:styleId="NormalWhiteforBox">
    <w:name w:val="Normal White for Box"/>
    <w:basedOn w:val="Normal"/>
    <w:qFormat/>
    <w:rsid w:val="00210749"/>
  </w:style>
  <w:style w:type="paragraph" w:customStyle="1" w:styleId="Numberedlist">
    <w:name w:val="Numbered list"/>
    <w:basedOn w:val="ListParagraph"/>
    <w:qFormat/>
    <w:rsid w:val="00210749"/>
  </w:style>
  <w:style w:type="paragraph" w:styleId="Subtitle">
    <w:name w:val="Subtitle"/>
    <w:basedOn w:val="Normal"/>
    <w:next w:val="Normal"/>
    <w:link w:val="SubtitleChar"/>
    <w:uiPriority w:val="11"/>
    <w:qFormat/>
    <w:rsid w:val="00210749"/>
    <w:rPr>
      <w:rFonts w:ascii="Segoe UI Light" w:hAnsi="Segoe UI Light" w:cs="Segoe UI Light"/>
      <w:sz w:val="36"/>
      <w:szCs w:val="36"/>
    </w:rPr>
  </w:style>
  <w:style w:type="character" w:customStyle="1" w:styleId="SubtitleChar">
    <w:name w:val="Subtitle Char"/>
    <w:basedOn w:val="DefaultParagraphFont"/>
    <w:link w:val="Subtitle"/>
    <w:uiPriority w:val="11"/>
    <w:rsid w:val="00210749"/>
    <w:rPr>
      <w:rFonts w:ascii="Segoe UI Light" w:hAnsi="Segoe UI Light" w:cs="Segoe UI Light"/>
      <w:color w:val="54575A" w:themeColor="text1"/>
      <w:sz w:val="36"/>
      <w:szCs w:val="36"/>
      <w:lang w:val="fr-CA"/>
    </w:rPr>
  </w:style>
  <w:style w:type="table" w:styleId="TableGrid">
    <w:name w:val="Table Grid"/>
    <w:basedOn w:val="TableNormal"/>
    <w:uiPriority w:val="39"/>
    <w:rsid w:val="002107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 Title"/>
    <w:basedOn w:val="Heading2"/>
    <w:qFormat/>
    <w:rsid w:val="00517044"/>
    <w:rPr>
      <w:rFonts w:ascii="Segoe UI Semibold" w:hAnsi="Segoe UI Semibold"/>
      <w:color w:val="auto"/>
      <w:sz w:val="22"/>
    </w:rPr>
  </w:style>
  <w:style w:type="paragraph" w:styleId="Title">
    <w:name w:val="Title"/>
    <w:basedOn w:val="Normal"/>
    <w:next w:val="Normal"/>
    <w:link w:val="TitleChar"/>
    <w:autoRedefine/>
    <w:uiPriority w:val="10"/>
    <w:qFormat/>
    <w:rsid w:val="00210749"/>
    <w:pPr>
      <w:spacing w:before="1200" w:line="1200" w:lineRule="exact"/>
      <w:contextualSpacing/>
    </w:pPr>
    <w:rPr>
      <w:rFonts w:ascii="Segoe UI Light" w:eastAsiaTheme="majorEastAsia" w:hAnsi="Segoe UI Light" w:cs="Segoe UI Light"/>
      <w:spacing w:val="-10"/>
      <w:kern w:val="28"/>
      <w:sz w:val="120"/>
      <w:szCs w:val="120"/>
    </w:rPr>
  </w:style>
  <w:style w:type="character" w:customStyle="1" w:styleId="TitleChar">
    <w:name w:val="Title Char"/>
    <w:basedOn w:val="DefaultParagraphFont"/>
    <w:link w:val="Title"/>
    <w:uiPriority w:val="10"/>
    <w:rsid w:val="00210749"/>
    <w:rPr>
      <w:rFonts w:ascii="Segoe UI Light" w:eastAsiaTheme="majorEastAsia" w:hAnsi="Segoe UI Light" w:cs="Segoe UI Light"/>
      <w:color w:val="54575A" w:themeColor="text1"/>
      <w:spacing w:val="-10"/>
      <w:kern w:val="28"/>
      <w:sz w:val="120"/>
      <w:szCs w:val="120"/>
      <w:lang w:val="fr-CA"/>
    </w:rPr>
  </w:style>
  <w:style w:type="paragraph" w:styleId="NormalWeb">
    <w:name w:val="Normal (Web)"/>
    <w:basedOn w:val="Normal"/>
    <w:uiPriority w:val="99"/>
    <w:unhideWhenUsed/>
    <w:rsid w:val="00614B04"/>
    <w:pPr>
      <w:spacing w:before="100" w:beforeAutospacing="1" w:after="100" w:afterAutospacing="1"/>
    </w:pPr>
    <w:rPr>
      <w:rFonts w:ascii="Verdana" w:hAnsi="Verdana"/>
      <w:szCs w:val="24"/>
    </w:rPr>
  </w:style>
  <w:style w:type="paragraph" w:customStyle="1" w:styleId="Level1">
    <w:name w:val="Level 1"/>
    <w:basedOn w:val="Normal"/>
    <w:uiPriority w:val="99"/>
    <w:rsid w:val="00614B04"/>
    <w:pPr>
      <w:widowControl w:val="0"/>
    </w:pPr>
  </w:style>
  <w:style w:type="character" w:styleId="Hyperlink">
    <w:name w:val="Hyperlink"/>
    <w:uiPriority w:val="99"/>
    <w:unhideWhenUsed/>
    <w:rsid w:val="00614B04"/>
    <w:rPr>
      <w:color w:val="0563C1"/>
      <w:u w:val="single"/>
      <w:lang w:val="fr-CA"/>
    </w:rPr>
  </w:style>
  <w:style w:type="paragraph" w:styleId="NoSpacing">
    <w:name w:val="No Spacing"/>
    <w:uiPriority w:val="1"/>
    <w:qFormat/>
    <w:rsid w:val="00614B04"/>
    <w:pPr>
      <w:spacing w:after="0" w:line="240" w:lineRule="auto"/>
    </w:pPr>
    <w:rPr>
      <w:rFonts w:ascii="Times New Roman" w:eastAsia="Times New Roman" w:hAnsi="Times New Roman" w:cs="Times New Roman"/>
      <w:sz w:val="24"/>
      <w:szCs w:val="20"/>
      <w:lang w:val="fr-CA"/>
    </w:rPr>
  </w:style>
  <w:style w:type="paragraph" w:customStyle="1" w:styleId="Style1">
    <w:name w:val="Style1"/>
    <w:basedOn w:val="Normal"/>
    <w:link w:val="Style1Char"/>
    <w:qFormat/>
    <w:rsid w:val="00614B04"/>
    <w:pPr>
      <w:pBdr>
        <w:bottom w:val="single" w:sz="4" w:space="1" w:color="92D050"/>
      </w:pBdr>
      <w:autoSpaceDE w:val="0"/>
      <w:autoSpaceDN w:val="0"/>
      <w:adjustRightInd w:val="0"/>
      <w:ind w:right="50"/>
    </w:pPr>
    <w:rPr>
      <w:rFonts w:ascii="Arial" w:hAnsi="Arial" w:cs="Arial"/>
      <w:b/>
      <w:caps/>
      <w:color w:val="92D050"/>
      <w:sz w:val="22"/>
      <w:szCs w:val="22"/>
    </w:rPr>
  </w:style>
  <w:style w:type="character" w:customStyle="1" w:styleId="Style1Char">
    <w:name w:val="Style1 Char"/>
    <w:basedOn w:val="DefaultParagraphFont"/>
    <w:link w:val="Style1"/>
    <w:rsid w:val="00614B04"/>
    <w:rPr>
      <w:rFonts w:ascii="Arial" w:eastAsia="Times New Roman" w:hAnsi="Arial" w:cs="Arial"/>
      <w:b/>
      <w:caps/>
      <w:color w:val="92D050"/>
      <w:lang w:val="fr-CA"/>
    </w:rPr>
  </w:style>
  <w:style w:type="paragraph" w:customStyle="1" w:styleId="Style6">
    <w:name w:val="Style6"/>
    <w:basedOn w:val="Normal"/>
    <w:link w:val="Style6Char"/>
    <w:qFormat/>
    <w:rsid w:val="00614B04"/>
    <w:pPr>
      <w:jc w:val="center"/>
    </w:pPr>
    <w:rPr>
      <w:rFonts w:ascii="Arial" w:hAnsi="Arial" w:cs="Arial"/>
      <w:b/>
      <w:color w:val="009999"/>
      <w:szCs w:val="24"/>
    </w:rPr>
  </w:style>
  <w:style w:type="paragraph" w:customStyle="1" w:styleId="Style7">
    <w:name w:val="Style7"/>
    <w:basedOn w:val="Normal"/>
    <w:link w:val="Style7Char"/>
    <w:qFormat/>
    <w:rsid w:val="00614B04"/>
    <w:pPr>
      <w:jc w:val="center"/>
    </w:pPr>
    <w:rPr>
      <w:rFonts w:ascii="Arial" w:hAnsi="Arial" w:cs="Arial"/>
      <w:color w:val="009999"/>
      <w:sz w:val="22"/>
      <w:szCs w:val="32"/>
    </w:rPr>
  </w:style>
  <w:style w:type="character" w:customStyle="1" w:styleId="Style6Char">
    <w:name w:val="Style6 Char"/>
    <w:basedOn w:val="DefaultParagraphFont"/>
    <w:link w:val="Style6"/>
    <w:rsid w:val="00614B04"/>
    <w:rPr>
      <w:rFonts w:ascii="Arial" w:eastAsia="Times New Roman" w:hAnsi="Arial" w:cs="Arial"/>
      <w:b/>
      <w:color w:val="009999"/>
      <w:sz w:val="24"/>
      <w:szCs w:val="24"/>
      <w:lang w:val="fr-CA"/>
    </w:rPr>
  </w:style>
  <w:style w:type="paragraph" w:customStyle="1" w:styleId="Style8">
    <w:name w:val="Style8"/>
    <w:basedOn w:val="Normal"/>
    <w:link w:val="Style8Char"/>
    <w:qFormat/>
    <w:rsid w:val="00614B04"/>
    <w:rPr>
      <w:rFonts w:ascii="Arial" w:hAnsi="Arial" w:cs="Arial"/>
      <w:color w:val="767171"/>
      <w:sz w:val="16"/>
      <w:szCs w:val="22"/>
    </w:rPr>
  </w:style>
  <w:style w:type="character" w:customStyle="1" w:styleId="Style7Char">
    <w:name w:val="Style7 Char"/>
    <w:basedOn w:val="DefaultParagraphFont"/>
    <w:link w:val="Style7"/>
    <w:rsid w:val="00614B04"/>
    <w:rPr>
      <w:rFonts w:ascii="Arial" w:eastAsia="Times New Roman" w:hAnsi="Arial" w:cs="Arial"/>
      <w:color w:val="009999"/>
      <w:szCs w:val="32"/>
      <w:lang w:val="fr-CA"/>
    </w:rPr>
  </w:style>
  <w:style w:type="character" w:customStyle="1" w:styleId="Style8Char">
    <w:name w:val="Style8 Char"/>
    <w:basedOn w:val="DefaultParagraphFont"/>
    <w:link w:val="Style8"/>
    <w:rsid w:val="00614B04"/>
    <w:rPr>
      <w:rFonts w:ascii="Arial" w:eastAsia="Times New Roman" w:hAnsi="Arial" w:cs="Arial"/>
      <w:color w:val="767171"/>
      <w:sz w:val="16"/>
      <w:lang w:val="fr-CA"/>
    </w:rPr>
  </w:style>
  <w:style w:type="character" w:customStyle="1" w:styleId="tlid-translation">
    <w:name w:val="tlid-translation"/>
    <w:basedOn w:val="DefaultParagraphFont"/>
    <w:rsid w:val="00D65BC9"/>
  </w:style>
  <w:style w:type="character" w:styleId="FollowedHyperlink">
    <w:name w:val="FollowedHyperlink"/>
    <w:basedOn w:val="DefaultParagraphFont"/>
    <w:uiPriority w:val="99"/>
    <w:semiHidden/>
    <w:unhideWhenUsed/>
    <w:rsid w:val="002F4810"/>
    <w:rPr>
      <w:color w:val="A5A5A5" w:themeColor="followedHyperlink"/>
      <w:u w:val="single"/>
    </w:rPr>
  </w:style>
  <w:style w:type="character" w:styleId="Strong">
    <w:name w:val="Strong"/>
    <w:basedOn w:val="DefaultParagraphFont"/>
    <w:uiPriority w:val="22"/>
    <w:qFormat/>
    <w:rsid w:val="004B4CEA"/>
    <w:rPr>
      <w:rFonts w:asciiTheme="minorHAnsi" w:hAnsiTheme="minorHAnsi"/>
      <w:b/>
      <w:bCs/>
      <w:i/>
      <w:sz w:val="22"/>
    </w:rPr>
  </w:style>
  <w:style w:type="character" w:customStyle="1" w:styleId="ListParagraphChar">
    <w:name w:val="List Paragraph Char"/>
    <w:aliases w:val="TBS PB List Paragraph Char,Table Paragraph Char,Dot pt Char,Liste 1 Char,List Paragraph1 Char,Recommendation Char,List Paragraph11 Char,L Char,List Paragraph2 Char,CV text Char,Table text Char,F5 List Paragraph Char,Bullet text Char"/>
    <w:basedOn w:val="DefaultParagraphFont"/>
    <w:link w:val="ListParagraph"/>
    <w:uiPriority w:val="34"/>
    <w:locked/>
    <w:rsid w:val="00B53077"/>
    <w:rPr>
      <w:rFonts w:ascii="Times New Roman" w:eastAsia="Times New Roman" w:hAnsi="Times New Roman" w:cs="Times New Roman"/>
      <w:sz w:val="24"/>
      <w:szCs w:val="20"/>
      <w:lang w:val="fr-CA"/>
    </w:rPr>
  </w:style>
  <w:style w:type="character" w:styleId="Emphasis">
    <w:name w:val="Emphasis"/>
    <w:basedOn w:val="DefaultParagraphFont"/>
    <w:uiPriority w:val="20"/>
    <w:qFormat/>
    <w:rsid w:val="00333BC5"/>
    <w:rPr>
      <w:rFonts w:asciiTheme="minorHAnsi" w:hAnsiTheme="minorHAnsi"/>
      <w:i/>
      <w:iCs/>
      <w:sz w:val="22"/>
    </w:rPr>
  </w:style>
  <w:style w:type="paragraph" w:styleId="Caption">
    <w:name w:val="caption"/>
    <w:basedOn w:val="Normal"/>
    <w:next w:val="Normal"/>
    <w:uiPriority w:val="35"/>
    <w:unhideWhenUsed/>
    <w:qFormat/>
    <w:rsid w:val="00052F99"/>
    <w:pPr>
      <w:spacing w:after="200"/>
    </w:pPr>
    <w:rPr>
      <w:i/>
      <w:iCs/>
      <w:color w:val="54575A" w:themeColor="text2"/>
      <w:sz w:val="18"/>
      <w:szCs w:val="18"/>
    </w:rPr>
  </w:style>
  <w:style w:type="character" w:styleId="CommentReference">
    <w:name w:val="annotation reference"/>
    <w:basedOn w:val="DefaultParagraphFont"/>
    <w:uiPriority w:val="99"/>
    <w:semiHidden/>
    <w:unhideWhenUsed/>
    <w:rsid w:val="00B44852"/>
    <w:rPr>
      <w:sz w:val="16"/>
      <w:szCs w:val="16"/>
    </w:rPr>
  </w:style>
  <w:style w:type="paragraph" w:styleId="CommentText">
    <w:name w:val="annotation text"/>
    <w:basedOn w:val="Normal"/>
    <w:link w:val="CommentTextChar"/>
    <w:uiPriority w:val="99"/>
    <w:semiHidden/>
    <w:unhideWhenUsed/>
    <w:rsid w:val="00B44852"/>
    <w:rPr>
      <w:sz w:val="20"/>
    </w:rPr>
  </w:style>
  <w:style w:type="character" w:customStyle="1" w:styleId="CommentTextChar">
    <w:name w:val="Comment Text Char"/>
    <w:basedOn w:val="DefaultParagraphFont"/>
    <w:link w:val="CommentText"/>
    <w:uiPriority w:val="99"/>
    <w:semiHidden/>
    <w:rsid w:val="00B44852"/>
    <w:rPr>
      <w:rFonts w:ascii="Times New Roman" w:eastAsia="Times New Roman" w:hAnsi="Times New Roman" w:cs="Times New Roman"/>
      <w:sz w:val="20"/>
      <w:szCs w:val="20"/>
      <w:lang w:val="fr-CA"/>
    </w:rPr>
  </w:style>
  <w:style w:type="paragraph" w:styleId="CommentSubject">
    <w:name w:val="annotation subject"/>
    <w:basedOn w:val="CommentText"/>
    <w:next w:val="CommentText"/>
    <w:link w:val="CommentSubjectChar"/>
    <w:uiPriority w:val="99"/>
    <w:semiHidden/>
    <w:unhideWhenUsed/>
    <w:rsid w:val="00B44852"/>
    <w:rPr>
      <w:b/>
      <w:bCs/>
    </w:rPr>
  </w:style>
  <w:style w:type="character" w:customStyle="1" w:styleId="CommentSubjectChar">
    <w:name w:val="Comment Subject Char"/>
    <w:basedOn w:val="CommentTextChar"/>
    <w:link w:val="CommentSubject"/>
    <w:uiPriority w:val="99"/>
    <w:semiHidden/>
    <w:rsid w:val="00B44852"/>
    <w:rPr>
      <w:rFonts w:ascii="Times New Roman" w:eastAsia="Times New Roman" w:hAnsi="Times New Roman" w:cs="Times New Roman"/>
      <w:b/>
      <w:bCs/>
      <w:sz w:val="20"/>
      <w:szCs w:val="20"/>
      <w:lang w:val="fr-CA"/>
    </w:rPr>
  </w:style>
  <w:style w:type="paragraph" w:styleId="Revision">
    <w:name w:val="Revision"/>
    <w:hidden/>
    <w:uiPriority w:val="99"/>
    <w:semiHidden/>
    <w:rsid w:val="00B44852"/>
    <w:pPr>
      <w:spacing w:after="0" w:line="240" w:lineRule="auto"/>
    </w:pPr>
    <w:rPr>
      <w:rFonts w:ascii="Times New Roman" w:eastAsia="Times New Roman" w:hAnsi="Times New Roman" w:cs="Times New Roman"/>
      <w:sz w:val="24"/>
      <w:szCs w:val="20"/>
      <w:lang w:val="fr-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0012149">
      <w:bodyDiv w:val="1"/>
      <w:marLeft w:val="0"/>
      <w:marRight w:val="0"/>
      <w:marTop w:val="0"/>
      <w:marBottom w:val="0"/>
      <w:divBdr>
        <w:top w:val="none" w:sz="0" w:space="0" w:color="auto"/>
        <w:left w:val="none" w:sz="0" w:space="0" w:color="auto"/>
        <w:bottom w:val="none" w:sz="0" w:space="0" w:color="auto"/>
        <w:right w:val="none" w:sz="0" w:space="0" w:color="auto"/>
      </w:divBdr>
    </w:div>
    <w:div w:id="377441667">
      <w:bodyDiv w:val="1"/>
      <w:marLeft w:val="0"/>
      <w:marRight w:val="0"/>
      <w:marTop w:val="0"/>
      <w:marBottom w:val="0"/>
      <w:divBdr>
        <w:top w:val="none" w:sz="0" w:space="0" w:color="auto"/>
        <w:left w:val="none" w:sz="0" w:space="0" w:color="auto"/>
        <w:bottom w:val="none" w:sz="0" w:space="0" w:color="auto"/>
        <w:right w:val="none" w:sz="0" w:space="0" w:color="auto"/>
      </w:divBdr>
    </w:div>
    <w:div w:id="1175536122">
      <w:bodyDiv w:val="1"/>
      <w:marLeft w:val="0"/>
      <w:marRight w:val="0"/>
      <w:marTop w:val="0"/>
      <w:marBottom w:val="0"/>
      <w:divBdr>
        <w:top w:val="none" w:sz="0" w:space="0" w:color="auto"/>
        <w:left w:val="none" w:sz="0" w:space="0" w:color="auto"/>
        <w:bottom w:val="none" w:sz="0" w:space="0" w:color="auto"/>
        <w:right w:val="none" w:sz="0" w:space="0" w:color="auto"/>
      </w:divBdr>
    </w:div>
    <w:div w:id="1566456333">
      <w:bodyDiv w:val="1"/>
      <w:marLeft w:val="0"/>
      <w:marRight w:val="0"/>
      <w:marTop w:val="0"/>
      <w:marBottom w:val="0"/>
      <w:divBdr>
        <w:top w:val="none" w:sz="0" w:space="0" w:color="auto"/>
        <w:left w:val="none" w:sz="0" w:space="0" w:color="auto"/>
        <w:bottom w:val="none" w:sz="0" w:space="0" w:color="auto"/>
        <w:right w:val="none" w:sz="0" w:space="0" w:color="auto"/>
      </w:divBdr>
    </w:div>
    <w:div w:id="1679651710">
      <w:bodyDiv w:val="1"/>
      <w:marLeft w:val="0"/>
      <w:marRight w:val="0"/>
      <w:marTop w:val="0"/>
      <w:marBottom w:val="0"/>
      <w:divBdr>
        <w:top w:val="none" w:sz="0" w:space="0" w:color="auto"/>
        <w:left w:val="none" w:sz="0" w:space="0" w:color="auto"/>
        <w:bottom w:val="none" w:sz="0" w:space="0" w:color="auto"/>
        <w:right w:val="none" w:sz="0" w:space="0" w:color="auto"/>
      </w:divBdr>
    </w:div>
    <w:div w:id="1682388311">
      <w:bodyDiv w:val="1"/>
      <w:marLeft w:val="0"/>
      <w:marRight w:val="0"/>
      <w:marTop w:val="0"/>
      <w:marBottom w:val="0"/>
      <w:divBdr>
        <w:top w:val="none" w:sz="0" w:space="0" w:color="auto"/>
        <w:left w:val="none" w:sz="0" w:space="0" w:color="auto"/>
        <w:bottom w:val="none" w:sz="0" w:space="0" w:color="auto"/>
        <w:right w:val="none" w:sz="0" w:space="0" w:color="auto"/>
      </w:divBdr>
    </w:div>
    <w:div w:id="1816801689">
      <w:bodyDiv w:val="1"/>
      <w:marLeft w:val="0"/>
      <w:marRight w:val="0"/>
      <w:marTop w:val="0"/>
      <w:marBottom w:val="0"/>
      <w:divBdr>
        <w:top w:val="none" w:sz="0" w:space="0" w:color="auto"/>
        <w:left w:val="none" w:sz="0" w:space="0" w:color="auto"/>
        <w:bottom w:val="none" w:sz="0" w:space="0" w:color="auto"/>
        <w:right w:val="none" w:sz="0" w:space="0" w:color="auto"/>
      </w:divBdr>
    </w:div>
    <w:div w:id="1855537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footer" Target="footer4.xml"/><Relationship Id="rId26" Type="http://schemas.openxmlformats.org/officeDocument/2006/relationships/chart" Target="charts/chart8.xml"/><Relationship Id="rId21" Type="http://schemas.openxmlformats.org/officeDocument/2006/relationships/chart" Target="charts/chart3.xml"/><Relationship Id="rId34"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4.xml"/><Relationship Id="rId25" Type="http://schemas.openxmlformats.org/officeDocument/2006/relationships/chart" Target="charts/chart7.xml"/><Relationship Id="rId33"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chart" Target="charts/chart2.xml"/><Relationship Id="rId20" Type="http://schemas.openxmlformats.org/officeDocument/2006/relationships/footer" Target="footer5.xml"/><Relationship Id="rId29" Type="http://schemas.openxmlformats.org/officeDocument/2006/relationships/chart" Target="charts/chart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chart" Target="charts/chart6.xml"/><Relationship Id="rId32" Type="http://schemas.openxmlformats.org/officeDocument/2006/relationships/chart" Target="charts/chart14.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hart" Target="charts/chart1.xml"/><Relationship Id="rId23" Type="http://schemas.openxmlformats.org/officeDocument/2006/relationships/chart" Target="charts/chart5.xml"/><Relationship Id="rId28" Type="http://schemas.openxmlformats.org/officeDocument/2006/relationships/chart" Target="charts/chart10.xml"/><Relationship Id="rId36"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eader" Target="header5.xml"/><Relationship Id="rId31" Type="http://schemas.openxmlformats.org/officeDocument/2006/relationships/chart" Target="charts/chart1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canada.ca/fr/gouvernement/fonctionpublique/mieux-etre-inclusion-diversite-fonction-publique/diversite-equite-matiere-emploi/equite-emploi-rapports-annuel/equite-emploi-fonction-publique-canada-2017-2018.html" TargetMode="External"/><Relationship Id="rId22" Type="http://schemas.openxmlformats.org/officeDocument/2006/relationships/chart" Target="charts/chart4.xml"/><Relationship Id="rId27" Type="http://schemas.openxmlformats.org/officeDocument/2006/relationships/chart" Target="charts/chart9.xml"/><Relationship Id="rId30" Type="http://schemas.openxmlformats.org/officeDocument/2006/relationships/chart" Target="charts/chart12.xml"/><Relationship Id="rId35" Type="http://schemas.openxmlformats.org/officeDocument/2006/relationships/header" Target="header7.xml"/><Relationship Id="rId8" Type="http://schemas.openxmlformats.org/officeDocument/2006/relationships/header" Target="header1.xml"/><Relationship Id="rId3"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PSC-CFP\Templates\CFP-Entete-Corpo2019.dotx"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package" Target="../embeddings/Microsoft_Excel_Worksheet9.xlsx"/><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package" Target="../embeddings/Microsoft_Excel_Worksheet10.xlsx"/><Relationship Id="rId2" Type="http://schemas.microsoft.com/office/2011/relationships/chartColorStyle" Target="colors11.xml"/><Relationship Id="rId1" Type="http://schemas.microsoft.com/office/2011/relationships/chartStyle" Target="style11.xml"/><Relationship Id="rId4" Type="http://schemas.openxmlformats.org/officeDocument/2006/relationships/chartUserShapes" Target="../drawings/drawing5.xml"/></Relationships>
</file>

<file path=word/charts/_rels/chart12.xml.rels><?xml version="1.0" encoding="UTF-8" standalone="yes"?>
<Relationships xmlns="http://schemas.openxmlformats.org/package/2006/relationships"><Relationship Id="rId3" Type="http://schemas.openxmlformats.org/officeDocument/2006/relationships/package" Target="../embeddings/Microsoft_Excel_Worksheet11.xlsx"/><Relationship Id="rId2" Type="http://schemas.microsoft.com/office/2011/relationships/chartColorStyle" Target="colors12.xml"/><Relationship Id="rId1" Type="http://schemas.microsoft.com/office/2011/relationships/chartStyle" Target="style12.xml"/><Relationship Id="rId4" Type="http://schemas.openxmlformats.org/officeDocument/2006/relationships/chartUserShapes" Target="../drawings/drawing6.xml"/></Relationships>
</file>

<file path=word/charts/_rels/chart13.xml.rels><?xml version="1.0" encoding="UTF-8" standalone="yes"?>
<Relationships xmlns="http://schemas.openxmlformats.org/package/2006/relationships"><Relationship Id="rId3" Type="http://schemas.openxmlformats.org/officeDocument/2006/relationships/package" Target="../embeddings/Microsoft_Excel_Worksheet12.xlsx"/><Relationship Id="rId2" Type="http://schemas.microsoft.com/office/2011/relationships/chartColorStyle" Target="colors13.xml"/><Relationship Id="rId1" Type="http://schemas.microsoft.com/office/2011/relationships/chartStyle" Target="style13.xml"/><Relationship Id="rId4" Type="http://schemas.openxmlformats.org/officeDocument/2006/relationships/chartUserShapes" Target="../drawings/drawing7.xml"/></Relationships>
</file>

<file path=word/charts/_rels/chart14.xml.rels><?xml version="1.0" encoding="UTF-8" standalone="yes"?>
<Relationships xmlns="http://schemas.openxmlformats.org/package/2006/relationships"><Relationship Id="rId3" Type="http://schemas.openxmlformats.org/officeDocument/2006/relationships/package" Target="../embeddings/Microsoft_Excel_Worksheet13.xlsx"/><Relationship Id="rId2" Type="http://schemas.microsoft.com/office/2011/relationships/chartColorStyle" Target="colors14.xml"/><Relationship Id="rId1" Type="http://schemas.microsoft.com/office/2011/relationships/chartStyle" Target="style14.xml"/><Relationship Id="rId4" Type="http://schemas.openxmlformats.org/officeDocument/2006/relationships/chartUserShapes" Target="../drawings/drawing8.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chartUserShapes" Target="../drawings/drawing1.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chartUserShapes" Target="../drawings/drawing2.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6.xml"/><Relationship Id="rId1" Type="http://schemas.microsoft.com/office/2011/relationships/chartStyle" Target="style6.xml"/><Relationship Id="rId4" Type="http://schemas.openxmlformats.org/officeDocument/2006/relationships/chartUserShapes" Target="../drawings/drawing3.xml"/></Relationships>
</file>

<file path=word/charts/_rels/chart7.xml.rels><?xml version="1.0" encoding="UTF-8" standalone="yes"?>
<Relationships xmlns="http://schemas.openxmlformats.org/package/2006/relationships"><Relationship Id="rId3" Type="http://schemas.openxmlformats.org/officeDocument/2006/relationships/package" Target="../embeddings/Microsoft_Excel_Worksheet6.xlsx"/><Relationship Id="rId2" Type="http://schemas.microsoft.com/office/2011/relationships/chartColorStyle" Target="colors7.xml"/><Relationship Id="rId1" Type="http://schemas.microsoft.com/office/2011/relationships/chartStyle" Target="style7.xml"/><Relationship Id="rId4" Type="http://schemas.openxmlformats.org/officeDocument/2006/relationships/chartUserShapes" Target="../drawings/drawing4.xml"/></Relationships>
</file>

<file path=word/charts/_rels/chart8.xml.rels><?xml version="1.0" encoding="UTF-8" standalone="yes"?>
<Relationships xmlns="http://schemas.openxmlformats.org/package/2006/relationships"><Relationship Id="rId3" Type="http://schemas.openxmlformats.org/officeDocument/2006/relationships/package" Target="../embeddings/Microsoft_Excel_Worksheet7.xlsx"/><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package" Target="../embeddings/Microsoft_Excel_Worksheet8.xlsx"/><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ysClr val="windowText" lastClr="000000"/>
                </a:solidFill>
                <a:latin typeface="+mn-lt"/>
                <a:ea typeface="+mn-ea"/>
                <a:cs typeface="+mn-cs"/>
              </a:defRPr>
            </a:pPr>
            <a:r>
              <a:rPr lang="en-CA" sz="1200" b="1" i="0" baseline="0">
                <a:solidFill>
                  <a:sysClr val="windowText" lastClr="000000"/>
                </a:solidFill>
                <a:effectLst/>
              </a:rPr>
              <a:t>Population selon la durée d'emploi au 31 mars</a:t>
            </a:r>
            <a:endParaRPr lang="en-CA" sz="1200">
              <a:solidFill>
                <a:sysClr val="windowText" lastClr="000000"/>
              </a:solidFill>
              <a:effectLst/>
            </a:endParaRPr>
          </a:p>
        </c:rich>
      </c:tx>
      <c:layout>
        <c:manualLayout>
          <c:xMode val="edge"/>
          <c:yMode val="edge"/>
          <c:x val="0.23053046699685306"/>
          <c:y val="1.5584351685262421E-2"/>
        </c:manualLayout>
      </c:layout>
      <c:overlay val="1"/>
      <c:spPr>
        <a:noFill/>
        <a:ln>
          <a:noFill/>
        </a:ln>
        <a:effectLst/>
      </c:spPr>
      <c:txPr>
        <a:bodyPr rot="0" spcFirstLastPara="1" vertOverflow="ellipsis" vert="horz" wrap="square" anchor="ctr" anchorCtr="1"/>
        <a:lstStyle/>
        <a:p>
          <a:pPr>
            <a:defRPr sz="1200" b="0" i="0" u="none" strike="noStrike" kern="1200" spc="0" baseline="0">
              <a:solidFill>
                <a:sysClr val="windowText" lastClr="000000"/>
              </a:solidFill>
              <a:latin typeface="+mn-lt"/>
              <a:ea typeface="+mn-ea"/>
              <a:cs typeface="+mn-cs"/>
            </a:defRPr>
          </a:pPr>
          <a:endParaRPr lang="en-US"/>
        </a:p>
      </c:txPr>
    </c:title>
    <c:autoTitleDeleted val="0"/>
    <c:plotArea>
      <c:layout>
        <c:manualLayout>
          <c:layoutTarget val="inner"/>
          <c:xMode val="edge"/>
          <c:yMode val="edge"/>
          <c:x val="0.12225561684641545"/>
          <c:y val="0.10909090909090909"/>
          <c:w val="0.8438565211696043"/>
          <c:h val="0.59450168728908881"/>
        </c:manualLayout>
      </c:layout>
      <c:barChart>
        <c:barDir val="col"/>
        <c:grouping val="stacked"/>
        <c:varyColors val="0"/>
        <c:ser>
          <c:idx val="0"/>
          <c:order val="0"/>
          <c:tx>
            <c:strRef>
              <c:f>Sheet1!$B$1</c:f>
              <c:strCache>
                <c:ptCount val="1"/>
                <c:pt idx="0">
                  <c:v>Indéterminée</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Sheet1!$A$2:$A$7</c:f>
              <c:strCache>
                <c:ptCount val="6"/>
                <c:pt idx="0">
                  <c:v> 2014 
(N=6 006) </c:v>
                </c:pt>
                <c:pt idx="1">
                  <c:v> 2015
(N=5 953) </c:v>
                </c:pt>
                <c:pt idx="2">
                  <c:v> 2016
(N=5 881) </c:v>
                </c:pt>
                <c:pt idx="3">
                  <c:v> 2017
(N=6 125) </c:v>
                </c:pt>
                <c:pt idx="4">
                  <c:v> 2018
(N=6 385) </c:v>
                </c:pt>
                <c:pt idx="5">
                  <c:v> 2019
(N=6 556) </c:v>
                </c:pt>
              </c:strCache>
            </c:strRef>
          </c:cat>
          <c:val>
            <c:numRef>
              <c:f>Sheet1!$B$2:$B$7</c:f>
              <c:numCache>
                <c:formatCode>#\ ###</c:formatCode>
                <c:ptCount val="6"/>
                <c:pt idx="0">
                  <c:v>5399</c:v>
                </c:pt>
                <c:pt idx="1">
                  <c:v>5263</c:v>
                </c:pt>
                <c:pt idx="2">
                  <c:v>5219</c:v>
                </c:pt>
                <c:pt idx="3">
                  <c:v>5339</c:v>
                </c:pt>
                <c:pt idx="4">
                  <c:v>5290</c:v>
                </c:pt>
                <c:pt idx="5">
                  <c:v>5408</c:v>
                </c:pt>
              </c:numCache>
            </c:numRef>
          </c:val>
          <c:extLst>
            <c:ext xmlns:c16="http://schemas.microsoft.com/office/drawing/2014/chart" uri="{C3380CC4-5D6E-409C-BE32-E72D297353CC}">
              <c16:uniqueId val="{00000000-0FB8-43E0-8C4E-933471F0830B}"/>
            </c:ext>
          </c:extLst>
        </c:ser>
        <c:ser>
          <c:idx val="1"/>
          <c:order val="1"/>
          <c:tx>
            <c:strRef>
              <c:f>Sheet1!$C$1</c:f>
              <c:strCache>
                <c:ptCount val="1"/>
                <c:pt idx="0">
                  <c:v>Déterminée</c:v>
                </c:pt>
              </c:strCache>
            </c:strRef>
          </c:tx>
          <c:spPr>
            <a:solidFill>
              <a:schemeClr val="accent2"/>
            </a:solidFill>
            <a:ln>
              <a:noFill/>
            </a:ln>
            <a:effectLst/>
          </c:spPr>
          <c:invertIfNegative val="0"/>
          <c:dLbls>
            <c:dLbl>
              <c:idx val="0"/>
              <c:layout>
                <c:manualLayout>
                  <c:x val="3.080714725816361E-3"/>
                  <c:y val="4.6753246753246727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0FB8-43E0-8C4E-933471F0830B}"/>
                </c:ext>
              </c:extLst>
            </c:dLbl>
            <c:dLbl>
              <c:idx val="1"/>
              <c:layout>
                <c:manualLayout>
                  <c:x val="-5.6479117521715313E-17"/>
                  <c:y val="4.6753246753246755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0FB8-43E0-8C4E-933471F0830B}"/>
                </c:ext>
              </c:extLst>
            </c:dLbl>
            <c:dLbl>
              <c:idx val="2"/>
              <c:layout>
                <c:manualLayout>
                  <c:x val="0"/>
                  <c:y val="4.155844155844151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0FB8-43E0-8C4E-933471F0830B}"/>
                </c:ext>
              </c:extLst>
            </c:dLbl>
            <c:dLbl>
              <c:idx val="3"/>
              <c:layout>
                <c:manualLayout>
                  <c:x val="0"/>
                  <c:y val="4.6753246753246755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0FB8-43E0-8C4E-933471F0830B}"/>
                </c:ext>
              </c:extLst>
            </c:dLbl>
            <c:dLbl>
              <c:idx val="4"/>
              <c:layout>
                <c:manualLayout>
                  <c:x val="0"/>
                  <c:y val="5.1948051948051951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0FB8-43E0-8C4E-933471F0830B}"/>
                </c:ext>
              </c:extLst>
            </c:dLbl>
            <c:dLbl>
              <c:idx val="5"/>
              <c:layout>
                <c:manualLayout>
                  <c:x val="0"/>
                  <c:y val="3.6363636363636362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0FB8-43E0-8C4E-933471F0830B}"/>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Sheet1!$A$2:$A$7</c:f>
              <c:strCache>
                <c:ptCount val="6"/>
                <c:pt idx="0">
                  <c:v> 2014 
(N=6 006) </c:v>
                </c:pt>
                <c:pt idx="1">
                  <c:v> 2015
(N=5 953) </c:v>
                </c:pt>
                <c:pt idx="2">
                  <c:v> 2016
(N=5 881) </c:v>
                </c:pt>
                <c:pt idx="3">
                  <c:v> 2017
(N=6 125) </c:v>
                </c:pt>
                <c:pt idx="4">
                  <c:v> 2018
(N=6 385) </c:v>
                </c:pt>
                <c:pt idx="5">
                  <c:v> 2019
(N=6 556) </c:v>
                </c:pt>
              </c:strCache>
            </c:strRef>
          </c:cat>
          <c:val>
            <c:numRef>
              <c:f>Sheet1!$C$2:$C$7</c:f>
              <c:numCache>
                <c:formatCode>#\ ###</c:formatCode>
                <c:ptCount val="6"/>
                <c:pt idx="0">
                  <c:v>211</c:v>
                </c:pt>
                <c:pt idx="1">
                  <c:v>251</c:v>
                </c:pt>
                <c:pt idx="2">
                  <c:v>249</c:v>
                </c:pt>
                <c:pt idx="3">
                  <c:v>316</c:v>
                </c:pt>
                <c:pt idx="4">
                  <c:v>458</c:v>
                </c:pt>
                <c:pt idx="5">
                  <c:v>475</c:v>
                </c:pt>
              </c:numCache>
            </c:numRef>
          </c:val>
          <c:extLst>
            <c:ext xmlns:c16="http://schemas.microsoft.com/office/drawing/2014/chart" uri="{C3380CC4-5D6E-409C-BE32-E72D297353CC}">
              <c16:uniqueId val="{00000007-0FB8-43E0-8C4E-933471F0830B}"/>
            </c:ext>
          </c:extLst>
        </c:ser>
        <c:ser>
          <c:idx val="2"/>
          <c:order val="2"/>
          <c:tx>
            <c:strRef>
              <c:f>Sheet1!$D$1</c:f>
              <c:strCache>
                <c:ptCount val="1"/>
                <c:pt idx="0">
                  <c:v>Occasionnel</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Sheet1!$A$2:$A$7</c:f>
              <c:strCache>
                <c:ptCount val="6"/>
                <c:pt idx="0">
                  <c:v> 2014 
(N=6 006) </c:v>
                </c:pt>
                <c:pt idx="1">
                  <c:v> 2015
(N=5 953) </c:v>
                </c:pt>
                <c:pt idx="2">
                  <c:v> 2016
(N=5 881) </c:v>
                </c:pt>
                <c:pt idx="3">
                  <c:v> 2017
(N=6 125) </c:v>
                </c:pt>
                <c:pt idx="4">
                  <c:v> 2018
(N=6 385) </c:v>
                </c:pt>
                <c:pt idx="5">
                  <c:v> 2019
(N=6 556) </c:v>
                </c:pt>
              </c:strCache>
            </c:strRef>
          </c:cat>
          <c:val>
            <c:numRef>
              <c:f>Sheet1!$D$2:$D$7</c:f>
              <c:numCache>
                <c:formatCode>#\ ###</c:formatCode>
                <c:ptCount val="6"/>
                <c:pt idx="0">
                  <c:v>260</c:v>
                </c:pt>
                <c:pt idx="1">
                  <c:v>296</c:v>
                </c:pt>
                <c:pt idx="2">
                  <c:v>255</c:v>
                </c:pt>
                <c:pt idx="3">
                  <c:v>297</c:v>
                </c:pt>
                <c:pt idx="4">
                  <c:v>391</c:v>
                </c:pt>
                <c:pt idx="5">
                  <c:v>396</c:v>
                </c:pt>
              </c:numCache>
            </c:numRef>
          </c:val>
          <c:extLst>
            <c:ext xmlns:c16="http://schemas.microsoft.com/office/drawing/2014/chart" uri="{C3380CC4-5D6E-409C-BE32-E72D297353CC}">
              <c16:uniqueId val="{00000008-0FB8-43E0-8C4E-933471F0830B}"/>
            </c:ext>
          </c:extLst>
        </c:ser>
        <c:ser>
          <c:idx val="3"/>
          <c:order val="3"/>
          <c:tx>
            <c:strRef>
              <c:f>Sheet1!$E$1</c:f>
              <c:strCache>
                <c:ptCount val="1"/>
                <c:pt idx="0">
                  <c:v>Étudiant</c:v>
                </c:pt>
              </c:strCache>
            </c:strRef>
          </c:tx>
          <c:spPr>
            <a:solidFill>
              <a:schemeClr val="accent4"/>
            </a:solidFill>
            <a:ln>
              <a:noFill/>
            </a:ln>
            <a:effectLst/>
          </c:spPr>
          <c:invertIfNegative val="0"/>
          <c:dLbls>
            <c:dLbl>
              <c:idx val="0"/>
              <c:layout>
                <c:manualLayout>
                  <c:x val="3.0807147258163892E-3"/>
                  <c:y val="-4.1558441558441579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0FB8-43E0-8C4E-933471F0830B}"/>
                </c:ext>
              </c:extLst>
            </c:dLbl>
            <c:dLbl>
              <c:idx val="1"/>
              <c:layout>
                <c:manualLayout>
                  <c:x val="0"/>
                  <c:y val="-3.1168831168831169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0FB8-43E0-8C4E-933471F0830B}"/>
                </c:ext>
              </c:extLst>
            </c:dLbl>
            <c:dLbl>
              <c:idx val="2"/>
              <c:layout>
                <c:manualLayout>
                  <c:x val="-5.6479117521715313E-17"/>
                  <c:y val="-4.1558441558441579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0FB8-43E0-8C4E-933471F0830B}"/>
                </c:ext>
              </c:extLst>
            </c:dLbl>
            <c:dLbl>
              <c:idx val="3"/>
              <c:layout>
                <c:manualLayout>
                  <c:x val="0"/>
                  <c:y val="-4.1558441558441579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0FB8-43E0-8C4E-933471F0830B}"/>
                </c:ext>
              </c:extLst>
            </c:dLbl>
            <c:dLbl>
              <c:idx val="4"/>
              <c:layout>
                <c:manualLayout>
                  <c:x val="0"/>
                  <c:y val="-3.6363636363636362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0FB8-43E0-8C4E-933471F0830B}"/>
                </c:ext>
              </c:extLst>
            </c:dLbl>
            <c:dLbl>
              <c:idx val="5"/>
              <c:layout>
                <c:manualLayout>
                  <c:x val="0"/>
                  <c:y val="-4.6753246753246741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0FB8-43E0-8C4E-933471F0830B}"/>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Sheet1!$A$2:$A$7</c:f>
              <c:strCache>
                <c:ptCount val="6"/>
                <c:pt idx="0">
                  <c:v> 2014 
(N=6 006) </c:v>
                </c:pt>
                <c:pt idx="1">
                  <c:v> 2015
(N=5 953) </c:v>
                </c:pt>
                <c:pt idx="2">
                  <c:v> 2016
(N=5 881) </c:v>
                </c:pt>
                <c:pt idx="3">
                  <c:v> 2017
(N=6 125) </c:v>
                </c:pt>
                <c:pt idx="4">
                  <c:v> 2018
(N=6 385) </c:v>
                </c:pt>
                <c:pt idx="5">
                  <c:v> 2019
(N=6 556) </c:v>
                </c:pt>
              </c:strCache>
            </c:strRef>
          </c:cat>
          <c:val>
            <c:numRef>
              <c:f>Sheet1!$E$2:$E$7</c:f>
              <c:numCache>
                <c:formatCode>#\ ###</c:formatCode>
                <c:ptCount val="6"/>
                <c:pt idx="0">
                  <c:v>136</c:v>
                </c:pt>
                <c:pt idx="1">
                  <c:v>143</c:v>
                </c:pt>
                <c:pt idx="2">
                  <c:v>158</c:v>
                </c:pt>
                <c:pt idx="3">
                  <c:v>173</c:v>
                </c:pt>
                <c:pt idx="4">
                  <c:v>246</c:v>
                </c:pt>
                <c:pt idx="5">
                  <c:v>277</c:v>
                </c:pt>
              </c:numCache>
            </c:numRef>
          </c:val>
          <c:extLst>
            <c:ext xmlns:c16="http://schemas.microsoft.com/office/drawing/2014/chart" uri="{C3380CC4-5D6E-409C-BE32-E72D297353CC}">
              <c16:uniqueId val="{0000000F-0FB8-43E0-8C4E-933471F0830B}"/>
            </c:ext>
          </c:extLst>
        </c:ser>
        <c:dLbls>
          <c:dLblPos val="ctr"/>
          <c:showLegendKey val="0"/>
          <c:showVal val="1"/>
          <c:showCatName val="0"/>
          <c:showSerName val="0"/>
          <c:showPercent val="0"/>
          <c:showBubbleSize val="0"/>
        </c:dLbls>
        <c:gapWidth val="150"/>
        <c:overlap val="100"/>
        <c:axId val="550226312"/>
        <c:axId val="550217296"/>
      </c:barChart>
      <c:catAx>
        <c:axId val="5502263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550217296"/>
        <c:crosses val="autoZero"/>
        <c:auto val="1"/>
        <c:lblAlgn val="ctr"/>
        <c:lblOffset val="100"/>
        <c:noMultiLvlLbl val="0"/>
      </c:catAx>
      <c:valAx>
        <c:axId val="550217296"/>
        <c:scaling>
          <c:orientation val="minMax"/>
        </c:scaling>
        <c:delete val="0"/>
        <c:axPos val="l"/>
        <c:numFmt formatCode="#\ ###"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550226312"/>
        <c:crosses val="autoZero"/>
        <c:crossBetween val="between"/>
      </c:valAx>
      <c:spPr>
        <a:noFill/>
        <a:ln>
          <a:noFill/>
        </a:ln>
        <a:effectLst/>
      </c:spPr>
    </c:plotArea>
    <c:legend>
      <c:legendPos val="b"/>
      <c:layout>
        <c:manualLayout>
          <c:xMode val="edge"/>
          <c:yMode val="edge"/>
          <c:x val="0.13638008742437693"/>
          <c:y val="0.88116821760916253"/>
          <c:w val="0.77653126076430834"/>
          <c:h val="8.7662951222006347E-2"/>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ysClr val="windowText" lastClr="000000"/>
                </a:solidFill>
                <a:latin typeface="+mn-lt"/>
                <a:ea typeface="+mn-ea"/>
                <a:cs typeface="+mn-cs"/>
              </a:defRPr>
            </a:pPr>
            <a:r>
              <a:rPr lang="en-CA" sz="1200" b="1">
                <a:solidFill>
                  <a:sysClr val="windowText" lastClr="000000"/>
                </a:solidFill>
              </a:rPr>
              <a:t>Embauche</a:t>
            </a:r>
            <a:r>
              <a:rPr lang="en-CA" sz="1200" b="1" baseline="0">
                <a:solidFill>
                  <a:sysClr val="windowText" lastClr="000000"/>
                </a:solidFill>
              </a:rPr>
              <a:t> d'étudiants</a:t>
            </a:r>
            <a:endParaRPr lang="en-CA" sz="1200" b="1">
              <a:solidFill>
                <a:sysClr val="windowText" lastClr="000000"/>
              </a:solidFill>
            </a:endParaRPr>
          </a:p>
        </c:rich>
      </c:tx>
      <c:layout>
        <c:manualLayout>
          <c:xMode val="edge"/>
          <c:yMode val="edge"/>
          <c:x val="0.3623920365772153"/>
          <c:y val="3.519279940038738E-2"/>
        </c:manualLayout>
      </c:layout>
      <c:overlay val="0"/>
      <c:spPr>
        <a:noFill/>
        <a:ln>
          <a:noFill/>
        </a:ln>
        <a:effectLst/>
      </c:spPr>
      <c:txPr>
        <a:bodyPr rot="0" spcFirstLastPara="1" vertOverflow="ellipsis" vert="horz" wrap="square" anchor="ctr" anchorCtr="1"/>
        <a:lstStyle/>
        <a:p>
          <a:pPr>
            <a:defRPr sz="1200" b="0" i="0" u="none" strike="noStrike" kern="1200" spc="0" baseline="0">
              <a:solidFill>
                <a:sysClr val="windowText" lastClr="000000"/>
              </a:solidFill>
              <a:latin typeface="+mn-lt"/>
              <a:ea typeface="+mn-ea"/>
              <a:cs typeface="+mn-cs"/>
            </a:defRPr>
          </a:pPr>
          <a:endParaRPr lang="en-US"/>
        </a:p>
      </c:txPr>
    </c:title>
    <c:autoTitleDeleted val="0"/>
    <c:plotArea>
      <c:layout>
        <c:manualLayout>
          <c:layoutTarget val="inner"/>
          <c:xMode val="edge"/>
          <c:yMode val="edge"/>
          <c:x val="0.11946256204627399"/>
          <c:y val="0.10525709900230237"/>
          <c:w val="0.83536289996604629"/>
          <c:h val="0.58717180352455944"/>
        </c:manualLayout>
      </c:layout>
      <c:barChart>
        <c:barDir val="col"/>
        <c:grouping val="stacked"/>
        <c:varyColors val="0"/>
        <c:ser>
          <c:idx val="0"/>
          <c:order val="0"/>
          <c:tx>
            <c:strRef>
              <c:f>Sheet1!$B$1</c:f>
              <c:strCache>
                <c:ptCount val="1"/>
                <c:pt idx="0">
                  <c:v>Programme fédéral d'expérience de travail étudiant (PFETÉ)</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2014-2015
 (N=394)</c:v>
                </c:pt>
                <c:pt idx="1">
                  <c:v>2015-2016
 (N=402)</c:v>
                </c:pt>
                <c:pt idx="2">
                  <c:v>2016-2017
 (N=397)</c:v>
                </c:pt>
                <c:pt idx="3">
                  <c:v>2017-2018
 (N=485)</c:v>
                </c:pt>
                <c:pt idx="4">
                  <c:v>2018-2019
 (N=553)</c:v>
                </c:pt>
              </c:strCache>
            </c:strRef>
          </c:cat>
          <c:val>
            <c:numRef>
              <c:f>Sheet1!$B$2:$B$6</c:f>
              <c:numCache>
                <c:formatCode>General</c:formatCode>
                <c:ptCount val="5"/>
                <c:pt idx="0">
                  <c:v>178</c:v>
                </c:pt>
                <c:pt idx="1">
                  <c:v>122</c:v>
                </c:pt>
                <c:pt idx="2">
                  <c:v>134</c:v>
                </c:pt>
                <c:pt idx="3">
                  <c:v>185</c:v>
                </c:pt>
                <c:pt idx="4">
                  <c:v>210</c:v>
                </c:pt>
              </c:numCache>
            </c:numRef>
          </c:val>
          <c:extLst>
            <c:ext xmlns:c16="http://schemas.microsoft.com/office/drawing/2014/chart" uri="{C3380CC4-5D6E-409C-BE32-E72D297353CC}">
              <c16:uniqueId val="{00000000-66AD-44DC-9C00-E3191A0B98CF}"/>
            </c:ext>
          </c:extLst>
        </c:ser>
        <c:ser>
          <c:idx val="1"/>
          <c:order val="1"/>
          <c:tx>
            <c:strRef>
              <c:f>Sheet1!$C$1</c:f>
              <c:strCache>
                <c:ptCount val="1"/>
                <c:pt idx="0">
                  <c:v>Programme post secondaire d'enseignement coopératif/stage (COOP)</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2014-2015
 (N=394)</c:v>
                </c:pt>
                <c:pt idx="1">
                  <c:v>2015-2016
 (N=402)</c:v>
                </c:pt>
                <c:pt idx="2">
                  <c:v>2016-2017
 (N=397)</c:v>
                </c:pt>
                <c:pt idx="3">
                  <c:v>2017-2018
 (N=485)</c:v>
                </c:pt>
                <c:pt idx="4">
                  <c:v>2018-2019
 (N=553)</c:v>
                </c:pt>
              </c:strCache>
            </c:strRef>
          </c:cat>
          <c:val>
            <c:numRef>
              <c:f>Sheet1!$C$2:$C$6</c:f>
              <c:numCache>
                <c:formatCode>General</c:formatCode>
                <c:ptCount val="5"/>
                <c:pt idx="0">
                  <c:v>216</c:v>
                </c:pt>
                <c:pt idx="1">
                  <c:v>271</c:v>
                </c:pt>
                <c:pt idx="2">
                  <c:v>263</c:v>
                </c:pt>
                <c:pt idx="3">
                  <c:v>296</c:v>
                </c:pt>
                <c:pt idx="4">
                  <c:v>340</c:v>
                </c:pt>
              </c:numCache>
            </c:numRef>
          </c:val>
          <c:extLst>
            <c:ext xmlns:c16="http://schemas.microsoft.com/office/drawing/2014/chart" uri="{C3380CC4-5D6E-409C-BE32-E72D297353CC}">
              <c16:uniqueId val="{00000001-66AD-44DC-9C00-E3191A0B98CF}"/>
            </c:ext>
          </c:extLst>
        </c:ser>
        <c:ser>
          <c:idx val="2"/>
          <c:order val="2"/>
          <c:tx>
            <c:strRef>
              <c:f>Sheet1!$D$1</c:f>
              <c:strCache>
                <c:ptCount val="1"/>
                <c:pt idx="0">
                  <c:v>Programme des adjoints de recherche (PAR)</c:v>
                </c:pt>
              </c:strCache>
            </c:strRef>
          </c:tx>
          <c:spPr>
            <a:solidFill>
              <a:schemeClr val="accent3"/>
            </a:solidFill>
            <a:ln>
              <a:noFill/>
            </a:ln>
            <a:effectLst/>
          </c:spPr>
          <c:invertIfNegative val="0"/>
          <c:dLbls>
            <c:dLbl>
              <c:idx val="0"/>
              <c:delete val="1"/>
              <c:extLst>
                <c:ext xmlns:c15="http://schemas.microsoft.com/office/drawing/2012/chart" uri="{CE6537A1-D6FC-4f65-9D91-7224C49458BB}"/>
                <c:ext xmlns:c16="http://schemas.microsoft.com/office/drawing/2014/chart" uri="{C3380CC4-5D6E-409C-BE32-E72D297353CC}">
                  <c16:uniqueId val="{00000002-66AD-44DC-9C00-E3191A0B98CF}"/>
                </c:ext>
              </c:extLst>
            </c:dLbl>
            <c:dLbl>
              <c:idx val="1"/>
              <c:layout>
                <c:manualLayout>
                  <c:x val="0"/>
                  <c:y val="-3.355704697986573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66AD-44DC-9C00-E3191A0B98CF}"/>
                </c:ext>
              </c:extLst>
            </c:dLbl>
            <c:dLbl>
              <c:idx val="2"/>
              <c:delete val="1"/>
              <c:extLst>
                <c:ext xmlns:c15="http://schemas.microsoft.com/office/drawing/2012/chart" uri="{CE6537A1-D6FC-4f65-9D91-7224C49458BB}"/>
                <c:ext xmlns:c16="http://schemas.microsoft.com/office/drawing/2014/chart" uri="{C3380CC4-5D6E-409C-BE32-E72D297353CC}">
                  <c16:uniqueId val="{00000004-66AD-44DC-9C00-E3191A0B98CF}"/>
                </c:ext>
              </c:extLst>
            </c:dLbl>
            <c:dLbl>
              <c:idx val="3"/>
              <c:layout>
                <c:manualLayout>
                  <c:x val="4.1067761806981521E-3"/>
                  <c:y val="-3.3557046979865772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66AD-44DC-9C00-E3191A0B98CF}"/>
                </c:ext>
              </c:extLst>
            </c:dLbl>
            <c:dLbl>
              <c:idx val="4"/>
              <c:layout>
                <c:manualLayout>
                  <c:x val="8.2135523613961533E-3"/>
                  <c:y val="-2.9828486204325131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66AD-44DC-9C00-E3191A0B98CF}"/>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2014-2015
 (N=394)</c:v>
                </c:pt>
                <c:pt idx="1">
                  <c:v>2015-2016
 (N=402)</c:v>
                </c:pt>
                <c:pt idx="2">
                  <c:v>2016-2017
 (N=397)</c:v>
                </c:pt>
                <c:pt idx="3">
                  <c:v>2017-2018
 (N=485)</c:v>
                </c:pt>
                <c:pt idx="4">
                  <c:v>2018-2019
 (N=553)</c:v>
                </c:pt>
              </c:strCache>
            </c:strRef>
          </c:cat>
          <c:val>
            <c:numRef>
              <c:f>Sheet1!$D$2:$D$6</c:f>
              <c:numCache>
                <c:formatCode>General</c:formatCode>
                <c:ptCount val="5"/>
                <c:pt idx="0">
                  <c:v>0</c:v>
                </c:pt>
                <c:pt idx="1">
                  <c:v>9</c:v>
                </c:pt>
                <c:pt idx="2">
                  <c:v>0</c:v>
                </c:pt>
                <c:pt idx="3">
                  <c:v>4</c:v>
                </c:pt>
                <c:pt idx="4">
                  <c:v>3</c:v>
                </c:pt>
              </c:numCache>
            </c:numRef>
          </c:val>
          <c:extLst>
            <c:ext xmlns:c16="http://schemas.microsoft.com/office/drawing/2014/chart" uri="{C3380CC4-5D6E-409C-BE32-E72D297353CC}">
              <c16:uniqueId val="{00000007-66AD-44DC-9C00-E3191A0B98CF}"/>
            </c:ext>
          </c:extLst>
        </c:ser>
        <c:dLbls>
          <c:dLblPos val="ctr"/>
          <c:showLegendKey val="0"/>
          <c:showVal val="1"/>
          <c:showCatName val="0"/>
          <c:showSerName val="0"/>
          <c:showPercent val="0"/>
          <c:showBubbleSize val="0"/>
        </c:dLbls>
        <c:gapWidth val="150"/>
        <c:overlap val="100"/>
        <c:axId val="550220824"/>
        <c:axId val="550223568"/>
      </c:barChart>
      <c:catAx>
        <c:axId val="5502208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0" spcFirstLastPara="1" vertOverflow="ellipsis" wrap="square" anchor="ctr" anchorCtr="1"/>
          <a:lstStyle/>
          <a:p>
            <a:pPr>
              <a:defRPr sz="850" b="0" i="0" u="none" strike="noStrike" kern="1200" baseline="0">
                <a:solidFill>
                  <a:sysClr val="windowText" lastClr="000000"/>
                </a:solidFill>
                <a:latin typeface="+mn-lt"/>
                <a:ea typeface="+mn-ea"/>
                <a:cs typeface="+mn-cs"/>
              </a:defRPr>
            </a:pPr>
            <a:endParaRPr lang="en-US"/>
          </a:p>
        </c:txPr>
        <c:crossAx val="550223568"/>
        <c:crosses val="autoZero"/>
        <c:auto val="1"/>
        <c:lblAlgn val="ctr"/>
        <c:lblOffset val="100"/>
        <c:noMultiLvlLbl val="0"/>
      </c:catAx>
      <c:valAx>
        <c:axId val="550223568"/>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550220824"/>
        <c:crosses val="autoZero"/>
        <c:crossBetween val="between"/>
      </c:valAx>
      <c:spPr>
        <a:noFill/>
        <a:ln>
          <a:noFill/>
        </a:ln>
        <a:effectLst/>
      </c:spPr>
    </c:plotArea>
    <c:legend>
      <c:legendPos val="b"/>
      <c:layout>
        <c:manualLayout>
          <c:xMode val="edge"/>
          <c:yMode val="edge"/>
          <c:x val="4.4100955553040477E-3"/>
          <c:y val="0.80836371963571652"/>
          <c:w val="0.97885948034729742"/>
          <c:h val="0.15042100442142717"/>
        </c:manualLayout>
      </c:layout>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baseline="0">
                <a:solidFill>
                  <a:sysClr val="windowText" lastClr="000000"/>
                </a:solidFill>
                <a:latin typeface="+mn-lt"/>
                <a:ea typeface="+mn-ea"/>
                <a:cs typeface="+mn-cs"/>
              </a:defRPr>
            </a:pPr>
            <a:r>
              <a:rPr lang="en-CA" sz="1200" b="1" i="0" baseline="0">
                <a:solidFill>
                  <a:sysClr val="windowText" lastClr="000000"/>
                </a:solidFill>
                <a:effectLst/>
              </a:rPr>
              <a:t>Activités d'embauche externe pour une période indéterminée et d'une durée déterminée: Programme de recrutement postsecondaire et embauche d'anciens étudiants</a:t>
            </a:r>
            <a:endParaRPr lang="en-CA" sz="1200">
              <a:solidFill>
                <a:sysClr val="windowText" lastClr="000000"/>
              </a:solidFill>
              <a:effectLst/>
            </a:endParaRPr>
          </a:p>
        </c:rich>
      </c:tx>
      <c:overlay val="0"/>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mn-lt"/>
              <a:ea typeface="+mn-ea"/>
              <a:cs typeface="+mn-cs"/>
            </a:defRPr>
          </a:pPr>
          <a:endParaRPr lang="en-US"/>
        </a:p>
      </c:txPr>
    </c:title>
    <c:autoTitleDeleted val="0"/>
    <c:view3D>
      <c:rotX val="0"/>
      <c:rotY val="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8.7963032789915352E-2"/>
          <c:y val="0.19540249333760371"/>
          <c:w val="0.90621744112971792"/>
          <c:h val="0.53496668007882819"/>
        </c:manualLayout>
      </c:layout>
      <c:bar3DChart>
        <c:barDir val="col"/>
        <c:grouping val="clustered"/>
        <c:varyColors val="0"/>
        <c:ser>
          <c:idx val="0"/>
          <c:order val="0"/>
          <c:tx>
            <c:strRef>
              <c:f>Sheet1!$B$1</c:f>
              <c:strCache>
                <c:ptCount val="1"/>
                <c:pt idx="0">
                  <c:v>Recrutement postsecondaire (RP)</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dLbls>
            <c:dLbl>
              <c:idx val="0"/>
              <c:layout>
                <c:manualLayout>
                  <c:x val="0"/>
                  <c:y val="1.118985453189108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8CBC-4C72-8CE3-094592B34805}"/>
                </c:ext>
              </c:extLst>
            </c:dLbl>
            <c:dLbl>
              <c:idx val="1"/>
              <c:layout>
                <c:manualLayout>
                  <c:x val="0"/>
                  <c:y val="1.118985453189108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8CBC-4C72-8CE3-094592B34805}"/>
                </c:ext>
              </c:extLst>
            </c:dLbl>
            <c:dLbl>
              <c:idx val="2"/>
              <c:layout>
                <c:manualLayout>
                  <c:x val="-6.7525309567398852E-17"/>
                  <c:y val="1.118985453189108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8CBC-4C72-8CE3-094592B34805}"/>
                </c:ext>
              </c:extLst>
            </c:dLbl>
            <c:dLbl>
              <c:idx val="3"/>
              <c:layout>
                <c:manualLayout>
                  <c:x val="0"/>
                  <c:y val="1.118985453189101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8CBC-4C72-8CE3-094592B34805}"/>
                </c:ext>
              </c:extLst>
            </c:dLbl>
            <c:dLbl>
              <c:idx val="4"/>
              <c:layout>
                <c:manualLayout>
                  <c:x val="0"/>
                  <c:y val="1.49198060425213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8CBC-4C72-8CE3-094592B34805}"/>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2014-2015</c:v>
                </c:pt>
                <c:pt idx="1">
                  <c:v>2015-2016</c:v>
                </c:pt>
                <c:pt idx="2">
                  <c:v>2016-2017</c:v>
                </c:pt>
                <c:pt idx="3">
                  <c:v>2017-2018</c:v>
                </c:pt>
                <c:pt idx="4">
                  <c:v>2018-2019</c:v>
                </c:pt>
              </c:strCache>
            </c:strRef>
          </c:cat>
          <c:val>
            <c:numRef>
              <c:f>Sheet1!$B$2:$B$6</c:f>
              <c:numCache>
                <c:formatCode>_-* #,##0_-;\-* #,##0_-;_-* "-"??_-;_-@_-</c:formatCode>
                <c:ptCount val="5"/>
                <c:pt idx="0">
                  <c:v>30</c:v>
                </c:pt>
                <c:pt idx="1">
                  <c:v>62</c:v>
                </c:pt>
                <c:pt idx="2">
                  <c:v>82</c:v>
                </c:pt>
                <c:pt idx="3">
                  <c:v>64</c:v>
                </c:pt>
                <c:pt idx="4">
                  <c:v>48</c:v>
                </c:pt>
              </c:numCache>
            </c:numRef>
          </c:val>
          <c:extLst>
            <c:ext xmlns:c16="http://schemas.microsoft.com/office/drawing/2014/chart" uri="{C3380CC4-5D6E-409C-BE32-E72D297353CC}">
              <c16:uniqueId val="{00000005-8CBC-4C72-8CE3-094592B34805}"/>
            </c:ext>
          </c:extLst>
        </c:ser>
        <c:ser>
          <c:idx val="1"/>
          <c:order val="1"/>
          <c:tx>
            <c:strRef>
              <c:f>Sheet1!$C$1</c:f>
              <c:strCache>
                <c:ptCount val="1"/>
                <c:pt idx="0">
                  <c:v>Embauche d'anciens étudiants*</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2014-2015</c:v>
                </c:pt>
                <c:pt idx="1">
                  <c:v>2015-2016</c:v>
                </c:pt>
                <c:pt idx="2">
                  <c:v>2016-2017</c:v>
                </c:pt>
                <c:pt idx="3">
                  <c:v>2017-2018</c:v>
                </c:pt>
                <c:pt idx="4">
                  <c:v>2018-2019</c:v>
                </c:pt>
              </c:strCache>
            </c:strRef>
          </c:cat>
          <c:val>
            <c:numRef>
              <c:f>Sheet1!$C$2:$C$6</c:f>
              <c:numCache>
                <c:formatCode>_-* #,##0_-;\-* #,##0_-;_-* "-"??_-;_-@_-</c:formatCode>
                <c:ptCount val="5"/>
                <c:pt idx="0">
                  <c:v>83</c:v>
                </c:pt>
                <c:pt idx="1">
                  <c:v>116</c:v>
                </c:pt>
                <c:pt idx="2">
                  <c:v>129</c:v>
                </c:pt>
                <c:pt idx="3">
                  <c:v>160</c:v>
                </c:pt>
                <c:pt idx="4">
                  <c:v>179</c:v>
                </c:pt>
              </c:numCache>
            </c:numRef>
          </c:val>
          <c:extLst>
            <c:ext xmlns:c16="http://schemas.microsoft.com/office/drawing/2014/chart" uri="{C3380CC4-5D6E-409C-BE32-E72D297353CC}">
              <c16:uniqueId val="{00000006-8CBC-4C72-8CE3-094592B34805}"/>
            </c:ext>
          </c:extLst>
        </c:ser>
        <c:dLbls>
          <c:showLegendKey val="0"/>
          <c:showVal val="1"/>
          <c:showCatName val="0"/>
          <c:showSerName val="0"/>
          <c:showPercent val="0"/>
          <c:showBubbleSize val="0"/>
        </c:dLbls>
        <c:gapWidth val="150"/>
        <c:shape val="box"/>
        <c:axId val="550230624"/>
        <c:axId val="550231800"/>
        <c:axId val="0"/>
      </c:bar3DChart>
      <c:catAx>
        <c:axId val="550230624"/>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0" spcFirstLastPara="1" vertOverflow="ellipsis" wrap="square" anchor="ctr" anchorCtr="1"/>
          <a:lstStyle/>
          <a:p>
            <a:pPr>
              <a:defRPr sz="900" b="0" i="0" u="none" strike="noStrike" kern="1200" baseline="0">
                <a:solidFill>
                  <a:sysClr val="windowText" lastClr="000000"/>
                </a:solidFill>
                <a:latin typeface="+mn-lt"/>
                <a:ea typeface="+mn-ea"/>
                <a:cs typeface="+mn-cs"/>
              </a:defRPr>
            </a:pPr>
            <a:endParaRPr lang="en-US"/>
          </a:p>
        </c:txPr>
        <c:crossAx val="550231800"/>
        <c:crosses val="autoZero"/>
        <c:auto val="1"/>
        <c:lblAlgn val="ctr"/>
        <c:lblOffset val="100"/>
        <c:noMultiLvlLbl val="0"/>
      </c:catAx>
      <c:valAx>
        <c:axId val="550231800"/>
        <c:scaling>
          <c:orientation val="minMax"/>
        </c:scaling>
        <c:delete val="0"/>
        <c:axPos val="l"/>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550230624"/>
        <c:crosses val="autoZero"/>
        <c:crossBetween val="between"/>
        <c:minorUnit val="1"/>
      </c:valAx>
      <c:spPr>
        <a:noFill/>
        <a:ln>
          <a:noFill/>
        </a:ln>
        <a:effectLst/>
      </c:spPr>
    </c:plotArea>
    <c:legend>
      <c:legendPos val="r"/>
      <c:layout>
        <c:manualLayout>
          <c:xMode val="edge"/>
          <c:yMode val="edge"/>
          <c:x val="5.0710111512304056E-2"/>
          <c:y val="0.80907171198900396"/>
          <c:w val="0.88258285263088621"/>
          <c:h val="9.037462535920758E-2"/>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userShapes r:id="rId4"/>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r>
              <a:rPr lang="en-CA" sz="1200" baseline="0">
                <a:solidFill>
                  <a:sysClr val="windowText" lastClr="000000"/>
                </a:solidFill>
              </a:rPr>
              <a:t>Durée de dotation interne</a:t>
            </a:r>
          </a:p>
          <a:p>
            <a:pPr>
              <a:defRPr sz="1200"/>
            </a:pPr>
            <a:r>
              <a:rPr lang="en-CA" sz="1200" b="1" i="0" baseline="0">
                <a:solidFill>
                  <a:sysClr val="windowText" lastClr="000000"/>
                </a:solidFill>
                <a:effectLst/>
              </a:rPr>
              <a:t>Médiane pour la fonction publique = 176 jours</a:t>
            </a:r>
            <a:endParaRPr lang="en-CA" sz="1200">
              <a:solidFill>
                <a:sysClr val="windowText" lastClr="000000"/>
              </a:solidFill>
              <a:effectLst/>
            </a:endParaRPr>
          </a:p>
          <a:p>
            <a:pPr>
              <a:defRPr sz="1200"/>
            </a:pPr>
            <a:r>
              <a:rPr lang="en-CA" sz="1200" b="1" i="0" baseline="0">
                <a:effectLst/>
              </a:rPr>
              <a:t> </a:t>
            </a:r>
            <a:r>
              <a:rPr lang="en-CA" sz="1200" baseline="0">
                <a:solidFill>
                  <a:sysClr val="windowText" lastClr="000000"/>
                </a:solidFill>
              </a:rPr>
              <a:t>2018-2019</a:t>
            </a:r>
            <a:endParaRPr lang="en-CA" sz="1200">
              <a:solidFill>
                <a:sysClr val="windowText" lastClr="000000"/>
              </a:solidFill>
            </a:endParaRPr>
          </a:p>
        </c:rich>
      </c:tx>
      <c:layout>
        <c:manualLayout>
          <c:xMode val="edge"/>
          <c:yMode val="edge"/>
          <c:x val="0.19102453102453099"/>
          <c:y val="3.6182590578239574E-3"/>
        </c:manualLayout>
      </c:layout>
      <c:overlay val="0"/>
      <c:spPr>
        <a:noFill/>
        <a:ln>
          <a:noFill/>
        </a:ln>
        <a:effectLst/>
      </c:spPr>
      <c:txPr>
        <a:bodyPr rot="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10560475395121065"/>
          <c:y val="0.21433521840697753"/>
          <c:w val="0.85778504959607327"/>
          <c:h val="0.53656772284907683"/>
        </c:manualLayout>
      </c:layout>
      <c:barChart>
        <c:barDir val="col"/>
        <c:grouping val="stacked"/>
        <c:varyColors val="0"/>
        <c:ser>
          <c:idx val="0"/>
          <c:order val="0"/>
          <c:tx>
            <c:strRef>
              <c:f>Sheet1!$B$1</c:f>
              <c:strCache>
                <c:ptCount val="1"/>
                <c:pt idx="0">
                  <c:v>Jours civils</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strRef>
              <c:f>Sheet1!$A$2:$A$36</c:f>
              <c:strCache>
                <c:ptCount val="35"/>
                <c:pt idx="0">
                  <c:v>0</c:v>
                </c:pt>
                <c:pt idx="1">
                  <c:v>0-29</c:v>
                </c:pt>
                <c:pt idx="2">
                  <c:v>30-59</c:v>
                </c:pt>
                <c:pt idx="3">
                  <c:v>60-89</c:v>
                </c:pt>
                <c:pt idx="4">
                  <c:v>90-119</c:v>
                </c:pt>
                <c:pt idx="5">
                  <c:v>120-149</c:v>
                </c:pt>
                <c:pt idx="6">
                  <c:v>150-179</c:v>
                </c:pt>
                <c:pt idx="7">
                  <c:v>180-209</c:v>
                </c:pt>
                <c:pt idx="8">
                  <c:v>210-239</c:v>
                </c:pt>
                <c:pt idx="9">
                  <c:v>240-269</c:v>
                </c:pt>
                <c:pt idx="10">
                  <c:v>270-299</c:v>
                </c:pt>
                <c:pt idx="11">
                  <c:v>300-329</c:v>
                </c:pt>
                <c:pt idx="12">
                  <c:v>330-359</c:v>
                </c:pt>
                <c:pt idx="13">
                  <c:v>360-389</c:v>
                </c:pt>
                <c:pt idx="14">
                  <c:v>390-419</c:v>
                </c:pt>
                <c:pt idx="15">
                  <c:v>420-449</c:v>
                </c:pt>
                <c:pt idx="16">
                  <c:v>450-479</c:v>
                </c:pt>
                <c:pt idx="17">
                  <c:v>480-509</c:v>
                </c:pt>
                <c:pt idx="18">
                  <c:v>510-539</c:v>
                </c:pt>
                <c:pt idx="19">
                  <c:v>540-569</c:v>
                </c:pt>
                <c:pt idx="20">
                  <c:v>570-599</c:v>
                </c:pt>
                <c:pt idx="21">
                  <c:v>600-629</c:v>
                </c:pt>
                <c:pt idx="22">
                  <c:v>630-659</c:v>
                </c:pt>
                <c:pt idx="23">
                  <c:v>660-689</c:v>
                </c:pt>
                <c:pt idx="24">
                  <c:v>690-719</c:v>
                </c:pt>
                <c:pt idx="25">
                  <c:v>720-749</c:v>
                </c:pt>
                <c:pt idx="26">
                  <c:v>750-779</c:v>
                </c:pt>
                <c:pt idx="27">
                  <c:v>780-809</c:v>
                </c:pt>
                <c:pt idx="28">
                  <c:v>810-839</c:v>
                </c:pt>
                <c:pt idx="29">
                  <c:v>840-869</c:v>
                </c:pt>
                <c:pt idx="30">
                  <c:v>870-899</c:v>
                </c:pt>
                <c:pt idx="31">
                  <c:v>900-929</c:v>
                </c:pt>
                <c:pt idx="32">
                  <c:v>930-959</c:v>
                </c:pt>
                <c:pt idx="33">
                  <c:v>960-989</c:v>
                </c:pt>
                <c:pt idx="34">
                  <c:v>&gt;990</c:v>
                </c:pt>
              </c:strCache>
            </c:strRef>
          </c:cat>
          <c:val>
            <c:numRef>
              <c:f>Sheet1!$B$2:$B$36</c:f>
              <c:numCache>
                <c:formatCode>General</c:formatCode>
                <c:ptCount val="35"/>
                <c:pt idx="1">
                  <c:v>15</c:v>
                </c:pt>
                <c:pt idx="2">
                  <c:v>130</c:v>
                </c:pt>
                <c:pt idx="3">
                  <c:v>277</c:v>
                </c:pt>
                <c:pt idx="4">
                  <c:v>391</c:v>
                </c:pt>
                <c:pt idx="5">
                  <c:v>367</c:v>
                </c:pt>
                <c:pt idx="6">
                  <c:v>322</c:v>
                </c:pt>
                <c:pt idx="7">
                  <c:v>278</c:v>
                </c:pt>
                <c:pt idx="8">
                  <c:v>241</c:v>
                </c:pt>
                <c:pt idx="9">
                  <c:v>165</c:v>
                </c:pt>
                <c:pt idx="10">
                  <c:v>134</c:v>
                </c:pt>
                <c:pt idx="11">
                  <c:v>107</c:v>
                </c:pt>
                <c:pt idx="12">
                  <c:v>77</c:v>
                </c:pt>
                <c:pt idx="13">
                  <c:v>61</c:v>
                </c:pt>
                <c:pt idx="14">
                  <c:v>53</c:v>
                </c:pt>
                <c:pt idx="15">
                  <c:v>51</c:v>
                </c:pt>
                <c:pt idx="16">
                  <c:v>42</c:v>
                </c:pt>
                <c:pt idx="17">
                  <c:v>40</c:v>
                </c:pt>
                <c:pt idx="18">
                  <c:v>32</c:v>
                </c:pt>
                <c:pt idx="19">
                  <c:v>24</c:v>
                </c:pt>
                <c:pt idx="20">
                  <c:v>21</c:v>
                </c:pt>
                <c:pt idx="21">
                  <c:v>11</c:v>
                </c:pt>
                <c:pt idx="22">
                  <c:v>19</c:v>
                </c:pt>
                <c:pt idx="23">
                  <c:v>3</c:v>
                </c:pt>
                <c:pt idx="24">
                  <c:v>13</c:v>
                </c:pt>
                <c:pt idx="25">
                  <c:v>6</c:v>
                </c:pt>
                <c:pt idx="26">
                  <c:v>5</c:v>
                </c:pt>
                <c:pt idx="27">
                  <c:v>8</c:v>
                </c:pt>
                <c:pt idx="28">
                  <c:v>4</c:v>
                </c:pt>
                <c:pt idx="29">
                  <c:v>10</c:v>
                </c:pt>
                <c:pt idx="30">
                  <c:v>4</c:v>
                </c:pt>
                <c:pt idx="31">
                  <c:v>5</c:v>
                </c:pt>
                <c:pt idx="32">
                  <c:v>5</c:v>
                </c:pt>
                <c:pt idx="33">
                  <c:v>3</c:v>
                </c:pt>
                <c:pt idx="34">
                  <c:v>23</c:v>
                </c:pt>
              </c:numCache>
            </c:numRef>
          </c:val>
          <c:extLst>
            <c:ext xmlns:c16="http://schemas.microsoft.com/office/drawing/2014/chart" uri="{C3380CC4-5D6E-409C-BE32-E72D297353CC}">
              <c16:uniqueId val="{00000000-A5C9-41EC-AAB9-47C35FA7064E}"/>
            </c:ext>
          </c:extLst>
        </c:ser>
        <c:dLbls>
          <c:showLegendKey val="0"/>
          <c:showVal val="0"/>
          <c:showCatName val="0"/>
          <c:showSerName val="0"/>
          <c:showPercent val="0"/>
          <c:showBubbleSize val="0"/>
        </c:dLbls>
        <c:gapWidth val="150"/>
        <c:overlap val="100"/>
        <c:axId val="550232584"/>
        <c:axId val="550232976"/>
      </c:barChart>
      <c:catAx>
        <c:axId val="550232584"/>
        <c:scaling>
          <c:orientation val="minMax"/>
        </c:scaling>
        <c:delete val="0"/>
        <c:axPos val="b"/>
        <c:title>
          <c:tx>
            <c:rich>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r>
                  <a:rPr lang="en-CA">
                    <a:solidFill>
                      <a:sysClr val="windowText" lastClr="000000"/>
                    </a:solidFill>
                  </a:rPr>
                  <a:t>Jours civils</a:t>
                </a:r>
              </a:p>
            </c:rich>
          </c:tx>
          <c:layout>
            <c:manualLayout>
              <c:xMode val="edge"/>
              <c:yMode val="edge"/>
              <c:x val="0.44497346922543773"/>
              <c:y val="0.91711304128221083"/>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title>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550232976"/>
        <c:crosses val="autoZero"/>
        <c:auto val="1"/>
        <c:lblAlgn val="ctr"/>
        <c:lblOffset val="100"/>
        <c:noMultiLvlLbl val="0"/>
      </c:catAx>
      <c:valAx>
        <c:axId val="55023297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r>
                  <a:rPr lang="en-CA">
                    <a:solidFill>
                      <a:sysClr val="windowText" lastClr="000000"/>
                    </a:solidFill>
                  </a:rPr>
                  <a:t>Fréquence</a:t>
                </a:r>
              </a:p>
            </c:rich>
          </c:tx>
          <c:overlay val="0"/>
          <c:spPr>
            <a:noFill/>
            <a:ln>
              <a:noFill/>
            </a:ln>
            <a:effectLst/>
          </c:spPr>
          <c:txPr>
            <a:bodyPr rot="-54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55023258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userShapes r:id="rId4"/>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baseline="0">
                <a:solidFill>
                  <a:sysClr val="windowText" lastClr="000000"/>
                </a:solidFill>
                <a:latin typeface="+mn-lt"/>
                <a:ea typeface="+mn-ea"/>
                <a:cs typeface="+mn-cs"/>
              </a:defRPr>
            </a:pPr>
            <a:r>
              <a:rPr lang="en-CA" sz="1200" baseline="0">
                <a:solidFill>
                  <a:sysClr val="windowText" lastClr="000000"/>
                </a:solidFill>
                <a:latin typeface="+mn-lt"/>
              </a:rPr>
              <a:t>Durée de dotation interne - </a:t>
            </a:r>
            <a:r>
              <a:rPr lang="en-CA" sz="1200" b="1" i="0" baseline="0">
                <a:solidFill>
                  <a:sysClr val="windowText" lastClr="000000"/>
                </a:solidFill>
                <a:effectLst/>
                <a:latin typeface="+mn-lt"/>
              </a:rPr>
              <a:t>Médiane pour </a:t>
            </a:r>
          </a:p>
          <a:p>
            <a:pPr>
              <a:defRPr sz="1200">
                <a:solidFill>
                  <a:sysClr val="windowText" lastClr="000000"/>
                </a:solidFill>
              </a:defRPr>
            </a:pPr>
            <a:r>
              <a:rPr lang="en-CA" sz="1200" b="1" i="0" baseline="0">
                <a:solidFill>
                  <a:sysClr val="windowText" lastClr="000000"/>
                </a:solidFill>
                <a:effectLst/>
                <a:latin typeface="+mn-lt"/>
              </a:rPr>
              <a:t>Affaires mondiales Canada = 189 jours</a:t>
            </a:r>
            <a:endParaRPr lang="en-CA" sz="1200" b="1">
              <a:solidFill>
                <a:sysClr val="windowText" lastClr="000000"/>
              </a:solidFill>
              <a:effectLst/>
              <a:latin typeface="+mn-lt"/>
            </a:endParaRPr>
          </a:p>
          <a:p>
            <a:pPr>
              <a:defRPr sz="1200">
                <a:solidFill>
                  <a:sysClr val="windowText" lastClr="000000"/>
                </a:solidFill>
              </a:defRPr>
            </a:pPr>
            <a:r>
              <a:rPr lang="en-CA" sz="1200" b="1" i="0" baseline="0">
                <a:solidFill>
                  <a:sysClr val="windowText" lastClr="000000"/>
                </a:solidFill>
                <a:effectLst/>
                <a:latin typeface="+mn-lt"/>
              </a:rPr>
              <a:t> </a:t>
            </a:r>
            <a:r>
              <a:rPr lang="en-CA" sz="1200" baseline="0">
                <a:solidFill>
                  <a:sysClr val="windowText" lastClr="000000"/>
                </a:solidFill>
                <a:latin typeface="+mn-lt"/>
              </a:rPr>
              <a:t>2018-2019</a:t>
            </a:r>
            <a:endParaRPr lang="en-CA" sz="1200">
              <a:solidFill>
                <a:sysClr val="windowText" lastClr="000000"/>
              </a:solidFill>
              <a:latin typeface="+mn-lt"/>
            </a:endParaRPr>
          </a:p>
        </c:rich>
      </c:tx>
      <c:layout>
        <c:manualLayout>
          <c:xMode val="edge"/>
          <c:yMode val="edge"/>
          <c:x val="0.23431457431457431"/>
          <c:y val="3.6182062608027653E-3"/>
        </c:manualLayout>
      </c:layout>
      <c:overlay val="0"/>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mn-lt"/>
              <a:ea typeface="+mn-ea"/>
              <a:cs typeface="+mn-cs"/>
            </a:defRPr>
          </a:pPr>
          <a:endParaRPr lang="en-US"/>
        </a:p>
      </c:txPr>
    </c:title>
    <c:autoTitleDeleted val="0"/>
    <c:plotArea>
      <c:layout>
        <c:manualLayout>
          <c:layoutTarget val="inner"/>
          <c:xMode val="edge"/>
          <c:yMode val="edge"/>
          <c:x val="9.9832748179204872E-2"/>
          <c:y val="0.21433528126057411"/>
          <c:w val="0.85778504959607327"/>
          <c:h val="0.53656772284907683"/>
        </c:manualLayout>
      </c:layout>
      <c:barChart>
        <c:barDir val="col"/>
        <c:grouping val="stacked"/>
        <c:varyColors val="0"/>
        <c:ser>
          <c:idx val="0"/>
          <c:order val="0"/>
          <c:tx>
            <c:strRef>
              <c:f>Sheet1!$B$1</c:f>
              <c:strCache>
                <c:ptCount val="1"/>
                <c:pt idx="0">
                  <c:v>Duration in Calendar Days</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strRef>
              <c:f>Sheet1!$A$2:$A$36</c:f>
              <c:strCache>
                <c:ptCount val="35"/>
                <c:pt idx="0">
                  <c:v>0</c:v>
                </c:pt>
                <c:pt idx="1">
                  <c:v>0-29</c:v>
                </c:pt>
                <c:pt idx="2">
                  <c:v>30-59</c:v>
                </c:pt>
                <c:pt idx="3">
                  <c:v>60-89</c:v>
                </c:pt>
                <c:pt idx="4">
                  <c:v>90-119</c:v>
                </c:pt>
                <c:pt idx="5">
                  <c:v>120-149</c:v>
                </c:pt>
                <c:pt idx="6">
                  <c:v>150-179</c:v>
                </c:pt>
                <c:pt idx="7">
                  <c:v>180-209</c:v>
                </c:pt>
                <c:pt idx="8">
                  <c:v>210-239</c:v>
                </c:pt>
                <c:pt idx="9">
                  <c:v>240-269</c:v>
                </c:pt>
                <c:pt idx="10">
                  <c:v>270-299</c:v>
                </c:pt>
                <c:pt idx="11">
                  <c:v>300-329</c:v>
                </c:pt>
                <c:pt idx="12">
                  <c:v>330-359</c:v>
                </c:pt>
                <c:pt idx="13">
                  <c:v>360-389</c:v>
                </c:pt>
                <c:pt idx="14">
                  <c:v>390-419</c:v>
                </c:pt>
                <c:pt idx="15">
                  <c:v>420-449</c:v>
                </c:pt>
                <c:pt idx="16">
                  <c:v>450-479</c:v>
                </c:pt>
                <c:pt idx="17">
                  <c:v>480-509</c:v>
                </c:pt>
                <c:pt idx="18">
                  <c:v>510-539</c:v>
                </c:pt>
                <c:pt idx="19">
                  <c:v>540-569</c:v>
                </c:pt>
                <c:pt idx="20">
                  <c:v>570-599</c:v>
                </c:pt>
                <c:pt idx="21">
                  <c:v>600-629</c:v>
                </c:pt>
                <c:pt idx="22">
                  <c:v>630-659</c:v>
                </c:pt>
                <c:pt idx="23">
                  <c:v>660-689</c:v>
                </c:pt>
                <c:pt idx="24">
                  <c:v>690-719</c:v>
                </c:pt>
                <c:pt idx="25">
                  <c:v>720-749</c:v>
                </c:pt>
                <c:pt idx="26">
                  <c:v>750-779</c:v>
                </c:pt>
                <c:pt idx="27">
                  <c:v>780-809</c:v>
                </c:pt>
                <c:pt idx="28">
                  <c:v>810-839</c:v>
                </c:pt>
                <c:pt idx="29">
                  <c:v>840-869</c:v>
                </c:pt>
                <c:pt idx="30">
                  <c:v>870-899</c:v>
                </c:pt>
                <c:pt idx="31">
                  <c:v>900-929</c:v>
                </c:pt>
                <c:pt idx="32">
                  <c:v>930-959</c:v>
                </c:pt>
                <c:pt idx="33">
                  <c:v>960-989</c:v>
                </c:pt>
                <c:pt idx="34">
                  <c:v>&gt;990</c:v>
                </c:pt>
              </c:strCache>
            </c:strRef>
          </c:cat>
          <c:val>
            <c:numRef>
              <c:f>Sheet1!$B$2:$B$36</c:f>
              <c:numCache>
                <c:formatCode>General</c:formatCode>
                <c:ptCount val="35"/>
                <c:pt idx="2">
                  <c:v>0</c:v>
                </c:pt>
                <c:pt idx="3">
                  <c:v>4</c:v>
                </c:pt>
                <c:pt idx="4">
                  <c:v>9</c:v>
                </c:pt>
                <c:pt idx="5">
                  <c:v>9</c:v>
                </c:pt>
                <c:pt idx="6">
                  <c:v>9</c:v>
                </c:pt>
                <c:pt idx="7">
                  <c:v>8</c:v>
                </c:pt>
                <c:pt idx="8">
                  <c:v>7</c:v>
                </c:pt>
                <c:pt idx="9">
                  <c:v>4</c:v>
                </c:pt>
                <c:pt idx="10">
                  <c:v>1</c:v>
                </c:pt>
                <c:pt idx="11">
                  <c:v>0</c:v>
                </c:pt>
                <c:pt idx="12">
                  <c:v>3</c:v>
                </c:pt>
                <c:pt idx="13">
                  <c:v>2</c:v>
                </c:pt>
                <c:pt idx="14">
                  <c:v>3</c:v>
                </c:pt>
                <c:pt idx="15">
                  <c:v>2</c:v>
                </c:pt>
                <c:pt idx="16">
                  <c:v>0</c:v>
                </c:pt>
                <c:pt idx="17">
                  <c:v>1</c:v>
                </c:pt>
                <c:pt idx="18">
                  <c:v>1</c:v>
                </c:pt>
                <c:pt idx="19">
                  <c:v>0</c:v>
                </c:pt>
                <c:pt idx="20">
                  <c:v>0</c:v>
                </c:pt>
                <c:pt idx="21">
                  <c:v>0</c:v>
                </c:pt>
                <c:pt idx="22">
                  <c:v>0</c:v>
                </c:pt>
                <c:pt idx="23">
                  <c:v>0</c:v>
                </c:pt>
                <c:pt idx="24">
                  <c:v>0</c:v>
                </c:pt>
                <c:pt idx="25">
                  <c:v>0</c:v>
                </c:pt>
                <c:pt idx="26">
                  <c:v>1</c:v>
                </c:pt>
              </c:numCache>
            </c:numRef>
          </c:val>
          <c:extLst>
            <c:ext xmlns:c16="http://schemas.microsoft.com/office/drawing/2014/chart" uri="{C3380CC4-5D6E-409C-BE32-E72D297353CC}">
              <c16:uniqueId val="{00000000-D592-4EB7-AF49-5FCD028AB242}"/>
            </c:ext>
          </c:extLst>
        </c:ser>
        <c:dLbls>
          <c:showLegendKey val="0"/>
          <c:showVal val="0"/>
          <c:showCatName val="0"/>
          <c:showSerName val="0"/>
          <c:showPercent val="0"/>
          <c:showBubbleSize val="0"/>
        </c:dLbls>
        <c:gapWidth val="150"/>
        <c:overlap val="100"/>
        <c:axId val="550231408"/>
        <c:axId val="722456056"/>
      </c:barChart>
      <c:catAx>
        <c:axId val="550231408"/>
        <c:scaling>
          <c:orientation val="minMax"/>
        </c:scaling>
        <c:delete val="0"/>
        <c:axPos val="b"/>
        <c:title>
          <c:tx>
            <c:rich>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r>
                  <a:rPr lang="en-CA">
                    <a:solidFill>
                      <a:sysClr val="windowText" lastClr="000000"/>
                    </a:solidFill>
                  </a:rPr>
                  <a:t>Jours civils</a:t>
                </a:r>
              </a:p>
            </c:rich>
          </c:tx>
          <c:layout>
            <c:manualLayout>
              <c:xMode val="edge"/>
              <c:yMode val="edge"/>
              <c:x val="0.44497346922543773"/>
              <c:y val="0.91711304128221083"/>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title>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722456056"/>
        <c:crosses val="autoZero"/>
        <c:auto val="1"/>
        <c:lblAlgn val="ctr"/>
        <c:lblOffset val="100"/>
        <c:noMultiLvlLbl val="0"/>
      </c:catAx>
      <c:valAx>
        <c:axId val="72245605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r>
                  <a:rPr lang="en-CA">
                    <a:solidFill>
                      <a:sysClr val="windowText" lastClr="000000"/>
                    </a:solidFill>
                  </a:rPr>
                  <a:t>Fréquence</a:t>
                </a:r>
              </a:p>
            </c:rich>
          </c:tx>
          <c:overlay val="0"/>
          <c:spPr>
            <a:noFill/>
            <a:ln>
              <a:noFill/>
            </a:ln>
            <a:effectLst/>
          </c:spPr>
          <c:txPr>
            <a:bodyPr rot="-54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550231408"/>
        <c:crosses val="autoZero"/>
        <c:crossBetween val="between"/>
        <c:majorUnit val="2"/>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userShapes r:id="rId4"/>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r>
              <a:rPr lang="en-CA" sz="1200" baseline="0">
                <a:solidFill>
                  <a:sysClr val="windowText" lastClr="000000"/>
                </a:solidFill>
              </a:rPr>
              <a:t>Durée de dotation externe</a:t>
            </a:r>
          </a:p>
          <a:p>
            <a:pPr>
              <a:defRPr sz="1200"/>
            </a:pPr>
            <a:r>
              <a:rPr lang="en-CA" sz="1200" b="1" i="0" baseline="0">
                <a:solidFill>
                  <a:sysClr val="windowText" lastClr="000000"/>
                </a:solidFill>
                <a:effectLst/>
              </a:rPr>
              <a:t>Médiane pour la fonction publique = 186 jours</a:t>
            </a:r>
            <a:endParaRPr lang="en-CA" sz="1200">
              <a:solidFill>
                <a:sysClr val="windowText" lastClr="000000"/>
              </a:solidFill>
              <a:effectLst/>
            </a:endParaRPr>
          </a:p>
          <a:p>
            <a:pPr>
              <a:defRPr sz="1200"/>
            </a:pPr>
            <a:r>
              <a:rPr lang="en-CA" sz="1200" b="1" i="0" baseline="0">
                <a:effectLst/>
              </a:rPr>
              <a:t> </a:t>
            </a:r>
            <a:r>
              <a:rPr lang="en-CA" sz="1200" baseline="0">
                <a:solidFill>
                  <a:sysClr val="windowText" lastClr="000000"/>
                </a:solidFill>
              </a:rPr>
              <a:t>2018-2019</a:t>
            </a:r>
            <a:endParaRPr lang="en-CA" sz="1200">
              <a:solidFill>
                <a:sysClr val="windowText" lastClr="000000"/>
              </a:solidFill>
            </a:endParaRPr>
          </a:p>
        </c:rich>
      </c:tx>
      <c:layout>
        <c:manualLayout>
          <c:xMode val="edge"/>
          <c:yMode val="edge"/>
          <c:x val="0.25163059163059165"/>
          <c:y val="1.2782062036059926E-2"/>
        </c:manualLayout>
      </c:layout>
      <c:overlay val="0"/>
      <c:spPr>
        <a:noFill/>
        <a:ln>
          <a:noFill/>
        </a:ln>
        <a:effectLst/>
      </c:spPr>
      <c:txPr>
        <a:bodyPr rot="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10560475395121065"/>
          <c:y val="0.21433521840697753"/>
          <c:w val="0.85778504959607327"/>
          <c:h val="0.53656772284907683"/>
        </c:manualLayout>
      </c:layout>
      <c:barChart>
        <c:barDir val="col"/>
        <c:grouping val="stacked"/>
        <c:varyColors val="0"/>
        <c:ser>
          <c:idx val="0"/>
          <c:order val="0"/>
          <c:tx>
            <c:strRef>
              <c:f>Sheet1!$B$1</c:f>
              <c:strCache>
                <c:ptCount val="1"/>
                <c:pt idx="0">
                  <c:v>Duration in Calendar Days</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strRef>
              <c:f>Sheet1!$A$2:$A$36</c:f>
              <c:strCache>
                <c:ptCount val="35"/>
                <c:pt idx="0">
                  <c:v>0</c:v>
                </c:pt>
                <c:pt idx="1">
                  <c:v>0-29</c:v>
                </c:pt>
                <c:pt idx="2">
                  <c:v>30-59</c:v>
                </c:pt>
                <c:pt idx="3">
                  <c:v>60-89</c:v>
                </c:pt>
                <c:pt idx="4">
                  <c:v>90-119</c:v>
                </c:pt>
                <c:pt idx="5">
                  <c:v>120-149</c:v>
                </c:pt>
                <c:pt idx="6">
                  <c:v>150-179</c:v>
                </c:pt>
                <c:pt idx="7">
                  <c:v>180-209</c:v>
                </c:pt>
                <c:pt idx="8">
                  <c:v>210-239</c:v>
                </c:pt>
                <c:pt idx="9">
                  <c:v>240-269</c:v>
                </c:pt>
                <c:pt idx="10">
                  <c:v>270-299</c:v>
                </c:pt>
                <c:pt idx="11">
                  <c:v>300-329</c:v>
                </c:pt>
                <c:pt idx="12">
                  <c:v>330-359</c:v>
                </c:pt>
                <c:pt idx="13">
                  <c:v>360-389</c:v>
                </c:pt>
                <c:pt idx="14">
                  <c:v>390-419</c:v>
                </c:pt>
                <c:pt idx="15">
                  <c:v>420-449</c:v>
                </c:pt>
                <c:pt idx="16">
                  <c:v>450-479</c:v>
                </c:pt>
                <c:pt idx="17">
                  <c:v>480-509</c:v>
                </c:pt>
                <c:pt idx="18">
                  <c:v>510-539</c:v>
                </c:pt>
                <c:pt idx="19">
                  <c:v>540-569</c:v>
                </c:pt>
                <c:pt idx="20">
                  <c:v>570-599</c:v>
                </c:pt>
                <c:pt idx="21">
                  <c:v>600-629</c:v>
                </c:pt>
                <c:pt idx="22">
                  <c:v>630-659</c:v>
                </c:pt>
                <c:pt idx="23">
                  <c:v>660-689</c:v>
                </c:pt>
                <c:pt idx="24">
                  <c:v>690-719</c:v>
                </c:pt>
                <c:pt idx="25">
                  <c:v>720-749</c:v>
                </c:pt>
                <c:pt idx="26">
                  <c:v>750-779</c:v>
                </c:pt>
                <c:pt idx="27">
                  <c:v>780-809</c:v>
                </c:pt>
                <c:pt idx="28">
                  <c:v>810-839</c:v>
                </c:pt>
                <c:pt idx="29">
                  <c:v>840-869</c:v>
                </c:pt>
                <c:pt idx="30">
                  <c:v>870-899</c:v>
                </c:pt>
                <c:pt idx="31">
                  <c:v>900-929</c:v>
                </c:pt>
                <c:pt idx="32">
                  <c:v>930-959</c:v>
                </c:pt>
                <c:pt idx="33">
                  <c:v>960-989</c:v>
                </c:pt>
                <c:pt idx="34">
                  <c:v>&gt;990</c:v>
                </c:pt>
              </c:strCache>
            </c:strRef>
          </c:cat>
          <c:val>
            <c:numRef>
              <c:f>Sheet1!$B$2:$B$36</c:f>
              <c:numCache>
                <c:formatCode>General</c:formatCode>
                <c:ptCount val="35"/>
                <c:pt idx="0">
                  <c:v>0</c:v>
                </c:pt>
                <c:pt idx="1">
                  <c:v>49</c:v>
                </c:pt>
                <c:pt idx="2">
                  <c:v>82</c:v>
                </c:pt>
                <c:pt idx="3">
                  <c:v>124</c:v>
                </c:pt>
                <c:pt idx="4">
                  <c:v>160</c:v>
                </c:pt>
                <c:pt idx="5">
                  <c:v>181</c:v>
                </c:pt>
                <c:pt idx="6">
                  <c:v>179</c:v>
                </c:pt>
                <c:pt idx="7">
                  <c:v>160</c:v>
                </c:pt>
                <c:pt idx="8">
                  <c:v>139</c:v>
                </c:pt>
                <c:pt idx="9">
                  <c:v>84</c:v>
                </c:pt>
                <c:pt idx="10">
                  <c:v>73</c:v>
                </c:pt>
                <c:pt idx="11">
                  <c:v>61</c:v>
                </c:pt>
                <c:pt idx="12">
                  <c:v>41</c:v>
                </c:pt>
                <c:pt idx="13">
                  <c:v>43</c:v>
                </c:pt>
                <c:pt idx="14">
                  <c:v>49</c:v>
                </c:pt>
                <c:pt idx="15">
                  <c:v>35</c:v>
                </c:pt>
                <c:pt idx="16">
                  <c:v>22</c:v>
                </c:pt>
                <c:pt idx="17">
                  <c:v>27</c:v>
                </c:pt>
                <c:pt idx="18">
                  <c:v>17</c:v>
                </c:pt>
                <c:pt idx="19">
                  <c:v>15</c:v>
                </c:pt>
                <c:pt idx="20">
                  <c:v>14</c:v>
                </c:pt>
                <c:pt idx="21">
                  <c:v>12</c:v>
                </c:pt>
                <c:pt idx="22">
                  <c:v>7</c:v>
                </c:pt>
                <c:pt idx="23">
                  <c:v>5</c:v>
                </c:pt>
                <c:pt idx="24">
                  <c:v>7</c:v>
                </c:pt>
                <c:pt idx="25">
                  <c:v>11</c:v>
                </c:pt>
                <c:pt idx="26">
                  <c:v>3</c:v>
                </c:pt>
                <c:pt idx="27">
                  <c:v>7</c:v>
                </c:pt>
                <c:pt idx="28">
                  <c:v>2</c:v>
                </c:pt>
                <c:pt idx="29">
                  <c:v>2</c:v>
                </c:pt>
                <c:pt idx="30">
                  <c:v>0</c:v>
                </c:pt>
                <c:pt idx="31">
                  <c:v>3</c:v>
                </c:pt>
                <c:pt idx="32">
                  <c:v>1</c:v>
                </c:pt>
                <c:pt idx="33">
                  <c:v>0</c:v>
                </c:pt>
                <c:pt idx="34">
                  <c:v>0</c:v>
                </c:pt>
              </c:numCache>
            </c:numRef>
          </c:val>
          <c:extLst>
            <c:ext xmlns:c16="http://schemas.microsoft.com/office/drawing/2014/chart" uri="{C3380CC4-5D6E-409C-BE32-E72D297353CC}">
              <c16:uniqueId val="{00000000-7539-4BAC-AEFB-0E85EF03CE20}"/>
            </c:ext>
          </c:extLst>
        </c:ser>
        <c:dLbls>
          <c:showLegendKey val="0"/>
          <c:showVal val="0"/>
          <c:showCatName val="0"/>
          <c:showSerName val="0"/>
          <c:showPercent val="0"/>
          <c:showBubbleSize val="0"/>
        </c:dLbls>
        <c:gapWidth val="150"/>
        <c:overlap val="100"/>
        <c:axId val="722463504"/>
        <c:axId val="722465072"/>
      </c:barChart>
      <c:catAx>
        <c:axId val="722463504"/>
        <c:scaling>
          <c:orientation val="minMax"/>
        </c:scaling>
        <c:delete val="0"/>
        <c:axPos val="b"/>
        <c:title>
          <c:tx>
            <c:rich>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r>
                  <a:rPr lang="en-CA">
                    <a:solidFill>
                      <a:sysClr val="windowText" lastClr="000000"/>
                    </a:solidFill>
                  </a:rPr>
                  <a:t>Jours civils</a:t>
                </a:r>
              </a:p>
            </c:rich>
          </c:tx>
          <c:layout>
            <c:manualLayout>
              <c:xMode val="edge"/>
              <c:yMode val="edge"/>
              <c:x val="0.44497346922543773"/>
              <c:y val="0.91711304128221083"/>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title>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722465072"/>
        <c:crosses val="autoZero"/>
        <c:auto val="1"/>
        <c:lblAlgn val="ctr"/>
        <c:lblOffset val="100"/>
        <c:noMultiLvlLbl val="0"/>
      </c:catAx>
      <c:valAx>
        <c:axId val="72246507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en-CA"/>
                  <a:t>Fréquence</a:t>
                </a:r>
              </a:p>
            </c:rich>
          </c:tx>
          <c:overlay val="0"/>
          <c:spPr>
            <a:noFill/>
            <a:ln>
              <a:noFill/>
            </a:ln>
            <a:effectLst/>
          </c:spPr>
          <c:txPr>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72246350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userShapes r:id="rId4"/>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baseline="0">
                <a:solidFill>
                  <a:sysClr val="windowText" lastClr="000000"/>
                </a:solidFill>
                <a:latin typeface="+mn-lt"/>
                <a:ea typeface="+mn-ea"/>
                <a:cs typeface="+mn-cs"/>
              </a:defRPr>
            </a:pPr>
            <a:r>
              <a:rPr lang="en-US" sz="1200" b="1" i="0" baseline="0">
                <a:solidFill>
                  <a:sysClr val="windowText" lastClr="000000"/>
                </a:solidFill>
                <a:effectLst/>
              </a:rPr>
              <a:t>Population selon le profil linguistique au 31 mars 2019 (N=6 556)</a:t>
            </a:r>
            <a:endParaRPr lang="en-CA" sz="1200">
              <a:solidFill>
                <a:sysClr val="windowText" lastClr="000000"/>
              </a:solidFill>
              <a:effectLst/>
            </a:endParaRPr>
          </a:p>
        </c:rich>
      </c:tx>
      <c:layout>
        <c:manualLayout>
          <c:xMode val="edge"/>
          <c:yMode val="edge"/>
          <c:x val="0.14725621612885303"/>
          <c:y val="3.3532446375237578E-3"/>
        </c:manualLayout>
      </c:layout>
      <c:overlay val="0"/>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mn-lt"/>
              <a:ea typeface="+mn-ea"/>
              <a:cs typeface="+mn-cs"/>
            </a:defRPr>
          </a:pPr>
          <a:endParaRPr lang="en-US"/>
        </a:p>
      </c:txPr>
    </c:title>
    <c:autoTitleDeleted val="0"/>
    <c:plotArea>
      <c:layout>
        <c:manualLayout>
          <c:layoutTarget val="inner"/>
          <c:xMode val="edge"/>
          <c:yMode val="edge"/>
          <c:x val="7.0241579750175212E-2"/>
          <c:y val="0.34045181906343047"/>
          <c:w val="0.8279561913399569"/>
          <c:h val="0.54735379017916963"/>
        </c:manualLayout>
      </c:layout>
      <c:pieChart>
        <c:varyColors val="1"/>
        <c:ser>
          <c:idx val="0"/>
          <c:order val="0"/>
          <c:tx>
            <c:strRef>
              <c:f>Sheet1!$B$1</c:f>
              <c:strCache>
                <c:ptCount val="1"/>
                <c:pt idx="0">
                  <c:v>Population selon le profil linguistique au 31 mars 2018</c:v>
                </c:pt>
              </c:strCache>
            </c:strRef>
          </c:tx>
          <c:spPr>
            <a:ln w="3175">
              <a:noFill/>
            </a:ln>
            <a:effectLst/>
          </c:spPr>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w="3175">
                <a:noFill/>
              </a:ln>
              <a:effectLst/>
            </c:spPr>
            <c:extLst>
              <c:ext xmlns:c16="http://schemas.microsoft.com/office/drawing/2014/chart" uri="{C3380CC4-5D6E-409C-BE32-E72D297353CC}">
                <c16:uniqueId val="{00000001-A87F-4C70-B3D9-34E3FA1CBE0A}"/>
              </c:ext>
            </c:extLst>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w="3175">
                <a:noFill/>
              </a:ln>
              <a:effectLst/>
            </c:spPr>
            <c:extLst>
              <c:ext xmlns:c16="http://schemas.microsoft.com/office/drawing/2014/chart" uri="{C3380CC4-5D6E-409C-BE32-E72D297353CC}">
                <c16:uniqueId val="{00000003-A87F-4C70-B3D9-34E3FA1CBE0A}"/>
              </c:ext>
            </c:extLst>
          </c:dPt>
          <c:dLbls>
            <c:dLbl>
              <c:idx val="0"/>
              <c:layout>
                <c:manualLayout>
                  <c:x val="-8.9441535776614317E-2"/>
                  <c:y val="0.17617241528108668"/>
                </c:manualLayout>
              </c:layout>
              <c:spPr>
                <a:noFill/>
                <a:ln>
                  <a:noFill/>
                </a:ln>
                <a:effectLst/>
              </c:spPr>
              <c:txPr>
                <a:bodyPr rot="0" spcFirstLastPara="1" vertOverflow="ellipsis" vert="horz" wrap="square" lIns="38100" tIns="19050" rIns="38100" bIns="19050" anchor="ctr" anchorCtr="1">
                  <a:noAutofit/>
                </a:bodyPr>
                <a:lstStyle/>
                <a:p>
                  <a:pPr>
                    <a:defRPr sz="900" b="1" i="0" u="none" strike="noStrike" kern="1200" baseline="0">
                      <a:solidFill>
                        <a:schemeClr val="bg1"/>
                      </a:solidFill>
                      <a:latin typeface="+mn-lt"/>
                      <a:ea typeface="+mn-ea"/>
                      <a:cs typeface="+mn-cs"/>
                    </a:defRPr>
                  </a:pPr>
                  <a:endParaRPr lang="en-US"/>
                </a:p>
              </c:txPr>
              <c:showLegendKey val="0"/>
              <c:showVal val="0"/>
              <c:showCatName val="1"/>
              <c:showSerName val="0"/>
              <c:showPercent val="1"/>
              <c:showBubbleSize val="0"/>
              <c:extLst>
                <c:ext xmlns:c15="http://schemas.microsoft.com/office/drawing/2012/chart" uri="{CE6537A1-D6FC-4f65-9D91-7224C49458BB}">
                  <c15:layout>
                    <c:manualLayout>
                      <c:w val="0.43717277486910994"/>
                      <c:h val="0.16045548654244307"/>
                    </c:manualLayout>
                  </c15:layout>
                </c:ext>
                <c:ext xmlns:c16="http://schemas.microsoft.com/office/drawing/2014/chart" uri="{C3380CC4-5D6E-409C-BE32-E72D297353CC}">
                  <c16:uniqueId val="{00000001-A87F-4C70-B3D9-34E3FA1CBE0A}"/>
                </c:ext>
              </c:extLst>
            </c:dLbl>
            <c:dLbl>
              <c:idx val="1"/>
              <c:layout>
                <c:manualLayout>
                  <c:x val="0.15706840637066963"/>
                  <c:y val="-0.18619194339837955"/>
                </c:manualLayout>
              </c:layout>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mn-lt"/>
                      <a:ea typeface="+mn-ea"/>
                      <a:cs typeface="+mn-cs"/>
                    </a:defRPr>
                  </a:pPr>
                  <a:endParaRPr lang="en-US"/>
                </a:p>
              </c:txPr>
              <c:showLegendKey val="0"/>
              <c:showVal val="0"/>
              <c:showCatName val="1"/>
              <c:showSerName val="0"/>
              <c:showPercent val="1"/>
              <c:showBubbleSize val="0"/>
              <c:extLst>
                <c:ext xmlns:c15="http://schemas.microsoft.com/office/drawing/2012/chart" uri="{CE6537A1-D6FC-4f65-9D91-7224C49458BB}">
                  <c15:layout>
                    <c:manualLayout>
                      <c:w val="0.34746945898778353"/>
                      <c:h val="0.18610268825092516"/>
                    </c:manualLayout>
                  </c15:layout>
                </c:ext>
                <c:ext xmlns:c16="http://schemas.microsoft.com/office/drawing/2014/chart" uri="{C3380CC4-5D6E-409C-BE32-E72D297353CC}">
                  <c16:uniqueId val="{00000003-A87F-4C70-B3D9-34E3FA1CBE0A}"/>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n-US"/>
              </a:p>
            </c:txPr>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Sheet1!$A$2:$A$3</c:f>
              <c:strCache>
                <c:ptCount val="2"/>
                <c:pt idx="0">
                  <c:v>Unilingue</c:v>
                </c:pt>
                <c:pt idx="1">
                  <c:v>Bilingue</c:v>
                </c:pt>
              </c:strCache>
            </c:strRef>
          </c:cat>
          <c:val>
            <c:numRef>
              <c:f>Sheet1!$B$2:$B$3</c:f>
              <c:numCache>
                <c:formatCode>0</c:formatCode>
                <c:ptCount val="2"/>
                <c:pt idx="0">
                  <c:v>650</c:v>
                </c:pt>
                <c:pt idx="1">
                  <c:v>2942</c:v>
                </c:pt>
              </c:numCache>
            </c:numRef>
          </c:val>
          <c:extLst>
            <c:ext xmlns:c16="http://schemas.microsoft.com/office/drawing/2014/chart" uri="{C3380CC4-5D6E-409C-BE32-E72D297353CC}">
              <c16:uniqueId val="{00000004-A87F-4C70-B3D9-34E3FA1CBE0A}"/>
            </c:ext>
          </c:extLst>
        </c:ser>
        <c:dLbls>
          <c:showLegendKey val="0"/>
          <c:showVal val="0"/>
          <c:showCatName val="0"/>
          <c:showSerName val="0"/>
          <c:showPercent val="0"/>
          <c:showBubbleSize val="0"/>
          <c:showLeaderLines val="1"/>
        </c:dLbls>
        <c:firstSliceAng val="15"/>
      </c:pie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userShapes r:id="rId4"/>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baseline="0">
                <a:solidFill>
                  <a:sysClr val="windowText" lastClr="000000"/>
                </a:solidFill>
                <a:latin typeface="+mn-lt"/>
                <a:ea typeface="+mn-ea"/>
                <a:cs typeface="+mn-cs"/>
              </a:defRPr>
            </a:pPr>
            <a:r>
              <a:rPr lang="en-US" sz="1200">
                <a:solidFill>
                  <a:sysClr val="windowText" lastClr="000000"/>
                </a:solidFill>
              </a:rPr>
              <a:t>Population selon le groupe professionnel au 31 mars 2019</a:t>
            </a:r>
          </a:p>
        </c:rich>
      </c:tx>
      <c:layout>
        <c:manualLayout>
          <c:xMode val="edge"/>
          <c:yMode val="edge"/>
          <c:x val="0.10855643044619423"/>
          <c:y val="5.1079996323416775E-3"/>
        </c:manualLayout>
      </c:layout>
      <c:overlay val="0"/>
      <c:spPr>
        <a:noFill/>
        <a:ln>
          <a:noFill/>
        </a:ln>
        <a:effectLst/>
      </c:spPr>
      <c:txPr>
        <a:bodyPr rot="0" spcFirstLastPara="1" vertOverflow="ellipsis" vert="horz" wrap="square" anchor="ctr" anchorCtr="1"/>
        <a:lstStyle/>
        <a:p>
          <a:pPr>
            <a:defRPr sz="1200" b="1" i="0" u="none" strike="noStrike" kern="1200" spc="0" baseline="0">
              <a:solidFill>
                <a:sysClr val="windowText" lastClr="000000"/>
              </a:solidFill>
              <a:latin typeface="+mn-lt"/>
              <a:ea typeface="+mn-ea"/>
              <a:cs typeface="+mn-cs"/>
            </a:defRPr>
          </a:pPr>
          <a:endParaRPr lang="en-US"/>
        </a:p>
      </c:txPr>
    </c:title>
    <c:autoTitleDeleted val="0"/>
    <c:plotArea>
      <c:layout>
        <c:manualLayout>
          <c:layoutTarget val="inner"/>
          <c:xMode val="edge"/>
          <c:yMode val="edge"/>
          <c:x val="3.2974677048050557E-2"/>
          <c:y val="0.30179943484886967"/>
          <c:w val="0.93955862026122472"/>
          <c:h val="0.62025549540682412"/>
        </c:manualLayout>
      </c:layout>
      <c:pieChart>
        <c:varyColors val="1"/>
        <c:ser>
          <c:idx val="0"/>
          <c:order val="0"/>
          <c:tx>
            <c:strRef>
              <c:f>Sheet1!$B$1</c:f>
              <c:strCache>
                <c:ptCount val="1"/>
                <c:pt idx="0">
                  <c:v>Population selon le groupe professionnel au 31 mars 2018</c:v>
                </c:pt>
              </c:strCache>
            </c:strRef>
          </c:tx>
          <c:spPr>
            <a:ln w="3175"/>
          </c:spPr>
          <c:dPt>
            <c:idx val="0"/>
            <c:bubble3D val="0"/>
            <c:spPr>
              <a:solidFill>
                <a:schemeClr val="accent2"/>
              </a:solidFill>
              <a:ln w="3175">
                <a:solidFill>
                  <a:schemeClr val="lt1"/>
                </a:solidFill>
              </a:ln>
              <a:effectLst/>
            </c:spPr>
            <c:extLst>
              <c:ext xmlns:c16="http://schemas.microsoft.com/office/drawing/2014/chart" uri="{C3380CC4-5D6E-409C-BE32-E72D297353CC}">
                <c16:uniqueId val="{00000001-81D9-4305-8076-08DB45A79595}"/>
              </c:ext>
            </c:extLst>
          </c:dPt>
          <c:dPt>
            <c:idx val="1"/>
            <c:bubble3D val="0"/>
            <c:spPr>
              <a:solidFill>
                <a:schemeClr val="accent1"/>
              </a:solidFill>
              <a:ln w="3175">
                <a:solidFill>
                  <a:schemeClr val="lt1"/>
                </a:solidFill>
              </a:ln>
              <a:effectLst/>
            </c:spPr>
            <c:extLst>
              <c:ext xmlns:c16="http://schemas.microsoft.com/office/drawing/2014/chart" uri="{C3380CC4-5D6E-409C-BE32-E72D297353CC}">
                <c16:uniqueId val="{00000003-81D9-4305-8076-08DB45A79595}"/>
              </c:ext>
            </c:extLst>
          </c:dPt>
          <c:dPt>
            <c:idx val="2"/>
            <c:bubble3D val="0"/>
            <c:spPr>
              <a:solidFill>
                <a:schemeClr val="bg2">
                  <a:lumMod val="75000"/>
                </a:schemeClr>
              </a:solidFill>
              <a:ln w="3175">
                <a:solidFill>
                  <a:schemeClr val="lt1"/>
                </a:solidFill>
              </a:ln>
              <a:effectLst/>
            </c:spPr>
            <c:extLst>
              <c:ext xmlns:c16="http://schemas.microsoft.com/office/drawing/2014/chart" uri="{C3380CC4-5D6E-409C-BE32-E72D297353CC}">
                <c16:uniqueId val="{00000005-81D9-4305-8076-08DB45A79595}"/>
              </c:ext>
            </c:extLst>
          </c:dPt>
          <c:dPt>
            <c:idx val="3"/>
            <c:bubble3D val="0"/>
            <c:spPr>
              <a:solidFill>
                <a:schemeClr val="accent4">
                  <a:lumMod val="60000"/>
                  <a:lumOff val="40000"/>
                </a:schemeClr>
              </a:solidFill>
              <a:ln w="3175">
                <a:solidFill>
                  <a:schemeClr val="lt1"/>
                </a:solidFill>
              </a:ln>
              <a:effectLst/>
            </c:spPr>
            <c:extLst>
              <c:ext xmlns:c16="http://schemas.microsoft.com/office/drawing/2014/chart" uri="{C3380CC4-5D6E-409C-BE32-E72D297353CC}">
                <c16:uniqueId val="{00000007-81D9-4305-8076-08DB45A79595}"/>
              </c:ext>
            </c:extLst>
          </c:dPt>
          <c:dPt>
            <c:idx val="4"/>
            <c:bubble3D val="0"/>
            <c:spPr>
              <a:solidFill>
                <a:schemeClr val="accent6"/>
              </a:solidFill>
              <a:ln w="3175">
                <a:solidFill>
                  <a:schemeClr val="lt1"/>
                </a:solidFill>
              </a:ln>
              <a:effectLst/>
            </c:spPr>
            <c:extLst>
              <c:ext xmlns:c16="http://schemas.microsoft.com/office/drawing/2014/chart" uri="{C3380CC4-5D6E-409C-BE32-E72D297353CC}">
                <c16:uniqueId val="{00000009-81D9-4305-8076-08DB45A79595}"/>
              </c:ext>
            </c:extLst>
          </c:dPt>
          <c:dLbls>
            <c:dLbl>
              <c:idx val="0"/>
              <c:layout>
                <c:manualLayout>
                  <c:x val="1.3570286954354169E-2"/>
                  <c:y val="-0.12077821011673143"/>
                </c:manualLayout>
              </c:layout>
              <c:dLblPos val="bestFit"/>
              <c:showLegendKey val="0"/>
              <c:showVal val="0"/>
              <c:showCatName val="1"/>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1-81D9-4305-8076-08DB45A79595}"/>
                </c:ext>
              </c:extLst>
            </c:dLbl>
            <c:dLbl>
              <c:idx val="1"/>
              <c:layout>
                <c:manualLayout>
                  <c:x val="0.12143051950908371"/>
                  <c:y val="-2.0256339552886627E-2"/>
                </c:manualLayout>
              </c:layout>
              <c:dLblPos val="bestFit"/>
              <c:showLegendKey val="0"/>
              <c:showVal val="0"/>
              <c:showCatName val="1"/>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3-81D9-4305-8076-08DB45A79595}"/>
                </c:ext>
              </c:extLst>
            </c:dLbl>
            <c:dLbl>
              <c:idx val="2"/>
              <c:layout>
                <c:manualLayout>
                  <c:x val="0.14152700186219738"/>
                  <c:y val="0.14894083764821225"/>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manualLayout>
                      <c:w val="0.21705897135198526"/>
                      <c:h val="0.18653716923516855"/>
                    </c:manualLayout>
                  </c15:layout>
                </c:ext>
                <c:ext xmlns:c16="http://schemas.microsoft.com/office/drawing/2014/chart" uri="{C3380CC4-5D6E-409C-BE32-E72D297353CC}">
                  <c16:uniqueId val="{00000005-81D9-4305-8076-08DB45A79595}"/>
                </c:ext>
              </c:extLst>
            </c:dLbl>
            <c:dLbl>
              <c:idx val="3"/>
              <c:layout>
                <c:manualLayout>
                  <c:x val="6.7038945142257708E-2"/>
                  <c:y val="0.16201998099648907"/>
                </c:manualLayout>
              </c:layout>
              <c:spPr>
                <a:noFill/>
                <a:ln>
                  <a:noFill/>
                </a:ln>
                <a:effectLst/>
              </c:spPr>
              <c:txPr>
                <a:bodyPr rot="0" spcFirstLastPara="1" vertOverflow="ellipsis" vert="horz" wrap="square" lIns="38100" tIns="19050" rIns="38100" bIns="19050" anchor="ctr" anchorCtr="1">
                  <a:noAutofit/>
                </a:bodyPr>
                <a:lstStyle/>
                <a:p>
                  <a:pPr>
                    <a:defRPr sz="900" b="1" i="0" u="none" strike="noStrike" kern="1200" baseline="0">
                      <a:solidFill>
                        <a:schemeClr val="bg1"/>
                      </a:solidFill>
                      <a:latin typeface="+mn-lt"/>
                      <a:ea typeface="+mn-ea"/>
                      <a:cs typeface="+mn-cs"/>
                    </a:defRPr>
                  </a:pPr>
                  <a:endParaRPr lang="en-US"/>
                </a:p>
              </c:txPr>
              <c:dLblPos val="bestFit"/>
              <c:showLegendKey val="0"/>
              <c:showVal val="0"/>
              <c:showCatName val="1"/>
              <c:showSerName val="0"/>
              <c:showPercent val="1"/>
              <c:showBubbleSize val="0"/>
              <c:separator>
</c:separator>
              <c:extLst>
                <c:ext xmlns:c15="http://schemas.microsoft.com/office/drawing/2012/chart" uri="{CE6537A1-D6FC-4f65-9D91-7224C49458BB}">
                  <c15:layout>
                    <c:manualLayout>
                      <c:w val="0.30205193624539944"/>
                      <c:h val="0.17425473572991873"/>
                    </c:manualLayout>
                  </c15:layout>
                </c:ext>
                <c:ext xmlns:c16="http://schemas.microsoft.com/office/drawing/2014/chart" uri="{C3380CC4-5D6E-409C-BE32-E72D297353CC}">
                  <c16:uniqueId val="{00000007-81D9-4305-8076-08DB45A79595}"/>
                </c:ext>
              </c:extLst>
            </c:dLbl>
            <c:dLbl>
              <c:idx val="4"/>
              <c:layout>
                <c:manualLayout>
                  <c:x val="-0.1042830540037244"/>
                  <c:y val="9.3640327973601251E-2"/>
                </c:manualLayout>
              </c:layout>
              <c:spPr>
                <a:noFill/>
                <a:ln>
                  <a:noFill/>
                </a:ln>
                <a:effectLst/>
              </c:spPr>
              <c:txPr>
                <a:bodyPr rot="0" spcFirstLastPara="1" vertOverflow="ellipsis" vert="horz" wrap="square" lIns="38100" tIns="19050" rIns="38100" bIns="19050" anchor="ctr" anchorCtr="1">
                  <a:noAutofit/>
                </a:bodyPr>
                <a:lstStyle/>
                <a:p>
                  <a:pPr>
                    <a:defRPr sz="900" b="1" i="0" u="none" strike="noStrike" kern="1200" baseline="0">
                      <a:solidFill>
                        <a:schemeClr val="bg1"/>
                      </a:solidFill>
                      <a:latin typeface="+mn-lt"/>
                      <a:ea typeface="+mn-ea"/>
                      <a:cs typeface="+mn-cs"/>
                    </a:defRPr>
                  </a:pPr>
                  <a:endParaRPr lang="en-US"/>
                </a:p>
              </c:txPr>
              <c:dLblPos val="bestFit"/>
              <c:showLegendKey val="0"/>
              <c:showVal val="0"/>
              <c:showCatName val="1"/>
              <c:showSerName val="0"/>
              <c:showPercent val="1"/>
              <c:showBubbleSize val="0"/>
              <c:separator>
</c:separator>
              <c:extLst>
                <c:ext xmlns:c15="http://schemas.microsoft.com/office/drawing/2012/chart" uri="{CE6537A1-D6FC-4f65-9D91-7224C49458BB}">
                  <c15:layout>
                    <c:manualLayout>
                      <c:w val="0.26256983240223464"/>
                      <c:h val="0.20076064410043432"/>
                    </c:manualLayout>
                  </c15:layout>
                </c:ext>
                <c:ext xmlns:c16="http://schemas.microsoft.com/office/drawing/2014/chart" uri="{C3380CC4-5D6E-409C-BE32-E72D297353CC}">
                  <c16:uniqueId val="{00000009-81D9-4305-8076-08DB45A79595}"/>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mn-lt"/>
                    <a:ea typeface="+mn-ea"/>
                    <a:cs typeface="+mn-cs"/>
                  </a:defRPr>
                </a:pPr>
                <a:endParaRPr lang="en-US"/>
              </a:p>
            </c:txPr>
            <c:dLblPos val="bestFit"/>
            <c:showLegendKey val="0"/>
            <c:showVal val="0"/>
            <c:showCatName val="1"/>
            <c:showSerName val="0"/>
            <c:showPercent val="1"/>
            <c:showBubbleSize val="0"/>
            <c:separator>
</c:separator>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Sheet1!$A$2:$A$6</c:f>
              <c:strCache>
                <c:ptCount val="5"/>
                <c:pt idx="0">
                  <c:v>AS</c:v>
                </c:pt>
                <c:pt idx="1">
                  <c:v>FS</c:v>
                </c:pt>
                <c:pt idx="2">
                  <c:v>EC</c:v>
                </c:pt>
                <c:pt idx="3">
                  <c:v>PM</c:v>
                </c:pt>
                <c:pt idx="4">
                  <c:v>Autre</c:v>
                </c:pt>
              </c:strCache>
            </c:strRef>
          </c:cat>
          <c:val>
            <c:numRef>
              <c:f>Sheet1!$B$2:$B$6</c:f>
              <c:numCache>
                <c:formatCode>General</c:formatCode>
                <c:ptCount val="5"/>
                <c:pt idx="0">
                  <c:v>1378</c:v>
                </c:pt>
                <c:pt idx="1">
                  <c:v>1241</c:v>
                </c:pt>
                <c:pt idx="2">
                  <c:v>735</c:v>
                </c:pt>
                <c:pt idx="3">
                  <c:v>633</c:v>
                </c:pt>
                <c:pt idx="4">
                  <c:v>2292</c:v>
                </c:pt>
              </c:numCache>
            </c:numRef>
          </c:val>
          <c:extLst>
            <c:ext xmlns:c16="http://schemas.microsoft.com/office/drawing/2014/chart" uri="{C3380CC4-5D6E-409C-BE32-E72D297353CC}">
              <c16:uniqueId val="{0000000A-81D9-4305-8076-08DB45A79595}"/>
            </c:ext>
          </c:extLst>
        </c:ser>
        <c:dLbls>
          <c:dLblPos val="bestFit"/>
          <c:showLegendKey val="0"/>
          <c:showVal val="1"/>
          <c:showCatName val="0"/>
          <c:showSerName val="0"/>
          <c:showPercent val="0"/>
          <c:showBubbleSize val="0"/>
          <c:showLeaderLines val="1"/>
        </c:dLbls>
        <c:firstSliceAng val="141"/>
      </c:pieChart>
      <c:spPr>
        <a:noFill/>
        <a:ln>
          <a:noFill/>
        </a:ln>
        <a:effectLst/>
      </c:spPr>
    </c:plotArea>
    <c:plotVisOnly val="1"/>
    <c:dispBlanksAs val="gap"/>
    <c:showDLblsOverMax val="0"/>
  </c:chart>
  <c:spPr>
    <a:solidFill>
      <a:schemeClr val="bg1"/>
    </a:solidFill>
    <a:ln w="9525" cap="flat" cmpd="sng" algn="ctr">
      <a:solidFill>
        <a:sysClr val="windowText" lastClr="000000">
          <a:lumMod val="25000"/>
          <a:lumOff val="75000"/>
        </a:sys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baseline="0">
                <a:solidFill>
                  <a:sysClr val="windowText" lastClr="000000"/>
                </a:solidFill>
                <a:latin typeface="+mn-lt"/>
                <a:ea typeface="+mn-ea"/>
                <a:cs typeface="+mn-cs"/>
              </a:defRPr>
            </a:pPr>
            <a:r>
              <a:rPr lang="en-US" sz="1200" b="1" i="0" baseline="0">
                <a:solidFill>
                  <a:sysClr val="windowText" lastClr="000000"/>
                </a:solidFill>
                <a:effectLst/>
              </a:rPr>
              <a:t>Population selon la région au 31 mars 2019 (N=6 556)</a:t>
            </a:r>
            <a:endParaRPr lang="en-CA" sz="1200">
              <a:solidFill>
                <a:sysClr val="windowText" lastClr="000000"/>
              </a:solidFill>
              <a:effectLst/>
            </a:endParaRPr>
          </a:p>
        </c:rich>
      </c:tx>
      <c:layout>
        <c:manualLayout>
          <c:xMode val="edge"/>
          <c:yMode val="edge"/>
          <c:x val="0.12792086473061834"/>
          <c:y val="2.0703933747412008E-2"/>
        </c:manualLayout>
      </c:layout>
      <c:overlay val="0"/>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mn-lt"/>
              <a:ea typeface="+mn-ea"/>
              <a:cs typeface="+mn-cs"/>
            </a:defRPr>
          </a:pPr>
          <a:endParaRPr lang="en-US"/>
        </a:p>
      </c:txPr>
    </c:title>
    <c:autoTitleDeleted val="0"/>
    <c:plotArea>
      <c:layout>
        <c:manualLayout>
          <c:layoutTarget val="inner"/>
          <c:xMode val="edge"/>
          <c:yMode val="edge"/>
          <c:x val="0.13381932097197527"/>
          <c:y val="0.28658284303110443"/>
          <c:w val="0.76448056896113781"/>
          <c:h val="0.6240201250443459"/>
        </c:manualLayout>
      </c:layout>
      <c:pieChart>
        <c:varyColors val="1"/>
        <c:ser>
          <c:idx val="0"/>
          <c:order val="0"/>
          <c:tx>
            <c:strRef>
              <c:f>Sheet1!$B$1</c:f>
              <c:strCache>
                <c:ptCount val="1"/>
                <c:pt idx="0">
                  <c:v>Population selon la région au 31 mars 2018</c:v>
                </c:pt>
              </c:strCache>
            </c:strRef>
          </c:tx>
          <c:spPr>
            <a:effectLst/>
          </c:spPr>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w="3175">
                <a:solidFill>
                  <a:schemeClr val="lt1"/>
                </a:solidFill>
              </a:ln>
              <a:effectLst/>
            </c:spPr>
            <c:extLst>
              <c:ext xmlns:c16="http://schemas.microsoft.com/office/drawing/2014/chart" uri="{C3380CC4-5D6E-409C-BE32-E72D297353CC}">
                <c16:uniqueId val="{00000001-FCB3-47F7-9EB1-B5727C59619D}"/>
              </c:ext>
            </c:extLst>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c:spPr>
            <c:extLst>
              <c:ext xmlns:c16="http://schemas.microsoft.com/office/drawing/2014/chart" uri="{C3380CC4-5D6E-409C-BE32-E72D297353CC}">
                <c16:uniqueId val="{00000003-FCB3-47F7-9EB1-B5727C59619D}"/>
              </c:ext>
            </c:extLst>
          </c:dPt>
          <c:dLbls>
            <c:dLbl>
              <c:idx val="0"/>
              <c:layout>
                <c:manualLayout>
                  <c:x val="-0.10752688172043011"/>
                  <c:y val="0.1915120506074833"/>
                </c:manualLayout>
              </c:layout>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mn-lt"/>
                      <a:ea typeface="+mn-ea"/>
                      <a:cs typeface="+mn-cs"/>
                    </a:defRPr>
                  </a:pPr>
                  <a:endParaRPr lang="en-US"/>
                </a:p>
              </c:txPr>
              <c:showLegendKey val="0"/>
              <c:showVal val="0"/>
              <c:showCatName val="1"/>
              <c:showSerName val="0"/>
              <c:showPercent val="1"/>
              <c:showBubbleSize val="0"/>
              <c:extLst>
                <c:ext xmlns:c15="http://schemas.microsoft.com/office/drawing/2012/chart" uri="{CE6537A1-D6FC-4f65-9D91-7224C49458BB}">
                  <c15:layout>
                    <c:manualLayout>
                      <c:w val="0.37992831541218636"/>
                      <c:h val="0.24456521739130435"/>
                    </c:manualLayout>
                  </c15:layout>
                </c:ext>
                <c:ext xmlns:c16="http://schemas.microsoft.com/office/drawing/2014/chart" uri="{C3380CC4-5D6E-409C-BE32-E72D297353CC}">
                  <c16:uniqueId val="{00000001-FCB3-47F7-9EB1-B5727C59619D}"/>
                </c:ext>
              </c:extLst>
            </c:dLbl>
            <c:dLbl>
              <c:idx val="1"/>
              <c:layout>
                <c:manualLayout>
                  <c:x val="0.23655913978494625"/>
                  <c:y val="-0.17584038408242447"/>
                </c:manualLayout>
              </c:layout>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mn-lt"/>
                      <a:ea typeface="+mn-ea"/>
                      <a:cs typeface="+mn-cs"/>
                    </a:defRPr>
                  </a:pPr>
                  <a:endParaRPr lang="en-US"/>
                </a:p>
              </c:txPr>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FCB3-47F7-9EB1-B5727C59619D}"/>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n-US"/>
              </a:p>
            </c:txPr>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Sheet1!$A$2:$A$3</c:f>
              <c:strCache>
                <c:ptCount val="2"/>
                <c:pt idx="0">
                  <c:v>Extérieur de la RCN</c:v>
                </c:pt>
                <c:pt idx="1">
                  <c:v>RCN</c:v>
                </c:pt>
              </c:strCache>
            </c:strRef>
          </c:cat>
          <c:val>
            <c:numRef>
              <c:f>Sheet1!$B$2:$B$3</c:f>
              <c:numCache>
                <c:formatCode>0</c:formatCode>
                <c:ptCount val="2"/>
                <c:pt idx="0">
                  <c:v>1187</c:v>
                </c:pt>
                <c:pt idx="1">
                  <c:v>5366</c:v>
                </c:pt>
              </c:numCache>
            </c:numRef>
          </c:val>
          <c:extLst>
            <c:ext xmlns:c16="http://schemas.microsoft.com/office/drawing/2014/chart" uri="{C3380CC4-5D6E-409C-BE32-E72D297353CC}">
              <c16:uniqueId val="{00000004-FCB3-47F7-9EB1-B5727C59619D}"/>
            </c:ext>
          </c:extLst>
        </c:ser>
        <c:dLbls>
          <c:showLegendKey val="0"/>
          <c:showVal val="0"/>
          <c:showCatName val="0"/>
          <c:showSerName val="0"/>
          <c:showPercent val="0"/>
          <c:showBubbleSize val="0"/>
          <c:showLeaderLines val="1"/>
        </c:dLbls>
        <c:firstSliceAng val="25"/>
      </c:pie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userShapes r:id="rId4"/>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baseline="0">
                <a:solidFill>
                  <a:sysClr val="windowText" lastClr="000000"/>
                </a:solidFill>
                <a:latin typeface="+mn-lt"/>
                <a:ea typeface="+mn-ea"/>
                <a:cs typeface="+mn-cs"/>
              </a:defRPr>
            </a:pPr>
            <a:r>
              <a:rPr lang="en-US" sz="1200">
                <a:solidFill>
                  <a:sysClr val="windowText" lastClr="000000"/>
                </a:solidFill>
              </a:rPr>
              <a:t>Embauche externe pour une période</a:t>
            </a:r>
            <a:r>
              <a:rPr lang="en-US" sz="1200" baseline="0">
                <a:solidFill>
                  <a:sysClr val="windowText" lastClr="000000"/>
                </a:solidFill>
              </a:rPr>
              <a:t> indéterminée selon le groupe professionnel</a:t>
            </a:r>
            <a:r>
              <a:rPr lang="en-US" sz="1200">
                <a:solidFill>
                  <a:sysClr val="windowText" lastClr="000000"/>
                </a:solidFill>
              </a:rPr>
              <a:t>,</a:t>
            </a:r>
          </a:p>
          <a:p>
            <a:pPr>
              <a:defRPr sz="1200" b="1">
                <a:solidFill>
                  <a:sysClr val="windowText" lastClr="000000"/>
                </a:solidFill>
              </a:defRPr>
            </a:pPr>
            <a:r>
              <a:rPr lang="en-US" sz="1200">
                <a:solidFill>
                  <a:sysClr val="windowText" lastClr="000000"/>
                </a:solidFill>
              </a:rPr>
              <a:t> 2018-2019 (N=159)</a:t>
            </a:r>
          </a:p>
        </c:rich>
      </c:tx>
      <c:layout>
        <c:manualLayout>
          <c:xMode val="edge"/>
          <c:yMode val="edge"/>
          <c:x val="0.14968643412327082"/>
          <c:y val="2.5746584826502987E-2"/>
        </c:manualLayout>
      </c:layout>
      <c:overlay val="0"/>
      <c:spPr>
        <a:noFill/>
        <a:ln>
          <a:noFill/>
        </a:ln>
        <a:effectLst/>
      </c:spPr>
      <c:txPr>
        <a:bodyPr rot="0" spcFirstLastPara="1" vertOverflow="ellipsis" vert="horz" wrap="square" anchor="ctr" anchorCtr="1"/>
        <a:lstStyle/>
        <a:p>
          <a:pPr>
            <a:defRPr sz="1200" b="1" i="0" u="none" strike="noStrike" kern="1200" spc="0" baseline="0">
              <a:solidFill>
                <a:sysClr val="windowText" lastClr="000000"/>
              </a:solidFill>
              <a:latin typeface="+mn-lt"/>
              <a:ea typeface="+mn-ea"/>
              <a:cs typeface="+mn-cs"/>
            </a:defRPr>
          </a:pPr>
          <a:endParaRPr lang="en-US"/>
        </a:p>
      </c:txPr>
    </c:title>
    <c:autoTitleDeleted val="0"/>
    <c:plotArea>
      <c:layout>
        <c:manualLayout>
          <c:layoutTarget val="inner"/>
          <c:xMode val="edge"/>
          <c:yMode val="edge"/>
          <c:x val="0.10316071780315464"/>
          <c:y val="0.43730654357860438"/>
          <c:w val="0.8966533531134695"/>
          <c:h val="0.48715812098290862"/>
        </c:manualLayout>
      </c:layout>
      <c:doughnutChart>
        <c:varyColors val="1"/>
        <c:ser>
          <c:idx val="0"/>
          <c:order val="0"/>
          <c:tx>
            <c:strRef>
              <c:f>Sheet1!$B$1</c:f>
              <c:strCache>
                <c:ptCount val="1"/>
                <c:pt idx="0">
                  <c:v>Embauche externe pour une période indéterminée selon le groupe professionnel</c:v>
                </c:pt>
              </c:strCache>
            </c:strRef>
          </c:tx>
          <c:dPt>
            <c:idx val="0"/>
            <c:bubble3D val="0"/>
            <c:explosion val="1"/>
            <c:spPr>
              <a:solidFill>
                <a:schemeClr val="accent2"/>
              </a:solidFill>
              <a:ln w="19050">
                <a:solidFill>
                  <a:schemeClr val="lt1"/>
                </a:solidFill>
              </a:ln>
              <a:effectLst/>
            </c:spPr>
            <c:extLst>
              <c:ext xmlns:c16="http://schemas.microsoft.com/office/drawing/2014/chart" uri="{C3380CC4-5D6E-409C-BE32-E72D297353CC}">
                <c16:uniqueId val="{00000001-094F-4B26-BC68-5ACE2F241DA6}"/>
              </c:ext>
            </c:extLst>
          </c:dPt>
          <c:dPt>
            <c:idx val="1"/>
            <c:bubble3D val="0"/>
            <c:spPr>
              <a:solidFill>
                <a:schemeClr val="bg1">
                  <a:lumMod val="65000"/>
                </a:schemeClr>
              </a:solidFill>
              <a:ln w="19050">
                <a:solidFill>
                  <a:schemeClr val="lt1"/>
                </a:solidFill>
              </a:ln>
              <a:effectLst/>
            </c:spPr>
            <c:extLst>
              <c:ext xmlns:c16="http://schemas.microsoft.com/office/drawing/2014/chart" uri="{C3380CC4-5D6E-409C-BE32-E72D297353CC}">
                <c16:uniqueId val="{00000003-094F-4B26-BC68-5ACE2F241DA6}"/>
              </c:ext>
            </c:extLst>
          </c:dPt>
          <c:dPt>
            <c:idx val="2"/>
            <c:bubble3D val="0"/>
            <c:spPr>
              <a:solidFill>
                <a:schemeClr val="accent5">
                  <a:lumMod val="40000"/>
                  <a:lumOff val="60000"/>
                </a:schemeClr>
              </a:solidFill>
              <a:ln w="19050">
                <a:solidFill>
                  <a:schemeClr val="lt1"/>
                </a:solidFill>
              </a:ln>
              <a:effectLst/>
            </c:spPr>
            <c:extLst>
              <c:ext xmlns:c16="http://schemas.microsoft.com/office/drawing/2014/chart" uri="{C3380CC4-5D6E-409C-BE32-E72D297353CC}">
                <c16:uniqueId val="{00000005-094F-4B26-BC68-5ACE2F241DA6}"/>
              </c:ext>
            </c:extLst>
          </c:dPt>
          <c:dPt>
            <c:idx val="3"/>
            <c:bubble3D val="0"/>
            <c:spPr>
              <a:solidFill>
                <a:schemeClr val="accent6"/>
              </a:solidFill>
              <a:ln w="19050">
                <a:solidFill>
                  <a:schemeClr val="lt1"/>
                </a:solidFill>
              </a:ln>
              <a:effectLst/>
            </c:spPr>
            <c:extLst>
              <c:ext xmlns:c16="http://schemas.microsoft.com/office/drawing/2014/chart" uri="{C3380CC4-5D6E-409C-BE32-E72D297353CC}">
                <c16:uniqueId val="{00000007-094F-4B26-BC68-5ACE2F241DA6}"/>
              </c:ext>
            </c:extLst>
          </c:dPt>
          <c:dLbls>
            <c:dLbl>
              <c:idx val="0"/>
              <c:layout>
                <c:manualLayout>
                  <c:x val="-9.6620893402817407E-3"/>
                  <c:y val="-3.283741203300744E-3"/>
                </c:manualLayout>
              </c:layout>
              <c:spPr>
                <a:noFill/>
                <a:ln>
                  <a:noFill/>
                </a:ln>
                <a:effectLst/>
              </c:spPr>
              <c:txPr>
                <a:bodyPr rot="0" spcFirstLastPara="1" vertOverflow="ellipsis" vert="horz" wrap="square" lIns="38100" tIns="19050" rIns="38100" bIns="19050" anchor="ctr" anchorCtr="1">
                  <a:noAutofit/>
                </a:bodyPr>
                <a:lstStyle/>
                <a:p>
                  <a:pPr>
                    <a:defRPr sz="900" b="1" i="0" u="none" strike="noStrike" kern="1200" baseline="0">
                      <a:solidFill>
                        <a:schemeClr val="bg1"/>
                      </a:solidFill>
                      <a:latin typeface="+mn-lt"/>
                      <a:ea typeface="+mn-ea"/>
                      <a:cs typeface="+mn-cs"/>
                    </a:defRPr>
                  </a:pPr>
                  <a:endParaRPr lang="en-US"/>
                </a:p>
              </c:txPr>
              <c:showLegendKey val="0"/>
              <c:showVal val="0"/>
              <c:showCatName val="1"/>
              <c:showSerName val="0"/>
              <c:showPercent val="1"/>
              <c:showBubbleSize val="0"/>
              <c:extLst>
                <c:ext xmlns:c15="http://schemas.microsoft.com/office/drawing/2012/chart" uri="{CE6537A1-D6FC-4f65-9D91-7224C49458BB}">
                  <c15:layout>
                    <c:manualLayout>
                      <c:w val="0.24085815360036511"/>
                      <c:h val="0.13880863317282188"/>
                    </c:manualLayout>
                  </c15:layout>
                </c:ext>
                <c:ext xmlns:c16="http://schemas.microsoft.com/office/drawing/2014/chart" uri="{C3380CC4-5D6E-409C-BE32-E72D297353CC}">
                  <c16:uniqueId val="{00000001-094F-4B26-BC68-5ACE2F241DA6}"/>
                </c:ext>
              </c:extLst>
            </c:dLbl>
            <c:dLbl>
              <c:idx val="1"/>
              <c:layout>
                <c:manualLayout>
                  <c:x val="-2.7817011344891965E-2"/>
                  <c:y val="-1.1907848392603381E-2"/>
                </c:manualLayout>
              </c:layout>
              <c:spPr>
                <a:noFill/>
                <a:ln>
                  <a:noFill/>
                </a:ln>
                <a:effectLst/>
              </c:spPr>
              <c:txPr>
                <a:bodyPr rot="0" spcFirstLastPara="1" vertOverflow="clip" horzOverflow="clip" vert="horz" wrap="square" lIns="38100" tIns="19050" rIns="38100" bIns="19050" anchor="ctr" anchorCtr="1">
                  <a:spAutoFit/>
                </a:bodyPr>
                <a:lstStyle/>
                <a:p>
                  <a:pPr>
                    <a:defRPr sz="900" b="1" i="0" u="none" strike="noStrike" kern="1200" baseline="0">
                      <a:solidFill>
                        <a:schemeClr val="bg1"/>
                      </a:solidFill>
                      <a:latin typeface="+mn-lt"/>
                      <a:ea typeface="+mn-ea"/>
                      <a:cs typeface="+mn-cs"/>
                    </a:defRPr>
                  </a:pPr>
                  <a:endParaRPr lang="en-US"/>
                </a:p>
              </c:txPr>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15:layout>
                    <c:manualLayout>
                      <c:w val="0.19258701357982427"/>
                      <c:h val="0.13678737458588883"/>
                    </c:manualLayout>
                  </c15:layout>
                </c:ext>
                <c:ext xmlns:c16="http://schemas.microsoft.com/office/drawing/2014/chart" uri="{C3380CC4-5D6E-409C-BE32-E72D297353CC}">
                  <c16:uniqueId val="{00000003-094F-4B26-BC68-5ACE2F241DA6}"/>
                </c:ext>
              </c:extLst>
            </c:dLbl>
            <c:dLbl>
              <c:idx val="2"/>
              <c:layout>
                <c:manualLayout>
                  <c:x val="-5.4542457555124598E-3"/>
                  <c:y val="-3.937696764282482E-3"/>
                </c:manualLayout>
              </c:layout>
              <c:spPr>
                <a:noFill/>
                <a:ln>
                  <a:noFill/>
                </a:ln>
                <a:effectLst/>
              </c:spPr>
              <c:txPr>
                <a:bodyPr rot="0" spcFirstLastPara="1" vertOverflow="clip" horzOverflow="clip"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en-US"/>
                </a:p>
              </c:txPr>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ext>
                <c:ext xmlns:c16="http://schemas.microsoft.com/office/drawing/2014/chart" uri="{C3380CC4-5D6E-409C-BE32-E72D297353CC}">
                  <c16:uniqueId val="{00000005-094F-4B26-BC68-5ACE2F241DA6}"/>
                </c:ext>
              </c:extLst>
            </c:dLbl>
            <c:dLbl>
              <c:idx val="3"/>
              <c:spPr>
                <a:noFill/>
                <a:ln>
                  <a:noFill/>
                </a:ln>
                <a:effectLst/>
              </c:spPr>
              <c:txPr>
                <a:bodyPr rot="0" spcFirstLastPara="1" vertOverflow="clip" horzOverflow="clip" vert="horz" wrap="square" lIns="38100" tIns="19050" rIns="38100" bIns="19050" anchor="ctr" anchorCtr="1">
                  <a:spAutoFit/>
                </a:bodyPr>
                <a:lstStyle/>
                <a:p>
                  <a:pPr>
                    <a:defRPr sz="900" b="1" i="0" u="none" strike="noStrike" kern="1200" baseline="0">
                      <a:solidFill>
                        <a:schemeClr val="bg1"/>
                      </a:solidFill>
                      <a:latin typeface="+mn-lt"/>
                      <a:ea typeface="+mn-ea"/>
                      <a:cs typeface="+mn-cs"/>
                    </a:defRPr>
                  </a:pPr>
                  <a:endParaRPr lang="en-US"/>
                </a:p>
              </c:txPr>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ext>
                <c:ext xmlns:c16="http://schemas.microsoft.com/office/drawing/2014/chart" uri="{C3380CC4-5D6E-409C-BE32-E72D297353CC}">
                  <c16:uniqueId val="{00000007-094F-4B26-BC68-5ACE2F241DA6}"/>
                </c:ext>
              </c:extLst>
            </c:dLbl>
            <c:spPr>
              <a:solidFill>
                <a:sysClr val="window" lastClr="FFFFFF"/>
              </a:solidFill>
              <a:ln>
                <a:noFill/>
              </a:ln>
              <a:effectLst/>
            </c:spPr>
            <c:txPr>
              <a:bodyPr rot="0" spcFirstLastPara="1" vertOverflow="clip" horzOverflow="clip" vert="horz" wrap="square" lIns="38100" tIns="19050" rIns="38100" bIns="19050" anchor="ctr" anchorCtr="1">
                <a:spAutoFit/>
              </a:bodyPr>
              <a:lstStyle/>
              <a:p>
                <a:pPr>
                  <a:defRPr sz="900" b="1" i="0" u="none" strike="noStrike" kern="1200" baseline="0">
                    <a:solidFill>
                      <a:schemeClr val="bg1"/>
                    </a:solidFill>
                    <a:latin typeface="+mn-lt"/>
                    <a:ea typeface="+mn-ea"/>
                    <a:cs typeface="+mn-cs"/>
                  </a:defRPr>
                </a:pPr>
                <a:endParaRPr lang="en-US"/>
              </a:p>
            </c:txPr>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Sheet1!$A$2:$A$5</c:f>
              <c:strCache>
                <c:ptCount val="4"/>
                <c:pt idx="0">
                  <c:v>AS</c:v>
                </c:pt>
                <c:pt idx="1">
                  <c:v>EC</c:v>
                </c:pt>
                <c:pt idx="2">
                  <c:v>CS</c:v>
                </c:pt>
                <c:pt idx="3">
                  <c:v>Autre</c:v>
                </c:pt>
              </c:strCache>
            </c:strRef>
          </c:cat>
          <c:val>
            <c:numRef>
              <c:f>Sheet1!$B$2:$B$5</c:f>
              <c:numCache>
                <c:formatCode>General</c:formatCode>
                <c:ptCount val="4"/>
                <c:pt idx="0">
                  <c:v>67</c:v>
                </c:pt>
                <c:pt idx="1">
                  <c:v>26</c:v>
                </c:pt>
                <c:pt idx="2">
                  <c:v>18</c:v>
                </c:pt>
                <c:pt idx="3">
                  <c:v>48</c:v>
                </c:pt>
              </c:numCache>
            </c:numRef>
          </c:val>
          <c:extLst>
            <c:ext xmlns:c16="http://schemas.microsoft.com/office/drawing/2014/chart" uri="{C3380CC4-5D6E-409C-BE32-E72D297353CC}">
              <c16:uniqueId val="{00000008-094F-4B26-BC68-5ACE2F241DA6}"/>
            </c:ext>
          </c:extLst>
        </c:ser>
        <c:dLbls>
          <c:showLegendKey val="0"/>
          <c:showVal val="0"/>
          <c:showCatName val="0"/>
          <c:showSerName val="0"/>
          <c:showPercent val="0"/>
          <c:showBubbleSize val="0"/>
          <c:showLeaderLines val="0"/>
        </c:dLbls>
        <c:firstSliceAng val="120"/>
        <c:holeSize val="50"/>
      </c:doughnutChart>
      <c:spPr>
        <a:noFill/>
        <a:ln>
          <a:noFill/>
        </a:ln>
        <a:effectLst/>
      </c:spPr>
    </c:plotArea>
    <c:plotVisOnly val="1"/>
    <c:dispBlanksAs val="gap"/>
    <c:showDLblsOverMax val="0"/>
  </c:chart>
  <c:spPr>
    <a:solidFill>
      <a:schemeClr val="bg1"/>
    </a:solidFill>
    <a:ln w="9525" cap="flat" cmpd="sng" algn="ctr">
      <a:solidFill>
        <a:sysClr val="windowText" lastClr="000000">
          <a:lumMod val="25000"/>
          <a:lumOff val="75000"/>
        </a:sys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baseline="0">
                <a:solidFill>
                  <a:sysClr val="windowText" lastClr="000000"/>
                </a:solidFill>
                <a:latin typeface="+mn-lt"/>
                <a:ea typeface="+mn-ea"/>
                <a:cs typeface="+mn-cs"/>
              </a:defRPr>
            </a:pPr>
            <a:r>
              <a:rPr lang="en-CA" sz="1200">
                <a:solidFill>
                  <a:sysClr val="windowText" lastClr="000000"/>
                </a:solidFill>
              </a:rPr>
              <a:t>Dotation selon la région</a:t>
            </a:r>
          </a:p>
        </c:rich>
      </c:tx>
      <c:layout>
        <c:manualLayout>
          <c:xMode val="edge"/>
          <c:yMode val="edge"/>
          <c:x val="0.36701340662939896"/>
          <c:y val="2.4056995999849118E-2"/>
        </c:manualLayout>
      </c:layout>
      <c:overlay val="0"/>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mn-lt"/>
              <a:ea typeface="+mn-ea"/>
              <a:cs typeface="+mn-cs"/>
            </a:defRPr>
          </a:pPr>
          <a:endParaRPr lang="en-US"/>
        </a:p>
      </c:txPr>
    </c:title>
    <c:autoTitleDeleted val="0"/>
    <c:plotArea>
      <c:layout>
        <c:manualLayout>
          <c:layoutTarget val="inner"/>
          <c:xMode val="edge"/>
          <c:yMode val="edge"/>
          <c:x val="0.10951817700419027"/>
          <c:y val="0.12158656628431981"/>
          <c:w val="0.84333349635643373"/>
          <c:h val="0.61671174519323513"/>
        </c:manualLayout>
      </c:layout>
      <c:barChart>
        <c:barDir val="col"/>
        <c:grouping val="clustered"/>
        <c:varyColors val="0"/>
        <c:ser>
          <c:idx val="0"/>
          <c:order val="0"/>
          <c:tx>
            <c:strRef>
              <c:f>Sheet1!$B$1</c:f>
              <c:strCache>
                <c:ptCount val="1"/>
                <c:pt idx="0">
                  <c:v>Région de la capitale nationale (RCN)</c:v>
                </c:pt>
              </c:strCache>
            </c:strRef>
          </c:tx>
          <c:spPr>
            <a:solidFill>
              <a:schemeClr val="accent2"/>
            </a:solidFill>
            <a:ln>
              <a:noFill/>
            </a:ln>
            <a:effectLst>
              <a:outerShdw blurRad="57150" dist="19050" dir="5400000" algn="ctr" rotWithShape="0">
                <a:srgbClr val="000000">
                  <a:alpha val="63000"/>
                </a:srgbClr>
              </a:outerShdw>
            </a:effectLst>
          </c:spPr>
          <c:invertIfNegative val="0"/>
          <c:dLbls>
            <c:dLbl>
              <c:idx val="0"/>
              <c:layout>
                <c:manualLayout>
                  <c:x val="-8.3332646246444333E-3"/>
                  <c:y val="1.049501486793772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BA7E-4F26-B2E0-138448FEE700}"/>
                </c:ext>
              </c:extLst>
            </c:dLbl>
            <c:dLbl>
              <c:idx val="1"/>
              <c:layout>
                <c:manualLayout>
                  <c:x val="-7.0912188608003284E-3"/>
                  <c:y val="1.370567072126092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BA7E-4F26-B2E0-138448FEE700}"/>
                </c:ext>
              </c:extLst>
            </c:dLbl>
            <c:dLbl>
              <c:idx val="2"/>
              <c:layout>
                <c:manualLayout>
                  <c:x val="-1.2152921674264468E-2"/>
                  <c:y val="1.399327396907320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BA7E-4F26-B2E0-138448FEE700}"/>
                </c:ext>
              </c:extLst>
            </c:dLbl>
            <c:dLbl>
              <c:idx val="3"/>
              <c:layout>
                <c:manualLayout>
                  <c:x val="-9.0459087350923239E-3"/>
                  <c:y val="1.392150805545400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BA7E-4F26-B2E0-138448FEE700}"/>
                </c:ext>
              </c:extLst>
            </c:dLbl>
            <c:dLbl>
              <c:idx val="4"/>
              <c:layout>
                <c:manualLayout>
                  <c:x val="3.12543168945987E-3"/>
                  <c:y val="1.448700187103989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BA7E-4F26-B2E0-138448FEE70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2014-2015</c:v>
                </c:pt>
                <c:pt idx="1">
                  <c:v>2015-2016</c:v>
                </c:pt>
                <c:pt idx="2">
                  <c:v>2016-2017</c:v>
                </c:pt>
                <c:pt idx="3">
                  <c:v>2017-2018</c:v>
                </c:pt>
                <c:pt idx="4">
                  <c:v>2018-2019</c:v>
                </c:pt>
              </c:strCache>
            </c:strRef>
          </c:cat>
          <c:val>
            <c:numRef>
              <c:f>Sheet1!$B$2:$B$6</c:f>
              <c:numCache>
                <c:formatCode>0%</c:formatCode>
                <c:ptCount val="5"/>
                <c:pt idx="0">
                  <c:v>0.86</c:v>
                </c:pt>
                <c:pt idx="1">
                  <c:v>0.83</c:v>
                </c:pt>
                <c:pt idx="2">
                  <c:v>0.91</c:v>
                </c:pt>
                <c:pt idx="3">
                  <c:v>0.9</c:v>
                </c:pt>
                <c:pt idx="4">
                  <c:v>0.87</c:v>
                </c:pt>
              </c:numCache>
            </c:numRef>
          </c:val>
          <c:extLst>
            <c:ext xmlns:c16="http://schemas.microsoft.com/office/drawing/2014/chart" uri="{C3380CC4-5D6E-409C-BE32-E72D297353CC}">
              <c16:uniqueId val="{00000005-BA7E-4F26-B2E0-138448FEE700}"/>
            </c:ext>
          </c:extLst>
        </c:ser>
        <c:ser>
          <c:idx val="1"/>
          <c:order val="1"/>
          <c:tx>
            <c:strRef>
              <c:f>Sheet1!$C$1</c:f>
              <c:strCache>
                <c:ptCount val="1"/>
                <c:pt idx="0">
                  <c:v>Extérieur de la Région de la capitale nationale (RCN)</c:v>
                </c:pt>
              </c:strCache>
            </c:strRef>
          </c:tx>
          <c:spPr>
            <a:solidFill>
              <a:schemeClr val="accent1"/>
            </a:solidFill>
            <a:ln>
              <a:noFill/>
            </a:ln>
            <a:effectLst>
              <a:outerShdw blurRad="57150" dist="19050" dir="5400000" algn="ctr" rotWithShape="0">
                <a:srgbClr val="000000">
                  <a:alpha val="63000"/>
                </a:srgbClr>
              </a:outerShdw>
            </a:effectLst>
          </c:spPr>
          <c:invertIfNegative val="0"/>
          <c:dLbls>
            <c:dLbl>
              <c:idx val="0"/>
              <c:layout>
                <c:manualLayout>
                  <c:x val="1.1294147442096053E-2"/>
                  <c:y val="1.342238422013243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BA7E-4F26-B2E0-138448FEE700}"/>
                </c:ext>
              </c:extLst>
            </c:dLbl>
            <c:dLbl>
              <c:idx val="1"/>
              <c:layout>
                <c:manualLayout>
                  <c:x val="1.0800294700004537E-2"/>
                  <c:y val="1.126643904821125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BA7E-4F26-B2E0-138448FEE700}"/>
                </c:ext>
              </c:extLst>
            </c:dLbl>
            <c:dLbl>
              <c:idx val="2"/>
              <c:layout>
                <c:manualLayout>
                  <c:x val="8.1871345029239772E-3"/>
                  <c:y val="1.183220266046487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BA7E-4F26-B2E0-138448FEE700}"/>
                </c:ext>
              </c:extLst>
            </c:dLbl>
            <c:dLbl>
              <c:idx val="3"/>
              <c:layout>
                <c:manualLayout>
                  <c:x val="1.0964912280701754E-2"/>
                  <c:y val="1.525862034078010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BA7E-4F26-B2E0-138448FEE700}"/>
                </c:ext>
              </c:extLst>
            </c:dLbl>
            <c:dLbl>
              <c:idx val="4"/>
              <c:layout>
                <c:manualLayout>
                  <c:x val="1.4784500621632822E-2"/>
                  <c:y val="7.140438608442747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BA7E-4F26-B2E0-138448FEE70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2014-2015</c:v>
                </c:pt>
                <c:pt idx="1">
                  <c:v>2015-2016</c:v>
                </c:pt>
                <c:pt idx="2">
                  <c:v>2016-2017</c:v>
                </c:pt>
                <c:pt idx="3">
                  <c:v>2017-2018</c:v>
                </c:pt>
                <c:pt idx="4">
                  <c:v>2018-2019</c:v>
                </c:pt>
              </c:strCache>
            </c:strRef>
          </c:cat>
          <c:val>
            <c:numRef>
              <c:f>Sheet1!$C$2:$C$6</c:f>
              <c:numCache>
                <c:formatCode>0%</c:formatCode>
                <c:ptCount val="5"/>
                <c:pt idx="0">
                  <c:v>0.14000000000000001</c:v>
                </c:pt>
                <c:pt idx="1">
                  <c:v>0.17</c:v>
                </c:pt>
                <c:pt idx="2">
                  <c:v>0.09</c:v>
                </c:pt>
                <c:pt idx="3">
                  <c:v>0.1</c:v>
                </c:pt>
                <c:pt idx="4">
                  <c:v>0.13</c:v>
                </c:pt>
              </c:numCache>
            </c:numRef>
          </c:val>
          <c:extLst>
            <c:ext xmlns:c16="http://schemas.microsoft.com/office/drawing/2014/chart" uri="{C3380CC4-5D6E-409C-BE32-E72D297353CC}">
              <c16:uniqueId val="{0000000B-BA7E-4F26-B2E0-138448FEE700}"/>
            </c:ext>
          </c:extLst>
        </c:ser>
        <c:dLbls>
          <c:showLegendKey val="0"/>
          <c:showVal val="0"/>
          <c:showCatName val="0"/>
          <c:showSerName val="0"/>
          <c:showPercent val="0"/>
          <c:showBubbleSize val="0"/>
        </c:dLbls>
        <c:gapWidth val="150"/>
        <c:axId val="550228272"/>
        <c:axId val="550221608"/>
      </c:barChart>
      <c:catAx>
        <c:axId val="550228272"/>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550221608"/>
        <c:crosses val="autoZero"/>
        <c:auto val="1"/>
        <c:lblAlgn val="ctr"/>
        <c:lblOffset val="100"/>
        <c:noMultiLvlLbl val="0"/>
      </c:catAx>
      <c:valAx>
        <c:axId val="550221608"/>
        <c:scaling>
          <c:orientation val="minMax"/>
          <c:max val="1"/>
        </c:scaling>
        <c:delete val="0"/>
        <c:axPos val="l"/>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550228272"/>
        <c:crosses val="autoZero"/>
        <c:crossBetween val="between"/>
      </c:valAx>
      <c:spPr>
        <a:noFill/>
        <a:ln>
          <a:noFill/>
        </a:ln>
        <a:effectLst/>
      </c:spPr>
    </c:plotArea>
    <c:legend>
      <c:legendPos val="b"/>
      <c:layout>
        <c:manualLayout>
          <c:xMode val="edge"/>
          <c:yMode val="edge"/>
          <c:x val="8.3406144955564754E-2"/>
          <c:y val="0.83428252297655869"/>
          <c:w val="0.8251991527374869"/>
          <c:h val="0.10907879276783054"/>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userShapes r:id="rId4"/>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baseline="0">
                <a:solidFill>
                  <a:sysClr val="windowText" lastClr="000000"/>
                </a:solidFill>
                <a:latin typeface="+mn-lt"/>
                <a:ea typeface="+mn-ea"/>
                <a:cs typeface="+mn-cs"/>
              </a:defRPr>
            </a:pPr>
            <a:r>
              <a:rPr lang="en-CA" sz="1200">
                <a:solidFill>
                  <a:sysClr val="windowText" lastClr="000000"/>
                </a:solidFill>
              </a:rPr>
              <a:t>Dotation selon le type de processus</a:t>
            </a:r>
          </a:p>
        </c:rich>
      </c:tx>
      <c:layout>
        <c:manualLayout>
          <c:xMode val="edge"/>
          <c:yMode val="edge"/>
          <c:x val="0.33973505419748334"/>
          <c:y val="5.408978116435701E-4"/>
        </c:manualLayout>
      </c:layout>
      <c:overlay val="0"/>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mn-lt"/>
              <a:ea typeface="+mn-ea"/>
              <a:cs typeface="+mn-cs"/>
            </a:defRPr>
          </a:pPr>
          <a:endParaRPr lang="en-US"/>
        </a:p>
      </c:txPr>
    </c:title>
    <c:autoTitleDeleted val="0"/>
    <c:plotArea>
      <c:layout>
        <c:manualLayout>
          <c:layoutTarget val="inner"/>
          <c:xMode val="edge"/>
          <c:yMode val="edge"/>
          <c:x val="8.9229225927910855E-2"/>
          <c:y val="8.7322389481167509E-2"/>
          <c:w val="0.84333349635643373"/>
          <c:h val="0.53447772086566969"/>
        </c:manualLayout>
      </c:layout>
      <c:barChart>
        <c:barDir val="col"/>
        <c:grouping val="clustered"/>
        <c:varyColors val="0"/>
        <c:ser>
          <c:idx val="0"/>
          <c:order val="0"/>
          <c:tx>
            <c:strRef>
              <c:f>Sheet1!$B$1</c:f>
              <c:strCache>
                <c:ptCount val="1"/>
                <c:pt idx="0">
                  <c:v>Non annoncé (ne tient pas compte des types de processus inconnus)</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dLbl>
              <c:idx val="0"/>
              <c:layout>
                <c:manualLayout>
                  <c:x val="-8.3332646246444333E-3"/>
                  <c:y val="2.07743434160844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634D-4D35-8001-2A3B064CCE01}"/>
                </c:ext>
              </c:extLst>
            </c:dLbl>
            <c:dLbl>
              <c:idx val="1"/>
              <c:layout>
                <c:manualLayout>
                  <c:x val="-7.0912863640736649E-3"/>
                  <c:y val="1.027925304094569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634D-4D35-8001-2A3B064CCE01}"/>
                </c:ext>
              </c:extLst>
            </c:dLbl>
            <c:dLbl>
              <c:idx val="2"/>
              <c:layout>
                <c:manualLayout>
                  <c:x val="-4.8428632284838744E-3"/>
                  <c:y val="1.399335315725024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634D-4D35-8001-2A3B064CCE01}"/>
                </c:ext>
              </c:extLst>
            </c:dLbl>
            <c:dLbl>
              <c:idx val="3"/>
              <c:layout>
                <c:manualLayout>
                  <c:x val="-9.0459111459235131E-3"/>
                  <c:y val="1.049509037513877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634D-4D35-8001-2A3B064CCE01}"/>
                </c:ext>
              </c:extLst>
            </c:dLbl>
            <c:dLbl>
              <c:idx val="4"/>
              <c:layout>
                <c:manualLayout>
                  <c:x val="-4.8428632284840019E-3"/>
                  <c:y val="1.791341955135512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634D-4D35-8001-2A3B064CCE01}"/>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2014-2015 </c:v>
                </c:pt>
                <c:pt idx="1">
                  <c:v>2015-2016 </c:v>
                </c:pt>
                <c:pt idx="2">
                  <c:v>2016-2017</c:v>
                </c:pt>
                <c:pt idx="3">
                  <c:v>2017-2018</c:v>
                </c:pt>
                <c:pt idx="4">
                  <c:v>2018-2019</c:v>
                </c:pt>
              </c:strCache>
            </c:strRef>
          </c:cat>
          <c:val>
            <c:numRef>
              <c:f>Sheet1!$B$2:$B$6</c:f>
              <c:numCache>
                <c:formatCode>#\ ###</c:formatCode>
                <c:ptCount val="5"/>
                <c:pt idx="0">
                  <c:v>228</c:v>
                </c:pt>
                <c:pt idx="1">
                  <c:v>276</c:v>
                </c:pt>
                <c:pt idx="2">
                  <c:v>278</c:v>
                </c:pt>
                <c:pt idx="3">
                  <c:v>467</c:v>
                </c:pt>
                <c:pt idx="4">
                  <c:v>504</c:v>
                </c:pt>
              </c:numCache>
            </c:numRef>
          </c:val>
          <c:extLst>
            <c:ext xmlns:c16="http://schemas.microsoft.com/office/drawing/2014/chart" uri="{C3380CC4-5D6E-409C-BE32-E72D297353CC}">
              <c16:uniqueId val="{00000005-634D-4D35-8001-2A3B064CCE01}"/>
            </c:ext>
          </c:extLst>
        </c:ser>
        <c:ser>
          <c:idx val="1"/>
          <c:order val="1"/>
          <c:tx>
            <c:strRef>
              <c:f>Sheet1!$C$1</c:f>
              <c:strCache>
                <c:ptCount val="1"/>
                <c:pt idx="0">
                  <c:v>Annoncé</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dLbl>
              <c:idx val="0"/>
              <c:layout>
                <c:manualLayout>
                  <c:x val="3.4904013961605585E-3"/>
                  <c:y val="1.684880190044766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634D-4D35-8001-2A3B064CCE01}"/>
                </c:ext>
              </c:extLst>
            </c:dLbl>
            <c:dLbl>
              <c:idx val="1"/>
              <c:layout>
                <c:manualLayout>
                  <c:x val="-3.4904013961606223E-3"/>
                  <c:y val="1.469285672852654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634D-4D35-8001-2A3B064CCE01}"/>
                </c:ext>
              </c:extLst>
            </c:dLbl>
            <c:dLbl>
              <c:idx val="2"/>
              <c:layout>
                <c:manualLayout>
                  <c:x val="-2.7777548748815417E-3"/>
                  <c:y val="1.525853959526705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634D-4D35-8001-2A3B064CCE01}"/>
                </c:ext>
              </c:extLst>
            </c:dLbl>
            <c:dLbl>
              <c:idx val="3"/>
              <c:layout>
                <c:manualLayout>
                  <c:x val="-1.2797990609109102E-16"/>
                  <c:y val="1.183220266046494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634D-4D35-8001-2A3B064CCE01}"/>
                </c:ext>
              </c:extLst>
            </c:dLbl>
            <c:dLbl>
              <c:idx val="4"/>
              <c:layout>
                <c:manualLayout>
                  <c:x val="6.9808027923211171E-3"/>
                  <c:y val="1.741969164938840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634D-4D35-8001-2A3B064CCE01}"/>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2014-2015 </c:v>
                </c:pt>
                <c:pt idx="1">
                  <c:v>2015-2016 </c:v>
                </c:pt>
                <c:pt idx="2">
                  <c:v>2016-2017</c:v>
                </c:pt>
                <c:pt idx="3">
                  <c:v>2017-2018</c:v>
                </c:pt>
                <c:pt idx="4">
                  <c:v>2018-2019</c:v>
                </c:pt>
              </c:strCache>
            </c:strRef>
          </c:cat>
          <c:val>
            <c:numRef>
              <c:f>Sheet1!$C$2:$C$6</c:f>
              <c:numCache>
                <c:formatCode>#\ ###</c:formatCode>
                <c:ptCount val="5"/>
                <c:pt idx="0">
                  <c:v>230</c:v>
                </c:pt>
                <c:pt idx="1">
                  <c:v>406</c:v>
                </c:pt>
                <c:pt idx="2">
                  <c:v>570</c:v>
                </c:pt>
                <c:pt idx="3">
                  <c:v>493</c:v>
                </c:pt>
                <c:pt idx="4">
                  <c:v>465</c:v>
                </c:pt>
              </c:numCache>
            </c:numRef>
          </c:val>
          <c:extLst>
            <c:ext xmlns:c16="http://schemas.microsoft.com/office/drawing/2014/chart" uri="{C3380CC4-5D6E-409C-BE32-E72D297353CC}">
              <c16:uniqueId val="{0000000B-634D-4D35-8001-2A3B064CCE01}"/>
            </c:ext>
          </c:extLst>
        </c:ser>
        <c:dLbls>
          <c:showLegendKey val="0"/>
          <c:showVal val="0"/>
          <c:showCatName val="0"/>
          <c:showSerName val="0"/>
          <c:showPercent val="0"/>
          <c:showBubbleSize val="0"/>
        </c:dLbls>
        <c:gapWidth val="150"/>
        <c:axId val="550229056"/>
        <c:axId val="550222784"/>
      </c:barChart>
      <c:lineChart>
        <c:grouping val="standard"/>
        <c:varyColors val="0"/>
        <c:ser>
          <c:idx val="2"/>
          <c:order val="2"/>
          <c:tx>
            <c:strRef>
              <c:f>Sheet1!$D$1</c:f>
              <c:strCache>
                <c:ptCount val="1"/>
                <c:pt idx="0">
                  <c:v>% de processus non annoncés</c:v>
                </c:pt>
              </c:strCache>
            </c:strRef>
          </c:tx>
          <c:spPr>
            <a:ln w="34925" cap="rnd">
              <a:solidFill>
                <a:schemeClr val="accent3"/>
              </a:solidFill>
              <a:round/>
            </a:ln>
            <a:effectLst>
              <a:outerShdw blurRad="57150" dist="19050" dir="5400000" algn="ctr" rotWithShape="0">
                <a:srgbClr val="000000">
                  <a:alpha val="63000"/>
                </a:srgbClr>
              </a:outerShdw>
            </a:effectLst>
          </c:spPr>
          <c:marker>
            <c:symbol val="none"/>
          </c:marker>
          <c:dLbls>
            <c:dLbl>
              <c:idx val="0"/>
              <c:layout>
                <c:manualLayout>
                  <c:x val="-6.4764155745287322E-2"/>
                  <c:y val="4.659101532325122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634D-4D35-8001-2A3B064CCE01}"/>
                </c:ext>
              </c:extLst>
            </c:dLbl>
            <c:dLbl>
              <c:idx val="1"/>
              <c:layout>
                <c:manualLayout>
                  <c:x val="-6.0964799298907198E-2"/>
                  <c:y val="-5.384180133075958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634D-4D35-8001-2A3B064CCE01}"/>
                </c:ext>
              </c:extLst>
            </c:dLbl>
            <c:dLbl>
              <c:idx val="2"/>
              <c:layout>
                <c:manualLayout>
                  <c:x val="-6.4108779596267748E-2"/>
                  <c:y val="-3.554382239824962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634D-4D35-8001-2A3B064CCE01}"/>
                </c:ext>
              </c:extLst>
            </c:dLbl>
            <c:dLbl>
              <c:idx val="3"/>
              <c:layout>
                <c:manualLayout>
                  <c:x val="-5.6835277789229227E-2"/>
                  <c:y val="-2.790560893782400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634D-4D35-8001-2A3B064CCE01}"/>
                </c:ext>
              </c:extLst>
            </c:dLbl>
            <c:dLbl>
              <c:idx val="4"/>
              <c:layout>
                <c:manualLayout>
                  <c:x val="-6.599407789034803E-2"/>
                  <c:y val="-2.721119451820240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634D-4D35-8001-2A3B064CCE01}"/>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Sheet1!$A$2:$A$6</c:f>
              <c:strCache>
                <c:ptCount val="5"/>
                <c:pt idx="0">
                  <c:v>2014-2015 </c:v>
                </c:pt>
                <c:pt idx="1">
                  <c:v>2015-2016 </c:v>
                </c:pt>
                <c:pt idx="2">
                  <c:v>2016-2017</c:v>
                </c:pt>
                <c:pt idx="3">
                  <c:v>2017-2018</c:v>
                </c:pt>
                <c:pt idx="4">
                  <c:v>2018-2019</c:v>
                </c:pt>
              </c:strCache>
            </c:strRef>
          </c:cat>
          <c:val>
            <c:numRef>
              <c:f>Sheet1!$D$2:$D$6</c:f>
              <c:numCache>
                <c:formatCode>0%</c:formatCode>
                <c:ptCount val="5"/>
                <c:pt idx="0">
                  <c:v>0.5</c:v>
                </c:pt>
                <c:pt idx="1">
                  <c:v>0.4</c:v>
                </c:pt>
                <c:pt idx="2">
                  <c:v>0.33</c:v>
                </c:pt>
                <c:pt idx="3">
                  <c:v>0.49</c:v>
                </c:pt>
                <c:pt idx="4">
                  <c:v>0.52</c:v>
                </c:pt>
              </c:numCache>
            </c:numRef>
          </c:val>
          <c:smooth val="0"/>
          <c:extLst>
            <c:ext xmlns:c16="http://schemas.microsoft.com/office/drawing/2014/chart" uri="{C3380CC4-5D6E-409C-BE32-E72D297353CC}">
              <c16:uniqueId val="{00000011-634D-4D35-8001-2A3B064CCE01}"/>
            </c:ext>
          </c:extLst>
        </c:ser>
        <c:dLbls>
          <c:showLegendKey val="0"/>
          <c:showVal val="0"/>
          <c:showCatName val="0"/>
          <c:showSerName val="0"/>
          <c:showPercent val="0"/>
          <c:showBubbleSize val="0"/>
        </c:dLbls>
        <c:marker val="1"/>
        <c:smooth val="0"/>
        <c:axId val="550221216"/>
        <c:axId val="550229448"/>
      </c:lineChart>
      <c:catAx>
        <c:axId val="550229056"/>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550222784"/>
        <c:crosses val="autoZero"/>
        <c:auto val="1"/>
        <c:lblAlgn val="ctr"/>
        <c:lblOffset val="100"/>
        <c:noMultiLvlLbl val="0"/>
      </c:catAx>
      <c:valAx>
        <c:axId val="550222784"/>
        <c:scaling>
          <c:orientation val="minMax"/>
        </c:scaling>
        <c:delete val="0"/>
        <c:axPos val="l"/>
        <c:numFmt formatCode="#\ ###"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550229056"/>
        <c:crosses val="autoZero"/>
        <c:crossBetween val="between"/>
      </c:valAx>
      <c:valAx>
        <c:axId val="550229448"/>
        <c:scaling>
          <c:orientation val="minMax"/>
          <c:max val="1"/>
          <c:min val="0.2"/>
        </c:scaling>
        <c:delete val="0"/>
        <c:axPos val="r"/>
        <c:numFmt formatCode="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550221216"/>
        <c:crosses val="max"/>
        <c:crossBetween val="between"/>
        <c:majorUnit val="0.1"/>
      </c:valAx>
      <c:catAx>
        <c:axId val="550221216"/>
        <c:scaling>
          <c:orientation val="minMax"/>
        </c:scaling>
        <c:delete val="1"/>
        <c:axPos val="b"/>
        <c:numFmt formatCode="General" sourceLinked="1"/>
        <c:majorTickMark val="out"/>
        <c:minorTickMark val="none"/>
        <c:tickLblPos val="nextTo"/>
        <c:crossAx val="550229448"/>
        <c:crosses val="autoZero"/>
        <c:auto val="1"/>
        <c:lblAlgn val="ctr"/>
        <c:lblOffset val="100"/>
        <c:noMultiLvlLbl val="0"/>
      </c:catAx>
      <c:spPr>
        <a:noFill/>
        <a:ln>
          <a:noFill/>
        </a:ln>
        <a:effectLst/>
      </c:spPr>
    </c:plotArea>
    <c:legend>
      <c:legendPos val="b"/>
      <c:layout>
        <c:manualLayout>
          <c:xMode val="edge"/>
          <c:yMode val="edge"/>
          <c:x val="1.3961605584642234E-2"/>
          <c:y val="0.67666732317897038"/>
          <c:w val="0.98603839441535779"/>
          <c:h val="0.11512783396390651"/>
        </c:manualLayout>
      </c:layout>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userShapes r:id="rId4"/>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baseline="0">
                <a:solidFill>
                  <a:sysClr val="windowText" lastClr="000000"/>
                </a:solidFill>
                <a:latin typeface="+mn-lt"/>
                <a:ea typeface="+mn-ea"/>
                <a:cs typeface="+mn-cs"/>
              </a:defRPr>
            </a:pPr>
            <a:r>
              <a:rPr lang="en-CA" sz="1200">
                <a:solidFill>
                  <a:sysClr val="windowText" lastClr="000000"/>
                </a:solidFill>
              </a:rPr>
              <a:t>Dotation selon le type de nomination</a:t>
            </a:r>
          </a:p>
        </c:rich>
      </c:tx>
      <c:layout>
        <c:manualLayout>
          <c:xMode val="edge"/>
          <c:yMode val="edge"/>
          <c:x val="0.26583333333333331"/>
          <c:y val="1.9833030196906881E-2"/>
        </c:manualLayout>
      </c:layout>
      <c:overlay val="0"/>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mn-lt"/>
              <a:ea typeface="+mn-ea"/>
              <a:cs typeface="+mn-cs"/>
            </a:defRPr>
          </a:pPr>
          <a:endParaRPr lang="en-US"/>
        </a:p>
      </c:txPr>
    </c:title>
    <c:autoTitleDeleted val="0"/>
    <c:view3D>
      <c:rotX val="0"/>
      <c:rotY val="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1296391076115485"/>
          <c:y val="0.11484050505164617"/>
          <c:w val="0.84333349635643373"/>
          <c:h val="0.55364490207954775"/>
        </c:manualLayout>
      </c:layout>
      <c:bar3DChart>
        <c:barDir val="col"/>
        <c:grouping val="clustered"/>
        <c:varyColors val="0"/>
        <c:ser>
          <c:idx val="0"/>
          <c:order val="0"/>
          <c:tx>
            <c:strRef>
              <c:f>Sheet1!$B$1</c:f>
              <c:strCache>
                <c:ptCount val="1"/>
                <c:pt idx="0">
                  <c:v>Promotions</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dLbls>
            <c:dLbl>
              <c:idx val="0"/>
              <c:layout>
                <c:manualLayout>
                  <c:x val="-1.5182852143482065E-2"/>
                  <c:y val="2.58878255602664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32B7-4F32-B828-E2C4A194E384}"/>
                </c:ext>
              </c:extLst>
            </c:dLbl>
            <c:dLbl>
              <c:idx val="1"/>
              <c:layout>
                <c:manualLayout>
                  <c:x val="-1.388888888888894E-2"/>
                  <c:y val="2.370280637997173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32B7-4F32-B828-E2C4A194E384}"/>
                </c:ext>
              </c:extLst>
            </c:dLbl>
            <c:dLbl>
              <c:idx val="2"/>
              <c:layout>
                <c:manualLayout>
                  <c:x val="-1.388888888888894E-2"/>
                  <c:y val="2.388532202705431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32B7-4F32-B828-E2C4A194E384}"/>
                </c:ext>
              </c:extLst>
            </c:dLbl>
            <c:dLbl>
              <c:idx val="3"/>
              <c:layout>
                <c:manualLayout>
                  <c:x val="-8.3333333333333332E-3"/>
                  <c:y val="2.352029073288915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32B7-4F32-B828-E2C4A194E384}"/>
                </c:ext>
              </c:extLst>
            </c:dLbl>
            <c:dLbl>
              <c:idx val="4"/>
              <c:layout>
                <c:manualLayout>
                  <c:x val="-8.3333333333334356E-3"/>
                  <c:y val="2.388532202705431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32B7-4F32-B828-E2C4A194E384}"/>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Sheet1!$A$3:$A$7</c:f>
              <c:strCache>
                <c:ptCount val="5"/>
                <c:pt idx="0">
                  <c:v>2014-2015 
(N=2 809)</c:v>
                </c:pt>
                <c:pt idx="1">
                  <c:v>2015-2016
(N=3 388)</c:v>
                </c:pt>
                <c:pt idx="2">
                  <c:v>2016-2017 
(N=3 269)</c:v>
                </c:pt>
                <c:pt idx="3">
                  <c:v>2017-2018
(N=3 562)</c:v>
                </c:pt>
                <c:pt idx="4">
                  <c:v>2018-2019
(N=4 552)</c:v>
                </c:pt>
              </c:strCache>
            </c:strRef>
          </c:cat>
          <c:val>
            <c:numRef>
              <c:f>Sheet1!$B$3:$B$7</c:f>
              <c:numCache>
                <c:formatCode>#\ ###</c:formatCode>
                <c:ptCount val="5"/>
                <c:pt idx="0">
                  <c:v>314</c:v>
                </c:pt>
                <c:pt idx="1">
                  <c:v>668</c:v>
                </c:pt>
                <c:pt idx="2">
                  <c:v>587</c:v>
                </c:pt>
                <c:pt idx="3">
                  <c:v>500</c:v>
                </c:pt>
                <c:pt idx="4">
                  <c:v>650</c:v>
                </c:pt>
              </c:numCache>
            </c:numRef>
          </c:val>
          <c:extLst>
            <c:ext xmlns:c16="http://schemas.microsoft.com/office/drawing/2014/chart" uri="{C3380CC4-5D6E-409C-BE32-E72D297353CC}">
              <c16:uniqueId val="{00000005-32B7-4F32-B828-E2C4A194E384}"/>
            </c:ext>
          </c:extLst>
        </c:ser>
        <c:ser>
          <c:idx val="1"/>
          <c:order val="1"/>
          <c:tx>
            <c:strRef>
              <c:f>Sheet1!$C$1</c:f>
              <c:strCache>
                <c:ptCount val="1"/>
                <c:pt idx="0">
                  <c:v>Déplacements latéraux et régressifs</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dLbls>
            <c:dLbl>
              <c:idx val="0"/>
              <c:layout>
                <c:manualLayout>
                  <c:x val="-8.3333333333333332E-3"/>
                  <c:y val="1.978275792449020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32B7-4F32-B828-E2C4A194E384}"/>
                </c:ext>
              </c:extLst>
            </c:dLbl>
            <c:dLbl>
              <c:idx val="1"/>
              <c:layout>
                <c:manualLayout>
                  <c:x val="-8.3333333333333332E-3"/>
                  <c:y val="1.941772663032505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32B7-4F32-B828-E2C4A194E384}"/>
                </c:ext>
              </c:extLst>
            </c:dLbl>
            <c:dLbl>
              <c:idx val="2"/>
              <c:layout>
                <c:manualLayout>
                  <c:x val="-8.3333333333334356E-3"/>
                  <c:y val="1.586270946900868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32B7-4F32-B828-E2C4A194E384}"/>
                </c:ext>
              </c:extLst>
            </c:dLbl>
            <c:dLbl>
              <c:idx val="3"/>
              <c:layout>
                <c:manualLayout>
                  <c:x val="-5.5555555555555558E-3"/>
                  <c:y val="1.586270946900864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32B7-4F32-B828-E2C4A194E384}"/>
                </c:ext>
              </c:extLst>
            </c:dLbl>
            <c:dLbl>
              <c:idx val="4"/>
              <c:layout>
                <c:manualLayout>
                  <c:x val="-1.388888888888899E-2"/>
                  <c:y val="1.960024227740759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32B7-4F32-B828-E2C4A194E384}"/>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Sheet1!$A$3:$A$7</c:f>
              <c:strCache>
                <c:ptCount val="5"/>
                <c:pt idx="0">
                  <c:v>2014-2015 
(N=2 809)</c:v>
                </c:pt>
                <c:pt idx="1">
                  <c:v>2015-2016
(N=3 388)</c:v>
                </c:pt>
                <c:pt idx="2">
                  <c:v>2016-2017 
(N=3 269)</c:v>
                </c:pt>
                <c:pt idx="3">
                  <c:v>2017-2018
(N=3 562)</c:v>
                </c:pt>
                <c:pt idx="4">
                  <c:v>2018-2019
(N=4 552)</c:v>
                </c:pt>
              </c:strCache>
            </c:strRef>
          </c:cat>
          <c:val>
            <c:numRef>
              <c:f>Sheet1!$C$3:$C$7</c:f>
              <c:numCache>
                <c:formatCode>#\ ###</c:formatCode>
                <c:ptCount val="5"/>
                <c:pt idx="0">
                  <c:v>730</c:v>
                </c:pt>
                <c:pt idx="1">
                  <c:v>796</c:v>
                </c:pt>
                <c:pt idx="2">
                  <c:v>657</c:v>
                </c:pt>
                <c:pt idx="3">
                  <c:v>576</c:v>
                </c:pt>
                <c:pt idx="4">
                  <c:v>1168</c:v>
                </c:pt>
              </c:numCache>
            </c:numRef>
          </c:val>
          <c:extLst>
            <c:ext xmlns:c16="http://schemas.microsoft.com/office/drawing/2014/chart" uri="{C3380CC4-5D6E-409C-BE32-E72D297353CC}">
              <c16:uniqueId val="{0000000B-32B7-4F32-B828-E2C4A194E384}"/>
            </c:ext>
          </c:extLst>
        </c:ser>
        <c:ser>
          <c:idx val="2"/>
          <c:order val="2"/>
          <c:tx>
            <c:strRef>
              <c:f>Sheet1!$D$1</c:f>
              <c:strCache>
                <c:ptCount val="1"/>
                <c:pt idx="0">
                  <c:v>Nominations à la fonction publique (y compris les employés occasionnels et les étudiants)</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dLbls>
            <c:dLbl>
              <c:idx val="0"/>
              <c:layout>
                <c:manualLayout>
                  <c:x val="2.7777777777777779E-3"/>
                  <c:y val="2.01477892186553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32B7-4F32-B828-E2C4A194E384}"/>
                </c:ext>
              </c:extLst>
            </c:dLbl>
            <c:dLbl>
              <c:idx val="1"/>
              <c:layout>
                <c:manualLayout>
                  <c:x val="8.2852143482059644E-4"/>
                  <c:y val="1.20050070664243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32B7-4F32-B828-E2C4A194E384}"/>
                </c:ext>
              </c:extLst>
            </c:dLbl>
            <c:dLbl>
              <c:idx val="2"/>
              <c:layout>
                <c:manualLayout>
                  <c:x val="-2.7777777777777779E-3"/>
                  <c:y val="7.475065616797900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32B7-4F32-B828-E2C4A194E384}"/>
                </c:ext>
              </c:extLst>
            </c:dLbl>
            <c:dLbl>
              <c:idx val="3"/>
              <c:layout>
                <c:manualLayout>
                  <c:x val="-2.7777777777777779E-3"/>
                  <c:y val="1.549767817484349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32B7-4F32-B828-E2C4A194E384}"/>
                </c:ext>
              </c:extLst>
            </c:dLbl>
            <c:dLbl>
              <c:idx val="4"/>
              <c:layout>
                <c:manualLayout>
                  <c:x val="8.285214348205456E-4"/>
                  <c:y val="1.568019382192608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32B7-4F32-B828-E2C4A194E384}"/>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Sheet1!$A$3:$A$7</c:f>
              <c:strCache>
                <c:ptCount val="5"/>
                <c:pt idx="0">
                  <c:v>2014-2015 
(N=2 809)</c:v>
                </c:pt>
                <c:pt idx="1">
                  <c:v>2015-2016
(N=3 388)</c:v>
                </c:pt>
                <c:pt idx="2">
                  <c:v>2016-2017 
(N=3 269)</c:v>
                </c:pt>
                <c:pt idx="3">
                  <c:v>2017-2018
(N=3 562)</c:v>
                </c:pt>
                <c:pt idx="4">
                  <c:v>2018-2019
(N=4 552)</c:v>
                </c:pt>
              </c:strCache>
            </c:strRef>
          </c:cat>
          <c:val>
            <c:numRef>
              <c:f>Sheet1!$D$3:$D$7</c:f>
              <c:numCache>
                <c:formatCode>#\ ###</c:formatCode>
                <c:ptCount val="5"/>
                <c:pt idx="0">
                  <c:v>1180</c:v>
                </c:pt>
                <c:pt idx="1">
                  <c:v>1249</c:v>
                </c:pt>
                <c:pt idx="2">
                  <c:v>1369</c:v>
                </c:pt>
                <c:pt idx="3">
                  <c:v>1744</c:v>
                </c:pt>
                <c:pt idx="4">
                  <c:v>1931</c:v>
                </c:pt>
              </c:numCache>
            </c:numRef>
          </c:val>
          <c:extLst>
            <c:ext xmlns:c16="http://schemas.microsoft.com/office/drawing/2014/chart" uri="{C3380CC4-5D6E-409C-BE32-E72D297353CC}">
              <c16:uniqueId val="{00000011-32B7-4F32-B828-E2C4A194E384}"/>
            </c:ext>
          </c:extLst>
        </c:ser>
        <c:ser>
          <c:idx val="3"/>
          <c:order val="3"/>
          <c:tx>
            <c:strRef>
              <c:f>Sheet1!$E$1</c:f>
              <c:strCache>
                <c:ptCount val="1"/>
                <c:pt idx="0">
                  <c:v>Nominations intérimaires (Excluant les nominations de moins de quatre mois)</c:v>
                </c:pt>
              </c:strCache>
            </c:strRef>
          </c:tx>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dLbls>
            <c:dLbl>
              <c:idx val="0"/>
              <c:layout>
                <c:manualLayout>
                  <c:x val="2.7777777777777523E-3"/>
                  <c:y val="1.960024227740755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32B7-4F32-B828-E2C4A194E384}"/>
                </c:ext>
              </c:extLst>
            </c:dLbl>
            <c:dLbl>
              <c:idx val="1"/>
              <c:layout>
                <c:manualLayout>
                  <c:x val="5.5555555555555558E-3"/>
                  <c:y val="2.033030486573793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32B7-4F32-B828-E2C4A194E384}"/>
                </c:ext>
              </c:extLst>
            </c:dLbl>
            <c:dLbl>
              <c:idx val="2"/>
              <c:layout>
                <c:manualLayout>
                  <c:x val="2.777777777777676E-3"/>
                  <c:y val="2.069533615990301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32B7-4F32-B828-E2C4A194E384}"/>
                </c:ext>
              </c:extLst>
            </c:dLbl>
            <c:dLbl>
              <c:idx val="3"/>
              <c:layout>
                <c:manualLayout>
                  <c:x val="3.6062992125984253E-3"/>
                  <c:y val="2.03926509186351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32B7-4F32-B828-E2C4A194E384}"/>
                </c:ext>
              </c:extLst>
            </c:dLbl>
            <c:dLbl>
              <c:idx val="4"/>
              <c:layout>
                <c:manualLayout>
                  <c:x val="9.1618547681538796E-3"/>
                  <c:y val="1.978275792449013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6-32B7-4F32-B828-E2C4A194E384}"/>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Sheet1!$A$3:$A$7</c:f>
              <c:strCache>
                <c:ptCount val="5"/>
                <c:pt idx="0">
                  <c:v>2014-2015 
(N=2 809)</c:v>
                </c:pt>
                <c:pt idx="1">
                  <c:v>2015-2016
(N=3 388)</c:v>
                </c:pt>
                <c:pt idx="2">
                  <c:v>2016-2017 
(N=3 269)</c:v>
                </c:pt>
                <c:pt idx="3">
                  <c:v>2017-2018
(N=3 562)</c:v>
                </c:pt>
                <c:pt idx="4">
                  <c:v>2018-2019
(N=4 552)</c:v>
                </c:pt>
              </c:strCache>
            </c:strRef>
          </c:cat>
          <c:val>
            <c:numRef>
              <c:f>Sheet1!$E$3:$E$7</c:f>
              <c:numCache>
                <c:formatCode>#\ ###</c:formatCode>
                <c:ptCount val="5"/>
                <c:pt idx="0">
                  <c:v>585</c:v>
                </c:pt>
                <c:pt idx="1">
                  <c:v>675</c:v>
                </c:pt>
                <c:pt idx="2">
                  <c:v>656</c:v>
                </c:pt>
                <c:pt idx="3">
                  <c:v>742</c:v>
                </c:pt>
                <c:pt idx="4">
                  <c:v>803</c:v>
                </c:pt>
              </c:numCache>
            </c:numRef>
          </c:val>
          <c:extLst>
            <c:ext xmlns:c16="http://schemas.microsoft.com/office/drawing/2014/chart" uri="{C3380CC4-5D6E-409C-BE32-E72D297353CC}">
              <c16:uniqueId val="{00000017-32B7-4F32-B828-E2C4A194E384}"/>
            </c:ext>
          </c:extLst>
        </c:ser>
        <c:dLbls>
          <c:showLegendKey val="0"/>
          <c:showVal val="0"/>
          <c:showCatName val="0"/>
          <c:showSerName val="0"/>
          <c:showPercent val="0"/>
          <c:showBubbleSize val="0"/>
        </c:dLbls>
        <c:gapWidth val="150"/>
        <c:shape val="box"/>
        <c:axId val="550225528"/>
        <c:axId val="550218080"/>
        <c:axId val="0"/>
      </c:bar3DChart>
      <c:catAx>
        <c:axId val="550225528"/>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0" spcFirstLastPara="1" vertOverflow="ellipsis" wrap="square" anchor="ctr" anchorCtr="1"/>
          <a:lstStyle/>
          <a:p>
            <a:pPr>
              <a:defRPr sz="900" b="0" i="0" u="none" strike="noStrike" kern="1200" baseline="0">
                <a:solidFill>
                  <a:sysClr val="windowText" lastClr="000000"/>
                </a:solidFill>
                <a:latin typeface="+mn-lt"/>
                <a:ea typeface="+mn-ea"/>
                <a:cs typeface="+mn-cs"/>
              </a:defRPr>
            </a:pPr>
            <a:endParaRPr lang="en-US"/>
          </a:p>
        </c:txPr>
        <c:crossAx val="550218080"/>
        <c:crosses val="autoZero"/>
        <c:auto val="0"/>
        <c:lblAlgn val="ctr"/>
        <c:lblOffset val="100"/>
        <c:noMultiLvlLbl val="0"/>
      </c:catAx>
      <c:valAx>
        <c:axId val="550218080"/>
        <c:scaling>
          <c:orientation val="minMax"/>
        </c:scaling>
        <c:delete val="0"/>
        <c:axPos val="l"/>
        <c:numFmt formatCode="#\ ###"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550225528"/>
        <c:crosses val="autoZero"/>
        <c:crossBetween val="between"/>
      </c:valAx>
      <c:spPr>
        <a:noFill/>
        <a:ln>
          <a:noFill/>
        </a:ln>
        <a:effectLst/>
      </c:spPr>
    </c:plotArea>
    <c:legend>
      <c:legendPos val="r"/>
      <c:layout>
        <c:manualLayout>
          <c:xMode val="edge"/>
          <c:yMode val="edge"/>
          <c:x val="0"/>
          <c:y val="0.76694005430095991"/>
          <c:w val="1"/>
          <c:h val="0.23305994569904012"/>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baseline="0">
                <a:solidFill>
                  <a:sysClr val="windowText" lastClr="000000"/>
                </a:solidFill>
                <a:latin typeface="+mn-lt"/>
                <a:ea typeface="+mn-ea"/>
                <a:cs typeface="+mn-cs"/>
              </a:defRPr>
            </a:pPr>
            <a:r>
              <a:rPr lang="en-CA" sz="1200">
                <a:solidFill>
                  <a:sysClr val="windowText" lastClr="000000"/>
                </a:solidFill>
              </a:rPr>
              <a:t>Dotation selon la durée d'emploi</a:t>
            </a:r>
          </a:p>
        </c:rich>
      </c:tx>
      <c:overlay val="0"/>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mn-lt"/>
              <a:ea typeface="+mn-ea"/>
              <a:cs typeface="+mn-cs"/>
            </a:defRPr>
          </a:pPr>
          <a:endParaRPr lang="en-US"/>
        </a:p>
      </c:txPr>
    </c:title>
    <c:autoTitleDeleted val="0"/>
    <c:view3D>
      <c:rotX val="0"/>
      <c:rotY val="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0740835520559928"/>
          <c:y val="0.10260975316148986"/>
          <c:w val="0.86277799650043729"/>
          <c:h val="0.60816022612558041"/>
        </c:manualLayout>
      </c:layout>
      <c:bar3DChart>
        <c:barDir val="col"/>
        <c:grouping val="clustered"/>
        <c:varyColors val="0"/>
        <c:ser>
          <c:idx val="0"/>
          <c:order val="0"/>
          <c:tx>
            <c:strRef>
              <c:f>Sheet1!$B$1</c:f>
              <c:strCache>
                <c:ptCount val="1"/>
                <c:pt idx="0">
                  <c:v>Indéterminée</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dLbls>
            <c:dLbl>
              <c:idx val="0"/>
              <c:layout>
                <c:manualLayout>
                  <c:x val="-5.5555555555555558E-3"/>
                  <c:y val="2.370280637997173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1DD7-4CCE-A4B6-1F719D36440D}"/>
                </c:ext>
              </c:extLst>
            </c:dLbl>
            <c:dLbl>
              <c:idx val="1"/>
              <c:layout>
                <c:manualLayout>
                  <c:x val="0"/>
                  <c:y val="1.960015680125441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1DD7-4CCE-A4B6-1F719D36440D}"/>
                </c:ext>
              </c:extLst>
            </c:dLbl>
            <c:dLbl>
              <c:idx val="2"/>
              <c:layout>
                <c:manualLayout>
                  <c:x val="-2.7777777777778798E-3"/>
                  <c:y val="1.960015680125433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1DD7-4CCE-A4B6-1F719D36440D}"/>
                </c:ext>
              </c:extLst>
            </c:dLbl>
            <c:dLbl>
              <c:idx val="3"/>
              <c:layout>
                <c:manualLayout>
                  <c:x val="-2.7777777777778798E-3"/>
                  <c:y val="1.978275792449019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1DD7-4CCE-A4B6-1F719D36440D}"/>
                </c:ext>
              </c:extLst>
            </c:dLbl>
            <c:dLbl>
              <c:idx val="4"/>
              <c:layout>
                <c:manualLayout>
                  <c:x val="-2.7777777777777779E-3"/>
                  <c:y val="1.960024227740763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1DD7-4CCE-A4B6-1F719D36440D}"/>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2014-2015
 (N=2 809)</c:v>
                </c:pt>
                <c:pt idx="1">
                  <c:v>2015-2016
 (N=3 388)</c:v>
                </c:pt>
                <c:pt idx="2">
                  <c:v>2016-2017
 (N=3 269)</c:v>
                </c:pt>
                <c:pt idx="3">
                  <c:v>2017-2018
 (N=3 562)</c:v>
                </c:pt>
                <c:pt idx="4">
                  <c:v>2018-2019
 (N=4 552)</c:v>
                </c:pt>
              </c:strCache>
            </c:strRef>
          </c:cat>
          <c:val>
            <c:numRef>
              <c:f>Sheet1!$B$2:$B$6</c:f>
              <c:numCache>
                <c:formatCode>#\ ###</c:formatCode>
                <c:ptCount val="5"/>
                <c:pt idx="0">
                  <c:v>1623</c:v>
                </c:pt>
                <c:pt idx="1">
                  <c:v>2153</c:v>
                </c:pt>
                <c:pt idx="2">
                  <c:v>1890</c:v>
                </c:pt>
                <c:pt idx="3">
                  <c:v>1817</c:v>
                </c:pt>
                <c:pt idx="4">
                  <c:v>2619</c:v>
                </c:pt>
              </c:numCache>
            </c:numRef>
          </c:val>
          <c:extLst>
            <c:ext xmlns:c16="http://schemas.microsoft.com/office/drawing/2014/chart" uri="{C3380CC4-5D6E-409C-BE32-E72D297353CC}">
              <c16:uniqueId val="{00000005-1DD7-4CCE-A4B6-1F719D36440D}"/>
            </c:ext>
          </c:extLst>
        </c:ser>
        <c:ser>
          <c:idx val="1"/>
          <c:order val="1"/>
          <c:tx>
            <c:strRef>
              <c:f>Sheet1!$C$1</c:f>
              <c:strCache>
                <c:ptCount val="1"/>
                <c:pt idx="0">
                  <c:v>Déterminée</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dLbls>
            <c:dLbl>
              <c:idx val="0"/>
              <c:layout>
                <c:manualLayout>
                  <c:x val="-1.1111111111111112E-2"/>
                  <c:y val="2.352029073288908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1DD7-4CCE-A4B6-1F719D36440D}"/>
                </c:ext>
              </c:extLst>
            </c:dLbl>
            <c:dLbl>
              <c:idx val="1"/>
              <c:layout>
                <c:manualLayout>
                  <c:x val="-8.3333333333333835E-3"/>
                  <c:y val="2.425035332121946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1DD7-4CCE-A4B6-1F719D36440D}"/>
                </c:ext>
              </c:extLst>
            </c:dLbl>
            <c:dLbl>
              <c:idx val="2"/>
              <c:layout>
                <c:manualLayout>
                  <c:x val="-5.5555555555555558E-3"/>
                  <c:y val="1.960024227740763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1DD7-4CCE-A4B6-1F719D36440D}"/>
                </c:ext>
              </c:extLst>
            </c:dLbl>
            <c:dLbl>
              <c:idx val="3"/>
              <c:layout>
                <c:manualLayout>
                  <c:x val="2.7777777777777779E-3"/>
                  <c:y val="2.370280637997181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1DD7-4CCE-A4B6-1F719D36440D}"/>
                </c:ext>
              </c:extLst>
            </c:dLbl>
            <c:dLbl>
              <c:idx val="4"/>
              <c:layout>
                <c:manualLayout>
                  <c:x val="2.7777777777777779E-3"/>
                  <c:y val="2.370280637997173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1DD7-4CCE-A4B6-1F719D36440D}"/>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2014-2015
 (N=2 809)</c:v>
                </c:pt>
                <c:pt idx="1">
                  <c:v>2015-2016
 (N=3 388)</c:v>
                </c:pt>
                <c:pt idx="2">
                  <c:v>2016-2017
 (N=3 269)</c:v>
                </c:pt>
                <c:pt idx="3">
                  <c:v>2017-2018
 (N=3 562)</c:v>
                </c:pt>
                <c:pt idx="4">
                  <c:v>2018-2019
 (N=4 552)</c:v>
                </c:pt>
              </c:strCache>
            </c:strRef>
          </c:cat>
          <c:val>
            <c:numRef>
              <c:f>Sheet1!$C$2:$C$6</c:f>
              <c:numCache>
                <c:formatCode>#\ ###</c:formatCode>
                <c:ptCount val="5"/>
                <c:pt idx="0">
                  <c:v>218</c:v>
                </c:pt>
                <c:pt idx="1">
                  <c:v>277</c:v>
                </c:pt>
                <c:pt idx="2">
                  <c:v>376</c:v>
                </c:pt>
                <c:pt idx="3">
                  <c:v>488</c:v>
                </c:pt>
                <c:pt idx="4">
                  <c:v>554</c:v>
                </c:pt>
              </c:numCache>
            </c:numRef>
          </c:val>
          <c:extLst>
            <c:ext xmlns:c16="http://schemas.microsoft.com/office/drawing/2014/chart" uri="{C3380CC4-5D6E-409C-BE32-E72D297353CC}">
              <c16:uniqueId val="{0000000B-1DD7-4CCE-A4B6-1F719D36440D}"/>
            </c:ext>
          </c:extLst>
        </c:ser>
        <c:ser>
          <c:idx val="2"/>
          <c:order val="2"/>
          <c:tx>
            <c:strRef>
              <c:f>Sheet1!$D$1</c:f>
              <c:strCache>
                <c:ptCount val="1"/>
                <c:pt idx="0">
                  <c:v>Occasionnel</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dLbls>
            <c:dLbl>
              <c:idx val="0"/>
              <c:layout>
                <c:manualLayout>
                  <c:x val="-8.3333333333333592E-3"/>
                  <c:y val="2.443286896830203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1DD7-4CCE-A4B6-1F719D36440D}"/>
                </c:ext>
              </c:extLst>
            </c:dLbl>
            <c:dLbl>
              <c:idx val="1"/>
              <c:layout>
                <c:manualLayout>
                  <c:x val="-5.5555555555555558E-3"/>
                  <c:y val="2.370280637997165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1DD7-4CCE-A4B6-1F719D36440D}"/>
                </c:ext>
              </c:extLst>
            </c:dLbl>
            <c:dLbl>
              <c:idx val="2"/>
              <c:layout>
                <c:manualLayout>
                  <c:x val="2.7777777777777779E-3"/>
                  <c:y val="2.370280637997165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1DD7-4CCE-A4B6-1F719D36440D}"/>
                </c:ext>
              </c:extLst>
            </c:dLbl>
            <c:dLbl>
              <c:idx val="3"/>
              <c:layout>
                <c:manualLayout>
                  <c:x val="-1.0185067526415994E-16"/>
                  <c:y val="2.370280637997165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1DD7-4CCE-A4B6-1F719D36440D}"/>
                </c:ext>
              </c:extLst>
            </c:dLbl>
            <c:dLbl>
              <c:idx val="4"/>
              <c:layout>
                <c:manualLayout>
                  <c:x val="-5.5555555555555558E-3"/>
                  <c:y val="2.388532202705431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1DD7-4CCE-A4B6-1F719D36440D}"/>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2014-2015
 (N=2 809)</c:v>
                </c:pt>
                <c:pt idx="1">
                  <c:v>2015-2016
 (N=3 388)</c:v>
                </c:pt>
                <c:pt idx="2">
                  <c:v>2016-2017
 (N=3 269)</c:v>
                </c:pt>
                <c:pt idx="3">
                  <c:v>2017-2018
 (N=3 562)</c:v>
                </c:pt>
                <c:pt idx="4">
                  <c:v>2018-2019
 (N=4 552)</c:v>
                </c:pt>
              </c:strCache>
            </c:strRef>
          </c:cat>
          <c:val>
            <c:numRef>
              <c:f>Sheet1!$D$2:$D$6</c:f>
              <c:numCache>
                <c:formatCode>#\ ###</c:formatCode>
                <c:ptCount val="5"/>
                <c:pt idx="0">
                  <c:v>574</c:v>
                </c:pt>
                <c:pt idx="1">
                  <c:v>556</c:v>
                </c:pt>
                <c:pt idx="2">
                  <c:v>606</c:v>
                </c:pt>
                <c:pt idx="3">
                  <c:v>772</c:v>
                </c:pt>
                <c:pt idx="4">
                  <c:v>826</c:v>
                </c:pt>
              </c:numCache>
            </c:numRef>
          </c:val>
          <c:extLst>
            <c:ext xmlns:c16="http://schemas.microsoft.com/office/drawing/2014/chart" uri="{C3380CC4-5D6E-409C-BE32-E72D297353CC}">
              <c16:uniqueId val="{00000011-1DD7-4CCE-A4B6-1F719D36440D}"/>
            </c:ext>
          </c:extLst>
        </c:ser>
        <c:ser>
          <c:idx val="3"/>
          <c:order val="3"/>
          <c:tx>
            <c:strRef>
              <c:f>Sheet1!$E$1</c:f>
              <c:strCache>
                <c:ptCount val="1"/>
                <c:pt idx="0">
                  <c:v>Étudiant</c:v>
                </c:pt>
              </c:strCache>
            </c:strRef>
          </c:tx>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dLbls>
            <c:dLbl>
              <c:idx val="0"/>
              <c:layout>
                <c:manualLayout>
                  <c:x val="2.7777777777777779E-3"/>
                  <c:y val="2.425035332121946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1DD7-4CCE-A4B6-1F719D36440D}"/>
                </c:ext>
              </c:extLst>
            </c:dLbl>
            <c:dLbl>
              <c:idx val="1"/>
              <c:layout>
                <c:manualLayout>
                  <c:x val="2.7777777777777779E-3"/>
                  <c:y val="2.352029073288915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1DD7-4CCE-A4B6-1F719D36440D}"/>
                </c:ext>
              </c:extLst>
            </c:dLbl>
            <c:dLbl>
              <c:idx val="2"/>
              <c:layout>
                <c:manualLayout>
                  <c:x val="5.5555555555554534E-3"/>
                  <c:y val="2.352029073288908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1DD7-4CCE-A4B6-1F719D36440D}"/>
                </c:ext>
              </c:extLst>
            </c:dLbl>
            <c:dLbl>
              <c:idx val="3"/>
              <c:layout>
                <c:manualLayout>
                  <c:x val="2.7777777777777779E-3"/>
                  <c:y val="2.406783767413688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1DD7-4CCE-A4B6-1F719D36440D}"/>
                </c:ext>
              </c:extLst>
            </c:dLbl>
            <c:dLbl>
              <c:idx val="4"/>
              <c:layout>
                <c:manualLayout>
                  <c:x val="5.5555555555555558E-3"/>
                  <c:y val="1.960024227740763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6-1DD7-4CCE-A4B6-1F719D36440D}"/>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2014-2015
 (N=2 809)</c:v>
                </c:pt>
                <c:pt idx="1">
                  <c:v>2015-2016
 (N=3 388)</c:v>
                </c:pt>
                <c:pt idx="2">
                  <c:v>2016-2017
 (N=3 269)</c:v>
                </c:pt>
                <c:pt idx="3">
                  <c:v>2017-2018
 (N=3 562)</c:v>
                </c:pt>
                <c:pt idx="4">
                  <c:v>2018-2019
 (N=4 552)</c:v>
                </c:pt>
              </c:strCache>
            </c:strRef>
          </c:cat>
          <c:val>
            <c:numRef>
              <c:f>Sheet1!$E$2:$E$6</c:f>
              <c:numCache>
                <c:formatCode>#\ ###</c:formatCode>
                <c:ptCount val="5"/>
                <c:pt idx="0">
                  <c:v>394</c:v>
                </c:pt>
                <c:pt idx="1">
                  <c:v>402</c:v>
                </c:pt>
                <c:pt idx="2">
                  <c:v>397</c:v>
                </c:pt>
                <c:pt idx="3">
                  <c:v>485</c:v>
                </c:pt>
                <c:pt idx="4">
                  <c:v>553</c:v>
                </c:pt>
              </c:numCache>
            </c:numRef>
          </c:val>
          <c:extLst>
            <c:ext xmlns:c16="http://schemas.microsoft.com/office/drawing/2014/chart" uri="{C3380CC4-5D6E-409C-BE32-E72D297353CC}">
              <c16:uniqueId val="{00000017-1DD7-4CCE-A4B6-1F719D36440D}"/>
            </c:ext>
          </c:extLst>
        </c:ser>
        <c:dLbls>
          <c:showLegendKey val="0"/>
          <c:showVal val="1"/>
          <c:showCatName val="0"/>
          <c:showSerName val="0"/>
          <c:showPercent val="0"/>
          <c:showBubbleSize val="0"/>
        </c:dLbls>
        <c:gapWidth val="150"/>
        <c:shape val="box"/>
        <c:axId val="550218864"/>
        <c:axId val="550223176"/>
        <c:axId val="0"/>
      </c:bar3DChart>
      <c:catAx>
        <c:axId val="550218864"/>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550223176"/>
        <c:crosses val="autoZero"/>
        <c:auto val="1"/>
        <c:lblAlgn val="ctr"/>
        <c:lblOffset val="100"/>
        <c:noMultiLvlLbl val="0"/>
      </c:catAx>
      <c:valAx>
        <c:axId val="550223176"/>
        <c:scaling>
          <c:orientation val="minMax"/>
        </c:scaling>
        <c:delete val="0"/>
        <c:axPos val="l"/>
        <c:numFmt formatCode="#\ ###"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550218864"/>
        <c:crosses val="autoZero"/>
        <c:crossBetween val="between"/>
      </c:valAx>
      <c:spPr>
        <a:noFill/>
        <a:ln>
          <a:noFill/>
        </a:ln>
        <a:effectLst/>
      </c:spPr>
    </c:plotArea>
    <c:legend>
      <c:legendPos val="r"/>
      <c:layout>
        <c:manualLayout>
          <c:xMode val="edge"/>
          <c:yMode val="edge"/>
          <c:x val="0.1"/>
          <c:y val="0.84398433272763984"/>
          <c:w val="0.81944444444444442"/>
          <c:h val="9.037462535920758E-2"/>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347">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12.xml><?xml version="1.0" encoding="utf-8"?>
<cs:chartStyle xmlns:cs="http://schemas.microsoft.com/office/drawing/2012/chartStyle" xmlns:a="http://schemas.openxmlformats.org/drawingml/2006/main" id="347">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13.xml><?xml version="1.0" encoding="utf-8"?>
<cs:chartStyle xmlns:cs="http://schemas.microsoft.com/office/drawing/2012/chartStyle" xmlns:a="http://schemas.openxmlformats.org/drawingml/2006/main" id="347">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14.xml><?xml version="1.0" encoding="utf-8"?>
<cs:chartStyle xmlns:cs="http://schemas.microsoft.com/office/drawing/2012/chartStyle" xmlns:a="http://schemas.openxmlformats.org/drawingml/2006/main" id="347">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2.xml><?xml version="1.0" encoding="utf-8"?>
<cs:chartStyle xmlns:cs="http://schemas.microsoft.com/office/drawing/2012/chartStyle" xmlns:a="http://schemas.openxmlformats.org/drawingml/2006/main" id="347">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347">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347">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7.xml><?xml version="1.0" encoding="utf-8"?>
<cs:chartStyle xmlns:cs="http://schemas.microsoft.com/office/drawing/2012/chartStyle" xmlns:a="http://schemas.openxmlformats.org/drawingml/2006/main" id="347">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8.xml><?xml version="1.0" encoding="utf-8"?>
<cs:chartStyle xmlns:cs="http://schemas.microsoft.com/office/drawing/2012/chartStyle" xmlns:a="http://schemas.openxmlformats.org/drawingml/2006/main" id="347">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9.xml><?xml version="1.0" encoding="utf-8"?>
<cs:chartStyle xmlns:cs="http://schemas.microsoft.com/office/drawing/2012/chartStyle" xmlns:a="http://schemas.openxmlformats.org/drawingml/2006/main" id="347">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drawings/drawing1.xml><?xml version="1.0" encoding="utf-8"?>
<c:userShapes xmlns:c="http://schemas.openxmlformats.org/drawingml/2006/chart">
  <cdr:relSizeAnchor xmlns:cdr="http://schemas.openxmlformats.org/drawingml/2006/chartDrawing">
    <cdr:from>
      <cdr:x>0.00725</cdr:x>
      <cdr:y>0.92924</cdr:y>
    </cdr:from>
    <cdr:to>
      <cdr:x>0.97183</cdr:x>
      <cdr:y>0.99965</cdr:y>
    </cdr:to>
    <cdr:sp macro="" textlink="">
      <cdr:nvSpPr>
        <cdr:cNvPr id="2" name="Text Box 1"/>
        <cdr:cNvSpPr txBox="1"/>
      </cdr:nvSpPr>
      <cdr:spPr>
        <a:xfrm xmlns:a="http://schemas.openxmlformats.org/drawingml/2006/main">
          <a:off x="25192" y="3444240"/>
          <a:ext cx="3351645" cy="260958"/>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lnSpc>
              <a:spcPts val="900"/>
            </a:lnSpc>
          </a:pPr>
          <a:r>
            <a:rPr lang="en-CA" sz="850" baseline="0"/>
            <a:t>inconnus= 2 964</a:t>
          </a:r>
          <a:endParaRPr lang="en-CA" sz="850"/>
        </a:p>
      </cdr:txBody>
    </cdr:sp>
  </cdr:relSizeAnchor>
</c:userShapes>
</file>

<file path=word/drawings/drawing2.xml><?xml version="1.0" encoding="utf-8"?>
<c:userShapes xmlns:c="http://schemas.openxmlformats.org/drawingml/2006/chart">
  <cdr:relSizeAnchor xmlns:cdr="http://schemas.openxmlformats.org/drawingml/2006/chartDrawing">
    <cdr:from>
      <cdr:x>0.00725</cdr:x>
      <cdr:y>0.92924</cdr:y>
    </cdr:from>
    <cdr:to>
      <cdr:x>0.97183</cdr:x>
      <cdr:y>0.99965</cdr:y>
    </cdr:to>
    <cdr:sp macro="" textlink="">
      <cdr:nvSpPr>
        <cdr:cNvPr id="2" name="Text Box 1"/>
        <cdr:cNvSpPr txBox="1"/>
      </cdr:nvSpPr>
      <cdr:spPr>
        <a:xfrm xmlns:a="http://schemas.openxmlformats.org/drawingml/2006/main">
          <a:off x="25192" y="3444240"/>
          <a:ext cx="3351645" cy="260958"/>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lnSpc>
              <a:spcPts val="900"/>
            </a:lnSpc>
          </a:pPr>
          <a:r>
            <a:rPr lang="en-CA" sz="850" baseline="0"/>
            <a:t>inconnus= 3</a:t>
          </a:r>
        </a:p>
        <a:p xmlns:a="http://schemas.openxmlformats.org/drawingml/2006/main">
          <a:pPr algn="ctr">
            <a:lnSpc>
              <a:spcPts val="900"/>
            </a:lnSpc>
          </a:pPr>
          <a:endParaRPr lang="en-CA" sz="850"/>
        </a:p>
      </cdr:txBody>
    </cdr:sp>
  </cdr:relSizeAnchor>
</c:userShapes>
</file>

<file path=word/drawings/drawing3.xml><?xml version="1.0" encoding="utf-8"?>
<c:userShapes xmlns:c="http://schemas.openxmlformats.org/drawingml/2006/chart">
  <cdr:relSizeAnchor xmlns:cdr="http://schemas.openxmlformats.org/drawingml/2006/chartDrawing">
    <cdr:from>
      <cdr:x>0.00725</cdr:x>
      <cdr:y>0.92924</cdr:y>
    </cdr:from>
    <cdr:to>
      <cdr:x>0.97183</cdr:x>
      <cdr:y>0.99965</cdr:y>
    </cdr:to>
    <cdr:sp macro="" textlink="">
      <cdr:nvSpPr>
        <cdr:cNvPr id="2" name="Text Box 1"/>
        <cdr:cNvSpPr txBox="1"/>
      </cdr:nvSpPr>
      <cdr:spPr>
        <a:xfrm xmlns:a="http://schemas.openxmlformats.org/drawingml/2006/main">
          <a:off x="25192" y="3444240"/>
          <a:ext cx="3351645" cy="260958"/>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nSpc>
              <a:spcPts val="900"/>
            </a:lnSpc>
          </a:pPr>
          <a:r>
            <a:rPr lang="en-CA" sz="850"/>
            <a:t>-</a:t>
          </a:r>
          <a:r>
            <a:rPr lang="en-CA" sz="850" baseline="0"/>
            <a:t>Distribution régionale exclus les inconnus</a:t>
          </a:r>
          <a:endParaRPr lang="en-CA" sz="850"/>
        </a:p>
      </cdr:txBody>
    </cdr:sp>
  </cdr:relSizeAnchor>
</c:userShapes>
</file>

<file path=word/drawings/drawing4.xml><?xml version="1.0" encoding="utf-8"?>
<c:userShapes xmlns:c="http://schemas.openxmlformats.org/drawingml/2006/chart">
  <cdr:relSizeAnchor xmlns:cdr="http://schemas.openxmlformats.org/drawingml/2006/chartDrawing">
    <cdr:from>
      <cdr:x>0.00725</cdr:x>
      <cdr:y>0.77925</cdr:y>
    </cdr:from>
    <cdr:to>
      <cdr:x>0.97183</cdr:x>
      <cdr:y>0.99965</cdr:y>
    </cdr:to>
    <cdr:sp macro="" textlink="">
      <cdr:nvSpPr>
        <cdr:cNvPr id="2" name="Text Box 1"/>
        <cdr:cNvSpPr txBox="1"/>
      </cdr:nvSpPr>
      <cdr:spPr>
        <a:xfrm xmlns:a="http://schemas.openxmlformats.org/drawingml/2006/main">
          <a:off x="26375" y="2828925"/>
          <a:ext cx="3509673" cy="800099"/>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nSpc>
              <a:spcPts val="900"/>
            </a:lnSpc>
          </a:pPr>
          <a:r>
            <a:rPr lang="en-CA" sz="850"/>
            <a:t>-</a:t>
          </a:r>
          <a:r>
            <a:rPr lang="en-CA" sz="850" baseline="0"/>
            <a:t>Comprend les nominations pour une période indéterminée et pour une période déterminée</a:t>
          </a:r>
        </a:p>
        <a:p xmlns:a="http://schemas.openxmlformats.org/drawingml/2006/main">
          <a:pPr>
            <a:lnSpc>
              <a:spcPts val="900"/>
            </a:lnSpc>
          </a:pPr>
          <a:r>
            <a:rPr lang="en-CA" sz="850" baseline="0"/>
            <a:t>-Exclut les déplacements latéraux et régressifs, les mutations et les nominations intérimaires de moins de quatre mois</a:t>
          </a:r>
        </a:p>
        <a:p xmlns:a="http://schemas.openxmlformats.org/drawingml/2006/main">
          <a:pPr>
            <a:lnSpc>
              <a:spcPts val="900"/>
            </a:lnSpc>
          </a:pPr>
          <a:r>
            <a:rPr lang="en-CA" sz="850" baseline="0"/>
            <a:t>-Inclut seulement les nominations où le type de processus est connu (41</a:t>
          </a:r>
          <a:r>
            <a:rPr lang="en-CA" sz="850" baseline="0">
              <a:solidFill>
                <a:sysClr val="windowText" lastClr="000000"/>
              </a:solidFill>
            </a:rPr>
            <a:t>% à 56</a:t>
          </a:r>
          <a:r>
            <a:rPr lang="en-CA" sz="850" baseline="0"/>
            <a:t>% des nominations)</a:t>
          </a:r>
          <a:endParaRPr lang="en-CA" sz="850"/>
        </a:p>
      </cdr:txBody>
    </cdr:sp>
  </cdr:relSizeAnchor>
</c:userShapes>
</file>

<file path=word/drawings/drawing5.xml><?xml version="1.0" encoding="utf-8"?>
<c:userShapes xmlns:c="http://schemas.openxmlformats.org/drawingml/2006/chart">
  <cdr:relSizeAnchor xmlns:cdr="http://schemas.openxmlformats.org/drawingml/2006/chartDrawing">
    <cdr:from>
      <cdr:x>0.012</cdr:x>
      <cdr:y>0.90358</cdr:y>
    </cdr:from>
    <cdr:to>
      <cdr:x>0.99721</cdr:x>
      <cdr:y>1</cdr:y>
    </cdr:to>
    <cdr:sp macro="" textlink="">
      <cdr:nvSpPr>
        <cdr:cNvPr id="2" name="Text Box 1" descr="*Aux fins du rapport, les anciens étudiants incluent les participants au programme (COOP et PFETE) nommés dans le cadre d'un processus non annoncé.&#10;&#10;"/>
        <cdr:cNvSpPr txBox="1"/>
      </cdr:nvSpPr>
      <cdr:spPr>
        <a:xfrm xmlns:a="http://schemas.openxmlformats.org/drawingml/2006/main">
          <a:off x="41377" y="3076575"/>
          <a:ext cx="3397053" cy="328295"/>
        </a:xfrm>
        <a:prstGeom xmlns:a="http://schemas.openxmlformats.org/drawingml/2006/main" prst="rect">
          <a:avLst/>
        </a:prstGeom>
      </cdr:spPr>
      <cdr:txBody>
        <a:bodyPr xmlns:a="http://schemas.openxmlformats.org/drawingml/2006/main" vertOverflow="clip" wrap="square" lIns="0" tIns="0" rIns="0" bIns="0" rtlCol="0"/>
        <a:lstStyle xmlns:a="http://schemas.openxmlformats.org/drawingml/2006/main"/>
        <a:p xmlns:a="http://schemas.openxmlformats.org/drawingml/2006/main">
          <a:pPr marL="0" marR="0" lvl="0" indent="0" defTabSz="914400" eaLnBrk="1" fontAlgn="auto" latinLnBrk="0" hangingPunct="1">
            <a:lnSpc>
              <a:spcPct val="100000"/>
            </a:lnSpc>
            <a:spcBef>
              <a:spcPts val="0"/>
            </a:spcBef>
            <a:spcAft>
              <a:spcPts val="0"/>
            </a:spcAft>
            <a:buClrTx/>
            <a:buSzTx/>
            <a:buFontTx/>
            <a:buNone/>
            <a:tabLst/>
            <a:defRPr/>
          </a:pPr>
          <a:r>
            <a:rPr lang="en-CA" sz="800"/>
            <a:t>* Embauche avec expérience acquise dans les programmes fédéraux de recrutement étudiant dans les 10 dernières années.</a:t>
          </a:r>
        </a:p>
      </cdr:txBody>
    </cdr:sp>
  </cdr:relSizeAnchor>
</c:userShapes>
</file>

<file path=word/drawings/drawing6.xml><?xml version="1.0" encoding="utf-8"?>
<c:userShapes xmlns:c="http://schemas.openxmlformats.org/drawingml/2006/chart">
  <cdr:relSizeAnchor xmlns:cdr="http://schemas.openxmlformats.org/drawingml/2006/chartDrawing">
    <cdr:from>
      <cdr:x>0.10431</cdr:x>
      <cdr:y>0.78143</cdr:y>
    </cdr:from>
    <cdr:to>
      <cdr:x>0.96444</cdr:x>
      <cdr:y>1</cdr:y>
    </cdr:to>
    <cdr:sp macro="" textlink="">
      <cdr:nvSpPr>
        <cdr:cNvPr id="3" name="Text Box 2" descr="Calendar Days Axis titles for organization specific external time to staff graphic"/>
        <cdr:cNvSpPr txBox="1"/>
      </cdr:nvSpPr>
      <cdr:spPr>
        <a:xfrm xmlns:a="http://schemas.openxmlformats.org/drawingml/2006/main">
          <a:off x="474918" y="2531661"/>
          <a:ext cx="3916129" cy="708109"/>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n-CA" sz="900"/>
        </a:p>
      </cdr:txBody>
    </cdr:sp>
  </cdr:relSizeAnchor>
  <cdr:relSizeAnchor xmlns:cdr="http://schemas.openxmlformats.org/drawingml/2006/chartDrawing">
    <cdr:from>
      <cdr:x>0.26529</cdr:x>
      <cdr:y>0.19986</cdr:y>
    </cdr:from>
    <cdr:to>
      <cdr:x>0.26668</cdr:x>
      <cdr:y>0.74988</cdr:y>
    </cdr:to>
    <cdr:cxnSp macro="">
      <cdr:nvCxnSpPr>
        <cdr:cNvPr id="5" name="Straight Connector 4" descr="Median line fof the specified organization's internal time to staff graphic"/>
        <cdr:cNvCxnSpPr/>
      </cdr:nvCxnSpPr>
      <cdr:spPr>
        <a:xfrm xmlns:a="http://schemas.openxmlformats.org/drawingml/2006/main" flipV="1">
          <a:off x="1167400" y="536834"/>
          <a:ext cx="6117" cy="1477381"/>
        </a:xfrm>
        <a:prstGeom xmlns:a="http://schemas.openxmlformats.org/drawingml/2006/main" prst="line">
          <a:avLst/>
        </a:prstGeom>
        <a:ln xmlns:a="http://schemas.openxmlformats.org/drawingml/2006/main">
          <a:solidFill>
            <a:srgbClr val="FF0000"/>
          </a:solidFill>
        </a:ln>
      </cdr:spPr>
      <cdr:style>
        <a:lnRef xmlns:a="http://schemas.openxmlformats.org/drawingml/2006/main" idx="3">
          <a:schemeClr val="accent2"/>
        </a:lnRef>
        <a:fillRef xmlns:a="http://schemas.openxmlformats.org/drawingml/2006/main" idx="0">
          <a:schemeClr val="accent2"/>
        </a:fillRef>
        <a:effectRef xmlns:a="http://schemas.openxmlformats.org/drawingml/2006/main" idx="2">
          <a:schemeClr val="accent2"/>
        </a:effectRef>
        <a:fontRef xmlns:a="http://schemas.openxmlformats.org/drawingml/2006/main" idx="minor">
          <a:schemeClr val="tx1"/>
        </a:fontRef>
      </cdr:style>
    </cdr:cxnSp>
  </cdr:relSizeAnchor>
</c:userShapes>
</file>

<file path=word/drawings/drawing7.xml><?xml version="1.0" encoding="utf-8"?>
<c:userShapes xmlns:c="http://schemas.openxmlformats.org/drawingml/2006/chart">
  <cdr:relSizeAnchor xmlns:cdr="http://schemas.openxmlformats.org/drawingml/2006/chartDrawing">
    <cdr:from>
      <cdr:x>0.10431</cdr:x>
      <cdr:y>0.78143</cdr:y>
    </cdr:from>
    <cdr:to>
      <cdr:x>0.96444</cdr:x>
      <cdr:y>1</cdr:y>
    </cdr:to>
    <cdr:sp macro="" textlink="">
      <cdr:nvSpPr>
        <cdr:cNvPr id="3" name="Text Box 2" descr="Calendar Days Axis titles for organization specific external time to staff graphic"/>
        <cdr:cNvSpPr txBox="1"/>
      </cdr:nvSpPr>
      <cdr:spPr>
        <a:xfrm xmlns:a="http://schemas.openxmlformats.org/drawingml/2006/main">
          <a:off x="474918" y="2531661"/>
          <a:ext cx="3916129" cy="708109"/>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n-CA" sz="900"/>
        </a:p>
      </cdr:txBody>
    </cdr:sp>
  </cdr:relSizeAnchor>
  <cdr:relSizeAnchor xmlns:cdr="http://schemas.openxmlformats.org/drawingml/2006/chartDrawing">
    <cdr:from>
      <cdr:x>0.28141</cdr:x>
      <cdr:y>0.19267</cdr:y>
    </cdr:from>
    <cdr:to>
      <cdr:x>0.2828</cdr:x>
      <cdr:y>0.74269</cdr:y>
    </cdr:to>
    <cdr:cxnSp macro="">
      <cdr:nvCxnSpPr>
        <cdr:cNvPr id="5" name="Straight Connector 4" descr="Median line fof the specified organization's internal time to staff graphic"/>
        <cdr:cNvCxnSpPr/>
      </cdr:nvCxnSpPr>
      <cdr:spPr>
        <a:xfrm xmlns:a="http://schemas.openxmlformats.org/drawingml/2006/main" flipV="1">
          <a:off x="1238365" y="526701"/>
          <a:ext cx="6117" cy="1503576"/>
        </a:xfrm>
        <a:prstGeom xmlns:a="http://schemas.openxmlformats.org/drawingml/2006/main" prst="line">
          <a:avLst/>
        </a:prstGeom>
        <a:ln xmlns:a="http://schemas.openxmlformats.org/drawingml/2006/main">
          <a:solidFill>
            <a:srgbClr val="FF0000"/>
          </a:solidFill>
        </a:ln>
      </cdr:spPr>
      <cdr:style>
        <a:lnRef xmlns:a="http://schemas.openxmlformats.org/drawingml/2006/main" idx="3">
          <a:schemeClr val="accent2"/>
        </a:lnRef>
        <a:fillRef xmlns:a="http://schemas.openxmlformats.org/drawingml/2006/main" idx="0">
          <a:schemeClr val="accent2"/>
        </a:fillRef>
        <a:effectRef xmlns:a="http://schemas.openxmlformats.org/drawingml/2006/main" idx="2">
          <a:schemeClr val="accent2"/>
        </a:effectRef>
        <a:fontRef xmlns:a="http://schemas.openxmlformats.org/drawingml/2006/main" idx="minor">
          <a:schemeClr val="tx1"/>
        </a:fontRef>
      </cdr:style>
    </cdr:cxnSp>
  </cdr:relSizeAnchor>
</c:userShapes>
</file>

<file path=word/drawings/drawing8.xml><?xml version="1.0" encoding="utf-8"?>
<c:userShapes xmlns:c="http://schemas.openxmlformats.org/drawingml/2006/chart">
  <cdr:relSizeAnchor xmlns:cdr="http://schemas.openxmlformats.org/drawingml/2006/chartDrawing">
    <cdr:from>
      <cdr:x>0.10431</cdr:x>
      <cdr:y>0.78143</cdr:y>
    </cdr:from>
    <cdr:to>
      <cdr:x>0.96444</cdr:x>
      <cdr:y>1</cdr:y>
    </cdr:to>
    <cdr:sp macro="" textlink="">
      <cdr:nvSpPr>
        <cdr:cNvPr id="3" name="Text Box 2" descr="Calendar Days Axis titles for organization specific external time to staff graphic"/>
        <cdr:cNvSpPr txBox="1"/>
      </cdr:nvSpPr>
      <cdr:spPr>
        <a:xfrm xmlns:a="http://schemas.openxmlformats.org/drawingml/2006/main">
          <a:off x="474918" y="2531661"/>
          <a:ext cx="3916129" cy="708109"/>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n-CA" sz="900"/>
        </a:p>
      </cdr:txBody>
    </cdr:sp>
  </cdr:relSizeAnchor>
  <cdr:relSizeAnchor xmlns:cdr="http://schemas.openxmlformats.org/drawingml/2006/chartDrawing">
    <cdr:from>
      <cdr:x>0.28693</cdr:x>
      <cdr:y>0.19986</cdr:y>
    </cdr:from>
    <cdr:to>
      <cdr:x>0.28832</cdr:x>
      <cdr:y>0.74988</cdr:y>
    </cdr:to>
    <cdr:cxnSp macro="">
      <cdr:nvCxnSpPr>
        <cdr:cNvPr id="5" name="Straight Connector 4" descr="Median line fof the specified organization's internal time to staff graphic"/>
        <cdr:cNvCxnSpPr/>
      </cdr:nvCxnSpPr>
      <cdr:spPr>
        <a:xfrm xmlns:a="http://schemas.openxmlformats.org/drawingml/2006/main" flipV="1">
          <a:off x="1262650" y="553968"/>
          <a:ext cx="6117" cy="1524532"/>
        </a:xfrm>
        <a:prstGeom xmlns:a="http://schemas.openxmlformats.org/drawingml/2006/main" prst="line">
          <a:avLst/>
        </a:prstGeom>
        <a:ln xmlns:a="http://schemas.openxmlformats.org/drawingml/2006/main">
          <a:solidFill>
            <a:srgbClr val="FF0000"/>
          </a:solidFill>
        </a:ln>
      </cdr:spPr>
      <cdr:style>
        <a:lnRef xmlns:a="http://schemas.openxmlformats.org/drawingml/2006/main" idx="3">
          <a:schemeClr val="accent2"/>
        </a:lnRef>
        <a:fillRef xmlns:a="http://schemas.openxmlformats.org/drawingml/2006/main" idx="0">
          <a:schemeClr val="accent2"/>
        </a:fillRef>
        <a:effectRef xmlns:a="http://schemas.openxmlformats.org/drawingml/2006/main" idx="2">
          <a:schemeClr val="accent2"/>
        </a:effectRef>
        <a:fontRef xmlns:a="http://schemas.openxmlformats.org/drawingml/2006/main" idx="minor">
          <a:schemeClr val="tx1"/>
        </a:fontRef>
      </cdr:style>
    </cdr:cxnSp>
  </cdr:relSizeAnchor>
</c:userShapes>
</file>

<file path=word/theme/theme1.xml><?xml version="1.0" encoding="utf-8"?>
<a:theme xmlns:a="http://schemas.openxmlformats.org/drawingml/2006/main" name="CFP-PSC-Theme2019-fromWord">
  <a:themeElements>
    <a:clrScheme name="CFP-PSC-2019">
      <a:dk1>
        <a:srgbClr val="54575A"/>
      </a:dk1>
      <a:lt1>
        <a:sysClr val="window" lastClr="FFFFFF"/>
      </a:lt1>
      <a:dk2>
        <a:srgbClr val="54575A"/>
      </a:dk2>
      <a:lt2>
        <a:srgbClr val="F2F2F2"/>
      </a:lt2>
      <a:accent1>
        <a:srgbClr val="D50057"/>
      </a:accent1>
      <a:accent2>
        <a:srgbClr val="5B315E"/>
      </a:accent2>
      <a:accent3>
        <a:srgbClr val="0099A8"/>
      </a:accent3>
      <a:accent4>
        <a:srgbClr val="FF5100"/>
      </a:accent4>
      <a:accent5>
        <a:srgbClr val="C2D500"/>
      </a:accent5>
      <a:accent6>
        <a:srgbClr val="F7BE00"/>
      </a:accent6>
      <a:hlink>
        <a:srgbClr val="0099A8"/>
      </a:hlink>
      <a:folHlink>
        <a:srgbClr val="A5A5A5"/>
      </a:folHlink>
    </a:clrScheme>
    <a:fontScheme name="Custom 2">
      <a:majorFont>
        <a:latin typeface="Segoe UI Light"/>
        <a:ea typeface=""/>
        <a:cs typeface=""/>
      </a:majorFont>
      <a:minorFont>
        <a:latin typeface="Segoe UI Semi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127BA6-FA60-41B1-AA63-B9F7D94C08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CFP-Entete-Corpo2019.dotx</Template>
  <TotalTime>1</TotalTime>
  <Pages>29</Pages>
  <Words>5322</Words>
  <Characters>30337</Characters>
  <Application>Microsoft Office Word</Application>
  <DocSecurity>0</DocSecurity>
  <Lines>252</Lines>
  <Paragraphs>71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CFP-PSC</Company>
  <LinksUpToDate>false</LinksUpToDate>
  <CharactersWithSpaces>35588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Lefebvre</dc:creator>
  <cp:keywords/>
  <dc:description/>
  <cp:lastModifiedBy>Snjezana Kulic</cp:lastModifiedBy>
  <cp:revision>2</cp:revision>
  <dcterms:created xsi:type="dcterms:W3CDTF">2022-03-04T19:57:00Z</dcterms:created>
  <dcterms:modified xsi:type="dcterms:W3CDTF">2022-03-04T19:57:00Z</dcterms:modified>
</cp:coreProperties>
</file>