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7.xml" ContentType="application/vnd.openxmlformats-officedocument.drawingml.chartshape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09C7B" w14:textId="77777777" w:rsidR="007B1B27" w:rsidRPr="00FC60BB" w:rsidRDefault="007B1B27" w:rsidP="007B1B27">
      <w:pPr>
        <w:pStyle w:val="Title"/>
      </w:pPr>
      <w:r w:rsidRPr="00FC60BB">
        <w:t>P</w:t>
      </w:r>
      <w:r w:rsidR="00D42DF0" w:rsidRPr="00FC60BB">
        <w:t>resident meeting with Mr. Orlando Da</w:t>
      </w:r>
      <w:r w:rsidRPr="00FC60BB">
        <w:t xml:space="preserve"> S</w:t>
      </w:r>
      <w:r w:rsidR="00D42DF0" w:rsidRPr="00FC60BB">
        <w:t>ilva</w:t>
      </w:r>
      <w:r w:rsidRPr="00FC60BB">
        <w:t xml:space="preserve"> C</w:t>
      </w:r>
      <w:r w:rsidR="00D42DF0" w:rsidRPr="00FC60BB">
        <w:t>hief</w:t>
      </w:r>
      <w:r w:rsidRPr="00FC60BB">
        <w:t xml:space="preserve"> A</w:t>
      </w:r>
      <w:r w:rsidR="00D42DF0" w:rsidRPr="00FC60BB">
        <w:t>dministrator</w:t>
      </w:r>
      <w:r w:rsidRPr="00FC60BB">
        <w:t>, A</w:t>
      </w:r>
      <w:r w:rsidR="00D42DF0" w:rsidRPr="00FC60BB">
        <w:t>dministrative</w:t>
      </w:r>
      <w:r w:rsidRPr="00FC60BB">
        <w:t xml:space="preserve"> T</w:t>
      </w:r>
      <w:r w:rsidR="00D42DF0" w:rsidRPr="00FC60BB">
        <w:t>ribunals</w:t>
      </w:r>
      <w:r w:rsidRPr="00FC60BB">
        <w:t xml:space="preserve"> S</w:t>
      </w:r>
      <w:r w:rsidR="00D42DF0" w:rsidRPr="00FC60BB">
        <w:t>upport</w:t>
      </w:r>
      <w:r w:rsidRPr="00FC60BB">
        <w:t xml:space="preserve"> S</w:t>
      </w:r>
      <w:r w:rsidR="00D42DF0" w:rsidRPr="00FC60BB">
        <w:t>ervice of</w:t>
      </w:r>
      <w:r w:rsidRPr="00FC60BB">
        <w:t xml:space="preserve"> C</w:t>
      </w:r>
      <w:r w:rsidR="00D42DF0" w:rsidRPr="00FC60BB">
        <w:t>anada</w:t>
      </w:r>
    </w:p>
    <w:p w14:paraId="4B4019C3" w14:textId="77777777" w:rsidR="007B1B27" w:rsidRPr="00FC60BB" w:rsidRDefault="007B1B27" w:rsidP="00E61DD7">
      <w:pPr>
        <w:pStyle w:val="Title"/>
      </w:pPr>
      <w:r w:rsidRPr="00FC60BB">
        <w:t xml:space="preserve">January 23, </w:t>
      </w:r>
      <w:r w:rsidRPr="00E61DD7">
        <w:t>2020</w:t>
      </w:r>
    </w:p>
    <w:p w14:paraId="75292A13" w14:textId="77777777" w:rsidR="007B1B27" w:rsidRPr="0014782E" w:rsidRDefault="007B1B27" w:rsidP="00422176">
      <w:pPr>
        <w:pStyle w:val="Heading1"/>
        <w:rPr>
          <w:rFonts w:ascii="Arial" w:hAnsi="Arial" w:cs="Arial"/>
          <w:b/>
          <w:sz w:val="28"/>
          <w:szCs w:val="22"/>
          <w:lang w:val="en-CA"/>
        </w:rPr>
      </w:pPr>
      <w:r w:rsidRPr="0014782E">
        <w:rPr>
          <w:sz w:val="48"/>
          <w:lang w:val="en-CA"/>
        </w:rPr>
        <w:t>Introduction </w:t>
      </w:r>
    </w:p>
    <w:p w14:paraId="47400BBF" w14:textId="77777777" w:rsidR="007B1B27" w:rsidRPr="00FC60BB" w:rsidRDefault="007B1B27" w:rsidP="00055B43">
      <w:pPr>
        <w:pStyle w:val="Heading2"/>
        <w:spacing w:after="120"/>
        <w:rPr>
          <w:lang w:val="en-CA"/>
        </w:rPr>
      </w:pPr>
      <w:r w:rsidRPr="00FC60BB">
        <w:rPr>
          <w:lang w:val="en-CA"/>
        </w:rPr>
        <w:t>Deputy Head</w:t>
      </w:r>
    </w:p>
    <w:p w14:paraId="7F0F6723" w14:textId="77777777" w:rsidR="00F421E7" w:rsidRPr="00FC60BB" w:rsidRDefault="007B1B27" w:rsidP="007A1D63">
      <w:pPr>
        <w:pStyle w:val="NoSpacing"/>
        <w:spacing w:after="120"/>
        <w:rPr>
          <w:rFonts w:asciiTheme="minorHAnsi" w:hAnsiTheme="minorHAnsi" w:cstheme="minorHAnsi"/>
          <w:sz w:val="22"/>
          <w:szCs w:val="22"/>
          <w:lang w:val="en-CA" w:eastAsia="en-CA"/>
        </w:rPr>
      </w:pPr>
      <w:r w:rsidRPr="00FC60BB">
        <w:rPr>
          <w:rFonts w:asciiTheme="minorHAnsi" w:hAnsiTheme="minorHAnsi" w:cstheme="minorHAnsi"/>
          <w:sz w:val="22"/>
          <w:szCs w:val="22"/>
          <w:lang w:val="en-CA" w:eastAsia="en-CA"/>
        </w:rPr>
        <w:t xml:space="preserve">Mr. Orlando Da Silva was appointed as the Chief Administrator, Administrative Tribunals Support Service of Canada (ATSSC) on October 27, 2019. </w:t>
      </w:r>
    </w:p>
    <w:p w14:paraId="0CF4B83B" w14:textId="77777777" w:rsidR="009E4EC9" w:rsidRPr="007D1113" w:rsidRDefault="009E4EC9" w:rsidP="009E4EC9">
      <w:pPr>
        <w:pStyle w:val="NoSpacing"/>
        <w:spacing w:after="120"/>
        <w:rPr>
          <w:rFonts w:asciiTheme="minorHAnsi" w:hAnsiTheme="minorHAnsi" w:cstheme="minorHAnsi"/>
          <w:sz w:val="22"/>
          <w:szCs w:val="22"/>
          <w:lang w:val="en-CA" w:eastAsia="en-CA"/>
        </w:rPr>
      </w:pPr>
      <w:r>
        <w:rPr>
          <w:rFonts w:asciiTheme="minorHAnsi" w:hAnsiTheme="minorHAnsi" w:cstheme="minorHAnsi"/>
          <w:sz w:val="22"/>
          <w:szCs w:val="22"/>
          <w:lang w:val="en-CA" w:eastAsia="en-CA"/>
        </w:rPr>
        <w:t>Mr. Da Silva</w:t>
      </w:r>
      <w:r w:rsidRPr="00374A6E">
        <w:rPr>
          <w:rFonts w:asciiTheme="minorHAnsi" w:hAnsiTheme="minorHAnsi" w:cstheme="minorHAnsi"/>
          <w:sz w:val="22"/>
          <w:szCs w:val="22"/>
          <w:lang w:val="en-CA" w:eastAsia="en-CA"/>
        </w:rPr>
        <w:t xml:space="preserve"> </w:t>
      </w:r>
      <w:r w:rsidRPr="007D1113">
        <w:rPr>
          <w:rFonts w:asciiTheme="minorHAnsi" w:hAnsiTheme="minorHAnsi" w:cstheme="minorHAnsi"/>
          <w:sz w:val="22"/>
          <w:szCs w:val="22"/>
          <w:lang w:val="en-CA" w:eastAsia="en-CA"/>
        </w:rPr>
        <w:t>is exercising the Public Service Commission’s (PSC) authority for the first time as D</w:t>
      </w:r>
      <w:r>
        <w:rPr>
          <w:rFonts w:asciiTheme="minorHAnsi" w:hAnsiTheme="minorHAnsi" w:cstheme="minorHAnsi"/>
          <w:sz w:val="22"/>
          <w:szCs w:val="22"/>
          <w:lang w:val="en-CA" w:eastAsia="en-CA"/>
        </w:rPr>
        <w:t>eputy Head (D</w:t>
      </w:r>
      <w:r w:rsidRPr="007D1113">
        <w:rPr>
          <w:rFonts w:asciiTheme="minorHAnsi" w:hAnsiTheme="minorHAnsi" w:cstheme="minorHAnsi"/>
          <w:sz w:val="22"/>
          <w:szCs w:val="22"/>
          <w:lang w:val="en-CA" w:eastAsia="en-CA"/>
        </w:rPr>
        <w:t>H</w:t>
      </w:r>
      <w:r>
        <w:rPr>
          <w:rFonts w:asciiTheme="minorHAnsi" w:hAnsiTheme="minorHAnsi" w:cstheme="minorHAnsi"/>
          <w:sz w:val="22"/>
          <w:szCs w:val="22"/>
          <w:lang w:val="en-CA" w:eastAsia="en-CA"/>
        </w:rPr>
        <w:t>)</w:t>
      </w:r>
      <w:r w:rsidRPr="007D1113">
        <w:rPr>
          <w:rFonts w:asciiTheme="minorHAnsi" w:hAnsiTheme="minorHAnsi" w:cstheme="minorHAnsi"/>
          <w:sz w:val="22"/>
          <w:szCs w:val="22"/>
          <w:lang w:val="en-CA" w:eastAsia="en-CA"/>
        </w:rPr>
        <w:t xml:space="preserve">. A copy of the New Direction in Staffing (NDS) highlights for DHs is attached as </w:t>
      </w:r>
      <w:hyperlink w:anchor="AnnexA" w:history="1">
        <w:r w:rsidRPr="007D1113">
          <w:rPr>
            <w:rStyle w:val="Hyperlink"/>
            <w:rFonts w:asciiTheme="minorHAnsi" w:hAnsiTheme="minorHAnsi" w:cstheme="minorHAnsi"/>
            <w:sz w:val="22"/>
            <w:szCs w:val="22"/>
            <w:lang w:val="en-CA" w:eastAsia="en-CA"/>
          </w:rPr>
          <w:t>Annex A</w:t>
        </w:r>
      </w:hyperlink>
      <w:r w:rsidRPr="007D1113">
        <w:rPr>
          <w:rFonts w:asciiTheme="minorHAnsi" w:hAnsiTheme="minorHAnsi" w:cstheme="minorHAnsi"/>
          <w:sz w:val="22"/>
          <w:szCs w:val="22"/>
          <w:lang w:val="en-CA" w:eastAsia="en-CA"/>
        </w:rPr>
        <w:t>.</w:t>
      </w:r>
    </w:p>
    <w:p w14:paraId="234C757E" w14:textId="77777777" w:rsidR="007B1B27" w:rsidRPr="0014782E" w:rsidRDefault="000C45BD" w:rsidP="00422176">
      <w:pPr>
        <w:pStyle w:val="Heading1"/>
        <w:rPr>
          <w:sz w:val="48"/>
          <w:lang w:val="en-CA"/>
        </w:rPr>
      </w:pPr>
      <w:r w:rsidRPr="0014782E">
        <w:rPr>
          <w:sz w:val="48"/>
          <w:lang w:val="en-CA"/>
        </w:rPr>
        <w:t>Organizational</w:t>
      </w:r>
      <w:r w:rsidR="007B1B27" w:rsidRPr="0014782E">
        <w:rPr>
          <w:sz w:val="48"/>
          <w:lang w:val="en-CA"/>
        </w:rPr>
        <w:t xml:space="preserve"> Context</w:t>
      </w:r>
    </w:p>
    <w:p w14:paraId="4744363E" w14:textId="77777777" w:rsidR="007B1B27" w:rsidRPr="00FC60BB" w:rsidRDefault="007B1B27" w:rsidP="00055B43">
      <w:pPr>
        <w:pStyle w:val="Heading2"/>
        <w:spacing w:after="120"/>
        <w:rPr>
          <w:u w:val="single"/>
          <w:lang w:val="en-CA"/>
        </w:rPr>
      </w:pPr>
      <w:r w:rsidRPr="00FC60BB">
        <w:rPr>
          <w:lang w:val="en-CA"/>
        </w:rPr>
        <w:t>Mandate</w:t>
      </w:r>
    </w:p>
    <w:p w14:paraId="1EE1CFB4" w14:textId="77777777" w:rsidR="007B1B27" w:rsidRPr="00FC60BB" w:rsidRDefault="007B1B27" w:rsidP="007B1B27">
      <w:pPr>
        <w:pStyle w:val="NoSpacing"/>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The ATSSC is a small organization created in 2014. The organisation supports 11 tribunals with different mandates, each operating under different statutes, regulations and rules:</w:t>
      </w:r>
    </w:p>
    <w:p w14:paraId="57E9E470"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Canada Cultural Property Export Review Board</w:t>
      </w:r>
    </w:p>
    <w:p w14:paraId="42ED716E"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Canada Industrial Relations Board</w:t>
      </w:r>
    </w:p>
    <w:p w14:paraId="2A257383"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Canadian Agricultural Review Tribunal</w:t>
      </w:r>
    </w:p>
    <w:p w14:paraId="79CD274D"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Canadian Human Rights Tribunal</w:t>
      </w:r>
    </w:p>
    <w:p w14:paraId="4E69B673"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Canadian International Trade Tribunal</w:t>
      </w:r>
    </w:p>
    <w:p w14:paraId="48892ED2"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Competition Tribunal</w:t>
      </w:r>
    </w:p>
    <w:p w14:paraId="51D60E59"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Public Servants Disclosure Protection Tribunal</w:t>
      </w:r>
    </w:p>
    <w:p w14:paraId="1BF140EE"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Public Service Labour Relations and Employment Board</w:t>
      </w:r>
    </w:p>
    <w:p w14:paraId="1154A0B6"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Social Security Tribunal</w:t>
      </w:r>
    </w:p>
    <w:p w14:paraId="76A62D12" w14:textId="77777777" w:rsidR="007B1B27" w:rsidRPr="00FC60BB" w:rsidRDefault="007B1B27" w:rsidP="009466B2">
      <w:pPr>
        <w:pStyle w:val="NoSpacing"/>
        <w:numPr>
          <w:ilvl w:val="0"/>
          <w:numId w:val="7"/>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Specific Claims Tribunal Canada</w:t>
      </w:r>
    </w:p>
    <w:p w14:paraId="601C0C44" w14:textId="77777777" w:rsidR="007B1B27" w:rsidRPr="00FC60BB" w:rsidRDefault="007B1B27" w:rsidP="007A1D63">
      <w:pPr>
        <w:pStyle w:val="NoSpacing"/>
        <w:numPr>
          <w:ilvl w:val="0"/>
          <w:numId w:val="7"/>
        </w:numPr>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Transportation Appeal Tribunal of Canada</w:t>
      </w:r>
    </w:p>
    <w:p w14:paraId="2F0F68F1" w14:textId="77777777" w:rsidR="007B1B27" w:rsidRPr="00FC60BB" w:rsidRDefault="007B1B27" w:rsidP="007A1D63">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Central to the mandate of the ATSSC is to provide effective and efficient support services to tribunals while ensuring that they maintain their adjudicative independence. Given the diversity of operations and activities, and the depth of expertise of the tribunals, the ATSSC maintains and invests in developing its staff capacity and expertise so as to be positioned to respond to the varied and complex needs of the tribunals individually and overall.</w:t>
      </w:r>
    </w:p>
    <w:p w14:paraId="7D39B007" w14:textId="77777777" w:rsidR="007B1B27" w:rsidRPr="00FC60BB" w:rsidRDefault="007B1B27" w:rsidP="007A1D63">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lastRenderedPageBreak/>
        <w:t>The ATSSC services include the specialized services required by each tribunal (e.g. registry, research and analysis, legal and other case-specific work), as well as corporate services (e.g. human resources, financial services, information technology, accommodations, security and communications</w:t>
      </w:r>
      <w:r w:rsidR="00545B2E">
        <w:rPr>
          <w:rFonts w:asciiTheme="minorHAnsi" w:hAnsiTheme="minorHAnsi" w:cstheme="minorHAnsi"/>
          <w:color w:val="000000"/>
          <w:sz w:val="22"/>
          <w:szCs w:val="22"/>
          <w:lang w:val="en-CA"/>
        </w:rPr>
        <w:t>)</w:t>
      </w:r>
      <w:r w:rsidRPr="00FC60BB">
        <w:rPr>
          <w:rFonts w:asciiTheme="minorHAnsi" w:hAnsiTheme="minorHAnsi" w:cstheme="minorHAnsi"/>
          <w:color w:val="000000"/>
          <w:sz w:val="22"/>
          <w:szCs w:val="22"/>
          <w:lang w:val="en-CA"/>
        </w:rPr>
        <w:t>.</w:t>
      </w:r>
    </w:p>
    <w:p w14:paraId="2922EB83" w14:textId="77777777" w:rsidR="007B1B27" w:rsidRPr="00FC60BB" w:rsidRDefault="007B1B27" w:rsidP="00055B43">
      <w:pPr>
        <w:pStyle w:val="Heading2"/>
        <w:spacing w:after="120"/>
        <w:rPr>
          <w:u w:val="single"/>
          <w:lang w:val="en-CA"/>
        </w:rPr>
      </w:pPr>
      <w:r w:rsidRPr="00FC60BB">
        <w:rPr>
          <w:lang w:val="en-CA"/>
        </w:rPr>
        <w:t>Opportunities</w:t>
      </w:r>
    </w:p>
    <w:p w14:paraId="3BB1DAE1" w14:textId="77777777" w:rsidR="007B1B27" w:rsidRPr="00FC60BB" w:rsidRDefault="007B1B27" w:rsidP="007A1D63">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As indicated in their 2019-2020 Departmental Plan, the ATSSC will pursue innovation though the optimization of business processes and development of new practices, including a new or improved e-filing solutions, and the modernization of case management systems.</w:t>
      </w:r>
    </w:p>
    <w:p w14:paraId="3126BEDC" w14:textId="77777777" w:rsidR="007B1B27" w:rsidRPr="00FC60BB" w:rsidRDefault="007B1B27" w:rsidP="007A1D63">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The ATSSC maintains and invests in developing its staff capacity and expertise so as to be positioned to respond to the varied and complex needs of the tribunals individually and overall. The development of staffing strategies will assist with the recruitment of new talent for key positions.</w:t>
      </w:r>
    </w:p>
    <w:p w14:paraId="3674BE96" w14:textId="77777777" w:rsidR="007B1B27" w:rsidRPr="00FC60BB" w:rsidRDefault="007B1B27" w:rsidP="007A1D63">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The ATSSC will focus on developing work environments where employees are well-supported. The ATSSC’s InterAction initiative plays an important role in this by providing, through new approaches to talent management and performance management, feedback opportunities for employees for professional growth.</w:t>
      </w:r>
    </w:p>
    <w:p w14:paraId="37C050F7" w14:textId="77777777" w:rsidR="007B1B27" w:rsidRPr="0014782E" w:rsidRDefault="007B1B27" w:rsidP="00422176">
      <w:pPr>
        <w:pStyle w:val="Heading1"/>
        <w:rPr>
          <w:sz w:val="48"/>
          <w:lang w:val="en-CA"/>
        </w:rPr>
      </w:pPr>
      <w:r w:rsidRPr="0014782E">
        <w:rPr>
          <w:sz w:val="48"/>
          <w:lang w:val="en-CA"/>
        </w:rPr>
        <w:t>Population and Staffing Activities</w:t>
      </w:r>
    </w:p>
    <w:p w14:paraId="67EEF0B7" w14:textId="77777777" w:rsidR="007B1B27" w:rsidRPr="00FC60BB" w:rsidRDefault="007B1B27" w:rsidP="00055B43">
      <w:pPr>
        <w:pStyle w:val="Heading2"/>
        <w:spacing w:after="120"/>
        <w:rPr>
          <w:u w:val="single"/>
          <w:lang w:val="en-CA"/>
        </w:rPr>
      </w:pPr>
      <w:r w:rsidRPr="00FC60BB">
        <w:rPr>
          <w:lang w:val="en-CA"/>
        </w:rPr>
        <w:t>Population</w:t>
      </w:r>
    </w:p>
    <w:p w14:paraId="54958647" w14:textId="77777777" w:rsidR="007B1B27" w:rsidRPr="00FC60BB" w:rsidRDefault="007B1B27" w:rsidP="007A1D63">
      <w:pPr>
        <w:pStyle w:val="NormalWeb"/>
        <w:spacing w:before="0" w:beforeAutospacing="0" w:after="120" w:afterAutospacing="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The ATSSC is a small organization</w:t>
      </w:r>
      <w:r w:rsidRPr="00FC60BB">
        <w:rPr>
          <w:rFonts w:asciiTheme="minorHAnsi" w:hAnsiTheme="minorHAnsi" w:cstheme="minorHAnsi"/>
          <w:sz w:val="22"/>
          <w:szCs w:val="22"/>
          <w:lang w:val="en-CA"/>
        </w:rPr>
        <w:t xml:space="preserve"> that has a total population of 480 employees, </w:t>
      </w:r>
      <w:r w:rsidRPr="00FC60BB">
        <w:rPr>
          <w:rFonts w:asciiTheme="minorHAnsi" w:hAnsiTheme="minorHAnsi" w:cstheme="minorHAnsi"/>
          <w:color w:val="000000"/>
          <w:sz w:val="22"/>
          <w:szCs w:val="22"/>
          <w:lang w:val="en-CA"/>
        </w:rPr>
        <w:t xml:space="preserve">including casuals and students </w:t>
      </w:r>
      <w:r w:rsidRPr="00FC60BB">
        <w:rPr>
          <w:rFonts w:asciiTheme="minorHAnsi" w:hAnsiTheme="minorHAnsi" w:cstheme="minorHAnsi"/>
          <w:sz w:val="22"/>
          <w:szCs w:val="22"/>
          <w:lang w:val="en-CA"/>
        </w:rPr>
        <w:t xml:space="preserve">(as </w:t>
      </w:r>
      <w:r w:rsidRPr="00FC60BB">
        <w:rPr>
          <w:rFonts w:asciiTheme="minorHAnsi" w:hAnsiTheme="minorHAnsi" w:cstheme="minorHAnsi"/>
          <w:color w:val="000000"/>
          <w:sz w:val="22"/>
          <w:szCs w:val="22"/>
          <w:lang w:val="en-CA"/>
        </w:rPr>
        <w:t xml:space="preserve">of March 31, 2019). </w:t>
      </w:r>
    </w:p>
    <w:p w14:paraId="074D3DEB" w14:textId="77777777" w:rsidR="007B1B27" w:rsidRPr="00FC60BB" w:rsidRDefault="007B1B27" w:rsidP="00055B43">
      <w:pPr>
        <w:pStyle w:val="Heading2"/>
        <w:spacing w:after="120"/>
        <w:rPr>
          <w:u w:val="single"/>
          <w:lang w:val="en-CA"/>
        </w:rPr>
      </w:pPr>
      <w:r w:rsidRPr="00FC60BB">
        <w:rPr>
          <w:lang w:val="en-CA"/>
        </w:rPr>
        <w:t>Staffing Activities</w:t>
      </w:r>
    </w:p>
    <w:p w14:paraId="394D17F8" w14:textId="77777777" w:rsidR="007B1B27" w:rsidRPr="00FC60BB" w:rsidRDefault="007B1B27" w:rsidP="007B1B27">
      <w:p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 xml:space="preserve">In 2018-2019, the ATSSC proceeded with a total of 359 staffing activities: </w:t>
      </w:r>
    </w:p>
    <w:p w14:paraId="5D9D5664" w14:textId="77777777" w:rsidR="007B1B27" w:rsidRPr="00FC60BB" w:rsidRDefault="007B1B27" w:rsidP="009466B2">
      <w:pPr>
        <w:numPr>
          <w:ilvl w:val="0"/>
          <w:numId w:val="3"/>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179 appointments to the public service (includes casuals and students)</w:t>
      </w:r>
    </w:p>
    <w:p w14:paraId="7808173C" w14:textId="77777777" w:rsidR="007B1B27" w:rsidRPr="00FC60BB" w:rsidRDefault="007B1B27" w:rsidP="009466B2">
      <w:pPr>
        <w:numPr>
          <w:ilvl w:val="0"/>
          <w:numId w:val="3"/>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91 promotions</w:t>
      </w:r>
    </w:p>
    <w:p w14:paraId="697061FD" w14:textId="77777777" w:rsidR="007B1B27" w:rsidRPr="00FC60BB" w:rsidRDefault="007B1B27" w:rsidP="009466B2">
      <w:pPr>
        <w:numPr>
          <w:ilvl w:val="0"/>
          <w:numId w:val="3"/>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28 acting appointments</w:t>
      </w:r>
    </w:p>
    <w:p w14:paraId="176C173B" w14:textId="77777777" w:rsidR="007B1B27" w:rsidRPr="00FC60BB" w:rsidRDefault="007B1B27" w:rsidP="007A1D63">
      <w:pPr>
        <w:numPr>
          <w:ilvl w:val="0"/>
          <w:numId w:val="3"/>
        </w:numPr>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61 lateral and downward movements</w:t>
      </w:r>
    </w:p>
    <w:p w14:paraId="28C3F0A0" w14:textId="77777777" w:rsidR="007B1B27" w:rsidRPr="00FC60BB" w:rsidRDefault="007B1B27" w:rsidP="007A1D63">
      <w:pPr>
        <w:pStyle w:val="NoSpacing"/>
        <w:spacing w:after="120"/>
        <w:rPr>
          <w:rFonts w:asciiTheme="minorHAnsi" w:hAnsiTheme="minorHAnsi" w:cstheme="minorHAnsi"/>
          <w:sz w:val="22"/>
          <w:szCs w:val="22"/>
          <w:lang w:val="en-CA" w:eastAsia="en-CA"/>
        </w:rPr>
      </w:pPr>
      <w:r w:rsidRPr="00FC60BB">
        <w:rPr>
          <w:rFonts w:asciiTheme="minorHAnsi" w:hAnsiTheme="minorHAnsi" w:cstheme="minorHAnsi"/>
          <w:sz w:val="22"/>
          <w:szCs w:val="22"/>
          <w:lang w:val="en-CA" w:eastAsia="en-CA"/>
        </w:rPr>
        <w:t xml:space="preserve">Please refer to </w:t>
      </w:r>
      <w:hyperlink w:anchor="Annex_B" w:history="1">
        <w:r w:rsidR="00F421E7" w:rsidRPr="00FC60BB">
          <w:rPr>
            <w:rStyle w:val="Hyperlink"/>
            <w:rFonts w:asciiTheme="minorHAnsi" w:hAnsiTheme="minorHAnsi" w:cstheme="minorHAnsi"/>
            <w:sz w:val="22"/>
            <w:szCs w:val="22"/>
            <w:lang w:val="en-CA" w:eastAsia="en-CA"/>
          </w:rPr>
          <w:t>Annex B</w:t>
        </w:r>
      </w:hyperlink>
      <w:r w:rsidRPr="00FC60BB">
        <w:rPr>
          <w:rFonts w:asciiTheme="minorHAnsi" w:hAnsiTheme="minorHAnsi" w:cstheme="minorHAnsi"/>
          <w:i/>
          <w:sz w:val="22"/>
          <w:szCs w:val="22"/>
          <w:lang w:val="en-CA" w:eastAsia="en-CA"/>
        </w:rPr>
        <w:t xml:space="preserve"> </w:t>
      </w:r>
      <w:r w:rsidRPr="00FC60BB">
        <w:rPr>
          <w:rFonts w:asciiTheme="minorHAnsi" w:hAnsiTheme="minorHAnsi" w:cstheme="minorHAnsi"/>
          <w:sz w:val="22"/>
          <w:szCs w:val="22"/>
          <w:lang w:val="en-CA" w:eastAsia="en-CA"/>
        </w:rPr>
        <w:t>for additional details</w:t>
      </w:r>
      <w:r w:rsidR="00D64481" w:rsidRPr="00FC60BB">
        <w:rPr>
          <w:rFonts w:asciiTheme="minorHAnsi" w:hAnsiTheme="minorHAnsi" w:cstheme="minorHAnsi"/>
          <w:sz w:val="22"/>
          <w:szCs w:val="22"/>
          <w:lang w:val="en-CA" w:eastAsia="en-CA"/>
        </w:rPr>
        <w:t xml:space="preserve"> on staffing activities</w:t>
      </w:r>
      <w:r w:rsidRPr="00FC60BB">
        <w:rPr>
          <w:rFonts w:asciiTheme="minorHAnsi" w:hAnsiTheme="minorHAnsi" w:cstheme="minorHAnsi"/>
          <w:sz w:val="22"/>
          <w:szCs w:val="22"/>
          <w:lang w:val="en-CA" w:eastAsia="en-CA"/>
        </w:rPr>
        <w:t>.</w:t>
      </w:r>
    </w:p>
    <w:p w14:paraId="7FF2FAD2" w14:textId="77777777" w:rsidR="007B1B27" w:rsidRPr="0014782E" w:rsidRDefault="007B1B27" w:rsidP="00422176">
      <w:pPr>
        <w:pStyle w:val="Heading1"/>
        <w:rPr>
          <w:sz w:val="48"/>
          <w:lang w:val="en-CA"/>
        </w:rPr>
      </w:pPr>
      <w:r w:rsidRPr="0014782E">
        <w:rPr>
          <w:sz w:val="48"/>
          <w:lang w:val="en-CA"/>
        </w:rPr>
        <w:t>Time to Staff</w:t>
      </w:r>
    </w:p>
    <w:p w14:paraId="278D3C2F" w14:textId="77777777" w:rsidR="007A1D63" w:rsidRPr="00FC60BB" w:rsidRDefault="007B1B27" w:rsidP="007B1B27">
      <w:pPr>
        <w:tabs>
          <w:tab w:val="left" w:pos="567"/>
        </w:tabs>
        <w:contextualSpacing/>
        <w:rPr>
          <w:rFonts w:asciiTheme="minorHAnsi" w:hAnsiTheme="minorHAnsi" w:cstheme="minorHAnsi"/>
          <w:sz w:val="22"/>
          <w:szCs w:val="22"/>
          <w:lang w:val="en-CA" w:eastAsia="en-CA"/>
        </w:rPr>
        <w:sectPr w:rsidR="007A1D63" w:rsidRPr="00FC60BB" w:rsidSect="007B1B27">
          <w:footerReference w:type="default" r:id="rId8"/>
          <w:footerReference w:type="first" r:id="rId9"/>
          <w:footnotePr>
            <w:numFmt w:val="lowerLetter"/>
          </w:footnotePr>
          <w:endnotePr>
            <w:numFmt w:val="lowerLetter"/>
          </w:endnotePr>
          <w:pgSz w:w="12240" w:h="15840" w:code="1"/>
          <w:pgMar w:top="1276" w:right="1304" w:bottom="1361" w:left="1304" w:header="284" w:footer="284" w:gutter="0"/>
          <w:pgNumType w:start="1"/>
          <w:cols w:space="720"/>
          <w:docGrid w:linePitch="326"/>
        </w:sectPr>
      </w:pPr>
      <w:r w:rsidRPr="00FC60BB">
        <w:rPr>
          <w:rFonts w:asciiTheme="minorHAnsi" w:eastAsiaTheme="minorHAnsi" w:hAnsiTheme="minorHAnsi" w:cstheme="minorHAnsi"/>
          <w:sz w:val="22"/>
          <w:szCs w:val="22"/>
          <w:lang w:val="en-CA"/>
        </w:rPr>
        <w:t xml:space="preserve">There is insufficient data to generate Internal or External Time to Staff statistics for the ATSSC. </w:t>
      </w:r>
    </w:p>
    <w:p w14:paraId="704A8E25" w14:textId="77777777" w:rsidR="007B1B27" w:rsidRPr="0014782E" w:rsidRDefault="007B1B27" w:rsidP="00422176">
      <w:pPr>
        <w:pStyle w:val="Heading1"/>
        <w:rPr>
          <w:sz w:val="48"/>
          <w:lang w:val="en-CA"/>
        </w:rPr>
      </w:pPr>
      <w:r w:rsidRPr="0014782E">
        <w:rPr>
          <w:sz w:val="48"/>
          <w:lang w:val="en-CA"/>
        </w:rPr>
        <w:lastRenderedPageBreak/>
        <w:t>Staffing Framework</w:t>
      </w:r>
    </w:p>
    <w:p w14:paraId="773C0EAF" w14:textId="77777777" w:rsidR="007B1B27" w:rsidRPr="00FC60BB" w:rsidRDefault="007B1B27" w:rsidP="00055B43">
      <w:pPr>
        <w:pStyle w:val="Heading2"/>
        <w:spacing w:after="120"/>
        <w:rPr>
          <w:lang w:val="en-CA"/>
        </w:rPr>
      </w:pPr>
      <w:r w:rsidRPr="00FC60BB">
        <w:rPr>
          <w:lang w:val="en-CA"/>
        </w:rPr>
        <w:t>New Direction in Staffing Implementation</w:t>
      </w:r>
    </w:p>
    <w:p w14:paraId="560C497B" w14:textId="77777777" w:rsidR="007B1B27" w:rsidRPr="00FC60BB" w:rsidRDefault="002B597B" w:rsidP="007A1D63">
      <w:pPr>
        <w:spacing w:after="120"/>
        <w:rPr>
          <w:rFonts w:asciiTheme="minorHAnsi" w:eastAsiaTheme="minorHAnsi" w:hAnsiTheme="minorHAnsi" w:cstheme="minorHAnsi"/>
          <w:sz w:val="22"/>
          <w:szCs w:val="22"/>
          <w:lang w:val="en-CA"/>
        </w:rPr>
      </w:pPr>
      <w:sdt>
        <w:sdtPr>
          <w:rPr>
            <w:rFonts w:asciiTheme="minorHAnsi" w:hAnsiTheme="minorHAnsi" w:cstheme="minorHAnsi"/>
            <w:color w:val="000000"/>
            <w:sz w:val="22"/>
            <w:szCs w:val="22"/>
            <w:lang w:val="en-CA"/>
          </w:rPr>
          <w:id w:val="-721137268"/>
          <w:placeholder>
            <w:docPart w:val="765E17F30EF24A4AA4AB24E544EC51D4"/>
          </w:placeholder>
          <w15:appearance w15:val="hidden"/>
          <w:text w:multiLine="1"/>
        </w:sdtPr>
        <w:sdtEndPr/>
        <w:sdtContent>
          <w:r w:rsidR="007B1B27" w:rsidRPr="00FC60BB">
            <w:rPr>
              <w:rFonts w:asciiTheme="minorHAnsi" w:hAnsiTheme="minorHAnsi" w:cstheme="minorHAnsi"/>
              <w:color w:val="000000"/>
              <w:sz w:val="22"/>
              <w:szCs w:val="22"/>
              <w:lang w:val="en-CA"/>
            </w:rPr>
            <w:t>The ATSSC updated their staffing framework in 2016 to align with NDS requirements and shared their staffing policy framework with the PSC.</w:t>
          </w:r>
        </w:sdtContent>
      </w:sdt>
      <w:r w:rsidR="007B1B27" w:rsidRPr="00FC60BB">
        <w:rPr>
          <w:rFonts w:asciiTheme="minorHAnsi" w:hAnsiTheme="minorHAnsi" w:cstheme="minorHAnsi"/>
          <w:color w:val="000000"/>
          <w:sz w:val="22"/>
          <w:szCs w:val="22"/>
          <w:lang w:val="en-CA"/>
        </w:rPr>
        <w:t xml:space="preserve"> </w:t>
      </w:r>
      <w:sdt>
        <w:sdtPr>
          <w:rPr>
            <w:rFonts w:asciiTheme="minorHAnsi" w:hAnsiTheme="minorHAnsi" w:cstheme="minorHAnsi"/>
            <w:color w:val="000000"/>
            <w:sz w:val="22"/>
            <w:szCs w:val="22"/>
            <w:lang w:val="en-CA"/>
          </w:rPr>
          <w:id w:val="-409083508"/>
          <w:placeholder>
            <w:docPart w:val="852AC18E76274771BAD5AED5DDEE6AF1"/>
          </w:placeholder>
          <w15:appearance w15:val="hidden"/>
          <w:text w:multiLine="1"/>
        </w:sdtPr>
        <w:sdtEndPr/>
        <w:sdtContent>
          <w:r w:rsidR="007B1B27" w:rsidRPr="00FC60BB">
            <w:rPr>
              <w:rFonts w:asciiTheme="minorHAnsi" w:hAnsiTheme="minorHAnsi" w:cstheme="minorHAnsi"/>
              <w:color w:val="000000"/>
              <w:sz w:val="22"/>
              <w:szCs w:val="22"/>
              <w:lang w:val="en-CA"/>
            </w:rPr>
            <w:t xml:space="preserve">As for their sub-delegation instrument, the ATSSC has updated it in 2019 and they have also </w:t>
          </w:r>
        </w:sdtContent>
      </w:sdt>
      <w:r w:rsidR="007B1B27" w:rsidRPr="00FC60BB">
        <w:rPr>
          <w:rFonts w:asciiTheme="minorHAnsi" w:hAnsiTheme="minorHAnsi" w:cstheme="minorHAnsi"/>
          <w:color w:val="000000"/>
          <w:sz w:val="22"/>
          <w:szCs w:val="22"/>
          <w:lang w:val="en-CA"/>
        </w:rPr>
        <w:t>d</w:t>
      </w:r>
      <w:r w:rsidR="007B1B27" w:rsidRPr="00FC60BB">
        <w:rPr>
          <w:rFonts w:asciiTheme="minorHAnsi" w:eastAsiaTheme="minorHAnsi" w:hAnsiTheme="minorHAnsi" w:cstheme="minorHAnsi"/>
          <w:sz w:val="22"/>
          <w:szCs w:val="22"/>
          <w:lang w:val="en-CA"/>
        </w:rPr>
        <w:t>eveloped a monitoring framework.</w:t>
      </w:r>
    </w:p>
    <w:p w14:paraId="306BE1E8" w14:textId="77777777" w:rsidR="007B1B27" w:rsidRPr="0014782E" w:rsidRDefault="007B1B27" w:rsidP="00422176">
      <w:pPr>
        <w:pStyle w:val="Heading1"/>
        <w:rPr>
          <w:sz w:val="48"/>
          <w:lang w:val="en-CA"/>
        </w:rPr>
      </w:pPr>
      <w:r w:rsidRPr="0014782E">
        <w:rPr>
          <w:sz w:val="48"/>
          <w:lang w:val="en-CA"/>
        </w:rPr>
        <w:t xml:space="preserve">Appointment Delegation and Accountability Instrument </w:t>
      </w:r>
      <w:r w:rsidR="001B32BB" w:rsidRPr="0014782E">
        <w:rPr>
          <w:sz w:val="48"/>
          <w:lang w:val="en-CA"/>
        </w:rPr>
        <w:t>Annex D R</w:t>
      </w:r>
      <w:r w:rsidRPr="0014782E">
        <w:rPr>
          <w:sz w:val="48"/>
          <w:lang w:val="en-CA"/>
        </w:rPr>
        <w:t>eporting</w:t>
      </w:r>
    </w:p>
    <w:p w14:paraId="35C63C2D" w14:textId="77777777" w:rsidR="007B1B27" w:rsidRPr="00FC60BB" w:rsidRDefault="007B1B27" w:rsidP="00055B43">
      <w:pPr>
        <w:pStyle w:val="Heading2"/>
        <w:spacing w:after="120"/>
        <w:rPr>
          <w:lang w:val="en-CA"/>
        </w:rPr>
      </w:pPr>
      <w:r w:rsidRPr="00FC60BB">
        <w:rPr>
          <w:lang w:val="en-CA"/>
        </w:rPr>
        <w:t>Use of the Public Service Official Languages Exclusion Approval Order and the Public Service Official Languages Appointment Regulations</w:t>
      </w:r>
    </w:p>
    <w:p w14:paraId="10FF5B59" w14:textId="77777777" w:rsidR="007B1B27" w:rsidRPr="00FC60BB" w:rsidRDefault="007B1B27" w:rsidP="007A1D63">
      <w:pPr>
        <w:spacing w:after="120"/>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 xml:space="preserve">The ATSSC does not have any exclusions under the </w:t>
      </w:r>
      <w:r w:rsidRPr="00FC60BB">
        <w:rPr>
          <w:rStyle w:val="Emphasis"/>
          <w:rFonts w:eastAsiaTheme="minorHAnsi"/>
        </w:rPr>
        <w:t xml:space="preserve">Public Service Official Languages Exclusion Approval Order </w:t>
      </w:r>
      <w:r w:rsidRPr="00FC60BB">
        <w:rPr>
          <w:rFonts w:asciiTheme="minorHAnsi" w:eastAsiaTheme="minorHAnsi" w:hAnsiTheme="minorHAnsi" w:cstheme="minorHAnsi"/>
          <w:sz w:val="22"/>
          <w:szCs w:val="22"/>
          <w:lang w:val="en-CA"/>
        </w:rPr>
        <w:t>for the period of April 1, 2018 to March 31, 2019.</w:t>
      </w:r>
    </w:p>
    <w:p w14:paraId="2F60265F" w14:textId="77777777" w:rsidR="007B1B27" w:rsidRPr="00FC60BB" w:rsidRDefault="007B1B27" w:rsidP="00055B43">
      <w:pPr>
        <w:pStyle w:val="Heading2"/>
        <w:spacing w:after="120"/>
        <w:rPr>
          <w:lang w:val="en-CA"/>
        </w:rPr>
      </w:pPr>
      <w:r w:rsidRPr="00FC60BB">
        <w:rPr>
          <w:lang w:val="en-CA"/>
        </w:rPr>
        <w:t>Approved Deputy Head Exceptions to the National Area of Selection Requirements for External Advertised Appointment Process</w:t>
      </w:r>
    </w:p>
    <w:p w14:paraId="16ACD777" w14:textId="77777777" w:rsidR="007B1B27" w:rsidRPr="00FC60BB" w:rsidRDefault="007B1B27" w:rsidP="007A1D63">
      <w:pPr>
        <w:pStyle w:val="NormalWeb"/>
        <w:spacing w:before="0" w:beforeAutospacing="0" w:after="120" w:afterAutospacing="0"/>
        <w:rPr>
          <w:rFonts w:asciiTheme="minorHAnsi" w:hAnsiTheme="minorHAnsi" w:cstheme="minorHAnsi"/>
          <w:i/>
          <w:sz w:val="22"/>
          <w:szCs w:val="22"/>
          <w:lang w:val="en-CA"/>
        </w:rPr>
      </w:pPr>
      <w:r w:rsidRPr="00FC60BB">
        <w:rPr>
          <w:rFonts w:asciiTheme="minorHAnsi" w:hAnsiTheme="minorHAnsi" w:cstheme="minorHAnsi"/>
          <w:sz w:val="22"/>
          <w:szCs w:val="22"/>
          <w:lang w:val="en-CA"/>
        </w:rPr>
        <w:t>The ATSSC reported that the deputy head did not approve any exception</w:t>
      </w:r>
      <w:r w:rsidRPr="00FC60BB">
        <w:rPr>
          <w:rFonts w:asciiTheme="minorHAnsi" w:hAnsiTheme="minorHAnsi" w:cstheme="minorHAnsi"/>
          <w:b/>
          <w:i/>
          <w:sz w:val="22"/>
          <w:szCs w:val="22"/>
          <w:lang w:val="en-CA"/>
        </w:rPr>
        <w:t xml:space="preserve"> </w:t>
      </w:r>
      <w:r w:rsidRPr="00FC60BB">
        <w:rPr>
          <w:rFonts w:asciiTheme="minorHAnsi" w:hAnsiTheme="minorHAnsi" w:cstheme="minorHAnsi"/>
          <w:sz w:val="22"/>
          <w:szCs w:val="22"/>
          <w:lang w:val="en-CA"/>
        </w:rPr>
        <w:t>to the National Area of Selection.</w:t>
      </w:r>
    </w:p>
    <w:p w14:paraId="7FD2B89C" w14:textId="77777777" w:rsidR="007B1B27" w:rsidRPr="00FC60BB" w:rsidRDefault="007B1B27" w:rsidP="00055B43">
      <w:pPr>
        <w:pStyle w:val="Heading2"/>
        <w:spacing w:after="120"/>
        <w:rPr>
          <w:lang w:val="en-CA"/>
        </w:rPr>
      </w:pPr>
      <w:r w:rsidRPr="00FC60BB">
        <w:rPr>
          <w:lang w:val="en-CA"/>
        </w:rPr>
        <w:t>Results of Organizational Cyclical Assessment</w:t>
      </w:r>
    </w:p>
    <w:p w14:paraId="52012458" w14:textId="77777777" w:rsidR="007B1B27" w:rsidRPr="00FC60BB" w:rsidRDefault="007B1B27" w:rsidP="007A1D63">
      <w:pPr>
        <w:pStyle w:val="NoSpacing"/>
        <w:spacing w:after="120"/>
        <w:rPr>
          <w:rFonts w:asciiTheme="minorHAnsi" w:hAnsiTheme="minorHAnsi" w:cstheme="minorHAnsi"/>
          <w:sz w:val="22"/>
          <w:szCs w:val="22"/>
          <w:lang w:val="en-CA"/>
        </w:rPr>
      </w:pPr>
      <w:r w:rsidRPr="00FC60BB">
        <w:rPr>
          <w:rFonts w:asciiTheme="minorHAnsi" w:hAnsiTheme="minorHAnsi" w:cstheme="minorHAnsi"/>
          <w:sz w:val="22"/>
          <w:szCs w:val="22"/>
          <w:lang w:val="en-CA"/>
        </w:rPr>
        <w:t>The ATSSC has not yet reported on cyclical assessment for the period of April 1, 2016 to March 31, 2021. The ATSSC is not part of the PSC Pilot to conduct cyclical assessment on behalf of smaller organizations. The organization plans to conduct their cyclical assessment in 2020 and to submit their results to the PSC on May 1, 2021 as required.</w:t>
      </w:r>
    </w:p>
    <w:p w14:paraId="10DC1E8F" w14:textId="77777777" w:rsidR="007B1B27" w:rsidRPr="00FC60BB" w:rsidRDefault="007B1B27" w:rsidP="00055B43">
      <w:pPr>
        <w:pStyle w:val="Heading2"/>
        <w:spacing w:after="120"/>
        <w:rPr>
          <w:lang w:val="en-CA"/>
        </w:rPr>
      </w:pPr>
      <w:r w:rsidRPr="00FC60BB">
        <w:rPr>
          <w:lang w:val="en-CA"/>
        </w:rPr>
        <w:t>Inquiries and Trends</w:t>
      </w:r>
    </w:p>
    <w:p w14:paraId="678D1E93" w14:textId="77777777" w:rsidR="007B1B27" w:rsidRPr="00FC60BB" w:rsidRDefault="007B1B27" w:rsidP="007A1D63">
      <w:pPr>
        <w:spacing w:after="120"/>
        <w:rPr>
          <w:rFonts w:asciiTheme="minorHAnsi" w:hAnsiTheme="minorHAnsi" w:cstheme="minorHAnsi"/>
          <w:sz w:val="22"/>
          <w:szCs w:val="22"/>
          <w:lang w:val="en-CA" w:eastAsia="en-CA"/>
        </w:rPr>
      </w:pPr>
      <w:r w:rsidRPr="00FC60BB">
        <w:rPr>
          <w:rFonts w:asciiTheme="minorHAnsi" w:hAnsiTheme="minorHAnsi" w:cstheme="minorHAnsi"/>
          <w:sz w:val="22"/>
          <w:szCs w:val="22"/>
          <w:lang w:val="en-CA"/>
        </w:rPr>
        <w:t>During the period of April 1, 2017 to October 1, 2019, the</w:t>
      </w:r>
      <w:r w:rsidRPr="00FC60BB">
        <w:rPr>
          <w:rFonts w:asciiTheme="minorHAnsi" w:hAnsiTheme="minorHAnsi" w:cstheme="minorHAnsi"/>
          <w:sz w:val="22"/>
          <w:szCs w:val="22"/>
          <w:lang w:val="en-CA" w:eastAsia="en-CA"/>
        </w:rPr>
        <w:t xml:space="preserve"> Staffing Support Advisor (SSA) received a total of 73 enquiries from the ATSSC related to a variety of topics, such as assessments, the </w:t>
      </w:r>
      <w:r w:rsidRPr="00FC60BB">
        <w:rPr>
          <w:rStyle w:val="Emphasis"/>
        </w:rPr>
        <w:t>Public Service Employment Act</w:t>
      </w:r>
      <w:r w:rsidRPr="00FC60BB">
        <w:rPr>
          <w:rFonts w:asciiTheme="minorHAnsi" w:hAnsiTheme="minorHAnsi" w:cstheme="minorHAnsi"/>
          <w:sz w:val="22"/>
          <w:szCs w:val="22"/>
          <w:lang w:val="en-CA" w:eastAsia="en-CA"/>
        </w:rPr>
        <w:t>, the PSC websites and systems and other enquiries outside the PSC mandate. The ATSSC has an above average amount of enquiries for general staffing situations for a small organization.</w:t>
      </w:r>
    </w:p>
    <w:p w14:paraId="2BDAEA4F" w14:textId="77777777" w:rsidR="007B1B27" w:rsidRPr="0014782E" w:rsidRDefault="007B1B27" w:rsidP="00422176">
      <w:pPr>
        <w:pStyle w:val="Heading1"/>
        <w:rPr>
          <w:sz w:val="48"/>
          <w:lang w:val="en-CA"/>
        </w:rPr>
      </w:pPr>
      <w:r w:rsidRPr="0014782E">
        <w:rPr>
          <w:sz w:val="48"/>
          <w:lang w:val="en-CA"/>
        </w:rPr>
        <w:lastRenderedPageBreak/>
        <w:t xml:space="preserve">Oversight </w:t>
      </w:r>
    </w:p>
    <w:p w14:paraId="085BAAAD" w14:textId="77777777" w:rsidR="007B1B27" w:rsidRPr="00FC60BB" w:rsidRDefault="007B1B27" w:rsidP="00055B43">
      <w:pPr>
        <w:pStyle w:val="Heading2"/>
        <w:spacing w:after="120"/>
        <w:rPr>
          <w:u w:val="single"/>
          <w:lang w:val="en-CA"/>
        </w:rPr>
      </w:pPr>
      <w:r w:rsidRPr="00FC60BB">
        <w:rPr>
          <w:lang w:val="en-CA"/>
        </w:rPr>
        <w:t xml:space="preserve">Audits </w:t>
      </w:r>
    </w:p>
    <w:p w14:paraId="3FAF5762" w14:textId="77777777" w:rsidR="007B1B27" w:rsidRPr="00FC60BB" w:rsidRDefault="007B1B27" w:rsidP="007A1D63">
      <w:pPr>
        <w:spacing w:after="120"/>
        <w:rPr>
          <w:rFonts w:asciiTheme="minorHAnsi" w:hAnsiTheme="minorHAnsi" w:cstheme="minorHAnsi"/>
          <w:sz w:val="22"/>
          <w:szCs w:val="22"/>
          <w:lang w:val="en-CA"/>
        </w:rPr>
      </w:pPr>
      <w:r w:rsidRPr="00FC60BB">
        <w:rPr>
          <w:rFonts w:asciiTheme="minorHAnsi" w:hAnsiTheme="minorHAnsi" w:cstheme="minorHAnsi"/>
          <w:sz w:val="22"/>
          <w:szCs w:val="22"/>
          <w:lang w:val="en-CA"/>
        </w:rPr>
        <w:t>The ATSSC has not been subject to a staffing assessment or a PSC Audit since its creation in 2014.</w:t>
      </w:r>
    </w:p>
    <w:p w14:paraId="44B82EB5" w14:textId="77777777" w:rsidR="007B1B27" w:rsidRPr="00FC60BB" w:rsidRDefault="007B1B27" w:rsidP="007A1D63">
      <w:pPr>
        <w:spacing w:after="120"/>
        <w:rPr>
          <w:rFonts w:asciiTheme="minorHAnsi" w:hAnsiTheme="minorHAnsi" w:cstheme="minorHAnsi"/>
          <w:sz w:val="22"/>
          <w:szCs w:val="22"/>
          <w:lang w:val="en-CA"/>
        </w:rPr>
      </w:pPr>
      <w:r w:rsidRPr="00FC60BB">
        <w:rPr>
          <w:rFonts w:asciiTheme="minorHAnsi" w:hAnsiTheme="minorHAnsi" w:cstheme="minorHAnsi"/>
          <w:sz w:val="22"/>
          <w:szCs w:val="22"/>
          <w:lang w:val="en-CA"/>
        </w:rPr>
        <w:t xml:space="preserve">The ATSSC was included in the completed pilot System-Wide Staffing Audit, for which the final report was published in December 2018. The organization is also one of 30 organizations selected for the Audit of Employment Equity Representation in Recruitment that is currently underway. </w:t>
      </w:r>
    </w:p>
    <w:p w14:paraId="68E4A301" w14:textId="77777777" w:rsidR="007B1B27" w:rsidRPr="00FC60BB" w:rsidRDefault="007B1B27" w:rsidP="007A1D63">
      <w:pPr>
        <w:spacing w:after="120"/>
        <w:rPr>
          <w:rFonts w:asciiTheme="minorHAnsi" w:hAnsiTheme="minorHAnsi" w:cstheme="minorHAnsi"/>
          <w:sz w:val="22"/>
          <w:szCs w:val="22"/>
          <w:lang w:val="en-CA"/>
        </w:rPr>
      </w:pPr>
      <w:r w:rsidRPr="00FC60BB">
        <w:rPr>
          <w:rFonts w:asciiTheme="minorHAnsi" w:hAnsiTheme="minorHAnsi" w:cstheme="minorHAnsi"/>
          <w:sz w:val="22"/>
          <w:szCs w:val="22"/>
          <w:lang w:val="en-CA"/>
        </w:rPr>
        <w:t>The ATSSC is not part of the Horizontal Audit of Student Hiring under the Federal Student Work Experience Program (FSWEP).</w:t>
      </w:r>
    </w:p>
    <w:p w14:paraId="264E419F" w14:textId="77777777" w:rsidR="007B1B27" w:rsidRPr="00FC60BB" w:rsidRDefault="007B1B27" w:rsidP="00055B43">
      <w:pPr>
        <w:pStyle w:val="Heading2"/>
        <w:spacing w:after="120"/>
        <w:rPr>
          <w:u w:val="single"/>
          <w:lang w:val="en-CA"/>
        </w:rPr>
      </w:pPr>
      <w:r w:rsidRPr="00FC60BB">
        <w:rPr>
          <w:lang w:val="en-CA"/>
        </w:rPr>
        <w:t>Investigations</w:t>
      </w:r>
    </w:p>
    <w:p w14:paraId="23382597" w14:textId="77777777" w:rsidR="00D64481" w:rsidRPr="00FC60BB" w:rsidRDefault="007B1B27" w:rsidP="007A1D63">
      <w:pPr>
        <w:spacing w:after="120"/>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During the period of August 9, 2016 to August 9, 2019, four cases for investigation were received.  One case was not accepted for investigation and closed and the other 3 cases were completed and founded.  There are currently no ongoing cases.</w:t>
      </w:r>
    </w:p>
    <w:p w14:paraId="3C06C781" w14:textId="77777777" w:rsidR="00D64481" w:rsidRPr="00FC60BB" w:rsidRDefault="00D64481" w:rsidP="00D64481">
      <w:pPr>
        <w:pStyle w:val="Caption"/>
        <w:keepNext/>
        <w:spacing w:after="0"/>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1</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Investigations</w:t>
      </w:r>
    </w:p>
    <w:tbl>
      <w:tblPr>
        <w:tblStyle w:val="TableGrid"/>
        <w:tblW w:w="5000" w:type="pct"/>
        <w:jc w:val="center"/>
        <w:tblLook w:val="04A0" w:firstRow="1" w:lastRow="0" w:firstColumn="1" w:lastColumn="0" w:noHBand="0" w:noVBand="1"/>
        <w:tblDescription w:val="Investigations"/>
      </w:tblPr>
      <w:tblGrid>
        <w:gridCol w:w="1965"/>
        <w:gridCol w:w="1109"/>
        <w:gridCol w:w="1571"/>
        <w:gridCol w:w="1196"/>
        <w:gridCol w:w="1362"/>
        <w:gridCol w:w="1326"/>
        <w:gridCol w:w="1093"/>
      </w:tblGrid>
      <w:tr w:rsidR="00B0203E" w:rsidRPr="00B0203E" w14:paraId="1DAC24D5" w14:textId="77777777" w:rsidTr="00D64481">
        <w:trPr>
          <w:cantSplit/>
          <w:tblHeader/>
          <w:jc w:val="center"/>
        </w:trPr>
        <w:tc>
          <w:tcPr>
            <w:tcW w:w="1026" w:type="pct"/>
            <w:shd w:val="clear" w:color="auto" w:fill="54575A" w:themeFill="text1"/>
          </w:tcPr>
          <w:p w14:paraId="6B207BCC" w14:textId="77777777" w:rsidR="00F1222D" w:rsidRPr="00B0203E" w:rsidRDefault="00F1222D" w:rsidP="00BA258A">
            <w:pPr>
              <w:pStyle w:val="TableTitle"/>
              <w:rPr>
                <w:color w:val="FFFFFF" w:themeColor="background1"/>
                <w:lang w:eastAsia="en-CA"/>
              </w:rPr>
            </w:pPr>
            <w:r w:rsidRPr="00B0203E">
              <w:rPr>
                <w:color w:val="FFFFFF" w:themeColor="background1"/>
                <w:lang w:eastAsia="en-CA"/>
              </w:rPr>
              <w:t>Nature of Issue</w:t>
            </w:r>
          </w:p>
        </w:tc>
        <w:tc>
          <w:tcPr>
            <w:tcW w:w="575" w:type="pct"/>
            <w:shd w:val="clear" w:color="auto" w:fill="54575A" w:themeFill="text1"/>
          </w:tcPr>
          <w:p w14:paraId="583A3C71" w14:textId="77777777" w:rsidR="00F1222D" w:rsidRPr="00B0203E" w:rsidRDefault="00F1222D" w:rsidP="00BA258A">
            <w:pPr>
              <w:pStyle w:val="TableTitle"/>
              <w:rPr>
                <w:color w:val="FFFFFF" w:themeColor="background1"/>
                <w:lang w:eastAsia="en-CA"/>
              </w:rPr>
            </w:pPr>
            <w:r w:rsidRPr="00B0203E">
              <w:rPr>
                <w:color w:val="FFFFFF" w:themeColor="background1"/>
                <w:lang w:eastAsia="en-CA"/>
              </w:rPr>
              <w:t>Cases Received</w:t>
            </w:r>
          </w:p>
        </w:tc>
        <w:tc>
          <w:tcPr>
            <w:tcW w:w="821" w:type="pct"/>
            <w:shd w:val="clear" w:color="auto" w:fill="54575A" w:themeFill="text1"/>
          </w:tcPr>
          <w:p w14:paraId="4D2D944A" w14:textId="77777777" w:rsidR="00F1222D" w:rsidRPr="00B0203E" w:rsidRDefault="00F1222D" w:rsidP="00BA258A">
            <w:pPr>
              <w:pStyle w:val="TableTitle"/>
              <w:rPr>
                <w:color w:val="FFFFFF" w:themeColor="background1"/>
                <w:lang w:eastAsia="en-CA"/>
              </w:rPr>
            </w:pPr>
            <w:r w:rsidRPr="00B0203E">
              <w:rPr>
                <w:color w:val="FFFFFF" w:themeColor="background1"/>
                <w:lang w:eastAsia="en-CA"/>
              </w:rPr>
              <w:t>Cases Referred by Organization</w:t>
            </w:r>
          </w:p>
        </w:tc>
        <w:tc>
          <w:tcPr>
            <w:tcW w:w="626" w:type="pct"/>
            <w:shd w:val="clear" w:color="auto" w:fill="54575A" w:themeFill="text1"/>
          </w:tcPr>
          <w:p w14:paraId="689EC188" w14:textId="77777777" w:rsidR="00F1222D" w:rsidRPr="00B0203E" w:rsidRDefault="00F1222D" w:rsidP="00BA258A">
            <w:pPr>
              <w:pStyle w:val="TableTitle"/>
              <w:rPr>
                <w:color w:val="FFFFFF" w:themeColor="background1"/>
                <w:lang w:eastAsia="en-CA"/>
              </w:rPr>
            </w:pPr>
            <w:r w:rsidRPr="00B0203E">
              <w:rPr>
                <w:color w:val="FFFFFF" w:themeColor="background1"/>
                <w:lang w:eastAsia="en-CA"/>
              </w:rPr>
              <w:t>Closed – Not Accepted</w:t>
            </w:r>
          </w:p>
        </w:tc>
        <w:tc>
          <w:tcPr>
            <w:tcW w:w="712" w:type="pct"/>
            <w:shd w:val="clear" w:color="auto" w:fill="54575A" w:themeFill="text1"/>
          </w:tcPr>
          <w:p w14:paraId="2D7378C4" w14:textId="77777777" w:rsidR="00F1222D" w:rsidRPr="00B0203E" w:rsidRDefault="00F1222D" w:rsidP="00BA258A">
            <w:pPr>
              <w:pStyle w:val="TableTitle"/>
              <w:rPr>
                <w:color w:val="FFFFFF" w:themeColor="background1"/>
                <w:lang w:eastAsia="en-CA"/>
              </w:rPr>
            </w:pPr>
            <w:r w:rsidRPr="00B0203E">
              <w:rPr>
                <w:color w:val="FFFFFF" w:themeColor="background1"/>
                <w:lang w:eastAsia="en-CA"/>
              </w:rPr>
              <w:t>Completed Unfounded</w:t>
            </w:r>
          </w:p>
        </w:tc>
        <w:tc>
          <w:tcPr>
            <w:tcW w:w="693" w:type="pct"/>
            <w:shd w:val="clear" w:color="auto" w:fill="54575A" w:themeFill="text1"/>
          </w:tcPr>
          <w:p w14:paraId="41ECC26E" w14:textId="77777777" w:rsidR="00F1222D" w:rsidRPr="00B0203E" w:rsidRDefault="00F1222D" w:rsidP="00BA258A">
            <w:pPr>
              <w:pStyle w:val="TableTitle"/>
              <w:rPr>
                <w:color w:val="FFFFFF" w:themeColor="background1"/>
                <w:lang w:eastAsia="en-CA"/>
              </w:rPr>
            </w:pPr>
            <w:r w:rsidRPr="00B0203E">
              <w:rPr>
                <w:color w:val="FFFFFF" w:themeColor="background1"/>
                <w:lang w:eastAsia="en-CA"/>
              </w:rPr>
              <w:t>Completed Founded</w:t>
            </w:r>
          </w:p>
        </w:tc>
        <w:tc>
          <w:tcPr>
            <w:tcW w:w="547" w:type="pct"/>
            <w:shd w:val="clear" w:color="auto" w:fill="54575A" w:themeFill="text1"/>
          </w:tcPr>
          <w:p w14:paraId="32EBDDE3" w14:textId="77777777" w:rsidR="00F1222D" w:rsidRPr="00B0203E" w:rsidRDefault="00F1222D" w:rsidP="00BA258A">
            <w:pPr>
              <w:pStyle w:val="TableTitle"/>
              <w:rPr>
                <w:color w:val="FFFFFF" w:themeColor="background1"/>
                <w:lang w:eastAsia="en-CA"/>
              </w:rPr>
            </w:pPr>
            <w:r w:rsidRPr="00B0203E">
              <w:rPr>
                <w:color w:val="FFFFFF" w:themeColor="background1"/>
                <w:lang w:eastAsia="en-CA"/>
              </w:rPr>
              <w:t>Ongoing</w:t>
            </w:r>
          </w:p>
        </w:tc>
      </w:tr>
      <w:tr w:rsidR="00D64481" w:rsidRPr="00FC60BB" w14:paraId="509DAD26" w14:textId="77777777" w:rsidTr="00D64481">
        <w:trPr>
          <w:cantSplit/>
          <w:tblHeader/>
          <w:jc w:val="center"/>
        </w:trPr>
        <w:tc>
          <w:tcPr>
            <w:tcW w:w="1026" w:type="pct"/>
            <w:shd w:val="clear" w:color="auto" w:fill="54575A" w:themeFill="text1"/>
          </w:tcPr>
          <w:p w14:paraId="700DD146" w14:textId="77777777" w:rsidR="00F1222D" w:rsidRPr="00FC60BB" w:rsidRDefault="00F1222D" w:rsidP="00D64481">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val="en-CA" w:eastAsia="en-CA"/>
              </w:rPr>
            </w:pPr>
            <w:r w:rsidRPr="00FC60BB">
              <w:rPr>
                <w:rFonts w:asciiTheme="minorHAnsi" w:eastAsiaTheme="majorEastAsia" w:hAnsiTheme="minorHAnsi" w:cstheme="minorHAnsi"/>
                <w:color w:val="FFFFFF" w:themeColor="background1"/>
                <w:sz w:val="22"/>
                <w:szCs w:val="22"/>
                <w:lang w:val="en-CA" w:eastAsia="en-CA"/>
              </w:rPr>
              <w:t>s.66 External Appointments (Merit, Error, Omission, Improper Conduct)</w:t>
            </w:r>
          </w:p>
        </w:tc>
        <w:tc>
          <w:tcPr>
            <w:tcW w:w="575" w:type="pct"/>
          </w:tcPr>
          <w:p w14:paraId="5D2258B9"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4</w:t>
            </w:r>
          </w:p>
        </w:tc>
        <w:tc>
          <w:tcPr>
            <w:tcW w:w="821" w:type="pct"/>
          </w:tcPr>
          <w:p w14:paraId="09B29970"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26" w:type="pct"/>
          </w:tcPr>
          <w:p w14:paraId="23B50434"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1</w:t>
            </w:r>
          </w:p>
        </w:tc>
        <w:tc>
          <w:tcPr>
            <w:tcW w:w="712" w:type="pct"/>
          </w:tcPr>
          <w:p w14:paraId="726F004D"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93" w:type="pct"/>
          </w:tcPr>
          <w:p w14:paraId="276B79C4"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3</w:t>
            </w:r>
          </w:p>
        </w:tc>
        <w:tc>
          <w:tcPr>
            <w:tcW w:w="547" w:type="pct"/>
          </w:tcPr>
          <w:p w14:paraId="612B2E57"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r>
      <w:tr w:rsidR="00D64481" w:rsidRPr="00FC60BB" w14:paraId="4F536151" w14:textId="77777777" w:rsidTr="00D64481">
        <w:trPr>
          <w:cantSplit/>
          <w:tblHeader/>
          <w:jc w:val="center"/>
        </w:trPr>
        <w:tc>
          <w:tcPr>
            <w:tcW w:w="1026" w:type="pct"/>
            <w:shd w:val="clear" w:color="auto" w:fill="54575A" w:themeFill="text1"/>
          </w:tcPr>
          <w:p w14:paraId="4C087A13" w14:textId="77777777" w:rsidR="00F1222D" w:rsidRPr="00FC60BB" w:rsidRDefault="00F1222D" w:rsidP="00D64481">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val="en-CA" w:eastAsia="en-CA"/>
              </w:rPr>
            </w:pPr>
            <w:r w:rsidRPr="00FC60BB">
              <w:rPr>
                <w:rFonts w:asciiTheme="minorHAnsi" w:eastAsiaTheme="majorEastAsia" w:hAnsiTheme="minorHAnsi" w:cstheme="minorHAnsi"/>
                <w:color w:val="FFFFFF" w:themeColor="background1"/>
                <w:sz w:val="22"/>
                <w:szCs w:val="22"/>
                <w:lang w:val="en-CA" w:eastAsia="en-CA"/>
              </w:rPr>
              <w:t>s.67.2 Internal Appointment – Deputy Head Request</w:t>
            </w:r>
          </w:p>
        </w:tc>
        <w:tc>
          <w:tcPr>
            <w:tcW w:w="575" w:type="pct"/>
          </w:tcPr>
          <w:p w14:paraId="7C3FFA9F"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821" w:type="pct"/>
          </w:tcPr>
          <w:p w14:paraId="3D7EB028"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26" w:type="pct"/>
          </w:tcPr>
          <w:p w14:paraId="4038B4E4"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712" w:type="pct"/>
          </w:tcPr>
          <w:p w14:paraId="5A8057CF"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93" w:type="pct"/>
          </w:tcPr>
          <w:p w14:paraId="08B576E5"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547" w:type="pct"/>
          </w:tcPr>
          <w:p w14:paraId="349EE8BD"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r>
      <w:tr w:rsidR="00D64481" w:rsidRPr="00FC60BB" w14:paraId="5F6D3CAE" w14:textId="77777777" w:rsidTr="00D64481">
        <w:trPr>
          <w:cantSplit/>
          <w:tblHeader/>
          <w:jc w:val="center"/>
        </w:trPr>
        <w:tc>
          <w:tcPr>
            <w:tcW w:w="1026" w:type="pct"/>
            <w:shd w:val="clear" w:color="auto" w:fill="54575A" w:themeFill="text1"/>
          </w:tcPr>
          <w:p w14:paraId="4CC94547" w14:textId="77777777" w:rsidR="00F1222D" w:rsidRPr="00FC60BB" w:rsidRDefault="00F1222D" w:rsidP="00D64481">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val="en-CA" w:eastAsia="en-CA"/>
              </w:rPr>
            </w:pPr>
            <w:r w:rsidRPr="00FC60BB">
              <w:rPr>
                <w:rFonts w:asciiTheme="minorHAnsi" w:eastAsiaTheme="majorEastAsia" w:hAnsiTheme="minorHAnsi" w:cstheme="minorHAnsi"/>
                <w:color w:val="FFFFFF" w:themeColor="background1"/>
                <w:sz w:val="22"/>
                <w:szCs w:val="22"/>
                <w:lang w:val="en-CA" w:eastAsia="en-CA"/>
              </w:rPr>
              <w:t>s.68 Political Influence</w:t>
            </w:r>
          </w:p>
        </w:tc>
        <w:tc>
          <w:tcPr>
            <w:tcW w:w="575" w:type="pct"/>
          </w:tcPr>
          <w:p w14:paraId="6073A15D"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821" w:type="pct"/>
          </w:tcPr>
          <w:p w14:paraId="4F024E31"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26" w:type="pct"/>
          </w:tcPr>
          <w:p w14:paraId="267E8CBD"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712" w:type="pct"/>
          </w:tcPr>
          <w:p w14:paraId="5FE9E774"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93" w:type="pct"/>
          </w:tcPr>
          <w:p w14:paraId="2B614135"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547" w:type="pct"/>
          </w:tcPr>
          <w:p w14:paraId="4D0F4F97"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r>
      <w:tr w:rsidR="00D64481" w:rsidRPr="00FC60BB" w14:paraId="521E7BEA" w14:textId="77777777" w:rsidTr="00D64481">
        <w:trPr>
          <w:cantSplit/>
          <w:tblHeader/>
          <w:jc w:val="center"/>
        </w:trPr>
        <w:tc>
          <w:tcPr>
            <w:tcW w:w="1026" w:type="pct"/>
            <w:shd w:val="clear" w:color="auto" w:fill="54575A" w:themeFill="text1"/>
          </w:tcPr>
          <w:p w14:paraId="7CBDBD78" w14:textId="77777777" w:rsidR="00F1222D" w:rsidRPr="00FC60BB" w:rsidRDefault="00F1222D" w:rsidP="00D64481">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val="en-CA" w:eastAsia="en-CA"/>
              </w:rPr>
            </w:pPr>
            <w:r w:rsidRPr="00FC60BB">
              <w:rPr>
                <w:rFonts w:asciiTheme="minorHAnsi" w:eastAsiaTheme="majorEastAsia" w:hAnsiTheme="minorHAnsi" w:cstheme="minorHAnsi"/>
                <w:color w:val="FFFFFF" w:themeColor="background1"/>
                <w:sz w:val="22"/>
                <w:szCs w:val="22"/>
                <w:lang w:val="en-CA" w:eastAsia="en-CA"/>
              </w:rPr>
              <w:t>s.69 Fraud</w:t>
            </w:r>
          </w:p>
        </w:tc>
        <w:tc>
          <w:tcPr>
            <w:tcW w:w="575" w:type="pct"/>
          </w:tcPr>
          <w:p w14:paraId="161A91C4"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821" w:type="pct"/>
          </w:tcPr>
          <w:p w14:paraId="1456D8B5"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26" w:type="pct"/>
          </w:tcPr>
          <w:p w14:paraId="62C45CB0"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712" w:type="pct"/>
          </w:tcPr>
          <w:p w14:paraId="2224A9FA"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93" w:type="pct"/>
          </w:tcPr>
          <w:p w14:paraId="73998DB8"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547" w:type="pct"/>
          </w:tcPr>
          <w:p w14:paraId="64DECAFF"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r>
      <w:tr w:rsidR="00D64481" w:rsidRPr="00FC60BB" w14:paraId="22E9B0FE" w14:textId="77777777" w:rsidTr="00D64481">
        <w:trPr>
          <w:cantSplit/>
          <w:tblHeader/>
          <w:jc w:val="center"/>
        </w:trPr>
        <w:tc>
          <w:tcPr>
            <w:tcW w:w="1026" w:type="pct"/>
            <w:shd w:val="clear" w:color="auto" w:fill="54575A" w:themeFill="text1"/>
          </w:tcPr>
          <w:p w14:paraId="7684B3B2" w14:textId="77777777" w:rsidR="00F1222D" w:rsidRPr="00FC60BB" w:rsidRDefault="00F1222D" w:rsidP="00D64481">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val="en-CA" w:eastAsia="en-CA"/>
              </w:rPr>
            </w:pPr>
            <w:r w:rsidRPr="00FC60BB">
              <w:rPr>
                <w:rFonts w:asciiTheme="minorHAnsi" w:eastAsiaTheme="majorEastAsia" w:hAnsiTheme="minorHAnsi" w:cstheme="minorHAnsi"/>
                <w:color w:val="FFFFFF" w:themeColor="background1"/>
                <w:sz w:val="22"/>
                <w:szCs w:val="22"/>
                <w:lang w:val="en-CA" w:eastAsia="en-CA"/>
              </w:rPr>
              <w:t>s.118 Improper Political Activities – Employees</w:t>
            </w:r>
          </w:p>
        </w:tc>
        <w:tc>
          <w:tcPr>
            <w:tcW w:w="575" w:type="pct"/>
          </w:tcPr>
          <w:p w14:paraId="5BEE9EE3"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821" w:type="pct"/>
          </w:tcPr>
          <w:p w14:paraId="6C52419B"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26" w:type="pct"/>
          </w:tcPr>
          <w:p w14:paraId="2AABBAAA"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712" w:type="pct"/>
          </w:tcPr>
          <w:p w14:paraId="1924E034"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93" w:type="pct"/>
          </w:tcPr>
          <w:p w14:paraId="36B9F991"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547" w:type="pct"/>
          </w:tcPr>
          <w:p w14:paraId="17A7FEE1"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r>
      <w:tr w:rsidR="00D64481" w:rsidRPr="00FC60BB" w14:paraId="0BA4DE54" w14:textId="77777777" w:rsidTr="00D64481">
        <w:trPr>
          <w:cantSplit/>
          <w:tblHeader/>
          <w:jc w:val="center"/>
        </w:trPr>
        <w:tc>
          <w:tcPr>
            <w:tcW w:w="1026" w:type="pct"/>
            <w:shd w:val="clear" w:color="auto" w:fill="54575A" w:themeFill="text1"/>
          </w:tcPr>
          <w:p w14:paraId="7A37BD09" w14:textId="77777777" w:rsidR="00F1222D" w:rsidRPr="00FC60BB" w:rsidRDefault="00F1222D" w:rsidP="00D64481">
            <w:pPr>
              <w:pStyle w:val="Level1"/>
              <w:tabs>
                <w:tab w:val="left" w:pos="-1440"/>
              </w:tabs>
              <w:autoSpaceDE w:val="0"/>
              <w:autoSpaceDN w:val="0"/>
              <w:adjustRightInd w:val="0"/>
              <w:spacing w:after="120" w:line="20" w:lineRule="atLeast"/>
              <w:rPr>
                <w:rFonts w:asciiTheme="minorHAnsi" w:eastAsiaTheme="majorEastAsia" w:hAnsiTheme="minorHAnsi" w:cstheme="minorHAnsi"/>
                <w:color w:val="FFFFFF" w:themeColor="background1"/>
                <w:sz w:val="22"/>
                <w:szCs w:val="22"/>
                <w:lang w:val="en-CA" w:eastAsia="en-CA"/>
              </w:rPr>
            </w:pPr>
            <w:r w:rsidRPr="00FC60BB">
              <w:rPr>
                <w:rFonts w:asciiTheme="minorHAnsi" w:eastAsiaTheme="majorEastAsia" w:hAnsiTheme="minorHAnsi" w:cstheme="minorHAnsi"/>
                <w:color w:val="FFFFFF" w:themeColor="background1"/>
                <w:sz w:val="22"/>
                <w:szCs w:val="22"/>
                <w:lang w:val="en-CA" w:eastAsia="en-CA"/>
              </w:rPr>
              <w:t>Total</w:t>
            </w:r>
          </w:p>
        </w:tc>
        <w:tc>
          <w:tcPr>
            <w:tcW w:w="575" w:type="pct"/>
          </w:tcPr>
          <w:p w14:paraId="475C0E63"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4</w:t>
            </w:r>
          </w:p>
        </w:tc>
        <w:tc>
          <w:tcPr>
            <w:tcW w:w="821" w:type="pct"/>
          </w:tcPr>
          <w:p w14:paraId="31A0B938"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26" w:type="pct"/>
          </w:tcPr>
          <w:p w14:paraId="7DEE573B"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1</w:t>
            </w:r>
          </w:p>
        </w:tc>
        <w:tc>
          <w:tcPr>
            <w:tcW w:w="712" w:type="pct"/>
          </w:tcPr>
          <w:p w14:paraId="3B9573FC"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c>
          <w:tcPr>
            <w:tcW w:w="693" w:type="pct"/>
          </w:tcPr>
          <w:p w14:paraId="6F8F66A2"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3</w:t>
            </w:r>
          </w:p>
        </w:tc>
        <w:tc>
          <w:tcPr>
            <w:tcW w:w="547" w:type="pct"/>
          </w:tcPr>
          <w:p w14:paraId="6B6137C1"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eastAsiaTheme="majorEastAsia" w:hAnsiTheme="minorHAnsi" w:cstheme="minorHAnsi"/>
                <w:sz w:val="22"/>
                <w:szCs w:val="22"/>
                <w:lang w:val="en-CA" w:eastAsia="en-CA"/>
              </w:rPr>
            </w:pPr>
            <w:r w:rsidRPr="00FC60BB">
              <w:rPr>
                <w:rFonts w:asciiTheme="minorHAnsi" w:eastAsiaTheme="majorEastAsia" w:hAnsiTheme="minorHAnsi" w:cstheme="minorHAnsi"/>
                <w:sz w:val="22"/>
                <w:szCs w:val="22"/>
                <w:lang w:val="en-CA" w:eastAsia="en-CA"/>
              </w:rPr>
              <w:t>0</w:t>
            </w:r>
          </w:p>
        </w:tc>
      </w:tr>
    </w:tbl>
    <w:p w14:paraId="4EF1EFB1" w14:textId="77777777" w:rsidR="00F1222D" w:rsidRPr="00FC60BB" w:rsidRDefault="00F1222D" w:rsidP="00D64481">
      <w:pPr>
        <w:pStyle w:val="Level1"/>
        <w:tabs>
          <w:tab w:val="left" w:pos="-1440"/>
        </w:tabs>
        <w:autoSpaceDE w:val="0"/>
        <w:autoSpaceDN w:val="0"/>
        <w:adjustRightInd w:val="0"/>
        <w:spacing w:after="120" w:line="20" w:lineRule="atLeast"/>
        <w:rPr>
          <w:rFonts w:asciiTheme="minorHAnsi" w:hAnsiTheme="minorHAnsi" w:cstheme="minorHAnsi"/>
          <w:color w:val="000000"/>
          <w:sz w:val="22"/>
          <w:szCs w:val="22"/>
          <w:lang w:val="en-CA" w:eastAsia="fr-CA"/>
        </w:rPr>
      </w:pPr>
      <w:r w:rsidRPr="00FC60BB">
        <w:rPr>
          <w:rFonts w:asciiTheme="minorHAnsi" w:hAnsiTheme="minorHAnsi" w:cstheme="minorHAnsi"/>
          <w:color w:val="000000"/>
          <w:sz w:val="22"/>
          <w:szCs w:val="22"/>
          <w:lang w:val="en-CA" w:eastAsia="fr-CA"/>
        </w:rPr>
        <w:t>Note: The numbers may not add up as discontinued cases, cases resolved via early intervention and rare cases (s.119, s.67.1) are not included in this table</w:t>
      </w:r>
    </w:p>
    <w:p w14:paraId="32853577" w14:textId="77777777" w:rsidR="00F1222D" w:rsidRPr="00FC60BB" w:rsidRDefault="00F1222D" w:rsidP="00F1222D">
      <w:pPr>
        <w:pStyle w:val="Level1"/>
        <w:tabs>
          <w:tab w:val="left" w:pos="-1440"/>
        </w:tabs>
        <w:autoSpaceDE w:val="0"/>
        <w:autoSpaceDN w:val="0"/>
        <w:adjustRightInd w:val="0"/>
        <w:spacing w:after="120" w:line="20" w:lineRule="atLeast"/>
        <w:rPr>
          <w:rFonts w:asciiTheme="minorHAnsi" w:hAnsiTheme="minorHAnsi" w:cstheme="minorHAnsi"/>
          <w:color w:val="000000"/>
          <w:sz w:val="22"/>
          <w:szCs w:val="22"/>
          <w:lang w:val="en-CA" w:eastAsia="fr-CA"/>
        </w:rPr>
      </w:pPr>
      <w:r w:rsidRPr="00FC60BB">
        <w:rPr>
          <w:rFonts w:asciiTheme="minorHAnsi" w:hAnsiTheme="minorHAnsi" w:cstheme="minorHAnsi"/>
          <w:color w:val="000000"/>
          <w:sz w:val="22"/>
          <w:szCs w:val="22"/>
          <w:lang w:val="en-CA" w:eastAsia="fr-CA"/>
        </w:rPr>
        <w:t xml:space="preserve">Note: Each column is an independent calculation of the others. Cases received are cases received in the time period, cases completed are those completed in the period, not necessarily cases completed </w:t>
      </w:r>
      <w:r w:rsidRPr="00FC60BB">
        <w:rPr>
          <w:rFonts w:asciiTheme="minorHAnsi" w:hAnsiTheme="minorHAnsi" w:cstheme="minorHAnsi"/>
          <w:color w:val="000000"/>
          <w:sz w:val="22"/>
          <w:szCs w:val="22"/>
          <w:lang w:val="en-CA" w:eastAsia="fr-CA"/>
        </w:rPr>
        <w:lastRenderedPageBreak/>
        <w:t>out of those received.</w:t>
      </w:r>
    </w:p>
    <w:p w14:paraId="3B60D9BE" w14:textId="77777777" w:rsidR="007B1B27" w:rsidRPr="00D5465A" w:rsidRDefault="007B1B27" w:rsidP="00D5465A">
      <w:pPr>
        <w:pStyle w:val="Heading2"/>
        <w:spacing w:after="120"/>
      </w:pPr>
      <w:r w:rsidRPr="00FC60BB">
        <w:rPr>
          <w:lang w:val="en-CA"/>
        </w:rPr>
        <w:t>New Community of Practice for Investigators</w:t>
      </w:r>
    </w:p>
    <w:p w14:paraId="0D8E1AC1" w14:textId="77777777" w:rsidR="007B1B27" w:rsidRPr="00FC60BB" w:rsidRDefault="007B1B27" w:rsidP="007A1D63">
      <w:pPr>
        <w:autoSpaceDE w:val="0"/>
        <w:autoSpaceDN w:val="0"/>
        <w:adjustRightInd w:val="0"/>
        <w:spacing w:after="120"/>
        <w:ind w:right="50"/>
        <w:rPr>
          <w:rFonts w:asciiTheme="minorHAnsi" w:hAnsiTheme="minorHAnsi" w:cstheme="minorHAnsi"/>
          <w:sz w:val="22"/>
          <w:szCs w:val="22"/>
          <w:lang w:val="en-CA"/>
        </w:rPr>
      </w:pPr>
      <w:r w:rsidRPr="00FC60BB">
        <w:rPr>
          <w:rFonts w:asciiTheme="minorHAnsi" w:hAnsiTheme="minorHAnsi" w:cstheme="minorHAnsi"/>
          <w:sz w:val="22"/>
          <w:szCs w:val="22"/>
          <w:lang w:val="en-CA" w:eastAsia="en-CA"/>
        </w:rPr>
        <w:t xml:space="preserve">The ATSSC </w:t>
      </w:r>
      <w:r w:rsidRPr="00FC60BB">
        <w:rPr>
          <w:rFonts w:asciiTheme="minorHAnsi" w:hAnsiTheme="minorHAnsi" w:cstheme="minorHAnsi"/>
          <w:sz w:val="22"/>
          <w:szCs w:val="22"/>
          <w:lang w:val="en-CA"/>
        </w:rPr>
        <w:t xml:space="preserve">is not part of the new Community of Practice for Investigators. </w:t>
      </w:r>
    </w:p>
    <w:p w14:paraId="1FA51197" w14:textId="77777777" w:rsidR="007B1B27" w:rsidRPr="00FC60BB" w:rsidRDefault="007B1B27" w:rsidP="00055B43">
      <w:pPr>
        <w:pStyle w:val="Heading2"/>
        <w:spacing w:after="120"/>
        <w:rPr>
          <w:u w:val="single"/>
          <w:lang w:val="en-CA"/>
        </w:rPr>
      </w:pPr>
      <w:r w:rsidRPr="00FC60BB">
        <w:rPr>
          <w:lang w:val="en-CA"/>
        </w:rPr>
        <w:t>Staffing and Non-Partisanship Survey Results</w:t>
      </w:r>
    </w:p>
    <w:p w14:paraId="1AA09F88" w14:textId="77777777" w:rsidR="007B1B27" w:rsidRPr="00FC60BB" w:rsidRDefault="007B1B27" w:rsidP="007A1D63">
      <w:pPr>
        <w:spacing w:after="120"/>
        <w:rPr>
          <w:rFonts w:asciiTheme="minorHAnsi" w:hAnsiTheme="minorHAnsi" w:cstheme="minorHAnsi"/>
          <w:sz w:val="22"/>
          <w:szCs w:val="22"/>
          <w:lang w:val="en-CA" w:eastAsia="en-CA"/>
        </w:rPr>
      </w:pPr>
      <w:r w:rsidRPr="00FC60BB">
        <w:rPr>
          <w:rFonts w:asciiTheme="minorHAnsi" w:eastAsiaTheme="minorHAnsi" w:hAnsiTheme="minorHAnsi" w:cstheme="minorHAnsi"/>
          <w:sz w:val="22"/>
          <w:szCs w:val="22"/>
          <w:lang w:val="en-CA"/>
        </w:rPr>
        <w:t xml:space="preserve">The ATSSC’s final response rate for the </w:t>
      </w:r>
      <w:r w:rsidRPr="00FC60BB">
        <w:rPr>
          <w:rFonts w:asciiTheme="minorHAnsi" w:hAnsiTheme="minorHAnsi" w:cstheme="minorHAnsi"/>
          <w:sz w:val="22"/>
          <w:szCs w:val="22"/>
          <w:lang w:val="en-CA" w:eastAsia="en-CA"/>
        </w:rPr>
        <w:t>Staffing and Non-Partisanship Survey</w:t>
      </w:r>
      <w:r w:rsidRPr="00FC60BB">
        <w:rPr>
          <w:rFonts w:asciiTheme="minorHAnsi" w:eastAsiaTheme="minorHAnsi" w:hAnsiTheme="minorHAnsi" w:cstheme="minorHAnsi"/>
          <w:sz w:val="22"/>
          <w:szCs w:val="22"/>
          <w:lang w:val="en-CA"/>
        </w:rPr>
        <w:t xml:space="preserve"> (SNPS) was 51.7%.</w:t>
      </w:r>
    </w:p>
    <w:p w14:paraId="1F14D76F" w14:textId="77777777" w:rsidR="007B1B27" w:rsidRPr="00FC60BB" w:rsidRDefault="007B1B27" w:rsidP="007B1B27">
      <w:pPr>
        <w:contextualSpacing/>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Below are key findings from the ATSSC’s 2018 SNPS results:</w:t>
      </w:r>
    </w:p>
    <w:p w14:paraId="7D998B8C" w14:textId="77777777" w:rsidR="007B1B27" w:rsidRPr="00FC60BB" w:rsidRDefault="007B1B27" w:rsidP="007A1D63">
      <w:pPr>
        <w:numPr>
          <w:ilvl w:val="0"/>
          <w:numId w:val="6"/>
        </w:numPr>
        <w:spacing w:line="259" w:lineRule="auto"/>
        <w:rPr>
          <w:rFonts w:asciiTheme="minorHAnsi" w:eastAsiaTheme="minorHAnsi" w:hAnsiTheme="minorHAnsi" w:cstheme="minorHAnsi"/>
          <w:sz w:val="22"/>
          <w:szCs w:val="22"/>
          <w:lang w:val="en-CA" w:eastAsia="en-CA"/>
        </w:rPr>
      </w:pPr>
      <w:r w:rsidRPr="00FC60BB">
        <w:rPr>
          <w:rFonts w:asciiTheme="minorHAnsi" w:eastAsiaTheme="minorHAnsi" w:hAnsiTheme="minorHAnsi" w:cstheme="minorHAnsi"/>
          <w:sz w:val="22"/>
          <w:szCs w:val="22"/>
          <w:lang w:val="en-CA" w:eastAsia="en-CA"/>
        </w:rPr>
        <w:t xml:space="preserve">80.8% of </w:t>
      </w:r>
      <w:r w:rsidRPr="00FC60BB">
        <w:rPr>
          <w:rStyle w:val="Strong"/>
          <w:rFonts w:eastAsiaTheme="minorHAnsi" w:cstheme="minorHAnsi"/>
          <w:lang w:val="en-CA"/>
        </w:rPr>
        <w:t>managers</w:t>
      </w:r>
      <w:r w:rsidRPr="00FC60BB">
        <w:rPr>
          <w:rFonts w:asciiTheme="minorHAnsi" w:eastAsiaTheme="minorHAnsi" w:hAnsiTheme="minorHAnsi" w:cstheme="minorHAnsi"/>
          <w:b/>
          <w:sz w:val="22"/>
          <w:szCs w:val="22"/>
          <w:lang w:val="en-CA" w:eastAsia="en-CA"/>
        </w:rPr>
        <w:t xml:space="preserve"> </w:t>
      </w:r>
      <w:r w:rsidRPr="00FC60BB">
        <w:rPr>
          <w:rFonts w:asciiTheme="minorHAnsi" w:eastAsiaTheme="minorHAnsi" w:hAnsiTheme="minorHAnsi" w:cstheme="minorHAnsi"/>
          <w:sz w:val="22"/>
          <w:szCs w:val="22"/>
          <w:lang w:val="en-CA" w:eastAsia="en-CA"/>
        </w:rPr>
        <w:t>agreed that, overall, they were satisfied with the staffing services they received within their organizations, compared to 67.6% in similar size organizations and 59.4% across all organizations in the federal public service.</w:t>
      </w:r>
    </w:p>
    <w:p w14:paraId="068B6BFB" w14:textId="77777777" w:rsidR="007B1B27" w:rsidRPr="00FC60BB" w:rsidRDefault="007B1B27" w:rsidP="007A1D63">
      <w:pPr>
        <w:numPr>
          <w:ilvl w:val="0"/>
          <w:numId w:val="6"/>
        </w:numPr>
        <w:spacing w:line="259" w:lineRule="auto"/>
        <w:rPr>
          <w:rFonts w:asciiTheme="minorHAnsi" w:eastAsiaTheme="minorHAnsi" w:hAnsiTheme="minorHAnsi" w:cstheme="minorHAnsi"/>
          <w:sz w:val="22"/>
          <w:szCs w:val="22"/>
          <w:lang w:val="en-CA" w:eastAsia="en-CA"/>
        </w:rPr>
      </w:pPr>
      <w:r w:rsidRPr="00FC60BB">
        <w:rPr>
          <w:rFonts w:asciiTheme="minorHAnsi" w:eastAsiaTheme="minorHAnsi" w:hAnsiTheme="minorHAnsi" w:cstheme="minorHAnsi"/>
          <w:sz w:val="22"/>
          <w:szCs w:val="22"/>
          <w:lang w:val="en-CA" w:eastAsia="en-CA"/>
        </w:rPr>
        <w:t xml:space="preserve">83.4% of </w:t>
      </w:r>
      <w:r w:rsidRPr="00FC60BB">
        <w:rPr>
          <w:rStyle w:val="Strong"/>
          <w:rFonts w:eastAsiaTheme="minorHAnsi"/>
          <w:lang w:val="en-CA"/>
        </w:rPr>
        <w:t>managers</w:t>
      </w:r>
      <w:r w:rsidRPr="00FC60BB">
        <w:rPr>
          <w:rFonts w:asciiTheme="minorHAnsi" w:eastAsiaTheme="minorHAnsi" w:hAnsiTheme="minorHAnsi" w:cstheme="minorHAnsi"/>
          <w:sz w:val="22"/>
          <w:szCs w:val="22"/>
          <w:lang w:val="en-CA" w:eastAsia="en-CA"/>
        </w:rPr>
        <w:t xml:space="preserve"> indicated that they understand the NDS, compared to 73.4% in similar size organizations and 61.4% across all organizations in the federal public service.</w:t>
      </w:r>
    </w:p>
    <w:p w14:paraId="2DBA21E0" w14:textId="77777777" w:rsidR="007B1B27" w:rsidRPr="00FC60BB" w:rsidRDefault="007B1B27" w:rsidP="007A1D63">
      <w:pPr>
        <w:numPr>
          <w:ilvl w:val="0"/>
          <w:numId w:val="6"/>
        </w:numPr>
        <w:spacing w:line="259" w:lineRule="auto"/>
        <w:rPr>
          <w:rFonts w:asciiTheme="minorHAnsi" w:eastAsiaTheme="minorHAnsi" w:hAnsiTheme="minorHAnsi" w:cstheme="minorHAnsi"/>
          <w:sz w:val="22"/>
          <w:szCs w:val="22"/>
          <w:lang w:val="en-CA" w:eastAsia="en-CA"/>
        </w:rPr>
      </w:pPr>
      <w:r w:rsidRPr="00FC60BB">
        <w:rPr>
          <w:rFonts w:asciiTheme="minorHAnsi" w:eastAsiaTheme="minorHAnsi" w:hAnsiTheme="minorHAnsi" w:cstheme="minorHAnsi"/>
          <w:sz w:val="22"/>
          <w:szCs w:val="22"/>
          <w:lang w:val="en-CA" w:eastAsia="en-CA"/>
        </w:rPr>
        <w:t xml:space="preserve">59.5% of </w:t>
      </w:r>
      <w:r w:rsidRPr="00FC60BB">
        <w:rPr>
          <w:rStyle w:val="Strong"/>
          <w:rFonts w:eastAsiaTheme="minorHAnsi"/>
          <w:lang w:val="en-CA"/>
        </w:rPr>
        <w:t>managers</w:t>
      </w:r>
      <w:r w:rsidRPr="00FC60BB">
        <w:rPr>
          <w:rFonts w:asciiTheme="minorHAnsi" w:eastAsiaTheme="minorHAnsi" w:hAnsiTheme="minorHAnsi" w:cstheme="minorHAnsi"/>
          <w:b/>
          <w:sz w:val="22"/>
          <w:szCs w:val="22"/>
          <w:lang w:val="en-CA" w:eastAsia="en-CA"/>
        </w:rPr>
        <w:t xml:space="preserve"> </w:t>
      </w:r>
      <w:r w:rsidRPr="00FC60BB">
        <w:rPr>
          <w:rFonts w:asciiTheme="minorHAnsi" w:eastAsiaTheme="minorHAnsi" w:hAnsiTheme="minorHAnsi" w:cstheme="minorHAnsi"/>
          <w:sz w:val="22"/>
          <w:szCs w:val="22"/>
          <w:lang w:val="en-CA" w:eastAsia="en-CA"/>
        </w:rPr>
        <w:t>indicated that the NDS has improved the way they hire and appoint persons to and within their organization, compared 68.4% in similar size organizations and 56.1% across all organizations in the federal public service.</w:t>
      </w:r>
    </w:p>
    <w:p w14:paraId="58B24FDC" w14:textId="77777777" w:rsidR="007B1B27" w:rsidRPr="00FC60BB" w:rsidRDefault="007B1B27" w:rsidP="007A1D63">
      <w:pPr>
        <w:numPr>
          <w:ilvl w:val="0"/>
          <w:numId w:val="6"/>
        </w:numPr>
        <w:spacing w:line="259" w:lineRule="auto"/>
        <w:rPr>
          <w:rFonts w:asciiTheme="minorHAnsi" w:eastAsiaTheme="minorHAnsi" w:hAnsiTheme="minorHAnsi" w:cstheme="minorHAnsi"/>
          <w:sz w:val="22"/>
          <w:szCs w:val="22"/>
          <w:lang w:val="en-CA" w:eastAsia="en-CA"/>
        </w:rPr>
      </w:pPr>
      <w:r w:rsidRPr="00FC60BB">
        <w:rPr>
          <w:rFonts w:asciiTheme="minorHAnsi" w:eastAsiaTheme="minorHAnsi" w:hAnsiTheme="minorHAnsi" w:cstheme="minorHAnsi"/>
          <w:sz w:val="22"/>
          <w:szCs w:val="22"/>
          <w:lang w:val="en-CA" w:eastAsia="en-CA"/>
        </w:rPr>
        <w:t xml:space="preserve">83.6% of </w:t>
      </w:r>
      <w:r w:rsidRPr="00FC60BB">
        <w:rPr>
          <w:rStyle w:val="Strong"/>
          <w:rFonts w:eastAsiaTheme="minorHAnsi"/>
          <w:lang w:val="en-CA"/>
        </w:rPr>
        <w:t xml:space="preserve">managers </w:t>
      </w:r>
      <w:r w:rsidRPr="00FC60BB">
        <w:rPr>
          <w:rFonts w:asciiTheme="minorHAnsi" w:eastAsiaTheme="minorHAnsi" w:hAnsiTheme="minorHAnsi" w:cstheme="minorHAnsi"/>
          <w:sz w:val="22"/>
          <w:szCs w:val="22"/>
          <w:lang w:val="en-CA" w:eastAsia="en-CA"/>
        </w:rPr>
        <w:t>indicated that they understand their organizations' policies with respect to staffing, compared 82.2% in similar size organizations and 73.1% across all organizations in the federal public service.</w:t>
      </w:r>
    </w:p>
    <w:p w14:paraId="4BAEA1AF" w14:textId="77777777" w:rsidR="007B1B27" w:rsidRPr="00FC60BB" w:rsidRDefault="007B1B27" w:rsidP="00D64481">
      <w:pPr>
        <w:numPr>
          <w:ilvl w:val="0"/>
          <w:numId w:val="6"/>
        </w:numPr>
        <w:spacing w:after="120" w:line="259" w:lineRule="auto"/>
        <w:rPr>
          <w:rFonts w:asciiTheme="minorHAnsi" w:eastAsiaTheme="minorHAnsi" w:hAnsiTheme="minorHAnsi" w:cstheme="minorHAnsi"/>
          <w:sz w:val="22"/>
          <w:szCs w:val="22"/>
          <w:lang w:val="en-CA" w:eastAsia="en-CA"/>
        </w:rPr>
      </w:pPr>
      <w:r w:rsidRPr="00FC60BB">
        <w:rPr>
          <w:rFonts w:asciiTheme="minorHAnsi" w:eastAsiaTheme="minorHAnsi" w:hAnsiTheme="minorHAnsi" w:cstheme="minorHAnsi"/>
          <w:sz w:val="22"/>
          <w:szCs w:val="22"/>
          <w:lang w:val="en-CA" w:eastAsia="en-CA"/>
        </w:rPr>
        <w:t xml:space="preserve">62.4% of </w:t>
      </w:r>
      <w:r w:rsidRPr="00FC60BB">
        <w:rPr>
          <w:rStyle w:val="Strong"/>
          <w:rFonts w:eastAsiaTheme="minorHAnsi"/>
          <w:lang w:val="en-CA"/>
        </w:rPr>
        <w:t>employees</w:t>
      </w:r>
      <w:r w:rsidRPr="00FC60BB">
        <w:rPr>
          <w:rFonts w:asciiTheme="minorHAnsi" w:eastAsiaTheme="minorHAnsi" w:hAnsiTheme="minorHAnsi" w:cstheme="minorHAnsi"/>
          <w:sz w:val="22"/>
          <w:szCs w:val="22"/>
          <w:lang w:val="en-CA" w:eastAsia="en-CA"/>
        </w:rPr>
        <w:t xml:space="preserve"> agreed that the process used for selecting persons for positions in their work units is done fairly, compared to 59.1% in similar size organizations and 46.4% across all organizations in the federal public service.</w:t>
      </w:r>
    </w:p>
    <w:p w14:paraId="057D8C99" w14:textId="77777777" w:rsidR="007B1B27" w:rsidRPr="0014782E" w:rsidRDefault="007B1B27" w:rsidP="00422176">
      <w:pPr>
        <w:pStyle w:val="Heading1"/>
        <w:rPr>
          <w:sz w:val="48"/>
          <w:lang w:val="en-CA"/>
        </w:rPr>
      </w:pPr>
      <w:r w:rsidRPr="0014782E">
        <w:rPr>
          <w:rStyle w:val="Heading1Char"/>
          <w:sz w:val="48"/>
          <w:lang w:val="en-CA"/>
        </w:rPr>
        <w:t>Diversity Profile </w:t>
      </w:r>
    </w:p>
    <w:p w14:paraId="3C876AC7" w14:textId="77777777" w:rsidR="007B1B27" w:rsidRPr="00FC60BB" w:rsidRDefault="007B1B27" w:rsidP="00C46800">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The ATSSC is currently above workforce availability in the representation of women, persons with disabilities and members of visible minorities. Aboriginal peoples are at 3.1%, below the public service workforce at 3.4%.</w:t>
      </w:r>
    </w:p>
    <w:p w14:paraId="321819AE" w14:textId="77777777" w:rsidR="007B1B27" w:rsidRPr="00FC60BB" w:rsidRDefault="007B1B27" w:rsidP="00C46800">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The workforce availability estimates in the public service for 2019 have been updated in the Workforce Profile although they have not been officially released yet.</w:t>
      </w:r>
    </w:p>
    <w:p w14:paraId="619DE354" w14:textId="77777777" w:rsidR="00D64481" w:rsidRPr="00FC60BB" w:rsidRDefault="007B1B27" w:rsidP="00C46800">
      <w:pPr>
        <w:pStyle w:val="NoSpacing"/>
        <w:spacing w:after="120"/>
        <w:rPr>
          <w:rFonts w:asciiTheme="minorHAnsi" w:hAnsiTheme="minorHAnsi" w:cstheme="minorHAnsi"/>
          <w:color w:val="000000"/>
          <w:sz w:val="22"/>
          <w:szCs w:val="22"/>
          <w:lang w:val="en-CA"/>
        </w:rPr>
        <w:sectPr w:rsidR="00D64481" w:rsidRPr="00FC60BB" w:rsidSect="0073380A">
          <w:footnotePr>
            <w:numFmt w:val="lowerLetter"/>
          </w:footnotePr>
          <w:endnotePr>
            <w:numFmt w:val="lowerLetter"/>
          </w:endnotePr>
          <w:pgSz w:w="12240" w:h="15840" w:code="1"/>
          <w:pgMar w:top="1276" w:right="1304" w:bottom="1361" w:left="1304" w:header="284" w:footer="284" w:gutter="0"/>
          <w:cols w:space="720"/>
          <w:docGrid w:linePitch="326"/>
        </w:sectPr>
      </w:pPr>
      <w:r w:rsidRPr="00FC60BB">
        <w:rPr>
          <w:rFonts w:asciiTheme="minorHAnsi" w:hAnsiTheme="minorHAnsi" w:cstheme="minorHAnsi"/>
          <w:color w:val="000000"/>
          <w:sz w:val="22"/>
          <w:szCs w:val="22"/>
          <w:lang w:val="en-CA"/>
        </w:rPr>
        <w:t xml:space="preserve">The organization should take action to close the gap with their underrepresented group to ensure ongoing representativeness of its workforce. </w:t>
      </w:r>
    </w:p>
    <w:p w14:paraId="0126F36C" w14:textId="77777777" w:rsidR="00D64481" w:rsidRPr="00167C11" w:rsidRDefault="00D64481" w:rsidP="00D64481">
      <w:pPr>
        <w:pStyle w:val="Caption"/>
        <w:keepNext/>
        <w:spacing w:after="0"/>
        <w:rPr>
          <w:rFonts w:asciiTheme="minorHAnsi" w:hAnsiTheme="minorHAnsi" w:cstheme="minorHAnsi"/>
          <w:i w:val="0"/>
          <w:color w:val="auto"/>
          <w:lang w:val="en-CA"/>
        </w:rPr>
      </w:pPr>
      <w:r w:rsidRPr="00167C11">
        <w:rPr>
          <w:rFonts w:asciiTheme="minorHAnsi" w:hAnsiTheme="minorHAnsi" w:cstheme="minorHAnsi"/>
          <w:i w:val="0"/>
          <w:color w:val="auto"/>
          <w:lang w:val="en-CA"/>
        </w:rPr>
        <w:lastRenderedPageBreak/>
        <w:t xml:space="preserve">Table </w:t>
      </w:r>
      <w:r w:rsidRPr="00167C11">
        <w:rPr>
          <w:rFonts w:asciiTheme="minorHAnsi" w:hAnsiTheme="minorHAnsi" w:cstheme="minorHAnsi"/>
          <w:i w:val="0"/>
          <w:color w:val="auto"/>
          <w:lang w:val="en-CA"/>
        </w:rPr>
        <w:fldChar w:fldCharType="begin"/>
      </w:r>
      <w:r w:rsidRPr="00167C11">
        <w:rPr>
          <w:rFonts w:asciiTheme="minorHAnsi" w:hAnsiTheme="minorHAnsi" w:cstheme="minorHAnsi"/>
          <w:i w:val="0"/>
          <w:color w:val="auto"/>
          <w:lang w:val="en-CA"/>
        </w:rPr>
        <w:instrText xml:space="preserve"> SEQ Table \* ARABIC </w:instrText>
      </w:r>
      <w:r w:rsidRPr="00167C11">
        <w:rPr>
          <w:rFonts w:asciiTheme="minorHAnsi" w:hAnsiTheme="minorHAnsi" w:cstheme="minorHAnsi"/>
          <w:i w:val="0"/>
          <w:color w:val="auto"/>
          <w:lang w:val="en-CA"/>
        </w:rPr>
        <w:fldChar w:fldCharType="separate"/>
      </w:r>
      <w:r w:rsidR="008009D0" w:rsidRPr="00167C11">
        <w:rPr>
          <w:rFonts w:asciiTheme="minorHAnsi" w:hAnsiTheme="minorHAnsi" w:cstheme="minorHAnsi"/>
          <w:i w:val="0"/>
          <w:noProof/>
          <w:color w:val="auto"/>
          <w:lang w:val="en-CA"/>
        </w:rPr>
        <w:t>2</w:t>
      </w:r>
      <w:r w:rsidRPr="00167C11">
        <w:rPr>
          <w:rFonts w:asciiTheme="minorHAnsi" w:hAnsiTheme="minorHAnsi" w:cstheme="minorHAnsi"/>
          <w:i w:val="0"/>
          <w:color w:val="auto"/>
          <w:lang w:val="en-CA"/>
        </w:rPr>
        <w:fldChar w:fldCharType="end"/>
      </w:r>
      <w:r w:rsidRPr="00167C11">
        <w:rPr>
          <w:rFonts w:asciiTheme="minorHAnsi" w:hAnsiTheme="minorHAnsi" w:cstheme="minorHAnsi"/>
          <w:i w:val="0"/>
          <w:color w:val="auto"/>
          <w:lang w:val="en-CA"/>
        </w:rPr>
        <w:t xml:space="preserve"> - Diversity Profile</w:t>
      </w:r>
    </w:p>
    <w:tbl>
      <w:tblPr>
        <w:tblStyle w:val="TableGrid"/>
        <w:tblW w:w="5000" w:type="pct"/>
        <w:jc w:val="center"/>
        <w:tblLook w:val="04A0" w:firstRow="1" w:lastRow="0" w:firstColumn="1" w:lastColumn="0" w:noHBand="0" w:noVBand="1"/>
        <w:tblDescription w:val="Diversity Profile"/>
      </w:tblPr>
      <w:tblGrid>
        <w:gridCol w:w="1929"/>
        <w:gridCol w:w="1889"/>
        <w:gridCol w:w="2273"/>
        <w:gridCol w:w="2269"/>
        <w:gridCol w:w="1262"/>
      </w:tblGrid>
      <w:tr w:rsidR="00B0203E" w:rsidRPr="00B0203E" w14:paraId="5F02B4F2" w14:textId="77777777" w:rsidTr="00D5465A">
        <w:trPr>
          <w:cantSplit/>
          <w:trHeight w:val="759"/>
          <w:tblHeader/>
          <w:jc w:val="center"/>
        </w:trPr>
        <w:tc>
          <w:tcPr>
            <w:tcW w:w="1002"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4E552AE9" w14:textId="77777777" w:rsidR="00F1222D" w:rsidRPr="00B0203E" w:rsidRDefault="00F1222D" w:rsidP="00BA258A">
            <w:pPr>
              <w:pStyle w:val="TableTitle"/>
              <w:rPr>
                <w:color w:val="FFFFFF" w:themeColor="background1"/>
              </w:rPr>
            </w:pPr>
            <w:r w:rsidRPr="00B0203E">
              <w:rPr>
                <w:color w:val="FFFFFF" w:themeColor="background1"/>
              </w:rPr>
              <w:t>Designated Group</w:t>
            </w:r>
          </w:p>
        </w:tc>
        <w:tc>
          <w:tcPr>
            <w:tcW w:w="981"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345BFAB9" w14:textId="77777777" w:rsidR="00F1222D" w:rsidRPr="00B0203E" w:rsidRDefault="00F1222D" w:rsidP="00BA258A">
            <w:pPr>
              <w:pStyle w:val="TableTitle"/>
              <w:rPr>
                <w:color w:val="FFFFFF" w:themeColor="background1"/>
              </w:rPr>
            </w:pPr>
            <w:r w:rsidRPr="00B0203E">
              <w:rPr>
                <w:color w:val="FFFFFF" w:themeColor="background1"/>
              </w:rPr>
              <w:t>Public Service</w:t>
            </w:r>
          </w:p>
          <w:p w14:paraId="47AE547D" w14:textId="77777777" w:rsidR="00F1222D" w:rsidRPr="00B0203E" w:rsidRDefault="00F1222D" w:rsidP="00BA258A">
            <w:pPr>
              <w:pStyle w:val="TableTitle"/>
              <w:rPr>
                <w:color w:val="FFFFFF" w:themeColor="background1"/>
              </w:rPr>
            </w:pPr>
            <w:r w:rsidRPr="00B0203E">
              <w:rPr>
                <w:color w:val="FFFFFF" w:themeColor="background1"/>
              </w:rPr>
              <w:t>Work Force Availability (WFA)</w:t>
            </w:r>
          </w:p>
        </w:tc>
        <w:tc>
          <w:tcPr>
            <w:tcW w:w="1181" w:type="pct"/>
            <w:tcBorders>
              <w:top w:val="single" w:sz="4" w:space="0" w:color="auto"/>
              <w:left w:val="single" w:sz="4" w:space="0" w:color="auto"/>
              <w:right w:val="single" w:sz="4" w:space="0" w:color="auto"/>
            </w:tcBorders>
            <w:shd w:val="clear" w:color="auto" w:fill="BF3C00" w:themeFill="accent4" w:themeFillShade="BF"/>
            <w:vAlign w:val="center"/>
            <w:hideMark/>
          </w:tcPr>
          <w:p w14:paraId="05EC0B9E" w14:textId="77777777" w:rsidR="00F1222D" w:rsidRPr="00B0203E" w:rsidRDefault="00F1222D" w:rsidP="00BA258A">
            <w:pPr>
              <w:pStyle w:val="TableTitle"/>
              <w:rPr>
                <w:color w:val="FFFFFF" w:themeColor="background1"/>
              </w:rPr>
            </w:pPr>
            <w:r w:rsidRPr="00B0203E">
              <w:rPr>
                <w:color w:val="FFFFFF" w:themeColor="background1"/>
              </w:rPr>
              <w:t>Administrative Tribunals Support Service of Canada</w:t>
            </w:r>
          </w:p>
        </w:tc>
        <w:tc>
          <w:tcPr>
            <w:tcW w:w="1179"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4B865575" w14:textId="77777777" w:rsidR="00F1222D" w:rsidRPr="00B0203E" w:rsidRDefault="00F1222D" w:rsidP="00BA258A">
            <w:pPr>
              <w:pStyle w:val="TableTitle"/>
              <w:rPr>
                <w:color w:val="FFFFFF" w:themeColor="background1"/>
              </w:rPr>
            </w:pPr>
            <w:r w:rsidRPr="00B0203E">
              <w:rPr>
                <w:color w:val="FFFFFF" w:themeColor="background1"/>
              </w:rPr>
              <w:t>Representation across the  Public Service of Canada</w:t>
            </w:r>
          </w:p>
        </w:tc>
        <w:tc>
          <w:tcPr>
            <w:tcW w:w="656" w:type="pct"/>
            <w:shd w:val="clear" w:color="auto" w:fill="54575A" w:themeFill="text1"/>
            <w:vAlign w:val="center"/>
          </w:tcPr>
          <w:p w14:paraId="7B895805" w14:textId="77777777" w:rsidR="00F1222D" w:rsidRPr="00B0203E" w:rsidRDefault="00F1222D" w:rsidP="00BA258A">
            <w:pPr>
              <w:pStyle w:val="TableTitle"/>
              <w:rPr>
                <w:color w:val="FFFFFF" w:themeColor="background1"/>
              </w:rPr>
            </w:pPr>
            <w:r w:rsidRPr="00B0203E">
              <w:rPr>
                <w:color w:val="FFFFFF" w:themeColor="background1"/>
              </w:rPr>
              <w:t xml:space="preserve">New WFA </w:t>
            </w:r>
            <w:r w:rsidRPr="00B0203E">
              <w:rPr>
                <w:color w:val="FFFFFF" w:themeColor="background1"/>
              </w:rPr>
              <w:br/>
              <w:t xml:space="preserve">2019 </w:t>
            </w:r>
          </w:p>
        </w:tc>
      </w:tr>
      <w:tr w:rsidR="00F1222D" w:rsidRPr="00FC60BB" w14:paraId="19ADD037" w14:textId="77777777" w:rsidTr="00D5465A">
        <w:trPr>
          <w:cantSplit/>
          <w:tblHeader/>
          <w:jc w:val="center"/>
        </w:trPr>
        <w:tc>
          <w:tcPr>
            <w:tcW w:w="100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05E48EF2" w14:textId="77777777" w:rsidR="00F1222D" w:rsidRPr="00FC60BB" w:rsidRDefault="00F1222D" w:rsidP="00D64481">
            <w:pPr>
              <w:rPr>
                <w:rFonts w:asciiTheme="minorHAnsi" w:hAnsiTheme="minorHAnsi" w:cstheme="minorHAnsi"/>
                <w:color w:val="FFFFFF" w:themeColor="background1"/>
                <w:sz w:val="22"/>
                <w:lang w:val="en-CA"/>
              </w:rPr>
            </w:pPr>
            <w:r w:rsidRPr="00FC60BB">
              <w:rPr>
                <w:rFonts w:asciiTheme="minorHAnsi" w:hAnsiTheme="minorHAnsi" w:cstheme="minorHAnsi"/>
                <w:color w:val="FFFFFF" w:themeColor="background1"/>
                <w:sz w:val="22"/>
                <w:lang w:val="en-CA"/>
              </w:rPr>
              <w:t>Women</w:t>
            </w:r>
          </w:p>
        </w:tc>
        <w:tc>
          <w:tcPr>
            <w:tcW w:w="981" w:type="pct"/>
            <w:tcBorders>
              <w:top w:val="single" w:sz="4" w:space="0" w:color="auto"/>
              <w:left w:val="single" w:sz="4" w:space="0" w:color="auto"/>
              <w:bottom w:val="single" w:sz="4" w:space="0" w:color="auto"/>
              <w:right w:val="single" w:sz="4" w:space="0" w:color="auto"/>
            </w:tcBorders>
            <w:vAlign w:val="center"/>
            <w:hideMark/>
          </w:tcPr>
          <w:p w14:paraId="2C4C8406" w14:textId="77777777" w:rsidR="00F1222D" w:rsidRPr="00FC60BB" w:rsidRDefault="00F1222D" w:rsidP="00D64481">
            <w:pPr>
              <w:jc w:val="center"/>
              <w:rPr>
                <w:rFonts w:asciiTheme="minorHAnsi" w:hAnsiTheme="minorHAnsi" w:cstheme="minorHAnsi"/>
                <w:sz w:val="22"/>
                <w:lang w:val="en-CA"/>
              </w:rPr>
            </w:pPr>
            <w:r w:rsidRPr="00FC60BB">
              <w:rPr>
                <w:rFonts w:asciiTheme="minorHAnsi" w:hAnsiTheme="minorHAnsi" w:cstheme="minorHAnsi"/>
                <w:sz w:val="22"/>
                <w:lang w:val="en-CA"/>
              </w:rPr>
              <w:t>52.5%</w:t>
            </w: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0E71B72B" w14:textId="77777777" w:rsidR="00F1222D" w:rsidRPr="00FC60BB" w:rsidRDefault="00F1222D" w:rsidP="00D64481">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65.4%</w:t>
            </w:r>
          </w:p>
        </w:tc>
        <w:tc>
          <w:tcPr>
            <w:tcW w:w="1179" w:type="pct"/>
            <w:tcBorders>
              <w:top w:val="single" w:sz="4" w:space="0" w:color="auto"/>
              <w:left w:val="single" w:sz="4" w:space="0" w:color="auto"/>
              <w:bottom w:val="single" w:sz="4" w:space="0" w:color="auto"/>
              <w:right w:val="single" w:sz="4" w:space="0" w:color="auto"/>
            </w:tcBorders>
            <w:hideMark/>
          </w:tcPr>
          <w:p w14:paraId="3B8CB00F" w14:textId="77777777" w:rsidR="00F1222D" w:rsidRPr="00FC60BB" w:rsidRDefault="00F1222D" w:rsidP="00D5465A">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54.8%</w:t>
            </w:r>
          </w:p>
        </w:tc>
        <w:tc>
          <w:tcPr>
            <w:tcW w:w="656" w:type="pct"/>
            <w:vAlign w:val="center"/>
          </w:tcPr>
          <w:p w14:paraId="1F4AF536" w14:textId="77777777" w:rsidR="00F1222D" w:rsidRPr="00FC60BB" w:rsidRDefault="00F1222D" w:rsidP="00D64481">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52.6%</w:t>
            </w:r>
          </w:p>
        </w:tc>
      </w:tr>
      <w:tr w:rsidR="00F1222D" w:rsidRPr="00FC60BB" w14:paraId="7D8CBF15" w14:textId="77777777" w:rsidTr="00D5465A">
        <w:trPr>
          <w:cantSplit/>
          <w:tblHeader/>
          <w:jc w:val="center"/>
        </w:trPr>
        <w:tc>
          <w:tcPr>
            <w:tcW w:w="100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3C199F47" w14:textId="77777777" w:rsidR="00F1222D" w:rsidRPr="00FC60BB" w:rsidRDefault="00F1222D" w:rsidP="00D64481">
            <w:pPr>
              <w:rPr>
                <w:rFonts w:asciiTheme="minorHAnsi" w:hAnsiTheme="minorHAnsi" w:cstheme="minorHAnsi"/>
                <w:color w:val="FFFFFF" w:themeColor="background1"/>
                <w:sz w:val="22"/>
                <w:lang w:val="en-CA"/>
              </w:rPr>
            </w:pPr>
            <w:r w:rsidRPr="00FC60BB">
              <w:rPr>
                <w:rFonts w:asciiTheme="minorHAnsi" w:hAnsiTheme="minorHAnsi" w:cstheme="minorHAnsi"/>
                <w:color w:val="FFFFFF" w:themeColor="background1"/>
                <w:sz w:val="22"/>
                <w:lang w:val="en-CA"/>
              </w:rPr>
              <w:t>Aboriginal Peoples</w:t>
            </w:r>
          </w:p>
        </w:tc>
        <w:tc>
          <w:tcPr>
            <w:tcW w:w="981" w:type="pct"/>
            <w:tcBorders>
              <w:top w:val="single" w:sz="4" w:space="0" w:color="auto"/>
              <w:left w:val="single" w:sz="4" w:space="0" w:color="auto"/>
              <w:bottom w:val="single" w:sz="4" w:space="0" w:color="auto"/>
              <w:right w:val="single" w:sz="4" w:space="0" w:color="auto"/>
            </w:tcBorders>
            <w:vAlign w:val="center"/>
            <w:hideMark/>
          </w:tcPr>
          <w:p w14:paraId="3E0043B4" w14:textId="77777777" w:rsidR="00F1222D" w:rsidRPr="00FC60BB" w:rsidRDefault="00F1222D" w:rsidP="00D64481">
            <w:pPr>
              <w:jc w:val="center"/>
              <w:rPr>
                <w:rFonts w:asciiTheme="minorHAnsi" w:hAnsiTheme="minorHAnsi" w:cstheme="minorHAnsi"/>
                <w:sz w:val="22"/>
                <w:lang w:val="en-CA"/>
              </w:rPr>
            </w:pPr>
            <w:r w:rsidRPr="00FC60BB">
              <w:rPr>
                <w:rFonts w:asciiTheme="minorHAnsi" w:hAnsiTheme="minorHAnsi" w:cstheme="minorHAnsi"/>
                <w:sz w:val="22"/>
                <w:lang w:val="en-CA"/>
              </w:rPr>
              <w:t>3.4%</w:t>
            </w:r>
          </w:p>
        </w:tc>
        <w:tc>
          <w:tcPr>
            <w:tcW w:w="1181" w:type="pct"/>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14:paraId="2B323339" w14:textId="77777777" w:rsidR="00F1222D" w:rsidRPr="00FC60BB" w:rsidRDefault="00F1222D" w:rsidP="00D64481">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3.1%</w:t>
            </w:r>
          </w:p>
        </w:tc>
        <w:tc>
          <w:tcPr>
            <w:tcW w:w="1179" w:type="pct"/>
            <w:tcBorders>
              <w:top w:val="single" w:sz="4" w:space="0" w:color="auto"/>
              <w:left w:val="single" w:sz="4" w:space="0" w:color="auto"/>
              <w:bottom w:val="single" w:sz="4" w:space="0" w:color="auto"/>
              <w:right w:val="single" w:sz="4" w:space="0" w:color="auto"/>
            </w:tcBorders>
            <w:hideMark/>
          </w:tcPr>
          <w:p w14:paraId="3FE3DB96" w14:textId="77777777" w:rsidR="00F1222D" w:rsidRPr="00FC60BB" w:rsidRDefault="00F1222D" w:rsidP="00D5465A">
            <w:pPr>
              <w:autoSpaceDE w:val="0"/>
              <w:autoSpaceDN w:val="0"/>
              <w:adjustRightInd w:val="0"/>
              <w:spacing w:before="120"/>
              <w:jc w:val="center"/>
              <w:rPr>
                <w:rFonts w:asciiTheme="minorHAnsi" w:hAnsiTheme="minorHAnsi" w:cstheme="minorHAnsi"/>
                <w:sz w:val="22"/>
                <w:lang w:val="en-CA"/>
              </w:rPr>
            </w:pPr>
            <w:r w:rsidRPr="00FC60BB">
              <w:rPr>
                <w:rFonts w:asciiTheme="minorHAnsi" w:hAnsiTheme="minorHAnsi" w:cstheme="minorHAnsi"/>
                <w:sz w:val="22"/>
                <w:lang w:val="en-CA"/>
              </w:rPr>
              <w:t>5.1%</w:t>
            </w:r>
          </w:p>
        </w:tc>
        <w:tc>
          <w:tcPr>
            <w:tcW w:w="656" w:type="pct"/>
            <w:vAlign w:val="center"/>
          </w:tcPr>
          <w:p w14:paraId="236BE714" w14:textId="77777777" w:rsidR="00F1222D" w:rsidRPr="00FC60BB" w:rsidRDefault="00F1222D" w:rsidP="00D64481">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4.0%</w:t>
            </w:r>
          </w:p>
        </w:tc>
      </w:tr>
      <w:tr w:rsidR="00F1222D" w:rsidRPr="00FC60BB" w14:paraId="0421ABE8" w14:textId="77777777" w:rsidTr="00D5465A">
        <w:trPr>
          <w:cantSplit/>
          <w:trHeight w:val="598"/>
          <w:tblHeader/>
          <w:jc w:val="center"/>
        </w:trPr>
        <w:tc>
          <w:tcPr>
            <w:tcW w:w="100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1B8B7A26" w14:textId="77777777" w:rsidR="00F1222D" w:rsidRPr="00FC60BB" w:rsidRDefault="00F1222D" w:rsidP="00D64481">
            <w:pPr>
              <w:rPr>
                <w:rFonts w:asciiTheme="minorHAnsi" w:hAnsiTheme="minorHAnsi" w:cstheme="minorHAnsi"/>
                <w:color w:val="FFFFFF" w:themeColor="background1"/>
                <w:sz w:val="22"/>
                <w:lang w:val="en-CA"/>
              </w:rPr>
            </w:pPr>
            <w:r w:rsidRPr="00FC60BB">
              <w:rPr>
                <w:rFonts w:asciiTheme="minorHAnsi" w:hAnsiTheme="minorHAnsi" w:cstheme="minorHAnsi"/>
                <w:color w:val="FFFFFF" w:themeColor="background1"/>
                <w:sz w:val="22"/>
                <w:lang w:val="en-CA"/>
              </w:rPr>
              <w:t>Persons with Disabilities</w:t>
            </w:r>
          </w:p>
        </w:tc>
        <w:tc>
          <w:tcPr>
            <w:tcW w:w="981" w:type="pct"/>
            <w:tcBorders>
              <w:top w:val="single" w:sz="4" w:space="0" w:color="auto"/>
              <w:left w:val="single" w:sz="4" w:space="0" w:color="auto"/>
              <w:bottom w:val="single" w:sz="4" w:space="0" w:color="auto"/>
              <w:right w:val="single" w:sz="4" w:space="0" w:color="auto"/>
            </w:tcBorders>
            <w:vAlign w:val="center"/>
            <w:hideMark/>
          </w:tcPr>
          <w:p w14:paraId="50D9BE79" w14:textId="77777777" w:rsidR="00F1222D" w:rsidRPr="00FC60BB" w:rsidRDefault="00F1222D" w:rsidP="00D64481">
            <w:pPr>
              <w:jc w:val="center"/>
              <w:rPr>
                <w:rFonts w:asciiTheme="minorHAnsi" w:hAnsiTheme="minorHAnsi" w:cstheme="minorHAnsi"/>
                <w:sz w:val="22"/>
                <w:lang w:val="en-CA"/>
              </w:rPr>
            </w:pPr>
            <w:r w:rsidRPr="00FC60BB">
              <w:rPr>
                <w:rFonts w:asciiTheme="minorHAnsi" w:hAnsiTheme="minorHAnsi" w:cstheme="minorHAnsi"/>
                <w:sz w:val="22"/>
                <w:lang w:val="en-CA"/>
              </w:rPr>
              <w:t>4.4%</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0A6A" w14:textId="77777777" w:rsidR="00F1222D" w:rsidRPr="00FC60BB" w:rsidRDefault="00F1222D" w:rsidP="00D64481">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6.6%</w:t>
            </w:r>
          </w:p>
        </w:tc>
        <w:tc>
          <w:tcPr>
            <w:tcW w:w="1179" w:type="pct"/>
            <w:tcBorders>
              <w:top w:val="single" w:sz="4" w:space="0" w:color="auto"/>
              <w:left w:val="single" w:sz="4" w:space="0" w:color="auto"/>
              <w:bottom w:val="single" w:sz="4" w:space="0" w:color="auto"/>
              <w:right w:val="single" w:sz="4" w:space="0" w:color="auto"/>
            </w:tcBorders>
            <w:vAlign w:val="center"/>
            <w:hideMark/>
          </w:tcPr>
          <w:p w14:paraId="0E3551E9" w14:textId="77777777" w:rsidR="00F1222D" w:rsidRPr="00FC60BB" w:rsidRDefault="00F1222D" w:rsidP="00D5465A">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5.3%</w:t>
            </w:r>
          </w:p>
        </w:tc>
        <w:tc>
          <w:tcPr>
            <w:tcW w:w="656" w:type="pct"/>
            <w:vAlign w:val="center"/>
          </w:tcPr>
          <w:p w14:paraId="2E942379" w14:textId="77777777" w:rsidR="00F1222D" w:rsidRPr="00FC60BB" w:rsidRDefault="00F1222D" w:rsidP="00D64481">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9.0%</w:t>
            </w:r>
          </w:p>
        </w:tc>
      </w:tr>
      <w:tr w:rsidR="00F1222D" w:rsidRPr="00FC60BB" w14:paraId="2CED0FD4" w14:textId="77777777" w:rsidTr="00D5465A">
        <w:trPr>
          <w:cantSplit/>
          <w:tblHeader/>
          <w:jc w:val="center"/>
        </w:trPr>
        <w:tc>
          <w:tcPr>
            <w:tcW w:w="100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1ACC99AF" w14:textId="77777777" w:rsidR="00F1222D" w:rsidRPr="00FC60BB" w:rsidRDefault="00F1222D" w:rsidP="00D64481">
            <w:pPr>
              <w:rPr>
                <w:rFonts w:asciiTheme="minorHAnsi" w:hAnsiTheme="minorHAnsi" w:cstheme="minorHAnsi"/>
                <w:color w:val="FFFFFF" w:themeColor="background1"/>
                <w:sz w:val="22"/>
                <w:lang w:val="en-CA"/>
              </w:rPr>
            </w:pPr>
            <w:r w:rsidRPr="00FC60BB">
              <w:rPr>
                <w:rFonts w:asciiTheme="minorHAnsi" w:hAnsiTheme="minorHAnsi" w:cstheme="minorHAnsi"/>
                <w:color w:val="FFFFFF" w:themeColor="background1"/>
                <w:sz w:val="22"/>
                <w:lang w:val="en-CA"/>
              </w:rPr>
              <w:t>Members of Visible Minorities</w:t>
            </w:r>
          </w:p>
        </w:tc>
        <w:tc>
          <w:tcPr>
            <w:tcW w:w="981" w:type="pct"/>
            <w:tcBorders>
              <w:top w:val="single" w:sz="4" w:space="0" w:color="auto"/>
              <w:left w:val="single" w:sz="4" w:space="0" w:color="auto"/>
              <w:bottom w:val="single" w:sz="4" w:space="0" w:color="auto"/>
              <w:right w:val="single" w:sz="4" w:space="0" w:color="auto"/>
            </w:tcBorders>
            <w:vAlign w:val="center"/>
            <w:hideMark/>
          </w:tcPr>
          <w:p w14:paraId="36307D1B" w14:textId="77777777" w:rsidR="00F1222D" w:rsidRPr="00FC60BB" w:rsidRDefault="00F1222D" w:rsidP="00D64481">
            <w:pPr>
              <w:jc w:val="center"/>
              <w:rPr>
                <w:rFonts w:asciiTheme="minorHAnsi" w:hAnsiTheme="minorHAnsi" w:cstheme="minorHAnsi"/>
                <w:sz w:val="22"/>
                <w:lang w:val="en-CA"/>
              </w:rPr>
            </w:pPr>
            <w:r w:rsidRPr="00FC60BB">
              <w:rPr>
                <w:rFonts w:asciiTheme="minorHAnsi" w:hAnsiTheme="minorHAnsi" w:cstheme="minorHAnsi"/>
                <w:sz w:val="22"/>
                <w:lang w:val="en-CA"/>
              </w:rPr>
              <w:t>13.0%</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C46ED" w14:textId="77777777" w:rsidR="00F1222D" w:rsidRPr="00FC60BB" w:rsidRDefault="00F1222D" w:rsidP="00D64481">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13.9%</w:t>
            </w:r>
          </w:p>
        </w:tc>
        <w:tc>
          <w:tcPr>
            <w:tcW w:w="1179" w:type="pct"/>
            <w:tcBorders>
              <w:top w:val="single" w:sz="4" w:space="0" w:color="auto"/>
              <w:left w:val="single" w:sz="4" w:space="0" w:color="auto"/>
              <w:bottom w:val="single" w:sz="4" w:space="0" w:color="auto"/>
              <w:right w:val="single" w:sz="4" w:space="0" w:color="auto"/>
            </w:tcBorders>
            <w:vAlign w:val="center"/>
            <w:hideMark/>
          </w:tcPr>
          <w:p w14:paraId="0C79F54D" w14:textId="77777777" w:rsidR="00F1222D" w:rsidRPr="00FC60BB" w:rsidRDefault="00F1222D" w:rsidP="00D5465A">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15.7%</w:t>
            </w:r>
          </w:p>
        </w:tc>
        <w:tc>
          <w:tcPr>
            <w:tcW w:w="656" w:type="pct"/>
            <w:vAlign w:val="center"/>
          </w:tcPr>
          <w:p w14:paraId="3DC4408C" w14:textId="77777777" w:rsidR="00F1222D" w:rsidRPr="00FC60BB" w:rsidRDefault="00F1222D" w:rsidP="00D64481">
            <w:pPr>
              <w:autoSpaceDE w:val="0"/>
              <w:autoSpaceDN w:val="0"/>
              <w:adjustRightInd w:val="0"/>
              <w:jc w:val="center"/>
              <w:rPr>
                <w:rFonts w:asciiTheme="minorHAnsi" w:hAnsiTheme="minorHAnsi" w:cstheme="minorHAnsi"/>
                <w:sz w:val="22"/>
                <w:lang w:val="en-CA"/>
              </w:rPr>
            </w:pPr>
            <w:r w:rsidRPr="00FC60BB">
              <w:rPr>
                <w:rFonts w:asciiTheme="minorHAnsi" w:hAnsiTheme="minorHAnsi" w:cstheme="minorHAnsi"/>
                <w:sz w:val="22"/>
                <w:lang w:val="en-CA"/>
              </w:rPr>
              <w:t>15.3%</w:t>
            </w:r>
          </w:p>
        </w:tc>
      </w:tr>
    </w:tbl>
    <w:p w14:paraId="1D85111C" w14:textId="77777777" w:rsidR="00F1222D" w:rsidRPr="00FC60BB" w:rsidRDefault="00F1222D" w:rsidP="0044470E">
      <w:pPr>
        <w:spacing w:after="120"/>
        <w:rPr>
          <w:rFonts w:asciiTheme="minorHAnsi" w:hAnsiTheme="minorHAnsi" w:cstheme="minorHAnsi"/>
          <w:sz w:val="22"/>
          <w:lang w:val="en-CA"/>
        </w:rPr>
      </w:pPr>
      <w:r w:rsidRPr="00FC60BB">
        <w:rPr>
          <w:rFonts w:asciiTheme="minorHAnsi" w:hAnsiTheme="minorHAnsi" w:cstheme="minorHAnsi"/>
          <w:sz w:val="22"/>
          <w:lang w:val="en-CA"/>
        </w:rPr>
        <w:t xml:space="preserve">Source : </w:t>
      </w:r>
      <w:hyperlink r:id="rId10" w:history="1">
        <w:r w:rsidRPr="00FC60BB">
          <w:rPr>
            <w:rStyle w:val="Hyperlink"/>
            <w:rFonts w:asciiTheme="minorHAnsi" w:hAnsiTheme="minorHAnsi" w:cstheme="minorHAnsi"/>
            <w:sz w:val="22"/>
            <w:lang w:val="en-CA"/>
          </w:rPr>
          <w:t>Employment Equity in the Public Service of Canada 2017- 2018</w:t>
        </w:r>
      </w:hyperlink>
      <w:r w:rsidRPr="00FC60BB">
        <w:rPr>
          <w:rStyle w:val="Hyperlink"/>
          <w:rFonts w:asciiTheme="minorHAnsi" w:hAnsiTheme="minorHAnsi" w:cstheme="minorHAnsi"/>
          <w:sz w:val="22"/>
          <w:lang w:val="en-CA"/>
        </w:rPr>
        <w:t xml:space="preserve"> </w:t>
      </w:r>
      <w:r w:rsidRPr="00FC60BB">
        <w:rPr>
          <w:rFonts w:asciiTheme="minorHAnsi" w:hAnsiTheme="minorHAnsi" w:cstheme="minorHAnsi"/>
          <w:sz w:val="22"/>
          <w:lang w:val="en-CA"/>
        </w:rPr>
        <w:t>Treasury Board of Canada Secretariat</w:t>
      </w:r>
    </w:p>
    <w:p w14:paraId="14EE1187" w14:textId="77777777" w:rsidR="00F1222D" w:rsidRPr="00FC60BB" w:rsidRDefault="00F1222D" w:rsidP="0044470E">
      <w:pPr>
        <w:spacing w:after="120"/>
        <w:rPr>
          <w:rFonts w:asciiTheme="minorHAnsi" w:hAnsiTheme="minorHAnsi" w:cstheme="minorHAnsi"/>
          <w:sz w:val="22"/>
          <w:lang w:val="en-CA"/>
        </w:rPr>
      </w:pPr>
      <w:r w:rsidRPr="00FC60BB">
        <w:rPr>
          <w:rFonts w:asciiTheme="minorHAnsi" w:hAnsiTheme="minorHAnsi" w:cstheme="minorHAnsi"/>
          <w:sz w:val="22"/>
          <w:lang w:val="en-CA"/>
        </w:rPr>
        <w:t xml:space="preserve">Note: Organizational </w:t>
      </w:r>
      <w:r w:rsidR="002C1665">
        <w:rPr>
          <w:rFonts w:asciiTheme="minorHAnsi" w:hAnsiTheme="minorHAnsi" w:cstheme="minorHAnsi"/>
          <w:sz w:val="22"/>
          <w:lang w:val="en-CA"/>
        </w:rPr>
        <w:t>Employment Equity (</w:t>
      </w:r>
      <w:r w:rsidRPr="00FC60BB">
        <w:rPr>
          <w:rFonts w:asciiTheme="minorHAnsi" w:hAnsiTheme="minorHAnsi" w:cstheme="minorHAnsi"/>
          <w:sz w:val="22"/>
          <w:lang w:val="en-CA"/>
        </w:rPr>
        <w:t>EE</w:t>
      </w:r>
      <w:r w:rsidR="002C1665">
        <w:rPr>
          <w:rFonts w:asciiTheme="minorHAnsi" w:hAnsiTheme="minorHAnsi" w:cstheme="minorHAnsi"/>
          <w:sz w:val="22"/>
          <w:lang w:val="en-CA"/>
        </w:rPr>
        <w:t>)</w:t>
      </w:r>
      <w:r w:rsidRPr="00FC60BB">
        <w:rPr>
          <w:rFonts w:asciiTheme="minorHAnsi" w:hAnsiTheme="minorHAnsi" w:cstheme="minorHAnsi"/>
          <w:sz w:val="22"/>
          <w:lang w:val="en-CA"/>
        </w:rPr>
        <w:t xml:space="preserve"> data for 2019 is not yet available</w:t>
      </w:r>
    </w:p>
    <w:p w14:paraId="0C231DEB" w14:textId="77777777" w:rsidR="007B1B27" w:rsidRPr="0014782E" w:rsidRDefault="007B1B27" w:rsidP="00422176">
      <w:pPr>
        <w:pStyle w:val="Heading1"/>
        <w:rPr>
          <w:sz w:val="48"/>
          <w:lang w:val="en-CA"/>
        </w:rPr>
      </w:pPr>
      <w:r w:rsidRPr="0014782E">
        <w:rPr>
          <w:sz w:val="48"/>
          <w:lang w:val="en-CA"/>
        </w:rPr>
        <w:t>Priority Entitlements and Veterans</w:t>
      </w:r>
    </w:p>
    <w:p w14:paraId="3A3F8ADA" w14:textId="77777777" w:rsidR="007B1B27" w:rsidRPr="00FC60BB" w:rsidRDefault="007B1B27" w:rsidP="00C46800">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From April 1, 2018 to August 1, 2019, the ATSSC appointed one per</w:t>
      </w:r>
      <w:r w:rsidR="002073AD">
        <w:rPr>
          <w:rFonts w:asciiTheme="minorHAnsi" w:hAnsiTheme="minorHAnsi" w:cstheme="minorHAnsi"/>
          <w:color w:val="000000"/>
          <w:sz w:val="22"/>
          <w:szCs w:val="22"/>
          <w:lang w:val="en-CA"/>
        </w:rPr>
        <w:t>s</w:t>
      </w:r>
      <w:r w:rsidRPr="00FC60BB">
        <w:rPr>
          <w:rFonts w:asciiTheme="minorHAnsi" w:hAnsiTheme="minorHAnsi" w:cstheme="minorHAnsi"/>
          <w:color w:val="000000"/>
          <w:sz w:val="22"/>
          <w:szCs w:val="22"/>
          <w:lang w:val="en-CA"/>
        </w:rPr>
        <w:t xml:space="preserve">on with a priority entitlement. </w:t>
      </w:r>
    </w:p>
    <w:p w14:paraId="32BE95CD" w14:textId="77777777" w:rsidR="007B1B27" w:rsidRPr="00FC60BB" w:rsidRDefault="007B1B27" w:rsidP="00C46800">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 xml:space="preserve">From the coming into force of the </w:t>
      </w:r>
      <w:r w:rsidRPr="00FC60BB">
        <w:rPr>
          <w:rStyle w:val="Emphasis"/>
        </w:rPr>
        <w:t>Veterans Hiring Act</w:t>
      </w:r>
      <w:r w:rsidRPr="00FC60BB">
        <w:rPr>
          <w:rFonts w:asciiTheme="minorHAnsi" w:hAnsiTheme="minorHAnsi" w:cstheme="minorHAnsi"/>
          <w:color w:val="000000"/>
          <w:sz w:val="20"/>
          <w:szCs w:val="22"/>
          <w:lang w:val="en-CA"/>
        </w:rPr>
        <w:t xml:space="preserve"> </w:t>
      </w:r>
      <w:r w:rsidRPr="00FC60BB">
        <w:rPr>
          <w:rFonts w:asciiTheme="minorHAnsi" w:hAnsiTheme="minorHAnsi" w:cstheme="minorHAnsi"/>
          <w:color w:val="000000"/>
          <w:sz w:val="22"/>
          <w:szCs w:val="22"/>
          <w:lang w:val="en-CA"/>
        </w:rPr>
        <w:t>on July 1, 2015 until June 30, 2019, the ATSSC has not made appointments of persons with a Canadian Armed Forces Priority Entitlement.</w:t>
      </w:r>
    </w:p>
    <w:p w14:paraId="5485B3AF" w14:textId="77777777" w:rsidR="007B1B27" w:rsidRPr="00FC60BB" w:rsidRDefault="007B1B27" w:rsidP="00C46800">
      <w:pPr>
        <w:pStyle w:val="NoSpacing"/>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As of July 31, 2019, the ATSSC has one relocation of spouse person with a priority entitlement.</w:t>
      </w:r>
    </w:p>
    <w:p w14:paraId="284B3517" w14:textId="77777777" w:rsidR="0044470E" w:rsidRPr="00167C11" w:rsidRDefault="0044470E" w:rsidP="0044470E">
      <w:pPr>
        <w:pStyle w:val="Caption"/>
        <w:keepNext/>
        <w:spacing w:after="0"/>
        <w:rPr>
          <w:rFonts w:asciiTheme="minorHAnsi" w:hAnsiTheme="minorHAnsi" w:cstheme="minorHAnsi"/>
          <w:i w:val="0"/>
          <w:color w:val="auto"/>
          <w:lang w:val="en-CA"/>
        </w:rPr>
      </w:pPr>
      <w:r w:rsidRPr="00167C11">
        <w:rPr>
          <w:rFonts w:asciiTheme="minorHAnsi" w:hAnsiTheme="minorHAnsi" w:cstheme="minorHAnsi"/>
          <w:i w:val="0"/>
          <w:color w:val="auto"/>
          <w:lang w:val="en-CA"/>
        </w:rPr>
        <w:t xml:space="preserve">Table </w:t>
      </w:r>
      <w:r w:rsidRPr="00167C11">
        <w:rPr>
          <w:rFonts w:asciiTheme="minorHAnsi" w:hAnsiTheme="minorHAnsi" w:cstheme="minorHAnsi"/>
          <w:i w:val="0"/>
          <w:color w:val="auto"/>
          <w:lang w:val="en-CA"/>
        </w:rPr>
        <w:fldChar w:fldCharType="begin"/>
      </w:r>
      <w:r w:rsidRPr="00167C11">
        <w:rPr>
          <w:rFonts w:asciiTheme="minorHAnsi" w:hAnsiTheme="minorHAnsi" w:cstheme="minorHAnsi"/>
          <w:i w:val="0"/>
          <w:color w:val="auto"/>
          <w:lang w:val="en-CA"/>
        </w:rPr>
        <w:instrText xml:space="preserve"> SEQ Table \* ARABIC </w:instrText>
      </w:r>
      <w:r w:rsidRPr="00167C11">
        <w:rPr>
          <w:rFonts w:asciiTheme="minorHAnsi" w:hAnsiTheme="minorHAnsi" w:cstheme="minorHAnsi"/>
          <w:i w:val="0"/>
          <w:color w:val="auto"/>
          <w:lang w:val="en-CA"/>
        </w:rPr>
        <w:fldChar w:fldCharType="separate"/>
      </w:r>
      <w:r w:rsidR="008009D0" w:rsidRPr="00167C11">
        <w:rPr>
          <w:rFonts w:asciiTheme="minorHAnsi" w:hAnsiTheme="minorHAnsi" w:cstheme="minorHAnsi"/>
          <w:i w:val="0"/>
          <w:noProof/>
          <w:color w:val="auto"/>
          <w:lang w:val="en-CA"/>
        </w:rPr>
        <w:t>3</w:t>
      </w:r>
      <w:r w:rsidRPr="00167C11">
        <w:rPr>
          <w:rFonts w:asciiTheme="minorHAnsi" w:hAnsiTheme="minorHAnsi" w:cstheme="minorHAnsi"/>
          <w:i w:val="0"/>
          <w:color w:val="auto"/>
          <w:lang w:val="en-CA"/>
        </w:rPr>
        <w:fldChar w:fldCharType="end"/>
      </w:r>
      <w:r w:rsidRPr="00167C11">
        <w:rPr>
          <w:rFonts w:asciiTheme="minorHAnsi" w:hAnsiTheme="minorHAnsi" w:cstheme="minorHAnsi"/>
          <w:i w:val="0"/>
          <w:color w:val="auto"/>
          <w:lang w:val="en-CA"/>
        </w:rPr>
        <w:t xml:space="preserve"> - Priority Entitlements and Veterans</w:t>
      </w:r>
    </w:p>
    <w:tbl>
      <w:tblPr>
        <w:tblStyle w:val="TableGrid"/>
        <w:tblW w:w="5000" w:type="pct"/>
        <w:jc w:val="center"/>
        <w:tblLook w:val="04A0" w:firstRow="1" w:lastRow="0" w:firstColumn="1" w:lastColumn="0" w:noHBand="0" w:noVBand="1"/>
        <w:tblDescription w:val="Priority Entitlements and Veterans"/>
      </w:tblPr>
      <w:tblGrid>
        <w:gridCol w:w="2351"/>
        <w:gridCol w:w="2454"/>
        <w:gridCol w:w="3054"/>
        <w:gridCol w:w="1763"/>
      </w:tblGrid>
      <w:tr w:rsidR="00B0203E" w:rsidRPr="00B0203E" w14:paraId="5E8A4BD4" w14:textId="77777777" w:rsidTr="0044470E">
        <w:trPr>
          <w:cantSplit/>
          <w:tblHeader/>
          <w:jc w:val="center"/>
        </w:trPr>
        <w:tc>
          <w:tcPr>
            <w:tcW w:w="1222" w:type="pct"/>
            <w:shd w:val="clear" w:color="auto" w:fill="0070C0"/>
          </w:tcPr>
          <w:p w14:paraId="68407823" w14:textId="77777777" w:rsidR="00F1222D" w:rsidRPr="00B0203E" w:rsidRDefault="002C1665" w:rsidP="00BA258A">
            <w:pPr>
              <w:pStyle w:val="TableTitle"/>
              <w:rPr>
                <w:color w:val="FFFFFF" w:themeColor="background1"/>
              </w:rPr>
            </w:pPr>
            <w:r w:rsidRPr="00B0203E">
              <w:rPr>
                <w:color w:val="FFFFFF" w:themeColor="background1"/>
              </w:rPr>
              <w:t>Period</w:t>
            </w:r>
          </w:p>
        </w:tc>
        <w:tc>
          <w:tcPr>
            <w:tcW w:w="1275" w:type="pct"/>
            <w:shd w:val="clear" w:color="auto" w:fill="0070C0"/>
          </w:tcPr>
          <w:p w14:paraId="0C4DCD2E" w14:textId="77777777" w:rsidR="00F1222D" w:rsidRPr="00B0203E" w:rsidRDefault="0044470E" w:rsidP="00BA258A">
            <w:pPr>
              <w:pStyle w:val="TableTitle"/>
              <w:rPr>
                <w:color w:val="FFFFFF" w:themeColor="background1"/>
              </w:rPr>
            </w:pPr>
            <w:r w:rsidRPr="00B0203E">
              <w:rPr>
                <w:color w:val="FFFFFF" w:themeColor="background1"/>
              </w:rPr>
              <w:t>Attributable To S</w:t>
            </w:r>
            <w:r w:rsidR="00F1222D" w:rsidRPr="00B0203E">
              <w:rPr>
                <w:color w:val="FFFFFF" w:themeColor="background1"/>
              </w:rPr>
              <w:t>ervic</w:t>
            </w:r>
            <w:r w:rsidRPr="00B0203E">
              <w:rPr>
                <w:color w:val="FFFFFF" w:themeColor="background1"/>
              </w:rPr>
              <w:t>e (S</w:t>
            </w:r>
            <w:r w:rsidR="00F1222D" w:rsidRPr="00B0203E">
              <w:rPr>
                <w:color w:val="FFFFFF" w:themeColor="background1"/>
              </w:rPr>
              <w:t>tatutory)</w:t>
            </w:r>
          </w:p>
        </w:tc>
        <w:tc>
          <w:tcPr>
            <w:tcW w:w="1587" w:type="pct"/>
            <w:shd w:val="clear" w:color="auto" w:fill="0070C0"/>
          </w:tcPr>
          <w:p w14:paraId="1FC517DC" w14:textId="77777777" w:rsidR="00F1222D" w:rsidRPr="00B0203E" w:rsidRDefault="0044470E" w:rsidP="00BA258A">
            <w:pPr>
              <w:pStyle w:val="TableTitle"/>
              <w:rPr>
                <w:color w:val="FFFFFF" w:themeColor="background1"/>
              </w:rPr>
            </w:pPr>
            <w:r w:rsidRPr="00B0203E">
              <w:rPr>
                <w:color w:val="FFFFFF" w:themeColor="background1"/>
              </w:rPr>
              <w:t>Not Attributable To Service (R</w:t>
            </w:r>
            <w:r w:rsidR="00F1222D" w:rsidRPr="00B0203E">
              <w:rPr>
                <w:color w:val="FFFFFF" w:themeColor="background1"/>
              </w:rPr>
              <w:t>egulatory)</w:t>
            </w:r>
          </w:p>
        </w:tc>
        <w:tc>
          <w:tcPr>
            <w:tcW w:w="916" w:type="pct"/>
            <w:shd w:val="clear" w:color="auto" w:fill="0070C0"/>
          </w:tcPr>
          <w:p w14:paraId="67310499" w14:textId="77777777" w:rsidR="00F1222D" w:rsidRPr="00B0203E" w:rsidRDefault="0044470E" w:rsidP="00BA258A">
            <w:pPr>
              <w:pStyle w:val="TableTitle"/>
              <w:rPr>
                <w:color w:val="FFFFFF" w:themeColor="background1"/>
              </w:rPr>
            </w:pPr>
            <w:r w:rsidRPr="00B0203E">
              <w:rPr>
                <w:color w:val="FFFFFF" w:themeColor="background1"/>
              </w:rPr>
              <w:t>T</w:t>
            </w:r>
            <w:r w:rsidR="00F1222D" w:rsidRPr="00B0203E">
              <w:rPr>
                <w:color w:val="FFFFFF" w:themeColor="background1"/>
              </w:rPr>
              <w:t>otal</w:t>
            </w:r>
          </w:p>
        </w:tc>
      </w:tr>
      <w:tr w:rsidR="00F1222D" w:rsidRPr="00FC60BB" w14:paraId="25DB8480" w14:textId="77777777" w:rsidTr="0044470E">
        <w:trPr>
          <w:cantSplit/>
          <w:tblHeader/>
          <w:jc w:val="center"/>
        </w:trPr>
        <w:tc>
          <w:tcPr>
            <w:tcW w:w="1222" w:type="pct"/>
            <w:shd w:val="clear" w:color="auto" w:fill="0070C0"/>
          </w:tcPr>
          <w:p w14:paraId="7A8BF395" w14:textId="77777777" w:rsidR="00F1222D" w:rsidRPr="00FC60BB" w:rsidRDefault="00F1222D" w:rsidP="0044470E">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lang w:val="en-CA"/>
              </w:rPr>
            </w:pPr>
            <w:r w:rsidRPr="00FC60BB">
              <w:rPr>
                <w:rFonts w:asciiTheme="minorHAnsi" w:hAnsiTheme="minorHAnsi" w:cstheme="minorHAnsi"/>
                <w:color w:val="FFFFFF" w:themeColor="background1"/>
                <w:sz w:val="22"/>
                <w:lang w:val="en-CA"/>
              </w:rPr>
              <w:t>2015 (July 1) - 2016</w:t>
            </w:r>
          </w:p>
        </w:tc>
        <w:tc>
          <w:tcPr>
            <w:tcW w:w="1275" w:type="pct"/>
          </w:tcPr>
          <w:p w14:paraId="660C86B9"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c>
          <w:tcPr>
            <w:tcW w:w="1587" w:type="pct"/>
          </w:tcPr>
          <w:p w14:paraId="0999611E"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c>
          <w:tcPr>
            <w:tcW w:w="916" w:type="pct"/>
          </w:tcPr>
          <w:p w14:paraId="5C2F83AE"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r>
      <w:tr w:rsidR="00F1222D" w:rsidRPr="00FC60BB" w14:paraId="4D139C3D" w14:textId="77777777" w:rsidTr="0044470E">
        <w:trPr>
          <w:cantSplit/>
          <w:tblHeader/>
          <w:jc w:val="center"/>
        </w:trPr>
        <w:tc>
          <w:tcPr>
            <w:tcW w:w="1222" w:type="pct"/>
            <w:shd w:val="clear" w:color="auto" w:fill="0070C0"/>
          </w:tcPr>
          <w:p w14:paraId="7176F79E" w14:textId="77777777" w:rsidR="00F1222D" w:rsidRPr="00FC60BB" w:rsidRDefault="00F1222D" w:rsidP="0044470E">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lang w:val="en-CA"/>
              </w:rPr>
            </w:pPr>
            <w:r w:rsidRPr="00FC60BB">
              <w:rPr>
                <w:rFonts w:asciiTheme="minorHAnsi" w:hAnsiTheme="minorHAnsi" w:cstheme="minorHAnsi"/>
                <w:color w:val="FFFFFF" w:themeColor="background1"/>
                <w:sz w:val="22"/>
                <w:lang w:val="en-CA"/>
              </w:rPr>
              <w:t>2016 - 2017</w:t>
            </w:r>
          </w:p>
        </w:tc>
        <w:tc>
          <w:tcPr>
            <w:tcW w:w="1275" w:type="pct"/>
          </w:tcPr>
          <w:p w14:paraId="7C064F6C"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c>
          <w:tcPr>
            <w:tcW w:w="1587" w:type="pct"/>
          </w:tcPr>
          <w:p w14:paraId="1921D926"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c>
          <w:tcPr>
            <w:tcW w:w="916" w:type="pct"/>
          </w:tcPr>
          <w:p w14:paraId="42944479"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r>
      <w:tr w:rsidR="00F1222D" w:rsidRPr="00FC60BB" w14:paraId="26154E49" w14:textId="77777777" w:rsidTr="0044470E">
        <w:trPr>
          <w:cantSplit/>
          <w:tblHeader/>
          <w:jc w:val="center"/>
        </w:trPr>
        <w:tc>
          <w:tcPr>
            <w:tcW w:w="1222" w:type="pct"/>
            <w:shd w:val="clear" w:color="auto" w:fill="0070C0"/>
          </w:tcPr>
          <w:p w14:paraId="045DB88A" w14:textId="77777777" w:rsidR="00F1222D" w:rsidRPr="00FC60BB" w:rsidRDefault="00F1222D" w:rsidP="0044470E">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lang w:val="en-CA"/>
              </w:rPr>
            </w:pPr>
            <w:r w:rsidRPr="00FC60BB">
              <w:rPr>
                <w:rFonts w:asciiTheme="minorHAnsi" w:hAnsiTheme="minorHAnsi" w:cstheme="minorHAnsi"/>
                <w:color w:val="FFFFFF" w:themeColor="background1"/>
                <w:sz w:val="22"/>
                <w:lang w:val="en-CA"/>
              </w:rPr>
              <w:t>2017 - 2018</w:t>
            </w:r>
          </w:p>
        </w:tc>
        <w:tc>
          <w:tcPr>
            <w:tcW w:w="1275" w:type="pct"/>
          </w:tcPr>
          <w:p w14:paraId="1A7D3A96"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c>
          <w:tcPr>
            <w:tcW w:w="1587" w:type="pct"/>
          </w:tcPr>
          <w:p w14:paraId="513D45A9"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c>
          <w:tcPr>
            <w:tcW w:w="916" w:type="pct"/>
          </w:tcPr>
          <w:p w14:paraId="36A654F0"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r>
      <w:tr w:rsidR="00F1222D" w:rsidRPr="00FC60BB" w14:paraId="675B4AFA" w14:textId="77777777" w:rsidTr="0044470E">
        <w:trPr>
          <w:cantSplit/>
          <w:tblHeader/>
          <w:jc w:val="center"/>
        </w:trPr>
        <w:tc>
          <w:tcPr>
            <w:tcW w:w="1222" w:type="pct"/>
            <w:shd w:val="clear" w:color="auto" w:fill="BAF8FF" w:themeFill="accent3" w:themeFillTint="33"/>
          </w:tcPr>
          <w:p w14:paraId="1A690ADB" w14:textId="77777777" w:rsidR="00F1222D" w:rsidRPr="00FC60BB" w:rsidRDefault="00F1222D" w:rsidP="002C1665">
            <w:pPr>
              <w:pStyle w:val="Level1"/>
              <w:tabs>
                <w:tab w:val="left" w:pos="-1440"/>
              </w:tabs>
              <w:autoSpaceDE w:val="0"/>
              <w:autoSpaceDN w:val="0"/>
              <w:adjustRightInd w:val="0"/>
              <w:spacing w:after="120" w:line="20" w:lineRule="atLeast"/>
              <w:rPr>
                <w:rFonts w:asciiTheme="minorHAnsi" w:hAnsiTheme="minorHAnsi" w:cstheme="minorHAnsi"/>
                <w:sz w:val="22"/>
                <w:lang w:val="en-CA"/>
              </w:rPr>
            </w:pPr>
            <w:r w:rsidRPr="00FC60BB">
              <w:rPr>
                <w:rFonts w:asciiTheme="minorHAnsi" w:hAnsiTheme="minorHAnsi" w:cstheme="minorHAnsi"/>
                <w:sz w:val="22"/>
                <w:lang w:val="en-CA"/>
              </w:rPr>
              <w:t>T</w:t>
            </w:r>
            <w:r w:rsidR="002C1665">
              <w:rPr>
                <w:rFonts w:asciiTheme="minorHAnsi" w:hAnsiTheme="minorHAnsi" w:cstheme="minorHAnsi"/>
                <w:sz w:val="22"/>
                <w:lang w:val="en-CA"/>
              </w:rPr>
              <w:t>otal</w:t>
            </w:r>
          </w:p>
        </w:tc>
        <w:tc>
          <w:tcPr>
            <w:tcW w:w="1275" w:type="pct"/>
            <w:shd w:val="clear" w:color="auto" w:fill="BAF8FF" w:themeFill="accent3" w:themeFillTint="33"/>
          </w:tcPr>
          <w:p w14:paraId="4AD24036"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c>
          <w:tcPr>
            <w:tcW w:w="1587" w:type="pct"/>
            <w:shd w:val="clear" w:color="auto" w:fill="BAF8FF" w:themeFill="accent3" w:themeFillTint="33"/>
          </w:tcPr>
          <w:p w14:paraId="7EF62A7C"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c>
          <w:tcPr>
            <w:tcW w:w="916" w:type="pct"/>
            <w:shd w:val="clear" w:color="auto" w:fill="BAF8FF" w:themeFill="accent3" w:themeFillTint="33"/>
          </w:tcPr>
          <w:p w14:paraId="44C8D334" w14:textId="77777777" w:rsidR="00F1222D" w:rsidRPr="00FC60BB" w:rsidRDefault="00F1222D" w:rsidP="00D64481">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FC60BB">
              <w:rPr>
                <w:rFonts w:asciiTheme="minorHAnsi" w:hAnsiTheme="minorHAnsi" w:cstheme="minorHAnsi"/>
                <w:sz w:val="22"/>
                <w:lang w:val="en-CA"/>
              </w:rPr>
              <w:t>0</w:t>
            </w:r>
          </w:p>
        </w:tc>
      </w:tr>
    </w:tbl>
    <w:p w14:paraId="345857E6" w14:textId="77777777" w:rsidR="00F1222D" w:rsidRPr="00FC60BB" w:rsidRDefault="00F1222D" w:rsidP="008A2E50">
      <w:pPr>
        <w:spacing w:after="120"/>
        <w:rPr>
          <w:rFonts w:asciiTheme="minorHAnsi" w:hAnsiTheme="minorHAnsi" w:cstheme="minorHAnsi"/>
          <w:sz w:val="22"/>
          <w:szCs w:val="18"/>
          <w:lang w:val="en-CA"/>
        </w:rPr>
      </w:pPr>
      <w:r w:rsidRPr="00FC60BB">
        <w:rPr>
          <w:rFonts w:asciiTheme="minorHAnsi" w:hAnsiTheme="minorHAnsi" w:cstheme="minorHAnsi"/>
          <w:sz w:val="22"/>
          <w:szCs w:val="18"/>
          <w:lang w:val="en-CA"/>
        </w:rPr>
        <w:t>Source: PSC Priority Information Management System</w:t>
      </w:r>
    </w:p>
    <w:p w14:paraId="3C30EECB" w14:textId="77777777" w:rsidR="007B1B27" w:rsidRPr="0014782E" w:rsidRDefault="007B1B27" w:rsidP="00422176">
      <w:pPr>
        <w:pStyle w:val="Heading1"/>
        <w:rPr>
          <w:sz w:val="48"/>
          <w:lang w:val="en-CA"/>
        </w:rPr>
      </w:pPr>
      <w:r w:rsidRPr="0014782E">
        <w:rPr>
          <w:sz w:val="48"/>
          <w:lang w:val="en-CA"/>
        </w:rPr>
        <w:t>Non-Partisanship in the Public Service</w:t>
      </w:r>
    </w:p>
    <w:p w14:paraId="3C45AC3A" w14:textId="77777777" w:rsidR="007B1B27" w:rsidRPr="00FC60BB" w:rsidRDefault="007B1B27" w:rsidP="00C46800">
      <w:pPr>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The ATSSC Designated Political Activities Representative (DPAR) is Sophie Michaud. The DPAR acts as a liaison with the PSC on matters related to political activities and non-partisanship.</w:t>
      </w:r>
    </w:p>
    <w:p w14:paraId="57ECF5AD" w14:textId="77777777" w:rsidR="007B1B27" w:rsidRPr="00FC60BB" w:rsidRDefault="007B1B27" w:rsidP="00C46800">
      <w:pPr>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 xml:space="preserve">Since April 1, 2006, the PSC has only received one request for permission from the ATSSC employees. A permission and a leave of absence without pay was granted to an employee to be a candidate in the 2019 federal election, but he was not elected. </w:t>
      </w:r>
    </w:p>
    <w:p w14:paraId="3899C810" w14:textId="77777777" w:rsidR="007B1B27" w:rsidRPr="00FC60BB" w:rsidRDefault="007B1B27" w:rsidP="00C46800">
      <w:pPr>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lastRenderedPageBreak/>
        <w:t xml:space="preserve">The 2018 Staffing and Non-Partisanship Survey results indicate that ATSSC employees demonstrate a high level of awareness regarding their rights and responsibilities for engaging in political activities: 87.9%, compared to 80.1% for the public service as a whole. </w:t>
      </w:r>
    </w:p>
    <w:p w14:paraId="7E9CDBF6" w14:textId="77777777" w:rsidR="007B1B27" w:rsidRPr="0014782E" w:rsidRDefault="007B1B27" w:rsidP="0014782E">
      <w:pPr>
        <w:pStyle w:val="Heading1"/>
        <w:spacing w:after="120"/>
        <w:rPr>
          <w:sz w:val="48"/>
          <w:lang w:val="en-CA"/>
        </w:rPr>
      </w:pPr>
      <w:r w:rsidRPr="0014782E">
        <w:rPr>
          <w:sz w:val="48"/>
          <w:lang w:val="en-CA"/>
        </w:rPr>
        <w:t>Recruitment Programs</w:t>
      </w:r>
    </w:p>
    <w:p w14:paraId="62AF5783" w14:textId="77777777" w:rsidR="007B1B27" w:rsidRPr="00FC60BB" w:rsidRDefault="007B1B27" w:rsidP="007B1B27">
      <w:p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 xml:space="preserve">The ATSSC did not submit any request through any of the following PSC programs for 2019: </w:t>
      </w:r>
    </w:p>
    <w:p w14:paraId="7BBD3333" w14:textId="77777777" w:rsidR="007B1B27" w:rsidRPr="00FC60BB" w:rsidRDefault="007B1B27" w:rsidP="009466B2">
      <w:pPr>
        <w:numPr>
          <w:ilvl w:val="0"/>
          <w:numId w:val="3"/>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Federal Internship Program for Canadians with Disabilities</w:t>
      </w:r>
    </w:p>
    <w:p w14:paraId="246219F9" w14:textId="77777777" w:rsidR="007B1B27" w:rsidRPr="00FC60BB" w:rsidRDefault="007B1B27" w:rsidP="009466B2">
      <w:pPr>
        <w:numPr>
          <w:ilvl w:val="0"/>
          <w:numId w:val="3"/>
        </w:numP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 xml:space="preserve">Employment Opportunity for Students with Disabilities </w:t>
      </w:r>
    </w:p>
    <w:p w14:paraId="628B3567" w14:textId="77777777" w:rsidR="007B1B27" w:rsidRPr="00FC60BB" w:rsidRDefault="007B1B27" w:rsidP="008A2E50">
      <w:pPr>
        <w:numPr>
          <w:ilvl w:val="0"/>
          <w:numId w:val="3"/>
        </w:numPr>
        <w:spacing w:after="12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 xml:space="preserve">Indigenous Students Employment Program </w:t>
      </w:r>
    </w:p>
    <w:p w14:paraId="118CA95B" w14:textId="77777777" w:rsidR="007B1B27" w:rsidRPr="0014782E" w:rsidRDefault="00C60C29" w:rsidP="00422176">
      <w:pPr>
        <w:pStyle w:val="Heading1"/>
        <w:rPr>
          <w:sz w:val="48"/>
          <w:lang w:val="en-CA"/>
        </w:rPr>
      </w:pPr>
      <w:r w:rsidRPr="0014782E">
        <w:rPr>
          <w:sz w:val="48"/>
          <w:lang w:val="en-CA"/>
        </w:rPr>
        <w:t>Staffing Support</w:t>
      </w:r>
    </w:p>
    <w:p w14:paraId="5C49C1FA" w14:textId="77777777" w:rsidR="007B1B27" w:rsidRPr="00FC60BB" w:rsidRDefault="007B1B27" w:rsidP="004C7EE5">
      <w:pPr>
        <w:pStyle w:val="Heading2"/>
        <w:spacing w:after="120"/>
        <w:rPr>
          <w:u w:val="single"/>
          <w:lang w:val="en-CA"/>
        </w:rPr>
      </w:pPr>
      <w:r w:rsidRPr="00FC60BB">
        <w:rPr>
          <w:lang w:val="en-CA"/>
        </w:rPr>
        <w:t xml:space="preserve">Public Service Commission Representatives and Organizational Contacts </w:t>
      </w:r>
    </w:p>
    <w:p w14:paraId="14A37D53" w14:textId="77777777" w:rsidR="007B1B27" w:rsidRPr="00FC60BB" w:rsidRDefault="007B1B27" w:rsidP="00C46800">
      <w:pPr>
        <w:spacing w:after="120"/>
        <w:rPr>
          <w:rFonts w:asciiTheme="minorHAnsi" w:hAnsiTheme="minorHAnsi" w:cstheme="minorHAnsi"/>
          <w:sz w:val="22"/>
          <w:szCs w:val="22"/>
          <w:lang w:val="en-CA" w:eastAsia="en-CA"/>
        </w:rPr>
      </w:pPr>
      <w:r w:rsidRPr="00FC60BB">
        <w:rPr>
          <w:rFonts w:asciiTheme="minorHAnsi" w:hAnsiTheme="minorHAnsi" w:cstheme="minorHAnsi"/>
          <w:sz w:val="22"/>
          <w:szCs w:val="22"/>
          <w:lang w:val="en-CA" w:eastAsia="en-CA"/>
        </w:rPr>
        <w:t xml:space="preserve">The SSA assigned to this organization is Daniel Morin. </w:t>
      </w:r>
    </w:p>
    <w:p w14:paraId="5F0B8309" w14:textId="77777777" w:rsidR="007B1B27" w:rsidRPr="00FC60BB" w:rsidRDefault="007B1B27" w:rsidP="00C46800">
      <w:pPr>
        <w:spacing w:after="120"/>
        <w:rPr>
          <w:rFonts w:asciiTheme="minorHAnsi" w:hAnsiTheme="minorHAnsi" w:cstheme="minorHAnsi"/>
          <w:sz w:val="22"/>
          <w:szCs w:val="22"/>
          <w:lang w:val="en-CA" w:eastAsia="en-CA"/>
        </w:rPr>
      </w:pPr>
      <w:r w:rsidRPr="00FC60BB">
        <w:rPr>
          <w:rFonts w:asciiTheme="minorHAnsi" w:hAnsiTheme="minorHAnsi" w:cstheme="minorHAnsi"/>
          <w:sz w:val="22"/>
          <w:szCs w:val="22"/>
          <w:lang w:val="en-CA" w:eastAsia="en-CA"/>
        </w:rPr>
        <w:t xml:space="preserve">The primary organizational contact is Sophie Michaud, Assistant Director, Recruitment, Workplace Management and Organizational Design. </w:t>
      </w:r>
    </w:p>
    <w:p w14:paraId="57AEDEB6" w14:textId="77777777" w:rsidR="000C45BD" w:rsidRPr="00FC60BB" w:rsidRDefault="007B1B27" w:rsidP="007B1B27">
      <w:pPr>
        <w:rPr>
          <w:rFonts w:asciiTheme="minorHAnsi" w:hAnsiTheme="minorHAnsi" w:cstheme="minorHAnsi"/>
          <w:sz w:val="22"/>
          <w:szCs w:val="22"/>
          <w:lang w:val="en-CA" w:eastAsia="en-CA"/>
        </w:rPr>
      </w:pPr>
      <w:r w:rsidRPr="00FC60BB">
        <w:rPr>
          <w:rFonts w:asciiTheme="minorHAnsi" w:hAnsiTheme="minorHAnsi" w:cstheme="minorHAnsi"/>
          <w:sz w:val="22"/>
          <w:szCs w:val="22"/>
          <w:lang w:val="en-CA" w:eastAsia="en-CA"/>
        </w:rPr>
        <w:t>The Head of Human Resources is Adam Beaudoin, Director.</w:t>
      </w:r>
      <w:r w:rsidR="000C45BD" w:rsidRPr="00FC60BB">
        <w:rPr>
          <w:rFonts w:asciiTheme="minorHAnsi" w:hAnsiTheme="minorHAnsi" w:cstheme="minorHAnsi"/>
          <w:sz w:val="22"/>
          <w:szCs w:val="22"/>
          <w:lang w:val="en-CA" w:eastAsia="en-CA"/>
        </w:rPr>
        <w:br w:type="page"/>
      </w:r>
    </w:p>
    <w:p w14:paraId="6AA2E247" w14:textId="77777777" w:rsidR="00C60C29" w:rsidRPr="00CE0E96" w:rsidRDefault="00C60C29" w:rsidP="00C46800">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59" w:lineRule="auto"/>
        <w:rPr>
          <w:rStyle w:val="Strong"/>
          <w:rFonts w:eastAsiaTheme="minorHAnsi"/>
        </w:rPr>
      </w:pPr>
      <w:r w:rsidRPr="00CE0E96">
        <w:rPr>
          <w:rStyle w:val="Strong"/>
          <w:rFonts w:eastAsiaTheme="minorHAnsi"/>
        </w:rPr>
        <w:lastRenderedPageBreak/>
        <w:t>PREPARED BY:</w:t>
      </w:r>
    </w:p>
    <w:p w14:paraId="05CFA8CB" w14:textId="77777777" w:rsidR="00C60C29" w:rsidRPr="00FC60BB" w:rsidRDefault="00C60C29" w:rsidP="00C46800">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 xml:space="preserve">Daniel Morin, </w:t>
      </w:r>
    </w:p>
    <w:p w14:paraId="0A8B35E9" w14:textId="77777777" w:rsidR="00C60C29" w:rsidRPr="00FC60BB" w:rsidRDefault="00C60C29" w:rsidP="00C60C29">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Staffing Support Advisor</w:t>
      </w:r>
    </w:p>
    <w:p w14:paraId="199FEE09" w14:textId="77777777" w:rsidR="007B1B27" w:rsidRPr="00FC60BB" w:rsidRDefault="007B1B27" w:rsidP="00C46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lang w:val="en-CA"/>
        </w:rPr>
      </w:pPr>
      <w:r w:rsidRPr="00FC60BB">
        <w:rPr>
          <w:rFonts w:asciiTheme="minorHAnsi" w:hAnsiTheme="minorHAnsi" w:cstheme="minorHAnsi"/>
          <w:sz w:val="22"/>
          <w:szCs w:val="22"/>
          <w:lang w:val="en-CA"/>
        </w:rPr>
        <w:t>Annexes:</w:t>
      </w:r>
    </w:p>
    <w:p w14:paraId="277B8033" w14:textId="77777777" w:rsidR="008A2E50" w:rsidRPr="00FC60BB" w:rsidRDefault="002B597B" w:rsidP="008A2E50">
      <w:pPr>
        <w:numPr>
          <w:ilvl w:val="0"/>
          <w:numId w:val="1"/>
        </w:numPr>
        <w:spacing w:after="120"/>
        <w:ind w:left="723"/>
        <w:rPr>
          <w:rFonts w:asciiTheme="minorHAnsi" w:hAnsiTheme="minorHAnsi" w:cstheme="minorHAnsi"/>
          <w:bCs/>
          <w:sz w:val="22"/>
          <w:szCs w:val="22"/>
          <w:lang w:val="en-CA"/>
        </w:rPr>
      </w:pPr>
      <w:hyperlink w:anchor="Annex_A" w:history="1">
        <w:r w:rsidR="008A2E50" w:rsidRPr="00FC60BB">
          <w:rPr>
            <w:rStyle w:val="Hyperlink"/>
            <w:rFonts w:asciiTheme="minorHAnsi" w:hAnsiTheme="minorHAnsi" w:cstheme="minorHAnsi"/>
            <w:sz w:val="22"/>
            <w:szCs w:val="22"/>
            <w:lang w:val="en-CA"/>
          </w:rPr>
          <w:t>Annex A – A New Direction in Staffing (NDS) highlights for DHs</w:t>
        </w:r>
      </w:hyperlink>
    </w:p>
    <w:p w14:paraId="47F1EF75" w14:textId="77777777" w:rsidR="008A2E50" w:rsidRPr="00FC60BB" w:rsidRDefault="002B597B" w:rsidP="008A2E50">
      <w:pPr>
        <w:numPr>
          <w:ilvl w:val="0"/>
          <w:numId w:val="1"/>
        </w:numPr>
        <w:ind w:left="723"/>
        <w:rPr>
          <w:rFonts w:asciiTheme="minorHAnsi" w:hAnsiTheme="minorHAnsi" w:cstheme="minorHAnsi"/>
          <w:bCs/>
          <w:strike/>
          <w:sz w:val="22"/>
          <w:szCs w:val="22"/>
          <w:lang w:val="en-CA"/>
        </w:rPr>
      </w:pPr>
      <w:hyperlink w:anchor="Annex_B" w:history="1">
        <w:r w:rsidR="008A2E50" w:rsidRPr="00FC60BB">
          <w:rPr>
            <w:rStyle w:val="Hyperlink"/>
            <w:rFonts w:asciiTheme="minorHAnsi" w:hAnsiTheme="minorHAnsi" w:cstheme="minorHAnsi"/>
            <w:sz w:val="22"/>
            <w:szCs w:val="22"/>
            <w:lang w:val="en-CA"/>
          </w:rPr>
          <w:t>Annex B - Data on Population and Staffing Activities</w:t>
        </w:r>
      </w:hyperlink>
    </w:p>
    <w:p w14:paraId="277C278F" w14:textId="77777777" w:rsidR="008A2E50" w:rsidRPr="00FC60BB" w:rsidRDefault="008A2E50" w:rsidP="008A2E50">
      <w:pPr>
        <w:rPr>
          <w:rStyle w:val="Hyperlink"/>
          <w:rFonts w:asciiTheme="minorHAnsi" w:hAnsiTheme="minorHAnsi" w:cstheme="minorHAnsi"/>
          <w:sz w:val="22"/>
          <w:szCs w:val="22"/>
          <w:lang w:val="en-CA"/>
        </w:rPr>
        <w:sectPr w:rsidR="008A2E50" w:rsidRPr="00FC60BB" w:rsidSect="0073380A">
          <w:footnotePr>
            <w:numFmt w:val="lowerLetter"/>
          </w:footnotePr>
          <w:endnotePr>
            <w:numFmt w:val="lowerLetter"/>
          </w:endnotePr>
          <w:pgSz w:w="12240" w:h="15840" w:code="1"/>
          <w:pgMar w:top="1276" w:right="1304" w:bottom="1361" w:left="1304" w:header="284" w:footer="284" w:gutter="0"/>
          <w:cols w:space="720"/>
          <w:docGrid w:linePitch="326"/>
        </w:sectPr>
      </w:pPr>
    </w:p>
    <w:p w14:paraId="61065A6F" w14:textId="77777777" w:rsidR="007B1B27" w:rsidRPr="00FC60BB" w:rsidRDefault="008A2E50" w:rsidP="008A2E50">
      <w:pPr>
        <w:pStyle w:val="Heading3"/>
        <w:jc w:val="right"/>
        <w:rPr>
          <w:sz w:val="22"/>
          <w:lang w:val="en-CA"/>
        </w:rPr>
      </w:pPr>
      <w:bookmarkStart w:id="0" w:name="Annex_A"/>
      <w:r w:rsidRPr="00FC60BB">
        <w:rPr>
          <w:sz w:val="22"/>
          <w:lang w:val="en-CA"/>
        </w:rPr>
        <w:lastRenderedPageBreak/>
        <w:t>Annex A</w:t>
      </w:r>
    </w:p>
    <w:bookmarkEnd w:id="0"/>
    <w:p w14:paraId="4BC84B16" w14:textId="77777777" w:rsidR="009E0B33" w:rsidRPr="00FC60BB" w:rsidRDefault="009E0B33" w:rsidP="009E0B33">
      <w:pPr>
        <w:pStyle w:val="Heading2"/>
        <w:jc w:val="center"/>
        <w:rPr>
          <w:lang w:val="en-CA"/>
        </w:rPr>
      </w:pPr>
      <w:r w:rsidRPr="00FC60BB">
        <w:rPr>
          <w:lang w:val="en-CA"/>
        </w:rPr>
        <w:t>A New direction in Staffing – A merit-based system that is effective, efficient and fair</w:t>
      </w:r>
    </w:p>
    <w:p w14:paraId="5DF56102" w14:textId="77777777" w:rsidR="009E0B33" w:rsidRPr="00FC60BB" w:rsidRDefault="009E0B33" w:rsidP="009E0B33">
      <w:pPr>
        <w:pStyle w:val="Heading3"/>
        <w:spacing w:after="120"/>
        <w:rPr>
          <w:lang w:val="en-CA"/>
        </w:rPr>
      </w:pPr>
      <w:r w:rsidRPr="00FC60BB">
        <w:rPr>
          <w:lang w:val="en-CA"/>
        </w:rPr>
        <w:t>Appointment Policy</w:t>
      </w:r>
    </w:p>
    <w:p w14:paraId="299777A6" w14:textId="77777777" w:rsidR="009E0B33" w:rsidRPr="00FC60BB" w:rsidRDefault="009E0B33" w:rsidP="009E0B33">
      <w:pPr>
        <w:keepLines/>
        <w:tabs>
          <w:tab w:val="center" w:pos="4680"/>
          <w:tab w:val="right" w:pos="9360"/>
        </w:tabs>
        <w:rPr>
          <w:rFonts w:asciiTheme="minorHAnsi" w:eastAsiaTheme="minorHAnsi" w:hAnsiTheme="minorHAnsi" w:cstheme="minorHAnsi"/>
          <w:noProof/>
          <w:sz w:val="22"/>
          <w:szCs w:val="22"/>
          <w:lang w:val="en-CA" w:eastAsia="en-CA"/>
        </w:rPr>
      </w:pPr>
      <w:r w:rsidRPr="00FC60BB">
        <w:rPr>
          <w:rStyle w:val="Strong"/>
          <w:rFonts w:eastAsiaTheme="minorHAnsi" w:cstheme="minorHAnsi"/>
          <w:szCs w:val="22"/>
          <w:lang w:val="en-CA"/>
        </w:rPr>
        <w:t>New focus on core requirements</w:t>
      </w:r>
      <w:r w:rsidRPr="00FC60BB">
        <w:rPr>
          <w:rFonts w:asciiTheme="minorHAnsi" w:eastAsiaTheme="minorHAnsi" w:hAnsiTheme="minorHAnsi" w:cstheme="minorHAnsi"/>
          <w:noProof/>
          <w:sz w:val="22"/>
          <w:szCs w:val="22"/>
          <w:lang w:val="en-CA" w:eastAsia="en-CA"/>
        </w:rPr>
        <w:t xml:space="preserve"> to provide sub-delegated persons greater discretion in making an appointment</w:t>
      </w:r>
    </w:p>
    <w:p w14:paraId="32D5E0B0" w14:textId="77777777" w:rsidR="009E0B33" w:rsidRPr="00FC60BB" w:rsidRDefault="009E0B33" w:rsidP="009E0B33">
      <w:pPr>
        <w:keepLines/>
        <w:numPr>
          <w:ilvl w:val="0"/>
          <w:numId w:val="12"/>
        </w:numPr>
        <w:tabs>
          <w:tab w:val="center" w:pos="4680"/>
          <w:tab w:val="right" w:pos="9360"/>
        </w:tabs>
        <w:rPr>
          <w:rFonts w:asciiTheme="minorHAnsi" w:eastAsiaTheme="minorHAnsi" w:hAnsiTheme="minorHAnsi" w:cstheme="minorHAnsi"/>
          <w:sz w:val="22"/>
          <w:szCs w:val="22"/>
          <w:lang w:val="en-CA"/>
        </w:rPr>
      </w:pPr>
      <w:r w:rsidRPr="00FC60BB">
        <w:rPr>
          <w:rStyle w:val="Strong"/>
          <w:rFonts w:eastAsiaTheme="minorHAnsi" w:cstheme="minorHAnsi"/>
          <w:szCs w:val="22"/>
          <w:lang w:val="en-CA"/>
        </w:rPr>
        <w:t>One Appointment Policy</w:t>
      </w:r>
      <w:r w:rsidRPr="00FC60BB">
        <w:rPr>
          <w:rFonts w:asciiTheme="minorHAnsi" w:eastAsiaTheme="minorHAnsi" w:hAnsiTheme="minorHAnsi" w:cstheme="minorHAnsi"/>
          <w:sz w:val="22"/>
          <w:szCs w:val="22"/>
          <w:lang w:val="en-CA"/>
        </w:rPr>
        <w:t>, no duplication with legal requirements</w:t>
      </w:r>
    </w:p>
    <w:p w14:paraId="5219A16B" w14:textId="77777777" w:rsidR="009E0B33" w:rsidRPr="00FC60BB" w:rsidRDefault="009E0B33" w:rsidP="009E0B33">
      <w:pPr>
        <w:keepLines/>
        <w:numPr>
          <w:ilvl w:val="0"/>
          <w:numId w:val="12"/>
        </w:numPr>
        <w:tabs>
          <w:tab w:val="center" w:pos="4680"/>
          <w:tab w:val="right" w:pos="9360"/>
        </w:tabs>
        <w:rPr>
          <w:rFonts w:asciiTheme="minorHAnsi" w:eastAsiaTheme="minorHAnsi" w:hAnsiTheme="minorHAnsi" w:cstheme="minorHAnsi"/>
          <w:sz w:val="22"/>
          <w:szCs w:val="22"/>
          <w:lang w:val="en-CA"/>
        </w:rPr>
      </w:pPr>
      <w:r w:rsidRPr="00FC60BB">
        <w:rPr>
          <w:rStyle w:val="Strong"/>
          <w:rFonts w:eastAsiaTheme="minorHAnsi" w:cstheme="minorHAnsi"/>
          <w:szCs w:val="22"/>
          <w:lang w:val="en-CA"/>
        </w:rPr>
        <w:t>Broader focus on values-based system</w:t>
      </w:r>
      <w:r w:rsidRPr="00FC60BB">
        <w:rPr>
          <w:rFonts w:asciiTheme="minorHAnsi" w:eastAsiaTheme="minorHAnsi" w:hAnsiTheme="minorHAnsi" w:cstheme="minorBidi"/>
          <w:bCs/>
          <w:sz w:val="22"/>
          <w:szCs w:val="22"/>
          <w:lang w:val="en-CA"/>
        </w:rPr>
        <w:t>,</w:t>
      </w:r>
      <w:r w:rsidRPr="00FC60BB">
        <w:rPr>
          <w:rFonts w:asciiTheme="minorHAnsi" w:eastAsiaTheme="minorHAnsi" w:hAnsiTheme="minorHAnsi" w:cstheme="minorHAnsi"/>
          <w:sz w:val="22"/>
          <w:szCs w:val="22"/>
          <w:lang w:val="en-CA"/>
        </w:rPr>
        <w:t xml:space="preserve"> away from rules-based system</w:t>
      </w:r>
    </w:p>
    <w:p w14:paraId="3C526BC6" w14:textId="77777777" w:rsidR="009E0B33" w:rsidRPr="00FC60BB" w:rsidRDefault="009E0B33" w:rsidP="009E0B33">
      <w:pPr>
        <w:keepLines/>
        <w:numPr>
          <w:ilvl w:val="0"/>
          <w:numId w:val="12"/>
        </w:numPr>
        <w:tabs>
          <w:tab w:val="center" w:pos="4680"/>
          <w:tab w:val="right" w:pos="9360"/>
        </w:tabs>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 xml:space="preserve">Appointments Policy supported by </w:t>
      </w:r>
      <w:r w:rsidRPr="00FC60BB">
        <w:rPr>
          <w:rStyle w:val="Strong"/>
          <w:rFonts w:eastAsiaTheme="minorHAnsi" w:cstheme="minorHAnsi"/>
          <w:szCs w:val="22"/>
          <w:lang w:val="en-CA"/>
        </w:rPr>
        <w:t>streamlined guidance:</w:t>
      </w:r>
    </w:p>
    <w:p w14:paraId="40FD65F8" w14:textId="77777777" w:rsidR="009E0B33" w:rsidRPr="00FC60BB" w:rsidRDefault="009E0B33" w:rsidP="009E0B33">
      <w:pPr>
        <w:keepLines/>
        <w:numPr>
          <w:ilvl w:val="1"/>
          <w:numId w:val="19"/>
        </w:numPr>
        <w:tabs>
          <w:tab w:val="center" w:pos="4680"/>
          <w:tab w:val="right" w:pos="9360"/>
        </w:tabs>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A roadmap to the requirements in legislation, regulations and policy</w:t>
      </w:r>
    </w:p>
    <w:p w14:paraId="543DA92B" w14:textId="77777777" w:rsidR="009E0B33" w:rsidRPr="00FC60BB" w:rsidRDefault="009E0B33" w:rsidP="009E0B33">
      <w:pPr>
        <w:keepLines/>
        <w:numPr>
          <w:ilvl w:val="1"/>
          <w:numId w:val="19"/>
        </w:numPr>
        <w:tabs>
          <w:tab w:val="center" w:pos="4680"/>
          <w:tab w:val="right" w:pos="9360"/>
        </w:tabs>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Options and considerations for decision-making where there is discretion</w:t>
      </w:r>
    </w:p>
    <w:p w14:paraId="5C8FBACC" w14:textId="77777777" w:rsidR="009E0B33" w:rsidRPr="00FC60BB" w:rsidRDefault="009E0B33" w:rsidP="009E0B33">
      <w:pPr>
        <w:keepLines/>
        <w:numPr>
          <w:ilvl w:val="0"/>
          <w:numId w:val="13"/>
        </w:numPr>
        <w:tabs>
          <w:tab w:val="center" w:pos="4680"/>
          <w:tab w:val="right" w:pos="9360"/>
        </w:tabs>
        <w:rPr>
          <w:rFonts w:asciiTheme="minorHAnsi" w:eastAsiaTheme="minorHAnsi" w:hAnsiTheme="minorHAnsi" w:cstheme="minorHAnsi"/>
          <w:sz w:val="22"/>
          <w:szCs w:val="22"/>
          <w:lang w:val="en-CA"/>
        </w:rPr>
      </w:pPr>
      <w:r w:rsidRPr="00FC60BB">
        <w:rPr>
          <w:rStyle w:val="Strong"/>
          <w:rFonts w:eastAsiaTheme="minorHAnsi" w:cstheme="minorHAnsi"/>
          <w:szCs w:val="22"/>
          <w:lang w:val="en-CA"/>
        </w:rPr>
        <w:t>Clear expectations</w:t>
      </w:r>
      <w:r w:rsidRPr="00FC60BB">
        <w:rPr>
          <w:rFonts w:asciiTheme="minorHAnsi" w:eastAsiaTheme="minorHAnsi" w:hAnsiTheme="minorHAnsi" w:cstheme="minorHAnsi"/>
          <w:sz w:val="22"/>
          <w:szCs w:val="22"/>
          <w:lang w:val="en-CA"/>
        </w:rPr>
        <w:t xml:space="preserve"> for priority entitlements</w:t>
      </w:r>
    </w:p>
    <w:p w14:paraId="10FE1EB2" w14:textId="77777777" w:rsidR="009E0B33" w:rsidRPr="00FC60BB" w:rsidRDefault="009E0B33" w:rsidP="009E0B33">
      <w:pPr>
        <w:keepLines/>
        <w:numPr>
          <w:ilvl w:val="0"/>
          <w:numId w:val="13"/>
        </w:numPr>
        <w:tabs>
          <w:tab w:val="center" w:pos="4680"/>
          <w:tab w:val="right" w:pos="9360"/>
        </w:tabs>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No restrictions to assessment methods for EX appointments</w:t>
      </w:r>
    </w:p>
    <w:p w14:paraId="7FEC4C6E" w14:textId="77777777" w:rsidR="009E0B33" w:rsidRPr="00FC60BB" w:rsidRDefault="009E0B33" w:rsidP="009E0B33">
      <w:pPr>
        <w:keepLines/>
        <w:numPr>
          <w:ilvl w:val="0"/>
          <w:numId w:val="13"/>
        </w:numPr>
        <w:tabs>
          <w:tab w:val="center" w:pos="4680"/>
          <w:tab w:val="right" w:pos="9360"/>
        </w:tabs>
        <w:spacing w:after="240"/>
        <w:ind w:left="714" w:hanging="357"/>
        <w:rPr>
          <w:rFonts w:asciiTheme="minorHAnsi" w:eastAsiaTheme="minorHAnsi" w:hAnsiTheme="minorHAnsi" w:cstheme="minorHAnsi"/>
          <w:sz w:val="22"/>
          <w:szCs w:val="22"/>
          <w:lang w:val="en-CA"/>
        </w:rPr>
      </w:pPr>
      <w:r w:rsidRPr="00FC60BB">
        <w:rPr>
          <w:rFonts w:asciiTheme="minorHAnsi" w:eastAsiaTheme="minorHAnsi" w:hAnsiTheme="minorHAnsi" w:cstheme="minorHAnsi"/>
          <w:sz w:val="22"/>
          <w:szCs w:val="22"/>
          <w:lang w:val="en-CA"/>
        </w:rPr>
        <w:t>Exceptions to National Area of Selection approved by deputy head</w:t>
      </w:r>
    </w:p>
    <w:p w14:paraId="273D19E3" w14:textId="77777777" w:rsidR="009E0B33" w:rsidRPr="00FC60BB" w:rsidRDefault="009E0B33" w:rsidP="009E0B33">
      <w:pPr>
        <w:pStyle w:val="Heading3"/>
        <w:spacing w:after="120"/>
        <w:rPr>
          <w:lang w:val="en-CA"/>
        </w:rPr>
      </w:pPr>
      <w:r w:rsidRPr="00FC60BB">
        <w:rPr>
          <w:lang w:val="en-CA"/>
        </w:rPr>
        <w:t>Delegation</w:t>
      </w:r>
    </w:p>
    <w:p w14:paraId="6E16F21A" w14:textId="77777777" w:rsidR="009E0B33" w:rsidRPr="00FC60BB" w:rsidRDefault="009E0B33" w:rsidP="009E0B33">
      <w:pPr>
        <w:keepLines/>
        <w:numPr>
          <w:ilvl w:val="0"/>
          <w:numId w:val="15"/>
        </w:numPr>
        <w:spacing w:after="320" w:line="259" w:lineRule="auto"/>
        <w:contextualSpacing/>
        <w:rPr>
          <w:rFonts w:asciiTheme="minorHAnsi" w:eastAsiaTheme="minorHAnsi" w:hAnsiTheme="minorHAnsi" w:cstheme="minorBidi"/>
          <w:sz w:val="22"/>
          <w:szCs w:val="22"/>
          <w:lang w:val="en-CA"/>
        </w:rPr>
      </w:pPr>
      <w:r w:rsidRPr="00FC60BB">
        <w:rPr>
          <w:rStyle w:val="Strong"/>
          <w:rFonts w:eastAsiaTheme="minorHAnsi" w:cstheme="minorHAnsi"/>
          <w:lang w:val="en-CA"/>
        </w:rPr>
        <w:t>New ability to customize organizational staffing system</w:t>
      </w:r>
      <w:r w:rsidRPr="00FC60BB">
        <w:rPr>
          <w:rFonts w:asciiTheme="minorHAnsi" w:eastAsiaTheme="minorHAnsi" w:hAnsiTheme="minorHAnsi" w:cstheme="minorBidi"/>
          <w:sz w:val="22"/>
          <w:szCs w:val="22"/>
          <w:lang w:val="en-CA"/>
        </w:rPr>
        <w:t xml:space="preserve"> based on unique context and evolving business needs</w:t>
      </w:r>
    </w:p>
    <w:p w14:paraId="0152CB15" w14:textId="77777777" w:rsidR="009E0B33" w:rsidRPr="00FC60BB" w:rsidRDefault="009E0B33" w:rsidP="009E0B33">
      <w:pPr>
        <w:keepLines/>
        <w:numPr>
          <w:ilvl w:val="0"/>
          <w:numId w:val="14"/>
        </w:numPr>
        <w:spacing w:after="320" w:line="259" w:lineRule="auto"/>
        <w:contextualSpacing/>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 xml:space="preserve">Deputy head establish a direction on the </w:t>
      </w:r>
      <w:r w:rsidRPr="00FC60BB">
        <w:rPr>
          <w:rStyle w:val="Strong"/>
          <w:rFonts w:eastAsiaTheme="minorHAnsi" w:cstheme="minorHAnsi"/>
          <w:lang w:val="en-CA"/>
        </w:rPr>
        <w:t>use of advertised and non-advertised</w:t>
      </w:r>
      <w:r w:rsidRPr="00FC60BB">
        <w:rPr>
          <w:rFonts w:asciiTheme="minorHAnsi" w:eastAsiaTheme="minorHAnsi" w:hAnsiTheme="minorHAnsi" w:cstheme="minorBidi"/>
          <w:sz w:val="20"/>
          <w:szCs w:val="22"/>
          <w:lang w:val="en-CA"/>
        </w:rPr>
        <w:t xml:space="preserve"> </w:t>
      </w:r>
      <w:r w:rsidRPr="00FC60BB">
        <w:rPr>
          <w:rFonts w:asciiTheme="minorHAnsi" w:eastAsiaTheme="minorHAnsi" w:hAnsiTheme="minorHAnsi" w:cstheme="minorBidi"/>
          <w:sz w:val="22"/>
          <w:szCs w:val="22"/>
          <w:lang w:val="en-CA"/>
        </w:rPr>
        <w:t>appointment processes</w:t>
      </w:r>
    </w:p>
    <w:p w14:paraId="60458D03" w14:textId="77777777" w:rsidR="009E0B33" w:rsidRPr="00FC60BB" w:rsidRDefault="009E0B33" w:rsidP="009E0B33">
      <w:pPr>
        <w:keepLines/>
        <w:numPr>
          <w:ilvl w:val="0"/>
          <w:numId w:val="14"/>
        </w:numPr>
        <w:spacing w:after="320" w:line="259" w:lineRule="auto"/>
        <w:contextualSpacing/>
        <w:rPr>
          <w:rStyle w:val="Strong"/>
          <w:rFonts w:eastAsiaTheme="minorHAnsi" w:cstheme="minorHAnsi"/>
          <w:lang w:val="en-CA"/>
        </w:rPr>
      </w:pPr>
      <w:r w:rsidRPr="00FC60BB">
        <w:rPr>
          <w:rFonts w:asciiTheme="minorHAnsi" w:eastAsiaTheme="minorHAnsi" w:hAnsiTheme="minorHAnsi" w:cstheme="minorBidi"/>
          <w:sz w:val="22"/>
          <w:szCs w:val="22"/>
          <w:lang w:val="en-CA"/>
        </w:rPr>
        <w:t xml:space="preserve">Deputy heads to establish requirement(s) for sub-delegated persons to </w:t>
      </w:r>
      <w:r w:rsidRPr="00FC60BB">
        <w:rPr>
          <w:rStyle w:val="Strong"/>
          <w:rFonts w:eastAsiaTheme="minorHAnsi" w:cstheme="minorHAnsi"/>
          <w:lang w:val="en-CA"/>
        </w:rPr>
        <w:t>articulate, in writing, their selection decision</w:t>
      </w:r>
    </w:p>
    <w:p w14:paraId="673FA89F" w14:textId="77777777" w:rsidR="009E0B33" w:rsidRPr="00FC60BB" w:rsidRDefault="009E0B33" w:rsidP="009E0B33">
      <w:pPr>
        <w:keepLines/>
        <w:numPr>
          <w:ilvl w:val="0"/>
          <w:numId w:val="14"/>
        </w:numPr>
        <w:spacing w:after="320" w:line="259" w:lineRule="auto"/>
        <w:contextualSpacing/>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Clarity on requirements related to investigations</w:t>
      </w:r>
    </w:p>
    <w:p w14:paraId="1034BCB9" w14:textId="77777777" w:rsidR="009E0B33" w:rsidRPr="00FC60BB" w:rsidRDefault="009E0B33" w:rsidP="009E0B33">
      <w:pPr>
        <w:keepLines/>
        <w:numPr>
          <w:ilvl w:val="0"/>
          <w:numId w:val="14"/>
        </w:numPr>
        <w:spacing w:after="320" w:line="259" w:lineRule="auto"/>
        <w:contextualSpacing/>
        <w:rPr>
          <w:rFonts w:asciiTheme="minorHAnsi" w:eastAsiaTheme="minorHAnsi" w:hAnsiTheme="minorHAnsi" w:cstheme="minorBidi"/>
          <w:sz w:val="22"/>
          <w:szCs w:val="22"/>
          <w:lang w:val="en-CA"/>
        </w:rPr>
      </w:pPr>
      <w:r w:rsidRPr="00FC60BB">
        <w:rPr>
          <w:rStyle w:val="Strong"/>
          <w:rFonts w:eastAsiaTheme="minorHAnsi" w:cstheme="minorHAnsi"/>
          <w:lang w:val="en-CA"/>
        </w:rPr>
        <w:t>Attestation form</w:t>
      </w:r>
      <w:r w:rsidRPr="00FC60BB">
        <w:rPr>
          <w:rFonts w:asciiTheme="minorHAnsi" w:eastAsiaTheme="minorHAnsi" w:hAnsiTheme="minorHAnsi" w:cstheme="minorBidi"/>
          <w:sz w:val="20"/>
          <w:szCs w:val="22"/>
          <w:lang w:val="en-CA"/>
        </w:rPr>
        <w:t xml:space="preserve"> </w:t>
      </w:r>
      <w:r w:rsidRPr="00FC60BB">
        <w:rPr>
          <w:rFonts w:asciiTheme="minorHAnsi" w:eastAsiaTheme="minorHAnsi" w:hAnsiTheme="minorHAnsi" w:cstheme="minorBidi"/>
          <w:sz w:val="22"/>
          <w:szCs w:val="22"/>
          <w:lang w:val="en-CA"/>
        </w:rPr>
        <w:t>to reinforce the accountabilities of sub-delegated persons</w:t>
      </w:r>
    </w:p>
    <w:p w14:paraId="5238BA55" w14:textId="77777777" w:rsidR="009E0B33" w:rsidRPr="00FC60BB" w:rsidRDefault="009E0B33" w:rsidP="009E0B33">
      <w:pPr>
        <w:keepLines/>
        <w:spacing w:after="360" w:line="259" w:lineRule="auto"/>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All PSC monitoring and reporting requirements now found in the Appointment Delegation and Accountability Instrument</w:t>
      </w:r>
    </w:p>
    <w:p w14:paraId="65512066" w14:textId="77777777" w:rsidR="009E0B33" w:rsidRPr="00FC60BB" w:rsidRDefault="009E0B33" w:rsidP="009E0B33">
      <w:pPr>
        <w:pStyle w:val="Heading3"/>
        <w:spacing w:after="120"/>
        <w:rPr>
          <w:lang w:val="en-CA"/>
        </w:rPr>
      </w:pPr>
      <w:r w:rsidRPr="00FC60BB">
        <w:rPr>
          <w:lang w:val="en-CA"/>
        </w:rPr>
        <w:t>Monitoring and Reporting</w:t>
      </w:r>
    </w:p>
    <w:p w14:paraId="7454DADE" w14:textId="77777777" w:rsidR="009E0B33" w:rsidRPr="00FC60BB" w:rsidRDefault="009E0B33" w:rsidP="009E0B33">
      <w:pPr>
        <w:keepLines/>
        <w:spacing w:after="120" w:line="259" w:lineRule="auto"/>
        <w:rPr>
          <w:rFonts w:asciiTheme="minorHAnsi" w:eastAsiaTheme="minorHAnsi" w:hAnsiTheme="minorHAnsi" w:cstheme="minorBidi"/>
          <w:sz w:val="22"/>
          <w:szCs w:val="22"/>
          <w:lang w:val="en-CA"/>
        </w:rPr>
      </w:pPr>
      <w:r w:rsidRPr="00FC60BB">
        <w:rPr>
          <w:rStyle w:val="Strong"/>
          <w:rFonts w:eastAsiaTheme="minorHAnsi" w:cstheme="minorHAnsi"/>
          <w:szCs w:val="22"/>
          <w:lang w:val="en-CA"/>
        </w:rPr>
        <w:t>Monitoring built by organizations</w:t>
      </w:r>
      <w:r w:rsidRPr="00FC60BB">
        <w:rPr>
          <w:rFonts w:asciiTheme="minorHAnsi" w:eastAsiaTheme="minorHAnsi" w:hAnsiTheme="minorHAnsi" w:cstheme="minorBidi"/>
          <w:sz w:val="22"/>
          <w:szCs w:val="22"/>
          <w:lang w:val="en-CA"/>
        </w:rPr>
        <w:t>, targeted to their needs</w:t>
      </w:r>
    </w:p>
    <w:p w14:paraId="765D737A" w14:textId="77777777" w:rsidR="009E0B33" w:rsidRPr="00FC60BB" w:rsidRDefault="009E0B33" w:rsidP="009E0B33">
      <w:pPr>
        <w:keepLines/>
        <w:numPr>
          <w:ilvl w:val="0"/>
          <w:numId w:val="16"/>
        </w:numPr>
        <w:spacing w:after="320" w:line="259" w:lineRule="auto"/>
        <w:contextualSpacing/>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Annual Departmental Staffing Accountability Report no longer required</w:t>
      </w:r>
    </w:p>
    <w:p w14:paraId="7A2400D5" w14:textId="77777777" w:rsidR="009E0B33" w:rsidRPr="00FC60BB" w:rsidRDefault="009E0B33" w:rsidP="009E0B33">
      <w:pPr>
        <w:keepLines/>
        <w:numPr>
          <w:ilvl w:val="0"/>
          <w:numId w:val="16"/>
        </w:numPr>
        <w:spacing w:after="320" w:line="259" w:lineRule="auto"/>
        <w:contextualSpacing/>
        <w:rPr>
          <w:rFonts w:asciiTheme="minorHAnsi" w:eastAsiaTheme="minorHAnsi" w:hAnsiTheme="minorHAnsi" w:cstheme="minorBidi"/>
          <w:sz w:val="22"/>
          <w:szCs w:val="22"/>
          <w:lang w:val="en-CA"/>
        </w:rPr>
      </w:pPr>
      <w:r w:rsidRPr="00FC60BB">
        <w:rPr>
          <w:rStyle w:val="Strong"/>
          <w:rFonts w:eastAsiaTheme="minorHAnsi" w:cstheme="minorHAnsi"/>
          <w:szCs w:val="22"/>
          <w:lang w:val="en-CA"/>
        </w:rPr>
        <w:t>Annual reporting to the PSC limited</w:t>
      </w:r>
      <w:r w:rsidRPr="00FC60BB">
        <w:rPr>
          <w:rFonts w:asciiTheme="minorHAnsi" w:eastAsiaTheme="minorHAnsi" w:hAnsiTheme="minorHAnsi" w:cstheme="minorBidi"/>
          <w:sz w:val="22"/>
          <w:szCs w:val="22"/>
          <w:lang w:val="en-CA"/>
        </w:rPr>
        <w:t xml:space="preserve"> to:</w:t>
      </w:r>
    </w:p>
    <w:p w14:paraId="5240F2C6" w14:textId="77777777" w:rsidR="009E0B33" w:rsidRPr="00FC60BB" w:rsidRDefault="009E0B33" w:rsidP="009E0B33">
      <w:pPr>
        <w:keepLines/>
        <w:numPr>
          <w:ilvl w:val="1"/>
          <w:numId w:val="16"/>
        </w:numPr>
        <w:spacing w:after="320" w:line="259" w:lineRule="auto"/>
        <w:contextualSpacing/>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Use of Public Service Official Language Exclusion Approval Order</w:t>
      </w:r>
    </w:p>
    <w:p w14:paraId="20AE7876" w14:textId="77777777" w:rsidR="009E0B33" w:rsidRPr="00FC60BB" w:rsidRDefault="009E0B33" w:rsidP="009E0B33">
      <w:pPr>
        <w:keepLines/>
        <w:numPr>
          <w:ilvl w:val="1"/>
          <w:numId w:val="16"/>
        </w:numPr>
        <w:spacing w:after="320" w:line="259" w:lineRule="auto"/>
        <w:contextualSpacing/>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Exceptions to the National Area of Selection approved by the deputy head</w:t>
      </w:r>
    </w:p>
    <w:p w14:paraId="60501B3C" w14:textId="77777777" w:rsidR="009E0B33" w:rsidRPr="00FC60BB" w:rsidRDefault="009E0B33" w:rsidP="009E0B33">
      <w:pPr>
        <w:keepLines/>
        <w:numPr>
          <w:ilvl w:val="1"/>
          <w:numId w:val="16"/>
        </w:numPr>
        <w:spacing w:after="320" w:line="259" w:lineRule="auto"/>
        <w:contextualSpacing/>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Results of any internal investigations</w:t>
      </w:r>
    </w:p>
    <w:p w14:paraId="7C31BADD" w14:textId="77777777" w:rsidR="009E0B33" w:rsidRPr="00FC60BB" w:rsidRDefault="009E0B33" w:rsidP="009E0B33">
      <w:pPr>
        <w:keepLines/>
        <w:numPr>
          <w:ilvl w:val="1"/>
          <w:numId w:val="16"/>
        </w:numPr>
        <w:spacing w:after="320" w:line="259" w:lineRule="auto"/>
        <w:contextualSpacing/>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Actions taken following any PSC investigations or audits.</w:t>
      </w:r>
    </w:p>
    <w:p w14:paraId="1ADAA9F9" w14:textId="77777777" w:rsidR="009E0B33" w:rsidRPr="00FC60BB" w:rsidRDefault="009E0B33" w:rsidP="009E0B33">
      <w:pPr>
        <w:keepLines/>
        <w:numPr>
          <w:ilvl w:val="0"/>
          <w:numId w:val="17"/>
        </w:numPr>
        <w:spacing w:after="320" w:line="259" w:lineRule="auto"/>
        <w:contextualSpacing/>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 xml:space="preserve">Deputy head responsible for </w:t>
      </w:r>
      <w:r w:rsidRPr="00FC60BB">
        <w:rPr>
          <w:rStyle w:val="Strong"/>
          <w:rFonts w:eastAsiaTheme="minorHAnsi" w:cstheme="minorHAnsi"/>
          <w:szCs w:val="22"/>
          <w:lang w:val="en-CA"/>
        </w:rPr>
        <w:t>ongoing monitoring of organizational staffing system</w:t>
      </w:r>
      <w:r w:rsidRPr="00FC60BB">
        <w:rPr>
          <w:rFonts w:asciiTheme="minorHAnsi" w:eastAsiaTheme="minorHAnsi" w:hAnsiTheme="minorHAnsi" w:cstheme="minorBidi"/>
          <w:sz w:val="22"/>
          <w:szCs w:val="22"/>
          <w:lang w:val="en-CA"/>
        </w:rPr>
        <w:t xml:space="preserve"> based on the organization’s unique context</w:t>
      </w:r>
    </w:p>
    <w:p w14:paraId="51B76855" w14:textId="77777777" w:rsidR="009E0B33" w:rsidRPr="00FC60BB" w:rsidRDefault="009E0B33" w:rsidP="009E0B33">
      <w:pPr>
        <w:keepLines/>
        <w:numPr>
          <w:ilvl w:val="1"/>
          <w:numId w:val="17"/>
        </w:numPr>
        <w:spacing w:after="320" w:line="259" w:lineRule="auto"/>
        <w:contextualSpacing/>
        <w:rPr>
          <w:rFonts w:asciiTheme="minorHAnsi" w:eastAsiaTheme="minorHAnsi" w:hAnsiTheme="minorHAnsi" w:cstheme="minorBidi"/>
          <w:sz w:val="22"/>
          <w:szCs w:val="22"/>
          <w:lang w:val="en-CA"/>
        </w:rPr>
      </w:pPr>
      <w:r w:rsidRPr="00FC60BB">
        <w:rPr>
          <w:rStyle w:val="Strong"/>
          <w:rFonts w:eastAsiaTheme="minorHAnsi" w:cstheme="minorHAnsi"/>
          <w:szCs w:val="22"/>
          <w:lang w:val="en-CA"/>
        </w:rPr>
        <w:t>Assessment of adherence to requirements</w:t>
      </w:r>
      <w:r w:rsidRPr="00FC60BB">
        <w:rPr>
          <w:rFonts w:asciiTheme="minorHAnsi" w:eastAsiaTheme="minorHAnsi" w:hAnsiTheme="minorHAnsi" w:cstheme="minorBidi"/>
          <w:sz w:val="22"/>
          <w:szCs w:val="22"/>
          <w:lang w:val="en-CA"/>
        </w:rPr>
        <w:t>, based on organization’s own risks, at the minimum every five years</w:t>
      </w:r>
    </w:p>
    <w:p w14:paraId="042A6B89" w14:textId="77777777" w:rsidR="009E0B33" w:rsidRPr="00FC60BB" w:rsidRDefault="009E0B33" w:rsidP="009E0B33">
      <w:pPr>
        <w:pStyle w:val="Heading3"/>
        <w:spacing w:after="120"/>
        <w:rPr>
          <w:lang w:val="en-CA"/>
        </w:rPr>
      </w:pPr>
      <w:r w:rsidRPr="00FC60BB">
        <w:rPr>
          <w:lang w:val="en-CA"/>
        </w:rPr>
        <w:lastRenderedPageBreak/>
        <w:t>PSC Oversight</w:t>
      </w:r>
    </w:p>
    <w:p w14:paraId="6A6C1466" w14:textId="77777777" w:rsidR="009E0B33" w:rsidRPr="00FC60BB" w:rsidRDefault="009E0B33" w:rsidP="009E0B33">
      <w:pPr>
        <w:keepLines/>
        <w:spacing w:after="120" w:line="259" w:lineRule="auto"/>
        <w:rPr>
          <w:rFonts w:asciiTheme="minorHAnsi" w:eastAsiaTheme="minorHAnsi" w:hAnsiTheme="minorHAnsi" w:cstheme="minorBidi"/>
          <w:sz w:val="22"/>
          <w:szCs w:val="22"/>
          <w:lang w:val="en-CA"/>
        </w:rPr>
      </w:pPr>
      <w:r w:rsidRPr="00FC60BB">
        <w:rPr>
          <w:rFonts w:asciiTheme="minorHAnsi" w:eastAsiaTheme="minorHAnsi" w:hAnsiTheme="minorHAnsi" w:cstheme="minorBidi"/>
          <w:sz w:val="22"/>
          <w:szCs w:val="22"/>
          <w:lang w:val="en-CA"/>
        </w:rPr>
        <w:t>System wide-focus</w:t>
      </w:r>
    </w:p>
    <w:p w14:paraId="4F577EA5" w14:textId="77777777" w:rsidR="009E0B33" w:rsidRPr="00FC60BB" w:rsidRDefault="009E0B33" w:rsidP="009E0B33">
      <w:pPr>
        <w:keepLines/>
        <w:numPr>
          <w:ilvl w:val="0"/>
          <w:numId w:val="18"/>
        </w:numPr>
        <w:spacing w:line="259" w:lineRule="auto"/>
        <w:rPr>
          <w:rStyle w:val="Strong"/>
          <w:rFonts w:eastAsiaTheme="minorHAnsi" w:cstheme="minorHAnsi"/>
          <w:lang w:val="en-CA"/>
        </w:rPr>
      </w:pPr>
      <w:r w:rsidRPr="00FC60BB">
        <w:rPr>
          <w:rStyle w:val="Strong"/>
          <w:rFonts w:eastAsiaTheme="minorHAnsi" w:cstheme="minorHAnsi"/>
          <w:lang w:val="en-CA"/>
        </w:rPr>
        <w:t>Government-wide compliance audit every two years</w:t>
      </w:r>
    </w:p>
    <w:p w14:paraId="6AA267DD" w14:textId="77777777" w:rsidR="009E0B33" w:rsidRPr="00FC60BB" w:rsidRDefault="009E0B33" w:rsidP="009E0B33">
      <w:pPr>
        <w:keepLines/>
        <w:numPr>
          <w:ilvl w:val="0"/>
          <w:numId w:val="18"/>
        </w:numPr>
        <w:spacing w:line="259" w:lineRule="auto"/>
        <w:rPr>
          <w:rFonts w:asciiTheme="minorHAnsi" w:eastAsiaTheme="minorHAnsi" w:hAnsiTheme="minorHAnsi" w:cstheme="minorBidi"/>
          <w:sz w:val="22"/>
          <w:szCs w:val="22"/>
          <w:lang w:val="en-CA"/>
        </w:rPr>
      </w:pPr>
      <w:r w:rsidRPr="00FC60BB">
        <w:rPr>
          <w:rStyle w:val="Strong"/>
          <w:rFonts w:eastAsiaTheme="minorHAnsi" w:cstheme="minorHAnsi"/>
          <w:lang w:val="en-CA"/>
        </w:rPr>
        <w:t>Renewed Survey of Staffing</w:t>
      </w:r>
      <w:r w:rsidRPr="00FC60BB">
        <w:rPr>
          <w:rFonts w:asciiTheme="minorHAnsi" w:eastAsiaTheme="minorHAnsi" w:hAnsiTheme="minorHAnsi" w:cstheme="minorBidi"/>
          <w:sz w:val="20"/>
          <w:szCs w:val="22"/>
          <w:lang w:val="en-CA"/>
        </w:rPr>
        <w:t xml:space="preserve"> </w:t>
      </w:r>
      <w:r w:rsidRPr="00FC60BB">
        <w:rPr>
          <w:rFonts w:asciiTheme="minorHAnsi" w:eastAsiaTheme="minorHAnsi" w:hAnsiTheme="minorHAnsi" w:cstheme="minorBidi"/>
          <w:sz w:val="22"/>
          <w:szCs w:val="22"/>
          <w:lang w:val="en-CA"/>
        </w:rPr>
        <w:t>administered in alternating years with government-wide audit</w:t>
      </w:r>
    </w:p>
    <w:p w14:paraId="73778703" w14:textId="77777777" w:rsidR="009E0B33" w:rsidRPr="00FC60BB" w:rsidRDefault="009E0B33" w:rsidP="009E0B33">
      <w:pPr>
        <w:keepLines/>
        <w:numPr>
          <w:ilvl w:val="0"/>
          <w:numId w:val="18"/>
        </w:numPr>
        <w:spacing w:line="259" w:lineRule="auto"/>
        <w:rPr>
          <w:rFonts w:asciiTheme="minorHAnsi" w:eastAsiaTheme="minorHAnsi" w:hAnsiTheme="minorHAnsi" w:cstheme="minorBidi"/>
          <w:sz w:val="22"/>
          <w:szCs w:val="22"/>
          <w:lang w:val="en-CA"/>
        </w:rPr>
      </w:pPr>
      <w:r w:rsidRPr="00FC60BB">
        <w:rPr>
          <w:rStyle w:val="Strong"/>
          <w:rFonts w:eastAsiaTheme="minorHAnsi" w:cstheme="minorHAnsi"/>
          <w:lang w:val="en-CA"/>
        </w:rPr>
        <w:t>System-wide effectiveness and efficiency reviews</w:t>
      </w:r>
      <w:r w:rsidRPr="00FC60BB">
        <w:rPr>
          <w:rFonts w:asciiTheme="minorHAnsi" w:eastAsiaTheme="minorHAnsi" w:hAnsiTheme="minorHAnsi" w:cstheme="minorBidi"/>
          <w:sz w:val="20"/>
          <w:szCs w:val="22"/>
          <w:lang w:val="en-CA"/>
        </w:rPr>
        <w:t xml:space="preserve"> </w:t>
      </w:r>
      <w:r w:rsidRPr="00FC60BB">
        <w:rPr>
          <w:rFonts w:asciiTheme="minorHAnsi" w:eastAsiaTheme="minorHAnsi" w:hAnsiTheme="minorHAnsi" w:cstheme="minorBidi"/>
          <w:sz w:val="22"/>
          <w:szCs w:val="22"/>
          <w:lang w:val="en-CA"/>
        </w:rPr>
        <w:t>to support continuous improvement</w:t>
      </w:r>
    </w:p>
    <w:p w14:paraId="4B837659" w14:textId="77777777" w:rsidR="009E0B33" w:rsidRPr="00FC60BB" w:rsidRDefault="009E0B33" w:rsidP="009E0B33">
      <w:pPr>
        <w:keepLines/>
        <w:numPr>
          <w:ilvl w:val="0"/>
          <w:numId w:val="18"/>
        </w:numPr>
        <w:spacing w:line="259" w:lineRule="auto"/>
        <w:rPr>
          <w:rFonts w:asciiTheme="minorHAnsi" w:eastAsiaTheme="minorHAnsi" w:hAnsiTheme="minorHAnsi" w:cstheme="minorBidi"/>
          <w:sz w:val="22"/>
          <w:szCs w:val="22"/>
          <w:lang w:val="en-CA"/>
        </w:rPr>
      </w:pPr>
      <w:r w:rsidRPr="00FC60BB">
        <w:rPr>
          <w:rStyle w:val="Strong"/>
          <w:rFonts w:eastAsiaTheme="minorHAnsi" w:cstheme="minorHAnsi"/>
          <w:lang w:val="en-CA"/>
        </w:rPr>
        <w:t>Targeted PSC audits</w:t>
      </w:r>
      <w:r w:rsidRPr="00FC60BB">
        <w:rPr>
          <w:rFonts w:asciiTheme="minorHAnsi" w:eastAsiaTheme="minorHAnsi" w:hAnsiTheme="minorHAnsi" w:cstheme="minorBidi"/>
          <w:sz w:val="20"/>
          <w:szCs w:val="22"/>
          <w:lang w:val="en-CA"/>
        </w:rPr>
        <w:t xml:space="preserve"> </w:t>
      </w:r>
      <w:r w:rsidRPr="00FC60BB">
        <w:rPr>
          <w:rFonts w:asciiTheme="minorHAnsi" w:eastAsiaTheme="minorHAnsi" w:hAnsiTheme="minorHAnsi" w:cstheme="minorBidi"/>
          <w:sz w:val="22"/>
          <w:szCs w:val="22"/>
          <w:lang w:val="en-CA"/>
        </w:rPr>
        <w:t>as a result of identified system-wide or organizational risks or at the deputy head request</w:t>
      </w:r>
    </w:p>
    <w:p w14:paraId="0D6022B4" w14:textId="77777777" w:rsidR="009E0B33" w:rsidRPr="00FC60BB" w:rsidRDefault="009E0B33" w:rsidP="009E0B33">
      <w:pPr>
        <w:keepLines/>
        <w:numPr>
          <w:ilvl w:val="0"/>
          <w:numId w:val="18"/>
        </w:numPr>
        <w:spacing w:after="320" w:line="259" w:lineRule="auto"/>
        <w:rPr>
          <w:rFonts w:asciiTheme="minorHAnsi" w:eastAsiaTheme="minorHAnsi" w:hAnsiTheme="minorHAnsi" w:cstheme="minorBidi"/>
          <w:sz w:val="22"/>
          <w:szCs w:val="22"/>
          <w:lang w:val="en-CA"/>
        </w:rPr>
      </w:pPr>
      <w:r w:rsidRPr="00FC60BB">
        <w:rPr>
          <w:rStyle w:val="Strong"/>
          <w:rFonts w:eastAsiaTheme="minorHAnsi" w:cstheme="minorHAnsi"/>
          <w:lang w:val="en-CA"/>
        </w:rPr>
        <w:t>Investigations conducted</w:t>
      </w:r>
      <w:r w:rsidRPr="00FC60BB">
        <w:rPr>
          <w:rFonts w:asciiTheme="minorHAnsi" w:eastAsiaTheme="minorHAnsi" w:hAnsiTheme="minorHAnsi" w:cstheme="minorBidi"/>
          <w:sz w:val="20"/>
          <w:szCs w:val="22"/>
          <w:lang w:val="en-CA"/>
        </w:rPr>
        <w:t xml:space="preserve"> </w:t>
      </w:r>
      <w:r w:rsidRPr="00FC60BB">
        <w:rPr>
          <w:rFonts w:asciiTheme="minorHAnsi" w:eastAsiaTheme="minorHAnsi" w:hAnsiTheme="minorHAnsi" w:cstheme="minorBidi"/>
          <w:sz w:val="22"/>
          <w:szCs w:val="22"/>
          <w:lang w:val="en-CA"/>
        </w:rPr>
        <w:t>when there is a reason to believe there was political influence, fraud or improper conduct in an appointment process</w:t>
      </w:r>
    </w:p>
    <w:p w14:paraId="3C201C39" w14:textId="77777777" w:rsidR="000C45BD" w:rsidRPr="00FC60BB" w:rsidRDefault="009E0B33" w:rsidP="006B0663">
      <w:pPr>
        <w:keepLines/>
        <w:tabs>
          <w:tab w:val="center" w:pos="4680"/>
          <w:tab w:val="right" w:pos="9360"/>
        </w:tabs>
        <w:ind w:left="360"/>
        <w:rPr>
          <w:rFonts w:asciiTheme="minorHAnsi" w:eastAsiaTheme="minorHAnsi" w:hAnsiTheme="minorHAnsi" w:cstheme="minorBidi"/>
          <w:b/>
          <w:bCs/>
          <w:color w:val="0070C0"/>
          <w:sz w:val="22"/>
          <w:szCs w:val="22"/>
          <w:lang w:val="en-CA"/>
        </w:rPr>
      </w:pPr>
      <w:r w:rsidRPr="00FC60BB">
        <w:rPr>
          <w:rStyle w:val="Strong"/>
          <w:rFonts w:eastAsiaTheme="minorHAnsi" w:cstheme="minorHAnsi"/>
          <w:b w:val="0"/>
          <w:lang w:val="en-CA"/>
        </w:rPr>
        <w:t xml:space="preserve">This document should be read in conjunction with </w:t>
      </w:r>
      <w:r w:rsidRPr="0050539C">
        <w:rPr>
          <w:rStyle w:val="Strong"/>
          <w:rFonts w:eastAsiaTheme="minorHAnsi" w:cstheme="minorHAnsi"/>
          <w:b w:val="0"/>
          <w:lang w:val="en-CA"/>
        </w:rPr>
        <w:t xml:space="preserve">the </w:t>
      </w:r>
      <w:r w:rsidRPr="0050539C">
        <w:rPr>
          <w:rStyle w:val="Emphasis"/>
          <w:rFonts w:eastAsiaTheme="minorHAnsi"/>
          <w:i/>
        </w:rPr>
        <w:t>Public Service Employment Act</w:t>
      </w:r>
      <w:r w:rsidRPr="0050539C">
        <w:rPr>
          <w:rStyle w:val="Strong"/>
          <w:rFonts w:eastAsiaTheme="minorHAnsi" w:cstheme="minorHAnsi"/>
          <w:b w:val="0"/>
          <w:lang w:val="en-CA"/>
        </w:rPr>
        <w:t>, the</w:t>
      </w:r>
      <w:r w:rsidRPr="00FC60BB">
        <w:rPr>
          <w:rStyle w:val="Strong"/>
          <w:rFonts w:eastAsiaTheme="minorHAnsi" w:cstheme="minorHAnsi"/>
          <w:b w:val="0"/>
          <w:lang w:val="en-CA"/>
        </w:rPr>
        <w:t xml:space="preserve"> </w:t>
      </w:r>
      <w:r w:rsidRPr="0050539C">
        <w:rPr>
          <w:rStyle w:val="Emphasis"/>
          <w:rFonts w:eastAsiaTheme="minorHAnsi"/>
          <w:i/>
        </w:rPr>
        <w:t>Public Service Employment Regulations</w:t>
      </w:r>
      <w:r w:rsidRPr="0050539C">
        <w:rPr>
          <w:rStyle w:val="Strong"/>
          <w:rFonts w:eastAsiaTheme="minorHAnsi" w:cstheme="minorHAnsi"/>
          <w:b w:val="0"/>
          <w:lang w:val="en-CA"/>
        </w:rPr>
        <w:t>,</w:t>
      </w:r>
      <w:r w:rsidRPr="00FC60BB">
        <w:rPr>
          <w:rStyle w:val="Strong"/>
          <w:rFonts w:eastAsiaTheme="minorHAnsi" w:cstheme="minorHAnsi"/>
          <w:b w:val="0"/>
          <w:lang w:val="en-CA"/>
        </w:rPr>
        <w:t xml:space="preserve"> the PSC Appointment Policy and the PSC Appointment Delegation and Accountability Instrument.</w:t>
      </w:r>
    </w:p>
    <w:p w14:paraId="36E77F77" w14:textId="77777777" w:rsidR="000C45BD" w:rsidRPr="00FC60BB" w:rsidRDefault="000C45BD" w:rsidP="007B1B27">
      <w:pPr>
        <w:pStyle w:val="Footer"/>
        <w:jc w:val="center"/>
        <w:rPr>
          <w:rFonts w:ascii="Arial" w:hAnsi="Arial" w:cs="Arial"/>
          <w:lang w:val="en-CA"/>
        </w:rPr>
        <w:sectPr w:rsidR="000C45BD" w:rsidRPr="00FC60BB" w:rsidSect="000C45BD">
          <w:footnotePr>
            <w:numFmt w:val="lowerLetter"/>
          </w:footnotePr>
          <w:endnotePr>
            <w:numFmt w:val="lowerLetter"/>
          </w:endnotePr>
          <w:pgSz w:w="12240" w:h="15840" w:code="1"/>
          <w:pgMar w:top="1440" w:right="1440" w:bottom="1440" w:left="1440" w:header="284" w:footer="284" w:gutter="0"/>
          <w:cols w:space="720"/>
          <w:docGrid w:linePitch="326"/>
        </w:sectPr>
      </w:pPr>
    </w:p>
    <w:p w14:paraId="6A11BA04" w14:textId="77777777" w:rsidR="00944C68" w:rsidRPr="00FC60BB" w:rsidRDefault="00944C68" w:rsidP="004C6D7A">
      <w:pPr>
        <w:pStyle w:val="Heading3"/>
        <w:jc w:val="right"/>
        <w:rPr>
          <w:sz w:val="22"/>
          <w:lang w:val="en-CA"/>
        </w:rPr>
      </w:pPr>
      <w:bookmarkStart w:id="1" w:name="Annex_B"/>
      <w:r w:rsidRPr="00FC60BB">
        <w:rPr>
          <w:sz w:val="22"/>
          <w:lang w:val="en-CA"/>
        </w:rPr>
        <w:lastRenderedPageBreak/>
        <w:t xml:space="preserve">Annex </w:t>
      </w:r>
      <w:r w:rsidR="004C6D7A" w:rsidRPr="00FC60BB">
        <w:rPr>
          <w:sz w:val="22"/>
          <w:lang w:val="en-CA"/>
        </w:rPr>
        <w:t>B</w:t>
      </w:r>
    </w:p>
    <w:bookmarkEnd w:id="1"/>
    <w:p w14:paraId="451A17B9" w14:textId="77777777" w:rsidR="004C6D7A" w:rsidRPr="00FC60BB" w:rsidRDefault="004C6D7A" w:rsidP="00422176">
      <w:pPr>
        <w:pStyle w:val="Heading1"/>
        <w:spacing w:before="120" w:after="120"/>
        <w:rPr>
          <w:lang w:val="en-CA"/>
        </w:rPr>
      </w:pPr>
      <w:r w:rsidRPr="00FC60BB">
        <w:rPr>
          <w:rFonts w:eastAsia="Times New Roman"/>
          <w:lang w:val="en-CA"/>
        </w:rPr>
        <w:t>Population by tenure as of March 31</w:t>
      </w:r>
    </w:p>
    <w:p w14:paraId="150D001B" w14:textId="77777777" w:rsidR="004C6D7A" w:rsidRPr="00FC60BB" w:rsidRDefault="007B1B27" w:rsidP="004C6D7A">
      <w:pPr>
        <w:pStyle w:val="Level1"/>
        <w:keepNext/>
        <w:tabs>
          <w:tab w:val="left" w:pos="-1440"/>
        </w:tabs>
        <w:autoSpaceDE w:val="0"/>
        <w:autoSpaceDN w:val="0"/>
        <w:adjustRightInd w:val="0"/>
        <w:jc w:val="center"/>
        <w:rPr>
          <w:lang w:val="en-CA"/>
        </w:rPr>
      </w:pPr>
      <w:r w:rsidRPr="00FC60BB">
        <w:rPr>
          <w:noProof/>
          <w:lang w:val="en-CA" w:eastAsia="en-CA"/>
        </w:rPr>
        <w:drawing>
          <wp:inline distT="0" distB="0" distL="0" distR="0" wp14:anchorId="73DD10BB" wp14:editId="02D7DB89">
            <wp:extent cx="5648400" cy="3049200"/>
            <wp:effectExtent l="0" t="0" r="9525" b="18415"/>
            <wp:docPr id="13" name="Chart 13" descr="Population by tenure as of March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C9D4DD" w14:textId="77777777" w:rsidR="007B1B27" w:rsidRPr="00FC60BB" w:rsidRDefault="004C6D7A" w:rsidP="004C6D7A">
      <w:pPr>
        <w:pStyle w:val="Caption"/>
        <w:spacing w:after="0"/>
        <w:jc w:val="center"/>
        <w:rPr>
          <w:rFonts w:asciiTheme="minorHAnsi" w:hAnsiTheme="minorHAnsi" w:cstheme="minorHAnsi"/>
          <w:i w:val="0"/>
          <w:color w:val="auto"/>
          <w:sz w:val="22"/>
          <w:szCs w:val="22"/>
          <w:lang w:val="en-CA"/>
        </w:rPr>
      </w:pPr>
      <w:r w:rsidRPr="00FC60BB">
        <w:rPr>
          <w:rFonts w:asciiTheme="minorHAnsi" w:hAnsiTheme="minorHAnsi" w:cstheme="minorHAnsi"/>
          <w:i w:val="0"/>
          <w:color w:val="auto"/>
          <w:lang w:val="en-CA"/>
        </w:rPr>
        <w:t xml:space="preserve">Figure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Figure \* ARABIC </w:instrText>
      </w:r>
      <w:r w:rsidRPr="00FC60BB">
        <w:rPr>
          <w:rFonts w:asciiTheme="minorHAnsi" w:hAnsiTheme="minorHAnsi" w:cstheme="minorHAnsi"/>
          <w:i w:val="0"/>
          <w:color w:val="auto"/>
          <w:lang w:val="en-CA"/>
        </w:rPr>
        <w:fldChar w:fldCharType="separate"/>
      </w:r>
      <w:r w:rsidR="000B3767" w:rsidRPr="00FC60BB">
        <w:rPr>
          <w:rFonts w:asciiTheme="minorHAnsi" w:hAnsiTheme="minorHAnsi" w:cstheme="minorHAnsi"/>
          <w:i w:val="0"/>
          <w:noProof/>
          <w:color w:val="auto"/>
          <w:lang w:val="en-CA"/>
        </w:rPr>
        <w:t>1</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Population by tenure as of March 31</w:t>
      </w:r>
    </w:p>
    <w:p w14:paraId="0FF7FFF3" w14:textId="77777777" w:rsidR="004C6D7A" w:rsidRPr="00FC60BB" w:rsidRDefault="004C6D7A" w:rsidP="004C6D7A">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4</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w:t>
      </w:r>
      <w:r w:rsidRPr="001E6237">
        <w:t xml:space="preserve">- </w:t>
      </w:r>
      <w:r w:rsidRPr="00B0203E">
        <w:rPr>
          <w:rStyle w:val="Emphasis"/>
          <w:sz w:val="18"/>
        </w:rPr>
        <w:t>Public Service Employment Act</w:t>
      </w:r>
      <w:r w:rsidRPr="00697406">
        <w:rPr>
          <w:rStyle w:val="Emphasis"/>
          <w:sz w:val="18"/>
        </w:rPr>
        <w:t xml:space="preserve"> </w:t>
      </w:r>
      <w:r w:rsidRPr="00FC60BB">
        <w:rPr>
          <w:rFonts w:asciiTheme="minorHAnsi" w:hAnsiTheme="minorHAnsi" w:cstheme="minorHAnsi"/>
          <w:i w:val="0"/>
          <w:color w:val="auto"/>
          <w:lang w:val="en-CA"/>
        </w:rPr>
        <w:t>population by tenure as of March 31</w:t>
      </w:r>
    </w:p>
    <w:tbl>
      <w:tblPr>
        <w:tblStyle w:val="TableGrid"/>
        <w:tblW w:w="5000" w:type="pct"/>
        <w:jc w:val="center"/>
        <w:tblLook w:val="0020" w:firstRow="1" w:lastRow="0" w:firstColumn="0" w:lastColumn="0" w:noHBand="0" w:noVBand="0"/>
        <w:tblDescription w:val="Population by occupational group as of March 31, 2019"/>
      </w:tblPr>
      <w:tblGrid>
        <w:gridCol w:w="2263"/>
        <w:gridCol w:w="2836"/>
        <w:gridCol w:w="1987"/>
        <w:gridCol w:w="2125"/>
        <w:gridCol w:w="2551"/>
        <w:gridCol w:w="2628"/>
      </w:tblGrid>
      <w:tr w:rsidR="008256D4" w:rsidRPr="00FC60BB" w14:paraId="54352F1C" w14:textId="77777777" w:rsidTr="007B3A9E">
        <w:trPr>
          <w:cantSplit/>
          <w:trHeight w:val="290"/>
          <w:tblHeader/>
          <w:jc w:val="center"/>
        </w:trPr>
        <w:tc>
          <w:tcPr>
            <w:tcW w:w="786" w:type="pct"/>
          </w:tcPr>
          <w:p w14:paraId="3822C2B4" w14:textId="77777777" w:rsidR="00C63087" w:rsidRPr="00BA258A" w:rsidRDefault="00C63087" w:rsidP="00BA258A">
            <w:pPr>
              <w:pStyle w:val="TableTitle"/>
            </w:pPr>
            <w:r w:rsidRPr="00BA258A">
              <w:t xml:space="preserve"> Year</w:t>
            </w:r>
          </w:p>
        </w:tc>
        <w:tc>
          <w:tcPr>
            <w:tcW w:w="985" w:type="pct"/>
          </w:tcPr>
          <w:p w14:paraId="28943A6D" w14:textId="77777777" w:rsidR="00C63087" w:rsidRPr="00BA258A" w:rsidRDefault="00C63087" w:rsidP="00BA258A">
            <w:pPr>
              <w:pStyle w:val="TableTitle"/>
            </w:pPr>
            <w:r w:rsidRPr="00BA258A">
              <w:t>Indeterminate</w:t>
            </w:r>
            <w:r w:rsidR="008256D4" w:rsidRPr="00BA258A">
              <w:t xml:space="preserve"> </w:t>
            </w:r>
            <w:r w:rsidRPr="00BA258A">
              <w:t>population</w:t>
            </w:r>
          </w:p>
        </w:tc>
        <w:tc>
          <w:tcPr>
            <w:tcW w:w="690" w:type="pct"/>
          </w:tcPr>
          <w:p w14:paraId="59922291" w14:textId="77777777" w:rsidR="00C63087" w:rsidRPr="00BA258A" w:rsidRDefault="00C63087" w:rsidP="00BA258A">
            <w:pPr>
              <w:pStyle w:val="TableTitle"/>
            </w:pPr>
            <w:r w:rsidRPr="00BA258A">
              <w:t>Term</w:t>
            </w:r>
            <w:r w:rsidR="008256D4" w:rsidRPr="00BA258A">
              <w:t xml:space="preserve"> </w:t>
            </w:r>
            <w:r w:rsidRPr="00BA258A">
              <w:t xml:space="preserve">population </w:t>
            </w:r>
          </w:p>
        </w:tc>
        <w:tc>
          <w:tcPr>
            <w:tcW w:w="738" w:type="pct"/>
          </w:tcPr>
          <w:p w14:paraId="5644ECA4" w14:textId="77777777" w:rsidR="00C63087" w:rsidRPr="00BA258A" w:rsidRDefault="00C63087" w:rsidP="00BA258A">
            <w:pPr>
              <w:pStyle w:val="TableTitle"/>
            </w:pPr>
            <w:r w:rsidRPr="00BA258A">
              <w:t>Casual</w:t>
            </w:r>
            <w:r w:rsidR="008256D4" w:rsidRPr="00BA258A">
              <w:t xml:space="preserve"> </w:t>
            </w:r>
            <w:r w:rsidRPr="00BA258A">
              <w:t>population</w:t>
            </w:r>
          </w:p>
        </w:tc>
        <w:tc>
          <w:tcPr>
            <w:tcW w:w="886" w:type="pct"/>
          </w:tcPr>
          <w:p w14:paraId="2D3732DC" w14:textId="77777777" w:rsidR="00C63087" w:rsidRPr="00BA258A" w:rsidRDefault="00C63087" w:rsidP="00BA258A">
            <w:pPr>
              <w:pStyle w:val="TableTitle"/>
            </w:pPr>
            <w:r w:rsidRPr="00BA258A">
              <w:t>Student</w:t>
            </w:r>
            <w:r w:rsidR="008256D4" w:rsidRPr="00BA258A">
              <w:t xml:space="preserve"> </w:t>
            </w:r>
            <w:r w:rsidRPr="00BA258A">
              <w:t>population</w:t>
            </w:r>
          </w:p>
        </w:tc>
        <w:tc>
          <w:tcPr>
            <w:tcW w:w="913" w:type="pct"/>
          </w:tcPr>
          <w:p w14:paraId="39A6EF40" w14:textId="77777777" w:rsidR="00C63087" w:rsidRPr="00BA258A" w:rsidRDefault="00C63087" w:rsidP="00BA258A">
            <w:pPr>
              <w:pStyle w:val="TableTitle"/>
            </w:pPr>
            <w:r w:rsidRPr="00BA258A">
              <w:t>Total</w:t>
            </w:r>
            <w:r w:rsidR="008256D4" w:rsidRPr="00BA258A">
              <w:t xml:space="preserve"> </w:t>
            </w:r>
            <w:r w:rsidRPr="00BA258A">
              <w:t>population</w:t>
            </w:r>
          </w:p>
        </w:tc>
      </w:tr>
      <w:tr w:rsidR="00C63087" w:rsidRPr="00FC60BB" w14:paraId="53ACB9D3" w14:textId="77777777" w:rsidTr="007B3A9E">
        <w:trPr>
          <w:cantSplit/>
          <w:trHeight w:val="290"/>
          <w:tblHeader/>
          <w:jc w:val="center"/>
        </w:trPr>
        <w:tc>
          <w:tcPr>
            <w:tcW w:w="786" w:type="pct"/>
          </w:tcPr>
          <w:p w14:paraId="175D1C3E" w14:textId="77777777" w:rsidR="00C63087" w:rsidRPr="00FC60BB" w:rsidRDefault="00C63087" w:rsidP="004C6D7A">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As of March 31, 2015</w:t>
            </w:r>
          </w:p>
        </w:tc>
        <w:tc>
          <w:tcPr>
            <w:tcW w:w="985" w:type="pct"/>
          </w:tcPr>
          <w:p w14:paraId="6A112C8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275</w:t>
            </w:r>
          </w:p>
        </w:tc>
        <w:tc>
          <w:tcPr>
            <w:tcW w:w="690" w:type="pct"/>
          </w:tcPr>
          <w:p w14:paraId="2FE6CF4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11</w:t>
            </w:r>
          </w:p>
        </w:tc>
        <w:tc>
          <w:tcPr>
            <w:tcW w:w="738" w:type="pct"/>
          </w:tcPr>
          <w:p w14:paraId="44AA972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23</w:t>
            </w:r>
          </w:p>
        </w:tc>
        <w:tc>
          <w:tcPr>
            <w:tcW w:w="886" w:type="pct"/>
          </w:tcPr>
          <w:p w14:paraId="5F75B47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w:t>
            </w:r>
          </w:p>
        </w:tc>
        <w:tc>
          <w:tcPr>
            <w:tcW w:w="913" w:type="pct"/>
          </w:tcPr>
          <w:p w14:paraId="419A333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312</w:t>
            </w:r>
          </w:p>
        </w:tc>
      </w:tr>
      <w:tr w:rsidR="00C63087" w:rsidRPr="00FC60BB" w14:paraId="2A4D4D32" w14:textId="77777777" w:rsidTr="007B3A9E">
        <w:trPr>
          <w:cantSplit/>
          <w:trHeight w:val="290"/>
          <w:tblHeader/>
          <w:jc w:val="center"/>
        </w:trPr>
        <w:tc>
          <w:tcPr>
            <w:tcW w:w="786" w:type="pct"/>
          </w:tcPr>
          <w:p w14:paraId="2461A780" w14:textId="77777777" w:rsidR="00C63087" w:rsidRPr="00FC60BB" w:rsidRDefault="00C63087" w:rsidP="004C6D7A">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As of March 31, 2016</w:t>
            </w:r>
          </w:p>
        </w:tc>
        <w:tc>
          <w:tcPr>
            <w:tcW w:w="985" w:type="pct"/>
          </w:tcPr>
          <w:p w14:paraId="516396C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290</w:t>
            </w:r>
          </w:p>
        </w:tc>
        <w:tc>
          <w:tcPr>
            <w:tcW w:w="690" w:type="pct"/>
          </w:tcPr>
          <w:p w14:paraId="749CB38C"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12</w:t>
            </w:r>
          </w:p>
        </w:tc>
        <w:tc>
          <w:tcPr>
            <w:tcW w:w="738" w:type="pct"/>
          </w:tcPr>
          <w:p w14:paraId="3AA0FED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24</w:t>
            </w:r>
          </w:p>
        </w:tc>
        <w:tc>
          <w:tcPr>
            <w:tcW w:w="886" w:type="pct"/>
          </w:tcPr>
          <w:p w14:paraId="4D5D570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10</w:t>
            </w:r>
          </w:p>
        </w:tc>
        <w:tc>
          <w:tcPr>
            <w:tcW w:w="913" w:type="pct"/>
          </w:tcPr>
          <w:p w14:paraId="10E1322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336</w:t>
            </w:r>
          </w:p>
        </w:tc>
      </w:tr>
      <w:tr w:rsidR="00C63087" w:rsidRPr="00FC60BB" w14:paraId="58233781" w14:textId="77777777" w:rsidTr="007B3A9E">
        <w:trPr>
          <w:cantSplit/>
          <w:trHeight w:val="290"/>
          <w:tblHeader/>
          <w:jc w:val="center"/>
        </w:trPr>
        <w:tc>
          <w:tcPr>
            <w:tcW w:w="786" w:type="pct"/>
          </w:tcPr>
          <w:p w14:paraId="729740E4" w14:textId="77777777" w:rsidR="00C63087" w:rsidRPr="00FC60BB" w:rsidRDefault="00C63087" w:rsidP="004C6D7A">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As of March 31, 2017</w:t>
            </w:r>
          </w:p>
        </w:tc>
        <w:tc>
          <w:tcPr>
            <w:tcW w:w="985" w:type="pct"/>
          </w:tcPr>
          <w:p w14:paraId="2FA160D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394</w:t>
            </w:r>
          </w:p>
        </w:tc>
        <w:tc>
          <w:tcPr>
            <w:tcW w:w="690" w:type="pct"/>
          </w:tcPr>
          <w:p w14:paraId="5D0CF53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36</w:t>
            </w:r>
          </w:p>
        </w:tc>
        <w:tc>
          <w:tcPr>
            <w:tcW w:w="738" w:type="pct"/>
          </w:tcPr>
          <w:p w14:paraId="55291CE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30</w:t>
            </w:r>
          </w:p>
        </w:tc>
        <w:tc>
          <w:tcPr>
            <w:tcW w:w="886" w:type="pct"/>
          </w:tcPr>
          <w:p w14:paraId="25466113"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12</w:t>
            </w:r>
          </w:p>
        </w:tc>
        <w:tc>
          <w:tcPr>
            <w:tcW w:w="913" w:type="pct"/>
          </w:tcPr>
          <w:p w14:paraId="1806CE4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472</w:t>
            </w:r>
          </w:p>
        </w:tc>
      </w:tr>
      <w:tr w:rsidR="00C63087" w:rsidRPr="00FC60BB" w14:paraId="358E5B08" w14:textId="77777777" w:rsidTr="007B3A9E">
        <w:trPr>
          <w:cantSplit/>
          <w:trHeight w:val="290"/>
          <w:tblHeader/>
          <w:jc w:val="center"/>
        </w:trPr>
        <w:tc>
          <w:tcPr>
            <w:tcW w:w="786" w:type="pct"/>
          </w:tcPr>
          <w:p w14:paraId="5A1529ED" w14:textId="77777777" w:rsidR="00C63087" w:rsidRPr="00FC60BB" w:rsidRDefault="00C63087" w:rsidP="004C6D7A">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As of March 31, 2018</w:t>
            </w:r>
          </w:p>
        </w:tc>
        <w:tc>
          <w:tcPr>
            <w:tcW w:w="985" w:type="pct"/>
          </w:tcPr>
          <w:p w14:paraId="78F64FAC"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397</w:t>
            </w:r>
          </w:p>
        </w:tc>
        <w:tc>
          <w:tcPr>
            <w:tcW w:w="690" w:type="pct"/>
          </w:tcPr>
          <w:p w14:paraId="1C5B6CE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33</w:t>
            </w:r>
          </w:p>
        </w:tc>
        <w:tc>
          <w:tcPr>
            <w:tcW w:w="738" w:type="pct"/>
          </w:tcPr>
          <w:p w14:paraId="7A6C9CB9"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21</w:t>
            </w:r>
          </w:p>
        </w:tc>
        <w:tc>
          <w:tcPr>
            <w:tcW w:w="886" w:type="pct"/>
          </w:tcPr>
          <w:p w14:paraId="33C54CC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7</w:t>
            </w:r>
          </w:p>
        </w:tc>
        <w:tc>
          <w:tcPr>
            <w:tcW w:w="913" w:type="pct"/>
          </w:tcPr>
          <w:p w14:paraId="331E898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458</w:t>
            </w:r>
          </w:p>
        </w:tc>
      </w:tr>
      <w:tr w:rsidR="00C63087" w:rsidRPr="00FC60BB" w14:paraId="103A3422" w14:textId="77777777" w:rsidTr="007B3A9E">
        <w:trPr>
          <w:cantSplit/>
          <w:trHeight w:val="290"/>
          <w:tblHeader/>
          <w:jc w:val="center"/>
        </w:trPr>
        <w:tc>
          <w:tcPr>
            <w:tcW w:w="786" w:type="pct"/>
          </w:tcPr>
          <w:p w14:paraId="3146FFB9" w14:textId="77777777" w:rsidR="00C63087" w:rsidRPr="00FC60BB" w:rsidRDefault="00C63087" w:rsidP="004C6D7A">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As of March 31, 2019</w:t>
            </w:r>
          </w:p>
        </w:tc>
        <w:tc>
          <w:tcPr>
            <w:tcW w:w="985" w:type="pct"/>
          </w:tcPr>
          <w:p w14:paraId="0BCD306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420</w:t>
            </w:r>
          </w:p>
        </w:tc>
        <w:tc>
          <w:tcPr>
            <w:tcW w:w="690" w:type="pct"/>
          </w:tcPr>
          <w:p w14:paraId="59C7A5B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18</w:t>
            </w:r>
          </w:p>
        </w:tc>
        <w:tc>
          <w:tcPr>
            <w:tcW w:w="738" w:type="pct"/>
          </w:tcPr>
          <w:p w14:paraId="5B2DD27F"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31</w:t>
            </w:r>
          </w:p>
        </w:tc>
        <w:tc>
          <w:tcPr>
            <w:tcW w:w="886" w:type="pct"/>
          </w:tcPr>
          <w:p w14:paraId="07F12AA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11</w:t>
            </w:r>
          </w:p>
        </w:tc>
        <w:tc>
          <w:tcPr>
            <w:tcW w:w="913" w:type="pct"/>
          </w:tcPr>
          <w:p w14:paraId="49FD29D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480</w:t>
            </w:r>
          </w:p>
        </w:tc>
      </w:tr>
    </w:tbl>
    <w:p w14:paraId="23EEC3D6" w14:textId="77777777" w:rsidR="00D42DF0" w:rsidRPr="00FC60BB" w:rsidRDefault="00D42DF0" w:rsidP="00944C68">
      <w:pPr>
        <w:pStyle w:val="Level1"/>
        <w:tabs>
          <w:tab w:val="left" w:pos="-1440"/>
        </w:tabs>
        <w:autoSpaceDE w:val="0"/>
        <w:autoSpaceDN w:val="0"/>
        <w:adjustRightInd w:val="0"/>
        <w:rPr>
          <w:rFonts w:ascii="Arial" w:hAnsi="Arial" w:cs="Arial"/>
          <w:sz w:val="22"/>
          <w:szCs w:val="22"/>
          <w:lang w:val="en-CA"/>
        </w:rPr>
      </w:pPr>
    </w:p>
    <w:p w14:paraId="19DBA729" w14:textId="77777777" w:rsidR="00D42DF0" w:rsidRPr="001E6237" w:rsidRDefault="00D42DF0" w:rsidP="001E6237">
      <w:pPr>
        <w:sectPr w:rsidR="00D42DF0" w:rsidRPr="001E6237"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1AA88F23" w14:textId="77777777" w:rsidR="00494532" w:rsidRPr="00FC60BB" w:rsidRDefault="00494532" w:rsidP="00422176">
      <w:pPr>
        <w:pStyle w:val="Heading1"/>
        <w:spacing w:before="120" w:after="120"/>
        <w:rPr>
          <w:lang w:val="en-CA"/>
        </w:rPr>
      </w:pPr>
      <w:r w:rsidRPr="00FC60BB">
        <w:rPr>
          <w:lang w:val="en-CA"/>
        </w:rPr>
        <w:lastRenderedPageBreak/>
        <w:t>Population by language requirements as of March 31, 2019</w:t>
      </w:r>
    </w:p>
    <w:p w14:paraId="4F87F0E1" w14:textId="77777777" w:rsidR="00494532" w:rsidRPr="00FC60BB" w:rsidRDefault="00D42DF0" w:rsidP="00494532">
      <w:pPr>
        <w:pStyle w:val="Level1"/>
        <w:keepNext/>
        <w:tabs>
          <w:tab w:val="left" w:pos="-1440"/>
        </w:tabs>
        <w:autoSpaceDE w:val="0"/>
        <w:autoSpaceDN w:val="0"/>
        <w:adjustRightInd w:val="0"/>
        <w:jc w:val="center"/>
        <w:rPr>
          <w:lang w:val="en-CA"/>
        </w:rPr>
      </w:pPr>
      <w:r w:rsidRPr="00FC60BB">
        <w:rPr>
          <w:noProof/>
          <w:lang w:val="en-CA" w:eastAsia="en-CA"/>
        </w:rPr>
        <w:drawing>
          <wp:inline distT="0" distB="0" distL="0" distR="0" wp14:anchorId="2E0DC527" wp14:editId="61512D5A">
            <wp:extent cx="1980000" cy="3020400"/>
            <wp:effectExtent l="0" t="0" r="1270" b="8890"/>
            <wp:docPr id="8" name="Chart 8" descr="Population by language requirements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30C64D" w14:textId="77777777" w:rsidR="00D42DF0" w:rsidRPr="00BA258A" w:rsidRDefault="00494532" w:rsidP="00B24249">
      <w:pPr>
        <w:pStyle w:val="Caption"/>
        <w:spacing w:after="0"/>
        <w:jc w:val="center"/>
        <w:rPr>
          <w:rFonts w:asciiTheme="minorHAnsi" w:hAnsiTheme="minorHAnsi" w:cstheme="minorHAnsi"/>
          <w:i w:val="0"/>
          <w:color w:val="auto"/>
          <w:sz w:val="22"/>
          <w:szCs w:val="22"/>
          <w:lang w:val="en-CA"/>
        </w:rPr>
      </w:pPr>
      <w:r w:rsidRPr="00BA258A">
        <w:rPr>
          <w:rFonts w:asciiTheme="minorHAnsi" w:hAnsiTheme="minorHAnsi" w:cstheme="minorHAnsi"/>
          <w:i w:val="0"/>
          <w:color w:val="auto"/>
          <w:lang w:val="en-CA"/>
        </w:rPr>
        <w:t xml:space="preserve">Figure </w:t>
      </w:r>
      <w:r w:rsidRPr="00BA258A">
        <w:rPr>
          <w:rFonts w:asciiTheme="minorHAnsi" w:hAnsiTheme="minorHAnsi" w:cstheme="minorHAnsi"/>
          <w:i w:val="0"/>
          <w:color w:val="auto"/>
          <w:lang w:val="en-CA"/>
        </w:rPr>
        <w:fldChar w:fldCharType="begin"/>
      </w:r>
      <w:r w:rsidRPr="00BA258A">
        <w:rPr>
          <w:rFonts w:asciiTheme="minorHAnsi" w:hAnsiTheme="minorHAnsi" w:cstheme="minorHAnsi"/>
          <w:i w:val="0"/>
          <w:color w:val="auto"/>
          <w:lang w:val="en-CA"/>
        </w:rPr>
        <w:instrText xml:space="preserve"> SEQ Figure \* ARABIC </w:instrText>
      </w:r>
      <w:r w:rsidRPr="00BA258A">
        <w:rPr>
          <w:rFonts w:asciiTheme="minorHAnsi" w:hAnsiTheme="minorHAnsi" w:cstheme="minorHAnsi"/>
          <w:i w:val="0"/>
          <w:color w:val="auto"/>
          <w:lang w:val="en-CA"/>
        </w:rPr>
        <w:fldChar w:fldCharType="separate"/>
      </w:r>
      <w:r w:rsidR="000B3767" w:rsidRPr="00BA258A">
        <w:rPr>
          <w:rFonts w:asciiTheme="minorHAnsi" w:hAnsiTheme="minorHAnsi" w:cstheme="minorHAnsi"/>
          <w:i w:val="0"/>
          <w:noProof/>
          <w:color w:val="auto"/>
          <w:lang w:val="en-CA"/>
        </w:rPr>
        <w:t>2</w:t>
      </w:r>
      <w:r w:rsidRPr="00BA258A">
        <w:rPr>
          <w:rFonts w:asciiTheme="minorHAnsi" w:hAnsiTheme="minorHAnsi" w:cstheme="minorHAnsi"/>
          <w:i w:val="0"/>
          <w:color w:val="auto"/>
          <w:lang w:val="en-CA"/>
        </w:rPr>
        <w:fldChar w:fldCharType="end"/>
      </w:r>
      <w:r w:rsidRPr="00BA258A">
        <w:rPr>
          <w:rFonts w:asciiTheme="minorHAnsi" w:hAnsiTheme="minorHAnsi" w:cstheme="minorHAnsi"/>
          <w:i w:val="0"/>
          <w:color w:val="auto"/>
          <w:lang w:val="en-CA"/>
        </w:rPr>
        <w:t xml:space="preserve"> - Population by language requirements as of March 31, 2019</w:t>
      </w:r>
    </w:p>
    <w:p w14:paraId="4334344A" w14:textId="77777777" w:rsidR="00B24249" w:rsidRPr="00FC60BB" w:rsidRDefault="00B24249" w:rsidP="00B24249">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5</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w:t>
      </w:r>
      <w:r w:rsidRPr="0050539C">
        <w:rPr>
          <w:rStyle w:val="Emphasis"/>
          <w:color w:val="auto"/>
          <w:sz w:val="18"/>
        </w:rPr>
        <w:t>Public Service Employment Act</w:t>
      </w:r>
      <w:r w:rsidRPr="0050539C">
        <w:rPr>
          <w:rFonts w:asciiTheme="minorHAnsi" w:hAnsiTheme="minorHAnsi" w:cstheme="minorHAnsi"/>
          <w:i w:val="0"/>
          <w:color w:val="auto"/>
          <w:sz w:val="14"/>
          <w:lang w:val="en-CA"/>
        </w:rPr>
        <w:t xml:space="preserve"> </w:t>
      </w:r>
      <w:r w:rsidRPr="0050539C">
        <w:rPr>
          <w:rFonts w:asciiTheme="minorHAnsi" w:hAnsiTheme="minorHAnsi" w:cstheme="minorHAnsi"/>
          <w:i w:val="0"/>
          <w:color w:val="auto"/>
          <w:lang w:val="en-CA"/>
        </w:rPr>
        <w:t>population</w:t>
      </w:r>
      <w:r w:rsidRPr="00FC60BB">
        <w:rPr>
          <w:rFonts w:asciiTheme="minorHAnsi" w:hAnsiTheme="minorHAnsi" w:cstheme="minorHAnsi"/>
          <w:i w:val="0"/>
          <w:color w:val="auto"/>
          <w:lang w:val="en-CA"/>
        </w:rPr>
        <w:t xml:space="preserve"> by language requirements of the position for fiscal year 2018 to 2019</w:t>
      </w:r>
    </w:p>
    <w:tbl>
      <w:tblPr>
        <w:tblStyle w:val="TableGrid"/>
        <w:tblW w:w="5000" w:type="pct"/>
        <w:jc w:val="center"/>
        <w:tblLook w:val="0020" w:firstRow="1" w:lastRow="0" w:firstColumn="0" w:lastColumn="0" w:noHBand="0" w:noVBand="0"/>
        <w:tblDescription w:val="Population by language requirements as of March 31, 2019"/>
      </w:tblPr>
      <w:tblGrid>
        <w:gridCol w:w="4779"/>
        <w:gridCol w:w="3955"/>
        <w:gridCol w:w="5656"/>
      </w:tblGrid>
      <w:tr w:rsidR="00C63087" w:rsidRPr="00FC60BB" w14:paraId="796A521F" w14:textId="77777777" w:rsidTr="007B3A9E">
        <w:trPr>
          <w:cantSplit/>
          <w:trHeight w:val="290"/>
          <w:tblHeader/>
          <w:jc w:val="center"/>
        </w:trPr>
        <w:tc>
          <w:tcPr>
            <w:tcW w:w="1660" w:type="pct"/>
          </w:tcPr>
          <w:p w14:paraId="44C6DD30" w14:textId="77777777" w:rsidR="00C63087" w:rsidRPr="00422176" w:rsidRDefault="00C63087" w:rsidP="00BA258A">
            <w:pPr>
              <w:pStyle w:val="TableTitle"/>
            </w:pPr>
            <w:r w:rsidRPr="00422176">
              <w:t>Linguistic requirements of the position</w:t>
            </w:r>
          </w:p>
        </w:tc>
        <w:tc>
          <w:tcPr>
            <w:tcW w:w="1374" w:type="pct"/>
          </w:tcPr>
          <w:p w14:paraId="1C206044" w14:textId="77777777" w:rsidR="00C63087" w:rsidRPr="00422176" w:rsidRDefault="00C63087" w:rsidP="00BA258A">
            <w:pPr>
              <w:pStyle w:val="TableTitle"/>
            </w:pPr>
            <w:r w:rsidRPr="00422176">
              <w:t>Population as of March 31, 2019</w:t>
            </w:r>
          </w:p>
        </w:tc>
        <w:tc>
          <w:tcPr>
            <w:tcW w:w="1965" w:type="pct"/>
          </w:tcPr>
          <w:p w14:paraId="2119E4C6" w14:textId="77777777" w:rsidR="00C63087" w:rsidRPr="00422176" w:rsidRDefault="00C63087" w:rsidP="00BA258A">
            <w:pPr>
              <w:pStyle w:val="TableTitle"/>
            </w:pPr>
            <w:r w:rsidRPr="00422176">
              <w:t>Percentage of population as of March 31, 2019</w:t>
            </w:r>
          </w:p>
        </w:tc>
      </w:tr>
      <w:tr w:rsidR="00C63087" w:rsidRPr="00FC60BB" w14:paraId="7952EBC3" w14:textId="77777777" w:rsidTr="007B3A9E">
        <w:trPr>
          <w:cantSplit/>
          <w:trHeight w:val="290"/>
          <w:tblHeader/>
          <w:jc w:val="center"/>
        </w:trPr>
        <w:tc>
          <w:tcPr>
            <w:tcW w:w="1660" w:type="pct"/>
          </w:tcPr>
          <w:p w14:paraId="7EDD796D"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 xml:space="preserve">Bilingual </w:t>
            </w:r>
          </w:p>
        </w:tc>
        <w:tc>
          <w:tcPr>
            <w:tcW w:w="1374" w:type="pct"/>
          </w:tcPr>
          <w:p w14:paraId="118848B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266</w:t>
            </w:r>
          </w:p>
        </w:tc>
        <w:tc>
          <w:tcPr>
            <w:tcW w:w="1965" w:type="pct"/>
            <w:shd w:val="clear" w:color="auto" w:fill="auto"/>
          </w:tcPr>
          <w:p w14:paraId="3459EFD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81%</w:t>
            </w:r>
          </w:p>
        </w:tc>
      </w:tr>
      <w:tr w:rsidR="00C63087" w:rsidRPr="00FC60BB" w14:paraId="17D46E9C" w14:textId="77777777" w:rsidTr="007B3A9E">
        <w:trPr>
          <w:cantSplit/>
          <w:trHeight w:val="290"/>
          <w:tblHeader/>
          <w:jc w:val="center"/>
        </w:trPr>
        <w:tc>
          <w:tcPr>
            <w:tcW w:w="1660" w:type="pct"/>
          </w:tcPr>
          <w:p w14:paraId="7D2B7DD0"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Unilingual</w:t>
            </w:r>
          </w:p>
        </w:tc>
        <w:tc>
          <w:tcPr>
            <w:tcW w:w="1374" w:type="pct"/>
          </w:tcPr>
          <w:p w14:paraId="08869D03"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62</w:t>
            </w:r>
          </w:p>
        </w:tc>
        <w:tc>
          <w:tcPr>
            <w:tcW w:w="1965" w:type="pct"/>
            <w:shd w:val="clear" w:color="auto" w:fill="auto"/>
          </w:tcPr>
          <w:p w14:paraId="2F4226B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19%</w:t>
            </w:r>
          </w:p>
        </w:tc>
      </w:tr>
      <w:tr w:rsidR="00C63087" w:rsidRPr="00FC60BB" w14:paraId="7EFBA35B" w14:textId="77777777" w:rsidTr="007B3A9E">
        <w:trPr>
          <w:cantSplit/>
          <w:trHeight w:val="290"/>
          <w:tblHeader/>
          <w:jc w:val="center"/>
        </w:trPr>
        <w:tc>
          <w:tcPr>
            <w:tcW w:w="1660" w:type="pct"/>
          </w:tcPr>
          <w:p w14:paraId="4BA4239F"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Unknown</w:t>
            </w:r>
          </w:p>
        </w:tc>
        <w:tc>
          <w:tcPr>
            <w:tcW w:w="1374" w:type="pct"/>
          </w:tcPr>
          <w:p w14:paraId="72F7798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152</w:t>
            </w:r>
          </w:p>
        </w:tc>
        <w:tc>
          <w:tcPr>
            <w:tcW w:w="1965" w:type="pct"/>
            <w:shd w:val="clear" w:color="auto" w:fill="auto"/>
          </w:tcPr>
          <w:p w14:paraId="1AFD358A" w14:textId="77777777" w:rsidR="00C63087" w:rsidRPr="00FC60BB" w:rsidRDefault="00B24249"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r>
    </w:tbl>
    <w:p w14:paraId="16B6CB0E" w14:textId="77777777" w:rsidR="00D42DF0" w:rsidRPr="00FC60BB" w:rsidRDefault="00D42DF0" w:rsidP="00944C68">
      <w:pPr>
        <w:pStyle w:val="Level1"/>
        <w:tabs>
          <w:tab w:val="left" w:pos="-1440"/>
        </w:tabs>
        <w:autoSpaceDE w:val="0"/>
        <w:autoSpaceDN w:val="0"/>
        <w:adjustRightInd w:val="0"/>
        <w:rPr>
          <w:rFonts w:ascii="Arial" w:hAnsi="Arial" w:cs="Arial"/>
          <w:sz w:val="22"/>
          <w:szCs w:val="22"/>
          <w:lang w:val="en-CA"/>
        </w:rPr>
      </w:pPr>
    </w:p>
    <w:p w14:paraId="7D988843" w14:textId="77777777" w:rsidR="00C63087" w:rsidRPr="00FC60BB" w:rsidRDefault="00C63087" w:rsidP="00944C68">
      <w:pPr>
        <w:pStyle w:val="Level1"/>
        <w:tabs>
          <w:tab w:val="left" w:pos="-1440"/>
        </w:tabs>
        <w:autoSpaceDE w:val="0"/>
        <w:autoSpaceDN w:val="0"/>
        <w:adjustRightInd w:val="0"/>
        <w:rPr>
          <w:rFonts w:ascii="Arial" w:hAnsi="Arial" w:cs="Arial"/>
          <w:sz w:val="22"/>
          <w:szCs w:val="22"/>
          <w:lang w:val="en-CA"/>
        </w:rPr>
        <w:sectPr w:rsidR="00C63087"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5FB06AAC" w14:textId="77777777" w:rsidR="00B24249" w:rsidRPr="00FC60BB" w:rsidRDefault="00B24249" w:rsidP="00422176">
      <w:pPr>
        <w:pStyle w:val="Heading1"/>
        <w:spacing w:before="120" w:after="120"/>
        <w:rPr>
          <w:lang w:val="en-CA"/>
        </w:rPr>
      </w:pPr>
      <w:r w:rsidRPr="00FC60BB">
        <w:rPr>
          <w:rFonts w:eastAsia="Times New Roman"/>
          <w:lang w:val="en-CA"/>
        </w:rPr>
        <w:lastRenderedPageBreak/>
        <w:t>Population by occupational group as of March 31, 2019</w:t>
      </w:r>
    </w:p>
    <w:p w14:paraId="0DF93DE6" w14:textId="77777777" w:rsidR="00B24249" w:rsidRPr="00FC60BB" w:rsidRDefault="00D42DF0" w:rsidP="00B24249">
      <w:pPr>
        <w:pStyle w:val="Level1"/>
        <w:keepNext/>
        <w:tabs>
          <w:tab w:val="left" w:pos="-1440"/>
        </w:tabs>
        <w:autoSpaceDE w:val="0"/>
        <w:autoSpaceDN w:val="0"/>
        <w:adjustRightInd w:val="0"/>
        <w:jc w:val="center"/>
        <w:rPr>
          <w:lang w:val="en-CA"/>
        </w:rPr>
      </w:pPr>
      <w:r w:rsidRPr="00FC60BB">
        <w:rPr>
          <w:noProof/>
          <w:lang w:val="en-CA" w:eastAsia="en-CA"/>
        </w:rPr>
        <w:drawing>
          <wp:inline distT="0" distB="0" distL="0" distR="0" wp14:anchorId="0245D1C8" wp14:editId="4B8D9157">
            <wp:extent cx="1980000" cy="3020400"/>
            <wp:effectExtent l="0" t="0" r="1270" b="8890"/>
            <wp:docPr id="5" name="Chart 5" descr="Population by occupational group as of March 31,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C86C3C" w14:textId="77777777" w:rsidR="00D42DF0" w:rsidRPr="00422176" w:rsidRDefault="00B24249" w:rsidP="00B24249">
      <w:pPr>
        <w:pStyle w:val="Caption"/>
        <w:spacing w:after="0"/>
        <w:jc w:val="center"/>
        <w:rPr>
          <w:rFonts w:asciiTheme="minorHAnsi" w:hAnsiTheme="minorHAnsi" w:cstheme="minorHAnsi"/>
          <w:i w:val="0"/>
          <w:color w:val="auto"/>
          <w:sz w:val="22"/>
          <w:szCs w:val="22"/>
          <w:lang w:val="en-CA"/>
        </w:rPr>
      </w:pPr>
      <w:r w:rsidRPr="00422176">
        <w:rPr>
          <w:rFonts w:asciiTheme="minorHAnsi" w:hAnsiTheme="minorHAnsi" w:cstheme="minorHAnsi"/>
          <w:i w:val="0"/>
          <w:color w:val="auto"/>
          <w:lang w:val="en-CA"/>
        </w:rPr>
        <w:t xml:space="preserve">Figure </w:t>
      </w:r>
      <w:r w:rsidRPr="00422176">
        <w:rPr>
          <w:rFonts w:asciiTheme="minorHAnsi" w:hAnsiTheme="minorHAnsi" w:cstheme="minorHAnsi"/>
          <w:i w:val="0"/>
          <w:color w:val="auto"/>
          <w:lang w:val="en-CA"/>
        </w:rPr>
        <w:fldChar w:fldCharType="begin"/>
      </w:r>
      <w:r w:rsidRPr="00422176">
        <w:rPr>
          <w:rFonts w:asciiTheme="minorHAnsi" w:hAnsiTheme="minorHAnsi" w:cstheme="minorHAnsi"/>
          <w:i w:val="0"/>
          <w:color w:val="auto"/>
          <w:lang w:val="en-CA"/>
        </w:rPr>
        <w:instrText xml:space="preserve"> SEQ Figure \* ARABIC </w:instrText>
      </w:r>
      <w:r w:rsidRPr="00422176">
        <w:rPr>
          <w:rFonts w:asciiTheme="minorHAnsi" w:hAnsiTheme="minorHAnsi" w:cstheme="minorHAnsi"/>
          <w:i w:val="0"/>
          <w:color w:val="auto"/>
          <w:lang w:val="en-CA"/>
        </w:rPr>
        <w:fldChar w:fldCharType="separate"/>
      </w:r>
      <w:r w:rsidR="000B3767" w:rsidRPr="00422176">
        <w:rPr>
          <w:rFonts w:asciiTheme="minorHAnsi" w:hAnsiTheme="minorHAnsi" w:cstheme="minorHAnsi"/>
          <w:i w:val="0"/>
          <w:noProof/>
          <w:color w:val="auto"/>
          <w:lang w:val="en-CA"/>
        </w:rPr>
        <w:t>3</w:t>
      </w:r>
      <w:r w:rsidRPr="00422176">
        <w:rPr>
          <w:rFonts w:asciiTheme="minorHAnsi" w:hAnsiTheme="minorHAnsi" w:cstheme="minorHAnsi"/>
          <w:i w:val="0"/>
          <w:color w:val="auto"/>
          <w:lang w:val="en-CA"/>
        </w:rPr>
        <w:fldChar w:fldCharType="end"/>
      </w:r>
      <w:r w:rsidRPr="00422176">
        <w:rPr>
          <w:rFonts w:asciiTheme="minorHAnsi" w:hAnsiTheme="minorHAnsi" w:cstheme="minorHAnsi"/>
          <w:i w:val="0"/>
          <w:color w:val="auto"/>
          <w:lang w:val="en-CA"/>
        </w:rPr>
        <w:t xml:space="preserve"> - Population by occupational group as of March 31, 2019</w:t>
      </w:r>
    </w:p>
    <w:p w14:paraId="7CECFECD" w14:textId="77777777" w:rsidR="00B24249" w:rsidRPr="00FC60BB" w:rsidRDefault="00B24249" w:rsidP="00B24249">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6</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Top occupational groups, as a percentage of the </w:t>
      </w:r>
      <w:r w:rsidRPr="00B0203E">
        <w:rPr>
          <w:rStyle w:val="Emphasis"/>
          <w:sz w:val="18"/>
        </w:rPr>
        <w:t>Public Service Employment Act</w:t>
      </w:r>
      <w:r w:rsidRPr="00B0203E">
        <w:rPr>
          <w:rFonts w:asciiTheme="minorHAnsi" w:hAnsiTheme="minorHAnsi" w:cstheme="minorHAnsi"/>
          <w:i w:val="0"/>
          <w:color w:val="auto"/>
          <w:lang w:val="en-CA"/>
        </w:rPr>
        <w:t xml:space="preserve"> population</w:t>
      </w:r>
      <w:r w:rsidRPr="00FC60BB">
        <w:rPr>
          <w:rFonts w:asciiTheme="minorHAnsi" w:hAnsiTheme="minorHAnsi" w:cstheme="minorHAnsi"/>
          <w:i w:val="0"/>
          <w:color w:val="auto"/>
          <w:lang w:val="en-CA"/>
        </w:rPr>
        <w:t xml:space="preserve"> for fiscal year 2018 to 2019</w:t>
      </w:r>
    </w:p>
    <w:tbl>
      <w:tblPr>
        <w:tblStyle w:val="TableGrid"/>
        <w:tblW w:w="5000" w:type="pct"/>
        <w:jc w:val="center"/>
        <w:tblLook w:val="0020" w:firstRow="1" w:lastRow="0" w:firstColumn="0" w:lastColumn="0" w:noHBand="0" w:noVBand="0"/>
        <w:tblDescription w:val="Population by occupational group as of March 31, 2019"/>
      </w:tblPr>
      <w:tblGrid>
        <w:gridCol w:w="3540"/>
        <w:gridCol w:w="4959"/>
        <w:gridCol w:w="5891"/>
      </w:tblGrid>
      <w:tr w:rsidR="00C63087" w:rsidRPr="00FC60BB" w14:paraId="5BFE0B31" w14:textId="77777777" w:rsidTr="007B3A9E">
        <w:trPr>
          <w:cantSplit/>
          <w:trHeight w:val="290"/>
          <w:tblHeader/>
          <w:jc w:val="center"/>
        </w:trPr>
        <w:tc>
          <w:tcPr>
            <w:tcW w:w="1230" w:type="pct"/>
          </w:tcPr>
          <w:p w14:paraId="2AF809D7" w14:textId="77777777" w:rsidR="00C63087" w:rsidRPr="00422176" w:rsidRDefault="00C63087" w:rsidP="00BA258A">
            <w:pPr>
              <w:pStyle w:val="TableTitle"/>
            </w:pPr>
            <w:r w:rsidRPr="00422176">
              <w:t>Occupational group</w:t>
            </w:r>
          </w:p>
        </w:tc>
        <w:tc>
          <w:tcPr>
            <w:tcW w:w="1723" w:type="pct"/>
          </w:tcPr>
          <w:p w14:paraId="089E5141" w14:textId="77777777" w:rsidR="00C63087" w:rsidRPr="00422176" w:rsidRDefault="00C63087" w:rsidP="00BA258A">
            <w:pPr>
              <w:pStyle w:val="TableTitle"/>
            </w:pPr>
            <w:r w:rsidRPr="00422176">
              <w:t>Population as of March 31, 2019</w:t>
            </w:r>
          </w:p>
        </w:tc>
        <w:tc>
          <w:tcPr>
            <w:tcW w:w="2047" w:type="pct"/>
          </w:tcPr>
          <w:p w14:paraId="3C9FDD6A" w14:textId="77777777" w:rsidR="00C63087" w:rsidRPr="00422176" w:rsidRDefault="00C63087" w:rsidP="00BA258A">
            <w:pPr>
              <w:pStyle w:val="TableTitle"/>
            </w:pPr>
            <w:r w:rsidRPr="00422176">
              <w:t>Percentage of population as of March 31, 2019</w:t>
            </w:r>
          </w:p>
        </w:tc>
      </w:tr>
      <w:tr w:rsidR="00C63087" w:rsidRPr="00FC60BB" w14:paraId="237F1A4B" w14:textId="77777777" w:rsidTr="007B3A9E">
        <w:trPr>
          <w:cantSplit/>
          <w:trHeight w:val="290"/>
          <w:tblHeader/>
          <w:jc w:val="center"/>
        </w:trPr>
        <w:tc>
          <w:tcPr>
            <w:tcW w:w="1230" w:type="pct"/>
          </w:tcPr>
          <w:p w14:paraId="3C002EEB"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AS – Administrative Services</w:t>
            </w:r>
          </w:p>
        </w:tc>
        <w:tc>
          <w:tcPr>
            <w:tcW w:w="1723" w:type="pct"/>
          </w:tcPr>
          <w:p w14:paraId="6E14B839"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134</w:t>
            </w:r>
          </w:p>
        </w:tc>
        <w:tc>
          <w:tcPr>
            <w:tcW w:w="2047" w:type="pct"/>
          </w:tcPr>
          <w:p w14:paraId="2BEC4E2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28%</w:t>
            </w:r>
          </w:p>
        </w:tc>
      </w:tr>
      <w:tr w:rsidR="00C63087" w:rsidRPr="00FC60BB" w14:paraId="39CFEC5E" w14:textId="77777777" w:rsidTr="007B3A9E">
        <w:trPr>
          <w:cantSplit/>
          <w:trHeight w:val="290"/>
          <w:tblHeader/>
          <w:jc w:val="center"/>
        </w:trPr>
        <w:tc>
          <w:tcPr>
            <w:tcW w:w="1230" w:type="pct"/>
          </w:tcPr>
          <w:p w14:paraId="5E2066D7"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PM – Programme Administration</w:t>
            </w:r>
          </w:p>
        </w:tc>
        <w:tc>
          <w:tcPr>
            <w:tcW w:w="1723" w:type="pct"/>
          </w:tcPr>
          <w:p w14:paraId="1C163DC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106</w:t>
            </w:r>
          </w:p>
        </w:tc>
        <w:tc>
          <w:tcPr>
            <w:tcW w:w="2047" w:type="pct"/>
          </w:tcPr>
          <w:p w14:paraId="1C4C651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22%</w:t>
            </w:r>
          </w:p>
        </w:tc>
      </w:tr>
      <w:tr w:rsidR="00C63087" w:rsidRPr="00FC60BB" w14:paraId="2EF06439" w14:textId="77777777" w:rsidTr="007B3A9E">
        <w:trPr>
          <w:cantSplit/>
          <w:trHeight w:val="290"/>
          <w:tblHeader/>
          <w:jc w:val="center"/>
        </w:trPr>
        <w:tc>
          <w:tcPr>
            <w:tcW w:w="1230" w:type="pct"/>
          </w:tcPr>
          <w:p w14:paraId="78AB9C06"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CR – Clerical and Regulatory</w:t>
            </w:r>
          </w:p>
        </w:tc>
        <w:tc>
          <w:tcPr>
            <w:tcW w:w="1723" w:type="pct"/>
          </w:tcPr>
          <w:p w14:paraId="6A8D962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48</w:t>
            </w:r>
          </w:p>
        </w:tc>
        <w:tc>
          <w:tcPr>
            <w:tcW w:w="2047" w:type="pct"/>
          </w:tcPr>
          <w:p w14:paraId="54C544E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10%</w:t>
            </w:r>
          </w:p>
        </w:tc>
      </w:tr>
      <w:tr w:rsidR="00C63087" w:rsidRPr="00FC60BB" w14:paraId="11F3BE73" w14:textId="77777777" w:rsidTr="007B3A9E">
        <w:trPr>
          <w:cantSplit/>
          <w:trHeight w:val="290"/>
          <w:tblHeader/>
          <w:jc w:val="center"/>
        </w:trPr>
        <w:tc>
          <w:tcPr>
            <w:tcW w:w="1230" w:type="pct"/>
          </w:tcPr>
          <w:p w14:paraId="5741BB8B"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LP – Law Practitioner</w:t>
            </w:r>
          </w:p>
        </w:tc>
        <w:tc>
          <w:tcPr>
            <w:tcW w:w="1723" w:type="pct"/>
          </w:tcPr>
          <w:p w14:paraId="0FC49F5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44</w:t>
            </w:r>
          </w:p>
        </w:tc>
        <w:tc>
          <w:tcPr>
            <w:tcW w:w="2047" w:type="pct"/>
          </w:tcPr>
          <w:p w14:paraId="05225A6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9%</w:t>
            </w:r>
          </w:p>
        </w:tc>
      </w:tr>
      <w:tr w:rsidR="00C63087" w:rsidRPr="00FC60BB" w14:paraId="36BA89D1" w14:textId="77777777" w:rsidTr="007B3A9E">
        <w:trPr>
          <w:cantSplit/>
          <w:trHeight w:val="290"/>
          <w:tblHeader/>
          <w:jc w:val="center"/>
        </w:trPr>
        <w:tc>
          <w:tcPr>
            <w:tcW w:w="1230" w:type="pct"/>
          </w:tcPr>
          <w:p w14:paraId="4EDDF3C1"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IS – Information Systems</w:t>
            </w:r>
          </w:p>
        </w:tc>
        <w:tc>
          <w:tcPr>
            <w:tcW w:w="1723" w:type="pct"/>
          </w:tcPr>
          <w:p w14:paraId="33DD12DF"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28</w:t>
            </w:r>
          </w:p>
        </w:tc>
        <w:tc>
          <w:tcPr>
            <w:tcW w:w="2047" w:type="pct"/>
          </w:tcPr>
          <w:p w14:paraId="4329D419"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6%</w:t>
            </w:r>
          </w:p>
        </w:tc>
      </w:tr>
      <w:tr w:rsidR="00C63087" w:rsidRPr="00FC60BB" w14:paraId="7D1AD859" w14:textId="77777777" w:rsidTr="007B3A9E">
        <w:trPr>
          <w:cantSplit/>
          <w:trHeight w:val="290"/>
          <w:tblHeader/>
          <w:jc w:val="center"/>
        </w:trPr>
        <w:tc>
          <w:tcPr>
            <w:tcW w:w="1230" w:type="pct"/>
          </w:tcPr>
          <w:p w14:paraId="2D45DC63"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Other</w:t>
            </w:r>
          </w:p>
        </w:tc>
        <w:tc>
          <w:tcPr>
            <w:tcW w:w="1723" w:type="pct"/>
          </w:tcPr>
          <w:p w14:paraId="6C24840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120</w:t>
            </w:r>
          </w:p>
        </w:tc>
        <w:tc>
          <w:tcPr>
            <w:tcW w:w="2047" w:type="pct"/>
          </w:tcPr>
          <w:p w14:paraId="4FEAC88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25%</w:t>
            </w:r>
          </w:p>
        </w:tc>
      </w:tr>
    </w:tbl>
    <w:p w14:paraId="09EAC639" w14:textId="77777777" w:rsidR="00D42DF0" w:rsidRPr="00FC60BB" w:rsidRDefault="00D42DF0" w:rsidP="00944C68">
      <w:pPr>
        <w:pStyle w:val="Level1"/>
        <w:tabs>
          <w:tab w:val="left" w:pos="-1440"/>
        </w:tabs>
        <w:autoSpaceDE w:val="0"/>
        <w:autoSpaceDN w:val="0"/>
        <w:adjustRightInd w:val="0"/>
        <w:rPr>
          <w:rFonts w:ascii="Arial" w:hAnsi="Arial" w:cs="Arial"/>
          <w:sz w:val="22"/>
          <w:szCs w:val="22"/>
          <w:lang w:val="en-CA"/>
        </w:rPr>
      </w:pPr>
    </w:p>
    <w:p w14:paraId="0EC31DCD" w14:textId="77777777" w:rsidR="00D42DF0" w:rsidRPr="00FC60BB" w:rsidRDefault="00D42DF0" w:rsidP="00944C68">
      <w:pPr>
        <w:pStyle w:val="Level1"/>
        <w:tabs>
          <w:tab w:val="left" w:pos="-1440"/>
        </w:tabs>
        <w:autoSpaceDE w:val="0"/>
        <w:autoSpaceDN w:val="0"/>
        <w:adjustRightInd w:val="0"/>
        <w:rPr>
          <w:rFonts w:ascii="Arial" w:hAnsi="Arial" w:cs="Arial"/>
          <w:sz w:val="22"/>
          <w:szCs w:val="22"/>
          <w:lang w:val="en-CA"/>
        </w:rPr>
        <w:sectPr w:rsidR="00D42DF0"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6E5AF193" w14:textId="77777777" w:rsidR="00B24249" w:rsidRPr="00422176" w:rsidRDefault="00B24249" w:rsidP="000B057E">
      <w:pPr>
        <w:pStyle w:val="Heading1"/>
        <w:spacing w:before="120" w:after="120"/>
      </w:pPr>
      <w:r w:rsidRPr="00422176">
        <w:lastRenderedPageBreak/>
        <w:t>Population by region as of March 31, 2019</w:t>
      </w:r>
    </w:p>
    <w:p w14:paraId="31F285C5" w14:textId="77777777" w:rsidR="00B24249" w:rsidRPr="00FC60BB" w:rsidRDefault="00D42DF0" w:rsidP="00B24249">
      <w:pPr>
        <w:pStyle w:val="Level1"/>
        <w:keepNext/>
        <w:tabs>
          <w:tab w:val="left" w:pos="-1440"/>
        </w:tabs>
        <w:autoSpaceDE w:val="0"/>
        <w:autoSpaceDN w:val="0"/>
        <w:adjustRightInd w:val="0"/>
        <w:jc w:val="center"/>
        <w:rPr>
          <w:lang w:val="en-CA"/>
        </w:rPr>
      </w:pPr>
      <w:r w:rsidRPr="00FC60BB">
        <w:rPr>
          <w:noProof/>
          <w:lang w:val="en-CA" w:eastAsia="en-CA"/>
        </w:rPr>
        <w:drawing>
          <wp:inline distT="0" distB="0" distL="0" distR="0" wp14:anchorId="110D8C7B" wp14:editId="4FD2F4F1">
            <wp:extent cx="1980000" cy="3020400"/>
            <wp:effectExtent l="0" t="0" r="1270" b="8890"/>
            <wp:docPr id="12" name="Chart 12" descr="Population by region as of March 31,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02A9AA" w14:textId="77777777" w:rsidR="00D42DF0" w:rsidRPr="00FC60BB" w:rsidRDefault="00B24249" w:rsidP="00B24249">
      <w:pPr>
        <w:pStyle w:val="Caption"/>
        <w:spacing w:after="0"/>
        <w:jc w:val="center"/>
        <w:rPr>
          <w:rFonts w:asciiTheme="minorHAnsi" w:hAnsiTheme="minorHAnsi" w:cstheme="minorHAnsi"/>
          <w:i w:val="0"/>
          <w:color w:val="auto"/>
          <w:sz w:val="22"/>
          <w:szCs w:val="22"/>
          <w:lang w:val="en-CA"/>
        </w:rPr>
      </w:pPr>
      <w:r w:rsidRPr="00FC60BB">
        <w:rPr>
          <w:rFonts w:asciiTheme="minorHAnsi" w:hAnsiTheme="minorHAnsi" w:cstheme="minorHAnsi"/>
          <w:i w:val="0"/>
          <w:color w:val="auto"/>
          <w:lang w:val="en-CA"/>
        </w:rPr>
        <w:t xml:space="preserve">Figure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Figure \* ARABIC </w:instrText>
      </w:r>
      <w:r w:rsidRPr="00FC60BB">
        <w:rPr>
          <w:rFonts w:asciiTheme="minorHAnsi" w:hAnsiTheme="minorHAnsi" w:cstheme="minorHAnsi"/>
          <w:i w:val="0"/>
          <w:color w:val="auto"/>
          <w:lang w:val="en-CA"/>
        </w:rPr>
        <w:fldChar w:fldCharType="separate"/>
      </w:r>
      <w:r w:rsidR="000B3767" w:rsidRPr="00FC60BB">
        <w:rPr>
          <w:rFonts w:asciiTheme="minorHAnsi" w:hAnsiTheme="minorHAnsi" w:cstheme="minorHAnsi"/>
          <w:i w:val="0"/>
          <w:noProof/>
          <w:color w:val="auto"/>
          <w:lang w:val="en-CA"/>
        </w:rPr>
        <w:t>4</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Population by region as of March 31, 2019</w:t>
      </w:r>
    </w:p>
    <w:p w14:paraId="4133A318" w14:textId="77777777" w:rsidR="00B24249" w:rsidRPr="00B0203E" w:rsidRDefault="00B24249" w:rsidP="00B24249">
      <w:pPr>
        <w:pStyle w:val="Caption"/>
        <w:keepNext/>
        <w:spacing w:before="240" w:after="0"/>
        <w:jc w:val="center"/>
        <w:rPr>
          <w:rFonts w:asciiTheme="minorHAnsi" w:hAnsiTheme="minorHAnsi" w:cstheme="minorHAnsi"/>
          <w:i w:val="0"/>
          <w:color w:val="auto"/>
          <w:lang w:val="en-CA"/>
        </w:rPr>
      </w:pPr>
      <w:r w:rsidRPr="00B0203E">
        <w:rPr>
          <w:rFonts w:asciiTheme="minorHAnsi" w:hAnsiTheme="minorHAnsi" w:cstheme="minorHAnsi"/>
          <w:i w:val="0"/>
          <w:color w:val="auto"/>
          <w:lang w:val="en-CA"/>
        </w:rPr>
        <w:t xml:space="preserve">Table </w:t>
      </w:r>
      <w:r w:rsidRPr="00B0203E">
        <w:rPr>
          <w:rFonts w:asciiTheme="minorHAnsi" w:hAnsiTheme="minorHAnsi" w:cstheme="minorHAnsi"/>
          <w:i w:val="0"/>
          <w:color w:val="auto"/>
          <w:lang w:val="en-CA"/>
        </w:rPr>
        <w:fldChar w:fldCharType="begin"/>
      </w:r>
      <w:r w:rsidRPr="00B0203E">
        <w:rPr>
          <w:rFonts w:asciiTheme="minorHAnsi" w:hAnsiTheme="minorHAnsi" w:cstheme="minorHAnsi"/>
          <w:i w:val="0"/>
          <w:color w:val="auto"/>
          <w:lang w:val="en-CA"/>
        </w:rPr>
        <w:instrText xml:space="preserve"> SEQ Table \* ARABIC </w:instrText>
      </w:r>
      <w:r w:rsidRPr="00B0203E">
        <w:rPr>
          <w:rFonts w:asciiTheme="minorHAnsi" w:hAnsiTheme="minorHAnsi" w:cstheme="minorHAnsi"/>
          <w:i w:val="0"/>
          <w:color w:val="auto"/>
          <w:lang w:val="en-CA"/>
        </w:rPr>
        <w:fldChar w:fldCharType="separate"/>
      </w:r>
      <w:r w:rsidR="008009D0" w:rsidRPr="00B0203E">
        <w:rPr>
          <w:rFonts w:asciiTheme="minorHAnsi" w:hAnsiTheme="minorHAnsi" w:cstheme="minorHAnsi"/>
          <w:i w:val="0"/>
          <w:noProof/>
          <w:color w:val="auto"/>
          <w:lang w:val="en-CA"/>
        </w:rPr>
        <w:t>7</w:t>
      </w:r>
      <w:r w:rsidRPr="00B0203E">
        <w:rPr>
          <w:rFonts w:asciiTheme="minorHAnsi" w:hAnsiTheme="minorHAnsi" w:cstheme="minorHAnsi"/>
          <w:i w:val="0"/>
          <w:color w:val="auto"/>
          <w:lang w:val="en-CA"/>
        </w:rPr>
        <w:fldChar w:fldCharType="end"/>
      </w:r>
      <w:r w:rsidRPr="00B0203E">
        <w:rPr>
          <w:rFonts w:asciiTheme="minorHAnsi" w:hAnsiTheme="minorHAnsi" w:cstheme="minorHAnsi"/>
          <w:i w:val="0"/>
          <w:color w:val="auto"/>
          <w:lang w:val="en-CA"/>
        </w:rPr>
        <w:t xml:space="preserve"> - Distribution by region, as a percentage of the </w:t>
      </w:r>
      <w:r w:rsidRPr="00B0203E">
        <w:rPr>
          <w:rStyle w:val="Emphasis"/>
          <w:color w:val="auto"/>
          <w:sz w:val="18"/>
        </w:rPr>
        <w:t>Public Service Employment Act</w:t>
      </w:r>
      <w:r w:rsidRPr="00B0203E">
        <w:rPr>
          <w:rFonts w:asciiTheme="minorHAnsi" w:hAnsiTheme="minorHAnsi" w:cstheme="minorHAnsi"/>
          <w:i w:val="0"/>
          <w:color w:val="auto"/>
          <w:sz w:val="14"/>
          <w:lang w:val="en-CA"/>
        </w:rPr>
        <w:t xml:space="preserve"> </w:t>
      </w:r>
      <w:r w:rsidRPr="00B0203E">
        <w:rPr>
          <w:rFonts w:asciiTheme="minorHAnsi" w:hAnsiTheme="minorHAnsi" w:cstheme="minorHAnsi"/>
          <w:i w:val="0"/>
          <w:color w:val="auto"/>
          <w:lang w:val="en-CA"/>
        </w:rPr>
        <w:t>population for fiscal year 2018 to 2019</w:t>
      </w:r>
    </w:p>
    <w:tbl>
      <w:tblPr>
        <w:tblStyle w:val="TableGrid"/>
        <w:tblW w:w="5000" w:type="pct"/>
        <w:jc w:val="center"/>
        <w:tblLook w:val="0020" w:firstRow="1" w:lastRow="0" w:firstColumn="0" w:lastColumn="0" w:noHBand="0" w:noVBand="0"/>
        <w:tblDescription w:val="Population by region as of March 31, 2019"/>
      </w:tblPr>
      <w:tblGrid>
        <w:gridCol w:w="3681"/>
        <w:gridCol w:w="4677"/>
        <w:gridCol w:w="6032"/>
      </w:tblGrid>
      <w:tr w:rsidR="00C63087" w:rsidRPr="00FC60BB" w14:paraId="7427DF72" w14:textId="77777777" w:rsidTr="007B3A9E">
        <w:trPr>
          <w:cantSplit/>
          <w:trHeight w:val="290"/>
          <w:tblHeader/>
          <w:jc w:val="center"/>
        </w:trPr>
        <w:tc>
          <w:tcPr>
            <w:tcW w:w="1279" w:type="pct"/>
          </w:tcPr>
          <w:p w14:paraId="75049C5E" w14:textId="77777777" w:rsidR="00C63087" w:rsidRPr="00422176" w:rsidRDefault="00C63087" w:rsidP="00BA258A">
            <w:pPr>
              <w:pStyle w:val="TableTitle"/>
            </w:pPr>
            <w:r w:rsidRPr="00422176">
              <w:t>Region</w:t>
            </w:r>
          </w:p>
        </w:tc>
        <w:tc>
          <w:tcPr>
            <w:tcW w:w="1625" w:type="pct"/>
          </w:tcPr>
          <w:p w14:paraId="4CEFBB62" w14:textId="77777777" w:rsidR="00C63087" w:rsidRPr="00422176" w:rsidRDefault="00C63087" w:rsidP="00BA258A">
            <w:pPr>
              <w:pStyle w:val="TableTitle"/>
            </w:pPr>
            <w:r w:rsidRPr="00422176">
              <w:t>Population as of March 31, 2019</w:t>
            </w:r>
          </w:p>
        </w:tc>
        <w:tc>
          <w:tcPr>
            <w:tcW w:w="2096" w:type="pct"/>
          </w:tcPr>
          <w:p w14:paraId="23F4748C" w14:textId="77777777" w:rsidR="00C63087" w:rsidRPr="00422176" w:rsidRDefault="00C63087" w:rsidP="00BA258A">
            <w:pPr>
              <w:pStyle w:val="TableTitle"/>
            </w:pPr>
            <w:r w:rsidRPr="00422176">
              <w:t>Percentage of population as of March 31, 2019</w:t>
            </w:r>
          </w:p>
        </w:tc>
      </w:tr>
      <w:tr w:rsidR="00C63087" w:rsidRPr="00FC60BB" w14:paraId="7671445F" w14:textId="77777777" w:rsidTr="007B3A9E">
        <w:trPr>
          <w:cantSplit/>
          <w:trHeight w:val="290"/>
          <w:tblHeader/>
          <w:jc w:val="center"/>
        </w:trPr>
        <w:tc>
          <w:tcPr>
            <w:tcW w:w="1279" w:type="pct"/>
          </w:tcPr>
          <w:p w14:paraId="38B40848"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National Capital Region (NCR)</w:t>
            </w:r>
          </w:p>
        </w:tc>
        <w:tc>
          <w:tcPr>
            <w:tcW w:w="1625" w:type="pct"/>
          </w:tcPr>
          <w:p w14:paraId="6DAE9356"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457</w:t>
            </w:r>
          </w:p>
        </w:tc>
        <w:tc>
          <w:tcPr>
            <w:tcW w:w="2096" w:type="pct"/>
          </w:tcPr>
          <w:p w14:paraId="5D573AA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96%</w:t>
            </w:r>
          </w:p>
        </w:tc>
      </w:tr>
      <w:tr w:rsidR="00C63087" w:rsidRPr="00FC60BB" w14:paraId="1D9A26F0" w14:textId="77777777" w:rsidTr="007B3A9E">
        <w:trPr>
          <w:cantSplit/>
          <w:trHeight w:val="290"/>
          <w:tblHeader/>
          <w:jc w:val="center"/>
        </w:trPr>
        <w:tc>
          <w:tcPr>
            <w:tcW w:w="1279" w:type="pct"/>
          </w:tcPr>
          <w:p w14:paraId="7258E373"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Non-NCR</w:t>
            </w:r>
          </w:p>
        </w:tc>
        <w:tc>
          <w:tcPr>
            <w:tcW w:w="1625" w:type="pct"/>
          </w:tcPr>
          <w:p w14:paraId="571AA53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21</w:t>
            </w:r>
          </w:p>
        </w:tc>
        <w:tc>
          <w:tcPr>
            <w:tcW w:w="2096" w:type="pct"/>
          </w:tcPr>
          <w:p w14:paraId="344030B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w:t>
            </w:r>
          </w:p>
        </w:tc>
      </w:tr>
      <w:tr w:rsidR="00C63087" w:rsidRPr="00FC60BB" w14:paraId="30BD993F" w14:textId="77777777" w:rsidTr="007B3A9E">
        <w:trPr>
          <w:cantSplit/>
          <w:trHeight w:val="290"/>
          <w:tblHeader/>
          <w:jc w:val="center"/>
        </w:trPr>
        <w:tc>
          <w:tcPr>
            <w:tcW w:w="1279" w:type="pct"/>
          </w:tcPr>
          <w:p w14:paraId="3DD49716"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Unknown</w:t>
            </w:r>
          </w:p>
        </w:tc>
        <w:tc>
          <w:tcPr>
            <w:tcW w:w="1625" w:type="pct"/>
          </w:tcPr>
          <w:p w14:paraId="1FB4EEE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w:t>
            </w:r>
          </w:p>
        </w:tc>
        <w:tc>
          <w:tcPr>
            <w:tcW w:w="2096" w:type="pct"/>
          </w:tcPr>
          <w:p w14:paraId="7B3EBBF5" w14:textId="77777777" w:rsidR="00C63087" w:rsidRPr="00FC60BB" w:rsidRDefault="00B24249"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r>
    </w:tbl>
    <w:p w14:paraId="74ACC772" w14:textId="77777777" w:rsidR="00D42DF0" w:rsidRPr="00FC60BB" w:rsidRDefault="00D42DF0" w:rsidP="00944C68">
      <w:pPr>
        <w:pStyle w:val="Level1"/>
        <w:tabs>
          <w:tab w:val="left" w:pos="-1440"/>
        </w:tabs>
        <w:autoSpaceDE w:val="0"/>
        <w:autoSpaceDN w:val="0"/>
        <w:adjustRightInd w:val="0"/>
        <w:rPr>
          <w:rFonts w:ascii="Arial" w:hAnsi="Arial" w:cs="Arial"/>
          <w:sz w:val="22"/>
          <w:szCs w:val="22"/>
          <w:lang w:val="en-CA"/>
        </w:rPr>
      </w:pPr>
    </w:p>
    <w:p w14:paraId="236C5E25" w14:textId="77777777" w:rsidR="00D42DF0" w:rsidRPr="00FC60BB" w:rsidRDefault="00D42DF0" w:rsidP="00944C68">
      <w:pPr>
        <w:pStyle w:val="Level1"/>
        <w:tabs>
          <w:tab w:val="left" w:pos="-1440"/>
        </w:tabs>
        <w:autoSpaceDE w:val="0"/>
        <w:autoSpaceDN w:val="0"/>
        <w:adjustRightInd w:val="0"/>
        <w:rPr>
          <w:rFonts w:ascii="Arial" w:hAnsi="Arial" w:cs="Arial"/>
          <w:sz w:val="22"/>
          <w:szCs w:val="22"/>
          <w:lang w:val="en-CA"/>
        </w:rPr>
        <w:sectPr w:rsidR="00D42DF0"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0F64837E" w14:textId="77777777" w:rsidR="000F7B36" w:rsidRPr="00FC60BB" w:rsidRDefault="000F7B36" w:rsidP="000B057E">
      <w:pPr>
        <w:pStyle w:val="Heading1"/>
        <w:spacing w:before="120" w:after="120"/>
        <w:rPr>
          <w:lang w:val="en-CA"/>
        </w:rPr>
      </w:pPr>
      <w:r w:rsidRPr="00FC60BB">
        <w:rPr>
          <w:rFonts w:eastAsia="Times New Roman"/>
          <w:lang w:val="en-CA"/>
        </w:rPr>
        <w:lastRenderedPageBreak/>
        <w:t xml:space="preserve">External indeterminate hires by </w:t>
      </w:r>
      <w:r w:rsidRPr="00FC60BB">
        <w:rPr>
          <w:lang w:val="en-CA"/>
        </w:rPr>
        <w:t>occupational group</w:t>
      </w:r>
      <w:r w:rsidR="004B7985">
        <w:rPr>
          <w:lang w:val="en-CA"/>
        </w:rPr>
        <w:t>, 2018-2019</w:t>
      </w:r>
    </w:p>
    <w:p w14:paraId="1E152848" w14:textId="77777777" w:rsidR="000F7B36" w:rsidRPr="00FC60BB" w:rsidRDefault="007B1B27" w:rsidP="000F7B36">
      <w:pPr>
        <w:pStyle w:val="Level1"/>
        <w:keepNext/>
        <w:tabs>
          <w:tab w:val="left" w:pos="-1440"/>
        </w:tabs>
        <w:autoSpaceDE w:val="0"/>
        <w:autoSpaceDN w:val="0"/>
        <w:adjustRightInd w:val="0"/>
        <w:spacing w:after="120" w:line="20" w:lineRule="atLeast"/>
        <w:jc w:val="center"/>
        <w:rPr>
          <w:lang w:val="en-CA"/>
        </w:rPr>
      </w:pPr>
      <w:r w:rsidRPr="00FC60BB">
        <w:rPr>
          <w:noProof/>
          <w:lang w:val="en-CA" w:eastAsia="en-CA"/>
        </w:rPr>
        <w:drawing>
          <wp:inline distT="0" distB="0" distL="0" distR="0" wp14:anchorId="6B0BAC79" wp14:editId="39E47F84">
            <wp:extent cx="1980000" cy="3020400"/>
            <wp:effectExtent l="0" t="0" r="1270" b="8890"/>
            <wp:docPr id="7" name="Chart 7" descr="External indeterminate hires by occupational group,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B70BC7" w14:textId="77777777" w:rsidR="007B1B27" w:rsidRPr="00FC60BB" w:rsidRDefault="000F7B36" w:rsidP="000F7B36">
      <w:pPr>
        <w:pStyle w:val="Caption"/>
        <w:spacing w:after="0"/>
        <w:jc w:val="center"/>
        <w:rPr>
          <w:rFonts w:asciiTheme="minorHAnsi" w:hAnsiTheme="minorHAnsi" w:cstheme="minorHAnsi"/>
          <w:i w:val="0"/>
          <w:color w:val="auto"/>
          <w:sz w:val="22"/>
          <w:szCs w:val="22"/>
          <w:lang w:val="en-CA"/>
        </w:rPr>
      </w:pPr>
      <w:r w:rsidRPr="00FC60BB">
        <w:rPr>
          <w:rFonts w:asciiTheme="minorHAnsi" w:hAnsiTheme="minorHAnsi" w:cstheme="minorHAnsi"/>
          <w:i w:val="0"/>
          <w:color w:val="auto"/>
          <w:lang w:val="en-CA"/>
        </w:rPr>
        <w:t xml:space="preserve">Figure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Figure \* ARABIC </w:instrText>
      </w:r>
      <w:r w:rsidRPr="00FC60BB">
        <w:rPr>
          <w:rFonts w:asciiTheme="minorHAnsi" w:hAnsiTheme="minorHAnsi" w:cstheme="minorHAnsi"/>
          <w:i w:val="0"/>
          <w:color w:val="auto"/>
          <w:lang w:val="en-CA"/>
        </w:rPr>
        <w:fldChar w:fldCharType="separate"/>
      </w:r>
      <w:r w:rsidR="000B3767" w:rsidRPr="00FC60BB">
        <w:rPr>
          <w:rFonts w:asciiTheme="minorHAnsi" w:hAnsiTheme="minorHAnsi" w:cstheme="minorHAnsi"/>
          <w:i w:val="0"/>
          <w:noProof/>
          <w:color w:val="auto"/>
          <w:lang w:val="en-CA"/>
        </w:rPr>
        <w:t>5</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External indeterminate hires by</w:t>
      </w:r>
      <w:r w:rsidR="004B7985">
        <w:rPr>
          <w:rFonts w:asciiTheme="minorHAnsi" w:hAnsiTheme="minorHAnsi" w:cstheme="minorHAnsi"/>
          <w:i w:val="0"/>
          <w:color w:val="auto"/>
          <w:lang w:val="en-CA"/>
        </w:rPr>
        <w:t xml:space="preserve"> occupational group, 2018-2019</w:t>
      </w:r>
    </w:p>
    <w:p w14:paraId="054B9EEC" w14:textId="77777777" w:rsidR="000F7B36" w:rsidRPr="00FC60BB" w:rsidRDefault="000F7B36" w:rsidP="000F7B36">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8</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External indeterminate hires by top occupational groups, for fiscal year 2018 to 2019</w:t>
      </w:r>
    </w:p>
    <w:tbl>
      <w:tblPr>
        <w:tblStyle w:val="TableGrid"/>
        <w:tblW w:w="5000" w:type="pct"/>
        <w:jc w:val="center"/>
        <w:tblLook w:val="0020" w:firstRow="1" w:lastRow="0" w:firstColumn="0" w:lastColumn="0" w:noHBand="0" w:noVBand="0"/>
        <w:tblDescription w:val="External indeterminate hires by occupational group, 2018-2019"/>
      </w:tblPr>
      <w:tblGrid>
        <w:gridCol w:w="3540"/>
        <w:gridCol w:w="4677"/>
        <w:gridCol w:w="6173"/>
      </w:tblGrid>
      <w:tr w:rsidR="00C63087" w:rsidRPr="00FC60BB" w14:paraId="51CC9262" w14:textId="77777777" w:rsidTr="007B3A9E">
        <w:trPr>
          <w:cantSplit/>
          <w:trHeight w:val="290"/>
          <w:tblHeader/>
          <w:jc w:val="center"/>
        </w:trPr>
        <w:tc>
          <w:tcPr>
            <w:tcW w:w="1230" w:type="pct"/>
          </w:tcPr>
          <w:p w14:paraId="411C7E1B" w14:textId="77777777" w:rsidR="00C63087" w:rsidRPr="004B7985" w:rsidRDefault="00C63087" w:rsidP="00BA258A">
            <w:pPr>
              <w:pStyle w:val="TableTitle"/>
            </w:pPr>
            <w:r w:rsidRPr="004B7985">
              <w:t>Occupational group</w:t>
            </w:r>
          </w:p>
        </w:tc>
        <w:tc>
          <w:tcPr>
            <w:tcW w:w="1625" w:type="pct"/>
          </w:tcPr>
          <w:p w14:paraId="7D1E9863" w14:textId="77777777" w:rsidR="00C63087" w:rsidRPr="004B7985" w:rsidRDefault="00C63087" w:rsidP="00BA258A">
            <w:pPr>
              <w:pStyle w:val="TableTitle"/>
            </w:pPr>
            <w:r w:rsidRPr="004B7985">
              <w:t xml:space="preserve">Number of indeterminate hiring activities </w:t>
            </w:r>
          </w:p>
        </w:tc>
        <w:tc>
          <w:tcPr>
            <w:tcW w:w="2145" w:type="pct"/>
          </w:tcPr>
          <w:p w14:paraId="19C91237" w14:textId="77777777" w:rsidR="00C63087" w:rsidRPr="004B7985" w:rsidRDefault="00C63087" w:rsidP="00BA258A">
            <w:pPr>
              <w:pStyle w:val="TableTitle"/>
            </w:pPr>
            <w:r w:rsidRPr="004B7985">
              <w:t>Percentage of all indeterminate hiring activities</w:t>
            </w:r>
          </w:p>
        </w:tc>
      </w:tr>
      <w:tr w:rsidR="00C63087" w:rsidRPr="00FC60BB" w14:paraId="3B529B21" w14:textId="77777777" w:rsidTr="007B3A9E">
        <w:trPr>
          <w:cantSplit/>
          <w:trHeight w:val="290"/>
          <w:tblHeader/>
          <w:jc w:val="center"/>
        </w:trPr>
        <w:tc>
          <w:tcPr>
            <w:tcW w:w="1230" w:type="pct"/>
          </w:tcPr>
          <w:p w14:paraId="3018A19A" w14:textId="77777777" w:rsidR="00C63087" w:rsidRPr="00FC60BB" w:rsidRDefault="00C63087" w:rsidP="00D64481">
            <w:pPr>
              <w:autoSpaceDE w:val="0"/>
              <w:autoSpaceDN w:val="0"/>
              <w:adjustRightInd w:val="0"/>
              <w:rPr>
                <w:rFonts w:asciiTheme="minorHAnsi" w:hAnsiTheme="minorHAnsi" w:cstheme="minorHAnsi"/>
                <w:color w:val="000000"/>
                <w:sz w:val="22"/>
                <w:szCs w:val="24"/>
                <w:highlight w:val="yellow"/>
                <w:lang w:val="en-CA"/>
              </w:rPr>
            </w:pPr>
            <w:r w:rsidRPr="00FC60BB">
              <w:rPr>
                <w:rFonts w:asciiTheme="minorHAnsi" w:hAnsiTheme="minorHAnsi" w:cstheme="minorHAnsi"/>
                <w:color w:val="000000"/>
                <w:sz w:val="22"/>
                <w:szCs w:val="24"/>
                <w:lang w:val="en-CA"/>
              </w:rPr>
              <w:t>AS – Administrative Services</w:t>
            </w:r>
          </w:p>
        </w:tc>
        <w:tc>
          <w:tcPr>
            <w:tcW w:w="1625" w:type="pct"/>
          </w:tcPr>
          <w:p w14:paraId="3BFC6F4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12</w:t>
            </w:r>
          </w:p>
        </w:tc>
        <w:tc>
          <w:tcPr>
            <w:tcW w:w="2145" w:type="pct"/>
          </w:tcPr>
          <w:p w14:paraId="5E45EAE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29%</w:t>
            </w:r>
          </w:p>
        </w:tc>
      </w:tr>
      <w:tr w:rsidR="00C63087" w:rsidRPr="00FC60BB" w14:paraId="1D89AF04" w14:textId="77777777" w:rsidTr="007B3A9E">
        <w:trPr>
          <w:cantSplit/>
          <w:trHeight w:val="290"/>
          <w:tblHeader/>
          <w:jc w:val="center"/>
        </w:trPr>
        <w:tc>
          <w:tcPr>
            <w:tcW w:w="1230" w:type="pct"/>
          </w:tcPr>
          <w:p w14:paraId="6B1625B1"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CR – Clerical and Regulatory</w:t>
            </w:r>
          </w:p>
        </w:tc>
        <w:tc>
          <w:tcPr>
            <w:tcW w:w="1625" w:type="pct"/>
          </w:tcPr>
          <w:p w14:paraId="4BB0D5EF"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10</w:t>
            </w:r>
          </w:p>
        </w:tc>
        <w:tc>
          <w:tcPr>
            <w:tcW w:w="2145" w:type="pct"/>
          </w:tcPr>
          <w:p w14:paraId="5A0C1B8C"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24%</w:t>
            </w:r>
          </w:p>
        </w:tc>
      </w:tr>
      <w:tr w:rsidR="00C63087" w:rsidRPr="00FC60BB" w14:paraId="1F4F018E" w14:textId="77777777" w:rsidTr="007B3A9E">
        <w:trPr>
          <w:cantSplit/>
          <w:trHeight w:val="290"/>
          <w:tblHeader/>
          <w:jc w:val="center"/>
        </w:trPr>
        <w:tc>
          <w:tcPr>
            <w:tcW w:w="1230" w:type="pct"/>
          </w:tcPr>
          <w:p w14:paraId="460BE82C"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CS – Computer Systems</w:t>
            </w:r>
          </w:p>
        </w:tc>
        <w:tc>
          <w:tcPr>
            <w:tcW w:w="1625" w:type="pct"/>
          </w:tcPr>
          <w:p w14:paraId="51D6B0E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6</w:t>
            </w:r>
          </w:p>
        </w:tc>
        <w:tc>
          <w:tcPr>
            <w:tcW w:w="2145" w:type="pct"/>
          </w:tcPr>
          <w:p w14:paraId="344D94B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15%</w:t>
            </w:r>
          </w:p>
        </w:tc>
      </w:tr>
      <w:tr w:rsidR="00C63087" w:rsidRPr="00FC60BB" w14:paraId="18C04B79" w14:textId="77777777" w:rsidTr="007B3A9E">
        <w:trPr>
          <w:cantSplit/>
          <w:trHeight w:val="290"/>
          <w:tblHeader/>
          <w:jc w:val="center"/>
        </w:trPr>
        <w:tc>
          <w:tcPr>
            <w:tcW w:w="1230" w:type="pct"/>
          </w:tcPr>
          <w:p w14:paraId="34FB6C98"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PM – Programme Administration</w:t>
            </w:r>
          </w:p>
        </w:tc>
        <w:tc>
          <w:tcPr>
            <w:tcW w:w="1625" w:type="pct"/>
          </w:tcPr>
          <w:p w14:paraId="2C81CC0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w:t>
            </w:r>
          </w:p>
        </w:tc>
        <w:tc>
          <w:tcPr>
            <w:tcW w:w="2145" w:type="pct"/>
          </w:tcPr>
          <w:p w14:paraId="0A7DD77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10%</w:t>
            </w:r>
          </w:p>
        </w:tc>
      </w:tr>
      <w:tr w:rsidR="00C63087" w:rsidRPr="00FC60BB" w14:paraId="31826BA6" w14:textId="77777777" w:rsidTr="007B3A9E">
        <w:trPr>
          <w:cantSplit/>
          <w:trHeight w:val="290"/>
          <w:tblHeader/>
          <w:jc w:val="center"/>
        </w:trPr>
        <w:tc>
          <w:tcPr>
            <w:tcW w:w="1230" w:type="pct"/>
          </w:tcPr>
          <w:p w14:paraId="241C26DE"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Other</w:t>
            </w:r>
          </w:p>
        </w:tc>
        <w:tc>
          <w:tcPr>
            <w:tcW w:w="1625" w:type="pct"/>
          </w:tcPr>
          <w:p w14:paraId="670BD82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9</w:t>
            </w:r>
          </w:p>
        </w:tc>
        <w:tc>
          <w:tcPr>
            <w:tcW w:w="2145" w:type="pct"/>
          </w:tcPr>
          <w:p w14:paraId="4C714C2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22%</w:t>
            </w:r>
          </w:p>
        </w:tc>
      </w:tr>
      <w:tr w:rsidR="00C63087" w:rsidRPr="00FC60BB" w14:paraId="1A1C4699" w14:textId="77777777" w:rsidTr="007B3A9E">
        <w:trPr>
          <w:cantSplit/>
          <w:trHeight w:val="290"/>
          <w:tblHeader/>
          <w:jc w:val="center"/>
        </w:trPr>
        <w:tc>
          <w:tcPr>
            <w:tcW w:w="1230" w:type="pct"/>
          </w:tcPr>
          <w:p w14:paraId="73689B17"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Total</w:t>
            </w:r>
          </w:p>
        </w:tc>
        <w:tc>
          <w:tcPr>
            <w:tcW w:w="1625" w:type="pct"/>
          </w:tcPr>
          <w:p w14:paraId="0F12AEC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41</w:t>
            </w:r>
          </w:p>
        </w:tc>
        <w:tc>
          <w:tcPr>
            <w:tcW w:w="2145" w:type="pct"/>
          </w:tcPr>
          <w:p w14:paraId="5AC6DD1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100%</w:t>
            </w:r>
          </w:p>
        </w:tc>
      </w:tr>
    </w:tbl>
    <w:p w14:paraId="49CD1880" w14:textId="77777777" w:rsidR="00D42DF0" w:rsidRPr="00FC60BB" w:rsidRDefault="00D42DF0" w:rsidP="007B1B27">
      <w:pPr>
        <w:pStyle w:val="Level1"/>
        <w:tabs>
          <w:tab w:val="left" w:pos="-1440"/>
        </w:tabs>
        <w:autoSpaceDE w:val="0"/>
        <w:autoSpaceDN w:val="0"/>
        <w:adjustRightInd w:val="0"/>
        <w:spacing w:after="120" w:line="20" w:lineRule="atLeast"/>
        <w:rPr>
          <w:rFonts w:ascii="Arial" w:hAnsi="Arial" w:cs="Arial"/>
          <w:sz w:val="22"/>
          <w:szCs w:val="22"/>
          <w:lang w:val="en-CA"/>
        </w:rPr>
      </w:pPr>
    </w:p>
    <w:p w14:paraId="5C31B3D3" w14:textId="77777777" w:rsidR="00D42DF0" w:rsidRPr="00FC60BB" w:rsidRDefault="00D42DF0" w:rsidP="007B1B27">
      <w:pPr>
        <w:pStyle w:val="Level1"/>
        <w:tabs>
          <w:tab w:val="left" w:pos="-1440"/>
        </w:tabs>
        <w:autoSpaceDE w:val="0"/>
        <w:autoSpaceDN w:val="0"/>
        <w:adjustRightInd w:val="0"/>
        <w:spacing w:after="120" w:line="20" w:lineRule="atLeast"/>
        <w:rPr>
          <w:rFonts w:ascii="Arial" w:hAnsi="Arial" w:cs="Arial"/>
          <w:sz w:val="22"/>
          <w:szCs w:val="22"/>
          <w:lang w:val="en-CA"/>
        </w:rPr>
        <w:sectPr w:rsidR="00D42DF0"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79CC90DF" w14:textId="77777777" w:rsidR="000F7B36" w:rsidRPr="00FC60BB" w:rsidRDefault="000F7B36" w:rsidP="004B7985">
      <w:pPr>
        <w:pStyle w:val="Heading1"/>
        <w:spacing w:before="120" w:after="120"/>
        <w:rPr>
          <w:lang w:val="en-CA"/>
        </w:rPr>
      </w:pPr>
      <w:r w:rsidRPr="00FC60BB">
        <w:rPr>
          <w:lang w:val="en-CA"/>
        </w:rPr>
        <w:lastRenderedPageBreak/>
        <w:t>Staffing by region</w:t>
      </w:r>
    </w:p>
    <w:p w14:paraId="37DEB871" w14:textId="77777777" w:rsidR="000F7B36" w:rsidRPr="00FC60BB" w:rsidRDefault="00D42DF0" w:rsidP="000F7B36">
      <w:pPr>
        <w:pStyle w:val="Level1"/>
        <w:keepNext/>
        <w:tabs>
          <w:tab w:val="left" w:pos="-1440"/>
        </w:tabs>
        <w:autoSpaceDE w:val="0"/>
        <w:autoSpaceDN w:val="0"/>
        <w:adjustRightInd w:val="0"/>
        <w:spacing w:after="120" w:line="20" w:lineRule="atLeast"/>
        <w:contextualSpacing/>
        <w:jc w:val="center"/>
        <w:rPr>
          <w:lang w:val="en-CA"/>
        </w:rPr>
      </w:pPr>
      <w:r w:rsidRPr="00FC60BB">
        <w:rPr>
          <w:noProof/>
          <w:lang w:val="en-CA" w:eastAsia="en-CA"/>
        </w:rPr>
        <w:drawing>
          <wp:inline distT="0" distB="0" distL="0" distR="0" wp14:anchorId="0DFCB19D" wp14:editId="32369287">
            <wp:extent cx="5648400" cy="3049200"/>
            <wp:effectExtent l="0" t="0" r="9525" b="18415"/>
            <wp:docPr id="6" name="Chart 6" descr="Staffing by region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56A396" w14:textId="77777777" w:rsidR="00D42DF0" w:rsidRPr="00FC60BB" w:rsidRDefault="000F7B36" w:rsidP="000F7B36">
      <w:pPr>
        <w:pStyle w:val="Caption"/>
        <w:spacing w:after="0"/>
        <w:contextualSpacing/>
        <w:jc w:val="center"/>
        <w:rPr>
          <w:rFonts w:asciiTheme="minorHAnsi" w:hAnsiTheme="minorHAnsi" w:cstheme="minorHAnsi"/>
          <w:i w:val="0"/>
          <w:sz w:val="22"/>
          <w:szCs w:val="22"/>
          <w:lang w:val="en-CA"/>
        </w:rPr>
      </w:pPr>
      <w:r w:rsidRPr="00FC60BB">
        <w:rPr>
          <w:rFonts w:asciiTheme="minorHAnsi" w:hAnsiTheme="minorHAnsi" w:cstheme="minorHAnsi"/>
          <w:i w:val="0"/>
          <w:lang w:val="en-CA"/>
        </w:rPr>
        <w:t xml:space="preserve">Figure </w:t>
      </w:r>
      <w:r w:rsidRPr="00FC60BB">
        <w:rPr>
          <w:rFonts w:asciiTheme="minorHAnsi" w:hAnsiTheme="minorHAnsi" w:cstheme="minorHAnsi"/>
          <w:i w:val="0"/>
          <w:lang w:val="en-CA"/>
        </w:rPr>
        <w:fldChar w:fldCharType="begin"/>
      </w:r>
      <w:r w:rsidRPr="00FC60BB">
        <w:rPr>
          <w:rFonts w:asciiTheme="minorHAnsi" w:hAnsiTheme="minorHAnsi" w:cstheme="minorHAnsi"/>
          <w:i w:val="0"/>
          <w:lang w:val="en-CA"/>
        </w:rPr>
        <w:instrText xml:space="preserve"> SEQ Figure \* ARABIC </w:instrText>
      </w:r>
      <w:r w:rsidRPr="00FC60BB">
        <w:rPr>
          <w:rFonts w:asciiTheme="minorHAnsi" w:hAnsiTheme="minorHAnsi" w:cstheme="minorHAnsi"/>
          <w:i w:val="0"/>
          <w:lang w:val="en-CA"/>
        </w:rPr>
        <w:fldChar w:fldCharType="separate"/>
      </w:r>
      <w:r w:rsidR="000B3767" w:rsidRPr="00FC60BB">
        <w:rPr>
          <w:rFonts w:asciiTheme="minorHAnsi" w:hAnsiTheme="minorHAnsi" w:cstheme="minorHAnsi"/>
          <w:i w:val="0"/>
          <w:noProof/>
          <w:lang w:val="en-CA"/>
        </w:rPr>
        <w:t>6</w:t>
      </w:r>
      <w:r w:rsidRPr="00FC60BB">
        <w:rPr>
          <w:rFonts w:asciiTheme="minorHAnsi" w:hAnsiTheme="minorHAnsi" w:cstheme="minorHAnsi"/>
          <w:i w:val="0"/>
          <w:lang w:val="en-CA"/>
        </w:rPr>
        <w:fldChar w:fldCharType="end"/>
      </w:r>
      <w:r w:rsidRPr="00FC60BB">
        <w:rPr>
          <w:rFonts w:asciiTheme="minorHAnsi" w:hAnsiTheme="minorHAnsi" w:cstheme="minorHAnsi"/>
          <w:i w:val="0"/>
          <w:lang w:val="en-CA"/>
        </w:rPr>
        <w:t xml:space="preserve"> - Staffing by region</w:t>
      </w:r>
    </w:p>
    <w:p w14:paraId="74CE97D7" w14:textId="77777777" w:rsidR="000F7B36" w:rsidRPr="00FC60BB" w:rsidRDefault="000F7B36" w:rsidP="000F7B36">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9</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Percentage of staffing activities in the National Capital Region compared with all other regions by fiscal year</w:t>
      </w:r>
    </w:p>
    <w:tbl>
      <w:tblPr>
        <w:tblStyle w:val="TableGrid"/>
        <w:tblW w:w="5000" w:type="pct"/>
        <w:jc w:val="center"/>
        <w:tblLook w:val="0020" w:firstRow="1" w:lastRow="0" w:firstColumn="0" w:lastColumn="0" w:noHBand="0" w:noVBand="0"/>
        <w:tblDescription w:val="Staffing by region from 2014 to 2019&#10;"/>
      </w:tblPr>
      <w:tblGrid>
        <w:gridCol w:w="2191"/>
        <w:gridCol w:w="6170"/>
        <w:gridCol w:w="6029"/>
      </w:tblGrid>
      <w:tr w:rsidR="000F7B36" w:rsidRPr="00FC60BB" w14:paraId="6BEECB02" w14:textId="77777777" w:rsidTr="007B3A9E">
        <w:trPr>
          <w:cantSplit/>
          <w:trHeight w:val="290"/>
          <w:tblHeader/>
          <w:jc w:val="center"/>
        </w:trPr>
        <w:tc>
          <w:tcPr>
            <w:tcW w:w="761" w:type="pct"/>
          </w:tcPr>
          <w:p w14:paraId="34A4181B" w14:textId="77777777" w:rsidR="00C63087" w:rsidRPr="00F74517" w:rsidRDefault="00C63087" w:rsidP="00BA258A">
            <w:pPr>
              <w:pStyle w:val="TableTitle"/>
            </w:pPr>
            <w:r w:rsidRPr="00F74517">
              <w:t>Fiscal year</w:t>
            </w:r>
          </w:p>
        </w:tc>
        <w:tc>
          <w:tcPr>
            <w:tcW w:w="2144" w:type="pct"/>
          </w:tcPr>
          <w:p w14:paraId="163D872C" w14:textId="77777777" w:rsidR="00C63087" w:rsidRPr="00F74517" w:rsidRDefault="00C63087" w:rsidP="00BA258A">
            <w:pPr>
              <w:pStyle w:val="TableTitle"/>
            </w:pPr>
            <w:r w:rsidRPr="00F74517">
              <w:t>Percentage of staffing activities in the National Capital Region (NCR)</w:t>
            </w:r>
          </w:p>
        </w:tc>
        <w:tc>
          <w:tcPr>
            <w:tcW w:w="2096" w:type="pct"/>
          </w:tcPr>
          <w:p w14:paraId="517761C6" w14:textId="77777777" w:rsidR="00C63087" w:rsidRPr="00F74517" w:rsidRDefault="00C63087" w:rsidP="00BA258A">
            <w:pPr>
              <w:pStyle w:val="TableTitle"/>
            </w:pPr>
            <w:r w:rsidRPr="00F74517">
              <w:t>Percentage of staffing activities in all other regions (Non-NCR)</w:t>
            </w:r>
          </w:p>
        </w:tc>
      </w:tr>
      <w:tr w:rsidR="000F7B36" w:rsidRPr="00FC60BB" w14:paraId="5ADB1F1E" w14:textId="77777777" w:rsidTr="007B3A9E">
        <w:trPr>
          <w:cantSplit/>
          <w:trHeight w:val="290"/>
          <w:tblHeader/>
          <w:jc w:val="center"/>
        </w:trPr>
        <w:tc>
          <w:tcPr>
            <w:tcW w:w="761" w:type="pct"/>
          </w:tcPr>
          <w:p w14:paraId="42EF0303" w14:textId="77777777" w:rsidR="00C63087" w:rsidRPr="00FC60BB" w:rsidRDefault="00C63087" w:rsidP="00D64481">
            <w:pPr>
              <w:autoSpaceDE w:val="0"/>
              <w:autoSpaceDN w:val="0"/>
              <w:adjustRightInd w:val="0"/>
              <w:rPr>
                <w:rFonts w:asciiTheme="minorHAnsi" w:hAnsiTheme="minorHAnsi" w:cstheme="minorHAnsi"/>
                <w:sz w:val="22"/>
                <w:szCs w:val="24"/>
                <w:lang w:val="en-CA"/>
              </w:rPr>
            </w:pPr>
            <w:r w:rsidRPr="00FC60BB">
              <w:rPr>
                <w:rFonts w:asciiTheme="minorHAnsi" w:hAnsiTheme="minorHAnsi" w:cstheme="minorHAnsi"/>
                <w:sz w:val="22"/>
                <w:szCs w:val="24"/>
                <w:lang w:val="en-CA"/>
              </w:rPr>
              <w:t>2014 to 2015</w:t>
            </w:r>
          </w:p>
        </w:tc>
        <w:tc>
          <w:tcPr>
            <w:tcW w:w="2144" w:type="pct"/>
          </w:tcPr>
          <w:p w14:paraId="66536A85"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89%</w:t>
            </w:r>
          </w:p>
        </w:tc>
        <w:tc>
          <w:tcPr>
            <w:tcW w:w="2096" w:type="pct"/>
          </w:tcPr>
          <w:p w14:paraId="292A67C1"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11%</w:t>
            </w:r>
          </w:p>
        </w:tc>
      </w:tr>
      <w:tr w:rsidR="000F7B36" w:rsidRPr="00FC60BB" w14:paraId="4CF13814" w14:textId="77777777" w:rsidTr="007B3A9E">
        <w:trPr>
          <w:cantSplit/>
          <w:trHeight w:val="290"/>
          <w:tblHeader/>
          <w:jc w:val="center"/>
        </w:trPr>
        <w:tc>
          <w:tcPr>
            <w:tcW w:w="761" w:type="pct"/>
          </w:tcPr>
          <w:p w14:paraId="2345B118" w14:textId="77777777" w:rsidR="00C63087" w:rsidRPr="00FC60BB" w:rsidRDefault="00C63087" w:rsidP="00D64481">
            <w:pPr>
              <w:autoSpaceDE w:val="0"/>
              <w:autoSpaceDN w:val="0"/>
              <w:adjustRightInd w:val="0"/>
              <w:rPr>
                <w:rFonts w:asciiTheme="minorHAnsi" w:hAnsiTheme="minorHAnsi" w:cstheme="minorHAnsi"/>
                <w:sz w:val="22"/>
                <w:szCs w:val="24"/>
                <w:lang w:val="en-CA"/>
              </w:rPr>
            </w:pPr>
            <w:r w:rsidRPr="00FC60BB">
              <w:rPr>
                <w:rFonts w:asciiTheme="minorHAnsi" w:hAnsiTheme="minorHAnsi" w:cstheme="minorHAnsi"/>
                <w:sz w:val="22"/>
                <w:szCs w:val="24"/>
                <w:lang w:val="en-CA"/>
              </w:rPr>
              <w:t>2015 to 2016</w:t>
            </w:r>
          </w:p>
        </w:tc>
        <w:tc>
          <w:tcPr>
            <w:tcW w:w="2144" w:type="pct"/>
          </w:tcPr>
          <w:p w14:paraId="43A7AE79"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97%</w:t>
            </w:r>
          </w:p>
        </w:tc>
        <w:tc>
          <w:tcPr>
            <w:tcW w:w="2096" w:type="pct"/>
          </w:tcPr>
          <w:p w14:paraId="12DD401C"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3%</w:t>
            </w:r>
          </w:p>
        </w:tc>
      </w:tr>
      <w:tr w:rsidR="000F7B36" w:rsidRPr="00FC60BB" w14:paraId="6DA8C9FE" w14:textId="77777777" w:rsidTr="007B3A9E">
        <w:trPr>
          <w:cantSplit/>
          <w:trHeight w:val="290"/>
          <w:tblHeader/>
          <w:jc w:val="center"/>
        </w:trPr>
        <w:tc>
          <w:tcPr>
            <w:tcW w:w="761" w:type="pct"/>
          </w:tcPr>
          <w:p w14:paraId="5D014329" w14:textId="77777777" w:rsidR="00C63087" w:rsidRPr="00FC60BB" w:rsidRDefault="00C63087" w:rsidP="00D64481">
            <w:pPr>
              <w:autoSpaceDE w:val="0"/>
              <w:autoSpaceDN w:val="0"/>
              <w:adjustRightInd w:val="0"/>
              <w:rPr>
                <w:rFonts w:asciiTheme="minorHAnsi" w:hAnsiTheme="minorHAnsi" w:cstheme="minorHAnsi"/>
                <w:sz w:val="22"/>
                <w:szCs w:val="24"/>
                <w:lang w:val="en-CA"/>
              </w:rPr>
            </w:pPr>
            <w:r w:rsidRPr="00FC60BB">
              <w:rPr>
                <w:rFonts w:asciiTheme="minorHAnsi" w:hAnsiTheme="minorHAnsi" w:cstheme="minorHAnsi"/>
                <w:sz w:val="22"/>
                <w:szCs w:val="24"/>
                <w:lang w:val="en-CA"/>
              </w:rPr>
              <w:t>2016 to 2017</w:t>
            </w:r>
          </w:p>
        </w:tc>
        <w:tc>
          <w:tcPr>
            <w:tcW w:w="2144" w:type="pct"/>
          </w:tcPr>
          <w:p w14:paraId="147A6B51"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99%</w:t>
            </w:r>
          </w:p>
        </w:tc>
        <w:tc>
          <w:tcPr>
            <w:tcW w:w="2096" w:type="pct"/>
          </w:tcPr>
          <w:p w14:paraId="3773B9B9"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1%</w:t>
            </w:r>
          </w:p>
        </w:tc>
      </w:tr>
      <w:tr w:rsidR="000F7B36" w:rsidRPr="00FC60BB" w14:paraId="637533F5" w14:textId="77777777" w:rsidTr="007B3A9E">
        <w:trPr>
          <w:cantSplit/>
          <w:trHeight w:val="290"/>
          <w:tblHeader/>
          <w:jc w:val="center"/>
        </w:trPr>
        <w:tc>
          <w:tcPr>
            <w:tcW w:w="761" w:type="pct"/>
          </w:tcPr>
          <w:p w14:paraId="7F5A02AA" w14:textId="77777777" w:rsidR="00C63087" w:rsidRPr="00FC60BB" w:rsidRDefault="00C63087" w:rsidP="00D64481">
            <w:pPr>
              <w:autoSpaceDE w:val="0"/>
              <w:autoSpaceDN w:val="0"/>
              <w:adjustRightInd w:val="0"/>
              <w:rPr>
                <w:rFonts w:asciiTheme="minorHAnsi" w:hAnsiTheme="minorHAnsi" w:cstheme="minorHAnsi"/>
                <w:sz w:val="22"/>
                <w:szCs w:val="24"/>
                <w:lang w:val="en-CA"/>
              </w:rPr>
            </w:pPr>
            <w:r w:rsidRPr="00FC60BB">
              <w:rPr>
                <w:rFonts w:asciiTheme="minorHAnsi" w:hAnsiTheme="minorHAnsi" w:cstheme="minorHAnsi"/>
                <w:sz w:val="22"/>
                <w:szCs w:val="24"/>
                <w:lang w:val="en-CA"/>
              </w:rPr>
              <w:t>2017 to 2018</w:t>
            </w:r>
          </w:p>
        </w:tc>
        <w:tc>
          <w:tcPr>
            <w:tcW w:w="2144" w:type="pct"/>
          </w:tcPr>
          <w:p w14:paraId="3B253B74"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98%</w:t>
            </w:r>
          </w:p>
        </w:tc>
        <w:tc>
          <w:tcPr>
            <w:tcW w:w="2096" w:type="pct"/>
          </w:tcPr>
          <w:p w14:paraId="1E66A92F"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2%</w:t>
            </w:r>
          </w:p>
        </w:tc>
      </w:tr>
      <w:tr w:rsidR="000F7B36" w:rsidRPr="00FC60BB" w14:paraId="0FFC4DA0" w14:textId="77777777" w:rsidTr="007B3A9E">
        <w:trPr>
          <w:cantSplit/>
          <w:trHeight w:val="290"/>
          <w:tblHeader/>
          <w:jc w:val="center"/>
        </w:trPr>
        <w:tc>
          <w:tcPr>
            <w:tcW w:w="761" w:type="pct"/>
          </w:tcPr>
          <w:p w14:paraId="22572D93" w14:textId="77777777" w:rsidR="00C63087" w:rsidRPr="00FC60BB" w:rsidRDefault="00C63087" w:rsidP="00D64481">
            <w:pPr>
              <w:autoSpaceDE w:val="0"/>
              <w:autoSpaceDN w:val="0"/>
              <w:adjustRightInd w:val="0"/>
              <w:rPr>
                <w:rFonts w:asciiTheme="minorHAnsi" w:hAnsiTheme="minorHAnsi" w:cstheme="minorHAnsi"/>
                <w:sz w:val="22"/>
                <w:szCs w:val="24"/>
                <w:lang w:val="en-CA"/>
              </w:rPr>
            </w:pPr>
            <w:r w:rsidRPr="00FC60BB">
              <w:rPr>
                <w:rFonts w:asciiTheme="minorHAnsi" w:hAnsiTheme="minorHAnsi" w:cstheme="minorHAnsi"/>
                <w:sz w:val="22"/>
                <w:szCs w:val="24"/>
                <w:lang w:val="en-CA"/>
              </w:rPr>
              <w:t>2018 to 2019</w:t>
            </w:r>
          </w:p>
        </w:tc>
        <w:tc>
          <w:tcPr>
            <w:tcW w:w="2144" w:type="pct"/>
          </w:tcPr>
          <w:p w14:paraId="057C25A4"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97%</w:t>
            </w:r>
          </w:p>
        </w:tc>
        <w:tc>
          <w:tcPr>
            <w:tcW w:w="2096" w:type="pct"/>
          </w:tcPr>
          <w:p w14:paraId="06BCB1C4" w14:textId="77777777" w:rsidR="00C63087" w:rsidRPr="00FC60BB" w:rsidRDefault="00C63087" w:rsidP="00D64481">
            <w:pPr>
              <w:autoSpaceDE w:val="0"/>
              <w:autoSpaceDN w:val="0"/>
              <w:adjustRightInd w:val="0"/>
              <w:jc w:val="center"/>
              <w:rPr>
                <w:rFonts w:asciiTheme="minorHAnsi" w:hAnsiTheme="minorHAnsi" w:cstheme="minorHAnsi"/>
                <w:sz w:val="22"/>
                <w:szCs w:val="24"/>
                <w:lang w:val="en-CA"/>
              </w:rPr>
            </w:pPr>
            <w:r w:rsidRPr="00FC60BB">
              <w:rPr>
                <w:rFonts w:asciiTheme="minorHAnsi" w:hAnsiTheme="minorHAnsi" w:cstheme="minorHAnsi"/>
                <w:sz w:val="22"/>
                <w:szCs w:val="24"/>
                <w:lang w:val="en-CA"/>
              </w:rPr>
              <w:t>3%</w:t>
            </w:r>
          </w:p>
        </w:tc>
      </w:tr>
    </w:tbl>
    <w:p w14:paraId="5D3AA70D" w14:textId="77777777" w:rsidR="00C63087" w:rsidRPr="00FC60BB" w:rsidRDefault="00C63087" w:rsidP="00C63087">
      <w:pPr>
        <w:pStyle w:val="ListParagraph"/>
        <w:numPr>
          <w:ilvl w:val="0"/>
          <w:numId w:val="9"/>
        </w:numPr>
        <w:spacing w:after="100" w:afterAutospacing="1"/>
        <w:contextualSpacing w:val="0"/>
        <w:rPr>
          <w:rFonts w:asciiTheme="minorHAnsi" w:hAnsiTheme="minorHAnsi" w:cstheme="minorHAnsi"/>
          <w:sz w:val="22"/>
          <w:lang w:val="en-CA"/>
        </w:rPr>
      </w:pPr>
      <w:r w:rsidRPr="00FC60BB">
        <w:rPr>
          <w:rFonts w:asciiTheme="minorHAnsi" w:hAnsiTheme="minorHAnsi" w:cstheme="minorHAnsi"/>
          <w:sz w:val="22"/>
          <w:lang w:val="en-CA"/>
        </w:rPr>
        <w:t>Regional distribution excludes unknowns</w:t>
      </w:r>
    </w:p>
    <w:p w14:paraId="2E2772D8" w14:textId="77777777" w:rsidR="00D42DF0" w:rsidRPr="00FC60BB" w:rsidRDefault="00D42DF0" w:rsidP="007B1B27">
      <w:pPr>
        <w:pStyle w:val="Level1"/>
        <w:tabs>
          <w:tab w:val="left" w:pos="-1440"/>
        </w:tabs>
        <w:autoSpaceDE w:val="0"/>
        <w:autoSpaceDN w:val="0"/>
        <w:adjustRightInd w:val="0"/>
        <w:spacing w:after="120" w:line="20" w:lineRule="atLeast"/>
        <w:rPr>
          <w:rFonts w:ascii="Arial" w:hAnsi="Arial" w:cs="Arial"/>
          <w:sz w:val="22"/>
          <w:szCs w:val="22"/>
          <w:lang w:val="en-CA"/>
        </w:rPr>
        <w:sectPr w:rsidR="00D42DF0"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3A6D8922" w14:textId="77777777" w:rsidR="00EB5A01" w:rsidRPr="00FC60BB" w:rsidRDefault="00EB5A01" w:rsidP="00F74517">
      <w:pPr>
        <w:pStyle w:val="Heading1"/>
        <w:spacing w:before="120" w:after="120"/>
        <w:rPr>
          <w:lang w:val="en-CA"/>
        </w:rPr>
      </w:pPr>
      <w:r w:rsidRPr="00FC60BB">
        <w:rPr>
          <w:lang w:val="en-CA"/>
        </w:rPr>
        <w:lastRenderedPageBreak/>
        <w:t>Staffing by process type</w:t>
      </w:r>
    </w:p>
    <w:p w14:paraId="1732ADD4" w14:textId="77777777" w:rsidR="00EB5A01" w:rsidRPr="00FC60BB" w:rsidRDefault="00D42DF0" w:rsidP="00EB5A01">
      <w:pPr>
        <w:keepNext/>
        <w:jc w:val="center"/>
        <w:rPr>
          <w:lang w:val="en-CA"/>
        </w:rPr>
      </w:pPr>
      <w:r w:rsidRPr="00F74517">
        <w:rPr>
          <w:noProof/>
          <w:lang w:val="en-CA" w:eastAsia="en-CA"/>
        </w:rPr>
        <w:drawing>
          <wp:inline distT="0" distB="0" distL="0" distR="0" wp14:anchorId="72A00B3F" wp14:editId="00DC77A9">
            <wp:extent cx="5648400" cy="3049200"/>
            <wp:effectExtent l="0" t="0" r="9525" b="18415"/>
            <wp:docPr id="10" name="Chart 1" descr="Staffing by process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4354A4" w14:textId="77777777" w:rsidR="007B1B27" w:rsidRPr="00FC60BB" w:rsidRDefault="00EB5A01" w:rsidP="00F74517">
      <w:pPr>
        <w:pStyle w:val="Caption"/>
        <w:spacing w:after="0"/>
        <w:jc w:val="center"/>
        <w:rPr>
          <w:rFonts w:asciiTheme="minorHAnsi" w:hAnsiTheme="minorHAnsi" w:cstheme="minorHAnsi"/>
          <w:i w:val="0"/>
          <w:color w:val="auto"/>
          <w:sz w:val="22"/>
          <w:szCs w:val="22"/>
          <w:lang w:val="en-CA"/>
        </w:rPr>
      </w:pPr>
      <w:r w:rsidRPr="00FC60BB">
        <w:rPr>
          <w:rFonts w:asciiTheme="minorHAnsi" w:hAnsiTheme="minorHAnsi" w:cstheme="minorHAnsi"/>
          <w:i w:val="0"/>
          <w:color w:val="auto"/>
          <w:lang w:val="en-CA"/>
        </w:rPr>
        <w:t xml:space="preserve">Figure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Figure \* ARABIC </w:instrText>
      </w:r>
      <w:r w:rsidRPr="00FC60BB">
        <w:rPr>
          <w:rFonts w:asciiTheme="minorHAnsi" w:hAnsiTheme="minorHAnsi" w:cstheme="minorHAnsi"/>
          <w:i w:val="0"/>
          <w:color w:val="auto"/>
          <w:lang w:val="en-CA"/>
        </w:rPr>
        <w:fldChar w:fldCharType="separate"/>
      </w:r>
      <w:r w:rsidR="000B3767" w:rsidRPr="00FC60BB">
        <w:rPr>
          <w:rFonts w:asciiTheme="minorHAnsi" w:hAnsiTheme="minorHAnsi" w:cstheme="minorHAnsi"/>
          <w:i w:val="0"/>
          <w:noProof/>
          <w:color w:val="auto"/>
          <w:lang w:val="en-CA"/>
        </w:rPr>
        <w:t>7</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Staffing by process type</w:t>
      </w:r>
    </w:p>
    <w:p w14:paraId="4812DB03" w14:textId="77777777" w:rsidR="00EB5A01" w:rsidRPr="00FC60BB" w:rsidRDefault="00EB5A01" w:rsidP="00F74517">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10</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Number and percentage of staffing activities by type of process and fiscal year</w:t>
      </w:r>
    </w:p>
    <w:tbl>
      <w:tblPr>
        <w:tblStyle w:val="TableGrid"/>
        <w:tblW w:w="5000" w:type="pct"/>
        <w:jc w:val="center"/>
        <w:tblLook w:val="0020" w:firstRow="1" w:lastRow="0" w:firstColumn="0" w:lastColumn="0" w:noHBand="0" w:noVBand="0"/>
        <w:tblDescription w:val="Staffing by process type from 2014 to 2019&#10;"/>
      </w:tblPr>
      <w:tblGrid>
        <w:gridCol w:w="2121"/>
        <w:gridCol w:w="4962"/>
        <w:gridCol w:w="3120"/>
        <w:gridCol w:w="4187"/>
      </w:tblGrid>
      <w:tr w:rsidR="00C63087" w:rsidRPr="00FC60BB" w14:paraId="3279E40A" w14:textId="77777777" w:rsidTr="007B3A9E">
        <w:trPr>
          <w:cantSplit/>
          <w:trHeight w:val="290"/>
          <w:tblHeader/>
          <w:jc w:val="center"/>
        </w:trPr>
        <w:tc>
          <w:tcPr>
            <w:tcW w:w="737" w:type="pct"/>
          </w:tcPr>
          <w:p w14:paraId="1668EE37" w14:textId="77777777" w:rsidR="00C63087" w:rsidRPr="00F74517" w:rsidRDefault="00C63087" w:rsidP="00BA258A">
            <w:pPr>
              <w:pStyle w:val="TableTitle"/>
            </w:pPr>
            <w:r w:rsidRPr="00F74517">
              <w:t>Fiscal year</w:t>
            </w:r>
          </w:p>
        </w:tc>
        <w:tc>
          <w:tcPr>
            <w:tcW w:w="1724" w:type="pct"/>
          </w:tcPr>
          <w:p w14:paraId="52876B94" w14:textId="77777777" w:rsidR="00C63087" w:rsidRPr="00F74517" w:rsidRDefault="00C63087" w:rsidP="00BA258A">
            <w:pPr>
              <w:pStyle w:val="TableTitle"/>
            </w:pPr>
            <w:r w:rsidRPr="00F74517">
              <w:t>Non-advertised processes (excludes unknowns)</w:t>
            </w:r>
          </w:p>
        </w:tc>
        <w:tc>
          <w:tcPr>
            <w:tcW w:w="1084" w:type="pct"/>
          </w:tcPr>
          <w:p w14:paraId="3036DE10" w14:textId="77777777" w:rsidR="00C63087" w:rsidRPr="00F74517" w:rsidRDefault="00C63087" w:rsidP="00BA258A">
            <w:pPr>
              <w:pStyle w:val="TableTitle"/>
            </w:pPr>
            <w:r w:rsidRPr="00F74517">
              <w:t>Advertised processes</w:t>
            </w:r>
          </w:p>
        </w:tc>
        <w:tc>
          <w:tcPr>
            <w:tcW w:w="1456" w:type="pct"/>
          </w:tcPr>
          <w:p w14:paraId="43F1E8B9" w14:textId="77777777" w:rsidR="00C63087" w:rsidRPr="00F74517" w:rsidRDefault="00C63087" w:rsidP="00BA258A">
            <w:pPr>
              <w:pStyle w:val="TableTitle"/>
            </w:pPr>
            <w:r w:rsidRPr="00F74517">
              <w:t>% of Non- advertised processes</w:t>
            </w:r>
          </w:p>
        </w:tc>
      </w:tr>
      <w:tr w:rsidR="00C63087" w:rsidRPr="00FC60BB" w14:paraId="731FEBE2" w14:textId="77777777" w:rsidTr="007B3A9E">
        <w:trPr>
          <w:cantSplit/>
          <w:trHeight w:val="290"/>
          <w:tblHeader/>
          <w:jc w:val="center"/>
        </w:trPr>
        <w:tc>
          <w:tcPr>
            <w:tcW w:w="737" w:type="pct"/>
          </w:tcPr>
          <w:p w14:paraId="092E1D84"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 xml:space="preserve">2014 to 2015 </w:t>
            </w:r>
          </w:p>
        </w:tc>
        <w:tc>
          <w:tcPr>
            <w:tcW w:w="1724" w:type="pct"/>
          </w:tcPr>
          <w:p w14:paraId="492F082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c>
          <w:tcPr>
            <w:tcW w:w="1084" w:type="pct"/>
          </w:tcPr>
          <w:p w14:paraId="2C597B2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6</w:t>
            </w:r>
          </w:p>
        </w:tc>
        <w:tc>
          <w:tcPr>
            <w:tcW w:w="1456" w:type="pct"/>
          </w:tcPr>
          <w:p w14:paraId="7FD6EBC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r>
      <w:tr w:rsidR="00C63087" w:rsidRPr="00FC60BB" w14:paraId="4F4A3E70" w14:textId="77777777" w:rsidTr="007B3A9E">
        <w:trPr>
          <w:cantSplit/>
          <w:trHeight w:val="290"/>
          <w:tblHeader/>
          <w:jc w:val="center"/>
        </w:trPr>
        <w:tc>
          <w:tcPr>
            <w:tcW w:w="737" w:type="pct"/>
          </w:tcPr>
          <w:p w14:paraId="2AA93F1B"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 xml:space="preserve">2015 to 2016 </w:t>
            </w:r>
          </w:p>
        </w:tc>
        <w:tc>
          <w:tcPr>
            <w:tcW w:w="1724" w:type="pct"/>
          </w:tcPr>
          <w:p w14:paraId="39E6A7F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23</w:t>
            </w:r>
          </w:p>
        </w:tc>
        <w:tc>
          <w:tcPr>
            <w:tcW w:w="1084" w:type="pct"/>
          </w:tcPr>
          <w:p w14:paraId="60C7125C"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34</w:t>
            </w:r>
          </w:p>
        </w:tc>
        <w:tc>
          <w:tcPr>
            <w:tcW w:w="1456" w:type="pct"/>
          </w:tcPr>
          <w:p w14:paraId="50184CE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40%</w:t>
            </w:r>
          </w:p>
        </w:tc>
      </w:tr>
      <w:tr w:rsidR="00C63087" w:rsidRPr="00FC60BB" w14:paraId="4B8678C0" w14:textId="77777777" w:rsidTr="007B3A9E">
        <w:trPr>
          <w:cantSplit/>
          <w:trHeight w:val="290"/>
          <w:tblHeader/>
          <w:jc w:val="center"/>
        </w:trPr>
        <w:tc>
          <w:tcPr>
            <w:tcW w:w="737" w:type="pct"/>
          </w:tcPr>
          <w:p w14:paraId="6E4A1B56"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2016 to 2017</w:t>
            </w:r>
          </w:p>
        </w:tc>
        <w:tc>
          <w:tcPr>
            <w:tcW w:w="1724" w:type="pct"/>
          </w:tcPr>
          <w:p w14:paraId="2C07AB7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21</w:t>
            </w:r>
          </w:p>
        </w:tc>
        <w:tc>
          <w:tcPr>
            <w:tcW w:w="1084" w:type="pct"/>
          </w:tcPr>
          <w:p w14:paraId="3D4A3D43"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78</w:t>
            </w:r>
          </w:p>
        </w:tc>
        <w:tc>
          <w:tcPr>
            <w:tcW w:w="1456" w:type="pct"/>
          </w:tcPr>
          <w:p w14:paraId="641D1A4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21%</w:t>
            </w:r>
          </w:p>
        </w:tc>
      </w:tr>
      <w:tr w:rsidR="00C63087" w:rsidRPr="00FC60BB" w14:paraId="332BD8FB" w14:textId="77777777" w:rsidTr="007B3A9E">
        <w:trPr>
          <w:cantSplit/>
          <w:trHeight w:val="290"/>
          <w:tblHeader/>
          <w:jc w:val="center"/>
        </w:trPr>
        <w:tc>
          <w:tcPr>
            <w:tcW w:w="737" w:type="pct"/>
          </w:tcPr>
          <w:p w14:paraId="00D33EDC"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2017 to 2018</w:t>
            </w:r>
          </w:p>
        </w:tc>
        <w:tc>
          <w:tcPr>
            <w:tcW w:w="1724" w:type="pct"/>
          </w:tcPr>
          <w:p w14:paraId="431F40FC"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49</w:t>
            </w:r>
          </w:p>
        </w:tc>
        <w:tc>
          <w:tcPr>
            <w:tcW w:w="1084" w:type="pct"/>
          </w:tcPr>
          <w:p w14:paraId="210CCCD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87</w:t>
            </w:r>
          </w:p>
        </w:tc>
        <w:tc>
          <w:tcPr>
            <w:tcW w:w="1456" w:type="pct"/>
          </w:tcPr>
          <w:p w14:paraId="031AB8B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36%</w:t>
            </w:r>
          </w:p>
        </w:tc>
      </w:tr>
      <w:tr w:rsidR="00C63087" w:rsidRPr="00FC60BB" w14:paraId="4C32A167" w14:textId="77777777" w:rsidTr="007B3A9E">
        <w:trPr>
          <w:cantSplit/>
          <w:trHeight w:val="290"/>
          <w:tblHeader/>
          <w:jc w:val="center"/>
        </w:trPr>
        <w:tc>
          <w:tcPr>
            <w:tcW w:w="737" w:type="pct"/>
          </w:tcPr>
          <w:p w14:paraId="342FF2FF"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2018 to 2019</w:t>
            </w:r>
          </w:p>
        </w:tc>
        <w:tc>
          <w:tcPr>
            <w:tcW w:w="1724" w:type="pct"/>
          </w:tcPr>
          <w:p w14:paraId="2E89FB0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61</w:t>
            </w:r>
          </w:p>
        </w:tc>
        <w:tc>
          <w:tcPr>
            <w:tcW w:w="1084" w:type="pct"/>
          </w:tcPr>
          <w:p w14:paraId="7E6F0B1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98</w:t>
            </w:r>
          </w:p>
        </w:tc>
        <w:tc>
          <w:tcPr>
            <w:tcW w:w="1456" w:type="pct"/>
          </w:tcPr>
          <w:p w14:paraId="05092DE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38%</w:t>
            </w:r>
          </w:p>
        </w:tc>
      </w:tr>
    </w:tbl>
    <w:p w14:paraId="4D66C5E2" w14:textId="77777777" w:rsidR="00C63087" w:rsidRPr="00FC60BB" w:rsidRDefault="00C63087" w:rsidP="00EA6B0D">
      <w:pPr>
        <w:pStyle w:val="ListParagraph"/>
        <w:numPr>
          <w:ilvl w:val="0"/>
          <w:numId w:val="8"/>
        </w:numPr>
        <w:spacing w:after="0"/>
        <w:contextualSpacing w:val="0"/>
        <w:rPr>
          <w:rFonts w:asciiTheme="minorHAnsi" w:hAnsiTheme="minorHAnsi" w:cstheme="minorHAnsi"/>
          <w:sz w:val="22"/>
          <w:lang w:val="en-CA"/>
        </w:rPr>
      </w:pPr>
      <w:r w:rsidRPr="00FC60BB">
        <w:rPr>
          <w:rFonts w:asciiTheme="minorHAnsi" w:hAnsiTheme="minorHAnsi" w:cstheme="minorHAnsi"/>
          <w:sz w:val="22"/>
          <w:lang w:val="en-CA"/>
        </w:rPr>
        <w:t>Includes indeterminate and specified term appointments</w:t>
      </w:r>
    </w:p>
    <w:p w14:paraId="7AC2444B" w14:textId="77777777" w:rsidR="00C63087" w:rsidRPr="00FC60BB" w:rsidRDefault="00C63087" w:rsidP="00EA6B0D">
      <w:pPr>
        <w:pStyle w:val="ListParagraph"/>
        <w:numPr>
          <w:ilvl w:val="0"/>
          <w:numId w:val="8"/>
        </w:numPr>
        <w:spacing w:after="0"/>
        <w:contextualSpacing w:val="0"/>
        <w:rPr>
          <w:rFonts w:asciiTheme="minorHAnsi" w:hAnsiTheme="minorHAnsi" w:cstheme="minorHAnsi"/>
          <w:sz w:val="22"/>
          <w:lang w:val="en-CA"/>
        </w:rPr>
      </w:pPr>
      <w:r w:rsidRPr="00FC60BB">
        <w:rPr>
          <w:rFonts w:asciiTheme="minorHAnsi" w:hAnsiTheme="minorHAnsi" w:cstheme="minorHAnsi"/>
          <w:sz w:val="22"/>
          <w:lang w:val="en-CA"/>
        </w:rPr>
        <w:t>Excludes lateral and downward movements, deployments and acting appointments of less than 4 months</w:t>
      </w:r>
    </w:p>
    <w:p w14:paraId="09C2DF3F" w14:textId="77777777" w:rsidR="00D42DF0" w:rsidRPr="00FC60BB" w:rsidRDefault="00C63087" w:rsidP="00EA6B0D">
      <w:pPr>
        <w:pStyle w:val="ListParagraph"/>
        <w:numPr>
          <w:ilvl w:val="0"/>
          <w:numId w:val="8"/>
        </w:numPr>
        <w:spacing w:after="0"/>
        <w:contextualSpacing w:val="0"/>
        <w:rPr>
          <w:rFonts w:asciiTheme="minorHAnsi" w:hAnsiTheme="minorHAnsi" w:cstheme="minorHAnsi"/>
          <w:sz w:val="22"/>
          <w:lang w:val="en-CA"/>
        </w:rPr>
      </w:pPr>
      <w:r w:rsidRPr="00FC60BB">
        <w:rPr>
          <w:rFonts w:asciiTheme="minorHAnsi" w:hAnsiTheme="minorHAnsi" w:cstheme="minorHAnsi"/>
          <w:sz w:val="22"/>
          <w:lang w:val="en-CA"/>
        </w:rPr>
        <w:t>Includes only appointments where the staffing process type is known (43% to 87% of appointments)</w:t>
      </w:r>
    </w:p>
    <w:p w14:paraId="13FB19E1" w14:textId="77777777" w:rsidR="00D42DF0" w:rsidRPr="00FC60BB" w:rsidRDefault="00D42DF0" w:rsidP="007B1B27">
      <w:pPr>
        <w:rPr>
          <w:rFonts w:ascii="Arial" w:hAnsi="Arial" w:cs="Arial"/>
          <w:sz w:val="22"/>
          <w:szCs w:val="22"/>
          <w:lang w:val="en-CA"/>
        </w:rPr>
        <w:sectPr w:rsidR="00D42DF0"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231C83BD" w14:textId="77777777" w:rsidR="00EB5A01" w:rsidRPr="00FC60BB" w:rsidRDefault="00EB5A01" w:rsidP="00EA6B0D">
      <w:pPr>
        <w:pStyle w:val="Heading1"/>
        <w:spacing w:before="120" w:after="120"/>
        <w:rPr>
          <w:lang w:val="en-CA"/>
        </w:rPr>
      </w:pPr>
      <w:r w:rsidRPr="00FC60BB">
        <w:rPr>
          <w:rFonts w:eastAsia="Times New Roman"/>
          <w:lang w:val="en-CA"/>
        </w:rPr>
        <w:lastRenderedPageBreak/>
        <w:t>Staffing by appointment type</w:t>
      </w:r>
    </w:p>
    <w:p w14:paraId="17F6A994" w14:textId="77777777" w:rsidR="00EB5A01" w:rsidRPr="00FC60BB" w:rsidRDefault="007B1B27" w:rsidP="00EB5A01">
      <w:pPr>
        <w:pStyle w:val="Level1"/>
        <w:keepNext/>
        <w:tabs>
          <w:tab w:val="left" w:pos="-1440"/>
        </w:tabs>
        <w:autoSpaceDE w:val="0"/>
        <w:autoSpaceDN w:val="0"/>
        <w:adjustRightInd w:val="0"/>
        <w:spacing w:after="120" w:line="20" w:lineRule="atLeast"/>
        <w:jc w:val="center"/>
        <w:rPr>
          <w:lang w:val="en-CA"/>
        </w:rPr>
      </w:pPr>
      <w:r w:rsidRPr="00FC60BB">
        <w:rPr>
          <w:noProof/>
          <w:lang w:val="en-CA" w:eastAsia="en-CA"/>
        </w:rPr>
        <w:drawing>
          <wp:inline distT="0" distB="0" distL="0" distR="0" wp14:anchorId="24E746F8" wp14:editId="579A50E4">
            <wp:extent cx="5648400" cy="3049200"/>
            <wp:effectExtent l="0" t="0" r="9525" b="18415"/>
            <wp:docPr id="9" name="Chart 9" descr="Staffing by appointment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D443EB" w14:textId="77777777" w:rsidR="00D42DF0" w:rsidRPr="00FC60BB" w:rsidRDefault="00EB5A01" w:rsidP="00EB5A01">
      <w:pPr>
        <w:pStyle w:val="Caption"/>
        <w:spacing w:after="0"/>
        <w:jc w:val="center"/>
        <w:rPr>
          <w:rFonts w:asciiTheme="minorHAnsi" w:hAnsiTheme="minorHAnsi" w:cstheme="minorHAnsi"/>
          <w:i w:val="0"/>
          <w:color w:val="auto"/>
          <w:sz w:val="22"/>
          <w:szCs w:val="22"/>
          <w:lang w:val="en-CA"/>
        </w:rPr>
      </w:pPr>
      <w:r w:rsidRPr="00FC60BB">
        <w:rPr>
          <w:rFonts w:asciiTheme="minorHAnsi" w:hAnsiTheme="minorHAnsi" w:cstheme="minorHAnsi"/>
          <w:i w:val="0"/>
          <w:color w:val="auto"/>
          <w:lang w:val="en-CA"/>
        </w:rPr>
        <w:t xml:space="preserve">Figure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Figure \* ARABIC </w:instrText>
      </w:r>
      <w:r w:rsidRPr="00FC60BB">
        <w:rPr>
          <w:rFonts w:asciiTheme="minorHAnsi" w:hAnsiTheme="minorHAnsi" w:cstheme="minorHAnsi"/>
          <w:i w:val="0"/>
          <w:color w:val="auto"/>
          <w:lang w:val="en-CA"/>
        </w:rPr>
        <w:fldChar w:fldCharType="separate"/>
      </w:r>
      <w:r w:rsidR="000B3767" w:rsidRPr="00FC60BB">
        <w:rPr>
          <w:rFonts w:asciiTheme="minorHAnsi" w:hAnsiTheme="minorHAnsi" w:cstheme="minorHAnsi"/>
          <w:i w:val="0"/>
          <w:noProof/>
          <w:color w:val="auto"/>
          <w:lang w:val="en-CA"/>
        </w:rPr>
        <w:t>8</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Staffing by appointment type</w:t>
      </w:r>
    </w:p>
    <w:p w14:paraId="263E6E35" w14:textId="77777777" w:rsidR="00EB5A01" w:rsidRPr="00FC60BB" w:rsidRDefault="00EB5A01" w:rsidP="00EB5A01">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11</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Staffing activities by appointment type and fiscal year</w:t>
      </w:r>
    </w:p>
    <w:tbl>
      <w:tblPr>
        <w:tblStyle w:val="TableGrid"/>
        <w:tblW w:w="5000" w:type="pct"/>
        <w:jc w:val="center"/>
        <w:tblLook w:val="0020" w:firstRow="1" w:lastRow="0" w:firstColumn="0" w:lastColumn="0" w:noHBand="0" w:noVBand="0"/>
        <w:tblDescription w:val="Staffing by appointment type from 2014 to 2019"/>
      </w:tblPr>
      <w:tblGrid>
        <w:gridCol w:w="1555"/>
        <w:gridCol w:w="1843"/>
        <w:gridCol w:w="1560"/>
        <w:gridCol w:w="3969"/>
        <w:gridCol w:w="3969"/>
        <w:gridCol w:w="1494"/>
      </w:tblGrid>
      <w:tr w:rsidR="00C63087" w:rsidRPr="00FC60BB" w14:paraId="70322DD6" w14:textId="77777777" w:rsidTr="007B3A9E">
        <w:trPr>
          <w:cantSplit/>
          <w:tblHeader/>
          <w:jc w:val="center"/>
        </w:trPr>
        <w:tc>
          <w:tcPr>
            <w:tcW w:w="540" w:type="pct"/>
          </w:tcPr>
          <w:p w14:paraId="4416A705" w14:textId="77777777" w:rsidR="00C63087" w:rsidRPr="00EA6B0D" w:rsidRDefault="00C63087" w:rsidP="00BA258A">
            <w:pPr>
              <w:pStyle w:val="TableTitle"/>
            </w:pPr>
            <w:r w:rsidRPr="00EA6B0D">
              <w:t>Fiscal year</w:t>
            </w:r>
          </w:p>
        </w:tc>
        <w:tc>
          <w:tcPr>
            <w:tcW w:w="640" w:type="pct"/>
          </w:tcPr>
          <w:p w14:paraId="34123466" w14:textId="77777777" w:rsidR="00C63087" w:rsidRPr="00EA6B0D" w:rsidRDefault="00C63087" w:rsidP="00BA258A">
            <w:pPr>
              <w:pStyle w:val="TableTitle"/>
            </w:pPr>
            <w:r w:rsidRPr="00EA6B0D">
              <w:t>Promotions</w:t>
            </w:r>
          </w:p>
        </w:tc>
        <w:tc>
          <w:tcPr>
            <w:tcW w:w="542" w:type="pct"/>
          </w:tcPr>
          <w:p w14:paraId="3970EEC4" w14:textId="77777777" w:rsidR="00C63087" w:rsidRPr="00EA6B0D" w:rsidRDefault="00C63087" w:rsidP="00BA258A">
            <w:pPr>
              <w:pStyle w:val="TableTitle"/>
            </w:pPr>
            <w:r w:rsidRPr="00EA6B0D">
              <w:t>Lateral and downward movements</w:t>
            </w:r>
          </w:p>
        </w:tc>
        <w:tc>
          <w:tcPr>
            <w:tcW w:w="1379" w:type="pct"/>
          </w:tcPr>
          <w:p w14:paraId="3C84BA82" w14:textId="77777777" w:rsidR="00C63087" w:rsidRPr="00EA6B0D" w:rsidRDefault="00C63087" w:rsidP="00BA258A">
            <w:pPr>
              <w:pStyle w:val="TableTitle"/>
            </w:pPr>
            <w:r w:rsidRPr="00EA6B0D">
              <w:t>Appointments to the public service (includes casuals and students)</w:t>
            </w:r>
          </w:p>
        </w:tc>
        <w:tc>
          <w:tcPr>
            <w:tcW w:w="1379" w:type="pct"/>
          </w:tcPr>
          <w:p w14:paraId="4AF3D6E1" w14:textId="77777777" w:rsidR="00C63087" w:rsidRPr="00EA6B0D" w:rsidRDefault="00C63087" w:rsidP="00BA258A">
            <w:pPr>
              <w:pStyle w:val="TableTitle"/>
            </w:pPr>
            <w:r w:rsidRPr="00EA6B0D">
              <w:t>Acting appointments (excludes appointments of less than 4 months)</w:t>
            </w:r>
          </w:p>
        </w:tc>
        <w:tc>
          <w:tcPr>
            <w:tcW w:w="519" w:type="pct"/>
          </w:tcPr>
          <w:p w14:paraId="078764C9" w14:textId="77777777" w:rsidR="00C63087" w:rsidRPr="00EA6B0D" w:rsidRDefault="00C63087" w:rsidP="00BA258A">
            <w:pPr>
              <w:pStyle w:val="TableTitle"/>
            </w:pPr>
            <w:r w:rsidRPr="00EA6B0D">
              <w:t>Total</w:t>
            </w:r>
          </w:p>
        </w:tc>
      </w:tr>
      <w:tr w:rsidR="00C63087" w:rsidRPr="00FC60BB" w14:paraId="5A6EB949" w14:textId="77777777" w:rsidTr="007B3A9E">
        <w:trPr>
          <w:cantSplit/>
          <w:tblHeader/>
          <w:jc w:val="center"/>
        </w:trPr>
        <w:tc>
          <w:tcPr>
            <w:tcW w:w="540" w:type="pct"/>
          </w:tcPr>
          <w:p w14:paraId="50155B22"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 xml:space="preserve">2014 to 2015 </w:t>
            </w:r>
          </w:p>
        </w:tc>
        <w:tc>
          <w:tcPr>
            <w:tcW w:w="640" w:type="pct"/>
          </w:tcPr>
          <w:p w14:paraId="5E5612DF"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w:t>
            </w:r>
          </w:p>
        </w:tc>
        <w:tc>
          <w:tcPr>
            <w:tcW w:w="542" w:type="pct"/>
          </w:tcPr>
          <w:p w14:paraId="271EE7F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14</w:t>
            </w:r>
          </w:p>
        </w:tc>
        <w:tc>
          <w:tcPr>
            <w:tcW w:w="1379" w:type="pct"/>
          </w:tcPr>
          <w:p w14:paraId="67B5478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22</w:t>
            </w:r>
          </w:p>
        </w:tc>
        <w:tc>
          <w:tcPr>
            <w:tcW w:w="1379" w:type="pct"/>
          </w:tcPr>
          <w:p w14:paraId="30867969"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5</w:t>
            </w:r>
          </w:p>
        </w:tc>
        <w:tc>
          <w:tcPr>
            <w:tcW w:w="519" w:type="pct"/>
          </w:tcPr>
          <w:p w14:paraId="31EC89C9"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45</w:t>
            </w:r>
          </w:p>
        </w:tc>
      </w:tr>
      <w:tr w:rsidR="00C63087" w:rsidRPr="00FC60BB" w14:paraId="38E07025" w14:textId="77777777" w:rsidTr="007B3A9E">
        <w:trPr>
          <w:cantSplit/>
          <w:tblHeader/>
          <w:jc w:val="center"/>
        </w:trPr>
        <w:tc>
          <w:tcPr>
            <w:tcW w:w="540" w:type="pct"/>
          </w:tcPr>
          <w:p w14:paraId="64C71A7B"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2015 to 2016</w:t>
            </w:r>
          </w:p>
        </w:tc>
        <w:tc>
          <w:tcPr>
            <w:tcW w:w="640" w:type="pct"/>
          </w:tcPr>
          <w:p w14:paraId="454FCF4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26</w:t>
            </w:r>
          </w:p>
        </w:tc>
        <w:tc>
          <w:tcPr>
            <w:tcW w:w="542" w:type="pct"/>
          </w:tcPr>
          <w:p w14:paraId="21CFB48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61</w:t>
            </w:r>
          </w:p>
        </w:tc>
        <w:tc>
          <w:tcPr>
            <w:tcW w:w="1379" w:type="pct"/>
          </w:tcPr>
          <w:p w14:paraId="384D81C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114</w:t>
            </w:r>
          </w:p>
        </w:tc>
        <w:tc>
          <w:tcPr>
            <w:tcW w:w="1379" w:type="pct"/>
          </w:tcPr>
          <w:p w14:paraId="10795863"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32</w:t>
            </w:r>
          </w:p>
        </w:tc>
        <w:tc>
          <w:tcPr>
            <w:tcW w:w="519" w:type="pct"/>
          </w:tcPr>
          <w:p w14:paraId="1A40895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233</w:t>
            </w:r>
          </w:p>
        </w:tc>
      </w:tr>
      <w:tr w:rsidR="00C63087" w:rsidRPr="00FC60BB" w14:paraId="0B36C557" w14:textId="77777777" w:rsidTr="007B3A9E">
        <w:trPr>
          <w:cantSplit/>
          <w:tblHeader/>
          <w:jc w:val="center"/>
        </w:trPr>
        <w:tc>
          <w:tcPr>
            <w:tcW w:w="540" w:type="pct"/>
          </w:tcPr>
          <w:p w14:paraId="153B0A1E"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 xml:space="preserve">2016 to 2017 </w:t>
            </w:r>
          </w:p>
        </w:tc>
        <w:tc>
          <w:tcPr>
            <w:tcW w:w="640" w:type="pct"/>
          </w:tcPr>
          <w:p w14:paraId="14FFF01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58</w:t>
            </w:r>
          </w:p>
        </w:tc>
        <w:tc>
          <w:tcPr>
            <w:tcW w:w="542" w:type="pct"/>
          </w:tcPr>
          <w:p w14:paraId="39AAC8B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96</w:t>
            </w:r>
          </w:p>
        </w:tc>
        <w:tc>
          <w:tcPr>
            <w:tcW w:w="1379" w:type="pct"/>
          </w:tcPr>
          <w:p w14:paraId="67E237C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180</w:t>
            </w:r>
          </w:p>
        </w:tc>
        <w:tc>
          <w:tcPr>
            <w:tcW w:w="1379" w:type="pct"/>
          </w:tcPr>
          <w:p w14:paraId="6C834C7F"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26</w:t>
            </w:r>
          </w:p>
        </w:tc>
        <w:tc>
          <w:tcPr>
            <w:tcW w:w="519" w:type="pct"/>
          </w:tcPr>
          <w:p w14:paraId="041A979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360</w:t>
            </w:r>
          </w:p>
        </w:tc>
      </w:tr>
      <w:tr w:rsidR="00C63087" w:rsidRPr="00FC60BB" w14:paraId="7AE30583" w14:textId="77777777" w:rsidTr="007B3A9E">
        <w:trPr>
          <w:cantSplit/>
          <w:tblHeader/>
          <w:jc w:val="center"/>
        </w:trPr>
        <w:tc>
          <w:tcPr>
            <w:tcW w:w="540" w:type="pct"/>
          </w:tcPr>
          <w:p w14:paraId="4F3D5EA4"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2017 to 2018</w:t>
            </w:r>
          </w:p>
        </w:tc>
        <w:tc>
          <w:tcPr>
            <w:tcW w:w="640" w:type="pct"/>
          </w:tcPr>
          <w:p w14:paraId="006490B9"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77</w:t>
            </w:r>
          </w:p>
        </w:tc>
        <w:tc>
          <w:tcPr>
            <w:tcW w:w="542" w:type="pct"/>
          </w:tcPr>
          <w:p w14:paraId="2D10C633"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78</w:t>
            </w:r>
          </w:p>
        </w:tc>
        <w:tc>
          <w:tcPr>
            <w:tcW w:w="1379" w:type="pct"/>
          </w:tcPr>
          <w:p w14:paraId="779066D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123</w:t>
            </w:r>
          </w:p>
        </w:tc>
        <w:tc>
          <w:tcPr>
            <w:tcW w:w="1379" w:type="pct"/>
          </w:tcPr>
          <w:p w14:paraId="79C57BC6"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34</w:t>
            </w:r>
          </w:p>
        </w:tc>
        <w:tc>
          <w:tcPr>
            <w:tcW w:w="519" w:type="pct"/>
          </w:tcPr>
          <w:p w14:paraId="282A53F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312</w:t>
            </w:r>
          </w:p>
        </w:tc>
      </w:tr>
      <w:tr w:rsidR="00C63087" w:rsidRPr="00FC60BB" w14:paraId="7A0E8230" w14:textId="77777777" w:rsidTr="007B3A9E">
        <w:trPr>
          <w:cantSplit/>
          <w:tblHeader/>
          <w:jc w:val="center"/>
        </w:trPr>
        <w:tc>
          <w:tcPr>
            <w:tcW w:w="540" w:type="pct"/>
          </w:tcPr>
          <w:p w14:paraId="72575EEF"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2018 to 2019</w:t>
            </w:r>
          </w:p>
        </w:tc>
        <w:tc>
          <w:tcPr>
            <w:tcW w:w="640" w:type="pct"/>
          </w:tcPr>
          <w:p w14:paraId="1CE1E9D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91</w:t>
            </w:r>
          </w:p>
        </w:tc>
        <w:tc>
          <w:tcPr>
            <w:tcW w:w="542" w:type="pct"/>
          </w:tcPr>
          <w:p w14:paraId="21D4B00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61</w:t>
            </w:r>
          </w:p>
        </w:tc>
        <w:tc>
          <w:tcPr>
            <w:tcW w:w="1379" w:type="pct"/>
          </w:tcPr>
          <w:p w14:paraId="7772BF7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179</w:t>
            </w:r>
          </w:p>
        </w:tc>
        <w:tc>
          <w:tcPr>
            <w:tcW w:w="1379" w:type="pct"/>
          </w:tcPr>
          <w:p w14:paraId="0828CCF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28</w:t>
            </w:r>
          </w:p>
        </w:tc>
        <w:tc>
          <w:tcPr>
            <w:tcW w:w="519" w:type="pct"/>
          </w:tcPr>
          <w:p w14:paraId="204B0BC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359</w:t>
            </w:r>
          </w:p>
        </w:tc>
      </w:tr>
    </w:tbl>
    <w:p w14:paraId="19A5698B" w14:textId="77777777" w:rsidR="00D42DF0" w:rsidRPr="00FC60BB" w:rsidRDefault="00D42DF0" w:rsidP="00944C68">
      <w:pPr>
        <w:pStyle w:val="Level1"/>
        <w:tabs>
          <w:tab w:val="left" w:pos="-1440"/>
        </w:tabs>
        <w:autoSpaceDE w:val="0"/>
        <w:autoSpaceDN w:val="0"/>
        <w:adjustRightInd w:val="0"/>
        <w:spacing w:after="120" w:line="20" w:lineRule="atLeast"/>
        <w:rPr>
          <w:rFonts w:ascii="Arial" w:hAnsi="Arial" w:cs="Arial"/>
          <w:sz w:val="22"/>
          <w:szCs w:val="22"/>
          <w:lang w:val="en-CA"/>
        </w:rPr>
      </w:pPr>
    </w:p>
    <w:p w14:paraId="79CEC7F1" w14:textId="77777777" w:rsidR="00D42DF0" w:rsidRPr="00FC60BB" w:rsidRDefault="00D42DF0" w:rsidP="00944C68">
      <w:pPr>
        <w:pStyle w:val="Level1"/>
        <w:tabs>
          <w:tab w:val="left" w:pos="-1440"/>
        </w:tabs>
        <w:autoSpaceDE w:val="0"/>
        <w:autoSpaceDN w:val="0"/>
        <w:adjustRightInd w:val="0"/>
        <w:spacing w:after="120" w:line="20" w:lineRule="atLeast"/>
        <w:rPr>
          <w:rFonts w:ascii="Arial" w:hAnsi="Arial" w:cs="Arial"/>
          <w:sz w:val="22"/>
          <w:szCs w:val="22"/>
          <w:lang w:val="en-CA"/>
        </w:rPr>
        <w:sectPr w:rsidR="00D42DF0"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0CD96F93" w14:textId="77777777" w:rsidR="00D42DF0" w:rsidRPr="00FC60BB" w:rsidRDefault="007B449D" w:rsidP="00EA6B0D">
      <w:pPr>
        <w:pStyle w:val="Heading1"/>
        <w:spacing w:before="120" w:after="120"/>
        <w:rPr>
          <w:lang w:val="en-CA"/>
        </w:rPr>
      </w:pPr>
      <w:r w:rsidRPr="00FC60BB">
        <w:rPr>
          <w:lang w:val="en-CA"/>
        </w:rPr>
        <w:lastRenderedPageBreak/>
        <w:t>Staffing by tenure</w:t>
      </w:r>
    </w:p>
    <w:p w14:paraId="0C9A1A2B" w14:textId="77777777" w:rsidR="007B449D" w:rsidRPr="00FC60BB" w:rsidRDefault="00D42DF0" w:rsidP="007B449D">
      <w:pPr>
        <w:pStyle w:val="Level1"/>
        <w:keepNext/>
        <w:tabs>
          <w:tab w:val="left" w:pos="-1440"/>
        </w:tabs>
        <w:autoSpaceDE w:val="0"/>
        <w:autoSpaceDN w:val="0"/>
        <w:adjustRightInd w:val="0"/>
        <w:spacing w:after="120" w:line="20" w:lineRule="atLeast"/>
        <w:jc w:val="center"/>
        <w:rPr>
          <w:lang w:val="en-CA"/>
        </w:rPr>
      </w:pPr>
      <w:r w:rsidRPr="00FC60BB">
        <w:rPr>
          <w:noProof/>
          <w:lang w:val="en-CA" w:eastAsia="en-CA"/>
        </w:rPr>
        <w:drawing>
          <wp:inline distT="0" distB="0" distL="0" distR="0" wp14:anchorId="561E1407" wp14:editId="5AF346EE">
            <wp:extent cx="5648400" cy="3049200"/>
            <wp:effectExtent l="0" t="0" r="9525" b="18415"/>
            <wp:docPr id="11" name="Chart 3" descr="Staffing by tenur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EAAD34" w14:textId="77777777" w:rsidR="00D42DF0" w:rsidRPr="00FC60BB" w:rsidRDefault="007B449D" w:rsidP="007B449D">
      <w:pPr>
        <w:pStyle w:val="Caption"/>
        <w:spacing w:after="0"/>
        <w:jc w:val="center"/>
        <w:rPr>
          <w:rFonts w:asciiTheme="minorHAnsi" w:hAnsiTheme="minorHAnsi" w:cstheme="minorHAnsi"/>
          <w:i w:val="0"/>
          <w:sz w:val="22"/>
          <w:szCs w:val="22"/>
          <w:lang w:val="en-CA"/>
        </w:rPr>
      </w:pPr>
      <w:r w:rsidRPr="00FC60BB">
        <w:rPr>
          <w:rFonts w:asciiTheme="minorHAnsi" w:hAnsiTheme="minorHAnsi" w:cstheme="minorHAnsi"/>
          <w:i w:val="0"/>
          <w:lang w:val="en-CA"/>
        </w:rPr>
        <w:t xml:space="preserve">Figure </w:t>
      </w:r>
      <w:r w:rsidRPr="00FC60BB">
        <w:rPr>
          <w:rFonts w:asciiTheme="minorHAnsi" w:hAnsiTheme="minorHAnsi" w:cstheme="minorHAnsi"/>
          <w:i w:val="0"/>
          <w:lang w:val="en-CA"/>
        </w:rPr>
        <w:fldChar w:fldCharType="begin"/>
      </w:r>
      <w:r w:rsidRPr="00FC60BB">
        <w:rPr>
          <w:rFonts w:asciiTheme="minorHAnsi" w:hAnsiTheme="minorHAnsi" w:cstheme="minorHAnsi"/>
          <w:i w:val="0"/>
          <w:lang w:val="en-CA"/>
        </w:rPr>
        <w:instrText xml:space="preserve"> SEQ Figure \* ARABIC </w:instrText>
      </w:r>
      <w:r w:rsidRPr="00FC60BB">
        <w:rPr>
          <w:rFonts w:asciiTheme="minorHAnsi" w:hAnsiTheme="minorHAnsi" w:cstheme="minorHAnsi"/>
          <w:i w:val="0"/>
          <w:lang w:val="en-CA"/>
        </w:rPr>
        <w:fldChar w:fldCharType="separate"/>
      </w:r>
      <w:r w:rsidR="000B3767" w:rsidRPr="00FC60BB">
        <w:rPr>
          <w:rFonts w:asciiTheme="minorHAnsi" w:hAnsiTheme="minorHAnsi" w:cstheme="minorHAnsi"/>
          <w:i w:val="0"/>
          <w:noProof/>
          <w:lang w:val="en-CA"/>
        </w:rPr>
        <w:t>9</w:t>
      </w:r>
      <w:r w:rsidRPr="00FC60BB">
        <w:rPr>
          <w:rFonts w:asciiTheme="minorHAnsi" w:hAnsiTheme="minorHAnsi" w:cstheme="minorHAnsi"/>
          <w:i w:val="0"/>
          <w:lang w:val="en-CA"/>
        </w:rPr>
        <w:fldChar w:fldCharType="end"/>
      </w:r>
      <w:r w:rsidRPr="00FC60BB">
        <w:rPr>
          <w:rFonts w:asciiTheme="minorHAnsi" w:hAnsiTheme="minorHAnsi" w:cstheme="minorHAnsi"/>
          <w:i w:val="0"/>
          <w:lang w:val="en-CA"/>
        </w:rPr>
        <w:t xml:space="preserve"> - Staffing by tenure</w:t>
      </w:r>
    </w:p>
    <w:p w14:paraId="5C03659A" w14:textId="77777777" w:rsidR="007B449D" w:rsidRPr="00FC60BB" w:rsidRDefault="007B449D" w:rsidP="00A3247F">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12</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Staffing activities by tenure and fiscal year</w:t>
      </w:r>
    </w:p>
    <w:tbl>
      <w:tblPr>
        <w:tblStyle w:val="TableGrid"/>
        <w:tblW w:w="5000" w:type="pct"/>
        <w:jc w:val="center"/>
        <w:tblLook w:val="0020" w:firstRow="1" w:lastRow="0" w:firstColumn="0" w:lastColumn="0" w:noHBand="0" w:noVBand="0"/>
        <w:tblDescription w:val="Staffing by tenure from 2014 to 2019"/>
      </w:tblPr>
      <w:tblGrid>
        <w:gridCol w:w="2263"/>
        <w:gridCol w:w="2410"/>
        <w:gridCol w:w="2409"/>
        <w:gridCol w:w="2553"/>
        <w:gridCol w:w="2409"/>
        <w:gridCol w:w="2346"/>
      </w:tblGrid>
      <w:tr w:rsidR="00A3247F" w:rsidRPr="00FC60BB" w14:paraId="60CEB194" w14:textId="77777777" w:rsidTr="007B3A9E">
        <w:trPr>
          <w:cantSplit/>
          <w:tblHeader/>
          <w:jc w:val="center"/>
        </w:trPr>
        <w:tc>
          <w:tcPr>
            <w:tcW w:w="786" w:type="pct"/>
          </w:tcPr>
          <w:p w14:paraId="095DAA41" w14:textId="77777777" w:rsidR="00C63087" w:rsidRPr="00FC60BB" w:rsidRDefault="00C63087" w:rsidP="00BA258A">
            <w:pPr>
              <w:pStyle w:val="TableTitle"/>
            </w:pPr>
            <w:r w:rsidRPr="00FC60BB">
              <w:t>Fiscal year</w:t>
            </w:r>
          </w:p>
        </w:tc>
        <w:tc>
          <w:tcPr>
            <w:tcW w:w="837" w:type="pct"/>
          </w:tcPr>
          <w:p w14:paraId="695922E7" w14:textId="77777777" w:rsidR="00C63087" w:rsidRPr="00FC60BB" w:rsidRDefault="00C63087" w:rsidP="00BA258A">
            <w:pPr>
              <w:pStyle w:val="TableTitle"/>
            </w:pPr>
            <w:r w:rsidRPr="00FC60BB">
              <w:t>Indeterminate staffing activities</w:t>
            </w:r>
          </w:p>
        </w:tc>
        <w:tc>
          <w:tcPr>
            <w:tcW w:w="837" w:type="pct"/>
          </w:tcPr>
          <w:p w14:paraId="1B9CE6F7" w14:textId="77777777" w:rsidR="00C63087" w:rsidRPr="00FC60BB" w:rsidRDefault="00C63087" w:rsidP="00BA258A">
            <w:pPr>
              <w:pStyle w:val="TableTitle"/>
            </w:pPr>
            <w:r w:rsidRPr="00FC60BB">
              <w:t>Term staffing activities</w:t>
            </w:r>
          </w:p>
        </w:tc>
        <w:tc>
          <w:tcPr>
            <w:tcW w:w="887" w:type="pct"/>
          </w:tcPr>
          <w:p w14:paraId="6D554C8C" w14:textId="77777777" w:rsidR="00C63087" w:rsidRPr="00FC60BB" w:rsidRDefault="00C63087" w:rsidP="00BA258A">
            <w:pPr>
              <w:pStyle w:val="TableTitle"/>
            </w:pPr>
            <w:r w:rsidRPr="00FC60BB">
              <w:t>Casual staffing activities</w:t>
            </w:r>
          </w:p>
        </w:tc>
        <w:tc>
          <w:tcPr>
            <w:tcW w:w="837" w:type="pct"/>
          </w:tcPr>
          <w:p w14:paraId="7C668740" w14:textId="77777777" w:rsidR="00C63087" w:rsidRPr="00FC60BB" w:rsidRDefault="00C63087" w:rsidP="00BA258A">
            <w:pPr>
              <w:pStyle w:val="TableTitle"/>
            </w:pPr>
            <w:r w:rsidRPr="00FC60BB">
              <w:t>Student staffing activities</w:t>
            </w:r>
          </w:p>
        </w:tc>
        <w:tc>
          <w:tcPr>
            <w:tcW w:w="815" w:type="pct"/>
          </w:tcPr>
          <w:p w14:paraId="045F8DC7" w14:textId="77777777" w:rsidR="00C63087" w:rsidRPr="00FC60BB" w:rsidRDefault="00C63087" w:rsidP="00BA258A">
            <w:pPr>
              <w:pStyle w:val="TableTitle"/>
            </w:pPr>
            <w:r w:rsidRPr="00FC60BB">
              <w:t>Total staffing activities</w:t>
            </w:r>
          </w:p>
        </w:tc>
      </w:tr>
      <w:tr w:rsidR="00A3247F" w:rsidRPr="00FC60BB" w14:paraId="73217356" w14:textId="77777777" w:rsidTr="007B3A9E">
        <w:trPr>
          <w:cantSplit/>
          <w:tblHeader/>
          <w:jc w:val="center"/>
        </w:trPr>
        <w:tc>
          <w:tcPr>
            <w:tcW w:w="786" w:type="pct"/>
          </w:tcPr>
          <w:p w14:paraId="747F73FF"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2014 to 2015</w:t>
            </w:r>
          </w:p>
        </w:tc>
        <w:tc>
          <w:tcPr>
            <w:tcW w:w="837" w:type="pct"/>
          </w:tcPr>
          <w:p w14:paraId="5891F9C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26</w:t>
            </w:r>
          </w:p>
        </w:tc>
        <w:tc>
          <w:tcPr>
            <w:tcW w:w="837" w:type="pct"/>
          </w:tcPr>
          <w:p w14:paraId="7328B9D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w:t>
            </w:r>
          </w:p>
        </w:tc>
        <w:tc>
          <w:tcPr>
            <w:tcW w:w="887" w:type="pct"/>
          </w:tcPr>
          <w:p w14:paraId="7C6E1F7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15</w:t>
            </w:r>
          </w:p>
        </w:tc>
        <w:tc>
          <w:tcPr>
            <w:tcW w:w="837" w:type="pct"/>
          </w:tcPr>
          <w:p w14:paraId="27B9A7B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w:t>
            </w:r>
          </w:p>
        </w:tc>
        <w:tc>
          <w:tcPr>
            <w:tcW w:w="815" w:type="pct"/>
          </w:tcPr>
          <w:p w14:paraId="1864EE9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45</w:t>
            </w:r>
          </w:p>
        </w:tc>
      </w:tr>
      <w:tr w:rsidR="00A3247F" w:rsidRPr="00FC60BB" w14:paraId="5EF51F8E" w14:textId="77777777" w:rsidTr="007B3A9E">
        <w:trPr>
          <w:cantSplit/>
          <w:tblHeader/>
          <w:jc w:val="center"/>
        </w:trPr>
        <w:tc>
          <w:tcPr>
            <w:tcW w:w="786" w:type="pct"/>
          </w:tcPr>
          <w:p w14:paraId="6552A6B2"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2015 to 2016</w:t>
            </w:r>
          </w:p>
        </w:tc>
        <w:tc>
          <w:tcPr>
            <w:tcW w:w="837" w:type="pct"/>
          </w:tcPr>
          <w:p w14:paraId="2ED1EFA1"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131</w:t>
            </w:r>
          </w:p>
        </w:tc>
        <w:tc>
          <w:tcPr>
            <w:tcW w:w="837" w:type="pct"/>
          </w:tcPr>
          <w:p w14:paraId="46E2BBB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23</w:t>
            </w:r>
          </w:p>
        </w:tc>
        <w:tc>
          <w:tcPr>
            <w:tcW w:w="887" w:type="pct"/>
          </w:tcPr>
          <w:p w14:paraId="03485F9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54</w:t>
            </w:r>
          </w:p>
        </w:tc>
        <w:tc>
          <w:tcPr>
            <w:tcW w:w="837" w:type="pct"/>
          </w:tcPr>
          <w:p w14:paraId="0A879386"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25</w:t>
            </w:r>
          </w:p>
        </w:tc>
        <w:tc>
          <w:tcPr>
            <w:tcW w:w="815" w:type="pct"/>
          </w:tcPr>
          <w:p w14:paraId="0E333E99"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233</w:t>
            </w:r>
          </w:p>
        </w:tc>
      </w:tr>
      <w:tr w:rsidR="00A3247F" w:rsidRPr="00FC60BB" w14:paraId="61AE3A2E" w14:textId="77777777" w:rsidTr="007B3A9E">
        <w:trPr>
          <w:cantSplit/>
          <w:tblHeader/>
          <w:jc w:val="center"/>
        </w:trPr>
        <w:tc>
          <w:tcPr>
            <w:tcW w:w="786" w:type="pct"/>
          </w:tcPr>
          <w:p w14:paraId="7CC86D13"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2016 to 2017</w:t>
            </w:r>
          </w:p>
        </w:tc>
        <w:tc>
          <w:tcPr>
            <w:tcW w:w="837" w:type="pct"/>
          </w:tcPr>
          <w:p w14:paraId="300D7C5F"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195</w:t>
            </w:r>
          </w:p>
        </w:tc>
        <w:tc>
          <w:tcPr>
            <w:tcW w:w="837" w:type="pct"/>
          </w:tcPr>
          <w:p w14:paraId="106915C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58</w:t>
            </w:r>
          </w:p>
        </w:tc>
        <w:tc>
          <w:tcPr>
            <w:tcW w:w="887" w:type="pct"/>
          </w:tcPr>
          <w:p w14:paraId="2A74BE1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90</w:t>
            </w:r>
          </w:p>
        </w:tc>
        <w:tc>
          <w:tcPr>
            <w:tcW w:w="837" w:type="pct"/>
          </w:tcPr>
          <w:p w14:paraId="5BAD79E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17</w:t>
            </w:r>
          </w:p>
        </w:tc>
        <w:tc>
          <w:tcPr>
            <w:tcW w:w="815" w:type="pct"/>
          </w:tcPr>
          <w:p w14:paraId="292A954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360</w:t>
            </w:r>
          </w:p>
        </w:tc>
      </w:tr>
      <w:tr w:rsidR="00A3247F" w:rsidRPr="00FC60BB" w14:paraId="5F740C85" w14:textId="77777777" w:rsidTr="007B3A9E">
        <w:trPr>
          <w:cantSplit/>
          <w:tblHeader/>
          <w:jc w:val="center"/>
        </w:trPr>
        <w:tc>
          <w:tcPr>
            <w:tcW w:w="786" w:type="pct"/>
          </w:tcPr>
          <w:p w14:paraId="73FAF20A"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2017 to 2018</w:t>
            </w:r>
          </w:p>
        </w:tc>
        <w:tc>
          <w:tcPr>
            <w:tcW w:w="837" w:type="pct"/>
          </w:tcPr>
          <w:p w14:paraId="7D24691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200</w:t>
            </w:r>
          </w:p>
        </w:tc>
        <w:tc>
          <w:tcPr>
            <w:tcW w:w="837" w:type="pct"/>
          </w:tcPr>
          <w:p w14:paraId="78E049C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48</w:t>
            </w:r>
          </w:p>
        </w:tc>
        <w:tc>
          <w:tcPr>
            <w:tcW w:w="887" w:type="pct"/>
          </w:tcPr>
          <w:p w14:paraId="4F7B60F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48</w:t>
            </w:r>
          </w:p>
        </w:tc>
        <w:tc>
          <w:tcPr>
            <w:tcW w:w="837" w:type="pct"/>
          </w:tcPr>
          <w:p w14:paraId="4B42A49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16</w:t>
            </w:r>
          </w:p>
        </w:tc>
        <w:tc>
          <w:tcPr>
            <w:tcW w:w="815" w:type="pct"/>
          </w:tcPr>
          <w:p w14:paraId="56B100AF"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312</w:t>
            </w:r>
          </w:p>
        </w:tc>
      </w:tr>
      <w:tr w:rsidR="00A3247F" w:rsidRPr="00FC60BB" w14:paraId="2A58644C" w14:textId="77777777" w:rsidTr="007B3A9E">
        <w:trPr>
          <w:cantSplit/>
          <w:tblHeader/>
          <w:jc w:val="center"/>
        </w:trPr>
        <w:tc>
          <w:tcPr>
            <w:tcW w:w="786" w:type="pct"/>
          </w:tcPr>
          <w:p w14:paraId="02112715"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2018 to 2019</w:t>
            </w:r>
          </w:p>
        </w:tc>
        <w:tc>
          <w:tcPr>
            <w:tcW w:w="837" w:type="pct"/>
          </w:tcPr>
          <w:p w14:paraId="6714FF2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218</w:t>
            </w:r>
          </w:p>
        </w:tc>
        <w:tc>
          <w:tcPr>
            <w:tcW w:w="837" w:type="pct"/>
          </w:tcPr>
          <w:p w14:paraId="2B8D9A0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25</w:t>
            </w:r>
          </w:p>
        </w:tc>
        <w:tc>
          <w:tcPr>
            <w:tcW w:w="887" w:type="pct"/>
          </w:tcPr>
          <w:p w14:paraId="725A7F4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86</w:t>
            </w:r>
          </w:p>
        </w:tc>
        <w:tc>
          <w:tcPr>
            <w:tcW w:w="837" w:type="pct"/>
          </w:tcPr>
          <w:p w14:paraId="14D2330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30</w:t>
            </w:r>
          </w:p>
        </w:tc>
        <w:tc>
          <w:tcPr>
            <w:tcW w:w="815" w:type="pct"/>
          </w:tcPr>
          <w:p w14:paraId="5EFCFBE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359</w:t>
            </w:r>
          </w:p>
        </w:tc>
      </w:tr>
    </w:tbl>
    <w:p w14:paraId="1C0C84DD" w14:textId="77777777" w:rsidR="00C63087" w:rsidRPr="00FC60BB" w:rsidRDefault="00C63087" w:rsidP="00A3247F">
      <w:pPr>
        <w:spacing w:before="120"/>
        <w:rPr>
          <w:rStyle w:val="Strong"/>
          <w:lang w:val="en-CA"/>
        </w:rPr>
      </w:pPr>
      <w:r w:rsidRPr="00FC60BB">
        <w:rPr>
          <w:rStyle w:val="Strong"/>
          <w:lang w:val="en-CA"/>
        </w:rPr>
        <w:t>Key findings - Staffing and non-partisanship survey (2018)</w:t>
      </w:r>
    </w:p>
    <w:p w14:paraId="2751D02E" w14:textId="77777777" w:rsidR="00C63087" w:rsidRPr="00FC60BB" w:rsidRDefault="00C63087" w:rsidP="00C63087">
      <w:pPr>
        <w:pStyle w:val="ListParagraph"/>
        <w:numPr>
          <w:ilvl w:val="0"/>
          <w:numId w:val="11"/>
        </w:numPr>
        <w:spacing w:after="0"/>
        <w:jc w:val="both"/>
        <w:rPr>
          <w:rFonts w:asciiTheme="minorHAnsi" w:hAnsiTheme="minorHAnsi" w:cstheme="minorHAnsi"/>
          <w:sz w:val="22"/>
          <w:lang w:val="en-CA"/>
        </w:rPr>
      </w:pPr>
      <w:r w:rsidRPr="00FC60BB">
        <w:rPr>
          <w:rFonts w:asciiTheme="minorHAnsi" w:hAnsiTheme="minorHAnsi" w:cstheme="minorHAnsi"/>
          <w:sz w:val="22"/>
          <w:lang w:val="en-CA"/>
        </w:rPr>
        <w:t xml:space="preserve">68.5% of </w:t>
      </w:r>
      <w:r w:rsidRPr="00FC60BB">
        <w:rPr>
          <w:rStyle w:val="Strong"/>
          <w:lang w:val="en-CA"/>
        </w:rPr>
        <w:t>employees</w:t>
      </w:r>
      <w:r w:rsidRPr="00FC60BB">
        <w:rPr>
          <w:rFonts w:asciiTheme="minorHAnsi" w:hAnsiTheme="minorHAnsi" w:cstheme="minorHAnsi"/>
          <w:sz w:val="22"/>
          <w:lang w:val="en-CA"/>
        </w:rPr>
        <w:t xml:space="preserve"> agreed that people hired can do the job, compared to 67.6% in organizations of similar size, and 53.8% in the federal public service</w:t>
      </w:r>
    </w:p>
    <w:p w14:paraId="08AC298A" w14:textId="77777777" w:rsidR="00C63087" w:rsidRPr="00FC60BB" w:rsidRDefault="00C63087" w:rsidP="00C63087">
      <w:pPr>
        <w:pStyle w:val="ListParagraph"/>
        <w:numPr>
          <w:ilvl w:val="0"/>
          <w:numId w:val="11"/>
        </w:numPr>
        <w:spacing w:after="0"/>
        <w:jc w:val="both"/>
        <w:rPr>
          <w:rFonts w:asciiTheme="minorHAnsi" w:hAnsiTheme="minorHAnsi" w:cstheme="minorHAnsi"/>
          <w:sz w:val="22"/>
          <w:lang w:val="en-CA"/>
        </w:rPr>
      </w:pPr>
      <w:r w:rsidRPr="00FC60BB">
        <w:rPr>
          <w:rFonts w:asciiTheme="minorHAnsi" w:hAnsiTheme="minorHAnsi" w:cstheme="minorHAnsi"/>
          <w:sz w:val="22"/>
          <w:lang w:val="en-CA"/>
        </w:rPr>
        <w:t xml:space="preserve">59.5% of </w:t>
      </w:r>
      <w:r w:rsidRPr="00FC60BB">
        <w:rPr>
          <w:rStyle w:val="Strong"/>
          <w:lang w:val="en-CA"/>
        </w:rPr>
        <w:t>managers</w:t>
      </w:r>
      <w:r w:rsidRPr="00FC60BB">
        <w:rPr>
          <w:rFonts w:asciiTheme="minorHAnsi" w:hAnsiTheme="minorHAnsi" w:cstheme="minorHAnsi"/>
          <w:sz w:val="22"/>
          <w:lang w:val="en-CA"/>
        </w:rPr>
        <w:t xml:space="preserve"> agreed that the New Direction in Staffing has improved the way they hire and appoint persons to and within their organization, compared to 69.4% in organizations of similar size, and 56.1% in the federal public service</w:t>
      </w:r>
    </w:p>
    <w:p w14:paraId="4FC248C8" w14:textId="77777777" w:rsidR="00C63087" w:rsidRPr="00FC60BB" w:rsidRDefault="00C63087" w:rsidP="00C63087">
      <w:pPr>
        <w:pStyle w:val="ListParagraph"/>
        <w:numPr>
          <w:ilvl w:val="0"/>
          <w:numId w:val="11"/>
        </w:numPr>
        <w:spacing w:after="0"/>
        <w:jc w:val="both"/>
        <w:rPr>
          <w:rFonts w:asciiTheme="minorHAnsi" w:hAnsiTheme="minorHAnsi" w:cstheme="minorHAnsi"/>
          <w:sz w:val="22"/>
          <w:lang w:val="en-CA"/>
        </w:rPr>
        <w:sectPr w:rsidR="00C63087"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r w:rsidRPr="00FC60BB">
        <w:rPr>
          <w:rFonts w:asciiTheme="minorHAnsi" w:hAnsiTheme="minorHAnsi" w:cstheme="minorHAnsi"/>
          <w:sz w:val="22"/>
          <w:lang w:val="en-CA"/>
        </w:rPr>
        <w:t xml:space="preserve">81.6% of </w:t>
      </w:r>
      <w:r w:rsidRPr="00FC60BB">
        <w:rPr>
          <w:rStyle w:val="Strong"/>
          <w:lang w:val="en-CA"/>
        </w:rPr>
        <w:t>managers</w:t>
      </w:r>
      <w:r w:rsidRPr="00FC60BB">
        <w:rPr>
          <w:rFonts w:asciiTheme="minorHAnsi" w:hAnsiTheme="minorHAnsi" w:cstheme="minorHAnsi"/>
          <w:sz w:val="22"/>
          <w:lang w:val="en-CA"/>
        </w:rPr>
        <w:t xml:space="preserve"> agreed that within their organization, the administrative process to staff a position is burdensome, compared to 84.0% in organizations of similar size, and 87.9% in the federal public service</w:t>
      </w:r>
    </w:p>
    <w:p w14:paraId="6B6EFC97" w14:textId="77777777" w:rsidR="00D42DF0" w:rsidRPr="00FC60BB" w:rsidRDefault="00A3247F" w:rsidP="00EA6B0D">
      <w:pPr>
        <w:pStyle w:val="Heading1"/>
        <w:spacing w:before="120" w:after="120"/>
        <w:rPr>
          <w:lang w:val="en-CA"/>
        </w:rPr>
      </w:pPr>
      <w:r w:rsidRPr="00FC60BB">
        <w:rPr>
          <w:lang w:val="en-CA"/>
        </w:rPr>
        <w:lastRenderedPageBreak/>
        <w:t>Student program hires</w:t>
      </w:r>
    </w:p>
    <w:p w14:paraId="1BDD2831" w14:textId="77777777" w:rsidR="00A3247F" w:rsidRPr="00FC60BB" w:rsidRDefault="00D42DF0" w:rsidP="00A3247F">
      <w:pPr>
        <w:pStyle w:val="Level1"/>
        <w:keepNext/>
        <w:tabs>
          <w:tab w:val="left" w:pos="-1440"/>
        </w:tabs>
        <w:autoSpaceDE w:val="0"/>
        <w:autoSpaceDN w:val="0"/>
        <w:adjustRightInd w:val="0"/>
        <w:spacing w:after="120" w:line="20" w:lineRule="atLeast"/>
        <w:jc w:val="center"/>
        <w:rPr>
          <w:lang w:val="en-CA"/>
        </w:rPr>
      </w:pPr>
      <w:r w:rsidRPr="00FC60BB">
        <w:rPr>
          <w:noProof/>
          <w:lang w:val="en-CA" w:eastAsia="en-CA"/>
        </w:rPr>
        <w:drawing>
          <wp:inline distT="0" distB="0" distL="0" distR="0" wp14:anchorId="41F4F200" wp14:editId="6CF4C629">
            <wp:extent cx="5648400" cy="3049200"/>
            <wp:effectExtent l="0" t="0" r="9525" b="18415"/>
            <wp:docPr id="17" name="Chart 17" descr="Student Program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5B92AE" w14:textId="77777777" w:rsidR="00D42DF0" w:rsidRPr="00FC60BB" w:rsidRDefault="00A3247F" w:rsidP="00A3247F">
      <w:pPr>
        <w:pStyle w:val="Caption"/>
        <w:spacing w:after="0"/>
        <w:jc w:val="center"/>
        <w:rPr>
          <w:rFonts w:asciiTheme="minorHAnsi" w:hAnsiTheme="minorHAnsi" w:cstheme="minorHAnsi"/>
          <w:i w:val="0"/>
          <w:color w:val="auto"/>
          <w:sz w:val="22"/>
          <w:szCs w:val="22"/>
          <w:lang w:val="en-CA"/>
        </w:rPr>
      </w:pPr>
      <w:r w:rsidRPr="00FC60BB">
        <w:rPr>
          <w:rFonts w:asciiTheme="minorHAnsi" w:hAnsiTheme="minorHAnsi" w:cstheme="minorHAnsi"/>
          <w:i w:val="0"/>
          <w:color w:val="auto"/>
          <w:lang w:val="en-CA"/>
        </w:rPr>
        <w:t xml:space="preserve">Figure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Figure \* ARABIC </w:instrText>
      </w:r>
      <w:r w:rsidRPr="00FC60BB">
        <w:rPr>
          <w:rFonts w:asciiTheme="minorHAnsi" w:hAnsiTheme="minorHAnsi" w:cstheme="minorHAnsi"/>
          <w:i w:val="0"/>
          <w:color w:val="auto"/>
          <w:lang w:val="en-CA"/>
        </w:rPr>
        <w:fldChar w:fldCharType="separate"/>
      </w:r>
      <w:r w:rsidR="000B3767" w:rsidRPr="00FC60BB">
        <w:rPr>
          <w:rFonts w:asciiTheme="minorHAnsi" w:hAnsiTheme="minorHAnsi" w:cstheme="minorHAnsi"/>
          <w:i w:val="0"/>
          <w:noProof/>
          <w:color w:val="auto"/>
          <w:lang w:val="en-CA"/>
        </w:rPr>
        <w:t>10</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Student program hires</w:t>
      </w:r>
    </w:p>
    <w:p w14:paraId="6A16DD7F" w14:textId="77777777" w:rsidR="00A3247F" w:rsidRPr="00FC60BB" w:rsidRDefault="00A3247F" w:rsidP="00A3247F">
      <w:pPr>
        <w:pStyle w:val="Caption"/>
        <w:keepNext/>
        <w:spacing w:before="240" w:after="0"/>
        <w:jc w:val="center"/>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13</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Student staffing activities by recruitment program and fiscal year</w:t>
      </w:r>
    </w:p>
    <w:tbl>
      <w:tblPr>
        <w:tblStyle w:val="TableGrid"/>
        <w:tblW w:w="5000" w:type="pct"/>
        <w:jc w:val="center"/>
        <w:tblLook w:val="0020" w:firstRow="1" w:lastRow="0" w:firstColumn="0" w:lastColumn="0" w:noHBand="0" w:noVBand="0"/>
        <w:tblDescription w:val="Student program hires from 2014 to 2019"/>
      </w:tblPr>
      <w:tblGrid>
        <w:gridCol w:w="1555"/>
        <w:gridCol w:w="4537"/>
        <w:gridCol w:w="4536"/>
        <w:gridCol w:w="2976"/>
        <w:gridCol w:w="786"/>
      </w:tblGrid>
      <w:tr w:rsidR="00C63087" w:rsidRPr="00FC60BB" w14:paraId="73E8C3D8" w14:textId="77777777" w:rsidTr="007B3A9E">
        <w:trPr>
          <w:cantSplit/>
          <w:tblHeader/>
          <w:jc w:val="center"/>
        </w:trPr>
        <w:tc>
          <w:tcPr>
            <w:tcW w:w="540" w:type="pct"/>
          </w:tcPr>
          <w:p w14:paraId="0A3C4B80" w14:textId="77777777" w:rsidR="00C63087" w:rsidRPr="00FC60BB" w:rsidRDefault="00C63087" w:rsidP="00BA258A">
            <w:pPr>
              <w:pStyle w:val="TableTitle"/>
            </w:pPr>
            <w:r w:rsidRPr="00FC60BB">
              <w:t>Fiscal year</w:t>
            </w:r>
          </w:p>
        </w:tc>
        <w:tc>
          <w:tcPr>
            <w:tcW w:w="1576" w:type="pct"/>
          </w:tcPr>
          <w:p w14:paraId="4629125D" w14:textId="77777777" w:rsidR="00C63087" w:rsidRPr="00FC60BB" w:rsidRDefault="00C63087" w:rsidP="00BA258A">
            <w:pPr>
              <w:pStyle w:val="TableTitle"/>
            </w:pPr>
            <w:r w:rsidRPr="00FC60BB">
              <w:t>Federal Student Work Experience Program</w:t>
            </w:r>
          </w:p>
        </w:tc>
        <w:tc>
          <w:tcPr>
            <w:tcW w:w="1576" w:type="pct"/>
          </w:tcPr>
          <w:p w14:paraId="30B261B6" w14:textId="77777777" w:rsidR="00C63087" w:rsidRPr="00FC60BB" w:rsidRDefault="00C63087" w:rsidP="00BA258A">
            <w:pPr>
              <w:pStyle w:val="TableTitle"/>
            </w:pPr>
            <w:r w:rsidRPr="00FC60BB">
              <w:t>Post-Secondary Co-op/Internship Program</w:t>
            </w:r>
          </w:p>
        </w:tc>
        <w:tc>
          <w:tcPr>
            <w:tcW w:w="1034" w:type="pct"/>
          </w:tcPr>
          <w:p w14:paraId="465B5A7C" w14:textId="77777777" w:rsidR="00C63087" w:rsidRPr="00FC60BB" w:rsidRDefault="00C63087" w:rsidP="00BA258A">
            <w:pPr>
              <w:pStyle w:val="TableTitle"/>
            </w:pPr>
            <w:r w:rsidRPr="00FC60BB">
              <w:t>Research Affiliate Program</w:t>
            </w:r>
          </w:p>
        </w:tc>
        <w:tc>
          <w:tcPr>
            <w:tcW w:w="273" w:type="pct"/>
          </w:tcPr>
          <w:p w14:paraId="39AB18F2" w14:textId="77777777" w:rsidR="00C63087" w:rsidRPr="00FC60BB" w:rsidRDefault="00C63087" w:rsidP="00BA258A">
            <w:pPr>
              <w:pStyle w:val="TableTitle"/>
            </w:pPr>
            <w:r w:rsidRPr="00FC60BB">
              <w:t>Total</w:t>
            </w:r>
          </w:p>
        </w:tc>
      </w:tr>
      <w:tr w:rsidR="00C63087" w:rsidRPr="00FC60BB" w14:paraId="22C32A8D" w14:textId="77777777" w:rsidTr="007B3A9E">
        <w:trPr>
          <w:cantSplit/>
          <w:tblHeader/>
          <w:jc w:val="center"/>
        </w:trPr>
        <w:tc>
          <w:tcPr>
            <w:tcW w:w="540" w:type="pct"/>
          </w:tcPr>
          <w:p w14:paraId="43AE1DB2"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2014 to 2015</w:t>
            </w:r>
          </w:p>
        </w:tc>
        <w:tc>
          <w:tcPr>
            <w:tcW w:w="1576" w:type="pct"/>
          </w:tcPr>
          <w:p w14:paraId="09B6029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c>
          <w:tcPr>
            <w:tcW w:w="1576" w:type="pct"/>
          </w:tcPr>
          <w:p w14:paraId="268F2FC8"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w:t>
            </w:r>
          </w:p>
        </w:tc>
        <w:tc>
          <w:tcPr>
            <w:tcW w:w="1034" w:type="pct"/>
          </w:tcPr>
          <w:p w14:paraId="5E28D0F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c>
          <w:tcPr>
            <w:tcW w:w="273" w:type="pct"/>
          </w:tcPr>
          <w:p w14:paraId="5EE56E3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w:t>
            </w:r>
          </w:p>
        </w:tc>
      </w:tr>
      <w:tr w:rsidR="00C63087" w:rsidRPr="00FC60BB" w14:paraId="3E1F4CB1" w14:textId="77777777" w:rsidTr="007B3A9E">
        <w:trPr>
          <w:cantSplit/>
          <w:tblHeader/>
          <w:jc w:val="center"/>
        </w:trPr>
        <w:tc>
          <w:tcPr>
            <w:tcW w:w="540" w:type="pct"/>
          </w:tcPr>
          <w:p w14:paraId="34441786"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2015 to 2016</w:t>
            </w:r>
          </w:p>
        </w:tc>
        <w:tc>
          <w:tcPr>
            <w:tcW w:w="1576" w:type="pct"/>
          </w:tcPr>
          <w:p w14:paraId="3347414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13</w:t>
            </w:r>
          </w:p>
        </w:tc>
        <w:tc>
          <w:tcPr>
            <w:tcW w:w="1576" w:type="pct"/>
          </w:tcPr>
          <w:p w14:paraId="4FA0133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12</w:t>
            </w:r>
          </w:p>
        </w:tc>
        <w:tc>
          <w:tcPr>
            <w:tcW w:w="1034" w:type="pct"/>
          </w:tcPr>
          <w:p w14:paraId="4B0DF75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c>
          <w:tcPr>
            <w:tcW w:w="273" w:type="pct"/>
          </w:tcPr>
          <w:p w14:paraId="71D61CE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25</w:t>
            </w:r>
          </w:p>
        </w:tc>
      </w:tr>
      <w:tr w:rsidR="00C63087" w:rsidRPr="00FC60BB" w14:paraId="39F7B59E" w14:textId="77777777" w:rsidTr="007B3A9E">
        <w:trPr>
          <w:cantSplit/>
          <w:tblHeader/>
          <w:jc w:val="center"/>
        </w:trPr>
        <w:tc>
          <w:tcPr>
            <w:tcW w:w="540" w:type="pct"/>
          </w:tcPr>
          <w:p w14:paraId="51CDF180"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2016 to 2017</w:t>
            </w:r>
          </w:p>
        </w:tc>
        <w:tc>
          <w:tcPr>
            <w:tcW w:w="1576" w:type="pct"/>
          </w:tcPr>
          <w:p w14:paraId="64B6951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13</w:t>
            </w:r>
          </w:p>
        </w:tc>
        <w:tc>
          <w:tcPr>
            <w:tcW w:w="1576" w:type="pct"/>
          </w:tcPr>
          <w:p w14:paraId="4B835CA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4</w:t>
            </w:r>
          </w:p>
        </w:tc>
        <w:tc>
          <w:tcPr>
            <w:tcW w:w="1034" w:type="pct"/>
          </w:tcPr>
          <w:p w14:paraId="0986CB84"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c>
          <w:tcPr>
            <w:tcW w:w="273" w:type="pct"/>
          </w:tcPr>
          <w:p w14:paraId="133A2DB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17</w:t>
            </w:r>
          </w:p>
        </w:tc>
      </w:tr>
      <w:tr w:rsidR="00C63087" w:rsidRPr="00FC60BB" w14:paraId="68EEB5FB" w14:textId="77777777" w:rsidTr="007B3A9E">
        <w:trPr>
          <w:cantSplit/>
          <w:tblHeader/>
          <w:jc w:val="center"/>
        </w:trPr>
        <w:tc>
          <w:tcPr>
            <w:tcW w:w="540" w:type="pct"/>
          </w:tcPr>
          <w:p w14:paraId="6EFF51D3"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2017 to 2018</w:t>
            </w:r>
          </w:p>
        </w:tc>
        <w:tc>
          <w:tcPr>
            <w:tcW w:w="1576" w:type="pct"/>
          </w:tcPr>
          <w:p w14:paraId="53F30D47"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13</w:t>
            </w:r>
          </w:p>
        </w:tc>
        <w:tc>
          <w:tcPr>
            <w:tcW w:w="1576" w:type="pct"/>
          </w:tcPr>
          <w:p w14:paraId="2E513FED"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w:t>
            </w:r>
          </w:p>
        </w:tc>
        <w:tc>
          <w:tcPr>
            <w:tcW w:w="1034" w:type="pct"/>
          </w:tcPr>
          <w:p w14:paraId="7E0E267C"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c>
          <w:tcPr>
            <w:tcW w:w="273" w:type="pct"/>
          </w:tcPr>
          <w:p w14:paraId="7FE75682"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16</w:t>
            </w:r>
          </w:p>
        </w:tc>
      </w:tr>
      <w:tr w:rsidR="00C63087" w:rsidRPr="00FC60BB" w14:paraId="0A9E3FCB" w14:textId="77777777" w:rsidTr="007B3A9E">
        <w:trPr>
          <w:cantSplit/>
          <w:tblHeader/>
          <w:jc w:val="center"/>
        </w:trPr>
        <w:tc>
          <w:tcPr>
            <w:tcW w:w="540" w:type="pct"/>
          </w:tcPr>
          <w:p w14:paraId="28C848A9"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2018 to 2019</w:t>
            </w:r>
          </w:p>
        </w:tc>
        <w:tc>
          <w:tcPr>
            <w:tcW w:w="1576" w:type="pct"/>
          </w:tcPr>
          <w:p w14:paraId="26983325"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28</w:t>
            </w:r>
          </w:p>
        </w:tc>
        <w:tc>
          <w:tcPr>
            <w:tcW w:w="1576" w:type="pct"/>
          </w:tcPr>
          <w:p w14:paraId="37EECB5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w:t>
            </w:r>
          </w:p>
        </w:tc>
        <w:tc>
          <w:tcPr>
            <w:tcW w:w="1034" w:type="pct"/>
          </w:tcPr>
          <w:p w14:paraId="5EFA90BB"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c>
          <w:tcPr>
            <w:tcW w:w="273" w:type="pct"/>
          </w:tcPr>
          <w:p w14:paraId="4D8F3983"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30</w:t>
            </w:r>
          </w:p>
        </w:tc>
      </w:tr>
    </w:tbl>
    <w:p w14:paraId="7402031E" w14:textId="77777777" w:rsidR="00D42DF0" w:rsidRPr="00FC60BB" w:rsidRDefault="00D42DF0" w:rsidP="00944C68">
      <w:pPr>
        <w:pStyle w:val="Level1"/>
        <w:tabs>
          <w:tab w:val="left" w:pos="-1440"/>
        </w:tabs>
        <w:autoSpaceDE w:val="0"/>
        <w:autoSpaceDN w:val="0"/>
        <w:adjustRightInd w:val="0"/>
        <w:spacing w:after="120" w:line="20" w:lineRule="atLeast"/>
        <w:rPr>
          <w:rFonts w:ascii="Arial" w:hAnsi="Arial" w:cs="Arial"/>
          <w:sz w:val="22"/>
          <w:szCs w:val="22"/>
          <w:lang w:val="en-CA"/>
        </w:rPr>
      </w:pPr>
    </w:p>
    <w:p w14:paraId="0C3E94D5" w14:textId="77777777" w:rsidR="00D42DF0" w:rsidRPr="00FC60BB" w:rsidRDefault="00D42DF0" w:rsidP="00944C68">
      <w:pPr>
        <w:pStyle w:val="Level1"/>
        <w:tabs>
          <w:tab w:val="left" w:pos="-1440"/>
        </w:tabs>
        <w:autoSpaceDE w:val="0"/>
        <w:autoSpaceDN w:val="0"/>
        <w:adjustRightInd w:val="0"/>
        <w:spacing w:after="120" w:line="20" w:lineRule="atLeast"/>
        <w:rPr>
          <w:rFonts w:ascii="Arial" w:hAnsi="Arial" w:cs="Arial"/>
          <w:sz w:val="22"/>
          <w:szCs w:val="22"/>
          <w:lang w:val="en-CA"/>
        </w:rPr>
        <w:sectPr w:rsidR="00D42DF0"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57E05777" w14:textId="77777777" w:rsidR="007C1D51" w:rsidRPr="00FC60BB" w:rsidRDefault="007C1D51" w:rsidP="00EA6B0D">
      <w:pPr>
        <w:pStyle w:val="Heading1"/>
        <w:spacing w:before="120" w:after="120"/>
        <w:rPr>
          <w:lang w:val="en-CA"/>
        </w:rPr>
      </w:pPr>
      <w:r w:rsidRPr="00FC60BB">
        <w:rPr>
          <w:rFonts w:eastAsia="Times New Roman"/>
          <w:lang w:val="en-CA"/>
        </w:rPr>
        <w:lastRenderedPageBreak/>
        <w:t>External indeterminate and term hiring activities: Post-Secondary Recruitment Program and former student hires</w:t>
      </w:r>
    </w:p>
    <w:p w14:paraId="548850E3" w14:textId="77777777" w:rsidR="00A3247F" w:rsidRPr="00FC60BB" w:rsidRDefault="00D42DF0" w:rsidP="00A3247F">
      <w:pPr>
        <w:pStyle w:val="Level1"/>
        <w:keepNext/>
        <w:tabs>
          <w:tab w:val="left" w:pos="-1440"/>
        </w:tabs>
        <w:autoSpaceDE w:val="0"/>
        <w:autoSpaceDN w:val="0"/>
        <w:adjustRightInd w:val="0"/>
        <w:spacing w:after="120" w:line="20" w:lineRule="atLeast"/>
        <w:jc w:val="center"/>
        <w:rPr>
          <w:lang w:val="en-CA"/>
        </w:rPr>
      </w:pPr>
      <w:r w:rsidRPr="00FC60BB">
        <w:rPr>
          <w:noProof/>
          <w:lang w:val="en-CA" w:eastAsia="en-CA"/>
        </w:rPr>
        <w:drawing>
          <wp:inline distT="0" distB="0" distL="0" distR="0" wp14:anchorId="0562FCC6" wp14:editId="4187DE5E">
            <wp:extent cx="5648400" cy="3049200"/>
            <wp:effectExtent l="0" t="0" r="9525" b="18415"/>
            <wp:docPr id="14" name="Chart 2" descr="External indeterminate and term hiring activities: Post-Secondary Recruitment Program and former student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93FA72" w14:textId="77777777" w:rsidR="00D42DF0" w:rsidRPr="00167C11" w:rsidRDefault="00A3247F" w:rsidP="007C1D51">
      <w:pPr>
        <w:pStyle w:val="Caption"/>
        <w:spacing w:after="0"/>
        <w:jc w:val="center"/>
        <w:rPr>
          <w:rFonts w:asciiTheme="minorHAnsi" w:hAnsiTheme="minorHAnsi" w:cstheme="minorHAnsi"/>
          <w:i w:val="0"/>
          <w:color w:val="auto"/>
          <w:sz w:val="22"/>
          <w:szCs w:val="22"/>
          <w:lang w:val="en-CA"/>
        </w:rPr>
      </w:pPr>
      <w:r w:rsidRPr="00167C11">
        <w:rPr>
          <w:rFonts w:asciiTheme="minorHAnsi" w:hAnsiTheme="minorHAnsi" w:cstheme="minorHAnsi"/>
          <w:i w:val="0"/>
          <w:color w:val="auto"/>
          <w:lang w:val="en-CA"/>
        </w:rPr>
        <w:t xml:space="preserve">Figure </w:t>
      </w:r>
      <w:r w:rsidRPr="00167C11">
        <w:rPr>
          <w:rFonts w:asciiTheme="minorHAnsi" w:hAnsiTheme="minorHAnsi" w:cstheme="minorHAnsi"/>
          <w:i w:val="0"/>
          <w:color w:val="auto"/>
          <w:lang w:val="en-CA"/>
        </w:rPr>
        <w:fldChar w:fldCharType="begin"/>
      </w:r>
      <w:r w:rsidRPr="00167C11">
        <w:rPr>
          <w:rFonts w:asciiTheme="minorHAnsi" w:hAnsiTheme="minorHAnsi" w:cstheme="minorHAnsi"/>
          <w:i w:val="0"/>
          <w:color w:val="auto"/>
          <w:lang w:val="en-CA"/>
        </w:rPr>
        <w:instrText xml:space="preserve"> SEQ Figure \* ARABIC </w:instrText>
      </w:r>
      <w:r w:rsidRPr="00167C11">
        <w:rPr>
          <w:rFonts w:asciiTheme="minorHAnsi" w:hAnsiTheme="minorHAnsi" w:cstheme="minorHAnsi"/>
          <w:i w:val="0"/>
          <w:color w:val="auto"/>
          <w:lang w:val="en-CA"/>
        </w:rPr>
        <w:fldChar w:fldCharType="separate"/>
      </w:r>
      <w:r w:rsidR="000B3767" w:rsidRPr="00167C11">
        <w:rPr>
          <w:rFonts w:asciiTheme="minorHAnsi" w:hAnsiTheme="minorHAnsi" w:cstheme="minorHAnsi"/>
          <w:i w:val="0"/>
          <w:noProof/>
          <w:color w:val="auto"/>
          <w:lang w:val="en-CA"/>
        </w:rPr>
        <w:t>11</w:t>
      </w:r>
      <w:r w:rsidRPr="00167C11">
        <w:rPr>
          <w:rFonts w:asciiTheme="minorHAnsi" w:hAnsiTheme="minorHAnsi" w:cstheme="minorHAnsi"/>
          <w:i w:val="0"/>
          <w:color w:val="auto"/>
          <w:lang w:val="en-CA"/>
        </w:rPr>
        <w:fldChar w:fldCharType="end"/>
      </w:r>
      <w:r w:rsidRPr="00167C11">
        <w:rPr>
          <w:rFonts w:asciiTheme="minorHAnsi" w:hAnsiTheme="minorHAnsi" w:cstheme="minorHAnsi"/>
          <w:i w:val="0"/>
          <w:color w:val="auto"/>
          <w:lang w:val="en-CA"/>
        </w:rPr>
        <w:t xml:space="preserve"> - External indeterminate and term hiring activities: Post-Secondary Recruitment Program and former student hires</w:t>
      </w:r>
    </w:p>
    <w:p w14:paraId="23FBA30F" w14:textId="77777777" w:rsidR="007C1D51" w:rsidRPr="00167C11" w:rsidRDefault="007C1D51" w:rsidP="007C1D51">
      <w:pPr>
        <w:pStyle w:val="Caption"/>
        <w:keepNext/>
        <w:spacing w:before="240" w:after="0"/>
        <w:jc w:val="center"/>
        <w:rPr>
          <w:rFonts w:asciiTheme="minorHAnsi" w:hAnsiTheme="minorHAnsi" w:cstheme="minorHAnsi"/>
          <w:i w:val="0"/>
          <w:color w:val="auto"/>
          <w:lang w:val="en-CA"/>
        </w:rPr>
      </w:pPr>
      <w:r w:rsidRPr="00167C11">
        <w:rPr>
          <w:rFonts w:asciiTheme="minorHAnsi" w:hAnsiTheme="minorHAnsi" w:cstheme="minorHAnsi"/>
          <w:i w:val="0"/>
          <w:color w:val="auto"/>
          <w:lang w:val="en-CA"/>
        </w:rPr>
        <w:t xml:space="preserve">Table </w:t>
      </w:r>
      <w:r w:rsidRPr="00167C11">
        <w:rPr>
          <w:rFonts w:asciiTheme="minorHAnsi" w:hAnsiTheme="minorHAnsi" w:cstheme="minorHAnsi"/>
          <w:i w:val="0"/>
          <w:color w:val="auto"/>
          <w:lang w:val="en-CA"/>
        </w:rPr>
        <w:fldChar w:fldCharType="begin"/>
      </w:r>
      <w:r w:rsidRPr="00167C11">
        <w:rPr>
          <w:rFonts w:asciiTheme="minorHAnsi" w:hAnsiTheme="minorHAnsi" w:cstheme="minorHAnsi"/>
          <w:i w:val="0"/>
          <w:color w:val="auto"/>
          <w:lang w:val="en-CA"/>
        </w:rPr>
        <w:instrText xml:space="preserve"> SEQ Table \* ARABIC </w:instrText>
      </w:r>
      <w:r w:rsidRPr="00167C11">
        <w:rPr>
          <w:rFonts w:asciiTheme="minorHAnsi" w:hAnsiTheme="minorHAnsi" w:cstheme="minorHAnsi"/>
          <w:i w:val="0"/>
          <w:color w:val="auto"/>
          <w:lang w:val="en-CA"/>
        </w:rPr>
        <w:fldChar w:fldCharType="separate"/>
      </w:r>
      <w:r w:rsidR="008009D0" w:rsidRPr="00167C11">
        <w:rPr>
          <w:rFonts w:asciiTheme="minorHAnsi" w:hAnsiTheme="minorHAnsi" w:cstheme="minorHAnsi"/>
          <w:i w:val="0"/>
          <w:noProof/>
          <w:color w:val="auto"/>
          <w:lang w:val="en-CA"/>
        </w:rPr>
        <w:t>14</w:t>
      </w:r>
      <w:r w:rsidRPr="00167C11">
        <w:rPr>
          <w:rFonts w:asciiTheme="minorHAnsi" w:hAnsiTheme="minorHAnsi" w:cstheme="minorHAnsi"/>
          <w:i w:val="0"/>
          <w:color w:val="auto"/>
          <w:lang w:val="en-CA"/>
        </w:rPr>
        <w:fldChar w:fldCharType="end"/>
      </w:r>
      <w:r w:rsidRPr="00167C11">
        <w:rPr>
          <w:rFonts w:asciiTheme="minorHAnsi" w:hAnsiTheme="minorHAnsi" w:cstheme="minorHAnsi"/>
          <w:i w:val="0"/>
          <w:color w:val="auto"/>
          <w:lang w:val="en-CA"/>
        </w:rPr>
        <w:t xml:space="preserve"> - External indeterminate and term hiring activities: Post-Secondary Recruitment Program and former students by fiscal year</w:t>
      </w:r>
    </w:p>
    <w:tbl>
      <w:tblPr>
        <w:tblStyle w:val="TableGrid"/>
        <w:tblW w:w="5000" w:type="pct"/>
        <w:jc w:val="center"/>
        <w:tblLook w:val="0020" w:firstRow="1" w:lastRow="0" w:firstColumn="0" w:lastColumn="0" w:noHBand="0" w:noVBand="0"/>
        <w:tblDescription w:val="Post-Secondary Recruitment Program and former student hires"/>
      </w:tblPr>
      <w:tblGrid>
        <w:gridCol w:w="3114"/>
        <w:gridCol w:w="6096"/>
        <w:gridCol w:w="5180"/>
      </w:tblGrid>
      <w:tr w:rsidR="00C63087" w:rsidRPr="00FC60BB" w14:paraId="3D0B320F" w14:textId="77777777" w:rsidTr="007B3A9E">
        <w:trPr>
          <w:cantSplit/>
          <w:tblHeader/>
          <w:jc w:val="center"/>
        </w:trPr>
        <w:tc>
          <w:tcPr>
            <w:tcW w:w="1082" w:type="pct"/>
          </w:tcPr>
          <w:p w14:paraId="07AB4068" w14:textId="77777777" w:rsidR="00C63087" w:rsidRPr="00FC60BB" w:rsidRDefault="00C63087" w:rsidP="00BA258A">
            <w:pPr>
              <w:pStyle w:val="TableTitle"/>
            </w:pPr>
            <w:r w:rsidRPr="00FC60BB">
              <w:t>Fiscal year</w:t>
            </w:r>
          </w:p>
        </w:tc>
        <w:tc>
          <w:tcPr>
            <w:tcW w:w="2118" w:type="pct"/>
          </w:tcPr>
          <w:p w14:paraId="4FD293F9" w14:textId="77777777" w:rsidR="00C63087" w:rsidRPr="00FC60BB" w:rsidRDefault="00C63087" w:rsidP="00BA258A">
            <w:pPr>
              <w:pStyle w:val="TableTitle"/>
            </w:pPr>
            <w:r w:rsidRPr="00FC60BB">
              <w:t>Post-Secondary Recruitment Program hires</w:t>
            </w:r>
          </w:p>
        </w:tc>
        <w:tc>
          <w:tcPr>
            <w:tcW w:w="1800" w:type="pct"/>
          </w:tcPr>
          <w:p w14:paraId="5C838827" w14:textId="77777777" w:rsidR="00C63087" w:rsidRPr="00FC60BB" w:rsidRDefault="00C63087" w:rsidP="00BA258A">
            <w:pPr>
              <w:pStyle w:val="TableTitle"/>
            </w:pPr>
            <w:r w:rsidRPr="00FC60BB">
              <w:t>Hiring of former students</w:t>
            </w:r>
          </w:p>
        </w:tc>
      </w:tr>
      <w:tr w:rsidR="00C63087" w:rsidRPr="00FC60BB" w14:paraId="2ECF2585" w14:textId="77777777" w:rsidTr="007B3A9E">
        <w:trPr>
          <w:cantSplit/>
          <w:tblHeader/>
          <w:jc w:val="center"/>
        </w:trPr>
        <w:tc>
          <w:tcPr>
            <w:tcW w:w="1082" w:type="pct"/>
          </w:tcPr>
          <w:p w14:paraId="718C46E2"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2014 to 2015</w:t>
            </w:r>
          </w:p>
        </w:tc>
        <w:tc>
          <w:tcPr>
            <w:tcW w:w="2118" w:type="pct"/>
          </w:tcPr>
          <w:p w14:paraId="2D883959"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0</w:t>
            </w:r>
          </w:p>
        </w:tc>
        <w:tc>
          <w:tcPr>
            <w:tcW w:w="1800" w:type="pct"/>
          </w:tcPr>
          <w:p w14:paraId="5E0CDEE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w:t>
            </w:r>
          </w:p>
        </w:tc>
      </w:tr>
      <w:tr w:rsidR="00C63087" w:rsidRPr="00FC60BB" w14:paraId="15F27A9A" w14:textId="77777777" w:rsidTr="007B3A9E">
        <w:trPr>
          <w:cantSplit/>
          <w:tblHeader/>
          <w:jc w:val="center"/>
        </w:trPr>
        <w:tc>
          <w:tcPr>
            <w:tcW w:w="1082" w:type="pct"/>
          </w:tcPr>
          <w:p w14:paraId="5BDF399B"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2015 to 2016</w:t>
            </w:r>
          </w:p>
        </w:tc>
        <w:tc>
          <w:tcPr>
            <w:tcW w:w="2118" w:type="pct"/>
          </w:tcPr>
          <w:p w14:paraId="1DB1C46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w:t>
            </w:r>
          </w:p>
        </w:tc>
        <w:tc>
          <w:tcPr>
            <w:tcW w:w="1800" w:type="pct"/>
          </w:tcPr>
          <w:p w14:paraId="47C970A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7</w:t>
            </w:r>
          </w:p>
        </w:tc>
      </w:tr>
      <w:tr w:rsidR="00C63087" w:rsidRPr="00FC60BB" w14:paraId="0441433B" w14:textId="77777777" w:rsidTr="007B3A9E">
        <w:trPr>
          <w:cantSplit/>
          <w:tblHeader/>
          <w:jc w:val="center"/>
        </w:trPr>
        <w:tc>
          <w:tcPr>
            <w:tcW w:w="1082" w:type="pct"/>
          </w:tcPr>
          <w:p w14:paraId="12561C92"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2016 to 2017</w:t>
            </w:r>
          </w:p>
        </w:tc>
        <w:tc>
          <w:tcPr>
            <w:tcW w:w="2118" w:type="pct"/>
          </w:tcPr>
          <w:p w14:paraId="0C92D07A"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w:t>
            </w:r>
          </w:p>
        </w:tc>
        <w:tc>
          <w:tcPr>
            <w:tcW w:w="1800" w:type="pct"/>
          </w:tcPr>
          <w:p w14:paraId="77549E13"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14</w:t>
            </w:r>
          </w:p>
        </w:tc>
      </w:tr>
      <w:tr w:rsidR="00C63087" w:rsidRPr="00FC60BB" w14:paraId="46039671" w14:textId="77777777" w:rsidTr="007B3A9E">
        <w:trPr>
          <w:cantSplit/>
          <w:tblHeader/>
          <w:jc w:val="center"/>
        </w:trPr>
        <w:tc>
          <w:tcPr>
            <w:tcW w:w="1082" w:type="pct"/>
          </w:tcPr>
          <w:p w14:paraId="56BCD984"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2017 to 2018</w:t>
            </w:r>
          </w:p>
        </w:tc>
        <w:tc>
          <w:tcPr>
            <w:tcW w:w="2118" w:type="pct"/>
          </w:tcPr>
          <w:p w14:paraId="25F187CE"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w:t>
            </w:r>
          </w:p>
        </w:tc>
        <w:tc>
          <w:tcPr>
            <w:tcW w:w="1800" w:type="pct"/>
          </w:tcPr>
          <w:p w14:paraId="3DF39E1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15</w:t>
            </w:r>
          </w:p>
        </w:tc>
      </w:tr>
      <w:tr w:rsidR="00C63087" w:rsidRPr="00FC60BB" w14:paraId="2FC9F522" w14:textId="77777777" w:rsidTr="007B3A9E">
        <w:trPr>
          <w:cantSplit/>
          <w:tblHeader/>
          <w:jc w:val="center"/>
        </w:trPr>
        <w:tc>
          <w:tcPr>
            <w:tcW w:w="1082" w:type="pct"/>
          </w:tcPr>
          <w:p w14:paraId="12AF4399" w14:textId="77777777" w:rsidR="00C63087" w:rsidRPr="00FC60BB" w:rsidRDefault="00C63087" w:rsidP="00D64481">
            <w:pPr>
              <w:autoSpaceDE w:val="0"/>
              <w:autoSpaceDN w:val="0"/>
              <w:adjustRightInd w:val="0"/>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2018 to 2019</w:t>
            </w:r>
          </w:p>
        </w:tc>
        <w:tc>
          <w:tcPr>
            <w:tcW w:w="2118" w:type="pct"/>
          </w:tcPr>
          <w:p w14:paraId="68C0F030"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w:t>
            </w:r>
          </w:p>
        </w:tc>
        <w:tc>
          <w:tcPr>
            <w:tcW w:w="1800" w:type="pct"/>
          </w:tcPr>
          <w:p w14:paraId="4CCB56B3" w14:textId="77777777" w:rsidR="00C63087" w:rsidRPr="00FC60BB" w:rsidRDefault="00C63087" w:rsidP="00D64481">
            <w:pPr>
              <w:autoSpaceDE w:val="0"/>
              <w:autoSpaceDN w:val="0"/>
              <w:adjustRightInd w:val="0"/>
              <w:jc w:val="center"/>
              <w:rPr>
                <w:rFonts w:asciiTheme="minorHAnsi" w:hAnsiTheme="minorHAnsi" w:cstheme="minorHAnsi"/>
                <w:color w:val="000000"/>
                <w:sz w:val="22"/>
                <w:szCs w:val="24"/>
                <w:lang w:val="en-CA"/>
              </w:rPr>
            </w:pPr>
            <w:r w:rsidRPr="00FC60BB">
              <w:rPr>
                <w:rFonts w:asciiTheme="minorHAnsi" w:hAnsiTheme="minorHAnsi" w:cstheme="minorHAnsi"/>
                <w:color w:val="000000"/>
                <w:sz w:val="22"/>
                <w:szCs w:val="24"/>
                <w:lang w:val="en-CA"/>
              </w:rPr>
              <w:t>11</w:t>
            </w:r>
          </w:p>
        </w:tc>
      </w:tr>
    </w:tbl>
    <w:p w14:paraId="71CDE69A" w14:textId="77777777" w:rsidR="00C63087" w:rsidRPr="00FC60BB" w:rsidRDefault="00C63087" w:rsidP="00C63087">
      <w:pPr>
        <w:rPr>
          <w:rFonts w:asciiTheme="minorHAnsi" w:hAnsiTheme="minorHAnsi" w:cstheme="minorHAnsi"/>
          <w:sz w:val="22"/>
          <w:szCs w:val="24"/>
          <w:lang w:val="en-CA"/>
        </w:rPr>
      </w:pPr>
      <w:r w:rsidRPr="00FC60BB">
        <w:rPr>
          <w:rFonts w:asciiTheme="minorHAnsi" w:hAnsiTheme="minorHAnsi" w:cstheme="minorHAnsi"/>
          <w:sz w:val="22"/>
          <w:szCs w:val="24"/>
          <w:lang w:val="en-CA"/>
        </w:rPr>
        <w:t>Hiring of former students includes indeterminate and term hires with experience in a federal student recruitment program within the last 10 years.</w:t>
      </w:r>
    </w:p>
    <w:p w14:paraId="03148634" w14:textId="77777777" w:rsidR="00D42DF0" w:rsidRPr="00FC60BB" w:rsidRDefault="00D42DF0" w:rsidP="00944C68">
      <w:pPr>
        <w:pStyle w:val="Level1"/>
        <w:tabs>
          <w:tab w:val="left" w:pos="-1440"/>
        </w:tabs>
        <w:autoSpaceDE w:val="0"/>
        <w:autoSpaceDN w:val="0"/>
        <w:adjustRightInd w:val="0"/>
        <w:spacing w:after="120" w:line="20" w:lineRule="atLeast"/>
        <w:rPr>
          <w:rFonts w:ascii="Arial" w:hAnsi="Arial" w:cs="Arial"/>
          <w:sz w:val="22"/>
          <w:szCs w:val="22"/>
          <w:lang w:val="en-CA"/>
        </w:rPr>
        <w:sectPr w:rsidR="00D42DF0" w:rsidRPr="00FC60BB" w:rsidSect="00944C68">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456D2DDD" w14:textId="77777777" w:rsidR="00D42DF0" w:rsidRPr="00FC60BB" w:rsidRDefault="007C1D51" w:rsidP="00D41BC9">
      <w:pPr>
        <w:pStyle w:val="Heading1"/>
        <w:spacing w:before="120" w:after="120"/>
        <w:rPr>
          <w:lang w:val="en-CA"/>
        </w:rPr>
      </w:pPr>
      <w:r w:rsidRPr="00FC60BB">
        <w:rPr>
          <w:lang w:val="en-CA"/>
        </w:rPr>
        <w:lastRenderedPageBreak/>
        <w:t>Internal time to staff</w:t>
      </w:r>
    </w:p>
    <w:p w14:paraId="0885613D" w14:textId="77777777" w:rsidR="007C1D51" w:rsidRPr="00FC60BB" w:rsidRDefault="007B1B27" w:rsidP="007C1D51">
      <w:pPr>
        <w:pStyle w:val="Level1"/>
        <w:keepNext/>
        <w:tabs>
          <w:tab w:val="left" w:pos="-1440"/>
        </w:tabs>
        <w:autoSpaceDE w:val="0"/>
        <w:autoSpaceDN w:val="0"/>
        <w:adjustRightInd w:val="0"/>
        <w:spacing w:after="120" w:line="20" w:lineRule="atLeast"/>
        <w:jc w:val="center"/>
        <w:rPr>
          <w:lang w:val="en-CA"/>
        </w:rPr>
      </w:pPr>
      <w:r w:rsidRPr="00FC60BB">
        <w:rPr>
          <w:noProof/>
          <w:lang w:val="en-CA" w:eastAsia="en-CA"/>
        </w:rPr>
        <w:drawing>
          <wp:inline distT="0" distB="0" distL="0" distR="0" wp14:anchorId="146A9CF5" wp14:editId="5914308E">
            <wp:extent cx="5648400" cy="3049200"/>
            <wp:effectExtent l="0" t="0" r="9525" b="18415"/>
            <wp:docPr id="22" name="Chart 22" descr="Internal time to staff - Public service median = 176 day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F0257E" w14:textId="43F1E4DB" w:rsidR="007B1B27" w:rsidRPr="00167C11" w:rsidRDefault="007C1D51" w:rsidP="00D41BC9">
      <w:pPr>
        <w:pStyle w:val="Caption"/>
        <w:spacing w:after="240"/>
        <w:jc w:val="center"/>
        <w:rPr>
          <w:rFonts w:asciiTheme="minorHAnsi" w:hAnsiTheme="minorHAnsi" w:cstheme="minorHAnsi"/>
          <w:i w:val="0"/>
          <w:color w:val="auto"/>
          <w:sz w:val="22"/>
          <w:szCs w:val="22"/>
          <w:lang w:val="en-CA"/>
        </w:rPr>
      </w:pPr>
      <w:r w:rsidRPr="00167C11">
        <w:rPr>
          <w:rFonts w:asciiTheme="minorHAnsi" w:hAnsiTheme="minorHAnsi" w:cstheme="minorHAnsi"/>
          <w:i w:val="0"/>
          <w:color w:val="auto"/>
          <w:lang w:val="en-CA"/>
        </w:rPr>
        <w:t xml:space="preserve">Figure </w:t>
      </w:r>
      <w:r w:rsidRPr="00167C11">
        <w:rPr>
          <w:rFonts w:asciiTheme="minorHAnsi" w:hAnsiTheme="minorHAnsi" w:cstheme="minorHAnsi"/>
          <w:i w:val="0"/>
          <w:color w:val="auto"/>
          <w:lang w:val="en-CA"/>
        </w:rPr>
        <w:fldChar w:fldCharType="begin"/>
      </w:r>
      <w:r w:rsidRPr="00167C11">
        <w:rPr>
          <w:rFonts w:asciiTheme="minorHAnsi" w:hAnsiTheme="minorHAnsi" w:cstheme="minorHAnsi"/>
          <w:i w:val="0"/>
          <w:color w:val="auto"/>
          <w:lang w:val="en-CA"/>
        </w:rPr>
        <w:instrText xml:space="preserve"> SEQ Figure \* ARABIC </w:instrText>
      </w:r>
      <w:r w:rsidRPr="00167C11">
        <w:rPr>
          <w:rFonts w:asciiTheme="minorHAnsi" w:hAnsiTheme="minorHAnsi" w:cstheme="minorHAnsi"/>
          <w:i w:val="0"/>
          <w:color w:val="auto"/>
          <w:lang w:val="en-CA"/>
        </w:rPr>
        <w:fldChar w:fldCharType="separate"/>
      </w:r>
      <w:r w:rsidR="000B3767" w:rsidRPr="00167C11">
        <w:rPr>
          <w:rFonts w:asciiTheme="minorHAnsi" w:hAnsiTheme="minorHAnsi" w:cstheme="minorHAnsi"/>
          <w:i w:val="0"/>
          <w:noProof/>
          <w:color w:val="auto"/>
          <w:lang w:val="en-CA"/>
        </w:rPr>
        <w:t>12</w:t>
      </w:r>
      <w:r w:rsidRPr="00167C11">
        <w:rPr>
          <w:rFonts w:asciiTheme="minorHAnsi" w:hAnsiTheme="minorHAnsi" w:cstheme="minorHAnsi"/>
          <w:i w:val="0"/>
          <w:color w:val="auto"/>
          <w:lang w:val="en-CA"/>
        </w:rPr>
        <w:fldChar w:fldCharType="end"/>
      </w:r>
      <w:r w:rsidRPr="00167C11">
        <w:rPr>
          <w:rFonts w:asciiTheme="minorHAnsi" w:hAnsiTheme="minorHAnsi" w:cstheme="minorHAnsi"/>
          <w:i w:val="0"/>
          <w:color w:val="auto"/>
          <w:lang w:val="en-CA"/>
        </w:rPr>
        <w:t xml:space="preserve"> - Internal time to staff</w:t>
      </w:r>
      <w:r w:rsidR="00413CA9" w:rsidRPr="00167C11">
        <w:rPr>
          <w:rFonts w:asciiTheme="minorHAnsi" w:hAnsiTheme="minorHAnsi" w:cstheme="minorHAnsi"/>
          <w:i w:val="0"/>
          <w:color w:val="auto"/>
          <w:lang w:val="en-CA"/>
        </w:rPr>
        <w:t xml:space="preserve"> </w:t>
      </w:r>
      <w:r w:rsidR="00BA7415">
        <w:rPr>
          <w:rFonts w:asciiTheme="minorHAnsi" w:hAnsiTheme="minorHAnsi" w:cstheme="minorHAnsi"/>
          <w:i w:val="0"/>
          <w:color w:val="auto"/>
          <w:lang w:val="en-CA"/>
        </w:rPr>
        <w:t>Public service median = 176 day</w:t>
      </w:r>
      <w:r w:rsidR="00413CA9" w:rsidRPr="00167C11">
        <w:rPr>
          <w:rFonts w:asciiTheme="minorHAnsi" w:hAnsiTheme="minorHAnsi" w:cstheme="minorHAnsi"/>
          <w:i w:val="0"/>
          <w:color w:val="auto"/>
          <w:lang w:val="en-CA"/>
        </w:rPr>
        <w:t>s, 2018-</w:t>
      </w:r>
      <w:r w:rsidR="00D41BC9">
        <w:rPr>
          <w:rFonts w:asciiTheme="minorHAnsi" w:hAnsiTheme="minorHAnsi" w:cstheme="minorHAnsi"/>
          <w:i w:val="0"/>
          <w:color w:val="auto"/>
          <w:lang w:val="en-CA"/>
        </w:rPr>
        <w:t>20</w:t>
      </w:r>
      <w:r w:rsidR="00413CA9" w:rsidRPr="00167C11">
        <w:rPr>
          <w:rFonts w:asciiTheme="minorHAnsi" w:hAnsiTheme="minorHAnsi" w:cstheme="minorHAnsi"/>
          <w:i w:val="0"/>
          <w:color w:val="auto"/>
          <w:lang w:val="en-CA"/>
        </w:rPr>
        <w:t>19</w:t>
      </w:r>
    </w:p>
    <w:p w14:paraId="3ADB45CA" w14:textId="77777777" w:rsidR="007C1D51" w:rsidRPr="00FC60BB" w:rsidRDefault="002B597B" w:rsidP="007C1D51">
      <w:pPr>
        <w:spacing w:after="240"/>
        <w:rPr>
          <w:rFonts w:asciiTheme="minorHAnsi" w:hAnsiTheme="minorHAnsi" w:cstheme="minorHAnsi"/>
          <w:sz w:val="22"/>
          <w:lang w:val="en-CA"/>
        </w:rPr>
      </w:pPr>
      <w:hyperlink w:anchor="Internal_Time_To_Staff" w:history="1">
        <w:r w:rsidR="007C1D51" w:rsidRPr="00FC60BB">
          <w:rPr>
            <w:rStyle w:val="Hyperlink"/>
            <w:rFonts w:asciiTheme="minorHAnsi" w:hAnsiTheme="minorHAnsi" w:cstheme="minorHAnsi"/>
            <w:sz w:val="22"/>
            <w:lang w:val="en-CA"/>
          </w:rPr>
          <w:t>Internal time to staff data table available here</w:t>
        </w:r>
      </w:hyperlink>
      <w:r w:rsidR="007C1D51" w:rsidRPr="00FC60BB">
        <w:rPr>
          <w:rFonts w:asciiTheme="minorHAnsi" w:hAnsiTheme="minorHAnsi" w:cstheme="minorHAnsi"/>
          <w:sz w:val="22"/>
          <w:lang w:val="en-CA"/>
        </w:rPr>
        <w:t>.</w:t>
      </w:r>
    </w:p>
    <w:p w14:paraId="09112955" w14:textId="77777777" w:rsidR="00607E99" w:rsidRPr="00D41BC9" w:rsidRDefault="00607E99" w:rsidP="00607E99">
      <w:pPr>
        <w:spacing w:after="120"/>
        <w:rPr>
          <w:rStyle w:val="Strong"/>
        </w:rPr>
      </w:pPr>
      <w:r w:rsidRPr="00D41BC9">
        <w:rPr>
          <w:rStyle w:val="Strong"/>
        </w:rPr>
        <w:t xml:space="preserve">Internal time to staff </w:t>
      </w:r>
    </w:p>
    <w:p w14:paraId="726B5846" w14:textId="77777777" w:rsidR="00607E99" w:rsidRPr="00FC60BB" w:rsidRDefault="00607E99" w:rsidP="00607E99">
      <w:pPr>
        <w:spacing w:after="120"/>
        <w:rPr>
          <w:rFonts w:asciiTheme="minorHAnsi" w:hAnsiTheme="minorHAnsi" w:cstheme="minorHAnsi"/>
          <w:sz w:val="22"/>
          <w:szCs w:val="24"/>
          <w:lang w:val="en-CA"/>
        </w:rPr>
      </w:pPr>
      <w:r w:rsidRPr="00FC60BB">
        <w:rPr>
          <w:rFonts w:asciiTheme="minorHAnsi" w:hAnsiTheme="minorHAnsi" w:cstheme="minorHAnsi"/>
          <w:sz w:val="22"/>
          <w:szCs w:val="24"/>
          <w:lang w:val="en-CA"/>
        </w:rPr>
        <w:t>The data is insufficient for providing results on internal process times for the Administrative Tribunals Support Service of Canada</w:t>
      </w:r>
    </w:p>
    <w:p w14:paraId="1B2670B0" w14:textId="77777777" w:rsidR="00607E99" w:rsidRPr="00FC60BB" w:rsidRDefault="00607E99" w:rsidP="00607E99">
      <w:pPr>
        <w:spacing w:after="120"/>
        <w:rPr>
          <w:rFonts w:asciiTheme="minorHAnsi" w:hAnsiTheme="minorHAnsi" w:cstheme="minorHAnsi"/>
          <w:sz w:val="22"/>
          <w:szCs w:val="24"/>
          <w:lang w:val="en-CA"/>
        </w:rPr>
      </w:pPr>
      <w:r w:rsidRPr="00FC60BB">
        <w:rPr>
          <w:rFonts w:asciiTheme="minorHAnsi" w:hAnsiTheme="minorHAnsi" w:cstheme="minorHAnsi"/>
          <w:sz w:val="22"/>
          <w:lang w:val="en-CA"/>
        </w:rPr>
        <w:t>Internal time to staff is calculated as the number of calendar days between the opening date of the advertisement and the date of the first notification</w:t>
      </w:r>
    </w:p>
    <w:p w14:paraId="2CBDE223" w14:textId="77777777" w:rsidR="00607E99" w:rsidRPr="00D41BC9" w:rsidRDefault="00607E99" w:rsidP="00607E99">
      <w:pPr>
        <w:tabs>
          <w:tab w:val="left" w:pos="4788"/>
        </w:tabs>
        <w:spacing w:after="120"/>
        <w:rPr>
          <w:rStyle w:val="Strong"/>
        </w:rPr>
      </w:pPr>
      <w:r w:rsidRPr="00D41BC9">
        <w:rPr>
          <w:rStyle w:val="Strong"/>
        </w:rPr>
        <w:t>Internal time to staff for fiscal year 2018 to 2019</w:t>
      </w:r>
    </w:p>
    <w:p w14:paraId="0B991629" w14:textId="77777777" w:rsidR="00607E99" w:rsidRPr="00FC60BB" w:rsidRDefault="00607E99" w:rsidP="00607E99">
      <w:pPr>
        <w:spacing w:after="120"/>
        <w:rPr>
          <w:rFonts w:asciiTheme="minorHAnsi" w:hAnsiTheme="minorHAnsi" w:cstheme="minorHAnsi"/>
          <w:sz w:val="22"/>
          <w:szCs w:val="24"/>
          <w:lang w:val="en-CA"/>
        </w:rPr>
      </w:pPr>
      <w:r w:rsidRPr="00FC60BB">
        <w:rPr>
          <w:rFonts w:asciiTheme="minorHAnsi" w:hAnsiTheme="minorHAnsi" w:cstheme="minorHAnsi"/>
          <w:sz w:val="22"/>
          <w:szCs w:val="24"/>
          <w:lang w:val="en-CA"/>
        </w:rPr>
        <w:t xml:space="preserve">The median internal time to staff for the public service (organizations subject to the </w:t>
      </w:r>
      <w:r w:rsidRPr="0050539C">
        <w:rPr>
          <w:rStyle w:val="Emphasis"/>
          <w:i/>
        </w:rPr>
        <w:t>Public Service Employment Act</w:t>
      </w:r>
      <w:r w:rsidRPr="00FC60BB">
        <w:rPr>
          <w:rFonts w:asciiTheme="minorHAnsi" w:hAnsiTheme="minorHAnsi" w:cstheme="minorHAnsi"/>
          <w:sz w:val="22"/>
          <w:szCs w:val="24"/>
          <w:lang w:val="en-CA"/>
        </w:rPr>
        <w:t>) for fiscal year 2018 to 2019 is 176 days</w:t>
      </w:r>
    </w:p>
    <w:p w14:paraId="0AF3D447" w14:textId="77777777" w:rsidR="007C1D51" w:rsidRPr="00FC60BB" w:rsidRDefault="007C1D51" w:rsidP="007B1B27">
      <w:pPr>
        <w:pStyle w:val="Level1"/>
        <w:tabs>
          <w:tab w:val="left" w:pos="-1440"/>
        </w:tabs>
        <w:autoSpaceDE w:val="0"/>
        <w:autoSpaceDN w:val="0"/>
        <w:adjustRightInd w:val="0"/>
        <w:spacing w:after="120" w:line="20" w:lineRule="atLeast"/>
        <w:rPr>
          <w:rFonts w:ascii="Arial" w:hAnsi="Arial" w:cs="Arial"/>
          <w:sz w:val="22"/>
          <w:szCs w:val="22"/>
          <w:lang w:val="en-CA"/>
        </w:rPr>
        <w:sectPr w:rsidR="007C1D51" w:rsidRPr="00FC60BB" w:rsidSect="007C1D51">
          <w:footnotePr>
            <w:numFmt w:val="lowerLetter"/>
          </w:footnotePr>
          <w:endnotePr>
            <w:numFmt w:val="lowerLetter"/>
          </w:endnotePr>
          <w:pgSz w:w="15840" w:h="12240" w:orient="landscape" w:code="1"/>
          <w:pgMar w:top="720" w:right="720" w:bottom="720" w:left="720" w:header="284" w:footer="284" w:gutter="0"/>
          <w:cols w:space="720"/>
          <w:docGrid w:linePitch="326"/>
        </w:sectPr>
      </w:pPr>
    </w:p>
    <w:p w14:paraId="47234FCE" w14:textId="77777777" w:rsidR="00607E99" w:rsidRPr="00FC60BB" w:rsidRDefault="000B3767" w:rsidP="00D41BC9">
      <w:pPr>
        <w:pStyle w:val="Heading1"/>
        <w:spacing w:before="120" w:after="120"/>
        <w:rPr>
          <w:lang w:val="en-CA"/>
        </w:rPr>
      </w:pPr>
      <w:r w:rsidRPr="00FC60BB">
        <w:rPr>
          <w:lang w:val="en-CA"/>
        </w:rPr>
        <w:lastRenderedPageBreak/>
        <w:t>Internal time to staff</w:t>
      </w:r>
    </w:p>
    <w:p w14:paraId="30B96B87" w14:textId="77777777" w:rsidR="000B3767" w:rsidRPr="00FC60BB" w:rsidRDefault="000B3767" w:rsidP="000B3767">
      <w:pPr>
        <w:pStyle w:val="Caption"/>
        <w:keepNext/>
        <w:spacing w:after="0"/>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008009D0" w:rsidRPr="00FC60BB">
        <w:rPr>
          <w:rFonts w:asciiTheme="minorHAnsi" w:hAnsiTheme="minorHAnsi" w:cstheme="minorHAnsi"/>
          <w:i w:val="0"/>
          <w:noProof/>
          <w:color w:val="auto"/>
          <w:lang w:val="en-CA"/>
        </w:rPr>
        <w:t>15</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Internal time to staff</w:t>
      </w:r>
    </w:p>
    <w:tbl>
      <w:tblPr>
        <w:tblStyle w:val="TableGrid"/>
        <w:tblW w:w="5000" w:type="pct"/>
        <w:jc w:val="center"/>
        <w:tblLook w:val="0020" w:firstRow="1" w:lastRow="0" w:firstColumn="0" w:lastColumn="0" w:noHBand="0" w:noVBand="0"/>
        <w:tblDescription w:val="Internal time to staff"/>
      </w:tblPr>
      <w:tblGrid>
        <w:gridCol w:w="3256"/>
        <w:gridCol w:w="9355"/>
        <w:gridCol w:w="10419"/>
      </w:tblGrid>
      <w:tr w:rsidR="000B3767" w:rsidRPr="00FC60BB" w14:paraId="78E62332" w14:textId="77777777" w:rsidTr="007B3A9E">
        <w:trPr>
          <w:cantSplit/>
          <w:trHeight w:val="804"/>
          <w:tblHeader/>
          <w:jc w:val="center"/>
        </w:trPr>
        <w:tc>
          <w:tcPr>
            <w:tcW w:w="707" w:type="pct"/>
          </w:tcPr>
          <w:p w14:paraId="545EDDC7" w14:textId="77777777" w:rsidR="000B3767" w:rsidRPr="00FC60BB" w:rsidRDefault="000B3767" w:rsidP="00BA258A">
            <w:pPr>
              <w:pStyle w:val="TableTitle"/>
            </w:pPr>
            <w:bookmarkStart w:id="2" w:name="Internal_Time_To_Staff"/>
            <w:r w:rsidRPr="00FC60BB">
              <w:t>Number of calendar days</w:t>
            </w:r>
            <w:bookmarkEnd w:id="2"/>
          </w:p>
        </w:tc>
        <w:tc>
          <w:tcPr>
            <w:tcW w:w="2031" w:type="pct"/>
          </w:tcPr>
          <w:p w14:paraId="566EFCEC" w14:textId="77777777" w:rsidR="000B3767" w:rsidRPr="00FC60BB" w:rsidRDefault="000B3767" w:rsidP="00BA258A">
            <w:pPr>
              <w:pStyle w:val="TableTitle"/>
            </w:pPr>
            <w:r w:rsidRPr="00FC60BB">
              <w:t xml:space="preserve">The number of internal appointments for which the TTS-IA was within the specified number of calendar days  for organizations subject to the </w:t>
            </w:r>
            <w:r w:rsidRPr="0050539C">
              <w:rPr>
                <w:rStyle w:val="Emphasis"/>
                <w:b/>
                <w:i/>
              </w:rPr>
              <w:t>Public Service Employment Act</w:t>
            </w:r>
          </w:p>
        </w:tc>
        <w:tc>
          <w:tcPr>
            <w:tcW w:w="2262" w:type="pct"/>
          </w:tcPr>
          <w:p w14:paraId="7AE9DD92" w14:textId="77777777" w:rsidR="000B3767" w:rsidRPr="00FC60BB" w:rsidRDefault="000B3767" w:rsidP="00BA258A">
            <w:pPr>
              <w:pStyle w:val="TableTitle"/>
            </w:pPr>
            <w:r w:rsidRPr="00FC60BB">
              <w:t>The number of internal appointments for which the TTS-IA was within the specified number of calendar days for the specified organization</w:t>
            </w:r>
          </w:p>
        </w:tc>
      </w:tr>
      <w:tr w:rsidR="000B3767" w:rsidRPr="00FC60BB" w14:paraId="287F62BA" w14:textId="77777777" w:rsidTr="007B3A9E">
        <w:trPr>
          <w:cantSplit/>
          <w:trHeight w:val="290"/>
          <w:tblHeader/>
          <w:jc w:val="center"/>
        </w:trPr>
        <w:tc>
          <w:tcPr>
            <w:tcW w:w="707" w:type="pct"/>
          </w:tcPr>
          <w:p w14:paraId="2FE12A6E"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 to 29 calendar days</w:t>
            </w:r>
          </w:p>
        </w:tc>
        <w:tc>
          <w:tcPr>
            <w:tcW w:w="2031" w:type="pct"/>
          </w:tcPr>
          <w:p w14:paraId="6C257BC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15</w:t>
            </w:r>
          </w:p>
        </w:tc>
        <w:tc>
          <w:tcPr>
            <w:tcW w:w="2262" w:type="pct"/>
          </w:tcPr>
          <w:p w14:paraId="750A5582"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335201C7" w14:textId="77777777" w:rsidTr="007B3A9E">
        <w:trPr>
          <w:cantSplit/>
          <w:trHeight w:val="290"/>
          <w:tblHeader/>
          <w:jc w:val="center"/>
        </w:trPr>
        <w:tc>
          <w:tcPr>
            <w:tcW w:w="707" w:type="pct"/>
          </w:tcPr>
          <w:p w14:paraId="39FB2ED8"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30 to 59 calendar days</w:t>
            </w:r>
          </w:p>
        </w:tc>
        <w:tc>
          <w:tcPr>
            <w:tcW w:w="2031" w:type="pct"/>
          </w:tcPr>
          <w:p w14:paraId="7440F3ED"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130</w:t>
            </w:r>
          </w:p>
        </w:tc>
        <w:tc>
          <w:tcPr>
            <w:tcW w:w="2262" w:type="pct"/>
          </w:tcPr>
          <w:p w14:paraId="7ADAB4A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23D6F11E" w14:textId="77777777" w:rsidTr="007B3A9E">
        <w:trPr>
          <w:cantSplit/>
          <w:trHeight w:val="290"/>
          <w:tblHeader/>
          <w:jc w:val="center"/>
        </w:trPr>
        <w:tc>
          <w:tcPr>
            <w:tcW w:w="707" w:type="pct"/>
          </w:tcPr>
          <w:p w14:paraId="6C1AFA4B"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60 to 89 calendar days</w:t>
            </w:r>
          </w:p>
        </w:tc>
        <w:tc>
          <w:tcPr>
            <w:tcW w:w="2031" w:type="pct"/>
          </w:tcPr>
          <w:p w14:paraId="620108A1"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277</w:t>
            </w:r>
          </w:p>
        </w:tc>
        <w:tc>
          <w:tcPr>
            <w:tcW w:w="2262" w:type="pct"/>
          </w:tcPr>
          <w:p w14:paraId="5CB4EC37"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04D9AC6D" w14:textId="77777777" w:rsidTr="007B3A9E">
        <w:trPr>
          <w:cantSplit/>
          <w:trHeight w:val="290"/>
          <w:tblHeader/>
          <w:jc w:val="center"/>
        </w:trPr>
        <w:tc>
          <w:tcPr>
            <w:tcW w:w="707" w:type="pct"/>
          </w:tcPr>
          <w:p w14:paraId="07ECDE66"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90 to 119 calendar days</w:t>
            </w:r>
          </w:p>
        </w:tc>
        <w:tc>
          <w:tcPr>
            <w:tcW w:w="2031" w:type="pct"/>
          </w:tcPr>
          <w:p w14:paraId="251CA202"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391</w:t>
            </w:r>
          </w:p>
        </w:tc>
        <w:tc>
          <w:tcPr>
            <w:tcW w:w="2262" w:type="pct"/>
          </w:tcPr>
          <w:p w14:paraId="567FEDF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02C42673" w14:textId="77777777" w:rsidTr="007B3A9E">
        <w:trPr>
          <w:cantSplit/>
          <w:trHeight w:val="290"/>
          <w:tblHeader/>
          <w:jc w:val="center"/>
        </w:trPr>
        <w:tc>
          <w:tcPr>
            <w:tcW w:w="707" w:type="pct"/>
          </w:tcPr>
          <w:p w14:paraId="2DB876D7"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120 to 149 calendar days</w:t>
            </w:r>
          </w:p>
        </w:tc>
        <w:tc>
          <w:tcPr>
            <w:tcW w:w="2031" w:type="pct"/>
          </w:tcPr>
          <w:p w14:paraId="18B3D42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367</w:t>
            </w:r>
          </w:p>
        </w:tc>
        <w:tc>
          <w:tcPr>
            <w:tcW w:w="2262" w:type="pct"/>
          </w:tcPr>
          <w:p w14:paraId="45DE7891"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6D7415DF" w14:textId="77777777" w:rsidTr="007B3A9E">
        <w:trPr>
          <w:cantSplit/>
          <w:trHeight w:val="290"/>
          <w:tblHeader/>
          <w:jc w:val="center"/>
        </w:trPr>
        <w:tc>
          <w:tcPr>
            <w:tcW w:w="707" w:type="pct"/>
          </w:tcPr>
          <w:p w14:paraId="3A03C01A"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150 to 179 calendar days</w:t>
            </w:r>
          </w:p>
        </w:tc>
        <w:tc>
          <w:tcPr>
            <w:tcW w:w="2031" w:type="pct"/>
          </w:tcPr>
          <w:p w14:paraId="3CED7360"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322</w:t>
            </w:r>
          </w:p>
        </w:tc>
        <w:tc>
          <w:tcPr>
            <w:tcW w:w="2262" w:type="pct"/>
          </w:tcPr>
          <w:p w14:paraId="7C6FF0C1"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35AE6430" w14:textId="77777777" w:rsidTr="007B3A9E">
        <w:trPr>
          <w:cantSplit/>
          <w:trHeight w:val="290"/>
          <w:tblHeader/>
          <w:jc w:val="center"/>
        </w:trPr>
        <w:tc>
          <w:tcPr>
            <w:tcW w:w="707" w:type="pct"/>
          </w:tcPr>
          <w:p w14:paraId="1977EC4C"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180 to 209 calendar days</w:t>
            </w:r>
          </w:p>
        </w:tc>
        <w:tc>
          <w:tcPr>
            <w:tcW w:w="2031" w:type="pct"/>
          </w:tcPr>
          <w:p w14:paraId="28B0E2D2"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278</w:t>
            </w:r>
          </w:p>
        </w:tc>
        <w:tc>
          <w:tcPr>
            <w:tcW w:w="2262" w:type="pct"/>
          </w:tcPr>
          <w:p w14:paraId="24FA6982"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7A1005C6" w14:textId="77777777" w:rsidTr="007B3A9E">
        <w:trPr>
          <w:cantSplit/>
          <w:trHeight w:val="290"/>
          <w:tblHeader/>
          <w:jc w:val="center"/>
        </w:trPr>
        <w:tc>
          <w:tcPr>
            <w:tcW w:w="707" w:type="pct"/>
          </w:tcPr>
          <w:p w14:paraId="7E46559B"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210 to 239 calendar days</w:t>
            </w:r>
          </w:p>
        </w:tc>
        <w:tc>
          <w:tcPr>
            <w:tcW w:w="2031" w:type="pct"/>
          </w:tcPr>
          <w:p w14:paraId="6B4F2925"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241</w:t>
            </w:r>
          </w:p>
        </w:tc>
        <w:tc>
          <w:tcPr>
            <w:tcW w:w="2262" w:type="pct"/>
          </w:tcPr>
          <w:p w14:paraId="56EA6ACC"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6BBDDE6C" w14:textId="77777777" w:rsidTr="007B3A9E">
        <w:trPr>
          <w:cantSplit/>
          <w:trHeight w:val="290"/>
          <w:tblHeader/>
          <w:jc w:val="center"/>
        </w:trPr>
        <w:tc>
          <w:tcPr>
            <w:tcW w:w="707" w:type="pct"/>
          </w:tcPr>
          <w:p w14:paraId="53BA6BD3"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240 to 269 calendar days</w:t>
            </w:r>
          </w:p>
        </w:tc>
        <w:tc>
          <w:tcPr>
            <w:tcW w:w="2031" w:type="pct"/>
          </w:tcPr>
          <w:p w14:paraId="31C750E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165</w:t>
            </w:r>
          </w:p>
        </w:tc>
        <w:tc>
          <w:tcPr>
            <w:tcW w:w="2262" w:type="pct"/>
          </w:tcPr>
          <w:p w14:paraId="467759D3"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0CB7C5D5" w14:textId="77777777" w:rsidTr="007B3A9E">
        <w:trPr>
          <w:cantSplit/>
          <w:trHeight w:val="290"/>
          <w:tblHeader/>
          <w:jc w:val="center"/>
        </w:trPr>
        <w:tc>
          <w:tcPr>
            <w:tcW w:w="707" w:type="pct"/>
          </w:tcPr>
          <w:p w14:paraId="6E0ACF37"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270 to 299 calendar days</w:t>
            </w:r>
          </w:p>
        </w:tc>
        <w:tc>
          <w:tcPr>
            <w:tcW w:w="2031" w:type="pct"/>
          </w:tcPr>
          <w:p w14:paraId="2FBC6618"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134</w:t>
            </w:r>
          </w:p>
        </w:tc>
        <w:tc>
          <w:tcPr>
            <w:tcW w:w="2262" w:type="pct"/>
          </w:tcPr>
          <w:p w14:paraId="69A57CF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53027D58" w14:textId="77777777" w:rsidTr="007B3A9E">
        <w:trPr>
          <w:cantSplit/>
          <w:trHeight w:val="290"/>
          <w:tblHeader/>
          <w:jc w:val="center"/>
        </w:trPr>
        <w:tc>
          <w:tcPr>
            <w:tcW w:w="707" w:type="pct"/>
          </w:tcPr>
          <w:p w14:paraId="012D3567"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300 to 329 calendar days</w:t>
            </w:r>
          </w:p>
        </w:tc>
        <w:tc>
          <w:tcPr>
            <w:tcW w:w="2031" w:type="pct"/>
          </w:tcPr>
          <w:p w14:paraId="3E666CA9"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107</w:t>
            </w:r>
          </w:p>
        </w:tc>
        <w:tc>
          <w:tcPr>
            <w:tcW w:w="2262" w:type="pct"/>
          </w:tcPr>
          <w:p w14:paraId="7A636AB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10DEB358" w14:textId="77777777" w:rsidTr="007B3A9E">
        <w:trPr>
          <w:cantSplit/>
          <w:trHeight w:val="290"/>
          <w:tblHeader/>
          <w:jc w:val="center"/>
        </w:trPr>
        <w:tc>
          <w:tcPr>
            <w:tcW w:w="707" w:type="pct"/>
          </w:tcPr>
          <w:p w14:paraId="218F8B16"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330 to 359 calendar days</w:t>
            </w:r>
          </w:p>
        </w:tc>
        <w:tc>
          <w:tcPr>
            <w:tcW w:w="2031" w:type="pct"/>
          </w:tcPr>
          <w:p w14:paraId="1AD796F9"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77</w:t>
            </w:r>
          </w:p>
        </w:tc>
        <w:tc>
          <w:tcPr>
            <w:tcW w:w="2262" w:type="pct"/>
          </w:tcPr>
          <w:p w14:paraId="5BC788FA"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6D795478" w14:textId="77777777" w:rsidTr="007B3A9E">
        <w:trPr>
          <w:cantSplit/>
          <w:trHeight w:val="290"/>
          <w:tblHeader/>
          <w:jc w:val="center"/>
        </w:trPr>
        <w:tc>
          <w:tcPr>
            <w:tcW w:w="707" w:type="pct"/>
          </w:tcPr>
          <w:p w14:paraId="4A92E640"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360 to 389 calendar days</w:t>
            </w:r>
          </w:p>
        </w:tc>
        <w:tc>
          <w:tcPr>
            <w:tcW w:w="2031" w:type="pct"/>
          </w:tcPr>
          <w:p w14:paraId="0097F055"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61</w:t>
            </w:r>
          </w:p>
        </w:tc>
        <w:tc>
          <w:tcPr>
            <w:tcW w:w="2262" w:type="pct"/>
          </w:tcPr>
          <w:p w14:paraId="5FEBA081"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5684B216" w14:textId="77777777" w:rsidTr="007B3A9E">
        <w:trPr>
          <w:cantSplit/>
          <w:trHeight w:val="290"/>
          <w:tblHeader/>
          <w:jc w:val="center"/>
        </w:trPr>
        <w:tc>
          <w:tcPr>
            <w:tcW w:w="707" w:type="pct"/>
          </w:tcPr>
          <w:p w14:paraId="62AA8291"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390 to 419 calendar days</w:t>
            </w:r>
          </w:p>
        </w:tc>
        <w:tc>
          <w:tcPr>
            <w:tcW w:w="2031" w:type="pct"/>
          </w:tcPr>
          <w:p w14:paraId="425FE1FF"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53</w:t>
            </w:r>
          </w:p>
        </w:tc>
        <w:tc>
          <w:tcPr>
            <w:tcW w:w="2262" w:type="pct"/>
          </w:tcPr>
          <w:p w14:paraId="736DCDFF"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7DECEB7F" w14:textId="77777777" w:rsidTr="007B3A9E">
        <w:trPr>
          <w:cantSplit/>
          <w:trHeight w:val="290"/>
          <w:tblHeader/>
          <w:jc w:val="center"/>
        </w:trPr>
        <w:tc>
          <w:tcPr>
            <w:tcW w:w="707" w:type="pct"/>
          </w:tcPr>
          <w:p w14:paraId="3BB0D8F9"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420 to 449 calendar days</w:t>
            </w:r>
          </w:p>
        </w:tc>
        <w:tc>
          <w:tcPr>
            <w:tcW w:w="2031" w:type="pct"/>
          </w:tcPr>
          <w:p w14:paraId="0A80A047"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51</w:t>
            </w:r>
          </w:p>
        </w:tc>
        <w:tc>
          <w:tcPr>
            <w:tcW w:w="2262" w:type="pct"/>
          </w:tcPr>
          <w:p w14:paraId="039172C7"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0AD2C764" w14:textId="77777777" w:rsidTr="007B3A9E">
        <w:trPr>
          <w:cantSplit/>
          <w:trHeight w:val="290"/>
          <w:tblHeader/>
          <w:jc w:val="center"/>
        </w:trPr>
        <w:tc>
          <w:tcPr>
            <w:tcW w:w="707" w:type="pct"/>
          </w:tcPr>
          <w:p w14:paraId="0513519D"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450 to 479 calendar days</w:t>
            </w:r>
          </w:p>
        </w:tc>
        <w:tc>
          <w:tcPr>
            <w:tcW w:w="2031" w:type="pct"/>
          </w:tcPr>
          <w:p w14:paraId="512EABD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42</w:t>
            </w:r>
          </w:p>
        </w:tc>
        <w:tc>
          <w:tcPr>
            <w:tcW w:w="2262" w:type="pct"/>
          </w:tcPr>
          <w:p w14:paraId="0683D6C4"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4F3E5CFF" w14:textId="77777777" w:rsidTr="007B3A9E">
        <w:trPr>
          <w:cantSplit/>
          <w:trHeight w:val="290"/>
          <w:tblHeader/>
          <w:jc w:val="center"/>
        </w:trPr>
        <w:tc>
          <w:tcPr>
            <w:tcW w:w="707" w:type="pct"/>
          </w:tcPr>
          <w:p w14:paraId="533804EB"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480 to 509 calendar days</w:t>
            </w:r>
          </w:p>
        </w:tc>
        <w:tc>
          <w:tcPr>
            <w:tcW w:w="2031" w:type="pct"/>
          </w:tcPr>
          <w:p w14:paraId="2721910D"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40</w:t>
            </w:r>
          </w:p>
        </w:tc>
        <w:tc>
          <w:tcPr>
            <w:tcW w:w="2262" w:type="pct"/>
          </w:tcPr>
          <w:p w14:paraId="4DC665D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6E3182EC" w14:textId="77777777" w:rsidTr="007B3A9E">
        <w:trPr>
          <w:cantSplit/>
          <w:trHeight w:val="290"/>
          <w:tblHeader/>
          <w:jc w:val="center"/>
        </w:trPr>
        <w:tc>
          <w:tcPr>
            <w:tcW w:w="707" w:type="pct"/>
          </w:tcPr>
          <w:p w14:paraId="268285B2"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510 to 539 calendar days</w:t>
            </w:r>
          </w:p>
        </w:tc>
        <w:tc>
          <w:tcPr>
            <w:tcW w:w="2031" w:type="pct"/>
          </w:tcPr>
          <w:p w14:paraId="784FB615"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32</w:t>
            </w:r>
          </w:p>
        </w:tc>
        <w:tc>
          <w:tcPr>
            <w:tcW w:w="2262" w:type="pct"/>
          </w:tcPr>
          <w:p w14:paraId="25093B37"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7B25D29B" w14:textId="77777777" w:rsidTr="007B3A9E">
        <w:trPr>
          <w:cantSplit/>
          <w:trHeight w:val="290"/>
          <w:tblHeader/>
          <w:jc w:val="center"/>
        </w:trPr>
        <w:tc>
          <w:tcPr>
            <w:tcW w:w="707" w:type="pct"/>
          </w:tcPr>
          <w:p w14:paraId="7C787EAF"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540 to 569 calendar days</w:t>
            </w:r>
          </w:p>
        </w:tc>
        <w:tc>
          <w:tcPr>
            <w:tcW w:w="2031" w:type="pct"/>
          </w:tcPr>
          <w:p w14:paraId="35A0EF98"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24</w:t>
            </w:r>
          </w:p>
        </w:tc>
        <w:tc>
          <w:tcPr>
            <w:tcW w:w="2262" w:type="pct"/>
          </w:tcPr>
          <w:p w14:paraId="7A1462F9"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1286BE65" w14:textId="77777777" w:rsidTr="007B3A9E">
        <w:trPr>
          <w:cantSplit/>
          <w:trHeight w:val="290"/>
          <w:tblHeader/>
          <w:jc w:val="center"/>
        </w:trPr>
        <w:tc>
          <w:tcPr>
            <w:tcW w:w="707" w:type="pct"/>
          </w:tcPr>
          <w:p w14:paraId="750D70BA"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570 to 599 calendar days</w:t>
            </w:r>
          </w:p>
        </w:tc>
        <w:tc>
          <w:tcPr>
            <w:tcW w:w="2031" w:type="pct"/>
          </w:tcPr>
          <w:p w14:paraId="1FAA897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21</w:t>
            </w:r>
          </w:p>
        </w:tc>
        <w:tc>
          <w:tcPr>
            <w:tcW w:w="2262" w:type="pct"/>
          </w:tcPr>
          <w:p w14:paraId="6C68FB8A"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3E59C8EB" w14:textId="77777777" w:rsidTr="007B3A9E">
        <w:trPr>
          <w:cantSplit/>
          <w:trHeight w:val="290"/>
          <w:tblHeader/>
          <w:jc w:val="center"/>
        </w:trPr>
        <w:tc>
          <w:tcPr>
            <w:tcW w:w="707" w:type="pct"/>
          </w:tcPr>
          <w:p w14:paraId="5642D379"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600 to 629 calendar days</w:t>
            </w:r>
          </w:p>
        </w:tc>
        <w:tc>
          <w:tcPr>
            <w:tcW w:w="2031" w:type="pct"/>
          </w:tcPr>
          <w:p w14:paraId="5CB7BE4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11</w:t>
            </w:r>
          </w:p>
        </w:tc>
        <w:tc>
          <w:tcPr>
            <w:tcW w:w="2262" w:type="pct"/>
          </w:tcPr>
          <w:p w14:paraId="100C2E52"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04C326DB" w14:textId="77777777" w:rsidTr="007B3A9E">
        <w:trPr>
          <w:cantSplit/>
          <w:trHeight w:val="290"/>
          <w:tblHeader/>
          <w:jc w:val="center"/>
        </w:trPr>
        <w:tc>
          <w:tcPr>
            <w:tcW w:w="707" w:type="pct"/>
          </w:tcPr>
          <w:p w14:paraId="157DC401"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630 to 659 calendar days</w:t>
            </w:r>
          </w:p>
        </w:tc>
        <w:tc>
          <w:tcPr>
            <w:tcW w:w="2031" w:type="pct"/>
          </w:tcPr>
          <w:p w14:paraId="14D50BA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19</w:t>
            </w:r>
          </w:p>
        </w:tc>
        <w:tc>
          <w:tcPr>
            <w:tcW w:w="2262" w:type="pct"/>
          </w:tcPr>
          <w:p w14:paraId="4C2D6687"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63394DC3" w14:textId="77777777" w:rsidTr="007B3A9E">
        <w:trPr>
          <w:cantSplit/>
          <w:trHeight w:val="290"/>
          <w:tblHeader/>
          <w:jc w:val="center"/>
        </w:trPr>
        <w:tc>
          <w:tcPr>
            <w:tcW w:w="707" w:type="pct"/>
          </w:tcPr>
          <w:p w14:paraId="4DB662EB"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660 to 689 calendar days</w:t>
            </w:r>
          </w:p>
        </w:tc>
        <w:tc>
          <w:tcPr>
            <w:tcW w:w="2031" w:type="pct"/>
          </w:tcPr>
          <w:p w14:paraId="68FDB68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3</w:t>
            </w:r>
          </w:p>
        </w:tc>
        <w:tc>
          <w:tcPr>
            <w:tcW w:w="2262" w:type="pct"/>
          </w:tcPr>
          <w:p w14:paraId="685014C2"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1BFFF7D8" w14:textId="77777777" w:rsidTr="007B3A9E">
        <w:trPr>
          <w:cantSplit/>
          <w:trHeight w:val="290"/>
          <w:tblHeader/>
          <w:jc w:val="center"/>
        </w:trPr>
        <w:tc>
          <w:tcPr>
            <w:tcW w:w="707" w:type="pct"/>
          </w:tcPr>
          <w:p w14:paraId="28691246"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690 to 719 calendar days</w:t>
            </w:r>
          </w:p>
        </w:tc>
        <w:tc>
          <w:tcPr>
            <w:tcW w:w="2031" w:type="pct"/>
          </w:tcPr>
          <w:p w14:paraId="61EED880"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13</w:t>
            </w:r>
          </w:p>
        </w:tc>
        <w:tc>
          <w:tcPr>
            <w:tcW w:w="2262" w:type="pct"/>
          </w:tcPr>
          <w:p w14:paraId="22F494DF"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178C45FD" w14:textId="77777777" w:rsidTr="007B3A9E">
        <w:trPr>
          <w:cantSplit/>
          <w:trHeight w:val="302"/>
          <w:tblHeader/>
          <w:jc w:val="center"/>
        </w:trPr>
        <w:tc>
          <w:tcPr>
            <w:tcW w:w="707" w:type="pct"/>
          </w:tcPr>
          <w:p w14:paraId="45D3E239"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720 to 749 calendar days</w:t>
            </w:r>
          </w:p>
        </w:tc>
        <w:tc>
          <w:tcPr>
            <w:tcW w:w="2031" w:type="pct"/>
          </w:tcPr>
          <w:p w14:paraId="6C9A8CD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6</w:t>
            </w:r>
          </w:p>
        </w:tc>
        <w:tc>
          <w:tcPr>
            <w:tcW w:w="2262" w:type="pct"/>
          </w:tcPr>
          <w:p w14:paraId="001A99D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10D1E14B" w14:textId="77777777" w:rsidTr="007B3A9E">
        <w:trPr>
          <w:cantSplit/>
          <w:trHeight w:val="290"/>
          <w:tblHeader/>
          <w:jc w:val="center"/>
        </w:trPr>
        <w:tc>
          <w:tcPr>
            <w:tcW w:w="707" w:type="pct"/>
          </w:tcPr>
          <w:p w14:paraId="7B65CAEF"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750 to 779 calendar days</w:t>
            </w:r>
          </w:p>
        </w:tc>
        <w:tc>
          <w:tcPr>
            <w:tcW w:w="2031" w:type="pct"/>
          </w:tcPr>
          <w:p w14:paraId="0B271ABC"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5</w:t>
            </w:r>
          </w:p>
        </w:tc>
        <w:tc>
          <w:tcPr>
            <w:tcW w:w="2262" w:type="pct"/>
          </w:tcPr>
          <w:p w14:paraId="7639572A"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266982FB" w14:textId="77777777" w:rsidTr="007B3A9E">
        <w:trPr>
          <w:cantSplit/>
          <w:trHeight w:val="290"/>
          <w:tblHeader/>
          <w:jc w:val="center"/>
        </w:trPr>
        <w:tc>
          <w:tcPr>
            <w:tcW w:w="707" w:type="pct"/>
          </w:tcPr>
          <w:p w14:paraId="5EBCB79C"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780 to 809 calendar days</w:t>
            </w:r>
          </w:p>
        </w:tc>
        <w:tc>
          <w:tcPr>
            <w:tcW w:w="2031" w:type="pct"/>
          </w:tcPr>
          <w:p w14:paraId="08DCD2D0"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8</w:t>
            </w:r>
          </w:p>
        </w:tc>
        <w:tc>
          <w:tcPr>
            <w:tcW w:w="2262" w:type="pct"/>
          </w:tcPr>
          <w:p w14:paraId="1A9021B3"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0A9BAE70" w14:textId="77777777" w:rsidTr="007B3A9E">
        <w:trPr>
          <w:cantSplit/>
          <w:trHeight w:val="290"/>
          <w:tblHeader/>
          <w:jc w:val="center"/>
        </w:trPr>
        <w:tc>
          <w:tcPr>
            <w:tcW w:w="707" w:type="pct"/>
          </w:tcPr>
          <w:p w14:paraId="38D29E71"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810 to 839 calendar days</w:t>
            </w:r>
          </w:p>
        </w:tc>
        <w:tc>
          <w:tcPr>
            <w:tcW w:w="2031" w:type="pct"/>
          </w:tcPr>
          <w:p w14:paraId="031524EE"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4</w:t>
            </w:r>
          </w:p>
        </w:tc>
        <w:tc>
          <w:tcPr>
            <w:tcW w:w="2262" w:type="pct"/>
          </w:tcPr>
          <w:p w14:paraId="5D3663B3"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3E2E3638" w14:textId="77777777" w:rsidTr="007B3A9E">
        <w:trPr>
          <w:cantSplit/>
          <w:trHeight w:val="290"/>
          <w:tblHeader/>
          <w:jc w:val="center"/>
        </w:trPr>
        <w:tc>
          <w:tcPr>
            <w:tcW w:w="707" w:type="pct"/>
          </w:tcPr>
          <w:p w14:paraId="117FB217"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840 to 869 calendar days</w:t>
            </w:r>
          </w:p>
        </w:tc>
        <w:tc>
          <w:tcPr>
            <w:tcW w:w="2031" w:type="pct"/>
          </w:tcPr>
          <w:p w14:paraId="6ADFE70F"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10</w:t>
            </w:r>
          </w:p>
        </w:tc>
        <w:tc>
          <w:tcPr>
            <w:tcW w:w="2262" w:type="pct"/>
          </w:tcPr>
          <w:p w14:paraId="2AB007F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355513EE" w14:textId="77777777" w:rsidTr="007B3A9E">
        <w:trPr>
          <w:cantSplit/>
          <w:trHeight w:val="290"/>
          <w:tblHeader/>
          <w:jc w:val="center"/>
        </w:trPr>
        <w:tc>
          <w:tcPr>
            <w:tcW w:w="707" w:type="pct"/>
          </w:tcPr>
          <w:p w14:paraId="0DE2D19F"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870 to 899 calendar days</w:t>
            </w:r>
          </w:p>
        </w:tc>
        <w:tc>
          <w:tcPr>
            <w:tcW w:w="2031" w:type="pct"/>
          </w:tcPr>
          <w:p w14:paraId="51907AFB"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4</w:t>
            </w:r>
          </w:p>
        </w:tc>
        <w:tc>
          <w:tcPr>
            <w:tcW w:w="2262" w:type="pct"/>
          </w:tcPr>
          <w:p w14:paraId="2ECACE32"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465C801B" w14:textId="77777777" w:rsidTr="007B3A9E">
        <w:trPr>
          <w:cantSplit/>
          <w:trHeight w:val="290"/>
          <w:tblHeader/>
          <w:jc w:val="center"/>
        </w:trPr>
        <w:tc>
          <w:tcPr>
            <w:tcW w:w="707" w:type="pct"/>
          </w:tcPr>
          <w:p w14:paraId="1BEA5B0B"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900 to 929 calendar days</w:t>
            </w:r>
          </w:p>
        </w:tc>
        <w:tc>
          <w:tcPr>
            <w:tcW w:w="2031" w:type="pct"/>
          </w:tcPr>
          <w:p w14:paraId="08B376B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5</w:t>
            </w:r>
          </w:p>
        </w:tc>
        <w:tc>
          <w:tcPr>
            <w:tcW w:w="2262" w:type="pct"/>
          </w:tcPr>
          <w:p w14:paraId="67DDE30E"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567E2968" w14:textId="77777777" w:rsidTr="007B3A9E">
        <w:trPr>
          <w:cantSplit/>
          <w:trHeight w:val="290"/>
          <w:tblHeader/>
          <w:jc w:val="center"/>
        </w:trPr>
        <w:tc>
          <w:tcPr>
            <w:tcW w:w="707" w:type="pct"/>
          </w:tcPr>
          <w:p w14:paraId="65AB547D"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930 to 959 calendar days</w:t>
            </w:r>
          </w:p>
        </w:tc>
        <w:tc>
          <w:tcPr>
            <w:tcW w:w="2031" w:type="pct"/>
          </w:tcPr>
          <w:p w14:paraId="78D52097"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5</w:t>
            </w:r>
          </w:p>
        </w:tc>
        <w:tc>
          <w:tcPr>
            <w:tcW w:w="2262" w:type="pct"/>
          </w:tcPr>
          <w:p w14:paraId="23503140"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59580EA2" w14:textId="77777777" w:rsidTr="007B3A9E">
        <w:trPr>
          <w:cantSplit/>
          <w:trHeight w:val="290"/>
          <w:tblHeader/>
          <w:jc w:val="center"/>
        </w:trPr>
        <w:tc>
          <w:tcPr>
            <w:tcW w:w="707" w:type="pct"/>
          </w:tcPr>
          <w:p w14:paraId="41076DB9"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960 to 989 calendar days</w:t>
            </w:r>
          </w:p>
        </w:tc>
        <w:tc>
          <w:tcPr>
            <w:tcW w:w="2031" w:type="pct"/>
          </w:tcPr>
          <w:p w14:paraId="55091E1C"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3</w:t>
            </w:r>
          </w:p>
        </w:tc>
        <w:tc>
          <w:tcPr>
            <w:tcW w:w="2262" w:type="pct"/>
          </w:tcPr>
          <w:p w14:paraId="59D4F216"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0B3767" w:rsidRPr="00FC60BB" w14:paraId="72AA78B0" w14:textId="77777777" w:rsidTr="007B3A9E">
        <w:trPr>
          <w:cantSplit/>
          <w:trHeight w:val="290"/>
          <w:tblHeader/>
          <w:jc w:val="center"/>
        </w:trPr>
        <w:tc>
          <w:tcPr>
            <w:tcW w:w="707" w:type="pct"/>
          </w:tcPr>
          <w:p w14:paraId="2236321F" w14:textId="77777777" w:rsidR="000B3767" w:rsidRPr="00FC60BB" w:rsidRDefault="000B3767"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More than 990 calendar days</w:t>
            </w:r>
          </w:p>
        </w:tc>
        <w:tc>
          <w:tcPr>
            <w:tcW w:w="2031" w:type="pct"/>
          </w:tcPr>
          <w:p w14:paraId="142D9DDD"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sz w:val="22"/>
                <w:szCs w:val="22"/>
                <w:lang w:val="en-CA"/>
              </w:rPr>
              <w:t>23</w:t>
            </w:r>
          </w:p>
        </w:tc>
        <w:tc>
          <w:tcPr>
            <w:tcW w:w="2262" w:type="pct"/>
          </w:tcPr>
          <w:p w14:paraId="350DEF84" w14:textId="77777777" w:rsidR="000B3767" w:rsidRPr="00FC60BB" w:rsidRDefault="000B3767"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bl>
    <w:p w14:paraId="10E4DAB2" w14:textId="77777777" w:rsidR="00607E99" w:rsidRPr="00FC60BB" w:rsidRDefault="00607E99" w:rsidP="007B1B27">
      <w:pPr>
        <w:pStyle w:val="Level1"/>
        <w:tabs>
          <w:tab w:val="left" w:pos="-1440"/>
        </w:tabs>
        <w:autoSpaceDE w:val="0"/>
        <w:autoSpaceDN w:val="0"/>
        <w:adjustRightInd w:val="0"/>
        <w:spacing w:after="120" w:line="20" w:lineRule="atLeast"/>
        <w:rPr>
          <w:rFonts w:ascii="Arial" w:hAnsi="Arial" w:cs="Arial"/>
          <w:sz w:val="22"/>
          <w:szCs w:val="22"/>
          <w:lang w:val="en-CA"/>
        </w:rPr>
        <w:sectPr w:rsidR="00607E99" w:rsidRPr="00FC60BB" w:rsidSect="00607E99">
          <w:footnotePr>
            <w:numFmt w:val="lowerLetter"/>
          </w:footnotePr>
          <w:endnotePr>
            <w:numFmt w:val="lowerLetter"/>
          </w:endnotePr>
          <w:pgSz w:w="24480" w:h="15840" w:orient="landscape" w:code="3"/>
          <w:pgMar w:top="720" w:right="720" w:bottom="720" w:left="720" w:header="284" w:footer="284" w:gutter="0"/>
          <w:cols w:space="720"/>
          <w:docGrid w:linePitch="326"/>
        </w:sectPr>
      </w:pPr>
    </w:p>
    <w:p w14:paraId="36A6A1BA" w14:textId="77777777" w:rsidR="007C1D51" w:rsidRPr="00FC60BB" w:rsidRDefault="000B3767" w:rsidP="00D41BC9">
      <w:pPr>
        <w:pStyle w:val="Heading1"/>
        <w:spacing w:before="120" w:after="120"/>
        <w:rPr>
          <w:lang w:val="en-CA"/>
        </w:rPr>
      </w:pPr>
      <w:r w:rsidRPr="00FC60BB">
        <w:rPr>
          <w:lang w:val="en-CA"/>
        </w:rPr>
        <w:lastRenderedPageBreak/>
        <w:t>External time to staff</w:t>
      </w:r>
    </w:p>
    <w:p w14:paraId="319725DA" w14:textId="77777777" w:rsidR="000B3767" w:rsidRPr="00FC60BB" w:rsidRDefault="007C1D51" w:rsidP="000B3767">
      <w:pPr>
        <w:pStyle w:val="Level1"/>
        <w:keepNext/>
        <w:tabs>
          <w:tab w:val="left" w:pos="-1440"/>
        </w:tabs>
        <w:autoSpaceDE w:val="0"/>
        <w:autoSpaceDN w:val="0"/>
        <w:adjustRightInd w:val="0"/>
        <w:spacing w:after="120" w:line="20" w:lineRule="atLeast"/>
        <w:jc w:val="center"/>
        <w:rPr>
          <w:lang w:val="en-CA"/>
        </w:rPr>
      </w:pPr>
      <w:r w:rsidRPr="00FC60BB">
        <w:rPr>
          <w:noProof/>
          <w:lang w:val="en-CA" w:eastAsia="en-CA"/>
        </w:rPr>
        <w:drawing>
          <wp:inline distT="0" distB="0" distL="0" distR="0" wp14:anchorId="76979159" wp14:editId="2FAFF466">
            <wp:extent cx="5648400" cy="3049200"/>
            <wp:effectExtent l="0" t="0" r="9525" b="18415"/>
            <wp:docPr id="21" name="Chart 21" descr="External time to staff - Public service median = 186 day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93E867" w14:textId="79ECF188" w:rsidR="007C1D51" w:rsidRPr="00167C11" w:rsidRDefault="000B3767" w:rsidP="00D41BC9">
      <w:pPr>
        <w:pStyle w:val="Caption"/>
        <w:spacing w:after="240"/>
        <w:jc w:val="center"/>
        <w:rPr>
          <w:rFonts w:asciiTheme="minorHAnsi" w:hAnsiTheme="minorHAnsi" w:cstheme="minorHAnsi"/>
          <w:i w:val="0"/>
          <w:color w:val="auto"/>
          <w:sz w:val="22"/>
          <w:szCs w:val="22"/>
          <w:lang w:val="en-CA"/>
        </w:rPr>
      </w:pPr>
      <w:r w:rsidRPr="00167C11">
        <w:rPr>
          <w:rFonts w:asciiTheme="minorHAnsi" w:hAnsiTheme="minorHAnsi" w:cstheme="minorHAnsi"/>
          <w:i w:val="0"/>
          <w:color w:val="auto"/>
          <w:lang w:val="en-CA"/>
        </w:rPr>
        <w:t xml:space="preserve">Figure </w:t>
      </w:r>
      <w:r w:rsidRPr="00167C11">
        <w:rPr>
          <w:rFonts w:asciiTheme="minorHAnsi" w:hAnsiTheme="minorHAnsi" w:cstheme="minorHAnsi"/>
          <w:i w:val="0"/>
          <w:color w:val="auto"/>
          <w:lang w:val="en-CA"/>
        </w:rPr>
        <w:fldChar w:fldCharType="begin"/>
      </w:r>
      <w:r w:rsidRPr="00167C11">
        <w:rPr>
          <w:rFonts w:asciiTheme="minorHAnsi" w:hAnsiTheme="minorHAnsi" w:cstheme="minorHAnsi"/>
          <w:i w:val="0"/>
          <w:color w:val="auto"/>
          <w:lang w:val="en-CA"/>
        </w:rPr>
        <w:instrText xml:space="preserve"> SEQ Figure \* ARABIC </w:instrText>
      </w:r>
      <w:r w:rsidRPr="00167C11">
        <w:rPr>
          <w:rFonts w:asciiTheme="minorHAnsi" w:hAnsiTheme="minorHAnsi" w:cstheme="minorHAnsi"/>
          <w:i w:val="0"/>
          <w:color w:val="auto"/>
          <w:lang w:val="en-CA"/>
        </w:rPr>
        <w:fldChar w:fldCharType="separate"/>
      </w:r>
      <w:r w:rsidRPr="00167C11">
        <w:rPr>
          <w:rFonts w:asciiTheme="minorHAnsi" w:hAnsiTheme="minorHAnsi" w:cstheme="minorHAnsi"/>
          <w:i w:val="0"/>
          <w:noProof/>
          <w:color w:val="auto"/>
          <w:lang w:val="en-CA"/>
        </w:rPr>
        <w:t>13</w:t>
      </w:r>
      <w:r w:rsidRPr="00167C11">
        <w:rPr>
          <w:rFonts w:asciiTheme="minorHAnsi" w:hAnsiTheme="minorHAnsi" w:cstheme="minorHAnsi"/>
          <w:i w:val="0"/>
          <w:color w:val="auto"/>
          <w:lang w:val="en-CA"/>
        </w:rPr>
        <w:fldChar w:fldCharType="end"/>
      </w:r>
      <w:r w:rsidRPr="00167C11">
        <w:rPr>
          <w:rFonts w:asciiTheme="minorHAnsi" w:hAnsiTheme="minorHAnsi" w:cstheme="minorHAnsi"/>
          <w:i w:val="0"/>
          <w:color w:val="auto"/>
          <w:lang w:val="en-CA"/>
        </w:rPr>
        <w:t xml:space="preserve"> - External time to staff</w:t>
      </w:r>
      <w:r w:rsidR="008009D0" w:rsidRPr="00167C11">
        <w:rPr>
          <w:rFonts w:asciiTheme="minorHAnsi" w:hAnsiTheme="minorHAnsi" w:cstheme="minorHAnsi"/>
          <w:i w:val="0"/>
          <w:color w:val="auto"/>
          <w:lang w:val="en-CA"/>
        </w:rPr>
        <w:t xml:space="preserve"> </w:t>
      </w:r>
      <w:r w:rsidR="00BA7415">
        <w:rPr>
          <w:rFonts w:asciiTheme="minorHAnsi" w:hAnsiTheme="minorHAnsi" w:cstheme="minorHAnsi"/>
          <w:i w:val="0"/>
          <w:color w:val="auto"/>
          <w:lang w:val="en-CA"/>
        </w:rPr>
        <w:t>Public service median = 186 day</w:t>
      </w:r>
      <w:r w:rsidR="008009D0" w:rsidRPr="00167C11">
        <w:rPr>
          <w:rFonts w:asciiTheme="minorHAnsi" w:hAnsiTheme="minorHAnsi" w:cstheme="minorHAnsi"/>
          <w:i w:val="0"/>
          <w:color w:val="auto"/>
          <w:lang w:val="en-CA"/>
        </w:rPr>
        <w:t>s, 2018-</w:t>
      </w:r>
      <w:r w:rsidR="00D41BC9">
        <w:rPr>
          <w:rFonts w:asciiTheme="minorHAnsi" w:hAnsiTheme="minorHAnsi" w:cstheme="minorHAnsi"/>
          <w:i w:val="0"/>
          <w:color w:val="auto"/>
          <w:lang w:val="en-CA"/>
        </w:rPr>
        <w:t>20</w:t>
      </w:r>
      <w:r w:rsidR="008009D0" w:rsidRPr="00167C11">
        <w:rPr>
          <w:rFonts w:asciiTheme="minorHAnsi" w:hAnsiTheme="minorHAnsi" w:cstheme="minorHAnsi"/>
          <w:i w:val="0"/>
          <w:color w:val="auto"/>
          <w:lang w:val="en-CA"/>
        </w:rPr>
        <w:t>19</w:t>
      </w:r>
      <w:r w:rsidR="00413CA9" w:rsidRPr="00167C11">
        <w:rPr>
          <w:rFonts w:asciiTheme="minorHAnsi" w:hAnsiTheme="minorHAnsi" w:cstheme="minorHAnsi"/>
          <w:i w:val="0"/>
          <w:color w:val="auto"/>
          <w:lang w:val="en-CA"/>
        </w:rPr>
        <w:t xml:space="preserve"> </w:t>
      </w:r>
    </w:p>
    <w:p w14:paraId="5B47607A" w14:textId="77777777" w:rsidR="008009D0" w:rsidRPr="00FC60BB" w:rsidRDefault="002B597B" w:rsidP="008009D0">
      <w:pPr>
        <w:spacing w:after="240"/>
        <w:rPr>
          <w:rFonts w:asciiTheme="minorHAnsi" w:hAnsiTheme="minorHAnsi" w:cstheme="minorHAnsi"/>
          <w:sz w:val="22"/>
          <w:lang w:val="en-CA"/>
        </w:rPr>
      </w:pPr>
      <w:hyperlink w:anchor="External_Time_To_Staff" w:history="1">
        <w:r w:rsidR="008009D0" w:rsidRPr="00FC60BB">
          <w:rPr>
            <w:rStyle w:val="Hyperlink"/>
            <w:rFonts w:asciiTheme="minorHAnsi" w:hAnsiTheme="minorHAnsi" w:cstheme="minorHAnsi"/>
            <w:sz w:val="22"/>
            <w:lang w:val="en-CA"/>
          </w:rPr>
          <w:t>External time to staff data table available here</w:t>
        </w:r>
      </w:hyperlink>
      <w:r w:rsidR="008009D0" w:rsidRPr="00FC60BB">
        <w:rPr>
          <w:rFonts w:asciiTheme="minorHAnsi" w:hAnsiTheme="minorHAnsi" w:cstheme="minorHAnsi"/>
          <w:sz w:val="22"/>
          <w:lang w:val="en-CA"/>
        </w:rPr>
        <w:t>.</w:t>
      </w:r>
    </w:p>
    <w:p w14:paraId="5C4D16D7" w14:textId="77777777" w:rsidR="008009D0" w:rsidRPr="00FC60BB" w:rsidRDefault="008009D0" w:rsidP="008009D0">
      <w:pPr>
        <w:spacing w:after="120"/>
        <w:rPr>
          <w:rFonts w:asciiTheme="minorHAnsi" w:hAnsiTheme="minorHAnsi" w:cstheme="minorHAnsi"/>
          <w:b/>
          <w:sz w:val="22"/>
          <w:szCs w:val="24"/>
          <w:lang w:val="en-CA"/>
        </w:rPr>
      </w:pPr>
      <w:r w:rsidRPr="00FC60BB">
        <w:rPr>
          <w:rFonts w:asciiTheme="minorHAnsi" w:hAnsiTheme="minorHAnsi" w:cstheme="minorHAnsi"/>
          <w:b/>
          <w:sz w:val="22"/>
          <w:szCs w:val="24"/>
          <w:lang w:val="en-CA"/>
        </w:rPr>
        <w:t xml:space="preserve">External time to staff </w:t>
      </w:r>
    </w:p>
    <w:p w14:paraId="14720CE0" w14:textId="77777777" w:rsidR="008009D0" w:rsidRPr="00FC60BB" w:rsidRDefault="008009D0" w:rsidP="008009D0">
      <w:pPr>
        <w:spacing w:after="120"/>
        <w:rPr>
          <w:rFonts w:asciiTheme="minorHAnsi" w:hAnsiTheme="minorHAnsi" w:cstheme="minorHAnsi"/>
          <w:sz w:val="22"/>
          <w:szCs w:val="24"/>
          <w:lang w:val="en-CA"/>
        </w:rPr>
      </w:pPr>
      <w:r w:rsidRPr="00FC60BB">
        <w:rPr>
          <w:rFonts w:asciiTheme="minorHAnsi" w:hAnsiTheme="minorHAnsi" w:cstheme="minorHAnsi"/>
          <w:sz w:val="22"/>
          <w:szCs w:val="24"/>
          <w:lang w:val="en-CA"/>
        </w:rPr>
        <w:t>The data is insufficient for providing results on internal process times for the Administrative Tribunals Support Service of Canada</w:t>
      </w:r>
    </w:p>
    <w:p w14:paraId="7664ADE3" w14:textId="77777777" w:rsidR="008009D0" w:rsidRPr="00FC60BB" w:rsidRDefault="008009D0" w:rsidP="008009D0">
      <w:pPr>
        <w:spacing w:after="120"/>
        <w:rPr>
          <w:rFonts w:asciiTheme="minorHAnsi" w:hAnsiTheme="minorHAnsi" w:cstheme="minorHAnsi"/>
          <w:sz w:val="22"/>
          <w:szCs w:val="24"/>
          <w:lang w:val="en-CA"/>
        </w:rPr>
      </w:pPr>
      <w:r w:rsidRPr="00FC60BB">
        <w:rPr>
          <w:rFonts w:asciiTheme="minorHAnsi" w:hAnsiTheme="minorHAnsi" w:cstheme="minorHAnsi"/>
          <w:sz w:val="22"/>
          <w:lang w:val="en-CA"/>
        </w:rPr>
        <w:t>External time to staff is calculated as the number of calendar days between the opening date of the advertisement and the date of the first notification</w:t>
      </w:r>
    </w:p>
    <w:p w14:paraId="0F6FC65E" w14:textId="77777777" w:rsidR="008009D0" w:rsidRPr="00FC60BB" w:rsidRDefault="008009D0" w:rsidP="008009D0">
      <w:pPr>
        <w:tabs>
          <w:tab w:val="left" w:pos="4788"/>
        </w:tabs>
        <w:spacing w:after="120"/>
        <w:rPr>
          <w:rStyle w:val="Strong"/>
          <w:rFonts w:cstheme="minorHAnsi"/>
          <w:szCs w:val="24"/>
          <w:lang w:val="en-CA"/>
        </w:rPr>
      </w:pPr>
      <w:r w:rsidRPr="00FC60BB">
        <w:rPr>
          <w:rStyle w:val="Strong"/>
          <w:rFonts w:cstheme="minorHAnsi"/>
          <w:szCs w:val="24"/>
          <w:lang w:val="en-CA"/>
        </w:rPr>
        <w:t>External time to staff for fiscal year 2018 to 2019</w:t>
      </w:r>
    </w:p>
    <w:p w14:paraId="4E19C303" w14:textId="77777777" w:rsidR="008009D0" w:rsidRPr="00FC60BB" w:rsidRDefault="008009D0" w:rsidP="008009D0">
      <w:pPr>
        <w:spacing w:after="120"/>
        <w:rPr>
          <w:rFonts w:asciiTheme="minorHAnsi" w:hAnsiTheme="minorHAnsi" w:cstheme="minorHAnsi"/>
          <w:sz w:val="22"/>
          <w:szCs w:val="24"/>
          <w:lang w:val="en-CA"/>
        </w:rPr>
      </w:pPr>
      <w:r w:rsidRPr="00FC60BB">
        <w:rPr>
          <w:rFonts w:asciiTheme="minorHAnsi" w:hAnsiTheme="minorHAnsi" w:cstheme="minorHAnsi"/>
          <w:sz w:val="22"/>
          <w:szCs w:val="24"/>
          <w:lang w:val="en-CA"/>
        </w:rPr>
        <w:t xml:space="preserve">The median internal time to staff for the public service (organizations subject to the </w:t>
      </w:r>
      <w:r w:rsidRPr="0050539C">
        <w:rPr>
          <w:rStyle w:val="Emphasis"/>
          <w:i/>
        </w:rPr>
        <w:t>Public Service Employment Act</w:t>
      </w:r>
      <w:r w:rsidRPr="00FC60BB">
        <w:rPr>
          <w:rFonts w:asciiTheme="minorHAnsi" w:hAnsiTheme="minorHAnsi" w:cstheme="minorHAnsi"/>
          <w:sz w:val="22"/>
          <w:szCs w:val="24"/>
          <w:lang w:val="en-CA"/>
        </w:rPr>
        <w:t>) for fiscal year 2018 to 2019 is 186 days</w:t>
      </w:r>
    </w:p>
    <w:p w14:paraId="4D5B3324" w14:textId="77777777" w:rsidR="005D7855" w:rsidRPr="00FC60BB" w:rsidRDefault="005D7855" w:rsidP="005D7855">
      <w:pPr>
        <w:pStyle w:val="Heading3"/>
        <w:rPr>
          <w:sz w:val="22"/>
          <w:lang w:val="en-CA"/>
        </w:rPr>
        <w:sectPr w:rsidR="005D7855" w:rsidRPr="00FC60BB" w:rsidSect="007C1D51">
          <w:footnotePr>
            <w:numFmt w:val="lowerLetter"/>
          </w:footnotePr>
          <w:endnotePr>
            <w:numFmt w:val="lowerLetter"/>
          </w:endnotePr>
          <w:pgSz w:w="20160" w:h="12240" w:orient="landscape" w:code="5"/>
          <w:pgMar w:top="720" w:right="720" w:bottom="720" w:left="720" w:header="284" w:footer="284" w:gutter="0"/>
          <w:cols w:space="720"/>
          <w:docGrid w:linePitch="326"/>
        </w:sectPr>
      </w:pPr>
    </w:p>
    <w:p w14:paraId="3EC5B8E1" w14:textId="77777777" w:rsidR="008009D0" w:rsidRPr="00FC60BB" w:rsidRDefault="008009D0" w:rsidP="00697406">
      <w:pPr>
        <w:pStyle w:val="Heading1"/>
        <w:spacing w:before="120" w:after="120"/>
        <w:rPr>
          <w:rFonts w:eastAsiaTheme="minorHAnsi"/>
          <w:lang w:val="en-CA"/>
        </w:rPr>
      </w:pPr>
      <w:r w:rsidRPr="00FC60BB">
        <w:rPr>
          <w:rFonts w:eastAsiaTheme="minorHAnsi"/>
          <w:lang w:val="en-CA"/>
        </w:rPr>
        <w:lastRenderedPageBreak/>
        <w:t>External time to staff</w:t>
      </w:r>
    </w:p>
    <w:p w14:paraId="4252708C" w14:textId="77777777" w:rsidR="008009D0" w:rsidRPr="00FC60BB" w:rsidRDefault="008009D0" w:rsidP="008009D0">
      <w:pPr>
        <w:pStyle w:val="Caption"/>
        <w:keepNext/>
        <w:spacing w:after="0"/>
        <w:rPr>
          <w:rFonts w:asciiTheme="minorHAnsi" w:hAnsiTheme="minorHAnsi" w:cstheme="minorHAnsi"/>
          <w:i w:val="0"/>
          <w:color w:val="auto"/>
          <w:lang w:val="en-CA"/>
        </w:rPr>
      </w:pPr>
      <w:r w:rsidRPr="00FC60BB">
        <w:rPr>
          <w:rFonts w:asciiTheme="minorHAnsi" w:hAnsiTheme="minorHAnsi" w:cstheme="minorHAnsi"/>
          <w:i w:val="0"/>
          <w:color w:val="auto"/>
          <w:lang w:val="en-CA"/>
        </w:rPr>
        <w:t xml:space="preserve">Table </w:t>
      </w:r>
      <w:r w:rsidRPr="00FC60BB">
        <w:rPr>
          <w:rFonts w:asciiTheme="minorHAnsi" w:hAnsiTheme="minorHAnsi" w:cstheme="minorHAnsi"/>
          <w:i w:val="0"/>
          <w:color w:val="auto"/>
          <w:lang w:val="en-CA"/>
        </w:rPr>
        <w:fldChar w:fldCharType="begin"/>
      </w:r>
      <w:r w:rsidRPr="00FC60BB">
        <w:rPr>
          <w:rFonts w:asciiTheme="minorHAnsi" w:hAnsiTheme="minorHAnsi" w:cstheme="minorHAnsi"/>
          <w:i w:val="0"/>
          <w:color w:val="auto"/>
          <w:lang w:val="en-CA"/>
        </w:rPr>
        <w:instrText xml:space="preserve"> SEQ Table \* ARABIC </w:instrText>
      </w:r>
      <w:r w:rsidRPr="00FC60BB">
        <w:rPr>
          <w:rFonts w:asciiTheme="minorHAnsi" w:hAnsiTheme="minorHAnsi" w:cstheme="minorHAnsi"/>
          <w:i w:val="0"/>
          <w:color w:val="auto"/>
          <w:lang w:val="en-CA"/>
        </w:rPr>
        <w:fldChar w:fldCharType="separate"/>
      </w:r>
      <w:r w:rsidRPr="00FC60BB">
        <w:rPr>
          <w:rFonts w:asciiTheme="minorHAnsi" w:hAnsiTheme="minorHAnsi" w:cstheme="minorHAnsi"/>
          <w:i w:val="0"/>
          <w:noProof/>
          <w:color w:val="auto"/>
          <w:lang w:val="en-CA"/>
        </w:rPr>
        <w:t>16</w:t>
      </w:r>
      <w:r w:rsidRPr="00FC60BB">
        <w:rPr>
          <w:rFonts w:asciiTheme="minorHAnsi" w:hAnsiTheme="minorHAnsi" w:cstheme="minorHAnsi"/>
          <w:i w:val="0"/>
          <w:color w:val="auto"/>
          <w:lang w:val="en-CA"/>
        </w:rPr>
        <w:fldChar w:fldCharType="end"/>
      </w:r>
      <w:r w:rsidRPr="00FC60BB">
        <w:rPr>
          <w:rFonts w:asciiTheme="minorHAnsi" w:hAnsiTheme="minorHAnsi" w:cstheme="minorHAnsi"/>
          <w:i w:val="0"/>
          <w:color w:val="auto"/>
          <w:lang w:val="en-CA"/>
        </w:rPr>
        <w:t xml:space="preserve"> - External time to staff</w:t>
      </w:r>
    </w:p>
    <w:tbl>
      <w:tblPr>
        <w:tblStyle w:val="TableGrid"/>
        <w:tblW w:w="5000" w:type="pct"/>
        <w:jc w:val="center"/>
        <w:tblLook w:val="0020" w:firstRow="1" w:lastRow="0" w:firstColumn="0" w:lastColumn="0" w:noHBand="0" w:noVBand="0"/>
        <w:tblDescription w:val="External time to staff"/>
      </w:tblPr>
      <w:tblGrid>
        <w:gridCol w:w="3541"/>
        <w:gridCol w:w="9638"/>
        <w:gridCol w:w="8411"/>
      </w:tblGrid>
      <w:tr w:rsidR="008009D0" w:rsidRPr="00FC60BB" w14:paraId="330B09A9" w14:textId="77777777" w:rsidTr="007B3A9E">
        <w:trPr>
          <w:cantSplit/>
          <w:trHeight w:val="827"/>
          <w:tblHeader/>
          <w:jc w:val="center"/>
        </w:trPr>
        <w:tc>
          <w:tcPr>
            <w:tcW w:w="820" w:type="pct"/>
          </w:tcPr>
          <w:p w14:paraId="6FB47868" w14:textId="77777777" w:rsidR="008009D0" w:rsidRPr="00FC60BB" w:rsidRDefault="008009D0" w:rsidP="00BA258A">
            <w:pPr>
              <w:pStyle w:val="TableTitle"/>
            </w:pPr>
            <w:bookmarkStart w:id="3" w:name="External_Time_To_Staff"/>
            <w:r w:rsidRPr="00FC60BB">
              <w:t>Number of calendar days</w:t>
            </w:r>
            <w:bookmarkEnd w:id="3"/>
          </w:p>
        </w:tc>
        <w:tc>
          <w:tcPr>
            <w:tcW w:w="2232" w:type="pct"/>
          </w:tcPr>
          <w:p w14:paraId="797C2DE8" w14:textId="77777777" w:rsidR="008009D0" w:rsidRPr="00FC60BB" w:rsidRDefault="008009D0" w:rsidP="00BA258A">
            <w:pPr>
              <w:pStyle w:val="TableTitle"/>
            </w:pPr>
            <w:r w:rsidRPr="00FC60BB">
              <w:t xml:space="preserve">The number of external appointment processes for which the TTS-EA was within the specified number of calendar days for organizations subject to the </w:t>
            </w:r>
            <w:r w:rsidRPr="0050539C">
              <w:rPr>
                <w:rStyle w:val="Emphasis"/>
                <w:b/>
                <w:i/>
              </w:rPr>
              <w:t>Public Service Employment Act</w:t>
            </w:r>
          </w:p>
        </w:tc>
        <w:tc>
          <w:tcPr>
            <w:tcW w:w="1948" w:type="pct"/>
          </w:tcPr>
          <w:p w14:paraId="2BFA0E80" w14:textId="77777777" w:rsidR="008009D0" w:rsidRPr="00FC60BB" w:rsidRDefault="008009D0" w:rsidP="00BA258A">
            <w:pPr>
              <w:pStyle w:val="TableTitle"/>
            </w:pPr>
            <w:r w:rsidRPr="00FC60BB">
              <w:t>The number of external appointment processes for which the TTS-EA was within the specified number of calendar days for the specified organization</w:t>
            </w:r>
          </w:p>
        </w:tc>
      </w:tr>
      <w:tr w:rsidR="008009D0" w:rsidRPr="00FC60BB" w14:paraId="3E94E2E2" w14:textId="77777777" w:rsidTr="007B3A9E">
        <w:trPr>
          <w:cantSplit/>
          <w:trHeight w:val="290"/>
          <w:tblHeader/>
          <w:jc w:val="center"/>
        </w:trPr>
        <w:tc>
          <w:tcPr>
            <w:tcW w:w="820" w:type="pct"/>
          </w:tcPr>
          <w:p w14:paraId="497E64F9"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 to 29 calendar days</w:t>
            </w:r>
          </w:p>
        </w:tc>
        <w:tc>
          <w:tcPr>
            <w:tcW w:w="2232" w:type="pct"/>
          </w:tcPr>
          <w:p w14:paraId="10F4705D"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49</w:t>
            </w:r>
          </w:p>
        </w:tc>
        <w:tc>
          <w:tcPr>
            <w:tcW w:w="1948" w:type="pct"/>
          </w:tcPr>
          <w:p w14:paraId="0C875357"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3ABC60CF" w14:textId="77777777" w:rsidTr="007B3A9E">
        <w:trPr>
          <w:cantSplit/>
          <w:trHeight w:val="290"/>
          <w:tblHeader/>
          <w:jc w:val="center"/>
        </w:trPr>
        <w:tc>
          <w:tcPr>
            <w:tcW w:w="820" w:type="pct"/>
          </w:tcPr>
          <w:p w14:paraId="70D0CD5E"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30 to 59 calendar days</w:t>
            </w:r>
          </w:p>
        </w:tc>
        <w:tc>
          <w:tcPr>
            <w:tcW w:w="2232" w:type="pct"/>
          </w:tcPr>
          <w:p w14:paraId="1563841D"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82</w:t>
            </w:r>
          </w:p>
        </w:tc>
        <w:tc>
          <w:tcPr>
            <w:tcW w:w="1948" w:type="pct"/>
          </w:tcPr>
          <w:p w14:paraId="25D014D8"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0304D3C7" w14:textId="77777777" w:rsidTr="007B3A9E">
        <w:trPr>
          <w:cantSplit/>
          <w:trHeight w:val="290"/>
          <w:tblHeader/>
          <w:jc w:val="center"/>
        </w:trPr>
        <w:tc>
          <w:tcPr>
            <w:tcW w:w="820" w:type="pct"/>
          </w:tcPr>
          <w:p w14:paraId="67DAC3D5"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60 to 89 calendar days</w:t>
            </w:r>
          </w:p>
        </w:tc>
        <w:tc>
          <w:tcPr>
            <w:tcW w:w="2232" w:type="pct"/>
          </w:tcPr>
          <w:p w14:paraId="4E97AC07"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124</w:t>
            </w:r>
          </w:p>
        </w:tc>
        <w:tc>
          <w:tcPr>
            <w:tcW w:w="1948" w:type="pct"/>
          </w:tcPr>
          <w:p w14:paraId="2BAF66BB"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46368279" w14:textId="77777777" w:rsidTr="007B3A9E">
        <w:trPr>
          <w:cantSplit/>
          <w:trHeight w:val="290"/>
          <w:tblHeader/>
          <w:jc w:val="center"/>
        </w:trPr>
        <w:tc>
          <w:tcPr>
            <w:tcW w:w="820" w:type="pct"/>
          </w:tcPr>
          <w:p w14:paraId="6B3D237A"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90 to 119 calendar days</w:t>
            </w:r>
          </w:p>
        </w:tc>
        <w:tc>
          <w:tcPr>
            <w:tcW w:w="2232" w:type="pct"/>
          </w:tcPr>
          <w:p w14:paraId="2386E347"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160</w:t>
            </w:r>
          </w:p>
        </w:tc>
        <w:tc>
          <w:tcPr>
            <w:tcW w:w="1948" w:type="pct"/>
          </w:tcPr>
          <w:p w14:paraId="08C9F130"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35B6615C" w14:textId="77777777" w:rsidTr="007B3A9E">
        <w:trPr>
          <w:cantSplit/>
          <w:trHeight w:val="290"/>
          <w:tblHeader/>
          <w:jc w:val="center"/>
        </w:trPr>
        <w:tc>
          <w:tcPr>
            <w:tcW w:w="820" w:type="pct"/>
          </w:tcPr>
          <w:p w14:paraId="3438331A"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120 to 149 calendar days</w:t>
            </w:r>
          </w:p>
        </w:tc>
        <w:tc>
          <w:tcPr>
            <w:tcW w:w="2232" w:type="pct"/>
          </w:tcPr>
          <w:p w14:paraId="6B0D296F"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181</w:t>
            </w:r>
          </w:p>
        </w:tc>
        <w:tc>
          <w:tcPr>
            <w:tcW w:w="1948" w:type="pct"/>
          </w:tcPr>
          <w:p w14:paraId="72FB81FB"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08DF617C" w14:textId="77777777" w:rsidTr="007B3A9E">
        <w:trPr>
          <w:cantSplit/>
          <w:trHeight w:val="290"/>
          <w:tblHeader/>
          <w:jc w:val="center"/>
        </w:trPr>
        <w:tc>
          <w:tcPr>
            <w:tcW w:w="820" w:type="pct"/>
          </w:tcPr>
          <w:p w14:paraId="30C1E4E8"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150 to 179 calendar days</w:t>
            </w:r>
          </w:p>
        </w:tc>
        <w:tc>
          <w:tcPr>
            <w:tcW w:w="2232" w:type="pct"/>
          </w:tcPr>
          <w:p w14:paraId="197773FF"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179</w:t>
            </w:r>
          </w:p>
        </w:tc>
        <w:tc>
          <w:tcPr>
            <w:tcW w:w="1948" w:type="pct"/>
          </w:tcPr>
          <w:p w14:paraId="16A9BDB4"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38582123" w14:textId="77777777" w:rsidTr="007B3A9E">
        <w:trPr>
          <w:cantSplit/>
          <w:trHeight w:val="290"/>
          <w:tblHeader/>
          <w:jc w:val="center"/>
        </w:trPr>
        <w:tc>
          <w:tcPr>
            <w:tcW w:w="820" w:type="pct"/>
          </w:tcPr>
          <w:p w14:paraId="7CAB8345"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180 to 209 calendar days</w:t>
            </w:r>
          </w:p>
        </w:tc>
        <w:tc>
          <w:tcPr>
            <w:tcW w:w="2232" w:type="pct"/>
          </w:tcPr>
          <w:p w14:paraId="5AD7FB3B"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160</w:t>
            </w:r>
          </w:p>
        </w:tc>
        <w:tc>
          <w:tcPr>
            <w:tcW w:w="1948" w:type="pct"/>
          </w:tcPr>
          <w:p w14:paraId="2ACDE85E"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6F6037B4" w14:textId="77777777" w:rsidTr="007B3A9E">
        <w:trPr>
          <w:cantSplit/>
          <w:trHeight w:val="290"/>
          <w:tblHeader/>
          <w:jc w:val="center"/>
        </w:trPr>
        <w:tc>
          <w:tcPr>
            <w:tcW w:w="820" w:type="pct"/>
          </w:tcPr>
          <w:p w14:paraId="27FBFE07"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210 to 239 calendar days</w:t>
            </w:r>
          </w:p>
        </w:tc>
        <w:tc>
          <w:tcPr>
            <w:tcW w:w="2232" w:type="pct"/>
          </w:tcPr>
          <w:p w14:paraId="094D22DF"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139</w:t>
            </w:r>
          </w:p>
        </w:tc>
        <w:tc>
          <w:tcPr>
            <w:tcW w:w="1948" w:type="pct"/>
          </w:tcPr>
          <w:p w14:paraId="6F3F6DB2"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54E9B47F" w14:textId="77777777" w:rsidTr="007B3A9E">
        <w:trPr>
          <w:cantSplit/>
          <w:trHeight w:val="290"/>
          <w:tblHeader/>
          <w:jc w:val="center"/>
        </w:trPr>
        <w:tc>
          <w:tcPr>
            <w:tcW w:w="820" w:type="pct"/>
          </w:tcPr>
          <w:p w14:paraId="5945DFE9"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240 to 269 calendar days</w:t>
            </w:r>
          </w:p>
        </w:tc>
        <w:tc>
          <w:tcPr>
            <w:tcW w:w="2232" w:type="pct"/>
          </w:tcPr>
          <w:p w14:paraId="68ABE0A8"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84</w:t>
            </w:r>
          </w:p>
        </w:tc>
        <w:tc>
          <w:tcPr>
            <w:tcW w:w="1948" w:type="pct"/>
          </w:tcPr>
          <w:p w14:paraId="24D68644"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75567740" w14:textId="77777777" w:rsidTr="007B3A9E">
        <w:trPr>
          <w:cantSplit/>
          <w:trHeight w:val="290"/>
          <w:tblHeader/>
          <w:jc w:val="center"/>
        </w:trPr>
        <w:tc>
          <w:tcPr>
            <w:tcW w:w="820" w:type="pct"/>
          </w:tcPr>
          <w:p w14:paraId="24BE4527"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270 to 299 calendar days</w:t>
            </w:r>
          </w:p>
        </w:tc>
        <w:tc>
          <w:tcPr>
            <w:tcW w:w="2232" w:type="pct"/>
          </w:tcPr>
          <w:p w14:paraId="326FBAEA"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73</w:t>
            </w:r>
          </w:p>
        </w:tc>
        <w:tc>
          <w:tcPr>
            <w:tcW w:w="1948" w:type="pct"/>
          </w:tcPr>
          <w:p w14:paraId="0362835F"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6277A2C2" w14:textId="77777777" w:rsidTr="007B3A9E">
        <w:trPr>
          <w:cantSplit/>
          <w:trHeight w:val="290"/>
          <w:tblHeader/>
          <w:jc w:val="center"/>
        </w:trPr>
        <w:tc>
          <w:tcPr>
            <w:tcW w:w="820" w:type="pct"/>
          </w:tcPr>
          <w:p w14:paraId="1129C4BE"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300 to 329 calendar days</w:t>
            </w:r>
          </w:p>
        </w:tc>
        <w:tc>
          <w:tcPr>
            <w:tcW w:w="2232" w:type="pct"/>
          </w:tcPr>
          <w:p w14:paraId="0A6D757C"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61</w:t>
            </w:r>
          </w:p>
        </w:tc>
        <w:tc>
          <w:tcPr>
            <w:tcW w:w="1948" w:type="pct"/>
          </w:tcPr>
          <w:p w14:paraId="2440BBF6"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501B9FFE" w14:textId="77777777" w:rsidTr="007B3A9E">
        <w:trPr>
          <w:cantSplit/>
          <w:trHeight w:val="290"/>
          <w:tblHeader/>
          <w:jc w:val="center"/>
        </w:trPr>
        <w:tc>
          <w:tcPr>
            <w:tcW w:w="820" w:type="pct"/>
          </w:tcPr>
          <w:p w14:paraId="22ABD6E0"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330 to 359 calendar days</w:t>
            </w:r>
          </w:p>
        </w:tc>
        <w:tc>
          <w:tcPr>
            <w:tcW w:w="2232" w:type="pct"/>
          </w:tcPr>
          <w:p w14:paraId="355F2685"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41</w:t>
            </w:r>
          </w:p>
        </w:tc>
        <w:tc>
          <w:tcPr>
            <w:tcW w:w="1948" w:type="pct"/>
          </w:tcPr>
          <w:p w14:paraId="1E55794F"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2242B935" w14:textId="77777777" w:rsidTr="007B3A9E">
        <w:trPr>
          <w:cantSplit/>
          <w:trHeight w:val="290"/>
          <w:tblHeader/>
          <w:jc w:val="center"/>
        </w:trPr>
        <w:tc>
          <w:tcPr>
            <w:tcW w:w="820" w:type="pct"/>
          </w:tcPr>
          <w:p w14:paraId="4ED5BA60"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360 to 389 calendar days</w:t>
            </w:r>
          </w:p>
        </w:tc>
        <w:tc>
          <w:tcPr>
            <w:tcW w:w="2232" w:type="pct"/>
          </w:tcPr>
          <w:p w14:paraId="785BCC50"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43</w:t>
            </w:r>
          </w:p>
        </w:tc>
        <w:tc>
          <w:tcPr>
            <w:tcW w:w="1948" w:type="pct"/>
          </w:tcPr>
          <w:p w14:paraId="74BA184A"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6BCDA1DB" w14:textId="77777777" w:rsidTr="007B3A9E">
        <w:trPr>
          <w:cantSplit/>
          <w:trHeight w:val="290"/>
          <w:tblHeader/>
          <w:jc w:val="center"/>
        </w:trPr>
        <w:tc>
          <w:tcPr>
            <w:tcW w:w="820" w:type="pct"/>
          </w:tcPr>
          <w:p w14:paraId="74C7F680"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390 to 419 calendar days</w:t>
            </w:r>
          </w:p>
        </w:tc>
        <w:tc>
          <w:tcPr>
            <w:tcW w:w="2232" w:type="pct"/>
          </w:tcPr>
          <w:p w14:paraId="36487AF2"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49</w:t>
            </w:r>
          </w:p>
        </w:tc>
        <w:tc>
          <w:tcPr>
            <w:tcW w:w="1948" w:type="pct"/>
          </w:tcPr>
          <w:p w14:paraId="15A165DE"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019C10ED" w14:textId="77777777" w:rsidTr="007B3A9E">
        <w:trPr>
          <w:cantSplit/>
          <w:trHeight w:val="290"/>
          <w:tblHeader/>
          <w:jc w:val="center"/>
        </w:trPr>
        <w:tc>
          <w:tcPr>
            <w:tcW w:w="820" w:type="pct"/>
          </w:tcPr>
          <w:p w14:paraId="4AC72ED7"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420 to 449 calendar days</w:t>
            </w:r>
          </w:p>
        </w:tc>
        <w:tc>
          <w:tcPr>
            <w:tcW w:w="2232" w:type="pct"/>
          </w:tcPr>
          <w:p w14:paraId="565CD7AE"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35</w:t>
            </w:r>
          </w:p>
        </w:tc>
        <w:tc>
          <w:tcPr>
            <w:tcW w:w="1948" w:type="pct"/>
          </w:tcPr>
          <w:p w14:paraId="42CB056D"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2ECE9B87" w14:textId="77777777" w:rsidTr="007B3A9E">
        <w:trPr>
          <w:cantSplit/>
          <w:trHeight w:val="290"/>
          <w:tblHeader/>
          <w:jc w:val="center"/>
        </w:trPr>
        <w:tc>
          <w:tcPr>
            <w:tcW w:w="820" w:type="pct"/>
          </w:tcPr>
          <w:p w14:paraId="5B41FDE8"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450 to 479 calendar days</w:t>
            </w:r>
          </w:p>
        </w:tc>
        <w:tc>
          <w:tcPr>
            <w:tcW w:w="2232" w:type="pct"/>
          </w:tcPr>
          <w:p w14:paraId="0DB694C3"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22</w:t>
            </w:r>
          </w:p>
        </w:tc>
        <w:tc>
          <w:tcPr>
            <w:tcW w:w="1948" w:type="pct"/>
          </w:tcPr>
          <w:p w14:paraId="3075B5DD"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7D690311" w14:textId="77777777" w:rsidTr="007B3A9E">
        <w:trPr>
          <w:cantSplit/>
          <w:trHeight w:val="290"/>
          <w:tblHeader/>
          <w:jc w:val="center"/>
        </w:trPr>
        <w:tc>
          <w:tcPr>
            <w:tcW w:w="820" w:type="pct"/>
          </w:tcPr>
          <w:p w14:paraId="47316561"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480 to 509 calendar days</w:t>
            </w:r>
          </w:p>
        </w:tc>
        <w:tc>
          <w:tcPr>
            <w:tcW w:w="2232" w:type="pct"/>
          </w:tcPr>
          <w:p w14:paraId="4D0B2430"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27</w:t>
            </w:r>
          </w:p>
        </w:tc>
        <w:tc>
          <w:tcPr>
            <w:tcW w:w="1948" w:type="pct"/>
          </w:tcPr>
          <w:p w14:paraId="3F781922"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5D500972" w14:textId="77777777" w:rsidTr="007B3A9E">
        <w:trPr>
          <w:cantSplit/>
          <w:trHeight w:val="290"/>
          <w:tblHeader/>
          <w:jc w:val="center"/>
        </w:trPr>
        <w:tc>
          <w:tcPr>
            <w:tcW w:w="820" w:type="pct"/>
          </w:tcPr>
          <w:p w14:paraId="40A79B96"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510 to 539 calendar days</w:t>
            </w:r>
          </w:p>
        </w:tc>
        <w:tc>
          <w:tcPr>
            <w:tcW w:w="2232" w:type="pct"/>
          </w:tcPr>
          <w:p w14:paraId="79089F6F"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17</w:t>
            </w:r>
          </w:p>
        </w:tc>
        <w:tc>
          <w:tcPr>
            <w:tcW w:w="1948" w:type="pct"/>
          </w:tcPr>
          <w:p w14:paraId="5AD94C46"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2693B241" w14:textId="77777777" w:rsidTr="007B3A9E">
        <w:trPr>
          <w:cantSplit/>
          <w:trHeight w:val="290"/>
          <w:tblHeader/>
          <w:jc w:val="center"/>
        </w:trPr>
        <w:tc>
          <w:tcPr>
            <w:tcW w:w="820" w:type="pct"/>
          </w:tcPr>
          <w:p w14:paraId="62874975"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540 to 569 calendar days</w:t>
            </w:r>
          </w:p>
        </w:tc>
        <w:tc>
          <w:tcPr>
            <w:tcW w:w="2232" w:type="pct"/>
          </w:tcPr>
          <w:p w14:paraId="7B19EEAF"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15</w:t>
            </w:r>
          </w:p>
        </w:tc>
        <w:tc>
          <w:tcPr>
            <w:tcW w:w="1948" w:type="pct"/>
          </w:tcPr>
          <w:p w14:paraId="2CE69FF8"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2BFBAEFA" w14:textId="77777777" w:rsidTr="007B3A9E">
        <w:trPr>
          <w:cantSplit/>
          <w:trHeight w:val="290"/>
          <w:tblHeader/>
          <w:jc w:val="center"/>
        </w:trPr>
        <w:tc>
          <w:tcPr>
            <w:tcW w:w="820" w:type="pct"/>
          </w:tcPr>
          <w:p w14:paraId="0B2A3432"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570 to 599 calendar days</w:t>
            </w:r>
          </w:p>
        </w:tc>
        <w:tc>
          <w:tcPr>
            <w:tcW w:w="2232" w:type="pct"/>
          </w:tcPr>
          <w:p w14:paraId="6D2107B3"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14</w:t>
            </w:r>
          </w:p>
        </w:tc>
        <w:tc>
          <w:tcPr>
            <w:tcW w:w="1948" w:type="pct"/>
          </w:tcPr>
          <w:p w14:paraId="27315E4E"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36C6A867" w14:textId="77777777" w:rsidTr="007B3A9E">
        <w:trPr>
          <w:cantSplit/>
          <w:trHeight w:val="290"/>
          <w:tblHeader/>
          <w:jc w:val="center"/>
        </w:trPr>
        <w:tc>
          <w:tcPr>
            <w:tcW w:w="820" w:type="pct"/>
          </w:tcPr>
          <w:p w14:paraId="71748216"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600 to 629 calendar days</w:t>
            </w:r>
          </w:p>
        </w:tc>
        <w:tc>
          <w:tcPr>
            <w:tcW w:w="2232" w:type="pct"/>
          </w:tcPr>
          <w:p w14:paraId="1DAF7AF5"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12</w:t>
            </w:r>
          </w:p>
        </w:tc>
        <w:tc>
          <w:tcPr>
            <w:tcW w:w="1948" w:type="pct"/>
          </w:tcPr>
          <w:p w14:paraId="700CD14F"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693D2E9B" w14:textId="77777777" w:rsidTr="007B3A9E">
        <w:trPr>
          <w:cantSplit/>
          <w:trHeight w:val="290"/>
          <w:tblHeader/>
          <w:jc w:val="center"/>
        </w:trPr>
        <w:tc>
          <w:tcPr>
            <w:tcW w:w="820" w:type="pct"/>
          </w:tcPr>
          <w:p w14:paraId="7E37560D"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630 to 659 calendar days</w:t>
            </w:r>
          </w:p>
        </w:tc>
        <w:tc>
          <w:tcPr>
            <w:tcW w:w="2232" w:type="pct"/>
          </w:tcPr>
          <w:p w14:paraId="2BED1A60"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w:t>
            </w:r>
          </w:p>
        </w:tc>
        <w:tc>
          <w:tcPr>
            <w:tcW w:w="1948" w:type="pct"/>
          </w:tcPr>
          <w:p w14:paraId="42198CD9"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4E44F6C9" w14:textId="77777777" w:rsidTr="007B3A9E">
        <w:trPr>
          <w:cantSplit/>
          <w:trHeight w:val="290"/>
          <w:tblHeader/>
          <w:jc w:val="center"/>
        </w:trPr>
        <w:tc>
          <w:tcPr>
            <w:tcW w:w="820" w:type="pct"/>
          </w:tcPr>
          <w:p w14:paraId="6B31DEFA"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660 to 689 calendar days</w:t>
            </w:r>
          </w:p>
        </w:tc>
        <w:tc>
          <w:tcPr>
            <w:tcW w:w="2232" w:type="pct"/>
          </w:tcPr>
          <w:p w14:paraId="73440185"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5</w:t>
            </w:r>
          </w:p>
        </w:tc>
        <w:tc>
          <w:tcPr>
            <w:tcW w:w="1948" w:type="pct"/>
          </w:tcPr>
          <w:p w14:paraId="12FB5051"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350E1C84" w14:textId="77777777" w:rsidTr="007B3A9E">
        <w:trPr>
          <w:cantSplit/>
          <w:trHeight w:val="290"/>
          <w:tblHeader/>
          <w:jc w:val="center"/>
        </w:trPr>
        <w:tc>
          <w:tcPr>
            <w:tcW w:w="820" w:type="pct"/>
          </w:tcPr>
          <w:p w14:paraId="46BC622C"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690 to 719 calendar days</w:t>
            </w:r>
          </w:p>
        </w:tc>
        <w:tc>
          <w:tcPr>
            <w:tcW w:w="2232" w:type="pct"/>
          </w:tcPr>
          <w:p w14:paraId="440F1411"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w:t>
            </w:r>
          </w:p>
        </w:tc>
        <w:tc>
          <w:tcPr>
            <w:tcW w:w="1948" w:type="pct"/>
          </w:tcPr>
          <w:p w14:paraId="1181A11A"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367310B7" w14:textId="77777777" w:rsidTr="007B3A9E">
        <w:trPr>
          <w:cantSplit/>
          <w:trHeight w:val="302"/>
          <w:tblHeader/>
          <w:jc w:val="center"/>
        </w:trPr>
        <w:tc>
          <w:tcPr>
            <w:tcW w:w="820" w:type="pct"/>
          </w:tcPr>
          <w:p w14:paraId="7968C506"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720 to 749 calendar days</w:t>
            </w:r>
          </w:p>
        </w:tc>
        <w:tc>
          <w:tcPr>
            <w:tcW w:w="2232" w:type="pct"/>
          </w:tcPr>
          <w:p w14:paraId="435B658D"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11</w:t>
            </w:r>
          </w:p>
        </w:tc>
        <w:tc>
          <w:tcPr>
            <w:tcW w:w="1948" w:type="pct"/>
          </w:tcPr>
          <w:p w14:paraId="24539B21"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09CCAEB5" w14:textId="77777777" w:rsidTr="007B3A9E">
        <w:trPr>
          <w:cantSplit/>
          <w:trHeight w:val="290"/>
          <w:tblHeader/>
          <w:jc w:val="center"/>
        </w:trPr>
        <w:tc>
          <w:tcPr>
            <w:tcW w:w="820" w:type="pct"/>
          </w:tcPr>
          <w:p w14:paraId="7754FA25"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750 to 779 calendar days</w:t>
            </w:r>
          </w:p>
        </w:tc>
        <w:tc>
          <w:tcPr>
            <w:tcW w:w="2232" w:type="pct"/>
          </w:tcPr>
          <w:p w14:paraId="120D4A17"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w:t>
            </w:r>
          </w:p>
        </w:tc>
        <w:tc>
          <w:tcPr>
            <w:tcW w:w="1948" w:type="pct"/>
          </w:tcPr>
          <w:p w14:paraId="22E01685"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0294DADD" w14:textId="77777777" w:rsidTr="007B3A9E">
        <w:trPr>
          <w:cantSplit/>
          <w:trHeight w:val="290"/>
          <w:tblHeader/>
          <w:jc w:val="center"/>
        </w:trPr>
        <w:tc>
          <w:tcPr>
            <w:tcW w:w="820" w:type="pct"/>
          </w:tcPr>
          <w:p w14:paraId="0C5706B0"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780 to 809 calendar days</w:t>
            </w:r>
          </w:p>
        </w:tc>
        <w:tc>
          <w:tcPr>
            <w:tcW w:w="2232" w:type="pct"/>
          </w:tcPr>
          <w:p w14:paraId="01A83282"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7</w:t>
            </w:r>
          </w:p>
        </w:tc>
        <w:tc>
          <w:tcPr>
            <w:tcW w:w="1948" w:type="pct"/>
          </w:tcPr>
          <w:p w14:paraId="2CA64AEB"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0F0CBC3F" w14:textId="77777777" w:rsidTr="007B3A9E">
        <w:trPr>
          <w:cantSplit/>
          <w:trHeight w:val="290"/>
          <w:tblHeader/>
          <w:jc w:val="center"/>
        </w:trPr>
        <w:tc>
          <w:tcPr>
            <w:tcW w:w="820" w:type="pct"/>
          </w:tcPr>
          <w:p w14:paraId="239D05D3"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810 to 839 calendar days</w:t>
            </w:r>
          </w:p>
        </w:tc>
        <w:tc>
          <w:tcPr>
            <w:tcW w:w="2232" w:type="pct"/>
          </w:tcPr>
          <w:p w14:paraId="59F52DF5"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w:t>
            </w:r>
          </w:p>
        </w:tc>
        <w:tc>
          <w:tcPr>
            <w:tcW w:w="1948" w:type="pct"/>
          </w:tcPr>
          <w:p w14:paraId="2DF0EEFA"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76014D1E" w14:textId="77777777" w:rsidTr="007B3A9E">
        <w:trPr>
          <w:cantSplit/>
          <w:trHeight w:val="290"/>
          <w:tblHeader/>
          <w:jc w:val="center"/>
        </w:trPr>
        <w:tc>
          <w:tcPr>
            <w:tcW w:w="820" w:type="pct"/>
          </w:tcPr>
          <w:p w14:paraId="769E850A"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840 to 869 calendar days</w:t>
            </w:r>
          </w:p>
        </w:tc>
        <w:tc>
          <w:tcPr>
            <w:tcW w:w="2232" w:type="pct"/>
          </w:tcPr>
          <w:p w14:paraId="3A62CDC4"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2</w:t>
            </w:r>
          </w:p>
        </w:tc>
        <w:tc>
          <w:tcPr>
            <w:tcW w:w="1948" w:type="pct"/>
          </w:tcPr>
          <w:p w14:paraId="7B7C98DD"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7FAE16EB" w14:textId="77777777" w:rsidTr="007B3A9E">
        <w:trPr>
          <w:cantSplit/>
          <w:trHeight w:val="290"/>
          <w:tblHeader/>
          <w:jc w:val="center"/>
        </w:trPr>
        <w:tc>
          <w:tcPr>
            <w:tcW w:w="820" w:type="pct"/>
          </w:tcPr>
          <w:p w14:paraId="2AF87B66"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870 to 899 calendar days</w:t>
            </w:r>
          </w:p>
        </w:tc>
        <w:tc>
          <w:tcPr>
            <w:tcW w:w="2232" w:type="pct"/>
          </w:tcPr>
          <w:p w14:paraId="19A2C981"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c>
          <w:tcPr>
            <w:tcW w:w="1948" w:type="pct"/>
          </w:tcPr>
          <w:p w14:paraId="15191E5A"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26288650" w14:textId="77777777" w:rsidTr="007B3A9E">
        <w:trPr>
          <w:cantSplit/>
          <w:trHeight w:val="290"/>
          <w:tblHeader/>
          <w:jc w:val="center"/>
        </w:trPr>
        <w:tc>
          <w:tcPr>
            <w:tcW w:w="820" w:type="pct"/>
          </w:tcPr>
          <w:p w14:paraId="54B2265D"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900 to 929 calendar days</w:t>
            </w:r>
          </w:p>
        </w:tc>
        <w:tc>
          <w:tcPr>
            <w:tcW w:w="2232" w:type="pct"/>
          </w:tcPr>
          <w:p w14:paraId="51769454"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3</w:t>
            </w:r>
          </w:p>
        </w:tc>
        <w:tc>
          <w:tcPr>
            <w:tcW w:w="1948" w:type="pct"/>
          </w:tcPr>
          <w:p w14:paraId="4D252C7D"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1A2BB006" w14:textId="77777777" w:rsidTr="007B3A9E">
        <w:trPr>
          <w:cantSplit/>
          <w:trHeight w:val="290"/>
          <w:tblHeader/>
          <w:jc w:val="center"/>
        </w:trPr>
        <w:tc>
          <w:tcPr>
            <w:tcW w:w="820" w:type="pct"/>
          </w:tcPr>
          <w:p w14:paraId="7BB568CD"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930 to 959 calendar days</w:t>
            </w:r>
          </w:p>
        </w:tc>
        <w:tc>
          <w:tcPr>
            <w:tcW w:w="2232" w:type="pct"/>
          </w:tcPr>
          <w:p w14:paraId="79827415"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1</w:t>
            </w:r>
          </w:p>
        </w:tc>
        <w:tc>
          <w:tcPr>
            <w:tcW w:w="1948" w:type="pct"/>
          </w:tcPr>
          <w:p w14:paraId="1CAC5453"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51682977" w14:textId="77777777" w:rsidTr="007B3A9E">
        <w:trPr>
          <w:cantSplit/>
          <w:trHeight w:val="290"/>
          <w:tblHeader/>
          <w:jc w:val="center"/>
        </w:trPr>
        <w:tc>
          <w:tcPr>
            <w:tcW w:w="820" w:type="pct"/>
          </w:tcPr>
          <w:p w14:paraId="190C8EAE"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960 to 989 calendar days</w:t>
            </w:r>
          </w:p>
        </w:tc>
        <w:tc>
          <w:tcPr>
            <w:tcW w:w="2232" w:type="pct"/>
          </w:tcPr>
          <w:p w14:paraId="11CA5B0B"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c>
          <w:tcPr>
            <w:tcW w:w="1948" w:type="pct"/>
          </w:tcPr>
          <w:p w14:paraId="1B136075"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r w:rsidR="008009D0" w:rsidRPr="00FC60BB" w14:paraId="278C9209" w14:textId="77777777" w:rsidTr="007B3A9E">
        <w:trPr>
          <w:cantSplit/>
          <w:trHeight w:val="290"/>
          <w:tblHeader/>
          <w:jc w:val="center"/>
        </w:trPr>
        <w:tc>
          <w:tcPr>
            <w:tcW w:w="820" w:type="pct"/>
          </w:tcPr>
          <w:p w14:paraId="240BA694" w14:textId="77777777" w:rsidR="008009D0" w:rsidRPr="00FC60BB" w:rsidRDefault="008009D0" w:rsidP="008009D0">
            <w:pPr>
              <w:autoSpaceDE w:val="0"/>
              <w:autoSpaceDN w:val="0"/>
              <w:adjustRightInd w:val="0"/>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More than 990 calendar days</w:t>
            </w:r>
          </w:p>
        </w:tc>
        <w:tc>
          <w:tcPr>
            <w:tcW w:w="2232" w:type="pct"/>
          </w:tcPr>
          <w:p w14:paraId="6E024844"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c>
          <w:tcPr>
            <w:tcW w:w="1948" w:type="pct"/>
          </w:tcPr>
          <w:p w14:paraId="689B4400" w14:textId="77777777" w:rsidR="008009D0" w:rsidRPr="00FC60BB" w:rsidRDefault="008009D0" w:rsidP="008009D0">
            <w:pPr>
              <w:autoSpaceDE w:val="0"/>
              <w:autoSpaceDN w:val="0"/>
              <w:adjustRightInd w:val="0"/>
              <w:jc w:val="center"/>
              <w:rPr>
                <w:rFonts w:asciiTheme="minorHAnsi" w:hAnsiTheme="minorHAnsi" w:cstheme="minorHAnsi"/>
                <w:color w:val="000000"/>
                <w:sz w:val="22"/>
                <w:szCs w:val="22"/>
                <w:lang w:val="en-CA"/>
              </w:rPr>
            </w:pPr>
            <w:r w:rsidRPr="00FC60BB">
              <w:rPr>
                <w:rFonts w:asciiTheme="minorHAnsi" w:hAnsiTheme="minorHAnsi" w:cstheme="minorHAnsi"/>
                <w:color w:val="000000"/>
                <w:sz w:val="22"/>
                <w:szCs w:val="22"/>
                <w:lang w:val="en-CA"/>
              </w:rPr>
              <w:t>0</w:t>
            </w:r>
          </w:p>
        </w:tc>
      </w:tr>
    </w:tbl>
    <w:p w14:paraId="56CB3B89" w14:textId="77777777" w:rsidR="008009D0" w:rsidRPr="00FC60BB" w:rsidRDefault="008009D0" w:rsidP="007B1B27">
      <w:pPr>
        <w:rPr>
          <w:rFonts w:ascii="Arial" w:eastAsiaTheme="minorHAnsi" w:hAnsi="Arial" w:cstheme="minorBidi"/>
          <w:b/>
          <w:bCs/>
          <w:szCs w:val="24"/>
          <w:lang w:val="en-CA"/>
        </w:rPr>
      </w:pPr>
    </w:p>
    <w:p w14:paraId="4DB7CF8F" w14:textId="77777777" w:rsidR="008009D0" w:rsidRPr="00FC60BB" w:rsidRDefault="008009D0" w:rsidP="007B1B27">
      <w:pPr>
        <w:rPr>
          <w:rFonts w:ascii="Arial" w:eastAsiaTheme="minorHAnsi" w:hAnsi="Arial" w:cstheme="minorBidi"/>
          <w:b/>
          <w:bCs/>
          <w:szCs w:val="24"/>
          <w:lang w:val="en-CA"/>
        </w:rPr>
        <w:sectPr w:rsidR="008009D0" w:rsidRPr="00FC60BB" w:rsidSect="008009D0">
          <w:headerReference w:type="default" r:id="rId24"/>
          <w:footerReference w:type="default" r:id="rId25"/>
          <w:pgSz w:w="24480" w:h="15840" w:orient="landscape" w:code="3"/>
          <w:pgMar w:top="1440" w:right="1440" w:bottom="1440" w:left="1440" w:header="708" w:footer="283" w:gutter="0"/>
          <w:cols w:space="708"/>
          <w:titlePg/>
          <w:docGrid w:linePitch="360"/>
        </w:sectPr>
      </w:pPr>
    </w:p>
    <w:p w14:paraId="1FA28428" w14:textId="77777777" w:rsidR="007B1B27" w:rsidRPr="00FC60BB" w:rsidRDefault="007B1B27" w:rsidP="00697406">
      <w:pPr>
        <w:pStyle w:val="Heading1"/>
        <w:spacing w:after="120"/>
        <w:rPr>
          <w:rFonts w:eastAsiaTheme="minorHAnsi"/>
          <w:lang w:val="en-CA"/>
        </w:rPr>
      </w:pPr>
      <w:r w:rsidRPr="00FC60BB">
        <w:rPr>
          <w:rFonts w:eastAsiaTheme="minorHAnsi"/>
          <w:lang w:val="en-CA"/>
        </w:rPr>
        <w:lastRenderedPageBreak/>
        <w:t>Technical notes:</w:t>
      </w:r>
    </w:p>
    <w:p w14:paraId="38B4B8E4" w14:textId="77777777" w:rsidR="007B1B27" w:rsidRPr="00FC60BB" w:rsidRDefault="007B1B27" w:rsidP="00697406">
      <w:pPr>
        <w:pStyle w:val="ListParagraph"/>
        <w:numPr>
          <w:ilvl w:val="0"/>
          <w:numId w:val="21"/>
        </w:numPr>
        <w:spacing w:after="0"/>
        <w:rPr>
          <w:rFonts w:asciiTheme="minorHAnsi" w:hAnsiTheme="minorHAnsi" w:cstheme="minorHAnsi"/>
          <w:sz w:val="22"/>
          <w:szCs w:val="22"/>
          <w:lang w:val="en-CA" w:eastAsia="en-CA"/>
        </w:rPr>
      </w:pPr>
      <w:r w:rsidRPr="00FC60BB">
        <w:rPr>
          <w:rFonts w:asciiTheme="minorHAnsi" w:hAnsiTheme="minorHAnsi" w:cstheme="minorHAnsi"/>
          <w:sz w:val="22"/>
          <w:szCs w:val="22"/>
          <w:lang w:val="en-CA" w:eastAsia="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0825CBD0" w14:textId="77777777" w:rsidR="008009D0" w:rsidRPr="00FC60BB" w:rsidRDefault="007B1B27" w:rsidP="00697406">
      <w:pPr>
        <w:pStyle w:val="ListParagraph"/>
        <w:numPr>
          <w:ilvl w:val="0"/>
          <w:numId w:val="21"/>
        </w:numPr>
        <w:spacing w:after="0"/>
        <w:rPr>
          <w:rFonts w:asciiTheme="minorHAnsi" w:hAnsiTheme="minorHAnsi" w:cstheme="minorHAnsi"/>
          <w:sz w:val="22"/>
          <w:szCs w:val="22"/>
          <w:lang w:val="en-CA" w:eastAsia="en-CA"/>
        </w:rPr>
      </w:pPr>
      <w:r w:rsidRPr="00FC60BB">
        <w:rPr>
          <w:rFonts w:asciiTheme="minorHAnsi" w:hAnsiTheme="minorHAnsi" w:cstheme="minorHAnsi"/>
          <w:sz w:val="22"/>
          <w:szCs w:val="22"/>
          <w:lang w:val="en-CA" w:eastAsia="en-CA"/>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50539C">
        <w:rPr>
          <w:rStyle w:val="Emphasis"/>
          <w:i/>
        </w:rPr>
        <w:t>Public Service Employment Act</w:t>
      </w:r>
      <w:r w:rsidRPr="00FC60BB">
        <w:rPr>
          <w:rFonts w:asciiTheme="minorHAnsi" w:hAnsiTheme="minorHAnsi" w:cstheme="minorHAnsi"/>
          <w:sz w:val="20"/>
          <w:szCs w:val="22"/>
          <w:lang w:val="en-CA" w:eastAsia="en-CA"/>
        </w:rPr>
        <w:t xml:space="preserve"> </w:t>
      </w:r>
      <w:r w:rsidRPr="00FC60BB">
        <w:rPr>
          <w:rFonts w:asciiTheme="minorHAnsi" w:hAnsiTheme="minorHAnsi" w:cstheme="minorHAnsi"/>
          <w:sz w:val="22"/>
          <w:szCs w:val="22"/>
          <w:lang w:val="en-CA" w:eastAsia="en-CA"/>
        </w:rPr>
        <w:t>for term and indeterminate positions. Because data between systems is linked using a probabilistic match, errors in data linkage are a potential source of measurement error.</w:t>
      </w:r>
    </w:p>
    <w:p w14:paraId="2D089AE5" w14:textId="77777777" w:rsidR="008009D0" w:rsidRPr="00FC60BB" w:rsidRDefault="008009D0" w:rsidP="00697406">
      <w:pPr>
        <w:pStyle w:val="Heading1"/>
        <w:spacing w:after="120"/>
        <w:rPr>
          <w:lang w:val="en-CA" w:eastAsia="en-CA"/>
        </w:rPr>
      </w:pPr>
      <w:r w:rsidRPr="00FC60BB">
        <w:rPr>
          <w:lang w:val="en-CA" w:eastAsia="en-CA"/>
        </w:rPr>
        <w:t>Sources</w:t>
      </w:r>
    </w:p>
    <w:p w14:paraId="3E2AFCBD" w14:textId="77777777" w:rsidR="007B1B27" w:rsidRPr="00FC60BB" w:rsidRDefault="007B1B27" w:rsidP="00697406">
      <w:pPr>
        <w:pStyle w:val="ListParagraph"/>
        <w:numPr>
          <w:ilvl w:val="0"/>
          <w:numId w:val="21"/>
        </w:numPr>
        <w:spacing w:after="0"/>
        <w:rPr>
          <w:rFonts w:asciiTheme="minorHAnsi" w:hAnsiTheme="minorHAnsi" w:cstheme="minorHAnsi"/>
          <w:sz w:val="22"/>
          <w:szCs w:val="22"/>
          <w:lang w:val="en-CA" w:eastAsia="en-CA"/>
        </w:rPr>
      </w:pPr>
      <w:r w:rsidRPr="00FC60BB">
        <w:rPr>
          <w:rFonts w:asciiTheme="minorHAnsi" w:hAnsiTheme="minorHAnsi" w:cstheme="minorHAnsi"/>
          <w:sz w:val="22"/>
          <w:szCs w:val="22"/>
          <w:lang w:val="en-CA" w:eastAsia="en-CA"/>
        </w:rPr>
        <w:t xml:space="preserve">Only estimated term and indeterminate appointments/notifications are included (deployments, casual and acting appointments are excluded). </w:t>
      </w:r>
    </w:p>
    <w:p w14:paraId="122EA552" w14:textId="77777777" w:rsidR="007B1B27" w:rsidRPr="00FC60BB" w:rsidRDefault="007B1B27" w:rsidP="00697406">
      <w:pPr>
        <w:pStyle w:val="ListParagraph"/>
        <w:numPr>
          <w:ilvl w:val="0"/>
          <w:numId w:val="21"/>
        </w:numPr>
        <w:spacing w:after="0"/>
        <w:rPr>
          <w:rFonts w:asciiTheme="minorHAnsi" w:hAnsiTheme="minorHAnsi" w:cstheme="minorHAnsi"/>
          <w:sz w:val="22"/>
          <w:szCs w:val="22"/>
          <w:lang w:val="en-CA"/>
        </w:rPr>
      </w:pPr>
      <w:r w:rsidRPr="00FC60BB">
        <w:rPr>
          <w:rFonts w:asciiTheme="minorHAnsi" w:hAnsiTheme="minorHAnsi" w:cstheme="minorHAnsi"/>
          <w:sz w:val="22"/>
          <w:szCs w:val="22"/>
          <w:lang w:val="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2288F948" w14:textId="77777777" w:rsidR="007B1B27" w:rsidRPr="00FC60BB" w:rsidRDefault="007B1B27" w:rsidP="00697406">
      <w:pPr>
        <w:pStyle w:val="ListParagraph"/>
        <w:numPr>
          <w:ilvl w:val="0"/>
          <w:numId w:val="21"/>
        </w:numPr>
        <w:spacing w:after="0"/>
        <w:rPr>
          <w:rFonts w:asciiTheme="minorHAnsi" w:hAnsiTheme="minorHAnsi" w:cstheme="minorHAnsi"/>
          <w:sz w:val="22"/>
          <w:szCs w:val="22"/>
          <w:lang w:val="en-CA"/>
        </w:rPr>
      </w:pPr>
      <w:r w:rsidRPr="00FC60BB">
        <w:rPr>
          <w:rFonts w:asciiTheme="minorHAnsi" w:hAnsiTheme="minorHAnsi" w:cstheme="minorHAnsi"/>
          <w:sz w:val="22"/>
          <w:szCs w:val="22"/>
          <w:lang w:val="en-CA"/>
        </w:rPr>
        <w:t>Only estimated term and indeterminate appointments/notifications are included (deployments, casual and acting appointments are excluded)</w:t>
      </w:r>
    </w:p>
    <w:p w14:paraId="7BD0055C" w14:textId="77777777" w:rsidR="007B1B27" w:rsidRPr="00FC60BB" w:rsidRDefault="007B1B27" w:rsidP="00697406">
      <w:pPr>
        <w:pStyle w:val="ListParagraph"/>
        <w:numPr>
          <w:ilvl w:val="0"/>
          <w:numId w:val="21"/>
        </w:numPr>
        <w:spacing w:after="0"/>
        <w:rPr>
          <w:rFonts w:asciiTheme="minorHAnsi" w:hAnsiTheme="minorHAnsi" w:cstheme="minorHAnsi"/>
          <w:sz w:val="22"/>
          <w:szCs w:val="22"/>
          <w:lang w:val="en-CA"/>
        </w:rPr>
      </w:pPr>
      <w:r w:rsidRPr="00FC60BB">
        <w:rPr>
          <w:rFonts w:asciiTheme="minorHAnsi" w:hAnsiTheme="minorHAnsi" w:cstheme="minorHAnsi"/>
          <w:sz w:val="22"/>
          <w:szCs w:val="22"/>
          <w:lang w:val="en-CA"/>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50539C">
        <w:rPr>
          <w:rStyle w:val="Emphasis"/>
          <w:i/>
        </w:rPr>
        <w:t>Public Service Employment Act</w:t>
      </w:r>
      <w:r w:rsidRPr="00FC60BB">
        <w:rPr>
          <w:rFonts w:asciiTheme="minorHAnsi" w:hAnsiTheme="minorHAnsi" w:cstheme="minorHAnsi"/>
          <w:sz w:val="22"/>
          <w:szCs w:val="22"/>
          <w:lang w:val="en-CA"/>
        </w:rPr>
        <w:t xml:space="preserve"> for term and indeterminate positions. Only estimated term and indeterminate appointments/notifications are included (deployments, casual and acting appointments are excluded)</w:t>
      </w:r>
    </w:p>
    <w:p w14:paraId="766AA230" w14:textId="77777777" w:rsidR="007B1B27" w:rsidRPr="00FC60BB" w:rsidRDefault="007B1B27" w:rsidP="00697406">
      <w:pPr>
        <w:pStyle w:val="ListParagraph"/>
        <w:numPr>
          <w:ilvl w:val="0"/>
          <w:numId w:val="21"/>
        </w:numPr>
        <w:spacing w:after="0"/>
        <w:rPr>
          <w:rFonts w:asciiTheme="minorHAnsi" w:hAnsiTheme="minorHAnsi" w:cstheme="minorHAnsi"/>
          <w:sz w:val="22"/>
          <w:szCs w:val="22"/>
          <w:lang w:val="en-CA"/>
        </w:rPr>
      </w:pPr>
      <w:r w:rsidRPr="00FC60BB">
        <w:rPr>
          <w:rFonts w:asciiTheme="minorHAnsi" w:hAnsiTheme="minorHAnsi" w:cstheme="minorHAnsi"/>
          <w:sz w:val="22"/>
          <w:szCs w:val="22"/>
          <w:lang w:val="en-CA"/>
        </w:rPr>
        <w:t>Because data between systems is linked using a probabilistic match, errors in data linkage are a potential source of measurement error</w:t>
      </w:r>
    </w:p>
    <w:sectPr w:rsidR="007B1B27" w:rsidRPr="00FC60BB" w:rsidSect="008009D0">
      <w:pgSz w:w="12240" w:h="15840" w:code="1"/>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B27E" w14:textId="77777777" w:rsidR="002B597B" w:rsidRDefault="002B597B" w:rsidP="0051557E">
      <w:r>
        <w:separator/>
      </w:r>
    </w:p>
  </w:endnote>
  <w:endnote w:type="continuationSeparator" w:id="0">
    <w:p w14:paraId="54568E4E" w14:textId="77777777" w:rsidR="002B597B" w:rsidRDefault="002B597B"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210436"/>
      <w:docPartObj>
        <w:docPartGallery w:val="Page Numbers (Bottom of Page)"/>
        <w:docPartUnique/>
      </w:docPartObj>
    </w:sdtPr>
    <w:sdtEndPr/>
    <w:sdtContent>
      <w:p w14:paraId="21FBBA14" w14:textId="77777777" w:rsidR="00BA258A" w:rsidRDefault="00BA258A">
        <w:pPr>
          <w:pStyle w:val="Footer"/>
        </w:pPr>
        <w:r>
          <w:fldChar w:fldCharType="begin"/>
        </w:r>
        <w:r>
          <w:instrText>PAGE   \* MERGEFORMAT</w:instrText>
        </w:r>
        <w:r>
          <w:fldChar w:fldCharType="separate"/>
        </w:r>
        <w:r w:rsidR="00BA7415" w:rsidRPr="00BA7415">
          <w:rPr>
            <w:noProof/>
            <w:lang w:val="fr-FR"/>
          </w:rPr>
          <w:t>21</w:t>
        </w:r>
        <w:r>
          <w:fldChar w:fldCharType="end"/>
        </w:r>
      </w:p>
    </w:sdtContent>
  </w:sdt>
  <w:p w14:paraId="511E585F" w14:textId="77777777" w:rsidR="00BA258A" w:rsidRPr="00C60C29" w:rsidRDefault="00BA258A" w:rsidP="00C6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8"/>
      </w:rPr>
      <w:id w:val="-799455418"/>
      <w:docPartObj>
        <w:docPartGallery w:val="Page Numbers (Bottom of Page)"/>
        <w:docPartUnique/>
      </w:docPartObj>
    </w:sdtPr>
    <w:sdtEndPr>
      <w:rPr>
        <w:noProof/>
      </w:rPr>
    </w:sdtEndPr>
    <w:sdtContent>
      <w:p w14:paraId="3B2B2B68" w14:textId="77777777" w:rsidR="00697406" w:rsidRPr="00697406" w:rsidRDefault="00697406">
        <w:pPr>
          <w:pStyle w:val="Footer"/>
          <w:rPr>
            <w:rFonts w:ascii="Calibri" w:hAnsi="Calibri" w:cs="Calibri"/>
            <w:sz w:val="18"/>
          </w:rPr>
        </w:pPr>
        <w:r w:rsidRPr="00697406">
          <w:rPr>
            <w:rFonts w:ascii="Calibri" w:hAnsi="Calibri" w:cs="Calibri"/>
            <w:sz w:val="18"/>
          </w:rPr>
          <w:fldChar w:fldCharType="begin"/>
        </w:r>
        <w:r w:rsidRPr="00697406">
          <w:rPr>
            <w:rFonts w:ascii="Calibri" w:hAnsi="Calibri" w:cs="Calibri"/>
            <w:sz w:val="18"/>
          </w:rPr>
          <w:instrText xml:space="preserve"> PAGE   \* MERGEFORMAT </w:instrText>
        </w:r>
        <w:r w:rsidRPr="00697406">
          <w:rPr>
            <w:rFonts w:ascii="Calibri" w:hAnsi="Calibri" w:cs="Calibri"/>
            <w:sz w:val="18"/>
          </w:rPr>
          <w:fldChar w:fldCharType="separate"/>
        </w:r>
        <w:r w:rsidR="00BA7415">
          <w:rPr>
            <w:rFonts w:ascii="Calibri" w:hAnsi="Calibri" w:cs="Calibri"/>
            <w:noProof/>
            <w:sz w:val="18"/>
          </w:rPr>
          <w:t>25</w:t>
        </w:r>
        <w:r w:rsidRPr="00697406">
          <w:rPr>
            <w:rFonts w:ascii="Calibri" w:hAnsi="Calibri" w:cs="Calibri"/>
            <w:noProof/>
            <w:sz w:val="18"/>
          </w:rPr>
          <w:fldChar w:fldCharType="end"/>
        </w:r>
      </w:p>
    </w:sdtContent>
  </w:sdt>
  <w:p w14:paraId="022D1871" w14:textId="77777777" w:rsidR="00697406" w:rsidRDefault="00697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E523" w14:textId="77777777" w:rsidR="00BA258A" w:rsidRPr="00C60C29" w:rsidRDefault="00BA258A" w:rsidP="00C60C29">
    <w:pPr>
      <w:pStyle w:val="Footer"/>
    </w:pPr>
    <w:r w:rsidRPr="006B2FDC">
      <w:rPr>
        <w:rFonts w:ascii="Calibri" w:eastAsia="Calibri" w:hAnsi="Calibri" w:cs="Arial"/>
        <w:sz w:val="16"/>
      </w:rPr>
      <w:fldChar w:fldCharType="begin"/>
    </w:r>
    <w:r w:rsidRPr="006B2FDC">
      <w:rPr>
        <w:rFonts w:ascii="Calibri" w:eastAsia="Calibri" w:hAnsi="Calibri" w:cs="Arial"/>
        <w:sz w:val="16"/>
        <w:lang w:val="en-CA"/>
      </w:rPr>
      <w:instrText xml:space="preserve"> PAGE   \* MERGEFORMAT </w:instrText>
    </w:r>
    <w:r w:rsidRPr="006B2FDC">
      <w:rPr>
        <w:rFonts w:ascii="Calibri" w:eastAsia="Calibri" w:hAnsi="Calibri" w:cs="Arial"/>
        <w:sz w:val="16"/>
      </w:rPr>
      <w:fldChar w:fldCharType="separate"/>
    </w:r>
    <w:r w:rsidRPr="008009D0">
      <w:rPr>
        <w:rFonts w:ascii="Calibri" w:eastAsia="Calibri" w:hAnsi="Calibri" w:cs="Arial"/>
        <w:b/>
        <w:bCs/>
        <w:noProof/>
        <w:sz w:val="16"/>
        <w:lang w:val="en-CA"/>
      </w:rPr>
      <w:t>24</w:t>
    </w:r>
    <w:r w:rsidRPr="006B2FDC">
      <w:rPr>
        <w:rFonts w:ascii="Calibri" w:eastAsia="Calibri" w:hAnsi="Calibri" w:cs="Arial"/>
        <w:b/>
        <w:bCs/>
        <w:noProof/>
        <w:sz w:val="16"/>
      </w:rPr>
      <w:fldChar w:fldCharType="end"/>
    </w:r>
    <w:r>
      <w:rPr>
        <w:rFonts w:ascii="Calibri" w:eastAsia="Calibri" w:hAnsi="Calibri" w:cs="Arial"/>
        <w:b/>
        <w:bCs/>
        <w:sz w:val="16"/>
        <w:lang w:val="en-CA"/>
      </w:rPr>
      <w:tab/>
    </w:r>
    <w:r>
      <w:rPr>
        <w:rFonts w:ascii="Calibri" w:eastAsia="Calibri" w:hAnsi="Calibri" w:cs="Arial"/>
        <w:b/>
        <w:bCs/>
        <w:sz w:val="16"/>
        <w:lang w:val="en-CA"/>
      </w:rPr>
      <w:tab/>
    </w:r>
    <w:r w:rsidRPr="006B2FDC">
      <w:rPr>
        <w:rFonts w:ascii="Calibri" w:eastAsia="Calibri" w:hAnsi="Calibri" w:cs="Arial"/>
        <w:sz w:val="16"/>
        <w:lang w:val="en-CA"/>
      </w:rPr>
      <w:t xml:space="preserve">GCDOCS </w:t>
    </w:r>
    <w:r>
      <w:rPr>
        <w:rFonts w:ascii="Calibri" w:eastAsia="Calibri" w:hAnsi="Calibri" w:cs="Arial"/>
        <w:sz w:val="16"/>
        <w:lang w:val="en-CA"/>
      </w:rPr>
      <w:t>10251579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D072" w14:textId="77777777" w:rsidR="002B597B" w:rsidRDefault="002B597B" w:rsidP="0051557E">
      <w:r>
        <w:separator/>
      </w:r>
    </w:p>
  </w:footnote>
  <w:footnote w:type="continuationSeparator" w:id="0">
    <w:p w14:paraId="4521B490" w14:textId="77777777" w:rsidR="002B597B" w:rsidRDefault="002B597B"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9A65" w14:textId="77777777" w:rsidR="00BA258A" w:rsidRDefault="00BA258A" w:rsidP="0051557E">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966E7"/>
    <w:multiLevelType w:val="hybridMultilevel"/>
    <w:tmpl w:val="DFDEF248"/>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DBD2DBF"/>
    <w:multiLevelType w:val="hybridMultilevel"/>
    <w:tmpl w:val="8326AE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F3C48"/>
    <w:multiLevelType w:val="hybridMultilevel"/>
    <w:tmpl w:val="C3B0DD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305AD7"/>
    <w:multiLevelType w:val="hybridMultilevel"/>
    <w:tmpl w:val="45D0C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75032B"/>
    <w:multiLevelType w:val="hybridMultilevel"/>
    <w:tmpl w:val="4B0A3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8"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8"/>
  </w:num>
  <w:num w:numId="5">
    <w:abstractNumId w:val="2"/>
  </w:num>
  <w:num w:numId="6">
    <w:abstractNumId w:val="1"/>
  </w:num>
  <w:num w:numId="7">
    <w:abstractNumId w:val="13"/>
  </w:num>
  <w:num w:numId="8">
    <w:abstractNumId w:val="5"/>
  </w:num>
  <w:num w:numId="9">
    <w:abstractNumId w:val="7"/>
  </w:num>
  <w:num w:numId="10">
    <w:abstractNumId w:val="4"/>
  </w:num>
  <w:num w:numId="11">
    <w:abstractNumId w:val="14"/>
  </w:num>
  <w:num w:numId="12">
    <w:abstractNumId w:val="0"/>
  </w:num>
  <w:num w:numId="13">
    <w:abstractNumId w:val="16"/>
  </w:num>
  <w:num w:numId="14">
    <w:abstractNumId w:val="15"/>
  </w:num>
  <w:num w:numId="15">
    <w:abstractNumId w:val="19"/>
  </w:num>
  <w:num w:numId="16">
    <w:abstractNumId w:val="12"/>
  </w:num>
  <w:num w:numId="17">
    <w:abstractNumId w:val="11"/>
  </w:num>
  <w:num w:numId="18">
    <w:abstractNumId w:val="6"/>
  </w:num>
  <w:num w:numId="19">
    <w:abstractNumId w:val="3"/>
  </w:num>
  <w:num w:numId="20">
    <w:abstractNumId w:val="17"/>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27"/>
    <w:rsid w:val="00055B43"/>
    <w:rsid w:val="00082E79"/>
    <w:rsid w:val="000B057E"/>
    <w:rsid w:val="000B3767"/>
    <w:rsid w:val="000C45BD"/>
    <w:rsid w:val="000F7B36"/>
    <w:rsid w:val="0014782E"/>
    <w:rsid w:val="00167C11"/>
    <w:rsid w:val="00177397"/>
    <w:rsid w:val="001B13BA"/>
    <w:rsid w:val="001B32BB"/>
    <w:rsid w:val="001E0E08"/>
    <w:rsid w:val="001E6237"/>
    <w:rsid w:val="002073AD"/>
    <w:rsid w:val="00210749"/>
    <w:rsid w:val="00244CD0"/>
    <w:rsid w:val="002B597B"/>
    <w:rsid w:val="002C1665"/>
    <w:rsid w:val="00413CA9"/>
    <w:rsid w:val="00422176"/>
    <w:rsid w:val="004411EB"/>
    <w:rsid w:val="0044470E"/>
    <w:rsid w:val="00494532"/>
    <w:rsid w:val="004B7985"/>
    <w:rsid w:val="004C6D7A"/>
    <w:rsid w:val="004C7EE5"/>
    <w:rsid w:val="0050539C"/>
    <w:rsid w:val="005100E6"/>
    <w:rsid w:val="0051557E"/>
    <w:rsid w:val="00545B2E"/>
    <w:rsid w:val="00546DFE"/>
    <w:rsid w:val="005D7855"/>
    <w:rsid w:val="00607E99"/>
    <w:rsid w:val="006561E7"/>
    <w:rsid w:val="00697406"/>
    <w:rsid w:val="006B0663"/>
    <w:rsid w:val="006D1100"/>
    <w:rsid w:val="006E7540"/>
    <w:rsid w:val="00701806"/>
    <w:rsid w:val="00710441"/>
    <w:rsid w:val="0073380A"/>
    <w:rsid w:val="007A1D63"/>
    <w:rsid w:val="007B1B27"/>
    <w:rsid w:val="007B3A9E"/>
    <w:rsid w:val="007B449D"/>
    <w:rsid w:val="007C1D51"/>
    <w:rsid w:val="007E17D1"/>
    <w:rsid w:val="008009D0"/>
    <w:rsid w:val="008256D4"/>
    <w:rsid w:val="008A2E50"/>
    <w:rsid w:val="00944C68"/>
    <w:rsid w:val="009466B2"/>
    <w:rsid w:val="00950DD9"/>
    <w:rsid w:val="00997D3F"/>
    <w:rsid w:val="009A7AA7"/>
    <w:rsid w:val="009E0B33"/>
    <w:rsid w:val="009E4EC9"/>
    <w:rsid w:val="00A3247F"/>
    <w:rsid w:val="00A3677B"/>
    <w:rsid w:val="00A46334"/>
    <w:rsid w:val="00A77330"/>
    <w:rsid w:val="00AB0297"/>
    <w:rsid w:val="00AE5206"/>
    <w:rsid w:val="00B0203E"/>
    <w:rsid w:val="00B24249"/>
    <w:rsid w:val="00BA258A"/>
    <w:rsid w:val="00BA7415"/>
    <w:rsid w:val="00BB5371"/>
    <w:rsid w:val="00C46800"/>
    <w:rsid w:val="00C562F1"/>
    <w:rsid w:val="00C60C29"/>
    <w:rsid w:val="00C63087"/>
    <w:rsid w:val="00CE0E96"/>
    <w:rsid w:val="00D41BC9"/>
    <w:rsid w:val="00D42DF0"/>
    <w:rsid w:val="00D5465A"/>
    <w:rsid w:val="00D64481"/>
    <w:rsid w:val="00D97A42"/>
    <w:rsid w:val="00DD73EB"/>
    <w:rsid w:val="00E1620F"/>
    <w:rsid w:val="00E4373E"/>
    <w:rsid w:val="00E61DD7"/>
    <w:rsid w:val="00EA6B0D"/>
    <w:rsid w:val="00EB5A01"/>
    <w:rsid w:val="00ED7F0A"/>
    <w:rsid w:val="00EF0D04"/>
    <w:rsid w:val="00F1222D"/>
    <w:rsid w:val="00F4009F"/>
    <w:rsid w:val="00F421E7"/>
    <w:rsid w:val="00F74517"/>
    <w:rsid w:val="00FC60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2AB23"/>
  <w15:chartTrackingRefBased/>
  <w15:docId w15:val="{BF8B71A6-D8D6-41B3-ACEC-2C2497B1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27"/>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422176"/>
    <w:pPr>
      <w:keepNext/>
      <w:spacing w:before="240"/>
      <w:outlineLvl w:val="0"/>
    </w:pPr>
    <w:rPr>
      <w:rFonts w:asciiTheme="majorHAnsi" w:eastAsiaTheme="majorEastAsia" w:hAnsiTheme="majorHAnsi" w:cstheme="majorBidi"/>
      <w:sz w:val="40"/>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176"/>
    <w:rPr>
      <w:rFonts w:asciiTheme="majorHAnsi" w:eastAsiaTheme="majorEastAsia" w:hAnsiTheme="majorHAnsi" w:cstheme="majorBidi"/>
      <w:sz w:val="40"/>
      <w:szCs w:val="48"/>
      <w:lang w:val="en-US"/>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paragraph" w:styleId="ListParagraph">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EA6B0D"/>
    <w:pPr>
      <w:outlineLvl w:val="9"/>
    </w:pPr>
    <w:rPr>
      <w:rFonts w:ascii="Segoe UI Semibold" w:hAnsi="Segoe UI Semibold" w:cstheme="minorHAnsi"/>
      <w:b w:val="0"/>
      <w:color w:val="auto"/>
      <w:sz w:val="22"/>
      <w:lang w:val="en-CA"/>
    </w:rPr>
  </w:style>
  <w:style w:type="paragraph" w:styleId="Title">
    <w:name w:val="Title"/>
    <w:basedOn w:val="Normal"/>
    <w:next w:val="Normal"/>
    <w:link w:val="TitleChar"/>
    <w:autoRedefine/>
    <w:uiPriority w:val="10"/>
    <w:qFormat/>
    <w:rsid w:val="00E61DD7"/>
    <w:pPr>
      <w:spacing w:after="240"/>
      <w:contextualSpacing/>
      <w:jc w:val="center"/>
    </w:pPr>
    <w:rPr>
      <w:rFonts w:ascii="Segoe UI Light" w:eastAsiaTheme="majorEastAsia" w:hAnsi="Segoe UI Light" w:cs="Segoe UI Light"/>
      <w:spacing w:val="-10"/>
      <w:kern w:val="28"/>
      <w:sz w:val="52"/>
      <w:szCs w:val="52"/>
      <w:lang w:val="en-CA"/>
    </w:rPr>
  </w:style>
  <w:style w:type="character" w:customStyle="1" w:styleId="TitleChar">
    <w:name w:val="Title Char"/>
    <w:basedOn w:val="DefaultParagraphFont"/>
    <w:link w:val="Title"/>
    <w:uiPriority w:val="10"/>
    <w:rsid w:val="00E61DD7"/>
    <w:rPr>
      <w:rFonts w:ascii="Segoe UI Light" w:eastAsiaTheme="majorEastAsia" w:hAnsi="Segoe UI Light" w:cs="Segoe UI Light"/>
      <w:spacing w:val="-10"/>
      <w:kern w:val="28"/>
      <w:sz w:val="52"/>
      <w:szCs w:val="52"/>
    </w:rPr>
  </w:style>
  <w:style w:type="paragraph" w:styleId="NormalWeb">
    <w:name w:val="Normal (Web)"/>
    <w:basedOn w:val="Normal"/>
    <w:uiPriority w:val="99"/>
    <w:unhideWhenUsed/>
    <w:rsid w:val="007B1B27"/>
    <w:pPr>
      <w:spacing w:before="100" w:beforeAutospacing="1" w:after="100" w:afterAutospacing="1"/>
    </w:pPr>
    <w:rPr>
      <w:rFonts w:ascii="Verdana" w:hAnsi="Verdana"/>
      <w:szCs w:val="24"/>
    </w:rPr>
  </w:style>
  <w:style w:type="paragraph" w:customStyle="1" w:styleId="Level1">
    <w:name w:val="Level 1"/>
    <w:basedOn w:val="Normal"/>
    <w:uiPriority w:val="99"/>
    <w:rsid w:val="007B1B27"/>
    <w:pPr>
      <w:widowControl w:val="0"/>
    </w:pPr>
  </w:style>
  <w:style w:type="character" w:styleId="Hyperlink">
    <w:name w:val="Hyperlink"/>
    <w:uiPriority w:val="99"/>
    <w:unhideWhenUsed/>
    <w:rsid w:val="007B1B27"/>
    <w:rPr>
      <w:color w:val="0563C1"/>
      <w:u w:val="single"/>
    </w:rPr>
  </w:style>
  <w:style w:type="character" w:customStyle="1" w:styleId="CommentTextChar">
    <w:name w:val="Comment Text Char"/>
    <w:basedOn w:val="DefaultParagraphFont"/>
    <w:link w:val="CommentText"/>
    <w:uiPriority w:val="99"/>
    <w:semiHidden/>
    <w:rsid w:val="007B1B27"/>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7B1B27"/>
    <w:rPr>
      <w:sz w:val="20"/>
    </w:rPr>
  </w:style>
  <w:style w:type="character" w:customStyle="1" w:styleId="CommentSubjectChar">
    <w:name w:val="Comment Subject Char"/>
    <w:basedOn w:val="CommentTextChar"/>
    <w:link w:val="CommentSubject"/>
    <w:uiPriority w:val="99"/>
    <w:semiHidden/>
    <w:rsid w:val="007B1B27"/>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7B1B27"/>
    <w:rPr>
      <w:b/>
      <w:bCs/>
    </w:rPr>
  </w:style>
  <w:style w:type="paragraph" w:styleId="NoSpacing">
    <w:name w:val="No Spacing"/>
    <w:uiPriority w:val="1"/>
    <w:qFormat/>
    <w:rsid w:val="007B1B27"/>
    <w:pPr>
      <w:spacing w:after="0" w:line="240" w:lineRule="auto"/>
    </w:pPr>
    <w:rPr>
      <w:rFonts w:ascii="Times New Roman" w:eastAsia="Times New Roman" w:hAnsi="Times New Roman" w:cs="Times New Roman"/>
      <w:sz w:val="24"/>
      <w:szCs w:val="20"/>
      <w:lang w:val="en-US"/>
    </w:rPr>
  </w:style>
  <w:style w:type="paragraph" w:styleId="EndnoteText">
    <w:name w:val="endnote text"/>
    <w:basedOn w:val="Normal"/>
    <w:link w:val="EndnoteTextChar"/>
    <w:unhideWhenUsed/>
    <w:rsid w:val="007B1B27"/>
    <w:rPr>
      <w:rFonts w:ascii="Arial" w:hAnsi="Arial"/>
      <w:sz w:val="20"/>
      <w:lang w:val="en-CA" w:eastAsia="en-CA"/>
    </w:rPr>
  </w:style>
  <w:style w:type="character" w:customStyle="1" w:styleId="EndnoteTextChar">
    <w:name w:val="Endnote Text Char"/>
    <w:basedOn w:val="DefaultParagraphFont"/>
    <w:link w:val="EndnoteText"/>
    <w:rsid w:val="007B1B27"/>
    <w:rPr>
      <w:rFonts w:ascii="Arial" w:eastAsia="Times New Roman" w:hAnsi="Arial" w:cs="Times New Roman"/>
      <w:sz w:val="20"/>
      <w:szCs w:val="20"/>
      <w:lang w:eastAsia="en-CA"/>
    </w:rPr>
  </w:style>
  <w:style w:type="paragraph" w:customStyle="1" w:styleId="Style1">
    <w:name w:val="Style1"/>
    <w:basedOn w:val="Normal"/>
    <w:link w:val="Style1Char"/>
    <w:qFormat/>
    <w:rsid w:val="007B1B27"/>
    <w:pPr>
      <w:pBdr>
        <w:bottom w:val="single" w:sz="4" w:space="1" w:color="92D050"/>
      </w:pBdr>
      <w:autoSpaceDE w:val="0"/>
      <w:autoSpaceDN w:val="0"/>
      <w:adjustRightInd w:val="0"/>
      <w:ind w:right="50"/>
    </w:pPr>
    <w:rPr>
      <w:rFonts w:ascii="Arial" w:hAnsi="Arial" w:cs="Arial"/>
      <w:b/>
      <w:caps/>
      <w:color w:val="92D050"/>
      <w:sz w:val="22"/>
      <w:szCs w:val="22"/>
      <w:lang w:val="en-CA"/>
    </w:rPr>
  </w:style>
  <w:style w:type="character" w:customStyle="1" w:styleId="Style1Char">
    <w:name w:val="Style1 Char"/>
    <w:basedOn w:val="DefaultParagraphFont"/>
    <w:link w:val="Style1"/>
    <w:rsid w:val="007B1B27"/>
    <w:rPr>
      <w:rFonts w:ascii="Arial" w:eastAsia="Times New Roman" w:hAnsi="Arial" w:cs="Arial"/>
      <w:b/>
      <w:caps/>
      <w:color w:val="92D050"/>
    </w:rPr>
  </w:style>
  <w:style w:type="paragraph" w:customStyle="1" w:styleId="Style2">
    <w:name w:val="Style2"/>
    <w:basedOn w:val="Normal"/>
    <w:link w:val="Style2Char"/>
    <w:qFormat/>
    <w:rsid w:val="007B1B27"/>
    <w:pPr>
      <w:shd w:val="clear" w:color="auto" w:fill="F2F2F2"/>
    </w:pPr>
    <w:rPr>
      <w:rFonts w:ascii="Arial" w:hAnsi="Arial" w:cs="Arial"/>
      <w:b/>
      <w:color w:val="009999"/>
      <w:spacing w:val="-10"/>
      <w:sz w:val="22"/>
      <w:szCs w:val="22"/>
      <w:lang w:val="en-CA"/>
    </w:rPr>
  </w:style>
  <w:style w:type="character" w:customStyle="1" w:styleId="Style2Char">
    <w:name w:val="Style2 Char"/>
    <w:basedOn w:val="DefaultParagraphFont"/>
    <w:link w:val="Style2"/>
    <w:rsid w:val="007B1B27"/>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7B1B27"/>
    <w:pPr>
      <w:jc w:val="center"/>
    </w:pPr>
    <w:rPr>
      <w:rFonts w:ascii="Arial" w:hAnsi="Arial" w:cs="Arial"/>
      <w:b/>
      <w:sz w:val="22"/>
      <w:szCs w:val="22"/>
      <w:u w:val="single"/>
    </w:rPr>
  </w:style>
  <w:style w:type="character" w:customStyle="1" w:styleId="Style3Char">
    <w:name w:val="Style3 Char"/>
    <w:basedOn w:val="DefaultParagraphFont"/>
    <w:link w:val="Style3"/>
    <w:rsid w:val="007B1B27"/>
    <w:rPr>
      <w:rFonts w:ascii="Arial" w:eastAsia="Times New Roman" w:hAnsi="Arial" w:cs="Arial"/>
      <w:b/>
      <w:u w:val="single"/>
      <w:lang w:val="en-US"/>
    </w:rPr>
  </w:style>
  <w:style w:type="paragraph" w:customStyle="1" w:styleId="Style4">
    <w:name w:val="Style4"/>
    <w:basedOn w:val="Normal"/>
    <w:link w:val="Style4Char"/>
    <w:qFormat/>
    <w:rsid w:val="007B1B27"/>
    <w:rPr>
      <w:rFonts w:ascii="Arial" w:hAnsi="Arial" w:cs="Arial"/>
      <w:sz w:val="22"/>
      <w:szCs w:val="22"/>
      <w:u w:val="single"/>
      <w:lang w:val="en-CA" w:eastAsia="en-CA"/>
    </w:rPr>
  </w:style>
  <w:style w:type="character" w:customStyle="1" w:styleId="Style4Char">
    <w:name w:val="Style4 Char"/>
    <w:basedOn w:val="DefaultParagraphFont"/>
    <w:link w:val="Style4"/>
    <w:rsid w:val="007B1B27"/>
    <w:rPr>
      <w:rFonts w:ascii="Arial" w:eastAsia="Times New Roman" w:hAnsi="Arial" w:cs="Arial"/>
      <w:u w:val="single"/>
      <w:lang w:eastAsia="en-CA"/>
    </w:rPr>
  </w:style>
  <w:style w:type="paragraph" w:customStyle="1" w:styleId="Style5">
    <w:name w:val="Style5"/>
    <w:basedOn w:val="Normal"/>
    <w:link w:val="Style5Char"/>
    <w:qFormat/>
    <w:rsid w:val="007B1B27"/>
    <w:pPr>
      <w:jc w:val="center"/>
    </w:pPr>
    <w:rPr>
      <w:rFonts w:ascii="Arial" w:hAnsi="Arial" w:cs="Arial"/>
      <w:b/>
      <w:bCs/>
      <w:sz w:val="22"/>
      <w:szCs w:val="22"/>
      <w:lang w:val="en"/>
    </w:rPr>
  </w:style>
  <w:style w:type="character" w:customStyle="1" w:styleId="Style5Char">
    <w:name w:val="Style5 Char"/>
    <w:basedOn w:val="DefaultParagraphFont"/>
    <w:link w:val="Style5"/>
    <w:rsid w:val="007B1B27"/>
    <w:rPr>
      <w:rFonts w:ascii="Arial" w:eastAsia="Times New Roman" w:hAnsi="Arial" w:cs="Arial"/>
      <w:b/>
      <w:bCs/>
      <w:lang w:val="en"/>
    </w:rPr>
  </w:style>
  <w:style w:type="paragraph" w:customStyle="1" w:styleId="Style6">
    <w:name w:val="Style6"/>
    <w:basedOn w:val="Normal"/>
    <w:link w:val="Style6Char"/>
    <w:qFormat/>
    <w:rsid w:val="007B1B27"/>
    <w:pPr>
      <w:jc w:val="center"/>
    </w:pPr>
    <w:rPr>
      <w:rFonts w:ascii="Arial" w:hAnsi="Arial" w:cs="Arial"/>
      <w:b/>
      <w:color w:val="009999"/>
      <w:szCs w:val="24"/>
    </w:rPr>
  </w:style>
  <w:style w:type="character" w:customStyle="1" w:styleId="Style6Char">
    <w:name w:val="Style6 Char"/>
    <w:basedOn w:val="DefaultParagraphFont"/>
    <w:link w:val="Style6"/>
    <w:rsid w:val="007B1B27"/>
    <w:rPr>
      <w:rFonts w:ascii="Arial" w:eastAsia="Times New Roman" w:hAnsi="Arial" w:cs="Arial"/>
      <w:b/>
      <w:color w:val="009999"/>
      <w:sz w:val="24"/>
      <w:szCs w:val="24"/>
      <w:lang w:val="en-US"/>
    </w:rPr>
  </w:style>
  <w:style w:type="paragraph" w:customStyle="1" w:styleId="Style7">
    <w:name w:val="Style7"/>
    <w:basedOn w:val="Normal"/>
    <w:link w:val="Style7Char"/>
    <w:qFormat/>
    <w:rsid w:val="007B1B27"/>
    <w:pPr>
      <w:jc w:val="center"/>
    </w:pPr>
    <w:rPr>
      <w:rFonts w:ascii="Arial" w:hAnsi="Arial" w:cs="Arial"/>
      <w:color w:val="009999"/>
      <w:sz w:val="22"/>
      <w:szCs w:val="32"/>
    </w:rPr>
  </w:style>
  <w:style w:type="character" w:customStyle="1" w:styleId="Style7Char">
    <w:name w:val="Style7 Char"/>
    <w:basedOn w:val="DefaultParagraphFont"/>
    <w:link w:val="Style7"/>
    <w:rsid w:val="007B1B27"/>
    <w:rPr>
      <w:rFonts w:ascii="Arial" w:eastAsia="Times New Roman" w:hAnsi="Arial" w:cs="Arial"/>
      <w:color w:val="009999"/>
      <w:szCs w:val="32"/>
      <w:lang w:val="en-US"/>
    </w:rPr>
  </w:style>
  <w:style w:type="paragraph" w:customStyle="1" w:styleId="Style8">
    <w:name w:val="Style8"/>
    <w:basedOn w:val="Normal"/>
    <w:link w:val="Style8Char"/>
    <w:qFormat/>
    <w:rsid w:val="007B1B27"/>
    <w:rPr>
      <w:rFonts w:ascii="Arial" w:hAnsi="Arial" w:cs="Arial"/>
      <w:color w:val="767171"/>
      <w:sz w:val="16"/>
      <w:szCs w:val="22"/>
      <w:lang w:val="en-CA"/>
    </w:rPr>
  </w:style>
  <w:style w:type="character" w:customStyle="1" w:styleId="Style8Char">
    <w:name w:val="Style8 Char"/>
    <w:basedOn w:val="DefaultParagraphFont"/>
    <w:link w:val="Style8"/>
    <w:rsid w:val="007B1B27"/>
    <w:rPr>
      <w:rFonts w:ascii="Arial" w:eastAsia="Times New Roman" w:hAnsi="Arial" w:cs="Arial"/>
      <w:color w:val="767171"/>
      <w:sz w:val="16"/>
    </w:rPr>
  </w:style>
  <w:style w:type="paragraph" w:customStyle="1" w:styleId="Style9">
    <w:name w:val="Style9"/>
    <w:basedOn w:val="Normal"/>
    <w:link w:val="Style9Char"/>
    <w:qFormat/>
    <w:rsid w:val="007B1B27"/>
    <w:rPr>
      <w:rFonts w:ascii="Arial" w:hAnsi="Arial" w:cs="Arial"/>
      <w:b/>
      <w:color w:val="009999"/>
      <w:spacing w:val="-10"/>
      <w:sz w:val="22"/>
      <w:szCs w:val="22"/>
      <w:lang w:val="en-CA"/>
    </w:rPr>
  </w:style>
  <w:style w:type="character" w:customStyle="1" w:styleId="Style9Char">
    <w:name w:val="Style9 Char"/>
    <w:basedOn w:val="DefaultParagraphFont"/>
    <w:link w:val="Style9"/>
    <w:rsid w:val="007B1B27"/>
    <w:rPr>
      <w:rFonts w:ascii="Arial" w:eastAsia="Times New Roman" w:hAnsi="Arial" w:cs="Arial"/>
      <w:b/>
      <w:color w:val="009999"/>
      <w:spacing w:val="-10"/>
    </w:rPr>
  </w:style>
  <w:style w:type="character" w:customStyle="1" w:styleId="tlid-translation">
    <w:name w:val="tlid-translation"/>
    <w:basedOn w:val="DefaultParagraphFont"/>
    <w:rsid w:val="007B1B27"/>
  </w:style>
  <w:style w:type="character" w:customStyle="1" w:styleId="st1">
    <w:name w:val="st1"/>
    <w:basedOn w:val="DefaultParagraphFont"/>
    <w:rsid w:val="007B1B27"/>
  </w:style>
  <w:style w:type="character" w:styleId="FollowedHyperlink">
    <w:name w:val="FollowedHyperlink"/>
    <w:basedOn w:val="DefaultParagraphFont"/>
    <w:uiPriority w:val="99"/>
    <w:semiHidden/>
    <w:unhideWhenUsed/>
    <w:rsid w:val="00AB0297"/>
    <w:rPr>
      <w:color w:val="A5A5A5" w:themeColor="followedHyperlink"/>
      <w:u w:val="single"/>
    </w:rPr>
  </w:style>
  <w:style w:type="table" w:styleId="GridTable5Dark">
    <w:name w:val="Grid Table 5 Dark"/>
    <w:basedOn w:val="TableNormal"/>
    <w:uiPriority w:val="50"/>
    <w:rsid w:val="004411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75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75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75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75A" w:themeFill="text1"/>
      </w:tcPr>
    </w:tblStylePr>
    <w:tblStylePr w:type="band1Vert">
      <w:tblPr/>
      <w:tcPr>
        <w:shd w:val="clear" w:color="auto" w:fill="B9BBBE" w:themeFill="text1" w:themeFillTint="66"/>
      </w:tcPr>
    </w:tblStylePr>
    <w:tblStylePr w:type="band1Horz">
      <w:tblPr/>
      <w:tcPr>
        <w:shd w:val="clear" w:color="auto" w:fill="B9BBBE" w:themeFill="text1" w:themeFillTint="66"/>
      </w:tcPr>
    </w:tblStylePr>
  </w:style>
  <w:style w:type="table" w:styleId="GridTable5Dark-Accent3">
    <w:name w:val="Grid Table 5 Dark Accent 3"/>
    <w:basedOn w:val="TableNormal"/>
    <w:uiPriority w:val="50"/>
    <w:rsid w:val="00082E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9A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9A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9A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9A8" w:themeFill="accent3"/>
      </w:tcPr>
    </w:tblStylePr>
    <w:tblStylePr w:type="band1Vert">
      <w:tblPr/>
      <w:tcPr>
        <w:shd w:val="clear" w:color="auto" w:fill="76F2FF" w:themeFill="accent3" w:themeFillTint="66"/>
      </w:tcPr>
    </w:tblStylePr>
    <w:tblStylePr w:type="band1Horz">
      <w:tblPr/>
      <w:tcPr>
        <w:shd w:val="clear" w:color="auto" w:fill="76F2FF" w:themeFill="accent3" w:themeFillTint="66"/>
      </w:tcPr>
    </w:tblStylePr>
  </w:style>
  <w:style w:type="character" w:styleId="Strong">
    <w:name w:val="Strong"/>
    <w:basedOn w:val="DefaultParagraphFont"/>
    <w:uiPriority w:val="22"/>
    <w:qFormat/>
    <w:rsid w:val="007A1D63"/>
    <w:rPr>
      <w:rFonts w:asciiTheme="minorHAnsi" w:hAnsiTheme="minorHAnsi"/>
      <w:b/>
      <w:bCs/>
      <w:color w:val="auto"/>
      <w:sz w:val="22"/>
    </w:rPr>
  </w:style>
  <w:style w:type="character" w:styleId="Emphasis">
    <w:name w:val="Emphasis"/>
    <w:uiPriority w:val="20"/>
    <w:qFormat/>
    <w:rsid w:val="0050539C"/>
    <w:rPr>
      <w:rFonts w:asciiTheme="minorHAnsi" w:hAnsiTheme="minorHAnsi" w:cstheme="minorHAnsi"/>
      <w:sz w:val="22"/>
      <w:lang w:val="en-CA"/>
    </w:rPr>
  </w:style>
  <w:style w:type="paragraph" w:styleId="Caption">
    <w:name w:val="caption"/>
    <w:basedOn w:val="Normal"/>
    <w:next w:val="Normal"/>
    <w:uiPriority w:val="35"/>
    <w:unhideWhenUsed/>
    <w:qFormat/>
    <w:rsid w:val="00D64481"/>
    <w:pPr>
      <w:spacing w:after="200"/>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8873">
      <w:bodyDiv w:val="1"/>
      <w:marLeft w:val="0"/>
      <w:marRight w:val="0"/>
      <w:marTop w:val="0"/>
      <w:marBottom w:val="0"/>
      <w:divBdr>
        <w:top w:val="none" w:sz="0" w:space="0" w:color="auto"/>
        <w:left w:val="none" w:sz="0" w:space="0" w:color="auto"/>
        <w:bottom w:val="none" w:sz="0" w:space="0" w:color="auto"/>
        <w:right w:val="none" w:sz="0" w:space="0" w:color="auto"/>
      </w:divBdr>
    </w:div>
    <w:div w:id="1005136490">
      <w:bodyDiv w:val="1"/>
      <w:marLeft w:val="0"/>
      <w:marRight w:val="0"/>
      <w:marTop w:val="0"/>
      <w:marBottom w:val="0"/>
      <w:divBdr>
        <w:top w:val="none" w:sz="0" w:space="0" w:color="auto"/>
        <w:left w:val="none" w:sz="0" w:space="0" w:color="auto"/>
        <w:bottom w:val="none" w:sz="0" w:space="0" w:color="auto"/>
        <w:right w:val="none" w:sz="0" w:space="0" w:color="auto"/>
      </w:divBdr>
    </w:div>
    <w:div w:id="1060178793">
      <w:bodyDiv w:val="1"/>
      <w:marLeft w:val="0"/>
      <w:marRight w:val="0"/>
      <w:marTop w:val="0"/>
      <w:marBottom w:val="0"/>
      <w:divBdr>
        <w:top w:val="none" w:sz="0" w:space="0" w:color="auto"/>
        <w:left w:val="none" w:sz="0" w:space="0" w:color="auto"/>
        <w:bottom w:val="none" w:sz="0" w:space="0" w:color="auto"/>
        <w:right w:val="none" w:sz="0" w:space="0" w:color="auto"/>
      </w:divBdr>
    </w:div>
    <w:div w:id="1387296752">
      <w:bodyDiv w:val="1"/>
      <w:marLeft w:val="0"/>
      <w:marRight w:val="0"/>
      <w:marTop w:val="0"/>
      <w:marBottom w:val="0"/>
      <w:divBdr>
        <w:top w:val="none" w:sz="0" w:space="0" w:color="auto"/>
        <w:left w:val="none" w:sz="0" w:space="0" w:color="auto"/>
        <w:bottom w:val="none" w:sz="0" w:space="0" w:color="auto"/>
        <w:right w:val="none" w:sz="0" w:space="0" w:color="auto"/>
      </w:divBdr>
    </w:div>
    <w:div w:id="171673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hyperlink" Target="https://www.canada.ca/en/government/publicservice/wellness-inclusion-diversity-public-service/diversity-inclusion-public-service/employment-equity-annual-reports/employment-equity-public-service-canada-2017-2018.html"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CA" sz="1200" b="1"/>
              <a:t>Population by tenure as of March 31</a:t>
            </a:r>
          </a:p>
        </c:rich>
      </c:tx>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2015 
(N=312) </c:v>
                </c:pt>
                <c:pt idx="1">
                  <c:v> 2016 
(N=336)</c:v>
                </c:pt>
                <c:pt idx="2">
                  <c:v> 2017 
(N=472) </c:v>
                </c:pt>
                <c:pt idx="3">
                  <c:v> 2018 
(N=458) </c:v>
                </c:pt>
                <c:pt idx="4">
                  <c:v> 2019
(N=480) </c:v>
                </c:pt>
              </c:strCache>
            </c:strRef>
          </c:cat>
          <c:val>
            <c:numRef>
              <c:f>Sheet1!$B$2:$B$6</c:f>
              <c:numCache>
                <c:formatCode>######0</c:formatCode>
                <c:ptCount val="5"/>
                <c:pt idx="0">
                  <c:v>275</c:v>
                </c:pt>
                <c:pt idx="1">
                  <c:v>290</c:v>
                </c:pt>
                <c:pt idx="2">
                  <c:v>394</c:v>
                </c:pt>
                <c:pt idx="3">
                  <c:v>397</c:v>
                </c:pt>
                <c:pt idx="4">
                  <c:v>420</c:v>
                </c:pt>
              </c:numCache>
            </c:numRef>
          </c:val>
          <c:extLst>
            <c:ext xmlns:c16="http://schemas.microsoft.com/office/drawing/2014/chart" uri="{C3380CC4-5D6E-409C-BE32-E72D297353CC}">
              <c16:uniqueId val="{00000000-4E8F-481F-B725-DB188FFA9DAF}"/>
            </c:ext>
          </c:extLst>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8F-481F-B725-DB188FFA9DAF}"/>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8F-481F-B725-DB188FFA9DAF}"/>
                </c:ext>
              </c:extLst>
            </c:dLbl>
            <c:dLbl>
              <c:idx val="2"/>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8F-481F-B725-DB188FFA9DAF}"/>
                </c:ext>
              </c:extLst>
            </c:dLbl>
            <c:dLbl>
              <c:idx val="3"/>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8F-481F-B725-DB188FFA9DAF}"/>
                </c:ext>
              </c:extLst>
            </c:dLbl>
            <c:dLbl>
              <c:idx val="4"/>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8F-481F-B725-DB188FFA9DAF}"/>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2015 
(N=312) </c:v>
                </c:pt>
                <c:pt idx="1">
                  <c:v> 2016 
(N=336)</c:v>
                </c:pt>
                <c:pt idx="2">
                  <c:v> 2017 
(N=472) </c:v>
                </c:pt>
                <c:pt idx="3">
                  <c:v> 2018 
(N=458) </c:v>
                </c:pt>
                <c:pt idx="4">
                  <c:v> 2019
(N=480) </c:v>
                </c:pt>
              </c:strCache>
            </c:strRef>
          </c:cat>
          <c:val>
            <c:numRef>
              <c:f>Sheet1!$C$2:$C$6</c:f>
              <c:numCache>
                <c:formatCode>######0</c:formatCode>
                <c:ptCount val="5"/>
                <c:pt idx="0">
                  <c:v>11</c:v>
                </c:pt>
                <c:pt idx="1">
                  <c:v>12</c:v>
                </c:pt>
                <c:pt idx="2">
                  <c:v>36</c:v>
                </c:pt>
                <c:pt idx="3">
                  <c:v>33</c:v>
                </c:pt>
                <c:pt idx="4">
                  <c:v>18</c:v>
                </c:pt>
              </c:numCache>
            </c:numRef>
          </c:val>
          <c:extLst>
            <c:ext xmlns:c16="http://schemas.microsoft.com/office/drawing/2014/chart" uri="{C3380CC4-5D6E-409C-BE32-E72D297353CC}">
              <c16:uniqueId val="{00000006-4E8F-481F-B725-DB188FFA9DAF}"/>
            </c:ext>
          </c:extLst>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2015 
(N=312) </c:v>
                </c:pt>
                <c:pt idx="1">
                  <c:v> 2016 
(N=336)</c:v>
                </c:pt>
                <c:pt idx="2">
                  <c:v> 2017 
(N=472) </c:v>
                </c:pt>
                <c:pt idx="3">
                  <c:v> 2018 
(N=458) </c:v>
                </c:pt>
                <c:pt idx="4">
                  <c:v> 2019
(N=480) </c:v>
                </c:pt>
              </c:strCache>
            </c:strRef>
          </c:cat>
          <c:val>
            <c:numRef>
              <c:f>Sheet1!$D$2:$D$6</c:f>
              <c:numCache>
                <c:formatCode>######0</c:formatCode>
                <c:ptCount val="5"/>
                <c:pt idx="0">
                  <c:v>23</c:v>
                </c:pt>
                <c:pt idx="1">
                  <c:v>24</c:v>
                </c:pt>
                <c:pt idx="2">
                  <c:v>30</c:v>
                </c:pt>
                <c:pt idx="3">
                  <c:v>21</c:v>
                </c:pt>
                <c:pt idx="4">
                  <c:v>31</c:v>
                </c:pt>
              </c:numCache>
            </c:numRef>
          </c:val>
          <c:extLst>
            <c:ext xmlns:c16="http://schemas.microsoft.com/office/drawing/2014/chart" uri="{C3380CC4-5D6E-409C-BE32-E72D297353CC}">
              <c16:uniqueId val="{00000007-4E8F-481F-B725-DB188FFA9DAF}"/>
            </c:ext>
          </c:extLst>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8F-481F-B725-DB188FFA9DAF}"/>
                </c:ext>
              </c:extLst>
            </c:dLbl>
            <c:dLbl>
              <c:idx val="1"/>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8F-481F-B725-DB188FFA9DAF}"/>
                </c:ext>
              </c:extLst>
            </c:dLbl>
            <c:dLbl>
              <c:idx val="2"/>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8F-481F-B725-DB188FFA9DAF}"/>
                </c:ext>
              </c:extLst>
            </c:dLbl>
            <c:dLbl>
              <c:idx val="3"/>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E8F-481F-B725-DB188FFA9DAF}"/>
                </c:ext>
              </c:extLst>
            </c:dLbl>
            <c:dLbl>
              <c:idx val="4"/>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E8F-481F-B725-DB188FFA9D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2015 
(N=312) </c:v>
                </c:pt>
                <c:pt idx="1">
                  <c:v> 2016 
(N=336)</c:v>
                </c:pt>
                <c:pt idx="2">
                  <c:v> 2017 
(N=472) </c:v>
                </c:pt>
                <c:pt idx="3">
                  <c:v> 2018 
(N=458) </c:v>
                </c:pt>
                <c:pt idx="4">
                  <c:v> 2019
(N=480) </c:v>
                </c:pt>
              </c:strCache>
            </c:strRef>
          </c:cat>
          <c:val>
            <c:numRef>
              <c:f>Sheet1!$E$2:$E$6</c:f>
              <c:numCache>
                <c:formatCode>######0</c:formatCode>
                <c:ptCount val="5"/>
                <c:pt idx="0">
                  <c:v>3</c:v>
                </c:pt>
                <c:pt idx="1">
                  <c:v>10</c:v>
                </c:pt>
                <c:pt idx="2">
                  <c:v>12</c:v>
                </c:pt>
                <c:pt idx="3">
                  <c:v>7</c:v>
                </c:pt>
                <c:pt idx="4">
                  <c:v>11</c:v>
                </c:pt>
              </c:numCache>
            </c:numRef>
          </c:val>
          <c:extLst>
            <c:ext xmlns:c16="http://schemas.microsoft.com/office/drawing/2014/chart" uri="{C3380CC4-5D6E-409C-BE32-E72D297353CC}">
              <c16:uniqueId val="{0000000D-4E8F-481F-B725-DB188FFA9DAF}"/>
            </c:ext>
          </c:extLst>
        </c:ser>
        <c:dLbls>
          <c:dLblPos val="ctr"/>
          <c:showLegendKey val="0"/>
          <c:showVal val="1"/>
          <c:showCatName val="0"/>
          <c:showSerName val="0"/>
          <c:showPercent val="0"/>
          <c:showBubbleSize val="0"/>
        </c:dLbls>
        <c:gapWidth val="150"/>
        <c:overlap val="100"/>
        <c:axId val="632391248"/>
        <c:axId val="632389288"/>
      </c:barChart>
      <c:catAx>
        <c:axId val="63239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89288"/>
        <c:crosses val="autoZero"/>
        <c:auto val="1"/>
        <c:lblAlgn val="ctr"/>
        <c:lblOffset val="100"/>
        <c:noMultiLvlLbl val="0"/>
      </c:catAx>
      <c:valAx>
        <c:axId val="63238928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9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a:solidFill>
                  <a:sysClr val="windowText" lastClr="000000"/>
                </a:solidFill>
              </a:rPr>
              <a:t>Student program hires</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(N=2)</c:v>
                </c:pt>
                <c:pt idx="1">
                  <c:v>2015-16
 (N=25)</c:v>
                </c:pt>
                <c:pt idx="2">
                  <c:v>2016-17
 (N=17)</c:v>
                </c:pt>
                <c:pt idx="3">
                  <c:v>2017-18
 (N=16)</c:v>
                </c:pt>
                <c:pt idx="4">
                  <c:v>2018-19
 (N=30)</c:v>
                </c:pt>
              </c:strCache>
            </c:strRef>
          </c:cat>
          <c:val>
            <c:numRef>
              <c:f>Sheet1!$B$2:$B$6</c:f>
              <c:numCache>
                <c:formatCode>General</c:formatCode>
                <c:ptCount val="5"/>
                <c:pt idx="1">
                  <c:v>13</c:v>
                </c:pt>
                <c:pt idx="2">
                  <c:v>13</c:v>
                </c:pt>
                <c:pt idx="3">
                  <c:v>13</c:v>
                </c:pt>
                <c:pt idx="4">
                  <c:v>28</c:v>
                </c:pt>
              </c:numCache>
            </c:numRef>
          </c:val>
          <c:extLst>
            <c:ext xmlns:c16="http://schemas.microsoft.com/office/drawing/2014/chart" uri="{C3380CC4-5D6E-409C-BE32-E72D297353CC}">
              <c16:uniqueId val="{00000000-1571-4190-8F11-6CC983EE2FCB}"/>
            </c:ext>
          </c:extLst>
        </c:ser>
        <c:ser>
          <c:idx val="1"/>
          <c:order val="1"/>
          <c:tx>
            <c:strRef>
              <c:f>Sheet1!$C$1</c:f>
              <c:strCache>
                <c:ptCount val="1"/>
                <c:pt idx="0">
                  <c:v>Post-Secondary CO-OP/Internship Program (COOP)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(N=2)</c:v>
                </c:pt>
                <c:pt idx="1">
                  <c:v>2015-16
 (N=25)</c:v>
                </c:pt>
                <c:pt idx="2">
                  <c:v>2016-17
 (N=17)</c:v>
                </c:pt>
                <c:pt idx="3">
                  <c:v>2017-18
 (N=16)</c:v>
                </c:pt>
                <c:pt idx="4">
                  <c:v>2018-19
 (N=30)</c:v>
                </c:pt>
              </c:strCache>
            </c:strRef>
          </c:cat>
          <c:val>
            <c:numRef>
              <c:f>Sheet1!$C$2:$C$6</c:f>
              <c:numCache>
                <c:formatCode>General</c:formatCode>
                <c:ptCount val="5"/>
                <c:pt idx="0">
                  <c:v>2</c:v>
                </c:pt>
                <c:pt idx="1">
                  <c:v>12</c:v>
                </c:pt>
                <c:pt idx="2">
                  <c:v>4</c:v>
                </c:pt>
                <c:pt idx="3">
                  <c:v>3</c:v>
                </c:pt>
                <c:pt idx="4">
                  <c:v>2</c:v>
                </c:pt>
              </c:numCache>
            </c:numRef>
          </c:val>
          <c:extLst>
            <c:ext xmlns:c16="http://schemas.microsoft.com/office/drawing/2014/chart" uri="{C3380CC4-5D6E-409C-BE32-E72D297353CC}">
              <c16:uniqueId val="{00000001-1571-4190-8F11-6CC983EE2FCB}"/>
            </c:ext>
          </c:extLst>
        </c:ser>
        <c:ser>
          <c:idx val="2"/>
          <c:order val="2"/>
          <c:tx>
            <c:strRef>
              <c:f>Sheet1!$D$1</c:f>
              <c:strCache>
                <c:ptCount val="1"/>
                <c:pt idx="0">
                  <c:v>Research Affiliate Program (RAP)</c:v>
                </c:pt>
              </c:strCache>
            </c:strRef>
          </c:tx>
          <c:spPr>
            <a:solidFill>
              <a:schemeClr val="accent3"/>
            </a:solidFill>
            <a:ln>
              <a:noFill/>
            </a:ln>
            <a:effectLst/>
          </c:spPr>
          <c:invertIfNegative val="0"/>
          <c:dLbls>
            <c:dLbl>
              <c:idx val="0"/>
              <c:layout>
                <c:manualLayout>
                  <c:x val="0"/>
                  <c:y val="-2.6861089792785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71-4190-8F11-6CC983EE2FCB}"/>
                </c:ext>
              </c:extLst>
            </c:dLbl>
            <c:dLbl>
              <c:idx val="1"/>
              <c:layout>
                <c:manualLayout>
                  <c:x val="-7.5290026889317413E-17"/>
                  <c:y val="-2.6861089792785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71-4190-8F11-6CC983EE2FCB}"/>
                </c:ext>
              </c:extLst>
            </c:dLbl>
            <c:dLbl>
              <c:idx val="2"/>
              <c:layout>
                <c:manualLayout>
                  <c:x val="0"/>
                  <c:y val="-2.30237912509593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71-4190-8F11-6CC983EE2FCB}"/>
                </c:ext>
              </c:extLst>
            </c:dLbl>
            <c:dLbl>
              <c:idx val="3"/>
              <c:layout>
                <c:manualLayout>
                  <c:x val="-1.5058005377863483E-16"/>
                  <c:y val="-2.30237912509593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71-4190-8F11-6CC983EE2FCB}"/>
                </c:ext>
              </c:extLst>
            </c:dLbl>
            <c:dLbl>
              <c:idx val="4"/>
              <c:layout>
                <c:manualLayout>
                  <c:x val="8.2135523613961533E-3"/>
                  <c:y val="-2.6861089792785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71-4190-8F11-6CC983EE2F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(N=2)</c:v>
                </c:pt>
                <c:pt idx="1">
                  <c:v>2015-16
 (N=25)</c:v>
                </c:pt>
                <c:pt idx="2">
                  <c:v>2016-17
 (N=17)</c:v>
                </c:pt>
                <c:pt idx="3">
                  <c:v>2017-18
 (N=16)</c:v>
                </c:pt>
                <c:pt idx="4">
                  <c:v>2018-19
 (N=30)</c:v>
                </c:pt>
              </c:strCache>
            </c:strRef>
          </c:cat>
          <c:val>
            <c:numRef>
              <c:f>Sheet1!$D$2:$D$6</c:f>
              <c:numCache>
                <c:formatCode>General</c:formatCode>
                <c:ptCount val="5"/>
              </c:numCache>
            </c:numRef>
          </c:val>
          <c:extLst>
            <c:ext xmlns:c16="http://schemas.microsoft.com/office/drawing/2014/chart" uri="{C3380CC4-5D6E-409C-BE32-E72D297353CC}">
              <c16:uniqueId val="{00000007-1571-4190-8F11-6CC983EE2FCB}"/>
            </c:ext>
          </c:extLst>
        </c:ser>
        <c:dLbls>
          <c:dLblPos val="ctr"/>
          <c:showLegendKey val="0"/>
          <c:showVal val="1"/>
          <c:showCatName val="0"/>
          <c:showSerName val="0"/>
          <c:showPercent val="0"/>
          <c:showBubbleSize val="0"/>
        </c:dLbls>
        <c:gapWidth val="150"/>
        <c:overlap val="100"/>
        <c:axId val="632375960"/>
        <c:axId val="632377136"/>
      </c:barChart>
      <c:catAx>
        <c:axId val="63237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77136"/>
        <c:crosses val="autoZero"/>
        <c:auto val="1"/>
        <c:lblAlgn val="ctr"/>
        <c:lblOffset val="100"/>
        <c:noMultiLvlLbl val="0"/>
      </c:catAx>
      <c:valAx>
        <c:axId val="632377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75960"/>
        <c:crosses val="autoZero"/>
        <c:crossBetween val="between"/>
      </c:valAx>
      <c:spPr>
        <a:noFill/>
        <a:ln>
          <a:noFill/>
        </a:ln>
        <a:effectLst/>
      </c:spPr>
    </c:plotArea>
    <c:legend>
      <c:legendPos val="b"/>
      <c:layout>
        <c:manualLayout>
          <c:xMode val="edge"/>
          <c:yMode val="edge"/>
          <c:x val="4.2890265000242525E-2"/>
          <c:y val="0.83451514071101818"/>
          <c:w val="0.86904460864363209"/>
          <c:h val="0.138623769496195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b="1" i="0" baseline="0">
                <a:solidFill>
                  <a:sysClr val="windowText" lastClr="000000"/>
                </a:solidFill>
                <a:effectLst/>
              </a:rPr>
              <a:t>External indeterminate and term hiring activities: Post-Secondary Recruitment Program and former student hires</a:t>
            </a:r>
            <a:endParaRPr lang="en-CA" sz="12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7022396980082442E-17"/>
                  <c:y val="1.1511895625479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94-4E33-8946-0DA8D3D22CC2}"/>
                </c:ext>
              </c:extLst>
            </c:dLbl>
            <c:dLbl>
              <c:idx val="1"/>
              <c:layout>
                <c:manualLayout>
                  <c:x val="0"/>
                  <c:y val="1.1511895625479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94-4E33-8946-0DA8D3D22CC2}"/>
                </c:ext>
              </c:extLst>
            </c:dLbl>
            <c:dLbl>
              <c:idx val="2"/>
              <c:layout>
                <c:manualLayout>
                  <c:x val="0"/>
                  <c:y val="7.67459708365310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94-4E33-8946-0DA8D3D22CC2}"/>
                </c:ext>
              </c:extLst>
            </c:dLbl>
            <c:dLbl>
              <c:idx val="3"/>
              <c:layout>
                <c:manualLayout>
                  <c:x val="-3.7140204271123491E-3"/>
                  <c:y val="3.83729854182648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94-4E33-8946-0DA8D3D22CC2}"/>
                </c:ext>
              </c:extLst>
            </c:dLbl>
            <c:dLbl>
              <c:idx val="4"/>
              <c:layout>
                <c:manualLayout>
                  <c:x val="0"/>
                  <c:y val="1.1511895625479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94-4E33-8946-0DA8D3D22C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0</c:v>
                </c:pt>
                <c:pt idx="1">
                  <c:v>2</c:v>
                </c:pt>
                <c:pt idx="2">
                  <c:v>1</c:v>
                </c:pt>
                <c:pt idx="3">
                  <c:v>1</c:v>
                </c:pt>
                <c:pt idx="4">
                  <c:v>1</c:v>
                </c:pt>
              </c:numCache>
            </c:numRef>
          </c:val>
          <c:extLst>
            <c:ext xmlns:c16="http://schemas.microsoft.com/office/drawing/2014/chart" uri="{C3380CC4-5D6E-409C-BE32-E72D297353CC}">
              <c16:uniqueId val="{00000005-2594-4E33-8946-0DA8D3D22CC2}"/>
            </c:ext>
          </c:extLst>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1</c:v>
                </c:pt>
                <c:pt idx="1">
                  <c:v>7</c:v>
                </c:pt>
                <c:pt idx="2">
                  <c:v>14</c:v>
                </c:pt>
                <c:pt idx="3">
                  <c:v>15</c:v>
                </c:pt>
                <c:pt idx="4">
                  <c:v>11</c:v>
                </c:pt>
              </c:numCache>
            </c:numRef>
          </c:val>
          <c:extLst>
            <c:ext xmlns:c16="http://schemas.microsoft.com/office/drawing/2014/chart" uri="{C3380CC4-5D6E-409C-BE32-E72D297353CC}">
              <c16:uniqueId val="{00000006-2594-4E33-8946-0DA8D3D22CC2}"/>
            </c:ext>
          </c:extLst>
        </c:ser>
        <c:dLbls>
          <c:showLegendKey val="0"/>
          <c:showVal val="1"/>
          <c:showCatName val="0"/>
          <c:showSerName val="0"/>
          <c:showPercent val="0"/>
          <c:showBubbleSize val="0"/>
        </c:dLbls>
        <c:gapWidth val="150"/>
        <c:shape val="box"/>
        <c:axId val="632378312"/>
        <c:axId val="632382232"/>
        <c:axId val="0"/>
      </c:bar3DChart>
      <c:catAx>
        <c:axId val="632378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82232"/>
        <c:crosses val="autoZero"/>
        <c:auto val="1"/>
        <c:lblAlgn val="ctr"/>
        <c:lblOffset val="100"/>
        <c:noMultiLvlLbl val="0"/>
      </c:catAx>
      <c:valAx>
        <c:axId val="63238223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78312"/>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latin typeface="+mn-lt"/>
              </a:rPr>
              <a:t>Internal time to staff</a:t>
            </a:r>
          </a:p>
          <a:p>
            <a:pPr>
              <a:defRPr sz="1200"/>
            </a:pPr>
            <a:r>
              <a:rPr lang="en-CA" sz="1200" b="1" i="0" baseline="0">
                <a:solidFill>
                  <a:sysClr val="windowText" lastClr="000000"/>
                </a:solidFill>
                <a:effectLst/>
                <a:latin typeface="+mn-lt"/>
              </a:rPr>
              <a:t>Public service median = 176 days</a:t>
            </a:r>
            <a:endParaRPr lang="en-CA" sz="1200" b="1">
              <a:solidFill>
                <a:sysClr val="windowText" lastClr="000000"/>
              </a:solidFill>
              <a:effectLst/>
              <a:latin typeface="+mn-lt"/>
            </a:endParaRPr>
          </a:p>
          <a:p>
            <a:pPr>
              <a:defRPr sz="1200"/>
            </a:pPr>
            <a:r>
              <a:rPr lang="en-CA" sz="1200" b="1" i="0" baseline="0">
                <a:effectLst/>
                <a:latin typeface="+mn-lt"/>
              </a:rPr>
              <a:t> </a:t>
            </a:r>
            <a:r>
              <a:rPr lang="en-CA" sz="1200" baseline="0">
                <a:solidFill>
                  <a:sysClr val="windowText" lastClr="000000"/>
                </a:solidFill>
                <a:latin typeface="+mn-lt"/>
              </a:rPr>
              <a:t>2018-2019</a:t>
            </a:r>
            <a:endParaRPr lang="en-CA" sz="1200">
              <a:solidFill>
                <a:sysClr val="windowText" lastClr="000000"/>
              </a:solidFill>
              <a:latin typeface="+mn-lt"/>
            </a:endParaRP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58</c:v>
                </c:pt>
                <c:pt idx="14">
                  <c:v>51</c:v>
                </c:pt>
                <c:pt idx="15">
                  <c:v>49</c:v>
                </c:pt>
                <c:pt idx="16">
                  <c:v>40</c:v>
                </c:pt>
                <c:pt idx="17">
                  <c:v>38</c:v>
                </c:pt>
                <c:pt idx="18">
                  <c:v>31</c:v>
                </c:pt>
                <c:pt idx="19">
                  <c:v>23</c:v>
                </c:pt>
                <c:pt idx="20">
                  <c:v>21</c:v>
                </c:pt>
                <c:pt idx="21">
                  <c:v>10</c:v>
                </c:pt>
                <c:pt idx="22">
                  <c:v>19</c:v>
                </c:pt>
                <c:pt idx="23">
                  <c:v>3</c:v>
                </c:pt>
                <c:pt idx="24">
                  <c:v>12</c:v>
                </c:pt>
                <c:pt idx="25">
                  <c:v>6</c:v>
                </c:pt>
                <c:pt idx="26">
                  <c:v>5</c:v>
                </c:pt>
                <c:pt idx="27">
                  <c:v>8</c:v>
                </c:pt>
                <c:pt idx="28">
                  <c:v>3</c:v>
                </c:pt>
                <c:pt idx="29">
                  <c:v>10</c:v>
                </c:pt>
                <c:pt idx="30">
                  <c:v>4</c:v>
                </c:pt>
                <c:pt idx="31">
                  <c:v>5</c:v>
                </c:pt>
                <c:pt idx="32">
                  <c:v>4</c:v>
                </c:pt>
                <c:pt idx="33">
                  <c:v>3</c:v>
                </c:pt>
                <c:pt idx="34">
                  <c:v>23</c:v>
                </c:pt>
              </c:numCache>
            </c:numRef>
          </c:val>
          <c:extLst>
            <c:ext xmlns:c16="http://schemas.microsoft.com/office/drawing/2014/chart" uri="{C3380CC4-5D6E-409C-BE32-E72D297353CC}">
              <c16:uniqueId val="{00000000-1BD0-4EC0-BD47-DAF7D8BD4E08}"/>
            </c:ext>
          </c:extLst>
        </c:ser>
        <c:dLbls>
          <c:showLegendKey val="0"/>
          <c:showVal val="0"/>
          <c:showCatName val="0"/>
          <c:showSerName val="0"/>
          <c:showPercent val="0"/>
          <c:showBubbleSize val="0"/>
        </c:dLbls>
        <c:gapWidth val="150"/>
        <c:overlap val="100"/>
        <c:axId val="636974000"/>
        <c:axId val="636972040"/>
      </c:barChart>
      <c:catAx>
        <c:axId val="63697400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6972040"/>
        <c:crosses val="autoZero"/>
        <c:auto val="1"/>
        <c:lblAlgn val="ctr"/>
        <c:lblOffset val="100"/>
        <c:noMultiLvlLbl val="0"/>
      </c:catAx>
      <c:valAx>
        <c:axId val="636972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6974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rPr>
              <a:t>External time to staff</a:t>
            </a:r>
          </a:p>
          <a:p>
            <a:pPr>
              <a:defRPr sz="1200"/>
            </a:pPr>
            <a:r>
              <a:rPr lang="en-CA" sz="1200" b="1" i="0" baseline="0">
                <a:solidFill>
                  <a:sysClr val="windowText" lastClr="000000"/>
                </a:solidFill>
                <a:effectLst/>
              </a:rPr>
              <a:t>Public service median = 186 days</a:t>
            </a:r>
            <a:endParaRPr lang="en-CA" sz="1200">
              <a:solidFill>
                <a:sysClr val="windowText" lastClr="000000"/>
              </a:solidFill>
              <a:effectLst/>
            </a:endParaRPr>
          </a:p>
          <a:p>
            <a:pPr>
              <a:defRPr sz="1200"/>
            </a:pPr>
            <a:r>
              <a:rPr lang="en-CA" sz="1200" b="1" i="0" baseline="0">
                <a:effectLst/>
              </a:rPr>
              <a:t> </a:t>
            </a:r>
            <a:r>
              <a:rPr lang="en-CA" sz="1200" baseline="0">
                <a:solidFill>
                  <a:sysClr val="windowText" lastClr="000000"/>
                </a:solidFill>
              </a:rPr>
              <a:t>2018-2019</a:t>
            </a:r>
            <a:endParaRPr lang="en-CA" sz="1200">
              <a:solidFill>
                <a:sysClr val="windowText" lastClr="000000"/>
              </a:solidFill>
            </a:endParaRPr>
          </a:p>
        </c:rich>
      </c:tx>
      <c:layout>
        <c:manualLayout>
          <c:xMode val="edge"/>
          <c:yMode val="edge"/>
          <c:x val="0.28931165126098374"/>
          <c:y val="1.278222837632910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extLst>
            <c:ext xmlns:c16="http://schemas.microsoft.com/office/drawing/2014/chart" uri="{C3380CC4-5D6E-409C-BE32-E72D297353CC}">
              <c16:uniqueId val="{00000000-5F6A-4696-9A34-F5A6E675F800}"/>
            </c:ext>
          </c:extLst>
        </c:ser>
        <c:dLbls>
          <c:showLegendKey val="0"/>
          <c:showVal val="0"/>
          <c:showCatName val="0"/>
          <c:showSerName val="0"/>
          <c:showPercent val="0"/>
          <c:showBubbleSize val="0"/>
        </c:dLbls>
        <c:gapWidth val="150"/>
        <c:overlap val="100"/>
        <c:axId val="636968120"/>
        <c:axId val="636970864"/>
      </c:barChart>
      <c:catAx>
        <c:axId val="63696812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6970864"/>
        <c:crosses val="autoZero"/>
        <c:auto val="1"/>
        <c:lblAlgn val="ctr"/>
        <c:lblOffset val="100"/>
        <c:noMultiLvlLbl val="0"/>
      </c:catAx>
      <c:valAx>
        <c:axId val="636970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6968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Population by language requirements</a:t>
            </a:r>
            <a:r>
              <a:rPr lang="en-CA" sz="1200" baseline="0">
                <a:solidFill>
                  <a:sysClr val="windowText" lastClr="000000"/>
                </a:solidFill>
              </a:rPr>
              <a:t> as of March 31, 2019 (N=480)</a:t>
            </a:r>
            <a:endParaRPr lang="en-CA" sz="1200">
              <a:solidFill>
                <a:sysClr val="windowText" lastClr="000000"/>
              </a:solidFill>
            </a:endParaRPr>
          </a:p>
        </c:rich>
      </c:tx>
      <c:layout>
        <c:manualLayout>
          <c:xMode val="edge"/>
          <c:yMode val="edge"/>
          <c:x val="0.17561024884718146"/>
          <c:y val="4.2052144659377629E-3"/>
        </c:manualLayout>
      </c:layout>
      <c:overlay val="0"/>
      <c:spPr>
        <a:noFill/>
        <a:ln>
          <a:noFill/>
        </a:ln>
        <a:effectLst/>
      </c:spPr>
    </c:title>
    <c:autoTitleDeleted val="0"/>
    <c:plotArea>
      <c:layout>
        <c:manualLayout>
          <c:layoutTarget val="inner"/>
          <c:xMode val="edge"/>
          <c:yMode val="edge"/>
          <c:x val="4.3280379426255927E-2"/>
          <c:y val="0.34476516236090327"/>
          <c:w val="0.8981066627234976"/>
          <c:h val="0.59516739173483535"/>
        </c:manualLayout>
      </c:layout>
      <c:pieChart>
        <c:varyColors val="1"/>
        <c:ser>
          <c:idx val="0"/>
          <c:order val="0"/>
          <c:tx>
            <c:strRef>
              <c:f>Sheet1!$B$1</c:f>
              <c:strCache>
                <c:ptCount val="1"/>
                <c:pt idx="0">
                  <c:v>Population by Language Requirements as of March 31, 2019</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12F-4465-91C0-7B55C6D39741}"/>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12F-4465-91C0-7B55C6D39741}"/>
              </c:ext>
            </c:extLst>
          </c:dPt>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612F-4465-91C0-7B55C6D39741}"/>
                </c:ext>
              </c:extLst>
            </c:dLbl>
            <c:dLbl>
              <c:idx val="1"/>
              <c:layout>
                <c:manualLayout>
                  <c:x val="-6.7317720848274254E-2"/>
                  <c:y val="-0.1754431558124200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49413182507116188"/>
                      <c:h val="0.18667358050298158"/>
                    </c:manualLayout>
                  </c15:layout>
                </c:ext>
                <c:ext xmlns:c16="http://schemas.microsoft.com/office/drawing/2014/chart" uri="{C3380CC4-5D6E-409C-BE32-E72D297353CC}">
                  <c16:uniqueId val="{00000003-612F-4465-91C0-7B55C6D3974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266</c:v>
                </c:pt>
                <c:pt idx="1">
                  <c:v>62</c:v>
                </c:pt>
              </c:numCache>
            </c:numRef>
          </c:val>
          <c:extLst>
            <c:ext xmlns:c16="http://schemas.microsoft.com/office/drawing/2014/chart" uri="{C3380CC4-5D6E-409C-BE32-E72D297353CC}">
              <c16:uniqueId val="{00000004-612F-4465-91C0-7B55C6D39741}"/>
            </c:ext>
          </c:extLst>
        </c:ser>
        <c:dLbls>
          <c:showLegendKey val="0"/>
          <c:showVal val="0"/>
          <c:showCatName val="0"/>
          <c:showSerName val="0"/>
          <c:showPercent val="0"/>
          <c:showBubbleSize val="0"/>
          <c:showLeaderLines val="1"/>
        </c:dLbls>
        <c:firstSliceAng val="177"/>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Population by occupational</a:t>
            </a:r>
            <a:r>
              <a:rPr lang="en-US" sz="1200" baseline="0">
                <a:solidFill>
                  <a:sysClr val="windowText" lastClr="000000"/>
                </a:solidFill>
              </a:rPr>
              <a:t> group</a:t>
            </a:r>
            <a:r>
              <a:rPr lang="en-US" sz="1200">
                <a:solidFill>
                  <a:sysClr val="windowText" lastClr="000000"/>
                </a:solidFill>
              </a:rPr>
              <a:t> as of March 31,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5AEA-444D-86B9-C02629E69AFA}"/>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5AEA-444D-86B9-C02629E69AFA}"/>
              </c:ext>
            </c:extLst>
          </c:dPt>
          <c:dPt>
            <c:idx val="2"/>
            <c:bubble3D val="0"/>
            <c:spPr>
              <a:solidFill>
                <a:schemeClr val="accent3"/>
              </a:solidFill>
              <a:ln w="3175">
                <a:solidFill>
                  <a:schemeClr val="lt1"/>
                </a:solidFill>
              </a:ln>
              <a:effectLst/>
            </c:spPr>
            <c:extLst>
              <c:ext xmlns:c16="http://schemas.microsoft.com/office/drawing/2014/chart" uri="{C3380CC4-5D6E-409C-BE32-E72D297353CC}">
                <c16:uniqueId val="{00000005-5AEA-444D-86B9-C02629E69AFA}"/>
              </c:ext>
            </c:extLst>
          </c:dPt>
          <c:dPt>
            <c:idx val="3"/>
            <c:bubble3D val="0"/>
            <c:spPr>
              <a:solidFill>
                <a:schemeClr val="accent4">
                  <a:lumMod val="60000"/>
                  <a:lumOff val="40000"/>
                </a:schemeClr>
              </a:solidFill>
              <a:ln w="3175">
                <a:solidFill>
                  <a:schemeClr val="lt1"/>
                </a:solidFill>
              </a:ln>
              <a:effectLst/>
            </c:spPr>
            <c:extLst>
              <c:ext xmlns:c16="http://schemas.microsoft.com/office/drawing/2014/chart" uri="{C3380CC4-5D6E-409C-BE32-E72D297353CC}">
                <c16:uniqueId val="{00000007-5AEA-444D-86B9-C02629E69AFA}"/>
              </c:ext>
            </c:extLst>
          </c:dPt>
          <c:dPt>
            <c:idx val="4"/>
            <c:bubble3D val="0"/>
            <c:spPr>
              <a:solidFill>
                <a:schemeClr val="accent2">
                  <a:lumMod val="60000"/>
                  <a:lumOff val="40000"/>
                </a:schemeClr>
              </a:solidFill>
              <a:ln w="3175">
                <a:solidFill>
                  <a:schemeClr val="lt1"/>
                </a:solidFill>
              </a:ln>
              <a:effectLst/>
            </c:spPr>
            <c:extLst>
              <c:ext xmlns:c16="http://schemas.microsoft.com/office/drawing/2014/chart" uri="{C3380CC4-5D6E-409C-BE32-E72D297353CC}">
                <c16:uniqueId val="{00000009-5AEA-444D-86B9-C02629E69AFA}"/>
              </c:ext>
            </c:extLst>
          </c:dPt>
          <c:dPt>
            <c:idx val="5"/>
            <c:bubble3D val="0"/>
            <c:spPr>
              <a:solidFill>
                <a:schemeClr val="accent6"/>
              </a:solidFill>
              <a:ln w="3175">
                <a:solidFill>
                  <a:schemeClr val="lt1"/>
                </a:solidFill>
              </a:ln>
              <a:effectLst/>
            </c:spPr>
            <c:extLst>
              <c:ext xmlns:c16="http://schemas.microsoft.com/office/drawing/2014/chart" uri="{C3380CC4-5D6E-409C-BE32-E72D297353CC}">
                <c16:uniqueId val="{0000000B-5AEA-444D-86B9-C02629E69AFA}"/>
              </c:ext>
            </c:extLst>
          </c:dPt>
          <c:dLbls>
            <c:dLbl>
              <c:idx val="3"/>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5AEA-444D-86B9-C02629E69AFA}"/>
                </c:ext>
              </c:extLst>
            </c:dLbl>
            <c:dLbl>
              <c:idx val="4"/>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5AEA-444D-86B9-C02629E69AFA}"/>
                </c:ext>
              </c:extLst>
            </c:dLbl>
            <c:dLbl>
              <c:idx val="5"/>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5AEA-444D-86B9-C02629E69A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AS</c:v>
                </c:pt>
                <c:pt idx="1">
                  <c:v>PM</c:v>
                </c:pt>
                <c:pt idx="2">
                  <c:v>CR</c:v>
                </c:pt>
                <c:pt idx="3">
                  <c:v>LP</c:v>
                </c:pt>
                <c:pt idx="4">
                  <c:v>IS</c:v>
                </c:pt>
                <c:pt idx="5">
                  <c:v>Other</c:v>
                </c:pt>
              </c:strCache>
            </c:strRef>
          </c:cat>
          <c:val>
            <c:numRef>
              <c:f>Sheet1!$B$2:$B$7</c:f>
              <c:numCache>
                <c:formatCode>#######0</c:formatCode>
                <c:ptCount val="6"/>
                <c:pt idx="0">
                  <c:v>134</c:v>
                </c:pt>
                <c:pt idx="1">
                  <c:v>106</c:v>
                </c:pt>
                <c:pt idx="2">
                  <c:v>48</c:v>
                </c:pt>
                <c:pt idx="3">
                  <c:v>44</c:v>
                </c:pt>
                <c:pt idx="4">
                  <c:v>28</c:v>
                </c:pt>
                <c:pt idx="5" formatCode="General">
                  <c:v>120</c:v>
                </c:pt>
              </c:numCache>
            </c:numRef>
          </c:val>
          <c:extLst>
            <c:ext xmlns:c16="http://schemas.microsoft.com/office/drawing/2014/chart" uri="{C3380CC4-5D6E-409C-BE32-E72D297353CC}">
              <c16:uniqueId val="{0000000C-5AEA-444D-86B9-C02629E69AFA}"/>
            </c:ext>
          </c:extLst>
        </c:ser>
        <c:dLbls>
          <c:dLblPos val="inEnd"/>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latin typeface="+mn-lt"/>
              </a:rPr>
              <a:t>Population by region as</a:t>
            </a:r>
            <a:r>
              <a:rPr lang="en-CA" sz="1200" baseline="0">
                <a:solidFill>
                  <a:sysClr val="windowText" lastClr="000000"/>
                </a:solidFill>
                <a:latin typeface="+mn-lt"/>
              </a:rPr>
              <a:t> of March 31, 2019 (N=478)</a:t>
            </a:r>
            <a:endParaRPr lang="en-CA" sz="1200">
              <a:solidFill>
                <a:sysClr val="windowText" lastClr="000000"/>
              </a:solidFill>
              <a:latin typeface="+mn-lt"/>
            </a:endParaRPr>
          </a:p>
        </c:rich>
      </c:tx>
      <c:layout>
        <c:manualLayout>
          <c:xMode val="edge"/>
          <c:yMode val="edge"/>
          <c:x val="0.13907208840716592"/>
          <c:y val="3.364171572750210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6FD-45E5-A80E-0855C8B40633}"/>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6FD-45E5-A80E-0855C8B40633}"/>
              </c:ext>
            </c:extLst>
          </c:dPt>
          <c:dLbls>
            <c:dLbl>
              <c:idx val="1"/>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86FD-45E5-A80E-0855C8B4063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457</c:v>
                </c:pt>
                <c:pt idx="1">
                  <c:v>21</c:v>
                </c:pt>
              </c:numCache>
            </c:numRef>
          </c:val>
          <c:extLst>
            <c:ext xmlns:c16="http://schemas.microsoft.com/office/drawing/2014/chart" uri="{C3380CC4-5D6E-409C-BE32-E72D297353CC}">
              <c16:uniqueId val="{00000004-86FD-45E5-A80E-0855C8B40633}"/>
            </c:ext>
          </c:extLst>
        </c:ser>
        <c:dLbls>
          <c:showLegendKey val="0"/>
          <c:showVal val="0"/>
          <c:showCatName val="0"/>
          <c:showSerName val="0"/>
          <c:showPercent val="0"/>
          <c:showBubbleSize val="0"/>
          <c:showLeaderLines val="1"/>
        </c:dLbls>
        <c:firstSliceAng val="147"/>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External</a:t>
            </a:r>
            <a:r>
              <a:rPr lang="en-US" sz="1200" baseline="0">
                <a:solidFill>
                  <a:sysClr val="windowText" lastClr="000000"/>
                </a:solidFill>
              </a:rPr>
              <a:t> indeterminate hires by </a:t>
            </a:r>
          </a:p>
          <a:p>
            <a:pPr>
              <a:defRPr sz="1200" b="1">
                <a:solidFill>
                  <a:sysClr val="windowText" lastClr="000000"/>
                </a:solidFill>
              </a:defRPr>
            </a:pPr>
            <a:r>
              <a:rPr lang="en-US" sz="1200" baseline="0">
                <a:solidFill>
                  <a:sysClr val="windowText" lastClr="000000"/>
                </a:solidFill>
              </a:rPr>
              <a:t>occupational</a:t>
            </a:r>
            <a:r>
              <a:rPr lang="en-US" sz="1200">
                <a:solidFill>
                  <a:sysClr val="windowText" lastClr="000000"/>
                </a:solidFill>
              </a:rPr>
              <a:t> group,</a:t>
            </a:r>
          </a:p>
          <a:p>
            <a:pPr>
              <a:defRPr sz="1200" b="1">
                <a:solidFill>
                  <a:sysClr val="windowText" lastClr="000000"/>
                </a:solidFill>
              </a:defRPr>
            </a:pPr>
            <a:r>
              <a:rPr lang="en-US" sz="1200">
                <a:solidFill>
                  <a:sysClr val="windowText" lastClr="000000"/>
                </a:solidFill>
              </a:rPr>
              <a:t> 2018-19 (N=41)</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6064860878919962"/>
          <c:y val="0.32793057091580957"/>
          <c:w val="0.8966533531134695"/>
          <c:h val="0.48715812098290862"/>
        </c:manualLayout>
      </c:layout>
      <c:doughnutChart>
        <c:varyColors val="1"/>
        <c:ser>
          <c:idx val="0"/>
          <c:order val="0"/>
          <c:tx>
            <c:strRef>
              <c:f>Sheet1!$B$1</c:f>
              <c:strCache>
                <c:ptCount val="1"/>
                <c:pt idx="0">
                  <c:v>External Indeterminate Hires</c:v>
                </c:pt>
              </c:strCache>
            </c:strRef>
          </c:tx>
          <c:spPr>
            <a:solidFill>
              <a:schemeClr val="accent1"/>
            </a:solidFill>
            <a:ln w="6350"/>
          </c:spPr>
          <c:dPt>
            <c:idx val="0"/>
            <c:bubble3D val="0"/>
            <c:spPr>
              <a:solidFill>
                <a:schemeClr val="accent1"/>
              </a:solidFill>
              <a:ln w="6350">
                <a:solidFill>
                  <a:schemeClr val="lt1"/>
                </a:solidFill>
              </a:ln>
              <a:effectLst/>
            </c:spPr>
            <c:extLst>
              <c:ext xmlns:c16="http://schemas.microsoft.com/office/drawing/2014/chart" uri="{C3380CC4-5D6E-409C-BE32-E72D297353CC}">
                <c16:uniqueId val="{00000001-1F3D-4F9D-B1E5-92405305EA8E}"/>
              </c:ext>
            </c:extLst>
          </c:dPt>
          <c:dPt>
            <c:idx val="1"/>
            <c:bubble3D val="0"/>
            <c:spPr>
              <a:solidFill>
                <a:schemeClr val="accent2"/>
              </a:solidFill>
              <a:ln w="6350">
                <a:solidFill>
                  <a:schemeClr val="lt1"/>
                </a:solidFill>
              </a:ln>
              <a:effectLst/>
            </c:spPr>
            <c:extLst>
              <c:ext xmlns:c16="http://schemas.microsoft.com/office/drawing/2014/chart" uri="{C3380CC4-5D6E-409C-BE32-E72D297353CC}">
                <c16:uniqueId val="{00000003-1F3D-4F9D-B1E5-92405305EA8E}"/>
              </c:ext>
            </c:extLst>
          </c:dPt>
          <c:dPt>
            <c:idx val="2"/>
            <c:bubble3D val="0"/>
            <c:spPr>
              <a:solidFill>
                <a:schemeClr val="accent2">
                  <a:lumMod val="60000"/>
                  <a:lumOff val="40000"/>
                </a:schemeClr>
              </a:solidFill>
              <a:ln w="6350">
                <a:solidFill>
                  <a:schemeClr val="lt1"/>
                </a:solidFill>
              </a:ln>
              <a:effectLst/>
            </c:spPr>
            <c:extLst>
              <c:ext xmlns:c16="http://schemas.microsoft.com/office/drawing/2014/chart" uri="{C3380CC4-5D6E-409C-BE32-E72D297353CC}">
                <c16:uniqueId val="{00000005-1F3D-4F9D-B1E5-92405305EA8E}"/>
              </c:ext>
            </c:extLst>
          </c:dPt>
          <c:dPt>
            <c:idx val="3"/>
            <c:bubble3D val="0"/>
            <c:spPr>
              <a:solidFill>
                <a:schemeClr val="accent4">
                  <a:lumMod val="60000"/>
                  <a:lumOff val="40000"/>
                </a:schemeClr>
              </a:solidFill>
              <a:ln w="6350">
                <a:solidFill>
                  <a:schemeClr val="lt1"/>
                </a:solidFill>
              </a:ln>
              <a:effectLst/>
            </c:spPr>
            <c:extLst>
              <c:ext xmlns:c16="http://schemas.microsoft.com/office/drawing/2014/chart" uri="{C3380CC4-5D6E-409C-BE32-E72D297353CC}">
                <c16:uniqueId val="{00000007-1F3D-4F9D-B1E5-92405305EA8E}"/>
              </c:ext>
            </c:extLst>
          </c:dPt>
          <c:dPt>
            <c:idx val="4"/>
            <c:bubble3D val="0"/>
            <c:spPr>
              <a:solidFill>
                <a:schemeClr val="accent6"/>
              </a:solidFill>
              <a:ln w="6350">
                <a:solidFill>
                  <a:schemeClr val="lt1"/>
                </a:solidFill>
              </a:ln>
              <a:effectLst/>
            </c:spPr>
            <c:extLst>
              <c:ext xmlns:c16="http://schemas.microsoft.com/office/drawing/2014/chart" uri="{C3380CC4-5D6E-409C-BE32-E72D297353CC}">
                <c16:uniqueId val="{00000009-1F3D-4F9D-B1E5-92405305EA8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AS</c:v>
                </c:pt>
                <c:pt idx="1">
                  <c:v>CR</c:v>
                </c:pt>
                <c:pt idx="2">
                  <c:v>CS</c:v>
                </c:pt>
                <c:pt idx="3">
                  <c:v>PM</c:v>
                </c:pt>
                <c:pt idx="4">
                  <c:v>Other</c:v>
                </c:pt>
              </c:strCache>
            </c:strRef>
          </c:cat>
          <c:val>
            <c:numRef>
              <c:f>Sheet1!$B$2:$B$6</c:f>
              <c:numCache>
                <c:formatCode>#######0</c:formatCode>
                <c:ptCount val="5"/>
                <c:pt idx="0">
                  <c:v>12</c:v>
                </c:pt>
                <c:pt idx="1">
                  <c:v>10</c:v>
                </c:pt>
                <c:pt idx="2">
                  <c:v>6</c:v>
                </c:pt>
                <c:pt idx="3">
                  <c:v>4</c:v>
                </c:pt>
                <c:pt idx="4" formatCode="General">
                  <c:v>9</c:v>
                </c:pt>
              </c:numCache>
            </c:numRef>
          </c:val>
          <c:extLst>
            <c:ext xmlns:c16="http://schemas.microsoft.com/office/drawing/2014/chart" uri="{C3380CC4-5D6E-409C-BE32-E72D297353CC}">
              <c16:uniqueId val="{0000000A-1F3D-4F9D-B1E5-92405305EA8E}"/>
            </c:ext>
          </c:extLst>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38628743919657599"/>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073234748095512"/>
          <c:y val="9.4894492045412282E-2"/>
          <c:w val="0.86920200662278635"/>
          <c:h val="0.63171202340305677"/>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C5-454B-9B60-4AE68F5C8C06}"/>
                </c:ext>
              </c:extLst>
            </c:dLbl>
            <c:dLbl>
              <c:idx val="1"/>
              <c:layout>
                <c:manualLayout>
                  <c:x val="-1.4482252911290745E-2"/>
                  <c:y val="1.0495014867937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C5-454B-9B60-4AE68F5C8C06}"/>
                </c:ext>
              </c:extLst>
            </c:dLbl>
            <c:dLbl>
              <c:idx val="2"/>
              <c:layout>
                <c:manualLayout>
                  <c:x val="-8.5383312673498954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C5-454B-9B60-4AE68F5C8C06}"/>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C5-454B-9B60-4AE68F5C8C06}"/>
                </c:ext>
              </c:extLst>
            </c:dLbl>
            <c:dLbl>
              <c:idx val="4"/>
              <c:layout>
                <c:manualLayout>
                  <c:x val="-1.1413540048070488E-2"/>
                  <c:y val="1.4415081969922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C5-454B-9B60-4AE68F5C8C0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0.89</c:v>
                </c:pt>
                <c:pt idx="1">
                  <c:v>0.97</c:v>
                </c:pt>
                <c:pt idx="2">
                  <c:v>0.99</c:v>
                </c:pt>
                <c:pt idx="3">
                  <c:v>0.98</c:v>
                </c:pt>
                <c:pt idx="4">
                  <c:v>0.97</c:v>
                </c:pt>
              </c:numCache>
            </c:numRef>
          </c:val>
          <c:extLst>
            <c:ext xmlns:c16="http://schemas.microsoft.com/office/drawing/2014/chart" uri="{C3380CC4-5D6E-409C-BE32-E72D297353CC}">
              <c16:uniqueId val="{00000005-F8C5-454B-9B60-4AE68F5C8C06}"/>
            </c:ext>
          </c:extLst>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C5-454B-9B60-4AE68F5C8C06}"/>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C5-454B-9B60-4AE68F5C8C06}"/>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C5-454B-9B60-4AE68F5C8C06}"/>
                </c:ext>
              </c:extLst>
            </c:dLbl>
            <c:dLbl>
              <c:idx val="3"/>
              <c:layout>
                <c:manualLayout>
                  <c:x val="1.8477457501847747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8C5-454B-9B60-4AE68F5C8C06}"/>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8C5-454B-9B60-4AE68F5C8C0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0.11</c:v>
                </c:pt>
                <c:pt idx="1">
                  <c:v>0.03</c:v>
                </c:pt>
                <c:pt idx="2">
                  <c:v>0.01</c:v>
                </c:pt>
                <c:pt idx="3">
                  <c:v>0.02</c:v>
                </c:pt>
                <c:pt idx="4">
                  <c:v>0.03</c:v>
                </c:pt>
              </c:numCache>
            </c:numRef>
          </c:val>
          <c:extLst>
            <c:ext xmlns:c16="http://schemas.microsoft.com/office/drawing/2014/chart" uri="{C3380CC4-5D6E-409C-BE32-E72D297353CC}">
              <c16:uniqueId val="{0000000B-F8C5-454B-9B60-4AE68F5C8C06}"/>
            </c:ext>
          </c:extLst>
        </c:ser>
        <c:dLbls>
          <c:showLegendKey val="0"/>
          <c:showVal val="0"/>
          <c:showCatName val="0"/>
          <c:showSerName val="0"/>
          <c:showPercent val="0"/>
          <c:showBubbleSize val="0"/>
        </c:dLbls>
        <c:gapWidth val="150"/>
        <c:axId val="632388112"/>
        <c:axId val="632381840"/>
      </c:barChart>
      <c:catAx>
        <c:axId val="6323881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81840"/>
        <c:crosses val="autoZero"/>
        <c:auto val="1"/>
        <c:lblAlgn val="ctr"/>
        <c:lblOffset val="100"/>
        <c:noMultiLvlLbl val="0"/>
      </c:catAx>
      <c:valAx>
        <c:axId val="632381840"/>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88112"/>
        <c:crosses val="autoZero"/>
        <c:crossBetween val="between"/>
      </c:valAx>
      <c:spPr>
        <a:noFill/>
        <a:ln>
          <a:noFill/>
        </a:ln>
        <a:effectLst/>
      </c:spPr>
    </c:plotArea>
    <c:legend>
      <c:legendPos val="b"/>
      <c:layout>
        <c:manualLayout>
          <c:xMode val="edge"/>
          <c:yMode val="edge"/>
          <c:x val="0.15069486879550256"/>
          <c:y val="0.80610583988353568"/>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CA" sz="1200"/>
              <a:t>Staffing by process type</a:t>
            </a:r>
          </a:p>
        </c:rich>
      </c:tx>
      <c:layout>
        <c:manualLayout>
          <c:xMode val="edge"/>
          <c:yMode val="edge"/>
          <c:x val="0.34581528871391076"/>
          <c:y val="7.5728890571753124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1E-4994-B659-8FC80F5B9C8E}"/>
                </c:ext>
              </c:extLst>
            </c:dLbl>
            <c:dLbl>
              <c:idx val="1"/>
              <c:layout>
                <c:manualLayout>
                  <c:x val="-1.4035706474190727E-2"/>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1E-4994-B659-8FC80F5B9C8E}"/>
                </c:ext>
              </c:extLst>
            </c:dLbl>
            <c:dLbl>
              <c:idx val="2"/>
              <c:layout>
                <c:manualLayout>
                  <c:x val="-1.1787237532808399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1E-4994-B659-8FC80F5B9C8E}"/>
                </c:ext>
              </c:extLst>
            </c:dLbl>
            <c:dLbl>
              <c:idx val="3"/>
              <c:layout>
                <c:manualLayout>
                  <c:x val="-1.4866039747771839E-2"/>
                  <c:y val="2.582328903039955E-2"/>
                </c:manualLayout>
              </c:layout>
              <c:showLegendKey val="0"/>
              <c:showVal val="1"/>
              <c:showCatName val="0"/>
              <c:showSerName val="0"/>
              <c:showPercent val="0"/>
              <c:showBubbleSize val="0"/>
              <c:extLst>
                <c:ext xmlns:c15="http://schemas.microsoft.com/office/drawing/2012/chart" uri="{CE6537A1-D6FC-4f65-9D91-7224C49458BB}">
                  <c15:layout>
                    <c:manualLayout>
                      <c:w val="4.3046743946214133E-2"/>
                      <c:h val="7.9025203082691106E-2"/>
                    </c:manualLayout>
                  </c15:layout>
                </c:ext>
                <c:ext xmlns:c16="http://schemas.microsoft.com/office/drawing/2014/chart" uri="{C3380CC4-5D6E-409C-BE32-E72D297353CC}">
                  <c16:uniqueId val="{00000003-C01E-4994-B659-8FC80F5B9C8E}"/>
                </c:ext>
              </c:extLst>
            </c:dLbl>
            <c:dLbl>
              <c:idx val="4"/>
              <c:layout>
                <c:manualLayout>
                  <c:x val="-8.3877405949257609E-3"/>
                  <c:y val="1.7913420259235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1E-4994-B659-8FC80F5B9C8E}"/>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0</c:v>
                </c:pt>
                <c:pt idx="1">
                  <c:v>23</c:v>
                </c:pt>
                <c:pt idx="2">
                  <c:v>21</c:v>
                </c:pt>
                <c:pt idx="3">
                  <c:v>49</c:v>
                </c:pt>
                <c:pt idx="4">
                  <c:v>61</c:v>
                </c:pt>
              </c:numCache>
            </c:numRef>
          </c:val>
          <c:extLst>
            <c:ext xmlns:c16="http://schemas.microsoft.com/office/drawing/2014/chart" uri="{C3380CC4-5D6E-409C-BE32-E72D297353CC}">
              <c16:uniqueId val="{00000005-C01E-4994-B659-8FC80F5B9C8E}"/>
            </c:ext>
          </c:extLst>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5085848643919512E-3"/>
                  <c:y val="1.6992558455993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1E-4994-B659-8FC80F5B9C8E}"/>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1E-4994-B659-8FC80F5B9C8E}"/>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1E-4994-B659-8FC80F5B9C8E}"/>
                </c:ext>
              </c:extLst>
            </c:dLbl>
            <c:dLbl>
              <c:idx val="3"/>
              <c:layout>
                <c:manualLayout>
                  <c:x val="3.472222222222222E-3"/>
                  <c:y val="8.26186301664189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01E-4994-B659-8FC80F5B9C8E}"/>
                </c:ext>
              </c:extLst>
            </c:dLbl>
            <c:dLbl>
              <c:idx val="4"/>
              <c:layout>
                <c:manualLayout>
                  <c:x val="1.73430664916884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01E-4994-B659-8FC80F5B9C8E}"/>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6</c:v>
                </c:pt>
                <c:pt idx="1">
                  <c:v>34</c:v>
                </c:pt>
                <c:pt idx="2">
                  <c:v>78</c:v>
                </c:pt>
                <c:pt idx="3">
                  <c:v>87</c:v>
                </c:pt>
                <c:pt idx="4">
                  <c:v>98</c:v>
                </c:pt>
              </c:numCache>
            </c:numRef>
          </c:val>
          <c:extLst>
            <c:ext xmlns:c16="http://schemas.microsoft.com/office/drawing/2014/chart" uri="{C3380CC4-5D6E-409C-BE32-E72D297353CC}">
              <c16:uniqueId val="{0000000B-C01E-4994-B659-8FC80F5B9C8E}"/>
            </c:ext>
          </c:extLst>
        </c:ser>
        <c:dLbls>
          <c:showLegendKey val="0"/>
          <c:showVal val="0"/>
          <c:showCatName val="0"/>
          <c:showSerName val="0"/>
          <c:showPercent val="0"/>
          <c:showBubbleSize val="0"/>
        </c:dLbls>
        <c:gapWidth val="150"/>
        <c:axId val="632382624"/>
        <c:axId val="632376352"/>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8906933508311484E-2"/>
                  <c:y val="-5.18497808029375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01E-4994-B659-8FC80F5B9C8E}"/>
                </c:ext>
              </c:extLst>
            </c:dLbl>
            <c:dLbl>
              <c:idx val="1"/>
              <c:layout>
                <c:manualLayout>
                  <c:x val="-6.9140966754155736E-2"/>
                  <c:y val="-3.7935209122123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01E-4994-B659-8FC80F5B9C8E}"/>
                </c:ext>
              </c:extLst>
            </c:dLbl>
            <c:dLbl>
              <c:idx val="2"/>
              <c:layout>
                <c:manualLayout>
                  <c:x val="-6.4163385826771724E-2"/>
                  <c:y val="-2.18381701762529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01E-4994-B659-8FC80F5B9C8E}"/>
                </c:ext>
              </c:extLst>
            </c:dLbl>
            <c:dLbl>
              <c:idx val="3"/>
              <c:layout>
                <c:manualLayout>
                  <c:x val="-9.5120570866141729E-2"/>
                  <c:y val="-2.4191422460158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01E-4994-B659-8FC80F5B9C8E}"/>
                </c:ext>
              </c:extLst>
            </c:dLbl>
            <c:dLbl>
              <c:idx val="4"/>
              <c:layout>
                <c:manualLayout>
                  <c:x val="-8.1078302712160974E-2"/>
                  <c:y val="-1.9475276802573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01E-4994-B659-8FC80F5B9C8E}"/>
                </c:ext>
              </c:extLst>
            </c:dLbl>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c:v>
                </c:pt>
                <c:pt idx="1">
                  <c:v>0.4</c:v>
                </c:pt>
                <c:pt idx="2">
                  <c:v>0.21</c:v>
                </c:pt>
                <c:pt idx="3">
                  <c:v>0.36</c:v>
                </c:pt>
                <c:pt idx="4">
                  <c:v>0.38</c:v>
                </c:pt>
              </c:numCache>
            </c:numRef>
          </c:val>
          <c:smooth val="0"/>
          <c:extLst>
            <c:ext xmlns:c16="http://schemas.microsoft.com/office/drawing/2014/chart" uri="{C3380CC4-5D6E-409C-BE32-E72D297353CC}">
              <c16:uniqueId val="{00000011-C01E-4994-B659-8FC80F5B9C8E}"/>
            </c:ext>
          </c:extLst>
        </c:ser>
        <c:dLbls>
          <c:showLegendKey val="0"/>
          <c:showVal val="0"/>
          <c:showCatName val="0"/>
          <c:showSerName val="0"/>
          <c:showPercent val="0"/>
          <c:showBubbleSize val="0"/>
        </c:dLbls>
        <c:marker val="1"/>
        <c:smooth val="0"/>
        <c:axId val="632377528"/>
        <c:axId val="632384192"/>
      </c:lineChart>
      <c:catAx>
        <c:axId val="632382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32376352"/>
        <c:crosses val="autoZero"/>
        <c:auto val="1"/>
        <c:lblAlgn val="ctr"/>
        <c:lblOffset val="100"/>
        <c:noMultiLvlLbl val="0"/>
      </c:catAx>
      <c:valAx>
        <c:axId val="63237635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32382624"/>
        <c:crosses val="autoZero"/>
        <c:crossBetween val="between"/>
      </c:valAx>
      <c:valAx>
        <c:axId val="632384192"/>
        <c:scaling>
          <c:orientation val="minMax"/>
          <c:max val="1"/>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32377528"/>
        <c:crosses val="max"/>
        <c:crossBetween val="between"/>
      </c:valAx>
      <c:catAx>
        <c:axId val="632377528"/>
        <c:scaling>
          <c:orientation val="minMax"/>
        </c:scaling>
        <c:delete val="1"/>
        <c:axPos val="b"/>
        <c:numFmt formatCode="General" sourceLinked="1"/>
        <c:majorTickMark val="out"/>
        <c:minorTickMark val="none"/>
        <c:tickLblPos val="nextTo"/>
        <c:crossAx val="632384192"/>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2"/>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appointment type</a:t>
            </a:r>
            <a:endParaRPr lang="en-CA"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8495188101487317E-3"/>
                  <c:y val="2.5887825560266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8F-4E13-927A-07DAFAF00169}"/>
                </c:ext>
              </c:extLst>
            </c:dLbl>
            <c:dLbl>
              <c:idx val="1"/>
              <c:layout>
                <c:manualLayout>
                  <c:x val="-1.1111111111111162E-2"/>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8F-4E13-927A-07DAFAF00169}"/>
                </c:ext>
              </c:extLst>
            </c:dLbl>
            <c:dLbl>
              <c:idx val="2"/>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8F-4E13-927A-07DAFAF00169}"/>
                </c:ext>
              </c:extLst>
            </c:dLbl>
            <c:dLbl>
              <c:idx val="3"/>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8F-4E13-927A-07DAFAF00169}"/>
                </c:ext>
              </c:extLst>
            </c:dLbl>
            <c:dLbl>
              <c:idx val="4"/>
              <c:layout>
                <c:manualLayout>
                  <c:x val="-1.1111111111111112E-2"/>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8F-4E13-927A-07DAFAF001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(N=45)</c:v>
                </c:pt>
                <c:pt idx="1">
                  <c:v>2015-16
(N=233)</c:v>
                </c:pt>
                <c:pt idx="2">
                  <c:v>2016-17 
(N=360)</c:v>
                </c:pt>
                <c:pt idx="3">
                  <c:v>2017-18
(N=312)</c:v>
                </c:pt>
                <c:pt idx="4">
                  <c:v>2018-19
(N=359)</c:v>
                </c:pt>
              </c:strCache>
            </c:strRef>
          </c:cat>
          <c:val>
            <c:numRef>
              <c:f>Sheet1!$B$3:$B$7</c:f>
              <c:numCache>
                <c:formatCode>######0</c:formatCode>
                <c:ptCount val="5"/>
                <c:pt idx="0">
                  <c:v>4</c:v>
                </c:pt>
                <c:pt idx="1">
                  <c:v>26</c:v>
                </c:pt>
                <c:pt idx="2">
                  <c:v>58</c:v>
                </c:pt>
                <c:pt idx="3">
                  <c:v>77</c:v>
                </c:pt>
                <c:pt idx="4">
                  <c:v>91</c:v>
                </c:pt>
              </c:numCache>
            </c:numRef>
          </c:val>
          <c:extLst>
            <c:ext xmlns:c16="http://schemas.microsoft.com/office/drawing/2014/chart" uri="{C3380CC4-5D6E-409C-BE32-E72D297353CC}">
              <c16:uniqueId val="{00000005-728F-4E13-927A-07DAFAF00169}"/>
            </c:ext>
          </c:extLst>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5680193821926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8F-4E13-927A-07DAFAF00169}"/>
                </c:ext>
              </c:extLst>
            </c:dLbl>
            <c:dLbl>
              <c:idx val="1"/>
              <c:layout>
                <c:manualLayout>
                  <c:x val="-2.7777777777777779E-3"/>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28F-4E13-927A-07DAFAF00169}"/>
                </c:ext>
              </c:extLst>
            </c:dLbl>
            <c:dLbl>
              <c:idx val="2"/>
              <c:layout>
                <c:manualLayout>
                  <c:x val="0"/>
                  <c:y val="1.586270946900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28F-4E13-927A-07DAFAF00169}"/>
                </c:ext>
              </c:extLst>
            </c:dLbl>
            <c:dLbl>
              <c:idx val="3"/>
              <c:layout>
                <c:manualLayout>
                  <c:x val="0"/>
                  <c:y val="1.9965273571572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28F-4E13-927A-07DAFAF00169}"/>
                </c:ext>
              </c:extLst>
            </c:dLbl>
            <c:dLbl>
              <c:idx val="4"/>
              <c:layout>
                <c:manualLayout>
                  <c:x val="8.3333333333334356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28F-4E13-927A-07DAFAF001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(N=45)</c:v>
                </c:pt>
                <c:pt idx="1">
                  <c:v>2015-16
(N=233)</c:v>
                </c:pt>
                <c:pt idx="2">
                  <c:v>2016-17 
(N=360)</c:v>
                </c:pt>
                <c:pt idx="3">
                  <c:v>2017-18
(N=312)</c:v>
                </c:pt>
                <c:pt idx="4">
                  <c:v>2018-19
(N=359)</c:v>
                </c:pt>
              </c:strCache>
            </c:strRef>
          </c:cat>
          <c:val>
            <c:numRef>
              <c:f>Sheet1!$C$3:$C$7</c:f>
              <c:numCache>
                <c:formatCode>######0</c:formatCode>
                <c:ptCount val="5"/>
                <c:pt idx="0">
                  <c:v>14</c:v>
                </c:pt>
                <c:pt idx="1">
                  <c:v>61</c:v>
                </c:pt>
                <c:pt idx="2">
                  <c:v>96</c:v>
                </c:pt>
                <c:pt idx="3">
                  <c:v>78</c:v>
                </c:pt>
                <c:pt idx="4">
                  <c:v>61</c:v>
                </c:pt>
              </c:numCache>
            </c:numRef>
          </c:val>
          <c:extLst>
            <c:ext xmlns:c16="http://schemas.microsoft.com/office/drawing/2014/chart" uri="{C3380CC4-5D6E-409C-BE32-E72D297353CC}">
              <c16:uniqueId val="{0000000B-728F-4E13-927A-07DAFAF00169}"/>
            </c:ext>
          </c:extLst>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28F-4E13-927A-07DAFAF00169}"/>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28F-4E13-927A-07DAFAF00169}"/>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28F-4E13-927A-07DAFAF00169}"/>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28F-4E13-927A-07DAFAF00169}"/>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28F-4E13-927A-07DAFAF001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(N=45)</c:v>
                </c:pt>
                <c:pt idx="1">
                  <c:v>2015-16
(N=233)</c:v>
                </c:pt>
                <c:pt idx="2">
                  <c:v>2016-17 
(N=360)</c:v>
                </c:pt>
                <c:pt idx="3">
                  <c:v>2017-18
(N=312)</c:v>
                </c:pt>
                <c:pt idx="4">
                  <c:v>2018-19
(N=359)</c:v>
                </c:pt>
              </c:strCache>
            </c:strRef>
          </c:cat>
          <c:val>
            <c:numRef>
              <c:f>Sheet1!$D$3:$D$7</c:f>
              <c:numCache>
                <c:formatCode>######0</c:formatCode>
                <c:ptCount val="5"/>
                <c:pt idx="0">
                  <c:v>22</c:v>
                </c:pt>
                <c:pt idx="1">
                  <c:v>114</c:v>
                </c:pt>
                <c:pt idx="2">
                  <c:v>180</c:v>
                </c:pt>
                <c:pt idx="3">
                  <c:v>123</c:v>
                </c:pt>
                <c:pt idx="4">
                  <c:v>179</c:v>
                </c:pt>
              </c:numCache>
            </c:numRef>
          </c:val>
          <c:extLst>
            <c:ext xmlns:c16="http://schemas.microsoft.com/office/drawing/2014/chart" uri="{C3380CC4-5D6E-409C-BE32-E72D297353CC}">
              <c16:uniqueId val="{00000011-728F-4E13-927A-07DAFAF00169}"/>
            </c:ext>
          </c:extLst>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28F-4E13-927A-07DAFAF00169}"/>
                </c:ext>
              </c:extLst>
            </c:dLbl>
            <c:dLbl>
              <c:idx val="1"/>
              <c:layout>
                <c:manualLayout>
                  <c:x val="5.5555555555556061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28F-4E13-927A-07DAFAF00169}"/>
                </c:ext>
              </c:extLst>
            </c:dLbl>
            <c:dLbl>
              <c:idx val="2"/>
              <c:layout>
                <c:manualLayout>
                  <c:x val="8.3333333333333332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28F-4E13-927A-07DAFAF00169}"/>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28F-4E13-927A-07DAFAF00169}"/>
                </c:ext>
              </c:extLst>
            </c:dLbl>
            <c:dLbl>
              <c:idx val="4"/>
              <c:layout>
                <c:manualLayout>
                  <c:x val="9.1618547681539802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28F-4E13-927A-07DAFAF001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(N=45)</c:v>
                </c:pt>
                <c:pt idx="1">
                  <c:v>2015-16
(N=233)</c:v>
                </c:pt>
                <c:pt idx="2">
                  <c:v>2016-17 
(N=360)</c:v>
                </c:pt>
                <c:pt idx="3">
                  <c:v>2017-18
(N=312)</c:v>
                </c:pt>
                <c:pt idx="4">
                  <c:v>2018-19
(N=359)</c:v>
                </c:pt>
              </c:strCache>
            </c:strRef>
          </c:cat>
          <c:val>
            <c:numRef>
              <c:f>Sheet1!$E$3:$E$7</c:f>
              <c:numCache>
                <c:formatCode>######0</c:formatCode>
                <c:ptCount val="5"/>
                <c:pt idx="0">
                  <c:v>5</c:v>
                </c:pt>
                <c:pt idx="1">
                  <c:v>32</c:v>
                </c:pt>
                <c:pt idx="2">
                  <c:v>26</c:v>
                </c:pt>
                <c:pt idx="3">
                  <c:v>34</c:v>
                </c:pt>
                <c:pt idx="4">
                  <c:v>28</c:v>
                </c:pt>
              </c:numCache>
            </c:numRef>
          </c:val>
          <c:extLst>
            <c:ext xmlns:c16="http://schemas.microsoft.com/office/drawing/2014/chart" uri="{C3380CC4-5D6E-409C-BE32-E72D297353CC}">
              <c16:uniqueId val="{00000017-728F-4E13-927A-07DAFAF00169}"/>
            </c:ext>
          </c:extLst>
        </c:ser>
        <c:dLbls>
          <c:showLegendKey val="0"/>
          <c:showVal val="0"/>
          <c:showCatName val="0"/>
          <c:showSerName val="0"/>
          <c:showPercent val="0"/>
          <c:showBubbleSize val="0"/>
        </c:dLbls>
        <c:gapWidth val="150"/>
        <c:shape val="box"/>
        <c:axId val="632380272"/>
        <c:axId val="632384976"/>
        <c:axId val="0"/>
      </c:bar3DChart>
      <c:catAx>
        <c:axId val="6323802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84976"/>
        <c:crosses val="autoZero"/>
        <c:auto val="0"/>
        <c:lblAlgn val="ctr"/>
        <c:lblOffset val="100"/>
        <c:noMultiLvlLbl val="0"/>
      </c:catAx>
      <c:valAx>
        <c:axId val="63238497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80272"/>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 by</a:t>
            </a:r>
            <a:r>
              <a:rPr lang="en-CA" sz="1200" baseline="0">
                <a:solidFill>
                  <a:sysClr val="windowText" lastClr="000000"/>
                </a:solidFill>
              </a:rPr>
              <a:t> tenure</a:t>
            </a:r>
            <a:endParaRPr lang="en-CA"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98-43A0-A3D2-3FDD3D709311}"/>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98-43A0-A3D2-3FDD3D709311}"/>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98-43A0-A3D2-3FDD3D709311}"/>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98-43A0-A3D2-3FDD3D709311}"/>
                </c:ext>
              </c:extLst>
            </c:dLbl>
            <c:dLbl>
              <c:idx val="4"/>
              <c:layout>
                <c:manualLayout>
                  <c:x val="-1.0185067526415994E-16"/>
                  <c:y val="1.960024227740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98-43A0-A3D2-3FDD3D7093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(N=45)</c:v>
                </c:pt>
                <c:pt idx="1">
                  <c:v>2015-16
 (N=233)</c:v>
                </c:pt>
                <c:pt idx="2">
                  <c:v>2016-17
 (N=360)</c:v>
                </c:pt>
                <c:pt idx="3">
                  <c:v>2017-18
 (N=312)</c:v>
                </c:pt>
                <c:pt idx="4">
                  <c:v>2018-19
 (N=359)</c:v>
                </c:pt>
              </c:strCache>
            </c:strRef>
          </c:cat>
          <c:val>
            <c:numRef>
              <c:f>Sheet1!$B$2:$B$6</c:f>
              <c:numCache>
                <c:formatCode>######0</c:formatCode>
                <c:ptCount val="5"/>
                <c:pt idx="0">
                  <c:v>26</c:v>
                </c:pt>
                <c:pt idx="1">
                  <c:v>131</c:v>
                </c:pt>
                <c:pt idx="2">
                  <c:v>195</c:v>
                </c:pt>
                <c:pt idx="3">
                  <c:v>200</c:v>
                </c:pt>
                <c:pt idx="4">
                  <c:v>218</c:v>
                </c:pt>
              </c:numCache>
            </c:numRef>
          </c:val>
          <c:extLst>
            <c:ext xmlns:c16="http://schemas.microsoft.com/office/drawing/2014/chart" uri="{C3380CC4-5D6E-409C-BE32-E72D297353CC}">
              <c16:uniqueId val="{00000005-EB98-43A0-A3D2-3FDD3D709311}"/>
            </c:ext>
          </c:extLst>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3520290732889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98-43A0-A3D2-3FDD3D709311}"/>
                </c:ext>
              </c:extLst>
            </c:dLbl>
            <c:dLbl>
              <c:idx val="1"/>
              <c:layout>
                <c:manualLayout>
                  <c:x val="-5.0925337632079971E-17"/>
                  <c:y val="2.4250353321219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98-43A0-A3D2-3FDD3D709311}"/>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B98-43A0-A3D2-3FDD3D709311}"/>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98-43A0-A3D2-3FDD3D709311}"/>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B98-43A0-A3D2-3FDD3D7093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(N=45)</c:v>
                </c:pt>
                <c:pt idx="1">
                  <c:v>2015-16
 (N=233)</c:v>
                </c:pt>
                <c:pt idx="2">
                  <c:v>2016-17
 (N=360)</c:v>
                </c:pt>
                <c:pt idx="3">
                  <c:v>2017-18
 (N=312)</c:v>
                </c:pt>
                <c:pt idx="4">
                  <c:v>2018-19
 (N=359)</c:v>
                </c:pt>
              </c:strCache>
            </c:strRef>
          </c:cat>
          <c:val>
            <c:numRef>
              <c:f>Sheet1!$C$2:$C$6</c:f>
              <c:numCache>
                <c:formatCode>######0</c:formatCode>
                <c:ptCount val="5"/>
                <c:pt idx="0">
                  <c:v>2</c:v>
                </c:pt>
                <c:pt idx="1">
                  <c:v>23</c:v>
                </c:pt>
                <c:pt idx="2">
                  <c:v>58</c:v>
                </c:pt>
                <c:pt idx="3">
                  <c:v>48</c:v>
                </c:pt>
                <c:pt idx="4">
                  <c:v>25</c:v>
                </c:pt>
              </c:numCache>
            </c:numRef>
          </c:val>
          <c:extLst>
            <c:ext xmlns:c16="http://schemas.microsoft.com/office/drawing/2014/chart" uri="{C3380CC4-5D6E-409C-BE32-E72D297353CC}">
              <c16:uniqueId val="{0000000B-EB98-43A0-A3D2-3FDD3D709311}"/>
            </c:ext>
          </c:extLst>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B98-43A0-A3D2-3FDD3D709311}"/>
                </c:ext>
              </c:extLst>
            </c:dLbl>
            <c:dLbl>
              <c:idx val="1"/>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B98-43A0-A3D2-3FDD3D709311}"/>
                </c:ext>
              </c:extLst>
            </c:dLbl>
            <c:dLbl>
              <c:idx val="2"/>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B98-43A0-A3D2-3FDD3D709311}"/>
                </c:ext>
              </c:extLst>
            </c:dLbl>
            <c:dLbl>
              <c:idx val="3"/>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B98-43A0-A3D2-3FDD3D709311}"/>
                </c:ext>
              </c:extLst>
            </c:dLbl>
            <c:dLbl>
              <c:idx val="4"/>
              <c:layout>
                <c:manualLayout>
                  <c:x val="2.777777777777676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B98-43A0-A3D2-3FDD3D7093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(N=45)</c:v>
                </c:pt>
                <c:pt idx="1">
                  <c:v>2015-16
 (N=233)</c:v>
                </c:pt>
                <c:pt idx="2">
                  <c:v>2016-17
 (N=360)</c:v>
                </c:pt>
                <c:pt idx="3">
                  <c:v>2017-18
 (N=312)</c:v>
                </c:pt>
                <c:pt idx="4">
                  <c:v>2018-19
 (N=359)</c:v>
                </c:pt>
              </c:strCache>
            </c:strRef>
          </c:cat>
          <c:val>
            <c:numRef>
              <c:f>Sheet1!$D$2:$D$6</c:f>
              <c:numCache>
                <c:formatCode>######0</c:formatCode>
                <c:ptCount val="5"/>
                <c:pt idx="0">
                  <c:v>15</c:v>
                </c:pt>
                <c:pt idx="1">
                  <c:v>54</c:v>
                </c:pt>
                <c:pt idx="2">
                  <c:v>90</c:v>
                </c:pt>
                <c:pt idx="3">
                  <c:v>48</c:v>
                </c:pt>
                <c:pt idx="4">
                  <c:v>86</c:v>
                </c:pt>
              </c:numCache>
            </c:numRef>
          </c:val>
          <c:extLst>
            <c:ext xmlns:c16="http://schemas.microsoft.com/office/drawing/2014/chart" uri="{C3380CC4-5D6E-409C-BE32-E72D297353CC}">
              <c16:uniqueId val="{00000011-EB98-43A0-A3D2-3FDD3D709311}"/>
            </c:ext>
          </c:extLst>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B98-43A0-A3D2-3FDD3D709311}"/>
                </c:ext>
              </c:extLst>
            </c:dLbl>
            <c:dLbl>
              <c:idx val="1"/>
              <c:layout>
                <c:manualLayout>
                  <c:x val="5.5555555555555558E-3"/>
                  <c:y val="2.7622854835453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B98-43A0-A3D2-3FDD3D709311}"/>
                </c:ext>
              </c:extLst>
            </c:dLbl>
            <c:dLbl>
              <c:idx val="2"/>
              <c:layout>
                <c:manualLayout>
                  <c:x val="1.3888888888888888E-2"/>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B98-43A0-A3D2-3FDD3D709311}"/>
                </c:ext>
              </c:extLst>
            </c:dLbl>
            <c:dLbl>
              <c:idx val="3"/>
              <c:layout>
                <c:manualLayout>
                  <c:x val="1.3888888888888888E-2"/>
                  <c:y val="2.4067837674136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B98-43A0-A3D2-3FDD3D709311}"/>
                </c:ext>
              </c:extLst>
            </c:dLbl>
            <c:dLbl>
              <c:idx val="4"/>
              <c:layout>
                <c:manualLayout>
                  <c:x val="1.6666666666666767E-2"/>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B98-43A0-A3D2-3FDD3D7093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(N=45)</c:v>
                </c:pt>
                <c:pt idx="1">
                  <c:v>2015-16
 (N=233)</c:v>
                </c:pt>
                <c:pt idx="2">
                  <c:v>2016-17
 (N=360)</c:v>
                </c:pt>
                <c:pt idx="3">
                  <c:v>2017-18
 (N=312)</c:v>
                </c:pt>
                <c:pt idx="4">
                  <c:v>2018-19
 (N=359)</c:v>
                </c:pt>
              </c:strCache>
            </c:strRef>
          </c:cat>
          <c:val>
            <c:numRef>
              <c:f>Sheet1!$E$2:$E$6</c:f>
              <c:numCache>
                <c:formatCode>######0</c:formatCode>
                <c:ptCount val="5"/>
                <c:pt idx="0">
                  <c:v>2</c:v>
                </c:pt>
                <c:pt idx="1">
                  <c:v>25</c:v>
                </c:pt>
                <c:pt idx="2">
                  <c:v>17</c:v>
                </c:pt>
                <c:pt idx="3">
                  <c:v>16</c:v>
                </c:pt>
                <c:pt idx="4">
                  <c:v>30</c:v>
                </c:pt>
              </c:numCache>
            </c:numRef>
          </c:val>
          <c:extLst>
            <c:ext xmlns:c16="http://schemas.microsoft.com/office/drawing/2014/chart" uri="{C3380CC4-5D6E-409C-BE32-E72D297353CC}">
              <c16:uniqueId val="{00000017-EB98-43A0-A3D2-3FDD3D709311}"/>
            </c:ext>
          </c:extLst>
        </c:ser>
        <c:dLbls>
          <c:showLegendKey val="0"/>
          <c:showVal val="1"/>
          <c:showCatName val="0"/>
          <c:showSerName val="0"/>
          <c:showPercent val="0"/>
          <c:showBubbleSize val="0"/>
        </c:dLbls>
        <c:gapWidth val="150"/>
        <c:shape val="box"/>
        <c:axId val="632380664"/>
        <c:axId val="632385368"/>
        <c:axId val="0"/>
      </c:bar3DChart>
      <c:catAx>
        <c:axId val="632380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85368"/>
        <c:crosses val="autoZero"/>
        <c:auto val="1"/>
        <c:lblAlgn val="ctr"/>
        <c:lblOffset val="100"/>
        <c:noMultiLvlLbl val="0"/>
      </c:catAx>
      <c:valAx>
        <c:axId val="6323853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2380664"/>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152</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2</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a:t>
          </a:r>
          <a:r>
            <a:rPr lang="en-CA" sz="850">
              <a:solidFill>
                <a:sysClr val="windowText" lastClr="000000"/>
              </a:solidFill>
            </a:rPr>
            <a:t>distribution</a:t>
          </a:r>
          <a:r>
            <a:rPr lang="en-CA" sz="850"/>
            <a:t>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a:t>
          </a:r>
          <a:r>
            <a:rPr lang="en-CA" sz="850" baseline="0">
              <a:solidFill>
                <a:sysClr val="windowText" lastClr="000000"/>
              </a:solidFill>
            </a:rPr>
            <a:t>downward</a:t>
          </a:r>
          <a:r>
            <a:rPr lang="en-CA" sz="850" baseline="0"/>
            <a:t> movements, deployments and acting appointments  of less than 4 months</a:t>
          </a:r>
        </a:p>
        <a:p xmlns:a="http://schemas.openxmlformats.org/drawingml/2006/main">
          <a:pPr>
            <a:lnSpc>
              <a:spcPts val="900"/>
            </a:lnSpc>
          </a:pPr>
          <a:r>
            <a:rPr lang="en-CA" sz="850" baseline="0"/>
            <a:t>- Includes only appointments where the staffing process type is known </a:t>
          </a:r>
          <a:r>
            <a:rPr lang="en-CA" sz="850" baseline="0">
              <a:solidFill>
                <a:sysClr val="windowText" lastClr="000000"/>
              </a:solidFill>
            </a:rPr>
            <a:t>(43% to 87</a:t>
          </a:r>
          <a:r>
            <a:rPr lang="en-CA" sz="850" baseline="0"/>
            <a:t>% of appointments)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*Hires</a:t>
          </a:r>
          <a:r>
            <a:rPr lang="en-CA" sz="800" baseline="0"/>
            <a:t> with </a:t>
          </a:r>
          <a:r>
            <a:rPr lang="en-CA" sz="800"/>
            <a:t>experience in a </a:t>
          </a:r>
          <a:r>
            <a:rPr lang="en-CA" sz="800">
              <a:solidFill>
                <a:sysClr val="windowText" lastClr="000000"/>
              </a:solidFill>
            </a:rPr>
            <a:t>federal</a:t>
          </a:r>
          <a:r>
            <a:rPr lang="en-CA" sz="800"/>
            <a:t>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E17F30EF24A4AA4AB24E544EC51D4"/>
        <w:category>
          <w:name w:val="General"/>
          <w:gallery w:val="placeholder"/>
        </w:category>
        <w:types>
          <w:type w:val="bbPlcHdr"/>
        </w:types>
        <w:behaviors>
          <w:behavior w:val="content"/>
        </w:behaviors>
        <w:guid w:val="{99BF4557-8394-4A79-8964-56C05C66937E}"/>
      </w:docPartPr>
      <w:docPartBody>
        <w:p w:rsidR="007432EF" w:rsidRDefault="007432EF" w:rsidP="007432EF">
          <w:pPr>
            <w:pStyle w:val="765E17F30EF24A4AA4AB24E544EC51D4"/>
          </w:pPr>
          <w:r w:rsidRPr="00275466">
            <w:rPr>
              <w:rFonts w:ascii="Arial" w:eastAsia="Arial" w:hAnsi="Arial" w:cs="Arial"/>
              <w:color w:val="A6A6A6" w:themeColor="background1" w:themeShade="A6"/>
              <w:kern w:val="2"/>
              <w:lang w:val="en-US" w:eastAsia="ja-JP"/>
              <w14:ligatures w14:val="standard"/>
            </w:rPr>
            <w:t>[insert text]</w:t>
          </w:r>
        </w:p>
      </w:docPartBody>
    </w:docPart>
    <w:docPart>
      <w:docPartPr>
        <w:name w:val="852AC18E76274771BAD5AED5DDEE6AF1"/>
        <w:category>
          <w:name w:val="General"/>
          <w:gallery w:val="placeholder"/>
        </w:category>
        <w:types>
          <w:type w:val="bbPlcHdr"/>
        </w:types>
        <w:behaviors>
          <w:behavior w:val="content"/>
        </w:behaviors>
        <w:guid w:val="{75BDF300-0DD5-4BF0-9D8F-9F640E42F687}"/>
      </w:docPartPr>
      <w:docPartBody>
        <w:p w:rsidR="007432EF" w:rsidRDefault="007432EF" w:rsidP="007432EF">
          <w:pPr>
            <w:pStyle w:val="852AC18E76274771BAD5AED5DDEE6AF1"/>
          </w:pPr>
          <w:r w:rsidRPr="00275466">
            <w:rPr>
              <w:rFonts w:ascii="Arial" w:eastAsia="Arial" w:hAnsi="Arial" w:cs="Arial"/>
              <w:color w:val="A6A6A6" w:themeColor="background1" w:themeShade="A6"/>
              <w:kern w:val="2"/>
              <w:lang w:val="en-US" w:eastAsia="ja-JP"/>
              <w14:ligatures w14:val="standard"/>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EF"/>
    <w:rsid w:val="000C4565"/>
    <w:rsid w:val="000F0B62"/>
    <w:rsid w:val="001375D9"/>
    <w:rsid w:val="00227961"/>
    <w:rsid w:val="003376DA"/>
    <w:rsid w:val="007432EF"/>
    <w:rsid w:val="0084738F"/>
    <w:rsid w:val="009D2A83"/>
    <w:rsid w:val="00AA49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5E17F30EF24A4AA4AB24E544EC51D4">
    <w:name w:val="765E17F30EF24A4AA4AB24E544EC51D4"/>
    <w:rsid w:val="007432EF"/>
  </w:style>
  <w:style w:type="paragraph" w:customStyle="1" w:styleId="852AC18E76274771BAD5AED5DDEE6AF1">
    <w:name w:val="852AC18E76274771BAD5AED5DDEE6AF1"/>
    <w:rsid w:val="00743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CB7B-5022-46F5-9B6C-A958FDC5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1</TotalTime>
  <Pages>26</Pages>
  <Words>4151</Words>
  <Characters>23665</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Snjezana Kulic</cp:lastModifiedBy>
  <cp:revision>2</cp:revision>
  <dcterms:created xsi:type="dcterms:W3CDTF">2022-03-04T20:16:00Z</dcterms:created>
  <dcterms:modified xsi:type="dcterms:W3CDTF">2022-03-04T20:16:00Z</dcterms:modified>
</cp:coreProperties>
</file>