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7.xml" ContentType="application/vnd.openxmlformats-officedocument.drawingml.chartshape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CB68" w14:textId="2660090C" w:rsidR="00520881" w:rsidRPr="00013CF8" w:rsidRDefault="00B9648D" w:rsidP="00520881">
      <w:pPr>
        <w:pStyle w:val="Title"/>
        <w:spacing w:before="0" w:line="240" w:lineRule="auto"/>
        <w:jc w:val="center"/>
        <w:rPr>
          <w:sz w:val="52"/>
          <w:szCs w:val="52"/>
        </w:rPr>
      </w:pPr>
      <w:r w:rsidRPr="00013CF8">
        <w:rPr>
          <w:sz w:val="52"/>
          <w:szCs w:val="52"/>
        </w:rPr>
        <w:t>R</w:t>
      </w:r>
      <w:r w:rsidR="007B7C18" w:rsidRPr="00013CF8">
        <w:rPr>
          <w:sz w:val="52"/>
          <w:szCs w:val="52"/>
        </w:rPr>
        <w:t>éunion</w:t>
      </w:r>
      <w:r w:rsidRPr="00013CF8">
        <w:rPr>
          <w:sz w:val="52"/>
          <w:szCs w:val="52"/>
        </w:rPr>
        <w:t xml:space="preserve"> </w:t>
      </w:r>
      <w:r w:rsidR="00013CF8">
        <w:rPr>
          <w:sz w:val="52"/>
          <w:szCs w:val="52"/>
        </w:rPr>
        <w:t>du président avec</w:t>
      </w:r>
      <w:r w:rsidR="00520881" w:rsidRPr="00013CF8">
        <w:rPr>
          <w:sz w:val="52"/>
          <w:szCs w:val="52"/>
        </w:rPr>
        <w:t xml:space="preserve"> O</w:t>
      </w:r>
      <w:r w:rsidR="00013CF8">
        <w:rPr>
          <w:sz w:val="52"/>
          <w:szCs w:val="52"/>
        </w:rPr>
        <w:t>rlando Da</w:t>
      </w:r>
      <w:r w:rsidR="00520881" w:rsidRPr="00013CF8">
        <w:rPr>
          <w:sz w:val="52"/>
          <w:szCs w:val="52"/>
        </w:rPr>
        <w:t> S</w:t>
      </w:r>
      <w:r w:rsidR="00013CF8">
        <w:rPr>
          <w:sz w:val="52"/>
          <w:szCs w:val="52"/>
        </w:rPr>
        <w:t>ilva</w:t>
      </w:r>
      <w:r w:rsidR="00520881" w:rsidRPr="00013CF8">
        <w:rPr>
          <w:sz w:val="52"/>
          <w:szCs w:val="52"/>
        </w:rPr>
        <w:t>, A</w:t>
      </w:r>
      <w:r w:rsidR="00013CF8">
        <w:rPr>
          <w:sz w:val="52"/>
          <w:szCs w:val="52"/>
        </w:rPr>
        <w:t>dministrateur en chef de</w:t>
      </w:r>
      <w:r w:rsidR="00520881" w:rsidRPr="00013CF8">
        <w:rPr>
          <w:sz w:val="52"/>
          <w:szCs w:val="52"/>
        </w:rPr>
        <w:t xml:space="preserve"> S</w:t>
      </w:r>
      <w:r w:rsidR="00013CF8">
        <w:rPr>
          <w:sz w:val="52"/>
          <w:szCs w:val="52"/>
        </w:rPr>
        <w:t>ervice</w:t>
      </w:r>
      <w:r w:rsidR="00520881" w:rsidRPr="00013CF8">
        <w:rPr>
          <w:sz w:val="52"/>
          <w:szCs w:val="52"/>
        </w:rPr>
        <w:t xml:space="preserve"> C</w:t>
      </w:r>
      <w:r w:rsidR="00013CF8">
        <w:rPr>
          <w:sz w:val="52"/>
          <w:szCs w:val="52"/>
        </w:rPr>
        <w:t>anadien d’appui</w:t>
      </w:r>
      <w:r w:rsidR="00520881" w:rsidRPr="00013CF8">
        <w:rPr>
          <w:sz w:val="52"/>
          <w:szCs w:val="52"/>
        </w:rPr>
        <w:t xml:space="preserve"> </w:t>
      </w:r>
      <w:r w:rsidR="00013CF8">
        <w:rPr>
          <w:sz w:val="52"/>
          <w:szCs w:val="52"/>
        </w:rPr>
        <w:t>aux</w:t>
      </w:r>
      <w:r w:rsidR="00520881" w:rsidRPr="00013CF8">
        <w:rPr>
          <w:sz w:val="52"/>
          <w:szCs w:val="52"/>
        </w:rPr>
        <w:t xml:space="preserve"> </w:t>
      </w:r>
      <w:r w:rsidR="00013CF8">
        <w:rPr>
          <w:sz w:val="52"/>
          <w:szCs w:val="52"/>
        </w:rPr>
        <w:t>tribunaux administratifs</w:t>
      </w:r>
    </w:p>
    <w:p w14:paraId="4A0E4240" w14:textId="77777777" w:rsidR="00520881" w:rsidRPr="00013CF8" w:rsidRDefault="00520881" w:rsidP="00013CF8">
      <w:pPr>
        <w:spacing w:after="240"/>
        <w:jc w:val="center"/>
        <w:rPr>
          <w:rFonts w:ascii="Segoe UI Light" w:eastAsiaTheme="majorEastAsia" w:hAnsi="Segoe UI Light" w:cs="Segoe UI Light"/>
          <w:spacing w:val="-10"/>
          <w:kern w:val="28"/>
          <w:sz w:val="52"/>
          <w:szCs w:val="52"/>
        </w:rPr>
      </w:pPr>
      <w:r w:rsidRPr="00013CF8">
        <w:rPr>
          <w:rFonts w:ascii="Segoe UI Light" w:eastAsiaTheme="majorEastAsia" w:hAnsi="Segoe UI Light" w:cs="Segoe UI Light"/>
          <w:spacing w:val="-10"/>
          <w:kern w:val="28"/>
          <w:sz w:val="52"/>
          <w:szCs w:val="52"/>
        </w:rPr>
        <w:t>23 janvier 2020</w:t>
      </w:r>
    </w:p>
    <w:p w14:paraId="201079A1" w14:textId="422E3E04" w:rsidR="007B1B27" w:rsidRPr="00013CF8" w:rsidRDefault="00772B4B" w:rsidP="00013CF8">
      <w:pPr>
        <w:pStyle w:val="Heading1"/>
        <w:spacing w:after="120"/>
        <w:rPr>
          <w:rFonts w:ascii="Arial" w:hAnsi="Arial" w:cs="Arial"/>
          <w:b/>
          <w:sz w:val="22"/>
          <w:szCs w:val="22"/>
        </w:rPr>
      </w:pPr>
      <w:r>
        <w:t>Introduction</w:t>
      </w:r>
      <w:r w:rsidR="0074723A" w:rsidRPr="00013CF8">
        <w:t> </w:t>
      </w:r>
    </w:p>
    <w:p w14:paraId="3316C9F0" w14:textId="77777777" w:rsidR="007B1B27" w:rsidRPr="00013CF8" w:rsidRDefault="00520881" w:rsidP="00055B43">
      <w:pPr>
        <w:pStyle w:val="Heading2"/>
        <w:spacing w:after="120"/>
      </w:pPr>
      <w:r w:rsidRPr="00013CF8">
        <w:t>Administrateur général</w:t>
      </w:r>
    </w:p>
    <w:p w14:paraId="21F31263" w14:textId="51CDAF80" w:rsidR="00520881" w:rsidRPr="00013CF8" w:rsidRDefault="00520881" w:rsidP="00013CF8">
      <w:pPr>
        <w:pStyle w:val="NoSpacing"/>
        <w:spacing w:after="120"/>
        <w:rPr>
          <w:rFonts w:asciiTheme="minorHAnsi" w:hAnsiTheme="minorHAnsi" w:cstheme="minorHAnsi"/>
          <w:color w:val="FF0000"/>
          <w:sz w:val="22"/>
          <w:szCs w:val="22"/>
          <w:lang w:val="fr-CA"/>
        </w:rPr>
      </w:pPr>
      <w:r w:rsidRPr="00013CF8">
        <w:rPr>
          <w:rFonts w:asciiTheme="minorHAnsi" w:hAnsiTheme="minorHAnsi" w:cstheme="minorHAnsi"/>
          <w:sz w:val="22"/>
          <w:szCs w:val="22"/>
          <w:lang w:val="fr-CA"/>
        </w:rPr>
        <w:t>Orlando Da Silva a été nommé administrateur en chef du Service canadien d’appui aux tribunaux administratifs (SC</w:t>
      </w:r>
      <w:r w:rsidR="00392697" w:rsidRPr="00013CF8">
        <w:rPr>
          <w:rFonts w:asciiTheme="minorHAnsi" w:hAnsiTheme="minorHAnsi" w:cstheme="minorHAnsi"/>
          <w:sz w:val="22"/>
          <w:szCs w:val="22"/>
          <w:lang w:val="fr-CA"/>
        </w:rPr>
        <w:t>D</w:t>
      </w:r>
      <w:r w:rsidRPr="00013CF8">
        <w:rPr>
          <w:rFonts w:asciiTheme="minorHAnsi" w:hAnsiTheme="minorHAnsi" w:cstheme="minorHAnsi"/>
          <w:sz w:val="22"/>
          <w:szCs w:val="22"/>
          <w:lang w:val="fr-CA"/>
        </w:rPr>
        <w:t xml:space="preserve">ATA) le 27 octobre 2019. </w:t>
      </w:r>
    </w:p>
    <w:p w14:paraId="36711563" w14:textId="431A8B5B" w:rsidR="00B33678" w:rsidRPr="00951590" w:rsidRDefault="00B33678" w:rsidP="00B33678">
      <w:pPr>
        <w:pStyle w:val="NoSpacing"/>
        <w:spacing w:after="120"/>
        <w:rPr>
          <w:rFonts w:asciiTheme="minorHAnsi" w:hAnsiTheme="minorHAnsi" w:cstheme="minorHAnsi"/>
          <w:sz w:val="22"/>
          <w:szCs w:val="22"/>
          <w:lang w:val="fr-CA"/>
        </w:rPr>
      </w:pPr>
      <w:r w:rsidRPr="00951590">
        <w:rPr>
          <w:rFonts w:asciiTheme="minorHAnsi" w:hAnsiTheme="minorHAnsi" w:cstheme="minorHAnsi"/>
          <w:sz w:val="22"/>
          <w:szCs w:val="22"/>
          <w:lang w:val="fr-CA"/>
        </w:rPr>
        <w:t>M</w:t>
      </w:r>
      <w:r>
        <w:rPr>
          <w:rFonts w:asciiTheme="minorHAnsi" w:hAnsiTheme="minorHAnsi" w:cstheme="minorHAnsi"/>
          <w:sz w:val="22"/>
          <w:szCs w:val="22"/>
          <w:lang w:val="fr-CA"/>
        </w:rPr>
        <w:t xml:space="preserve">. Da Silva </w:t>
      </w:r>
      <w:r w:rsidRPr="00951590">
        <w:rPr>
          <w:rFonts w:asciiTheme="minorHAnsi" w:hAnsiTheme="minorHAnsi" w:cstheme="minorHAnsi"/>
          <w:sz w:val="22"/>
          <w:szCs w:val="22"/>
          <w:lang w:val="fr-CA"/>
        </w:rPr>
        <w:t>exerce l’autorité de la Commission de la fonction publique (CFP) pour la première fois en tant qu’A</w:t>
      </w:r>
      <w:r>
        <w:rPr>
          <w:rFonts w:asciiTheme="minorHAnsi" w:hAnsiTheme="minorHAnsi" w:cstheme="minorHAnsi"/>
          <w:sz w:val="22"/>
          <w:szCs w:val="22"/>
          <w:lang w:val="fr-CA"/>
        </w:rPr>
        <w:t xml:space="preserve">dministratrice </w:t>
      </w:r>
      <w:r w:rsidRPr="00951590">
        <w:rPr>
          <w:rFonts w:asciiTheme="minorHAnsi" w:hAnsiTheme="minorHAnsi" w:cstheme="minorHAnsi"/>
          <w:sz w:val="22"/>
          <w:szCs w:val="22"/>
          <w:lang w:val="fr-CA"/>
        </w:rPr>
        <w:t>G</w:t>
      </w:r>
      <w:r>
        <w:rPr>
          <w:rFonts w:asciiTheme="minorHAnsi" w:hAnsiTheme="minorHAnsi" w:cstheme="minorHAnsi"/>
          <w:sz w:val="22"/>
          <w:szCs w:val="22"/>
          <w:lang w:val="fr-CA"/>
        </w:rPr>
        <w:t>énérale</w:t>
      </w:r>
      <w:r w:rsidRPr="00951590">
        <w:rPr>
          <w:rFonts w:asciiTheme="minorHAnsi" w:hAnsiTheme="minorHAnsi" w:cstheme="minorHAnsi"/>
          <w:sz w:val="22"/>
          <w:szCs w:val="22"/>
          <w:lang w:val="fr-CA"/>
        </w:rPr>
        <w:t xml:space="preserve">.  Une copie du document Faits Saillants de la Nouvelle orientation en dotation (NOD) pour les AG est jointe à </w:t>
      </w:r>
      <w:r w:rsidR="00030DD5">
        <w:fldChar w:fldCharType="begin"/>
      </w:r>
      <w:r w:rsidR="00030DD5" w:rsidRPr="00A809F3">
        <w:rPr>
          <w:lang w:val="fr-CA"/>
          <w:rPrChange w:id="0" w:author="Snjezana Kulic" w:date="2022-03-04T15:17:00Z">
            <w:rPr/>
          </w:rPrChange>
        </w:rPr>
        <w:instrText xml:space="preserve"> HYPERLINK \l "Annexe_A" </w:instrText>
      </w:r>
      <w:r w:rsidR="00030DD5">
        <w:fldChar w:fldCharType="separate"/>
      </w:r>
      <w:r w:rsidRPr="00951590">
        <w:rPr>
          <w:rStyle w:val="Hyperlink"/>
          <w:rFonts w:asciiTheme="minorHAnsi" w:hAnsiTheme="minorHAnsi" w:cstheme="minorHAnsi"/>
          <w:sz w:val="22"/>
          <w:szCs w:val="22"/>
          <w:lang w:val="fr-CA"/>
        </w:rPr>
        <w:t>l’annexe A</w:t>
      </w:r>
      <w:r w:rsidR="00030DD5">
        <w:rPr>
          <w:rStyle w:val="Hyperlink"/>
          <w:rFonts w:asciiTheme="minorHAnsi" w:hAnsiTheme="minorHAnsi" w:cstheme="minorHAnsi"/>
          <w:sz w:val="22"/>
          <w:szCs w:val="22"/>
          <w:lang w:val="fr-CA"/>
        </w:rPr>
        <w:fldChar w:fldCharType="end"/>
      </w:r>
      <w:r w:rsidRPr="00951590">
        <w:rPr>
          <w:rFonts w:asciiTheme="minorHAnsi" w:hAnsiTheme="minorHAnsi" w:cstheme="minorHAnsi"/>
          <w:sz w:val="22"/>
          <w:szCs w:val="22"/>
          <w:u w:val="single"/>
          <w:lang w:val="fr-CA"/>
        </w:rPr>
        <w:t>.</w:t>
      </w:r>
    </w:p>
    <w:p w14:paraId="5301B239" w14:textId="77777777" w:rsidR="007B1B27" w:rsidRPr="00013CF8" w:rsidRDefault="00520881" w:rsidP="00013CF8">
      <w:pPr>
        <w:pStyle w:val="Heading1"/>
        <w:spacing w:after="120"/>
      </w:pPr>
      <w:r w:rsidRPr="00013CF8">
        <w:t>Contexte organisationnel</w:t>
      </w:r>
    </w:p>
    <w:p w14:paraId="031F252E" w14:textId="77777777" w:rsidR="007B1B27" w:rsidRPr="00013CF8" w:rsidRDefault="00520881" w:rsidP="00055B43">
      <w:pPr>
        <w:pStyle w:val="Heading2"/>
        <w:spacing w:after="120"/>
        <w:rPr>
          <w:u w:val="single"/>
        </w:rPr>
      </w:pPr>
      <w:r w:rsidRPr="00013CF8">
        <w:t>Mandat</w:t>
      </w:r>
    </w:p>
    <w:p w14:paraId="5CE1FB79" w14:textId="53B1D02D" w:rsidR="007B1B27" w:rsidRPr="00013CF8" w:rsidRDefault="00520881" w:rsidP="007B1B27">
      <w:pPr>
        <w:pStyle w:val="NoSpacing"/>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Le </w:t>
      </w:r>
      <w:r w:rsidR="00141F94" w:rsidRPr="00013CF8">
        <w:rPr>
          <w:rFonts w:asciiTheme="minorHAnsi" w:hAnsiTheme="minorHAnsi" w:cstheme="minorHAnsi"/>
          <w:sz w:val="22"/>
          <w:szCs w:val="22"/>
          <w:lang w:val="fr-CA"/>
        </w:rPr>
        <w:t>SCDATA</w:t>
      </w:r>
      <w:r w:rsidRPr="00013CF8">
        <w:rPr>
          <w:rFonts w:asciiTheme="minorHAnsi" w:hAnsiTheme="minorHAnsi" w:cstheme="minorHAnsi"/>
          <w:sz w:val="22"/>
          <w:szCs w:val="22"/>
          <w:lang w:val="fr-CA"/>
        </w:rPr>
        <w:t xml:space="preserve"> est une </w:t>
      </w:r>
      <w:r w:rsidR="0074723A" w:rsidRPr="00013CF8">
        <w:rPr>
          <w:rFonts w:asciiTheme="minorHAnsi" w:hAnsiTheme="minorHAnsi" w:cstheme="minorHAnsi"/>
          <w:sz w:val="22"/>
          <w:szCs w:val="22"/>
          <w:lang w:val="fr-CA"/>
        </w:rPr>
        <w:t>organisation de petite taille</w:t>
      </w:r>
      <w:r w:rsidRPr="00013CF8">
        <w:rPr>
          <w:rFonts w:asciiTheme="minorHAnsi" w:hAnsiTheme="minorHAnsi" w:cstheme="minorHAnsi"/>
          <w:sz w:val="22"/>
          <w:szCs w:val="22"/>
          <w:lang w:val="fr-CA"/>
        </w:rPr>
        <w:t xml:space="preserve"> qui a été mise sur pied en 2014. </w:t>
      </w:r>
      <w:r w:rsidR="00141F94" w:rsidRPr="00013CF8">
        <w:rPr>
          <w:rFonts w:asciiTheme="minorHAnsi" w:hAnsiTheme="minorHAnsi" w:cstheme="minorHAnsi"/>
          <w:sz w:val="22"/>
          <w:szCs w:val="22"/>
          <w:lang w:val="fr-CA"/>
        </w:rPr>
        <w:t xml:space="preserve">Il appuie </w:t>
      </w:r>
      <w:r w:rsidRPr="00013CF8">
        <w:rPr>
          <w:rFonts w:asciiTheme="minorHAnsi" w:hAnsiTheme="minorHAnsi" w:cstheme="minorHAnsi"/>
          <w:sz w:val="22"/>
          <w:szCs w:val="22"/>
          <w:lang w:val="fr-CA"/>
        </w:rPr>
        <w:t xml:space="preserve">11 tribunaux ayant des </w:t>
      </w:r>
      <w:r w:rsidR="00141F94" w:rsidRPr="00013CF8">
        <w:rPr>
          <w:rFonts w:asciiTheme="minorHAnsi" w:hAnsiTheme="minorHAnsi" w:cstheme="minorHAnsi"/>
          <w:sz w:val="22"/>
          <w:szCs w:val="22"/>
          <w:lang w:val="fr-CA"/>
        </w:rPr>
        <w:t>mandats distincts</w:t>
      </w:r>
      <w:r w:rsidRPr="00013CF8">
        <w:rPr>
          <w:rFonts w:asciiTheme="minorHAnsi" w:hAnsiTheme="minorHAnsi" w:cstheme="minorHAnsi"/>
          <w:sz w:val="22"/>
          <w:szCs w:val="22"/>
          <w:lang w:val="fr-CA"/>
        </w:rPr>
        <w:t xml:space="preserve">, chacun fonctionnant en vertu de lois, </w:t>
      </w:r>
      <w:r w:rsidR="003753E1" w:rsidRPr="00013CF8">
        <w:rPr>
          <w:rFonts w:asciiTheme="minorHAnsi" w:hAnsiTheme="minorHAnsi" w:cstheme="minorHAnsi"/>
          <w:sz w:val="22"/>
          <w:szCs w:val="22"/>
          <w:lang w:val="fr-CA"/>
        </w:rPr>
        <w:t xml:space="preserve">de règles et de règlements </w:t>
      </w:r>
      <w:r w:rsidRPr="00013CF8">
        <w:rPr>
          <w:rFonts w:asciiTheme="minorHAnsi" w:hAnsiTheme="minorHAnsi" w:cstheme="minorHAnsi"/>
          <w:sz w:val="22"/>
          <w:szCs w:val="22"/>
          <w:lang w:val="fr-CA"/>
        </w:rPr>
        <w:t>différents :</w:t>
      </w:r>
    </w:p>
    <w:p w14:paraId="64793FC7" w14:textId="2250EF65" w:rsidR="007B1B27" w:rsidRPr="00013CF8" w:rsidRDefault="002A659C" w:rsidP="002A659C">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Commission canadienne d’examen des exportations de biens culturels</w:t>
      </w:r>
    </w:p>
    <w:p w14:paraId="1A909893" w14:textId="15FCBF59" w:rsidR="007B1B27" w:rsidRPr="00013CF8" w:rsidRDefault="002A659C" w:rsidP="009466B2">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Conseil canadien des relations industrielles</w:t>
      </w:r>
    </w:p>
    <w:p w14:paraId="383A0CBB" w14:textId="1C458204" w:rsidR="007B1B27" w:rsidRPr="00013CF8" w:rsidRDefault="002A659C" w:rsidP="009466B2">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Commission de révision agricole du Canada</w:t>
      </w:r>
    </w:p>
    <w:p w14:paraId="260726CB" w14:textId="31998E46" w:rsidR="007B1B27" w:rsidRPr="00013CF8" w:rsidRDefault="00B62F5D" w:rsidP="009466B2">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Tribunal canadien des droits de la personne</w:t>
      </w:r>
    </w:p>
    <w:p w14:paraId="7B6810CF" w14:textId="6AF3DD75" w:rsidR="007B1B27" w:rsidRPr="00013CF8" w:rsidRDefault="00B62F5D" w:rsidP="009466B2">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Tribunal canadien du commerce extérieur</w:t>
      </w:r>
    </w:p>
    <w:p w14:paraId="6259D7F3" w14:textId="2883BD07" w:rsidR="007B1B27" w:rsidRPr="00013CF8" w:rsidRDefault="00B62F5D" w:rsidP="009466B2">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Tribunal de la concurrence</w:t>
      </w:r>
    </w:p>
    <w:p w14:paraId="2BBE5DC5" w14:textId="28C9A225" w:rsidR="007B1B27" w:rsidRPr="00013CF8" w:rsidRDefault="00B62F5D" w:rsidP="00B62F5D">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Tribunal de la protection des fonctionnaires divulgateurs d</w:t>
      </w:r>
      <w:r w:rsidR="005B1309" w:rsidRPr="00013CF8">
        <w:rPr>
          <w:rFonts w:asciiTheme="minorHAnsi" w:hAnsiTheme="minorHAnsi" w:cstheme="minorHAnsi"/>
          <w:color w:val="000000"/>
          <w:sz w:val="22"/>
          <w:szCs w:val="22"/>
          <w:lang w:val="fr-CA"/>
        </w:rPr>
        <w:t>’</w:t>
      </w:r>
      <w:r w:rsidRPr="00013CF8">
        <w:rPr>
          <w:rFonts w:asciiTheme="minorHAnsi" w:hAnsiTheme="minorHAnsi" w:cstheme="minorHAnsi"/>
          <w:color w:val="000000"/>
          <w:sz w:val="22"/>
          <w:szCs w:val="22"/>
          <w:lang w:val="fr-CA"/>
        </w:rPr>
        <w:t>actes répréhensibles</w:t>
      </w:r>
    </w:p>
    <w:p w14:paraId="412015E6" w14:textId="6C04E675" w:rsidR="007B1B27" w:rsidRPr="00013CF8" w:rsidRDefault="00B62F5D" w:rsidP="00B62F5D">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Commission des relations de travail et de l</w:t>
      </w:r>
      <w:r w:rsidR="005B1309" w:rsidRPr="00013CF8">
        <w:rPr>
          <w:rFonts w:asciiTheme="minorHAnsi" w:hAnsiTheme="minorHAnsi" w:cstheme="minorHAnsi"/>
          <w:color w:val="000000"/>
          <w:sz w:val="22"/>
          <w:szCs w:val="22"/>
          <w:lang w:val="fr-CA"/>
        </w:rPr>
        <w:t>’</w:t>
      </w:r>
      <w:r w:rsidRPr="00013CF8">
        <w:rPr>
          <w:rFonts w:asciiTheme="minorHAnsi" w:hAnsiTheme="minorHAnsi" w:cstheme="minorHAnsi"/>
          <w:color w:val="000000"/>
          <w:sz w:val="22"/>
          <w:szCs w:val="22"/>
          <w:lang w:val="fr-CA"/>
        </w:rPr>
        <w:t>emploi</w:t>
      </w:r>
      <w:r w:rsidR="00B9648D" w:rsidRPr="00013CF8">
        <w:rPr>
          <w:rFonts w:asciiTheme="minorHAnsi" w:hAnsiTheme="minorHAnsi" w:cstheme="minorHAnsi"/>
          <w:color w:val="000000"/>
          <w:sz w:val="22"/>
          <w:szCs w:val="22"/>
          <w:lang w:val="fr-CA"/>
        </w:rPr>
        <w:t xml:space="preserve"> du secteur public fédéral</w:t>
      </w:r>
    </w:p>
    <w:p w14:paraId="06F4EF66" w14:textId="78EE4D53" w:rsidR="007B1B27" w:rsidRPr="00013CF8" w:rsidRDefault="00B62F5D" w:rsidP="00B62F5D">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Tribunal de la sécurité sociale</w:t>
      </w:r>
    </w:p>
    <w:p w14:paraId="7D90E388" w14:textId="678C2C75" w:rsidR="007B1B27" w:rsidRPr="00013CF8" w:rsidRDefault="00B62F5D" w:rsidP="00B62F5D">
      <w:pPr>
        <w:pStyle w:val="NoSpacing"/>
        <w:numPr>
          <w:ilvl w:val="0"/>
          <w:numId w:val="7"/>
        </w:numPr>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 xml:space="preserve">Tribunal des </w:t>
      </w:r>
      <w:r w:rsidR="00850876" w:rsidRPr="00013CF8">
        <w:rPr>
          <w:rFonts w:asciiTheme="minorHAnsi" w:hAnsiTheme="minorHAnsi" w:cstheme="minorHAnsi"/>
          <w:color w:val="000000"/>
          <w:sz w:val="22"/>
          <w:szCs w:val="22"/>
          <w:lang w:val="fr-CA"/>
        </w:rPr>
        <w:t xml:space="preserve">revendications particulières </w:t>
      </w:r>
      <w:r w:rsidRPr="00013CF8">
        <w:rPr>
          <w:rFonts w:asciiTheme="minorHAnsi" w:hAnsiTheme="minorHAnsi" w:cstheme="minorHAnsi"/>
          <w:color w:val="000000"/>
          <w:sz w:val="22"/>
          <w:szCs w:val="22"/>
          <w:lang w:val="fr-CA"/>
        </w:rPr>
        <w:t>Canada</w:t>
      </w:r>
    </w:p>
    <w:p w14:paraId="3A75E38C" w14:textId="01363C32" w:rsidR="007B1B27" w:rsidRPr="00013CF8" w:rsidRDefault="00B62F5D" w:rsidP="00503C89">
      <w:pPr>
        <w:pStyle w:val="NoSpacing"/>
        <w:numPr>
          <w:ilvl w:val="0"/>
          <w:numId w:val="7"/>
        </w:numPr>
        <w:spacing w:after="120"/>
        <w:rPr>
          <w:rFonts w:asciiTheme="minorHAnsi" w:hAnsiTheme="minorHAnsi" w:cstheme="minorHAnsi"/>
          <w:color w:val="000000"/>
          <w:sz w:val="22"/>
          <w:szCs w:val="22"/>
          <w:lang w:val="fr-CA"/>
        </w:rPr>
      </w:pPr>
      <w:r w:rsidRPr="00013CF8">
        <w:rPr>
          <w:rFonts w:asciiTheme="minorHAnsi" w:hAnsiTheme="minorHAnsi" w:cstheme="minorHAnsi"/>
          <w:color w:val="000000"/>
          <w:sz w:val="22"/>
          <w:szCs w:val="22"/>
          <w:lang w:val="fr-CA"/>
        </w:rPr>
        <w:t>Tribunal d</w:t>
      </w:r>
      <w:r w:rsidR="005B1309" w:rsidRPr="00013CF8">
        <w:rPr>
          <w:rFonts w:asciiTheme="minorHAnsi" w:hAnsiTheme="minorHAnsi" w:cstheme="minorHAnsi"/>
          <w:color w:val="000000"/>
          <w:sz w:val="22"/>
          <w:szCs w:val="22"/>
          <w:lang w:val="fr-CA"/>
        </w:rPr>
        <w:t>’</w:t>
      </w:r>
      <w:r w:rsidRPr="00013CF8">
        <w:rPr>
          <w:rFonts w:asciiTheme="minorHAnsi" w:hAnsiTheme="minorHAnsi" w:cstheme="minorHAnsi"/>
          <w:color w:val="000000"/>
          <w:sz w:val="22"/>
          <w:szCs w:val="22"/>
          <w:lang w:val="fr-CA"/>
        </w:rPr>
        <w:t>appel des transports du Canada</w:t>
      </w:r>
    </w:p>
    <w:p w14:paraId="34147E25" w14:textId="2F6B3FF2" w:rsidR="007B1B27" w:rsidRPr="00013CF8" w:rsidRDefault="00C06C7E"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Au cœur du mandat du </w:t>
      </w:r>
      <w:r w:rsidR="00141F94" w:rsidRPr="00013CF8">
        <w:rPr>
          <w:rFonts w:asciiTheme="minorHAnsi" w:hAnsiTheme="minorHAnsi" w:cstheme="minorHAnsi"/>
          <w:sz w:val="22"/>
          <w:szCs w:val="22"/>
          <w:lang w:val="fr-CA"/>
        </w:rPr>
        <w:t>SCDATA</w:t>
      </w:r>
      <w:r w:rsidR="0074723A" w:rsidRPr="00013CF8">
        <w:rPr>
          <w:rFonts w:asciiTheme="minorHAnsi" w:hAnsiTheme="minorHAnsi" w:cstheme="minorHAnsi"/>
          <w:sz w:val="22"/>
          <w:szCs w:val="22"/>
          <w:lang w:val="fr-CA"/>
        </w:rPr>
        <w:t xml:space="preserve"> se trouve le devoir de</w:t>
      </w:r>
      <w:r w:rsidRPr="00013CF8">
        <w:rPr>
          <w:rFonts w:asciiTheme="minorHAnsi" w:hAnsiTheme="minorHAnsi" w:cstheme="minorHAnsi"/>
          <w:sz w:val="22"/>
          <w:szCs w:val="22"/>
          <w:lang w:val="fr-CA"/>
        </w:rPr>
        <w:t xml:space="preserve"> fournir des services de soutien efficaces et efficients aux tribunaux tout en veillant à ce qu</w:t>
      </w:r>
      <w:r w:rsidR="005B1309" w:rsidRPr="00013CF8">
        <w:rPr>
          <w:rFonts w:asciiTheme="minorHAnsi" w:hAnsiTheme="minorHAnsi" w:cstheme="minorHAnsi"/>
          <w:sz w:val="22"/>
          <w:szCs w:val="22"/>
          <w:lang w:val="fr-CA"/>
        </w:rPr>
        <w:t>’</w:t>
      </w:r>
      <w:r w:rsidRPr="00013CF8">
        <w:rPr>
          <w:rFonts w:asciiTheme="minorHAnsi" w:hAnsiTheme="minorHAnsi" w:cstheme="minorHAnsi"/>
          <w:sz w:val="22"/>
          <w:szCs w:val="22"/>
          <w:lang w:val="fr-CA"/>
        </w:rPr>
        <w:t>ils conservent leur indépendance décisionnelle.</w:t>
      </w:r>
      <w:r w:rsidR="001E52D5" w:rsidRPr="00013CF8">
        <w:rPr>
          <w:rFonts w:asciiTheme="minorHAnsi" w:hAnsiTheme="minorHAnsi" w:cstheme="minorHAnsi"/>
          <w:sz w:val="22"/>
          <w:szCs w:val="22"/>
          <w:lang w:val="fr-CA"/>
        </w:rPr>
        <w:t xml:space="preserve"> </w:t>
      </w:r>
      <w:r w:rsidRPr="00013CF8">
        <w:rPr>
          <w:rFonts w:asciiTheme="minorHAnsi" w:hAnsiTheme="minorHAnsi" w:cstheme="minorHAnsi"/>
          <w:sz w:val="22"/>
          <w:szCs w:val="22"/>
          <w:lang w:val="fr-CA"/>
        </w:rPr>
        <w:t>Étant donné la diversité d</w:t>
      </w:r>
      <w:r w:rsidR="00850876" w:rsidRPr="00013CF8">
        <w:rPr>
          <w:rFonts w:asciiTheme="minorHAnsi" w:hAnsiTheme="minorHAnsi" w:cstheme="minorHAnsi"/>
          <w:sz w:val="22"/>
          <w:szCs w:val="22"/>
          <w:lang w:val="fr-CA"/>
        </w:rPr>
        <w:t xml:space="preserve">es opérations et des activités </w:t>
      </w:r>
      <w:r w:rsidRPr="00013CF8">
        <w:rPr>
          <w:rFonts w:asciiTheme="minorHAnsi" w:hAnsiTheme="minorHAnsi" w:cstheme="minorHAnsi"/>
          <w:sz w:val="22"/>
          <w:szCs w:val="22"/>
          <w:lang w:val="fr-CA"/>
        </w:rPr>
        <w:t>et les compétences</w:t>
      </w:r>
      <w:r w:rsidR="00C27D5D" w:rsidRPr="00013CF8">
        <w:rPr>
          <w:rFonts w:asciiTheme="minorHAnsi" w:hAnsiTheme="minorHAnsi" w:cstheme="minorHAnsi"/>
          <w:sz w:val="22"/>
          <w:szCs w:val="22"/>
          <w:lang w:val="fr-CA"/>
        </w:rPr>
        <w:t xml:space="preserve"> approfondies des tribunaux, le </w:t>
      </w:r>
      <w:r w:rsidRPr="00013CF8">
        <w:rPr>
          <w:rFonts w:asciiTheme="minorHAnsi" w:hAnsiTheme="minorHAnsi" w:cstheme="minorHAnsi"/>
          <w:sz w:val="22"/>
          <w:szCs w:val="22"/>
          <w:lang w:val="fr-CA"/>
        </w:rPr>
        <w:t xml:space="preserve">SCDATA continue à maintenir et à renforcer la capacité et les compétences de son personnel de </w:t>
      </w:r>
      <w:r w:rsidRPr="00013CF8">
        <w:rPr>
          <w:rFonts w:asciiTheme="minorHAnsi" w:hAnsiTheme="minorHAnsi" w:cstheme="minorHAnsi"/>
          <w:sz w:val="22"/>
          <w:szCs w:val="22"/>
          <w:lang w:val="fr-CA"/>
        </w:rPr>
        <w:lastRenderedPageBreak/>
        <w:t>manière à ce qu’il puisse répondre aux besoins variés et complexes des tribunaux, individuellement et dans l’ensemble.</w:t>
      </w:r>
    </w:p>
    <w:p w14:paraId="11380E23" w14:textId="4E0C1DBD" w:rsidR="007B1B27" w:rsidRPr="00013CF8" w:rsidRDefault="001E52D5"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Les services du </w:t>
      </w:r>
      <w:r w:rsidR="00141F94" w:rsidRPr="00013CF8">
        <w:rPr>
          <w:rFonts w:asciiTheme="minorHAnsi" w:hAnsiTheme="minorHAnsi" w:cstheme="minorHAnsi"/>
          <w:sz w:val="22"/>
          <w:szCs w:val="22"/>
          <w:lang w:val="fr-CA"/>
        </w:rPr>
        <w:t>SCDATA</w:t>
      </w:r>
      <w:r w:rsidRPr="00013CF8">
        <w:rPr>
          <w:rFonts w:asciiTheme="minorHAnsi" w:hAnsiTheme="minorHAnsi" w:cstheme="minorHAnsi"/>
          <w:sz w:val="22"/>
          <w:szCs w:val="22"/>
          <w:lang w:val="fr-CA"/>
        </w:rPr>
        <w:t xml:space="preserve"> comprennent les services spécialisés </w:t>
      </w:r>
      <w:r w:rsidR="003753E1" w:rsidRPr="00013CF8">
        <w:rPr>
          <w:rFonts w:asciiTheme="minorHAnsi" w:hAnsiTheme="minorHAnsi" w:cstheme="minorHAnsi"/>
          <w:sz w:val="22"/>
          <w:szCs w:val="22"/>
          <w:lang w:val="fr-CA"/>
        </w:rPr>
        <w:t>requis par chacun des tribunaux</w:t>
      </w:r>
      <w:r w:rsidRPr="00013CF8">
        <w:rPr>
          <w:rFonts w:asciiTheme="minorHAnsi" w:hAnsiTheme="minorHAnsi" w:cstheme="minorHAnsi"/>
          <w:sz w:val="22"/>
          <w:szCs w:val="22"/>
          <w:lang w:val="fr-CA"/>
        </w:rPr>
        <w:t xml:space="preserve"> (p. ex., services d</w:t>
      </w:r>
      <w:r w:rsidR="003753E1" w:rsidRPr="00013CF8">
        <w:rPr>
          <w:rFonts w:asciiTheme="minorHAnsi" w:hAnsiTheme="minorHAnsi" w:cstheme="minorHAnsi"/>
          <w:sz w:val="22"/>
          <w:szCs w:val="22"/>
          <w:lang w:val="fr-CA"/>
        </w:rPr>
        <w:t xml:space="preserve">e greffe, recherche, analyse, </w:t>
      </w:r>
      <w:r w:rsidRPr="00013CF8">
        <w:rPr>
          <w:rFonts w:asciiTheme="minorHAnsi" w:hAnsiTheme="minorHAnsi" w:cstheme="minorHAnsi"/>
          <w:sz w:val="22"/>
          <w:szCs w:val="22"/>
          <w:lang w:val="fr-CA"/>
        </w:rPr>
        <w:t>tâches juridiques et autre</w:t>
      </w:r>
      <w:r w:rsidR="003753E1" w:rsidRPr="00013CF8">
        <w:rPr>
          <w:rFonts w:asciiTheme="minorHAnsi" w:hAnsiTheme="minorHAnsi" w:cstheme="minorHAnsi"/>
          <w:sz w:val="22"/>
          <w:szCs w:val="22"/>
          <w:lang w:val="fr-CA"/>
        </w:rPr>
        <w:t xml:space="preserve">s tâches propres aux dossiers) </w:t>
      </w:r>
      <w:r w:rsidRPr="00013CF8">
        <w:rPr>
          <w:rFonts w:asciiTheme="minorHAnsi" w:hAnsiTheme="minorHAnsi" w:cstheme="minorHAnsi"/>
          <w:sz w:val="22"/>
          <w:szCs w:val="22"/>
          <w:lang w:val="fr-CA"/>
        </w:rPr>
        <w:t xml:space="preserve">ainsi que des services </w:t>
      </w:r>
      <w:r w:rsidR="0074723A" w:rsidRPr="00013CF8">
        <w:rPr>
          <w:rFonts w:asciiTheme="minorHAnsi" w:hAnsiTheme="minorHAnsi" w:cstheme="minorHAnsi"/>
          <w:sz w:val="22"/>
          <w:szCs w:val="22"/>
          <w:lang w:val="fr-CA"/>
        </w:rPr>
        <w:t xml:space="preserve">organisationnels </w:t>
      </w:r>
      <w:r w:rsidRPr="00013CF8">
        <w:rPr>
          <w:rFonts w:asciiTheme="minorHAnsi" w:hAnsiTheme="minorHAnsi" w:cstheme="minorHAnsi"/>
          <w:sz w:val="22"/>
          <w:szCs w:val="22"/>
          <w:lang w:val="fr-CA"/>
        </w:rPr>
        <w:t xml:space="preserve">(p. ex., ressources humaines, services financiers, </w:t>
      </w:r>
      <w:r w:rsidR="003753E1" w:rsidRPr="00013CF8">
        <w:rPr>
          <w:rFonts w:asciiTheme="minorHAnsi" w:hAnsiTheme="minorHAnsi" w:cstheme="minorHAnsi"/>
          <w:sz w:val="22"/>
          <w:szCs w:val="22"/>
          <w:lang w:val="fr-CA"/>
        </w:rPr>
        <w:t xml:space="preserve">services liés à la </w:t>
      </w:r>
      <w:r w:rsidRPr="00013CF8">
        <w:rPr>
          <w:rFonts w:asciiTheme="minorHAnsi" w:hAnsiTheme="minorHAnsi" w:cstheme="minorHAnsi"/>
          <w:sz w:val="22"/>
          <w:szCs w:val="22"/>
          <w:lang w:val="fr-CA"/>
        </w:rPr>
        <w:t>technologie de l’information,</w:t>
      </w:r>
      <w:r w:rsidR="003753E1" w:rsidRPr="00013CF8">
        <w:rPr>
          <w:rFonts w:asciiTheme="minorHAnsi" w:hAnsiTheme="minorHAnsi" w:cstheme="minorHAnsi"/>
          <w:sz w:val="22"/>
          <w:szCs w:val="22"/>
          <w:lang w:val="fr-CA"/>
        </w:rPr>
        <w:t xml:space="preserve"> aménagement des</w:t>
      </w:r>
      <w:r w:rsidRPr="00013CF8">
        <w:rPr>
          <w:rFonts w:asciiTheme="minorHAnsi" w:hAnsiTheme="minorHAnsi" w:cstheme="minorHAnsi"/>
          <w:sz w:val="22"/>
          <w:szCs w:val="22"/>
          <w:lang w:val="fr-CA"/>
        </w:rPr>
        <w:t xml:space="preserve"> locaux, sécurité et communication).</w:t>
      </w:r>
    </w:p>
    <w:p w14:paraId="749BC8EF" w14:textId="77777777" w:rsidR="007B1B27" w:rsidRPr="00013CF8" w:rsidRDefault="001E52D5" w:rsidP="00055B43">
      <w:pPr>
        <w:pStyle w:val="Heading2"/>
        <w:spacing w:after="120"/>
        <w:rPr>
          <w:u w:val="single"/>
        </w:rPr>
      </w:pPr>
      <w:r w:rsidRPr="00013CF8">
        <w:t>Possibilités</w:t>
      </w:r>
    </w:p>
    <w:p w14:paraId="03325A05" w14:textId="22FBF1AA" w:rsidR="001E52D5" w:rsidRPr="00013CF8" w:rsidRDefault="001E52D5"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T</w:t>
      </w:r>
      <w:r w:rsidR="00C06C7E" w:rsidRPr="00013CF8">
        <w:rPr>
          <w:rFonts w:asciiTheme="minorHAnsi" w:hAnsiTheme="minorHAnsi" w:cstheme="minorHAnsi"/>
          <w:sz w:val="22"/>
          <w:szCs w:val="22"/>
          <w:lang w:val="fr-CA"/>
        </w:rPr>
        <w:t>el qu’il est indiqué dans son P</w:t>
      </w:r>
      <w:r w:rsidRPr="00013CF8">
        <w:rPr>
          <w:rFonts w:asciiTheme="minorHAnsi" w:hAnsiTheme="minorHAnsi" w:cstheme="minorHAnsi"/>
          <w:sz w:val="22"/>
          <w:szCs w:val="22"/>
          <w:lang w:val="fr-CA"/>
        </w:rPr>
        <w:t>lan ministériel de 2019</w:t>
      </w:r>
      <w:r w:rsidRPr="00013CF8">
        <w:rPr>
          <w:rFonts w:asciiTheme="minorHAnsi" w:hAnsiTheme="minorHAnsi" w:cstheme="minorHAnsi"/>
          <w:sz w:val="22"/>
          <w:szCs w:val="22"/>
          <w:lang w:val="fr-CA"/>
        </w:rPr>
        <w:noBreakHyphen/>
        <w:t xml:space="preserve">2020, le </w:t>
      </w:r>
      <w:r w:rsidR="00141F94" w:rsidRPr="00013CF8">
        <w:rPr>
          <w:rFonts w:asciiTheme="minorHAnsi" w:hAnsiTheme="minorHAnsi" w:cstheme="minorHAnsi"/>
          <w:sz w:val="22"/>
          <w:szCs w:val="22"/>
          <w:lang w:val="fr-CA"/>
        </w:rPr>
        <w:t>SCDATA</w:t>
      </w:r>
      <w:r w:rsidRPr="00013CF8">
        <w:rPr>
          <w:rFonts w:asciiTheme="minorHAnsi" w:hAnsiTheme="minorHAnsi" w:cstheme="minorHAnsi"/>
          <w:sz w:val="22"/>
          <w:szCs w:val="22"/>
          <w:lang w:val="fr-CA"/>
        </w:rPr>
        <w:t xml:space="preserve"> </w:t>
      </w:r>
      <w:r w:rsidR="003753E1" w:rsidRPr="00013CF8">
        <w:rPr>
          <w:rFonts w:asciiTheme="minorHAnsi" w:hAnsiTheme="minorHAnsi" w:cstheme="minorHAnsi"/>
          <w:sz w:val="22"/>
          <w:szCs w:val="22"/>
          <w:lang w:val="fr-CA"/>
        </w:rPr>
        <w:t>continuera d’innover en optimisant ses processus opérationnels et en mettant au point de nouvelles pratiques</w:t>
      </w:r>
      <w:r w:rsidRPr="00013CF8">
        <w:rPr>
          <w:rFonts w:asciiTheme="minorHAnsi" w:hAnsiTheme="minorHAnsi" w:cstheme="minorHAnsi"/>
          <w:sz w:val="22"/>
          <w:szCs w:val="22"/>
          <w:lang w:val="fr-CA"/>
        </w:rPr>
        <w:t xml:space="preserve">, y compris </w:t>
      </w:r>
      <w:r w:rsidR="003753E1" w:rsidRPr="00013CF8">
        <w:rPr>
          <w:rFonts w:asciiTheme="minorHAnsi" w:hAnsiTheme="minorHAnsi" w:cstheme="minorHAnsi"/>
          <w:sz w:val="22"/>
          <w:szCs w:val="22"/>
          <w:lang w:val="fr-CA"/>
        </w:rPr>
        <w:t>des solutions de dépôt électronique nouvelles ou améliorées</w:t>
      </w:r>
      <w:r w:rsidRPr="00013CF8">
        <w:rPr>
          <w:rFonts w:asciiTheme="minorHAnsi" w:hAnsiTheme="minorHAnsi" w:cstheme="minorHAnsi"/>
          <w:sz w:val="22"/>
          <w:szCs w:val="22"/>
          <w:lang w:val="fr-CA"/>
        </w:rPr>
        <w:t xml:space="preserve">, </w:t>
      </w:r>
      <w:r w:rsidR="00C06C7E" w:rsidRPr="00013CF8">
        <w:rPr>
          <w:rFonts w:asciiTheme="minorHAnsi" w:hAnsiTheme="minorHAnsi" w:cstheme="minorHAnsi"/>
          <w:sz w:val="22"/>
          <w:szCs w:val="22"/>
          <w:lang w:val="fr-CA"/>
        </w:rPr>
        <w:t>et en modernisant s</w:t>
      </w:r>
      <w:r w:rsidRPr="00013CF8">
        <w:rPr>
          <w:rFonts w:asciiTheme="minorHAnsi" w:hAnsiTheme="minorHAnsi" w:cstheme="minorHAnsi"/>
          <w:sz w:val="22"/>
          <w:szCs w:val="22"/>
          <w:lang w:val="fr-CA"/>
        </w:rPr>
        <w:t>es systèmes de gestion de cas.</w:t>
      </w:r>
    </w:p>
    <w:p w14:paraId="41A03016" w14:textId="0A7B5F96" w:rsidR="007B1B27" w:rsidRPr="00013CF8" w:rsidRDefault="00C06C7E"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Le SCDATA continue à maintenir et à renforcer la capacité et les compétences de son personnel de manière à ce qu’il puisse répondre aux besoins variés et complexes des tribunaux, individuellement et dans l’ensemble. L’élaboration de stratégies de dotation contribuera au recrutement de nouveaux talents pour des postes clés.</w:t>
      </w:r>
    </w:p>
    <w:p w14:paraId="6FD4DD03" w14:textId="389D90B4" w:rsidR="007B1B27" w:rsidRPr="00013CF8" w:rsidRDefault="00C06C7E"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Le SCDATA travaillera aussi à </w:t>
      </w:r>
      <w:r w:rsidR="00336B63" w:rsidRPr="00013CF8">
        <w:rPr>
          <w:rFonts w:asciiTheme="minorHAnsi" w:hAnsiTheme="minorHAnsi" w:cstheme="minorHAnsi"/>
          <w:sz w:val="22"/>
          <w:szCs w:val="22"/>
          <w:lang w:val="fr-CA"/>
        </w:rPr>
        <w:t>créer des</w:t>
      </w:r>
      <w:r w:rsidRPr="00013CF8">
        <w:rPr>
          <w:rFonts w:asciiTheme="minorHAnsi" w:hAnsiTheme="minorHAnsi" w:cstheme="minorHAnsi"/>
          <w:sz w:val="22"/>
          <w:szCs w:val="22"/>
          <w:lang w:val="fr-CA"/>
        </w:rPr>
        <w:t xml:space="preserve"> environnements de travail dans lesquels les employés ont le soutien dont ils ont besoin. </w:t>
      </w:r>
      <w:r w:rsidR="001E52D5" w:rsidRPr="00013CF8">
        <w:rPr>
          <w:rFonts w:asciiTheme="minorHAnsi" w:hAnsiTheme="minorHAnsi" w:cstheme="minorHAnsi"/>
          <w:sz w:val="22"/>
          <w:szCs w:val="22"/>
          <w:lang w:val="fr-CA"/>
        </w:rPr>
        <w:t xml:space="preserve">L’initiative </w:t>
      </w:r>
      <w:proofErr w:type="spellStart"/>
      <w:r w:rsidR="001E52D5" w:rsidRPr="00013CF8">
        <w:rPr>
          <w:rFonts w:asciiTheme="minorHAnsi" w:hAnsiTheme="minorHAnsi" w:cstheme="minorHAnsi"/>
          <w:sz w:val="22"/>
          <w:szCs w:val="22"/>
          <w:lang w:val="fr-CA"/>
        </w:rPr>
        <w:t>InterACTION</w:t>
      </w:r>
      <w:proofErr w:type="spellEnd"/>
      <w:r w:rsidR="001E52D5" w:rsidRPr="00013CF8">
        <w:rPr>
          <w:rFonts w:asciiTheme="minorHAnsi" w:hAnsiTheme="minorHAnsi" w:cstheme="minorHAnsi"/>
          <w:sz w:val="22"/>
          <w:szCs w:val="22"/>
          <w:lang w:val="fr-CA"/>
        </w:rPr>
        <w:t xml:space="preserve"> du </w:t>
      </w:r>
      <w:r w:rsidR="00141F94" w:rsidRPr="00013CF8">
        <w:rPr>
          <w:rFonts w:asciiTheme="minorHAnsi" w:hAnsiTheme="minorHAnsi" w:cstheme="minorHAnsi"/>
          <w:sz w:val="22"/>
          <w:szCs w:val="22"/>
          <w:lang w:val="fr-CA"/>
        </w:rPr>
        <w:t>SCDATA</w:t>
      </w:r>
      <w:r w:rsidR="001E52D5" w:rsidRPr="00013CF8">
        <w:rPr>
          <w:rFonts w:asciiTheme="minorHAnsi" w:hAnsiTheme="minorHAnsi" w:cstheme="minorHAnsi"/>
          <w:sz w:val="22"/>
          <w:szCs w:val="22"/>
          <w:lang w:val="fr-CA"/>
        </w:rPr>
        <w:t xml:space="preserve"> j</w:t>
      </w:r>
      <w:r w:rsidR="00FA4820" w:rsidRPr="00013CF8">
        <w:rPr>
          <w:rFonts w:asciiTheme="minorHAnsi" w:hAnsiTheme="minorHAnsi" w:cstheme="minorHAnsi"/>
          <w:sz w:val="22"/>
          <w:szCs w:val="22"/>
          <w:lang w:val="fr-CA"/>
        </w:rPr>
        <w:t>oue à cet égard un rôle im</w:t>
      </w:r>
      <w:r w:rsidRPr="00013CF8">
        <w:rPr>
          <w:rFonts w:asciiTheme="minorHAnsi" w:hAnsiTheme="minorHAnsi" w:cstheme="minorHAnsi"/>
          <w:sz w:val="22"/>
          <w:szCs w:val="22"/>
          <w:lang w:val="fr-CA"/>
        </w:rPr>
        <w:t xml:space="preserve">portant en donnant aux employés, à l’aide de nouvelles approches de gestion des talents et du rendement, </w:t>
      </w:r>
      <w:r w:rsidR="00FA4820" w:rsidRPr="00013CF8">
        <w:rPr>
          <w:rFonts w:asciiTheme="minorHAnsi" w:hAnsiTheme="minorHAnsi" w:cstheme="minorHAnsi"/>
          <w:sz w:val="22"/>
          <w:szCs w:val="22"/>
          <w:lang w:val="fr-CA"/>
        </w:rPr>
        <w:t>des occasions d’exprimer leur point de vue</w:t>
      </w:r>
      <w:r w:rsidR="00336B63" w:rsidRPr="00013CF8">
        <w:rPr>
          <w:rFonts w:asciiTheme="minorHAnsi" w:hAnsiTheme="minorHAnsi" w:cstheme="minorHAnsi"/>
          <w:sz w:val="22"/>
          <w:szCs w:val="22"/>
          <w:lang w:val="fr-CA"/>
        </w:rPr>
        <w:t xml:space="preserve"> de façon à assurer leur croissance professionnelle</w:t>
      </w:r>
      <w:r w:rsidRPr="00013CF8">
        <w:rPr>
          <w:rFonts w:asciiTheme="minorHAnsi" w:hAnsiTheme="minorHAnsi" w:cstheme="minorHAnsi"/>
          <w:sz w:val="22"/>
          <w:szCs w:val="22"/>
          <w:lang w:val="fr-CA"/>
        </w:rPr>
        <w:t>.</w:t>
      </w:r>
    </w:p>
    <w:p w14:paraId="47151275" w14:textId="77777777" w:rsidR="007B1B27" w:rsidRPr="00013CF8" w:rsidRDefault="00FA4820" w:rsidP="00013CF8">
      <w:pPr>
        <w:pStyle w:val="Heading1"/>
        <w:spacing w:after="120"/>
      </w:pPr>
      <w:r w:rsidRPr="00013CF8">
        <w:t>Effectif et activités de dotation</w:t>
      </w:r>
    </w:p>
    <w:p w14:paraId="0E71EF6B" w14:textId="77777777" w:rsidR="007B1B27" w:rsidRPr="00013CF8" w:rsidRDefault="00FA4820" w:rsidP="00055B43">
      <w:pPr>
        <w:pStyle w:val="Heading2"/>
        <w:spacing w:after="120"/>
        <w:rPr>
          <w:u w:val="single"/>
        </w:rPr>
      </w:pPr>
      <w:r w:rsidRPr="00013CF8">
        <w:t>Effectif</w:t>
      </w:r>
    </w:p>
    <w:p w14:paraId="43FA9857" w14:textId="04B236BB" w:rsidR="007B1B27" w:rsidRPr="00013CF8" w:rsidRDefault="00FA4820" w:rsidP="00013CF8">
      <w:pPr>
        <w:pStyle w:val="NormalWeb"/>
        <w:spacing w:before="0" w:beforeAutospacing="0" w:after="120" w:afterAutospacing="0"/>
        <w:rPr>
          <w:rFonts w:asciiTheme="minorHAnsi" w:hAnsiTheme="minorHAnsi" w:cstheme="minorHAnsi"/>
          <w:sz w:val="22"/>
          <w:szCs w:val="22"/>
        </w:rPr>
      </w:pPr>
      <w:r w:rsidRPr="00013CF8">
        <w:rPr>
          <w:rFonts w:asciiTheme="minorHAnsi" w:hAnsiTheme="minorHAnsi" w:cstheme="minorHAnsi"/>
          <w:sz w:val="22"/>
          <w:szCs w:val="22"/>
        </w:rPr>
        <w:t xml:space="preserve">Le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est une </w:t>
      </w:r>
      <w:r w:rsidR="0074723A" w:rsidRPr="00013CF8">
        <w:rPr>
          <w:rFonts w:asciiTheme="minorHAnsi" w:hAnsiTheme="minorHAnsi" w:cstheme="minorHAnsi"/>
          <w:sz w:val="22"/>
          <w:szCs w:val="22"/>
        </w:rPr>
        <w:t>organisation de petite taille</w:t>
      </w:r>
      <w:r w:rsidRPr="00013CF8">
        <w:rPr>
          <w:rFonts w:asciiTheme="minorHAnsi" w:hAnsiTheme="minorHAnsi" w:cstheme="minorHAnsi"/>
          <w:sz w:val="22"/>
          <w:szCs w:val="22"/>
        </w:rPr>
        <w:t xml:space="preserve"> qui compte 480 employés au total, y compris les employés occasionnels et les étudiants (en date du 31 mars 2019).</w:t>
      </w:r>
    </w:p>
    <w:p w14:paraId="7A97F981" w14:textId="77777777" w:rsidR="007B1B27" w:rsidRPr="00013CF8" w:rsidRDefault="00FA4820" w:rsidP="00055B43">
      <w:pPr>
        <w:pStyle w:val="Heading2"/>
        <w:spacing w:after="120"/>
        <w:rPr>
          <w:u w:val="single"/>
        </w:rPr>
      </w:pPr>
      <w:r w:rsidRPr="00013CF8">
        <w:t>Activités de dotation</w:t>
      </w:r>
    </w:p>
    <w:p w14:paraId="334BCD10" w14:textId="19F402C7" w:rsidR="007B1B27" w:rsidRPr="00013CF8" w:rsidRDefault="00FA4820" w:rsidP="007B1B27">
      <w:pPr>
        <w:rPr>
          <w:rFonts w:asciiTheme="minorHAnsi" w:hAnsiTheme="minorHAnsi" w:cstheme="minorHAnsi"/>
          <w:sz w:val="22"/>
          <w:szCs w:val="22"/>
        </w:rPr>
      </w:pPr>
      <w:r w:rsidRPr="00013CF8">
        <w:rPr>
          <w:rFonts w:asciiTheme="minorHAnsi" w:hAnsiTheme="minorHAnsi" w:cstheme="minorHAnsi"/>
          <w:sz w:val="22"/>
          <w:szCs w:val="22"/>
        </w:rPr>
        <w:t>En 2018</w:t>
      </w:r>
      <w:r w:rsidRPr="00013CF8">
        <w:rPr>
          <w:rFonts w:asciiTheme="minorHAnsi" w:hAnsiTheme="minorHAnsi" w:cstheme="minorHAnsi"/>
          <w:sz w:val="22"/>
          <w:szCs w:val="22"/>
        </w:rPr>
        <w:noBreakHyphen/>
        <w:t xml:space="preserve">2019, le </w:t>
      </w:r>
      <w:r w:rsidR="00141F94" w:rsidRPr="00013CF8">
        <w:rPr>
          <w:rFonts w:asciiTheme="minorHAnsi" w:hAnsiTheme="minorHAnsi" w:cstheme="minorHAnsi"/>
          <w:sz w:val="22"/>
          <w:szCs w:val="22"/>
        </w:rPr>
        <w:t>SCDATA</w:t>
      </w:r>
      <w:r w:rsidR="002619C0" w:rsidRPr="00013CF8">
        <w:rPr>
          <w:rFonts w:asciiTheme="minorHAnsi" w:hAnsiTheme="minorHAnsi" w:cstheme="minorHAnsi"/>
          <w:sz w:val="22"/>
          <w:szCs w:val="22"/>
        </w:rPr>
        <w:t xml:space="preserve"> a procédé à un total de 359 </w:t>
      </w:r>
      <w:r w:rsidRPr="00013CF8">
        <w:rPr>
          <w:rFonts w:asciiTheme="minorHAnsi" w:hAnsiTheme="minorHAnsi" w:cstheme="minorHAnsi"/>
          <w:sz w:val="22"/>
          <w:szCs w:val="22"/>
        </w:rPr>
        <w:t>activités de dotation :</w:t>
      </w:r>
    </w:p>
    <w:p w14:paraId="7E06BABF" w14:textId="41119DEC" w:rsidR="007B1B27" w:rsidRPr="00013CF8" w:rsidRDefault="00FA4820" w:rsidP="009466B2">
      <w:pPr>
        <w:numPr>
          <w:ilvl w:val="0"/>
          <w:numId w:val="3"/>
        </w:numPr>
        <w:rPr>
          <w:rFonts w:asciiTheme="minorHAnsi" w:hAnsiTheme="minorHAnsi" w:cstheme="minorHAnsi"/>
          <w:color w:val="000000"/>
          <w:sz w:val="22"/>
          <w:szCs w:val="22"/>
        </w:rPr>
      </w:pPr>
      <w:r w:rsidRPr="00013CF8">
        <w:rPr>
          <w:rFonts w:asciiTheme="minorHAnsi" w:hAnsiTheme="minorHAnsi" w:cstheme="minorHAnsi"/>
          <w:color w:val="000000"/>
          <w:sz w:val="22"/>
          <w:szCs w:val="22"/>
        </w:rPr>
        <w:t xml:space="preserve">179 nominations à la </w:t>
      </w:r>
      <w:r w:rsidR="00BA2036" w:rsidRPr="00013CF8">
        <w:rPr>
          <w:rFonts w:asciiTheme="minorHAnsi" w:hAnsiTheme="minorHAnsi" w:cstheme="minorHAnsi"/>
          <w:color w:val="000000"/>
          <w:sz w:val="22"/>
          <w:szCs w:val="22"/>
        </w:rPr>
        <w:t>fonction</w:t>
      </w:r>
      <w:r w:rsidRPr="00013CF8">
        <w:rPr>
          <w:rFonts w:asciiTheme="minorHAnsi" w:hAnsiTheme="minorHAnsi" w:cstheme="minorHAnsi"/>
          <w:color w:val="000000"/>
          <w:sz w:val="22"/>
          <w:szCs w:val="22"/>
        </w:rPr>
        <w:t xml:space="preserve"> publique</w:t>
      </w:r>
      <w:r w:rsidR="007B1B27" w:rsidRPr="00013CF8">
        <w:rPr>
          <w:rFonts w:asciiTheme="minorHAnsi" w:hAnsiTheme="minorHAnsi" w:cstheme="minorHAnsi"/>
          <w:color w:val="000000"/>
          <w:sz w:val="22"/>
          <w:szCs w:val="22"/>
        </w:rPr>
        <w:t xml:space="preserve"> (</w:t>
      </w:r>
      <w:r w:rsidR="00E02A69">
        <w:rPr>
          <w:rFonts w:asciiTheme="minorHAnsi" w:hAnsiTheme="minorHAnsi" w:cstheme="minorHAnsi"/>
          <w:color w:val="000000"/>
          <w:sz w:val="22"/>
          <w:szCs w:val="22"/>
        </w:rPr>
        <w:t xml:space="preserve">incluant les </w:t>
      </w:r>
      <w:r w:rsidRPr="00013CF8">
        <w:rPr>
          <w:rFonts w:asciiTheme="minorHAnsi" w:hAnsiTheme="minorHAnsi" w:cstheme="minorHAnsi"/>
          <w:color w:val="000000"/>
          <w:sz w:val="22"/>
          <w:szCs w:val="22"/>
        </w:rPr>
        <w:t xml:space="preserve">employés </w:t>
      </w:r>
      <w:r w:rsidR="00BA2036" w:rsidRPr="00013CF8">
        <w:rPr>
          <w:rFonts w:asciiTheme="minorHAnsi" w:hAnsiTheme="minorHAnsi" w:cstheme="minorHAnsi"/>
          <w:color w:val="000000"/>
          <w:sz w:val="22"/>
          <w:szCs w:val="22"/>
        </w:rPr>
        <w:t>occasionnels</w:t>
      </w:r>
      <w:r w:rsidRPr="00013CF8">
        <w:rPr>
          <w:rFonts w:asciiTheme="minorHAnsi" w:hAnsiTheme="minorHAnsi" w:cstheme="minorHAnsi"/>
          <w:color w:val="000000"/>
          <w:sz w:val="22"/>
          <w:szCs w:val="22"/>
        </w:rPr>
        <w:t xml:space="preserve"> et </w:t>
      </w:r>
      <w:r w:rsidR="00E02A69">
        <w:rPr>
          <w:rFonts w:asciiTheme="minorHAnsi" w:hAnsiTheme="minorHAnsi" w:cstheme="minorHAnsi"/>
          <w:color w:val="000000"/>
          <w:sz w:val="22"/>
          <w:szCs w:val="22"/>
        </w:rPr>
        <w:t xml:space="preserve">les </w:t>
      </w:r>
      <w:r w:rsidRPr="00013CF8">
        <w:rPr>
          <w:rFonts w:asciiTheme="minorHAnsi" w:hAnsiTheme="minorHAnsi" w:cstheme="minorHAnsi"/>
          <w:color w:val="000000"/>
          <w:sz w:val="22"/>
          <w:szCs w:val="22"/>
        </w:rPr>
        <w:t>étudiants</w:t>
      </w:r>
      <w:r w:rsidR="007B1B27" w:rsidRPr="00013CF8">
        <w:rPr>
          <w:rFonts w:asciiTheme="minorHAnsi" w:hAnsiTheme="minorHAnsi" w:cstheme="minorHAnsi"/>
          <w:color w:val="000000"/>
          <w:sz w:val="22"/>
          <w:szCs w:val="22"/>
        </w:rPr>
        <w:t>)</w:t>
      </w:r>
      <w:r w:rsidR="00C27D5D" w:rsidRPr="00013CF8">
        <w:rPr>
          <w:rFonts w:asciiTheme="minorHAnsi" w:hAnsiTheme="minorHAnsi" w:cstheme="minorHAnsi"/>
          <w:color w:val="000000"/>
          <w:sz w:val="22"/>
          <w:szCs w:val="22"/>
        </w:rPr>
        <w:t>;</w:t>
      </w:r>
    </w:p>
    <w:p w14:paraId="63372CB8" w14:textId="6B72C55E" w:rsidR="007B1B27" w:rsidRPr="00013CF8" w:rsidRDefault="00FA4820" w:rsidP="009466B2">
      <w:pPr>
        <w:numPr>
          <w:ilvl w:val="0"/>
          <w:numId w:val="3"/>
        </w:numPr>
        <w:rPr>
          <w:rFonts w:asciiTheme="minorHAnsi" w:hAnsiTheme="minorHAnsi" w:cstheme="minorHAnsi"/>
          <w:color w:val="000000"/>
          <w:sz w:val="22"/>
          <w:szCs w:val="22"/>
        </w:rPr>
      </w:pPr>
      <w:r w:rsidRPr="00013CF8">
        <w:rPr>
          <w:rFonts w:asciiTheme="minorHAnsi" w:hAnsiTheme="minorHAnsi" w:cstheme="minorHAnsi"/>
          <w:color w:val="000000"/>
          <w:sz w:val="22"/>
          <w:szCs w:val="22"/>
        </w:rPr>
        <w:t>91 </w:t>
      </w:r>
      <w:r w:rsidR="007B1B27" w:rsidRPr="00013CF8">
        <w:rPr>
          <w:rFonts w:asciiTheme="minorHAnsi" w:hAnsiTheme="minorHAnsi" w:cstheme="minorHAnsi"/>
          <w:color w:val="000000"/>
          <w:sz w:val="22"/>
          <w:szCs w:val="22"/>
        </w:rPr>
        <w:t>promotions</w:t>
      </w:r>
      <w:r w:rsidR="00BA2036" w:rsidRPr="00013CF8">
        <w:rPr>
          <w:rFonts w:asciiTheme="minorHAnsi" w:hAnsiTheme="minorHAnsi" w:cstheme="minorHAnsi"/>
          <w:color w:val="000000"/>
          <w:sz w:val="22"/>
          <w:szCs w:val="22"/>
        </w:rPr>
        <w:t>;</w:t>
      </w:r>
    </w:p>
    <w:p w14:paraId="56BB6815" w14:textId="2D0AA747" w:rsidR="007B1B27" w:rsidRPr="00013CF8" w:rsidRDefault="00FA4820" w:rsidP="009466B2">
      <w:pPr>
        <w:numPr>
          <w:ilvl w:val="0"/>
          <w:numId w:val="3"/>
        </w:numPr>
        <w:rPr>
          <w:rFonts w:asciiTheme="minorHAnsi" w:hAnsiTheme="minorHAnsi" w:cstheme="minorHAnsi"/>
          <w:color w:val="000000"/>
          <w:sz w:val="22"/>
          <w:szCs w:val="22"/>
        </w:rPr>
      </w:pPr>
      <w:r w:rsidRPr="00013CF8">
        <w:rPr>
          <w:rFonts w:asciiTheme="minorHAnsi" w:hAnsiTheme="minorHAnsi" w:cstheme="minorHAnsi"/>
          <w:color w:val="000000"/>
          <w:sz w:val="22"/>
          <w:szCs w:val="22"/>
        </w:rPr>
        <w:t>28 nominations intérimaires</w:t>
      </w:r>
      <w:r w:rsidR="00BA2036" w:rsidRPr="00013CF8">
        <w:rPr>
          <w:rFonts w:asciiTheme="minorHAnsi" w:hAnsiTheme="minorHAnsi" w:cstheme="minorHAnsi"/>
          <w:color w:val="000000"/>
          <w:sz w:val="22"/>
          <w:szCs w:val="22"/>
        </w:rPr>
        <w:t>;</w:t>
      </w:r>
    </w:p>
    <w:p w14:paraId="6E94D447" w14:textId="56970AEB" w:rsidR="007B1B27" w:rsidRPr="00013CF8" w:rsidRDefault="00FA4820" w:rsidP="00013CF8">
      <w:pPr>
        <w:numPr>
          <w:ilvl w:val="0"/>
          <w:numId w:val="3"/>
        </w:numPr>
        <w:spacing w:after="120"/>
        <w:rPr>
          <w:rFonts w:asciiTheme="minorHAnsi" w:hAnsiTheme="minorHAnsi" w:cstheme="minorHAnsi"/>
          <w:color w:val="000000"/>
          <w:sz w:val="22"/>
          <w:szCs w:val="22"/>
        </w:rPr>
      </w:pPr>
      <w:r w:rsidRPr="00013CF8">
        <w:rPr>
          <w:rFonts w:asciiTheme="minorHAnsi" w:hAnsiTheme="minorHAnsi" w:cstheme="minorHAnsi"/>
          <w:color w:val="000000"/>
          <w:sz w:val="22"/>
          <w:szCs w:val="22"/>
        </w:rPr>
        <w:t>61 </w:t>
      </w:r>
      <w:r w:rsidR="00BA2036" w:rsidRPr="00013CF8">
        <w:rPr>
          <w:rFonts w:asciiTheme="minorHAnsi" w:hAnsiTheme="minorHAnsi" w:cstheme="minorHAnsi"/>
          <w:color w:val="000000"/>
          <w:sz w:val="22"/>
          <w:szCs w:val="22"/>
        </w:rPr>
        <w:t>déplacements latéraux et régressifs</w:t>
      </w:r>
      <w:r w:rsidRPr="00013CF8">
        <w:rPr>
          <w:rFonts w:asciiTheme="minorHAnsi" w:hAnsiTheme="minorHAnsi" w:cstheme="minorHAnsi"/>
          <w:color w:val="000000"/>
          <w:sz w:val="22"/>
          <w:szCs w:val="22"/>
        </w:rPr>
        <w:t>.</w:t>
      </w:r>
    </w:p>
    <w:p w14:paraId="53797D78" w14:textId="44FB0A0D" w:rsidR="007B1B27" w:rsidRPr="00013CF8" w:rsidRDefault="00FA4820" w:rsidP="00244DAF">
      <w:pPr>
        <w:pStyle w:val="NoSpacing"/>
        <w:spacing w:after="120"/>
        <w:rPr>
          <w:rFonts w:asciiTheme="minorHAnsi" w:hAnsiTheme="minorHAnsi" w:cstheme="minorHAnsi"/>
          <w:sz w:val="22"/>
          <w:szCs w:val="22"/>
          <w:lang w:val="fr-CA" w:eastAsia="en-CA"/>
        </w:rPr>
      </w:pPr>
      <w:r w:rsidRPr="00013CF8">
        <w:rPr>
          <w:rFonts w:asciiTheme="minorHAnsi" w:hAnsiTheme="minorHAnsi" w:cstheme="minorHAnsi"/>
          <w:sz w:val="22"/>
          <w:szCs w:val="22"/>
          <w:lang w:val="fr-CA" w:eastAsia="en-CA"/>
        </w:rPr>
        <w:t>Veuillez consulter</w:t>
      </w:r>
      <w:r w:rsidR="007B1B27" w:rsidRPr="00013CF8">
        <w:rPr>
          <w:rFonts w:asciiTheme="minorHAnsi" w:hAnsiTheme="minorHAnsi" w:cstheme="minorHAnsi"/>
          <w:sz w:val="22"/>
          <w:szCs w:val="22"/>
          <w:lang w:val="fr-CA" w:eastAsia="en-CA"/>
        </w:rPr>
        <w:t xml:space="preserve"> </w:t>
      </w:r>
      <w:r w:rsidR="00030DD5">
        <w:fldChar w:fldCharType="begin"/>
      </w:r>
      <w:r w:rsidR="00030DD5" w:rsidRPr="00A809F3">
        <w:rPr>
          <w:lang w:val="fr-CA"/>
          <w:rPrChange w:id="1" w:author="Snjezana Kulic" w:date="2022-03-04T15:17:00Z">
            <w:rPr/>
          </w:rPrChange>
        </w:rPr>
        <w:instrText xml:space="preserve"> HYPERLINK \l "Annexe_B" </w:instrText>
      </w:r>
      <w:r w:rsidR="00030DD5">
        <w:fldChar w:fldCharType="separate"/>
      </w:r>
      <w:r w:rsidR="000F7E62" w:rsidRPr="000F7E62">
        <w:rPr>
          <w:rStyle w:val="Hyperlink"/>
          <w:rFonts w:asciiTheme="minorHAnsi" w:hAnsiTheme="minorHAnsi" w:cstheme="minorHAnsi"/>
          <w:sz w:val="22"/>
          <w:szCs w:val="22"/>
          <w:lang w:val="fr-CA" w:eastAsia="en-CA"/>
        </w:rPr>
        <w:t>l’annexe B</w:t>
      </w:r>
      <w:r w:rsidR="00030DD5">
        <w:rPr>
          <w:rStyle w:val="Hyperlink"/>
          <w:rFonts w:asciiTheme="minorHAnsi" w:hAnsiTheme="minorHAnsi" w:cstheme="minorHAnsi"/>
          <w:sz w:val="22"/>
          <w:szCs w:val="22"/>
          <w:lang w:val="fr-CA" w:eastAsia="en-CA"/>
        </w:rPr>
        <w:fldChar w:fldCharType="end"/>
      </w:r>
      <w:r w:rsidR="007B1B27" w:rsidRPr="00013CF8">
        <w:rPr>
          <w:rFonts w:asciiTheme="minorHAnsi" w:hAnsiTheme="minorHAnsi" w:cstheme="minorHAnsi"/>
          <w:i/>
          <w:sz w:val="22"/>
          <w:szCs w:val="22"/>
          <w:lang w:val="fr-CA" w:eastAsia="en-CA"/>
        </w:rPr>
        <w:t xml:space="preserve"> </w:t>
      </w:r>
      <w:r w:rsidRPr="00013CF8">
        <w:rPr>
          <w:rFonts w:asciiTheme="minorHAnsi" w:hAnsiTheme="minorHAnsi" w:cstheme="minorHAnsi"/>
          <w:sz w:val="22"/>
          <w:szCs w:val="22"/>
          <w:lang w:val="fr-CA" w:eastAsia="en-CA"/>
        </w:rPr>
        <w:t>pour obtenir plus de détails</w:t>
      </w:r>
      <w:r w:rsidR="00013CF8">
        <w:rPr>
          <w:rFonts w:asciiTheme="minorHAnsi" w:hAnsiTheme="minorHAnsi" w:cstheme="minorHAnsi"/>
          <w:sz w:val="22"/>
          <w:szCs w:val="22"/>
          <w:lang w:val="fr-CA" w:eastAsia="en-CA"/>
        </w:rPr>
        <w:t xml:space="preserve"> sur les activités de dotation</w:t>
      </w:r>
      <w:r w:rsidR="007B1B27" w:rsidRPr="00013CF8">
        <w:rPr>
          <w:rFonts w:asciiTheme="minorHAnsi" w:hAnsiTheme="minorHAnsi" w:cstheme="minorHAnsi"/>
          <w:sz w:val="22"/>
          <w:szCs w:val="22"/>
          <w:lang w:val="fr-CA" w:eastAsia="en-CA"/>
        </w:rPr>
        <w:t>.</w:t>
      </w:r>
    </w:p>
    <w:p w14:paraId="76CF537C" w14:textId="117BEF97" w:rsidR="007B1B27" w:rsidRPr="00013CF8" w:rsidRDefault="00FA4820" w:rsidP="00013CF8">
      <w:pPr>
        <w:pStyle w:val="Heading1"/>
        <w:spacing w:after="120"/>
      </w:pPr>
      <w:r w:rsidRPr="00013CF8">
        <w:t>Durée d</w:t>
      </w:r>
      <w:r w:rsidR="00BA2036" w:rsidRPr="00013CF8">
        <w:t xml:space="preserve">es </w:t>
      </w:r>
      <w:r w:rsidRPr="00013CF8">
        <w:t>processus de d</w:t>
      </w:r>
      <w:r w:rsidR="00C4307D" w:rsidRPr="00013CF8">
        <w:t>otation</w:t>
      </w:r>
    </w:p>
    <w:p w14:paraId="0AC2B5A9" w14:textId="6D6F95DB" w:rsidR="007B1B27" w:rsidRPr="00013CF8" w:rsidRDefault="005009EC" w:rsidP="00013CF8">
      <w:pPr>
        <w:tabs>
          <w:tab w:val="left" w:pos="567"/>
        </w:tabs>
        <w:spacing w:after="120"/>
        <w:contextualSpacing/>
        <w:rPr>
          <w:rFonts w:asciiTheme="minorHAnsi" w:hAnsiTheme="minorHAnsi" w:cstheme="minorHAnsi"/>
          <w:sz w:val="22"/>
          <w:szCs w:val="22"/>
          <w:lang w:eastAsia="en-CA"/>
        </w:rPr>
      </w:pPr>
      <w:r w:rsidRPr="00013CF8">
        <w:rPr>
          <w:rFonts w:asciiTheme="minorHAnsi" w:hAnsiTheme="minorHAnsi" w:cstheme="minorHAnsi"/>
          <w:sz w:val="22"/>
          <w:szCs w:val="22"/>
          <w:lang w:eastAsia="en-CA"/>
        </w:rPr>
        <w:t xml:space="preserve">La quantité limitée de données ne permet pas de </w:t>
      </w:r>
      <w:r w:rsidR="007A3597" w:rsidRPr="00013CF8">
        <w:rPr>
          <w:rFonts w:asciiTheme="minorHAnsi" w:hAnsiTheme="minorHAnsi" w:cstheme="minorHAnsi"/>
          <w:sz w:val="22"/>
          <w:szCs w:val="22"/>
          <w:lang w:eastAsia="en-CA"/>
        </w:rPr>
        <w:t xml:space="preserve">générer des statistiques sur la durée des processus de dotation internes ou externes du </w:t>
      </w:r>
      <w:r w:rsidR="00141F94" w:rsidRPr="00013CF8">
        <w:rPr>
          <w:rFonts w:asciiTheme="minorHAnsi" w:hAnsiTheme="minorHAnsi" w:cstheme="minorHAnsi"/>
          <w:sz w:val="22"/>
          <w:szCs w:val="22"/>
          <w:lang w:eastAsia="en-CA"/>
        </w:rPr>
        <w:t>SCDATA</w:t>
      </w:r>
      <w:r w:rsidR="007A3597" w:rsidRPr="00013CF8">
        <w:rPr>
          <w:rFonts w:asciiTheme="minorHAnsi" w:hAnsiTheme="minorHAnsi" w:cstheme="minorHAnsi"/>
          <w:sz w:val="22"/>
          <w:szCs w:val="22"/>
          <w:lang w:eastAsia="en-CA"/>
        </w:rPr>
        <w:t xml:space="preserve">. </w:t>
      </w:r>
    </w:p>
    <w:p w14:paraId="6ABFC060" w14:textId="5AA32F6C" w:rsidR="007B1B27" w:rsidRPr="00013CF8" w:rsidRDefault="00DF7361" w:rsidP="00013CF8">
      <w:pPr>
        <w:pStyle w:val="Heading1"/>
        <w:spacing w:after="120"/>
      </w:pPr>
      <w:r w:rsidRPr="00013CF8">
        <w:lastRenderedPageBreak/>
        <w:t>Cadre de dotation</w:t>
      </w:r>
    </w:p>
    <w:p w14:paraId="5944149D" w14:textId="5D583E28" w:rsidR="007B1B27" w:rsidRPr="00013CF8" w:rsidRDefault="00DF7361" w:rsidP="00055B43">
      <w:pPr>
        <w:pStyle w:val="Heading2"/>
        <w:spacing w:after="120"/>
      </w:pPr>
      <w:r w:rsidRPr="00013CF8">
        <w:t xml:space="preserve">Mise en </w:t>
      </w:r>
      <w:r w:rsidR="00BA2036" w:rsidRPr="00013CF8">
        <w:t>œuvre</w:t>
      </w:r>
      <w:r w:rsidRPr="00013CF8">
        <w:t xml:space="preserve"> de la Nouvelle orientation en dotation</w:t>
      </w:r>
    </w:p>
    <w:p w14:paraId="23D7C0E6" w14:textId="6FCE3532" w:rsidR="007B1B27" w:rsidRPr="00013CF8" w:rsidRDefault="00DF7361" w:rsidP="00013CF8">
      <w:pPr>
        <w:spacing w:after="12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 xml:space="preserve">En 2016, le </w:t>
      </w:r>
      <w:r w:rsidR="00141F94" w:rsidRPr="00013CF8">
        <w:rPr>
          <w:rFonts w:asciiTheme="minorHAnsi" w:eastAsiaTheme="minorHAnsi" w:hAnsiTheme="minorHAnsi" w:cstheme="minorHAnsi"/>
          <w:sz w:val="22"/>
          <w:szCs w:val="22"/>
        </w:rPr>
        <w:t>SCDATA</w:t>
      </w:r>
      <w:r w:rsidRPr="00013CF8">
        <w:rPr>
          <w:rFonts w:asciiTheme="minorHAnsi" w:eastAsiaTheme="minorHAnsi" w:hAnsiTheme="minorHAnsi" w:cstheme="minorHAnsi"/>
          <w:sz w:val="22"/>
          <w:szCs w:val="22"/>
        </w:rPr>
        <w:t xml:space="preserve"> a mis à jour son cadre de dotation </w:t>
      </w:r>
      <w:r w:rsidR="008208A3" w:rsidRPr="00013CF8">
        <w:rPr>
          <w:rFonts w:asciiTheme="minorHAnsi" w:eastAsiaTheme="minorHAnsi" w:hAnsiTheme="minorHAnsi" w:cstheme="minorHAnsi"/>
          <w:sz w:val="22"/>
          <w:szCs w:val="22"/>
        </w:rPr>
        <w:t>afin de l’harmoniser aux</w:t>
      </w:r>
      <w:r w:rsidRPr="00013CF8">
        <w:rPr>
          <w:rFonts w:asciiTheme="minorHAnsi" w:eastAsiaTheme="minorHAnsi" w:hAnsiTheme="minorHAnsi" w:cstheme="minorHAnsi"/>
          <w:sz w:val="22"/>
          <w:szCs w:val="22"/>
        </w:rPr>
        <w:t xml:space="preserve"> exigences de la NOD</w:t>
      </w:r>
      <w:r w:rsidR="007769CA" w:rsidRPr="00013CF8">
        <w:rPr>
          <w:rFonts w:asciiTheme="minorHAnsi" w:eastAsiaTheme="minorHAnsi" w:hAnsiTheme="minorHAnsi" w:cstheme="minorHAnsi"/>
          <w:sz w:val="22"/>
          <w:szCs w:val="22"/>
        </w:rPr>
        <w:t xml:space="preserve"> et a présenté son cadre st</w:t>
      </w:r>
      <w:r w:rsidR="002619C0" w:rsidRPr="00013CF8">
        <w:rPr>
          <w:rFonts w:asciiTheme="minorHAnsi" w:eastAsiaTheme="minorHAnsi" w:hAnsiTheme="minorHAnsi" w:cstheme="minorHAnsi"/>
          <w:sz w:val="22"/>
          <w:szCs w:val="22"/>
        </w:rPr>
        <w:t>ratégique pour la dotation à la CFP. Le </w:t>
      </w:r>
      <w:r w:rsidR="00141F94" w:rsidRPr="00013CF8">
        <w:rPr>
          <w:rFonts w:asciiTheme="minorHAnsi" w:eastAsiaTheme="minorHAnsi" w:hAnsiTheme="minorHAnsi" w:cstheme="minorHAnsi"/>
          <w:sz w:val="22"/>
          <w:szCs w:val="22"/>
        </w:rPr>
        <w:t>SCDATA</w:t>
      </w:r>
      <w:r w:rsidR="007769CA" w:rsidRPr="00013CF8">
        <w:rPr>
          <w:rFonts w:asciiTheme="minorHAnsi" w:eastAsiaTheme="minorHAnsi" w:hAnsiTheme="minorHAnsi" w:cstheme="minorHAnsi"/>
          <w:sz w:val="22"/>
          <w:szCs w:val="22"/>
        </w:rPr>
        <w:t xml:space="preserve"> a aussi mis à jour son instrument de subdélégation en 2019, en plus de mettre au point un cadre de surveillance.</w:t>
      </w:r>
    </w:p>
    <w:p w14:paraId="2CDD13DC" w14:textId="35170696" w:rsidR="007B1B27" w:rsidRPr="00013CF8" w:rsidRDefault="007769CA" w:rsidP="00013CF8">
      <w:pPr>
        <w:pStyle w:val="Heading1"/>
        <w:spacing w:after="120"/>
      </w:pPr>
      <w:r w:rsidRPr="00013CF8">
        <w:t xml:space="preserve">Instrument de </w:t>
      </w:r>
      <w:r w:rsidR="00BA2036" w:rsidRPr="00013CF8">
        <w:t>délégation</w:t>
      </w:r>
      <w:r w:rsidRPr="00013CF8">
        <w:t xml:space="preserve"> et de responsabilisation en matière de nomination </w:t>
      </w:r>
      <w:r w:rsidR="00BA2036" w:rsidRPr="00013CF8">
        <w:t>– Annexe D – Rapports</w:t>
      </w:r>
    </w:p>
    <w:p w14:paraId="384F9FD0" w14:textId="77777777" w:rsidR="007B1B27" w:rsidRPr="00C4296F" w:rsidRDefault="007769CA" w:rsidP="00C4296F">
      <w:pPr>
        <w:pStyle w:val="Heading2"/>
        <w:spacing w:after="120"/>
      </w:pPr>
      <w:r w:rsidRPr="00C4296F">
        <w:t xml:space="preserve">Utilisation du </w:t>
      </w:r>
      <w:r w:rsidRPr="00C4296F">
        <w:rPr>
          <w:rStyle w:val="Emphasis"/>
          <w:rFonts w:ascii="Segoe UI" w:hAnsi="Segoe UI" w:cs="Segoe UI"/>
          <w:color w:val="5B315E" w:themeColor="accent2"/>
        </w:rPr>
        <w:t>Décret d’exemption concernant les langues officielles dans la fonction publique</w:t>
      </w:r>
      <w:r w:rsidRPr="00C4296F">
        <w:t xml:space="preserve"> et du </w:t>
      </w:r>
      <w:r w:rsidRPr="00C4296F">
        <w:rPr>
          <w:rStyle w:val="Emphasis"/>
          <w:rFonts w:ascii="Segoe UI" w:hAnsi="Segoe UI" w:cs="Segoe UI"/>
          <w:color w:val="5B315E" w:themeColor="accent2"/>
        </w:rPr>
        <w:t>Règlement sur les langues officielles – nominations dans la fonction publique</w:t>
      </w:r>
    </w:p>
    <w:p w14:paraId="61B2AD93" w14:textId="367FB35E" w:rsidR="007B1B27" w:rsidRPr="00013CF8" w:rsidRDefault="007769CA" w:rsidP="00013CF8">
      <w:pPr>
        <w:spacing w:after="12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 xml:space="preserve">Le </w:t>
      </w:r>
      <w:r w:rsidR="00141F94" w:rsidRPr="00013CF8">
        <w:rPr>
          <w:rFonts w:asciiTheme="minorHAnsi" w:eastAsiaTheme="minorHAnsi" w:hAnsiTheme="minorHAnsi" w:cstheme="minorHAnsi"/>
          <w:sz w:val="22"/>
          <w:szCs w:val="22"/>
        </w:rPr>
        <w:t>SCDATA</w:t>
      </w:r>
      <w:r w:rsidRPr="00013CF8">
        <w:rPr>
          <w:rFonts w:asciiTheme="minorHAnsi" w:eastAsiaTheme="minorHAnsi" w:hAnsiTheme="minorHAnsi" w:cstheme="minorHAnsi"/>
          <w:sz w:val="22"/>
          <w:szCs w:val="22"/>
        </w:rPr>
        <w:t xml:space="preserve"> n</w:t>
      </w:r>
      <w:r w:rsidR="00DD057D" w:rsidRPr="00013CF8">
        <w:rPr>
          <w:rFonts w:asciiTheme="minorHAnsi" w:eastAsiaTheme="minorHAnsi" w:hAnsiTheme="minorHAnsi" w:cstheme="minorHAnsi"/>
          <w:sz w:val="22"/>
          <w:szCs w:val="22"/>
        </w:rPr>
        <w:t xml:space="preserve">’a accordé aucune exemption en vertu du </w:t>
      </w:r>
      <w:r w:rsidR="00DD057D" w:rsidRPr="00013CF8">
        <w:rPr>
          <w:rStyle w:val="Emphasis"/>
          <w:rFonts w:eastAsiaTheme="minorHAnsi"/>
          <w:sz w:val="22"/>
        </w:rPr>
        <w:t>Décret d’exemption concernant les langues officielles dans la fonction publique</w:t>
      </w:r>
      <w:r w:rsidR="00DD057D" w:rsidRPr="00013CF8">
        <w:rPr>
          <w:rFonts w:asciiTheme="minorHAnsi" w:eastAsiaTheme="minorHAnsi" w:hAnsiTheme="minorHAnsi" w:cstheme="minorHAnsi"/>
          <w:sz w:val="22"/>
          <w:szCs w:val="22"/>
        </w:rPr>
        <w:t xml:space="preserve"> </w:t>
      </w:r>
      <w:r w:rsidR="008208A3" w:rsidRPr="00013CF8">
        <w:rPr>
          <w:rFonts w:asciiTheme="minorHAnsi" w:eastAsiaTheme="minorHAnsi" w:hAnsiTheme="minorHAnsi" w:cstheme="minorHAnsi"/>
          <w:sz w:val="22"/>
          <w:szCs w:val="22"/>
        </w:rPr>
        <w:t>au cours de la</w:t>
      </w:r>
      <w:r w:rsidR="00DD057D" w:rsidRPr="00013CF8">
        <w:rPr>
          <w:rFonts w:asciiTheme="minorHAnsi" w:eastAsiaTheme="minorHAnsi" w:hAnsiTheme="minorHAnsi" w:cstheme="minorHAnsi"/>
          <w:sz w:val="22"/>
          <w:szCs w:val="22"/>
        </w:rPr>
        <w:t xml:space="preserve"> période du 1</w:t>
      </w:r>
      <w:r w:rsidR="00DD057D" w:rsidRPr="00013CF8">
        <w:rPr>
          <w:rFonts w:asciiTheme="minorHAnsi" w:eastAsiaTheme="minorHAnsi" w:hAnsiTheme="minorHAnsi" w:cstheme="minorHAnsi"/>
          <w:sz w:val="22"/>
          <w:szCs w:val="22"/>
          <w:vertAlign w:val="superscript"/>
        </w:rPr>
        <w:t>er</w:t>
      </w:r>
      <w:r w:rsidR="005B1309" w:rsidRPr="00013CF8">
        <w:rPr>
          <w:rFonts w:asciiTheme="minorHAnsi" w:eastAsiaTheme="minorHAnsi" w:hAnsiTheme="minorHAnsi" w:cstheme="minorHAnsi"/>
          <w:sz w:val="22"/>
          <w:szCs w:val="22"/>
        </w:rPr>
        <w:t> </w:t>
      </w:r>
      <w:r w:rsidR="00DD057D" w:rsidRPr="00013CF8">
        <w:rPr>
          <w:rFonts w:asciiTheme="minorHAnsi" w:eastAsiaTheme="minorHAnsi" w:hAnsiTheme="minorHAnsi" w:cstheme="minorHAnsi"/>
          <w:sz w:val="22"/>
          <w:szCs w:val="22"/>
        </w:rPr>
        <w:t>avril</w:t>
      </w:r>
      <w:r w:rsidR="005B1309" w:rsidRPr="00013CF8">
        <w:rPr>
          <w:rFonts w:asciiTheme="minorHAnsi" w:eastAsiaTheme="minorHAnsi" w:hAnsiTheme="minorHAnsi" w:cstheme="minorHAnsi"/>
          <w:sz w:val="22"/>
          <w:szCs w:val="22"/>
        </w:rPr>
        <w:t> </w:t>
      </w:r>
      <w:r w:rsidR="00DD057D" w:rsidRPr="00013CF8">
        <w:rPr>
          <w:rFonts w:asciiTheme="minorHAnsi" w:eastAsiaTheme="minorHAnsi" w:hAnsiTheme="minorHAnsi" w:cstheme="minorHAnsi"/>
          <w:sz w:val="22"/>
          <w:szCs w:val="22"/>
        </w:rPr>
        <w:t>2018 au 31</w:t>
      </w:r>
      <w:r w:rsidR="005B1309" w:rsidRPr="00013CF8">
        <w:rPr>
          <w:rFonts w:asciiTheme="minorHAnsi" w:eastAsiaTheme="minorHAnsi" w:hAnsiTheme="minorHAnsi" w:cstheme="minorHAnsi"/>
          <w:sz w:val="22"/>
          <w:szCs w:val="22"/>
        </w:rPr>
        <w:t> </w:t>
      </w:r>
      <w:r w:rsidR="00DD057D" w:rsidRPr="00013CF8">
        <w:rPr>
          <w:rFonts w:asciiTheme="minorHAnsi" w:eastAsiaTheme="minorHAnsi" w:hAnsiTheme="minorHAnsi" w:cstheme="minorHAnsi"/>
          <w:sz w:val="22"/>
          <w:szCs w:val="22"/>
        </w:rPr>
        <w:t>mars</w:t>
      </w:r>
      <w:r w:rsidR="005B1309" w:rsidRPr="00013CF8">
        <w:rPr>
          <w:rFonts w:asciiTheme="minorHAnsi" w:eastAsiaTheme="minorHAnsi" w:hAnsiTheme="minorHAnsi" w:cstheme="minorHAnsi"/>
          <w:sz w:val="22"/>
          <w:szCs w:val="22"/>
        </w:rPr>
        <w:t> </w:t>
      </w:r>
      <w:r w:rsidR="00DD057D" w:rsidRPr="00013CF8">
        <w:rPr>
          <w:rFonts w:asciiTheme="minorHAnsi" w:eastAsiaTheme="minorHAnsi" w:hAnsiTheme="minorHAnsi" w:cstheme="minorHAnsi"/>
          <w:sz w:val="22"/>
          <w:szCs w:val="22"/>
        </w:rPr>
        <w:t>2019.</w:t>
      </w:r>
    </w:p>
    <w:p w14:paraId="5A88DBE3" w14:textId="2F099D64" w:rsidR="007B1B27" w:rsidRPr="00013CF8" w:rsidRDefault="00DD057D" w:rsidP="00055B43">
      <w:pPr>
        <w:pStyle w:val="Heading2"/>
        <w:spacing w:after="120"/>
      </w:pPr>
      <w:r w:rsidRPr="00013CF8">
        <w:t xml:space="preserve">Approbation </w:t>
      </w:r>
      <w:r w:rsidR="00BA2036" w:rsidRPr="00013CF8">
        <w:t>par l’administrateur général d’</w:t>
      </w:r>
      <w:r w:rsidRPr="00013CF8">
        <w:t>exceptions aux exigences relatives à la zone nationale de sélection dans le cadre de processus de nomination externe</w:t>
      </w:r>
      <w:r w:rsidR="004845A2" w:rsidRPr="00013CF8">
        <w:t>s</w:t>
      </w:r>
      <w:r w:rsidRPr="00013CF8">
        <w:t xml:space="preserve"> annoncés</w:t>
      </w:r>
    </w:p>
    <w:p w14:paraId="4F687505" w14:textId="73E12DF9" w:rsidR="007B1B27" w:rsidRPr="00013CF8" w:rsidRDefault="00DD057D" w:rsidP="00013CF8">
      <w:pPr>
        <w:pStyle w:val="NormalWeb"/>
        <w:spacing w:before="0" w:beforeAutospacing="0" w:after="120" w:afterAutospacing="0"/>
        <w:rPr>
          <w:rFonts w:asciiTheme="minorHAnsi" w:hAnsiTheme="minorHAnsi" w:cstheme="minorHAnsi"/>
          <w:i/>
          <w:sz w:val="22"/>
          <w:szCs w:val="22"/>
        </w:rPr>
      </w:pPr>
      <w:r w:rsidRPr="00013CF8">
        <w:rPr>
          <w:rFonts w:asciiTheme="minorHAnsi" w:hAnsiTheme="minorHAnsi" w:cstheme="minorHAnsi"/>
          <w:sz w:val="22"/>
          <w:szCs w:val="22"/>
        </w:rPr>
        <w:t xml:space="preserve">Le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a</w:t>
      </w:r>
      <w:r w:rsidR="00BA2036" w:rsidRPr="00013CF8">
        <w:rPr>
          <w:rFonts w:asciiTheme="minorHAnsi" w:hAnsiTheme="minorHAnsi" w:cstheme="minorHAnsi"/>
          <w:sz w:val="22"/>
          <w:szCs w:val="22"/>
        </w:rPr>
        <w:t xml:space="preserve"> indiqué</w:t>
      </w:r>
      <w:r w:rsidRPr="00013CF8">
        <w:rPr>
          <w:rFonts w:asciiTheme="minorHAnsi" w:hAnsiTheme="minorHAnsi" w:cstheme="minorHAnsi"/>
          <w:sz w:val="22"/>
          <w:szCs w:val="22"/>
        </w:rPr>
        <w:t xml:space="preserve"> que l’administrateur général n’a </w:t>
      </w:r>
      <w:r w:rsidR="008208A3" w:rsidRPr="00013CF8">
        <w:rPr>
          <w:rFonts w:asciiTheme="minorHAnsi" w:hAnsiTheme="minorHAnsi" w:cstheme="minorHAnsi"/>
          <w:sz w:val="22"/>
          <w:szCs w:val="22"/>
        </w:rPr>
        <w:t>approuvé aucune exception</w:t>
      </w:r>
      <w:r w:rsidRPr="00013CF8">
        <w:rPr>
          <w:rFonts w:asciiTheme="minorHAnsi" w:hAnsiTheme="minorHAnsi" w:cstheme="minorHAnsi"/>
          <w:sz w:val="22"/>
          <w:szCs w:val="22"/>
        </w:rPr>
        <w:t xml:space="preserve"> à la zone nationale de sélection.</w:t>
      </w:r>
    </w:p>
    <w:p w14:paraId="390B8FDB" w14:textId="3DAF92A1" w:rsidR="007B1B27" w:rsidRPr="00013CF8" w:rsidRDefault="00DD057D" w:rsidP="00055B43">
      <w:pPr>
        <w:pStyle w:val="Heading2"/>
        <w:spacing w:after="120"/>
      </w:pPr>
      <w:r w:rsidRPr="00013CF8">
        <w:t xml:space="preserve">Résultats de l’évaluation </w:t>
      </w:r>
      <w:r w:rsidR="00BA2036" w:rsidRPr="00013CF8">
        <w:t>cyclique organisationnelle</w:t>
      </w:r>
    </w:p>
    <w:p w14:paraId="0B9A9303" w14:textId="5C984EF2" w:rsidR="007B1B27" w:rsidRPr="00013CF8" w:rsidRDefault="00DD057D" w:rsidP="00244DAF">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Le </w:t>
      </w:r>
      <w:r w:rsidR="00141F94" w:rsidRPr="00013CF8">
        <w:rPr>
          <w:rFonts w:asciiTheme="minorHAnsi" w:hAnsiTheme="minorHAnsi" w:cstheme="minorHAnsi"/>
          <w:sz w:val="22"/>
          <w:szCs w:val="22"/>
          <w:lang w:val="fr-CA"/>
        </w:rPr>
        <w:t>SCDATA</w:t>
      </w:r>
      <w:r w:rsidRPr="00013CF8">
        <w:rPr>
          <w:rFonts w:asciiTheme="minorHAnsi" w:hAnsiTheme="minorHAnsi" w:cstheme="minorHAnsi"/>
          <w:sz w:val="22"/>
          <w:szCs w:val="22"/>
          <w:lang w:val="fr-CA"/>
        </w:rPr>
        <w:t xml:space="preserve"> n’a pas encore produit de </w:t>
      </w:r>
      <w:r w:rsidR="00BA2036" w:rsidRPr="00013CF8">
        <w:rPr>
          <w:rFonts w:asciiTheme="minorHAnsi" w:hAnsiTheme="minorHAnsi" w:cstheme="minorHAnsi"/>
          <w:sz w:val="22"/>
          <w:szCs w:val="22"/>
          <w:lang w:val="fr-CA"/>
        </w:rPr>
        <w:t>rapport d</w:t>
      </w:r>
      <w:r w:rsidRPr="00013CF8">
        <w:rPr>
          <w:rFonts w:asciiTheme="minorHAnsi" w:hAnsiTheme="minorHAnsi" w:cstheme="minorHAnsi"/>
          <w:sz w:val="22"/>
          <w:szCs w:val="22"/>
          <w:lang w:val="fr-CA"/>
        </w:rPr>
        <w:t>’évaluation cyclique visant la période du 1</w:t>
      </w:r>
      <w:r w:rsidRPr="00013CF8">
        <w:rPr>
          <w:rFonts w:asciiTheme="minorHAnsi" w:hAnsiTheme="minorHAnsi" w:cstheme="minorHAnsi"/>
          <w:sz w:val="22"/>
          <w:szCs w:val="22"/>
          <w:vertAlign w:val="superscript"/>
          <w:lang w:val="fr-CA"/>
        </w:rPr>
        <w:t>er</w:t>
      </w:r>
      <w:r w:rsidR="005B1309" w:rsidRPr="00013CF8">
        <w:rPr>
          <w:rFonts w:asciiTheme="minorHAnsi" w:hAnsiTheme="minorHAnsi" w:cstheme="minorHAnsi"/>
          <w:sz w:val="22"/>
          <w:szCs w:val="22"/>
          <w:lang w:val="fr-CA"/>
        </w:rPr>
        <w:t> </w:t>
      </w:r>
      <w:r w:rsidRPr="00013CF8">
        <w:rPr>
          <w:rFonts w:asciiTheme="minorHAnsi" w:hAnsiTheme="minorHAnsi" w:cstheme="minorHAnsi"/>
          <w:sz w:val="22"/>
          <w:szCs w:val="22"/>
          <w:lang w:val="fr-CA"/>
        </w:rPr>
        <w:t>avril</w:t>
      </w:r>
      <w:r w:rsidR="005B1309" w:rsidRPr="00013CF8">
        <w:rPr>
          <w:rFonts w:asciiTheme="minorHAnsi" w:hAnsiTheme="minorHAnsi" w:cstheme="minorHAnsi"/>
          <w:sz w:val="22"/>
          <w:szCs w:val="22"/>
          <w:lang w:val="fr-CA"/>
        </w:rPr>
        <w:t> </w:t>
      </w:r>
      <w:r w:rsidRPr="00013CF8">
        <w:rPr>
          <w:rFonts w:asciiTheme="minorHAnsi" w:hAnsiTheme="minorHAnsi" w:cstheme="minorHAnsi"/>
          <w:sz w:val="22"/>
          <w:szCs w:val="22"/>
          <w:lang w:val="fr-CA"/>
        </w:rPr>
        <w:t>2016 au 31</w:t>
      </w:r>
      <w:r w:rsidR="005B1309" w:rsidRPr="00013CF8">
        <w:rPr>
          <w:rFonts w:asciiTheme="minorHAnsi" w:hAnsiTheme="minorHAnsi" w:cstheme="minorHAnsi"/>
          <w:sz w:val="22"/>
          <w:szCs w:val="22"/>
          <w:lang w:val="fr-CA"/>
        </w:rPr>
        <w:t> </w:t>
      </w:r>
      <w:r w:rsidRPr="00013CF8">
        <w:rPr>
          <w:rFonts w:asciiTheme="minorHAnsi" w:hAnsiTheme="minorHAnsi" w:cstheme="minorHAnsi"/>
          <w:sz w:val="22"/>
          <w:szCs w:val="22"/>
          <w:lang w:val="fr-CA"/>
        </w:rPr>
        <w:t>ma</w:t>
      </w:r>
      <w:r w:rsidR="002B0A98" w:rsidRPr="00013CF8">
        <w:rPr>
          <w:rFonts w:asciiTheme="minorHAnsi" w:hAnsiTheme="minorHAnsi" w:cstheme="minorHAnsi"/>
          <w:sz w:val="22"/>
          <w:szCs w:val="22"/>
          <w:lang w:val="fr-CA"/>
        </w:rPr>
        <w:t>rs</w:t>
      </w:r>
      <w:r w:rsidR="005B1309" w:rsidRPr="00013CF8">
        <w:rPr>
          <w:rFonts w:asciiTheme="minorHAnsi" w:hAnsiTheme="minorHAnsi" w:cstheme="minorHAnsi"/>
          <w:sz w:val="22"/>
          <w:szCs w:val="22"/>
          <w:lang w:val="fr-CA"/>
        </w:rPr>
        <w:t> </w:t>
      </w:r>
      <w:r w:rsidR="002B0A98" w:rsidRPr="00013CF8">
        <w:rPr>
          <w:rFonts w:asciiTheme="minorHAnsi" w:hAnsiTheme="minorHAnsi" w:cstheme="minorHAnsi"/>
          <w:sz w:val="22"/>
          <w:szCs w:val="22"/>
          <w:lang w:val="fr-CA"/>
        </w:rPr>
        <w:t xml:space="preserve">2021, et il ne fait pas partie du projet pilote </w:t>
      </w:r>
      <w:r w:rsidR="0074723A" w:rsidRPr="00013CF8">
        <w:rPr>
          <w:rFonts w:asciiTheme="minorHAnsi" w:hAnsiTheme="minorHAnsi" w:cstheme="minorHAnsi"/>
          <w:sz w:val="22"/>
          <w:szCs w:val="22"/>
          <w:lang w:val="fr-CA"/>
        </w:rPr>
        <w:t>dans le cadre duquel</w:t>
      </w:r>
      <w:r w:rsidR="002B0A98" w:rsidRPr="00013CF8">
        <w:rPr>
          <w:rFonts w:asciiTheme="minorHAnsi" w:hAnsiTheme="minorHAnsi" w:cstheme="minorHAnsi"/>
          <w:sz w:val="22"/>
          <w:szCs w:val="22"/>
          <w:lang w:val="fr-CA"/>
        </w:rPr>
        <w:t xml:space="preserve"> la CFP</w:t>
      </w:r>
      <w:r w:rsidR="005009EC" w:rsidRPr="00013CF8">
        <w:rPr>
          <w:rFonts w:asciiTheme="minorHAnsi" w:hAnsiTheme="minorHAnsi" w:cstheme="minorHAnsi"/>
          <w:sz w:val="22"/>
          <w:szCs w:val="22"/>
          <w:lang w:val="fr-CA"/>
        </w:rPr>
        <w:t xml:space="preserve"> </w:t>
      </w:r>
      <w:r w:rsidR="000C1CC6" w:rsidRPr="00013CF8">
        <w:rPr>
          <w:rFonts w:asciiTheme="minorHAnsi" w:hAnsiTheme="minorHAnsi" w:cstheme="minorHAnsi"/>
          <w:sz w:val="22"/>
          <w:szCs w:val="22"/>
          <w:lang w:val="fr-CA"/>
        </w:rPr>
        <w:t>se charge</w:t>
      </w:r>
      <w:r w:rsidR="0074723A" w:rsidRPr="00013CF8">
        <w:rPr>
          <w:rFonts w:asciiTheme="minorHAnsi" w:hAnsiTheme="minorHAnsi" w:cstheme="minorHAnsi"/>
          <w:sz w:val="22"/>
          <w:szCs w:val="22"/>
          <w:lang w:val="fr-CA"/>
        </w:rPr>
        <w:t>ra</w:t>
      </w:r>
      <w:r w:rsidR="000C1CC6" w:rsidRPr="00013CF8">
        <w:rPr>
          <w:rFonts w:asciiTheme="minorHAnsi" w:hAnsiTheme="minorHAnsi" w:cstheme="minorHAnsi"/>
          <w:sz w:val="22"/>
          <w:szCs w:val="22"/>
          <w:lang w:val="fr-CA"/>
        </w:rPr>
        <w:t xml:space="preserve"> de </w:t>
      </w:r>
      <w:r w:rsidR="002B0A98" w:rsidRPr="00013CF8">
        <w:rPr>
          <w:rFonts w:asciiTheme="minorHAnsi" w:hAnsiTheme="minorHAnsi" w:cstheme="minorHAnsi"/>
          <w:sz w:val="22"/>
          <w:szCs w:val="22"/>
          <w:lang w:val="fr-CA"/>
        </w:rPr>
        <w:t xml:space="preserve">l’évaluation cyclique </w:t>
      </w:r>
      <w:r w:rsidR="00C27D5D" w:rsidRPr="00013CF8">
        <w:rPr>
          <w:rFonts w:asciiTheme="minorHAnsi" w:hAnsiTheme="minorHAnsi" w:cstheme="minorHAnsi"/>
          <w:sz w:val="22"/>
          <w:szCs w:val="22"/>
          <w:lang w:val="fr-CA"/>
        </w:rPr>
        <w:t>d’organisations de petite taille</w:t>
      </w:r>
      <w:r w:rsidR="005009EC" w:rsidRPr="00013CF8">
        <w:rPr>
          <w:rFonts w:asciiTheme="minorHAnsi" w:hAnsiTheme="minorHAnsi" w:cstheme="minorHAnsi"/>
          <w:sz w:val="22"/>
          <w:szCs w:val="22"/>
          <w:lang w:val="fr-CA"/>
        </w:rPr>
        <w:t xml:space="preserve"> en leur nom</w:t>
      </w:r>
      <w:r w:rsidR="00BA2036" w:rsidRPr="00013CF8">
        <w:rPr>
          <w:rFonts w:asciiTheme="minorHAnsi" w:hAnsiTheme="minorHAnsi" w:cstheme="minorHAnsi"/>
          <w:sz w:val="22"/>
          <w:szCs w:val="22"/>
          <w:lang w:val="fr-CA"/>
        </w:rPr>
        <w:t>. Le </w:t>
      </w:r>
      <w:r w:rsidR="00141F94" w:rsidRPr="00013CF8">
        <w:rPr>
          <w:rFonts w:asciiTheme="minorHAnsi" w:hAnsiTheme="minorHAnsi" w:cstheme="minorHAnsi"/>
          <w:sz w:val="22"/>
          <w:szCs w:val="22"/>
          <w:lang w:val="fr-CA"/>
        </w:rPr>
        <w:t>SCDATA</w:t>
      </w:r>
      <w:r w:rsidR="002B0A98" w:rsidRPr="00013CF8">
        <w:rPr>
          <w:rFonts w:asciiTheme="minorHAnsi" w:hAnsiTheme="minorHAnsi" w:cstheme="minorHAnsi"/>
          <w:sz w:val="22"/>
          <w:szCs w:val="22"/>
          <w:lang w:val="fr-CA"/>
        </w:rPr>
        <w:t xml:space="preserve"> p</w:t>
      </w:r>
      <w:r w:rsidR="00BA2036" w:rsidRPr="00013CF8">
        <w:rPr>
          <w:rFonts w:asciiTheme="minorHAnsi" w:hAnsiTheme="minorHAnsi" w:cstheme="minorHAnsi"/>
          <w:sz w:val="22"/>
          <w:szCs w:val="22"/>
          <w:lang w:val="fr-CA"/>
        </w:rPr>
        <w:t>révoit</w:t>
      </w:r>
      <w:r w:rsidR="002B0A98" w:rsidRPr="00013CF8">
        <w:rPr>
          <w:rFonts w:asciiTheme="minorHAnsi" w:hAnsiTheme="minorHAnsi" w:cstheme="minorHAnsi"/>
          <w:sz w:val="22"/>
          <w:szCs w:val="22"/>
          <w:lang w:val="fr-CA"/>
        </w:rPr>
        <w:t xml:space="preserve"> réaliser son évaluation cyclique en 2020 et </w:t>
      </w:r>
      <w:r w:rsidR="00A75EF6" w:rsidRPr="00013CF8">
        <w:rPr>
          <w:rFonts w:asciiTheme="minorHAnsi" w:hAnsiTheme="minorHAnsi" w:cstheme="minorHAnsi"/>
          <w:sz w:val="22"/>
          <w:szCs w:val="22"/>
          <w:lang w:val="fr-CA"/>
        </w:rPr>
        <w:t xml:space="preserve">en </w:t>
      </w:r>
      <w:r w:rsidR="002B0A98" w:rsidRPr="00013CF8">
        <w:rPr>
          <w:rFonts w:asciiTheme="minorHAnsi" w:hAnsiTheme="minorHAnsi" w:cstheme="minorHAnsi"/>
          <w:sz w:val="22"/>
          <w:szCs w:val="22"/>
          <w:lang w:val="fr-CA"/>
        </w:rPr>
        <w:t>soumettre les résultats à la CFP le 1</w:t>
      </w:r>
      <w:r w:rsidR="002B0A98" w:rsidRPr="00013CF8">
        <w:rPr>
          <w:rFonts w:asciiTheme="minorHAnsi" w:hAnsiTheme="minorHAnsi" w:cstheme="minorHAnsi"/>
          <w:sz w:val="22"/>
          <w:szCs w:val="22"/>
          <w:vertAlign w:val="superscript"/>
          <w:lang w:val="fr-CA"/>
        </w:rPr>
        <w:t>er</w:t>
      </w:r>
      <w:r w:rsidR="005B1309" w:rsidRPr="00013CF8">
        <w:rPr>
          <w:rFonts w:asciiTheme="minorHAnsi" w:hAnsiTheme="minorHAnsi" w:cstheme="minorHAnsi"/>
          <w:sz w:val="22"/>
          <w:szCs w:val="22"/>
          <w:lang w:val="fr-CA"/>
        </w:rPr>
        <w:t> </w:t>
      </w:r>
      <w:r w:rsidR="002B0A98" w:rsidRPr="00013CF8">
        <w:rPr>
          <w:rFonts w:asciiTheme="minorHAnsi" w:hAnsiTheme="minorHAnsi" w:cstheme="minorHAnsi"/>
          <w:sz w:val="22"/>
          <w:szCs w:val="22"/>
          <w:lang w:val="fr-CA"/>
        </w:rPr>
        <w:t>mai</w:t>
      </w:r>
      <w:r w:rsidR="005B1309" w:rsidRPr="00013CF8">
        <w:rPr>
          <w:rFonts w:asciiTheme="minorHAnsi" w:hAnsiTheme="minorHAnsi" w:cstheme="minorHAnsi"/>
          <w:sz w:val="22"/>
          <w:szCs w:val="22"/>
          <w:lang w:val="fr-CA"/>
        </w:rPr>
        <w:t> </w:t>
      </w:r>
      <w:r w:rsidR="002B0A98" w:rsidRPr="00013CF8">
        <w:rPr>
          <w:rFonts w:asciiTheme="minorHAnsi" w:hAnsiTheme="minorHAnsi" w:cstheme="minorHAnsi"/>
          <w:sz w:val="22"/>
          <w:szCs w:val="22"/>
          <w:lang w:val="fr-CA"/>
        </w:rPr>
        <w:t xml:space="preserve">2021, </w:t>
      </w:r>
      <w:r w:rsidR="0074723A" w:rsidRPr="00013CF8">
        <w:rPr>
          <w:rFonts w:asciiTheme="minorHAnsi" w:hAnsiTheme="minorHAnsi" w:cstheme="minorHAnsi"/>
          <w:sz w:val="22"/>
          <w:szCs w:val="22"/>
          <w:lang w:val="fr-CA"/>
        </w:rPr>
        <w:t>selon les exigences établies</w:t>
      </w:r>
      <w:r w:rsidR="002B0A98" w:rsidRPr="00013CF8">
        <w:rPr>
          <w:rFonts w:asciiTheme="minorHAnsi" w:hAnsiTheme="minorHAnsi" w:cstheme="minorHAnsi"/>
          <w:sz w:val="22"/>
          <w:szCs w:val="22"/>
          <w:lang w:val="fr-CA"/>
        </w:rPr>
        <w:t>.</w:t>
      </w:r>
    </w:p>
    <w:p w14:paraId="4B775994" w14:textId="58614FE6" w:rsidR="007B1B27" w:rsidRPr="00013CF8" w:rsidRDefault="00DD057D" w:rsidP="00055B43">
      <w:pPr>
        <w:pStyle w:val="Heading2"/>
        <w:spacing w:after="120"/>
      </w:pPr>
      <w:r w:rsidRPr="00013CF8">
        <w:t>Demandes de renseignements et tendances</w:t>
      </w:r>
    </w:p>
    <w:p w14:paraId="3CB464C6" w14:textId="5604E83F" w:rsidR="007B1B27" w:rsidRPr="00013CF8" w:rsidRDefault="002B0A98" w:rsidP="00013CF8">
      <w:pPr>
        <w:spacing w:after="120"/>
        <w:rPr>
          <w:rFonts w:asciiTheme="minorHAnsi" w:hAnsiTheme="minorHAnsi" w:cstheme="minorHAnsi"/>
          <w:sz w:val="22"/>
          <w:szCs w:val="22"/>
          <w:lang w:eastAsia="en-CA"/>
        </w:rPr>
      </w:pPr>
      <w:r w:rsidRPr="00013CF8">
        <w:rPr>
          <w:rFonts w:asciiTheme="minorHAnsi" w:hAnsiTheme="minorHAnsi" w:cstheme="minorHAnsi"/>
          <w:sz w:val="22"/>
          <w:szCs w:val="22"/>
          <w:lang w:eastAsia="en-CA"/>
        </w:rPr>
        <w:t xml:space="preserve">Entre le </w:t>
      </w:r>
      <w:r w:rsidR="00BA2036" w:rsidRPr="00013CF8">
        <w:rPr>
          <w:rFonts w:asciiTheme="minorHAnsi" w:hAnsiTheme="minorHAnsi" w:cstheme="minorHAnsi"/>
          <w:sz w:val="22"/>
          <w:szCs w:val="22"/>
          <w:lang w:eastAsia="en-CA"/>
        </w:rPr>
        <w:t>1</w:t>
      </w:r>
      <w:r w:rsidR="00BA2036" w:rsidRPr="00013CF8">
        <w:rPr>
          <w:rFonts w:asciiTheme="minorHAnsi" w:hAnsiTheme="minorHAnsi" w:cstheme="minorHAnsi"/>
          <w:sz w:val="22"/>
          <w:szCs w:val="22"/>
          <w:vertAlign w:val="superscript"/>
          <w:lang w:eastAsia="en-CA"/>
        </w:rPr>
        <w:t>er</w:t>
      </w:r>
      <w:r w:rsidR="00BA2036" w:rsidRPr="00013CF8">
        <w:rPr>
          <w:rFonts w:asciiTheme="minorHAnsi" w:hAnsiTheme="minorHAnsi" w:cstheme="minorHAnsi"/>
          <w:sz w:val="22"/>
          <w:szCs w:val="22"/>
          <w:lang w:eastAsia="en-CA"/>
        </w:rPr>
        <w:t> </w:t>
      </w:r>
      <w:r w:rsidRPr="00013CF8">
        <w:rPr>
          <w:rFonts w:asciiTheme="minorHAnsi" w:hAnsiTheme="minorHAnsi" w:cstheme="minorHAnsi"/>
          <w:sz w:val="22"/>
          <w:szCs w:val="22"/>
          <w:lang w:eastAsia="en-CA"/>
        </w:rPr>
        <w:t>avril</w:t>
      </w:r>
      <w:r w:rsidR="005B1309" w:rsidRPr="00013CF8">
        <w:rPr>
          <w:rFonts w:asciiTheme="minorHAnsi" w:hAnsiTheme="minorHAnsi" w:cstheme="minorHAnsi"/>
          <w:sz w:val="22"/>
          <w:szCs w:val="22"/>
          <w:lang w:eastAsia="en-CA"/>
        </w:rPr>
        <w:t> </w:t>
      </w:r>
      <w:r w:rsidRPr="00013CF8">
        <w:rPr>
          <w:rFonts w:asciiTheme="minorHAnsi" w:hAnsiTheme="minorHAnsi" w:cstheme="minorHAnsi"/>
          <w:sz w:val="22"/>
          <w:szCs w:val="22"/>
          <w:lang w:eastAsia="en-CA"/>
        </w:rPr>
        <w:t>2017 et le 1</w:t>
      </w:r>
      <w:r w:rsidRPr="00013CF8">
        <w:rPr>
          <w:rFonts w:asciiTheme="minorHAnsi" w:hAnsiTheme="minorHAnsi" w:cstheme="minorHAnsi"/>
          <w:sz w:val="22"/>
          <w:szCs w:val="22"/>
          <w:vertAlign w:val="superscript"/>
          <w:lang w:eastAsia="en-CA"/>
        </w:rPr>
        <w:t>er</w:t>
      </w:r>
      <w:r w:rsidR="005B1309" w:rsidRPr="00013CF8">
        <w:rPr>
          <w:rFonts w:asciiTheme="minorHAnsi" w:hAnsiTheme="minorHAnsi" w:cstheme="minorHAnsi"/>
          <w:sz w:val="22"/>
          <w:szCs w:val="22"/>
          <w:lang w:eastAsia="en-CA"/>
        </w:rPr>
        <w:t> </w:t>
      </w:r>
      <w:r w:rsidRPr="00013CF8">
        <w:rPr>
          <w:rFonts w:asciiTheme="minorHAnsi" w:hAnsiTheme="minorHAnsi" w:cstheme="minorHAnsi"/>
          <w:sz w:val="22"/>
          <w:szCs w:val="22"/>
          <w:lang w:eastAsia="en-CA"/>
        </w:rPr>
        <w:t>octobre</w:t>
      </w:r>
      <w:r w:rsidR="005B1309" w:rsidRPr="00013CF8">
        <w:rPr>
          <w:rFonts w:asciiTheme="minorHAnsi" w:hAnsiTheme="minorHAnsi" w:cstheme="minorHAnsi"/>
          <w:sz w:val="22"/>
          <w:szCs w:val="22"/>
          <w:lang w:eastAsia="en-CA"/>
        </w:rPr>
        <w:t> </w:t>
      </w:r>
      <w:r w:rsidRPr="00013CF8">
        <w:rPr>
          <w:rFonts w:asciiTheme="minorHAnsi" w:hAnsiTheme="minorHAnsi" w:cstheme="minorHAnsi"/>
          <w:sz w:val="22"/>
          <w:szCs w:val="22"/>
          <w:lang w:eastAsia="en-CA"/>
        </w:rPr>
        <w:t>2019, le conseiller au soutien en dot</w:t>
      </w:r>
      <w:r w:rsidR="005009EC" w:rsidRPr="00013CF8">
        <w:rPr>
          <w:rFonts w:asciiTheme="minorHAnsi" w:hAnsiTheme="minorHAnsi" w:cstheme="minorHAnsi"/>
          <w:sz w:val="22"/>
          <w:szCs w:val="22"/>
          <w:lang w:eastAsia="en-CA"/>
        </w:rPr>
        <w:t>ation a reçu un total de 73 </w:t>
      </w:r>
      <w:r w:rsidRPr="00013CF8">
        <w:rPr>
          <w:rFonts w:asciiTheme="minorHAnsi" w:hAnsiTheme="minorHAnsi" w:cstheme="minorHAnsi"/>
          <w:sz w:val="22"/>
          <w:szCs w:val="22"/>
          <w:lang w:eastAsia="en-CA"/>
        </w:rPr>
        <w:t xml:space="preserve">demandes de renseignements provenant du </w:t>
      </w:r>
      <w:r w:rsidR="00141F94" w:rsidRPr="00013CF8">
        <w:rPr>
          <w:rFonts w:asciiTheme="minorHAnsi" w:hAnsiTheme="minorHAnsi" w:cstheme="minorHAnsi"/>
          <w:sz w:val="22"/>
          <w:szCs w:val="22"/>
          <w:lang w:eastAsia="en-CA"/>
        </w:rPr>
        <w:t>SCDATA</w:t>
      </w:r>
      <w:r w:rsidRPr="00013CF8">
        <w:rPr>
          <w:rFonts w:asciiTheme="minorHAnsi" w:hAnsiTheme="minorHAnsi" w:cstheme="minorHAnsi"/>
          <w:sz w:val="22"/>
          <w:szCs w:val="22"/>
          <w:lang w:eastAsia="en-CA"/>
        </w:rPr>
        <w:t xml:space="preserve"> en lien avec divers sujets, par exemple</w:t>
      </w:r>
      <w:r w:rsidR="00BA2036" w:rsidRPr="00013CF8">
        <w:rPr>
          <w:rFonts w:asciiTheme="minorHAnsi" w:hAnsiTheme="minorHAnsi" w:cstheme="minorHAnsi"/>
          <w:sz w:val="22"/>
          <w:szCs w:val="22"/>
          <w:lang w:eastAsia="en-CA"/>
        </w:rPr>
        <w:t xml:space="preserve"> </w:t>
      </w:r>
      <w:r w:rsidRPr="00013CF8">
        <w:rPr>
          <w:rFonts w:asciiTheme="minorHAnsi" w:hAnsiTheme="minorHAnsi" w:cstheme="minorHAnsi"/>
          <w:sz w:val="22"/>
          <w:szCs w:val="22"/>
          <w:lang w:eastAsia="en-CA"/>
        </w:rPr>
        <w:t xml:space="preserve">les évaluations, la </w:t>
      </w:r>
      <w:r w:rsidRPr="00013CF8">
        <w:rPr>
          <w:rStyle w:val="Emphasis"/>
          <w:sz w:val="22"/>
        </w:rPr>
        <w:t>Loi sur l’emploi dans la fonction publique</w:t>
      </w:r>
      <w:r w:rsidRPr="00013CF8">
        <w:rPr>
          <w:rFonts w:asciiTheme="minorHAnsi" w:hAnsiTheme="minorHAnsi" w:cstheme="minorHAnsi"/>
          <w:sz w:val="22"/>
          <w:szCs w:val="22"/>
          <w:lang w:eastAsia="en-CA"/>
        </w:rPr>
        <w:t xml:space="preserve">, les pages Web et les systèmes de la CFP ainsi que d’autres demandes ne relevant pas du mandat de la CFP. Le nombre de demandes de renseignements présentées par le </w:t>
      </w:r>
      <w:r w:rsidR="00141F94" w:rsidRPr="00013CF8">
        <w:rPr>
          <w:rFonts w:asciiTheme="minorHAnsi" w:hAnsiTheme="minorHAnsi" w:cstheme="minorHAnsi"/>
          <w:sz w:val="22"/>
          <w:szCs w:val="22"/>
          <w:lang w:eastAsia="en-CA"/>
        </w:rPr>
        <w:t>SCDATA</w:t>
      </w:r>
      <w:r w:rsidRPr="00013CF8">
        <w:rPr>
          <w:rFonts w:asciiTheme="minorHAnsi" w:hAnsiTheme="minorHAnsi" w:cstheme="minorHAnsi"/>
          <w:sz w:val="22"/>
          <w:szCs w:val="22"/>
          <w:lang w:eastAsia="en-CA"/>
        </w:rPr>
        <w:t xml:space="preserve"> au sujet de situations de dotation générales est supérieur à la moyenne des </w:t>
      </w:r>
      <w:r w:rsidR="0074723A" w:rsidRPr="00013CF8">
        <w:rPr>
          <w:rFonts w:asciiTheme="minorHAnsi" w:hAnsiTheme="minorHAnsi" w:cstheme="minorHAnsi"/>
          <w:sz w:val="22"/>
          <w:szCs w:val="22"/>
          <w:lang w:eastAsia="en-CA"/>
        </w:rPr>
        <w:t>organisations de petite taille</w:t>
      </w:r>
      <w:r w:rsidRPr="00013CF8">
        <w:rPr>
          <w:rFonts w:asciiTheme="minorHAnsi" w:hAnsiTheme="minorHAnsi" w:cstheme="minorHAnsi"/>
          <w:sz w:val="22"/>
          <w:szCs w:val="22"/>
          <w:lang w:eastAsia="en-CA"/>
        </w:rPr>
        <w:t>.</w:t>
      </w:r>
    </w:p>
    <w:p w14:paraId="3A6FC7A8" w14:textId="0A0BB9D0" w:rsidR="007B1B27" w:rsidRPr="00013CF8" w:rsidRDefault="002B0A98" w:rsidP="00013CF8">
      <w:pPr>
        <w:pStyle w:val="Heading1"/>
        <w:spacing w:after="120"/>
      </w:pPr>
      <w:r w:rsidRPr="00013CF8">
        <w:lastRenderedPageBreak/>
        <w:t>Surveillance</w:t>
      </w:r>
      <w:r w:rsidR="007B1B27" w:rsidRPr="00013CF8">
        <w:t xml:space="preserve"> </w:t>
      </w:r>
    </w:p>
    <w:p w14:paraId="6D4B48E0" w14:textId="0966CDB1" w:rsidR="007B1B27" w:rsidRPr="00013CF8" w:rsidRDefault="002B0A98" w:rsidP="00055B43">
      <w:pPr>
        <w:pStyle w:val="Heading2"/>
        <w:spacing w:after="120"/>
        <w:rPr>
          <w:u w:val="single"/>
        </w:rPr>
      </w:pPr>
      <w:r w:rsidRPr="00013CF8">
        <w:t>Vérifications</w:t>
      </w:r>
      <w:r w:rsidR="007B1B27" w:rsidRPr="00013CF8">
        <w:t xml:space="preserve"> </w:t>
      </w:r>
    </w:p>
    <w:p w14:paraId="7C37B933" w14:textId="21D59D71" w:rsidR="007B1B27" w:rsidRPr="00013CF8" w:rsidRDefault="002B0A98" w:rsidP="00013CF8">
      <w:pPr>
        <w:spacing w:after="120"/>
        <w:rPr>
          <w:rFonts w:asciiTheme="minorHAnsi" w:hAnsiTheme="minorHAnsi" w:cstheme="minorHAnsi"/>
          <w:sz w:val="22"/>
          <w:szCs w:val="22"/>
        </w:rPr>
      </w:pPr>
      <w:r w:rsidRPr="00013CF8">
        <w:rPr>
          <w:rFonts w:asciiTheme="minorHAnsi" w:hAnsiTheme="minorHAnsi" w:cstheme="minorHAnsi"/>
          <w:sz w:val="22"/>
          <w:szCs w:val="22"/>
        </w:rPr>
        <w:t xml:space="preserve">Le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n’a pas fait l’objet d’une évaluation </w:t>
      </w:r>
      <w:r w:rsidR="008208A3" w:rsidRPr="00013CF8">
        <w:rPr>
          <w:rFonts w:asciiTheme="minorHAnsi" w:hAnsiTheme="minorHAnsi" w:cstheme="minorHAnsi"/>
          <w:sz w:val="22"/>
          <w:szCs w:val="22"/>
        </w:rPr>
        <w:t xml:space="preserve">en matière de </w:t>
      </w:r>
      <w:r w:rsidRPr="00013CF8">
        <w:rPr>
          <w:rFonts w:asciiTheme="minorHAnsi" w:hAnsiTheme="minorHAnsi" w:cstheme="minorHAnsi"/>
          <w:sz w:val="22"/>
          <w:szCs w:val="22"/>
        </w:rPr>
        <w:t>dotation ou d’une</w:t>
      </w:r>
      <w:r w:rsidR="008208A3" w:rsidRPr="00013CF8">
        <w:rPr>
          <w:rFonts w:asciiTheme="minorHAnsi" w:hAnsiTheme="minorHAnsi" w:cstheme="minorHAnsi"/>
          <w:sz w:val="22"/>
          <w:szCs w:val="22"/>
        </w:rPr>
        <w:t xml:space="preserve"> vérification par la </w:t>
      </w:r>
      <w:r w:rsidRPr="00013CF8">
        <w:rPr>
          <w:rFonts w:asciiTheme="minorHAnsi" w:hAnsiTheme="minorHAnsi" w:cstheme="minorHAnsi"/>
          <w:sz w:val="22"/>
          <w:szCs w:val="22"/>
        </w:rPr>
        <w:t>CFP depuis sa création en 2014.</w:t>
      </w:r>
    </w:p>
    <w:p w14:paraId="33A93471" w14:textId="15E44FE5" w:rsidR="007B1B27" w:rsidRPr="00013CF8" w:rsidRDefault="002B0A98" w:rsidP="00013CF8">
      <w:pPr>
        <w:spacing w:after="120"/>
        <w:rPr>
          <w:rFonts w:asciiTheme="minorHAnsi" w:hAnsiTheme="minorHAnsi" w:cstheme="minorHAnsi"/>
          <w:sz w:val="22"/>
          <w:szCs w:val="22"/>
        </w:rPr>
      </w:pPr>
      <w:r w:rsidRPr="00013CF8">
        <w:rPr>
          <w:rFonts w:asciiTheme="minorHAnsi" w:hAnsiTheme="minorHAnsi" w:cstheme="minorHAnsi"/>
          <w:sz w:val="22"/>
          <w:szCs w:val="22"/>
        </w:rPr>
        <w:t xml:space="preserve">Le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w:t>
      </w:r>
      <w:r w:rsidR="0074723A" w:rsidRPr="00013CF8">
        <w:rPr>
          <w:rFonts w:asciiTheme="minorHAnsi" w:hAnsiTheme="minorHAnsi" w:cstheme="minorHAnsi"/>
          <w:sz w:val="22"/>
          <w:szCs w:val="22"/>
        </w:rPr>
        <w:t>faisait partie du</w:t>
      </w:r>
      <w:r w:rsidR="005009EC" w:rsidRPr="00013CF8">
        <w:rPr>
          <w:rFonts w:asciiTheme="minorHAnsi" w:hAnsiTheme="minorHAnsi" w:cstheme="minorHAnsi"/>
          <w:sz w:val="22"/>
          <w:szCs w:val="22"/>
        </w:rPr>
        <w:t xml:space="preserve"> projet pilote de v</w:t>
      </w:r>
      <w:r w:rsidRPr="00013CF8">
        <w:rPr>
          <w:rFonts w:asciiTheme="minorHAnsi" w:hAnsiTheme="minorHAnsi" w:cstheme="minorHAnsi"/>
          <w:sz w:val="22"/>
          <w:szCs w:val="22"/>
        </w:rPr>
        <w:t xml:space="preserve">érification de la dotation à l’échelle du système, dont le rapport final a été publié en </w:t>
      </w:r>
      <w:r w:rsidR="005009EC" w:rsidRPr="00013CF8">
        <w:rPr>
          <w:rFonts w:asciiTheme="minorHAnsi" w:hAnsiTheme="minorHAnsi" w:cstheme="minorHAnsi"/>
          <w:sz w:val="22"/>
          <w:szCs w:val="22"/>
        </w:rPr>
        <w:t xml:space="preserve">décembre 2018. </w:t>
      </w:r>
      <w:r w:rsidR="000C1CC6" w:rsidRPr="00013CF8">
        <w:rPr>
          <w:rFonts w:asciiTheme="minorHAnsi" w:hAnsiTheme="minorHAnsi" w:cstheme="minorHAnsi"/>
          <w:sz w:val="22"/>
          <w:szCs w:val="22"/>
        </w:rPr>
        <w:t>Il est aussi l’une des</w:t>
      </w:r>
      <w:r w:rsidRPr="00013CF8">
        <w:rPr>
          <w:rFonts w:asciiTheme="minorHAnsi" w:hAnsiTheme="minorHAnsi" w:cstheme="minorHAnsi"/>
          <w:sz w:val="22"/>
          <w:szCs w:val="22"/>
        </w:rPr>
        <w:t xml:space="preserve"> 30 organisations sélectionnées </w:t>
      </w:r>
      <w:r w:rsidR="000C1CC6" w:rsidRPr="00013CF8">
        <w:rPr>
          <w:rFonts w:asciiTheme="minorHAnsi" w:hAnsiTheme="minorHAnsi" w:cstheme="minorHAnsi"/>
          <w:sz w:val="22"/>
          <w:szCs w:val="22"/>
        </w:rPr>
        <w:t>dans le cadre du projet</w:t>
      </w:r>
      <w:r w:rsidR="005009EC" w:rsidRPr="00013CF8">
        <w:rPr>
          <w:rFonts w:asciiTheme="minorHAnsi" w:hAnsiTheme="minorHAnsi" w:cstheme="minorHAnsi"/>
          <w:sz w:val="22"/>
          <w:szCs w:val="22"/>
        </w:rPr>
        <w:t xml:space="preserve"> de v</w:t>
      </w:r>
      <w:r w:rsidRPr="00013CF8">
        <w:rPr>
          <w:rFonts w:asciiTheme="minorHAnsi" w:hAnsiTheme="minorHAnsi" w:cstheme="minorHAnsi"/>
          <w:sz w:val="22"/>
          <w:szCs w:val="22"/>
        </w:rPr>
        <w:t>érification de la représentation des groupes visés par l’équité en matière d’emploi</w:t>
      </w:r>
      <w:r w:rsidR="0000371B" w:rsidRPr="00013CF8">
        <w:rPr>
          <w:rFonts w:asciiTheme="minorHAnsi" w:hAnsiTheme="minorHAnsi" w:cstheme="minorHAnsi"/>
          <w:sz w:val="22"/>
          <w:szCs w:val="22"/>
        </w:rPr>
        <w:t xml:space="preserve"> dans les activités de recrutement</w:t>
      </w:r>
      <w:r w:rsidRPr="00013CF8">
        <w:rPr>
          <w:rFonts w:asciiTheme="minorHAnsi" w:hAnsiTheme="minorHAnsi" w:cstheme="minorHAnsi"/>
          <w:sz w:val="22"/>
          <w:szCs w:val="22"/>
        </w:rPr>
        <w:t>, qui est en cours.</w:t>
      </w:r>
    </w:p>
    <w:p w14:paraId="25B83D7B" w14:textId="0697EDDB" w:rsidR="007B1B27" w:rsidRPr="00013CF8" w:rsidRDefault="002B0A98" w:rsidP="00013CF8">
      <w:pPr>
        <w:spacing w:after="120"/>
        <w:rPr>
          <w:rFonts w:asciiTheme="minorHAnsi" w:hAnsiTheme="minorHAnsi" w:cstheme="minorHAnsi"/>
          <w:sz w:val="22"/>
          <w:szCs w:val="22"/>
        </w:rPr>
      </w:pPr>
      <w:r w:rsidRPr="00013CF8">
        <w:rPr>
          <w:rFonts w:asciiTheme="minorHAnsi" w:hAnsiTheme="minorHAnsi" w:cstheme="minorHAnsi"/>
          <w:sz w:val="22"/>
          <w:szCs w:val="22"/>
        </w:rPr>
        <w:t>L</w:t>
      </w:r>
      <w:r w:rsidR="009F253C" w:rsidRPr="00013CF8">
        <w:rPr>
          <w:rFonts w:asciiTheme="minorHAnsi" w:hAnsiTheme="minorHAnsi" w:cstheme="minorHAnsi"/>
          <w:sz w:val="22"/>
          <w:szCs w:val="22"/>
        </w:rPr>
        <w:t xml:space="preserve">e </w:t>
      </w:r>
      <w:r w:rsidR="00141F94" w:rsidRPr="00013CF8">
        <w:rPr>
          <w:rFonts w:asciiTheme="minorHAnsi" w:hAnsiTheme="minorHAnsi" w:cstheme="minorHAnsi"/>
          <w:sz w:val="22"/>
          <w:szCs w:val="22"/>
        </w:rPr>
        <w:t>SCDATA</w:t>
      </w:r>
      <w:r w:rsidR="009F253C" w:rsidRPr="00013CF8">
        <w:rPr>
          <w:rFonts w:asciiTheme="minorHAnsi" w:hAnsiTheme="minorHAnsi" w:cstheme="minorHAnsi"/>
          <w:sz w:val="22"/>
          <w:szCs w:val="22"/>
        </w:rPr>
        <w:t xml:space="preserve"> </w:t>
      </w:r>
      <w:r w:rsidR="0000371B" w:rsidRPr="00013CF8">
        <w:rPr>
          <w:rFonts w:asciiTheme="minorHAnsi" w:hAnsiTheme="minorHAnsi" w:cstheme="minorHAnsi"/>
          <w:sz w:val="22"/>
          <w:szCs w:val="22"/>
        </w:rPr>
        <w:t>n’a pas été ciblé pour</w:t>
      </w:r>
      <w:r w:rsidR="000C1CC6" w:rsidRPr="00013CF8">
        <w:rPr>
          <w:rFonts w:asciiTheme="minorHAnsi" w:hAnsiTheme="minorHAnsi" w:cstheme="minorHAnsi"/>
          <w:sz w:val="22"/>
          <w:szCs w:val="22"/>
        </w:rPr>
        <w:t xml:space="preserve"> la</w:t>
      </w:r>
      <w:r w:rsidR="009F253C" w:rsidRPr="00013CF8">
        <w:rPr>
          <w:rFonts w:asciiTheme="minorHAnsi" w:hAnsiTheme="minorHAnsi" w:cstheme="minorHAnsi"/>
          <w:sz w:val="22"/>
          <w:szCs w:val="22"/>
        </w:rPr>
        <w:t xml:space="preserve"> vérification horizontale de l’embauche d’étudiants dans le cadre du Programme fédéral d’expérience de travail étudiant (PFETE).</w:t>
      </w:r>
    </w:p>
    <w:p w14:paraId="3D32D222" w14:textId="6EC1703C" w:rsidR="007B1B27" w:rsidRPr="00013CF8" w:rsidRDefault="009F253C" w:rsidP="00055B43">
      <w:pPr>
        <w:pStyle w:val="Heading2"/>
        <w:spacing w:after="120"/>
        <w:rPr>
          <w:u w:val="single"/>
        </w:rPr>
      </w:pPr>
      <w:r w:rsidRPr="00013CF8">
        <w:t>Enquêtes</w:t>
      </w:r>
    </w:p>
    <w:p w14:paraId="61B42B1B" w14:textId="69175A9F" w:rsidR="007B1B27" w:rsidRPr="00013CF8" w:rsidRDefault="009F253C" w:rsidP="00013CF8">
      <w:pPr>
        <w:spacing w:after="12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 xml:space="preserve">Entre le 9 août 2016 et le 9 août 2019, quatre cas ont été reçus </w:t>
      </w:r>
      <w:r w:rsidR="009D0CF1" w:rsidRPr="00013CF8">
        <w:rPr>
          <w:rFonts w:asciiTheme="minorHAnsi" w:eastAsiaTheme="minorHAnsi" w:hAnsiTheme="minorHAnsi" w:cstheme="minorHAnsi"/>
          <w:sz w:val="22"/>
          <w:szCs w:val="22"/>
        </w:rPr>
        <w:t xml:space="preserve">en vue d’une </w:t>
      </w:r>
      <w:r w:rsidRPr="00013CF8">
        <w:rPr>
          <w:rFonts w:asciiTheme="minorHAnsi" w:eastAsiaTheme="minorHAnsi" w:hAnsiTheme="minorHAnsi" w:cstheme="minorHAnsi"/>
          <w:sz w:val="22"/>
          <w:szCs w:val="22"/>
        </w:rPr>
        <w:t xml:space="preserve">enquête. </w:t>
      </w:r>
      <w:r w:rsidR="009D0CF1" w:rsidRPr="00013CF8">
        <w:rPr>
          <w:rFonts w:asciiTheme="minorHAnsi" w:eastAsiaTheme="minorHAnsi" w:hAnsiTheme="minorHAnsi" w:cstheme="minorHAnsi"/>
          <w:sz w:val="22"/>
          <w:szCs w:val="22"/>
        </w:rPr>
        <w:t>L’un des cas n’a pas été accepté, et les trois autres cas ont été traités et jugés fondés. Il n’y a actuellement aucun cas actif.</w:t>
      </w:r>
    </w:p>
    <w:p w14:paraId="5EE917E9" w14:textId="1CE0B085" w:rsidR="00503C89" w:rsidRPr="00503C89" w:rsidRDefault="00503C89" w:rsidP="00503C89">
      <w:pPr>
        <w:pStyle w:val="Caption"/>
        <w:keepNext/>
        <w:spacing w:after="0"/>
        <w:rPr>
          <w:rFonts w:asciiTheme="minorHAnsi" w:hAnsiTheme="minorHAnsi" w:cstheme="minorHAnsi"/>
          <w:i w:val="0"/>
          <w:color w:val="auto"/>
        </w:rPr>
      </w:pPr>
      <w:r w:rsidRPr="00503C89">
        <w:rPr>
          <w:rFonts w:asciiTheme="minorHAnsi" w:hAnsiTheme="minorHAnsi" w:cstheme="minorHAnsi"/>
          <w:i w:val="0"/>
          <w:color w:val="auto"/>
        </w:rPr>
        <w:t xml:space="preserve">Table </w:t>
      </w:r>
      <w:r w:rsidRPr="00503C89">
        <w:rPr>
          <w:rFonts w:asciiTheme="minorHAnsi" w:hAnsiTheme="minorHAnsi" w:cstheme="minorHAnsi"/>
          <w:i w:val="0"/>
          <w:color w:val="auto"/>
        </w:rPr>
        <w:fldChar w:fldCharType="begin"/>
      </w:r>
      <w:r w:rsidRPr="00503C89">
        <w:rPr>
          <w:rFonts w:asciiTheme="minorHAnsi" w:hAnsiTheme="minorHAnsi" w:cstheme="minorHAnsi"/>
          <w:i w:val="0"/>
          <w:color w:val="auto"/>
        </w:rPr>
        <w:instrText xml:space="preserve"> SEQ Table \* ARABIC </w:instrText>
      </w:r>
      <w:r w:rsidRPr="00503C89">
        <w:rPr>
          <w:rFonts w:asciiTheme="minorHAnsi" w:hAnsiTheme="minorHAnsi" w:cstheme="minorHAnsi"/>
          <w:i w:val="0"/>
          <w:color w:val="auto"/>
        </w:rPr>
        <w:fldChar w:fldCharType="separate"/>
      </w:r>
      <w:r w:rsidR="0009743A">
        <w:rPr>
          <w:rFonts w:asciiTheme="minorHAnsi" w:hAnsiTheme="minorHAnsi" w:cstheme="minorHAnsi"/>
          <w:i w:val="0"/>
          <w:noProof/>
          <w:color w:val="auto"/>
        </w:rPr>
        <w:t>1</w:t>
      </w:r>
      <w:r w:rsidRPr="00503C89">
        <w:rPr>
          <w:rFonts w:asciiTheme="minorHAnsi" w:hAnsiTheme="minorHAnsi" w:cstheme="minorHAnsi"/>
          <w:i w:val="0"/>
          <w:color w:val="auto"/>
        </w:rPr>
        <w:fldChar w:fldCharType="end"/>
      </w:r>
      <w:r w:rsidRPr="00503C89">
        <w:rPr>
          <w:rFonts w:asciiTheme="minorHAnsi" w:hAnsiTheme="minorHAnsi" w:cstheme="minorHAnsi"/>
          <w:i w:val="0"/>
          <w:color w:val="auto"/>
        </w:rPr>
        <w:t xml:space="preserve"> - Enquêtes</w:t>
      </w:r>
    </w:p>
    <w:tbl>
      <w:tblPr>
        <w:tblStyle w:val="TableGrid"/>
        <w:tblW w:w="5000" w:type="pct"/>
        <w:jc w:val="center"/>
        <w:tblLook w:val="04A0" w:firstRow="1" w:lastRow="0" w:firstColumn="1" w:lastColumn="0" w:noHBand="0" w:noVBand="1"/>
        <w:tblDescription w:val="Enquêtes"/>
      </w:tblPr>
      <w:tblGrid>
        <w:gridCol w:w="3316"/>
        <w:gridCol w:w="1096"/>
        <w:gridCol w:w="1583"/>
        <w:gridCol w:w="1079"/>
        <w:gridCol w:w="896"/>
        <w:gridCol w:w="896"/>
        <w:gridCol w:w="756"/>
      </w:tblGrid>
      <w:tr w:rsidR="00503C89" w:rsidRPr="007D6167" w14:paraId="3CF46DF4" w14:textId="77777777" w:rsidTr="00503C89">
        <w:trPr>
          <w:cantSplit/>
          <w:tblHeader/>
          <w:jc w:val="center"/>
        </w:trPr>
        <w:tc>
          <w:tcPr>
            <w:tcW w:w="1787" w:type="pct"/>
            <w:shd w:val="clear" w:color="auto" w:fill="54575A" w:themeFill="text1"/>
          </w:tcPr>
          <w:p w14:paraId="0841F657" w14:textId="77777777" w:rsidR="00503C89" w:rsidRPr="007D6167" w:rsidRDefault="00503C89" w:rsidP="00503C89">
            <w:pPr>
              <w:pStyle w:val="TableTitle"/>
              <w:rPr>
                <w:rFonts w:cs="Segoe UI Semibold"/>
                <w:color w:val="FFFFFF" w:themeColor="background1"/>
                <w:lang w:eastAsia="en-CA"/>
              </w:rPr>
            </w:pPr>
            <w:r w:rsidRPr="007D6167">
              <w:rPr>
                <w:rFonts w:cs="Segoe UI Semibold"/>
                <w:color w:val="FFFFFF" w:themeColor="background1"/>
                <w:lang w:eastAsia="en-CA"/>
              </w:rPr>
              <w:t>Nature de la question</w:t>
            </w:r>
          </w:p>
        </w:tc>
        <w:tc>
          <w:tcPr>
            <w:tcW w:w="633" w:type="pct"/>
            <w:shd w:val="clear" w:color="auto" w:fill="54575A" w:themeFill="text1"/>
          </w:tcPr>
          <w:p w14:paraId="65942E30" w14:textId="77777777" w:rsidR="00503C89" w:rsidRPr="007D6167" w:rsidRDefault="00503C89" w:rsidP="00503C89">
            <w:pPr>
              <w:pStyle w:val="TableTitle"/>
              <w:rPr>
                <w:rFonts w:cs="Segoe UI Semibold"/>
                <w:color w:val="FFFFFF" w:themeColor="background1"/>
                <w:lang w:eastAsia="en-CA"/>
              </w:rPr>
            </w:pPr>
            <w:r w:rsidRPr="007D6167">
              <w:rPr>
                <w:rFonts w:cs="Segoe UI Semibold"/>
                <w:color w:val="FFFFFF" w:themeColor="background1"/>
                <w:lang w:eastAsia="en-CA"/>
              </w:rPr>
              <w:t>Cas reçus</w:t>
            </w:r>
          </w:p>
        </w:tc>
        <w:tc>
          <w:tcPr>
            <w:tcW w:w="773" w:type="pct"/>
            <w:shd w:val="clear" w:color="auto" w:fill="54575A" w:themeFill="text1"/>
          </w:tcPr>
          <w:p w14:paraId="00BCC554" w14:textId="77777777" w:rsidR="00503C89" w:rsidRPr="007D6167" w:rsidRDefault="00503C89" w:rsidP="00503C89">
            <w:pPr>
              <w:pStyle w:val="TableTitle"/>
              <w:rPr>
                <w:rFonts w:cs="Segoe UI Semibold"/>
                <w:color w:val="FFFFFF" w:themeColor="background1"/>
                <w:lang w:eastAsia="en-CA"/>
              </w:rPr>
            </w:pPr>
            <w:r w:rsidRPr="007D6167">
              <w:rPr>
                <w:rFonts w:cs="Segoe UI Semibold"/>
                <w:color w:val="FFFFFF" w:themeColor="background1"/>
                <w:lang w:eastAsia="en-CA"/>
              </w:rPr>
              <w:t>Cas signalés par l’organisation</w:t>
            </w:r>
          </w:p>
        </w:tc>
        <w:tc>
          <w:tcPr>
            <w:tcW w:w="539" w:type="pct"/>
            <w:shd w:val="clear" w:color="auto" w:fill="54575A" w:themeFill="text1"/>
          </w:tcPr>
          <w:p w14:paraId="64EACB7B" w14:textId="77777777" w:rsidR="00503C89" w:rsidRPr="007D6167" w:rsidRDefault="00503C89" w:rsidP="00503C89">
            <w:pPr>
              <w:pStyle w:val="TableTitle"/>
              <w:rPr>
                <w:rFonts w:cs="Segoe UI Semibold"/>
                <w:color w:val="FFFFFF" w:themeColor="background1"/>
                <w:lang w:eastAsia="en-CA"/>
              </w:rPr>
            </w:pPr>
            <w:r w:rsidRPr="007D6167">
              <w:rPr>
                <w:rFonts w:cs="Segoe UI Semibold"/>
                <w:color w:val="FFFFFF" w:themeColor="background1"/>
                <w:lang w:eastAsia="en-CA"/>
              </w:rPr>
              <w:t>Cas clos – non acceptés</w:t>
            </w:r>
          </w:p>
        </w:tc>
        <w:tc>
          <w:tcPr>
            <w:tcW w:w="445" w:type="pct"/>
            <w:shd w:val="clear" w:color="auto" w:fill="54575A" w:themeFill="text1"/>
          </w:tcPr>
          <w:p w14:paraId="1E8D0EB8" w14:textId="77777777" w:rsidR="00503C89" w:rsidRPr="007D6167" w:rsidRDefault="00503C89" w:rsidP="00503C89">
            <w:pPr>
              <w:pStyle w:val="TableTitle"/>
              <w:rPr>
                <w:rFonts w:cs="Segoe UI Semibold"/>
                <w:color w:val="FFFFFF" w:themeColor="background1"/>
                <w:lang w:eastAsia="en-CA"/>
              </w:rPr>
            </w:pPr>
            <w:r w:rsidRPr="007D6167">
              <w:rPr>
                <w:rFonts w:cs="Segoe UI Semibold"/>
                <w:color w:val="FFFFFF" w:themeColor="background1"/>
                <w:lang w:eastAsia="en-CA"/>
              </w:rPr>
              <w:t>Cas traités – non fondés</w:t>
            </w:r>
          </w:p>
        </w:tc>
        <w:tc>
          <w:tcPr>
            <w:tcW w:w="445" w:type="pct"/>
            <w:shd w:val="clear" w:color="auto" w:fill="54575A" w:themeFill="text1"/>
          </w:tcPr>
          <w:p w14:paraId="247A7067" w14:textId="77777777" w:rsidR="00503C89" w:rsidRPr="007D6167" w:rsidRDefault="00503C89" w:rsidP="00503C89">
            <w:pPr>
              <w:pStyle w:val="TableTitle"/>
              <w:rPr>
                <w:rFonts w:cs="Segoe UI Semibold"/>
                <w:color w:val="FFFFFF" w:themeColor="background1"/>
                <w:lang w:eastAsia="en-CA"/>
              </w:rPr>
            </w:pPr>
            <w:r w:rsidRPr="007D6167">
              <w:rPr>
                <w:rFonts w:cs="Segoe UI Semibold"/>
                <w:color w:val="FFFFFF" w:themeColor="background1"/>
                <w:lang w:eastAsia="en-CA"/>
              </w:rPr>
              <w:t>Cas traités – fondés</w:t>
            </w:r>
          </w:p>
        </w:tc>
        <w:tc>
          <w:tcPr>
            <w:tcW w:w="378" w:type="pct"/>
            <w:shd w:val="clear" w:color="auto" w:fill="54575A" w:themeFill="text1"/>
          </w:tcPr>
          <w:p w14:paraId="0836E4CE" w14:textId="77777777" w:rsidR="00503C89" w:rsidRPr="007D6167" w:rsidRDefault="00503C89" w:rsidP="00503C89">
            <w:pPr>
              <w:pStyle w:val="TableTitle"/>
              <w:rPr>
                <w:rFonts w:cs="Segoe UI Semibold"/>
                <w:color w:val="FFFFFF" w:themeColor="background1"/>
                <w:lang w:eastAsia="en-CA"/>
              </w:rPr>
            </w:pPr>
            <w:r w:rsidRPr="007D6167">
              <w:rPr>
                <w:rFonts w:cs="Segoe UI Semibold"/>
                <w:color w:val="FFFFFF" w:themeColor="background1"/>
                <w:lang w:eastAsia="en-CA"/>
              </w:rPr>
              <w:t>En cours</w:t>
            </w:r>
          </w:p>
        </w:tc>
      </w:tr>
      <w:tr w:rsidR="00503C89" w:rsidRPr="00722B01" w14:paraId="7E2ABAB9" w14:textId="77777777" w:rsidTr="00503C89">
        <w:trPr>
          <w:cantSplit/>
          <w:tblHeader/>
          <w:jc w:val="center"/>
        </w:trPr>
        <w:tc>
          <w:tcPr>
            <w:tcW w:w="1787" w:type="pct"/>
            <w:shd w:val="clear" w:color="auto" w:fill="54575A" w:themeFill="text1"/>
          </w:tcPr>
          <w:p w14:paraId="082B0F8C" w14:textId="77777777" w:rsidR="00503C89" w:rsidRPr="00722B01" w:rsidRDefault="00503C89" w:rsidP="00F565BF">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eastAsia="en-CA"/>
              </w:rPr>
            </w:pPr>
            <w:r w:rsidRPr="00722B01">
              <w:rPr>
                <w:rFonts w:asciiTheme="minorHAnsi" w:eastAsiaTheme="majorEastAsia" w:hAnsiTheme="minorHAnsi" w:cstheme="minorHAnsi"/>
                <w:color w:val="FFFFFF" w:themeColor="background1"/>
                <w:sz w:val="22"/>
                <w:szCs w:val="22"/>
                <w:lang w:eastAsia="en-CA"/>
              </w:rPr>
              <w:t>Article 66 : Nominations externes (mérite, erreur, omission ou conduite irrégulière)</w:t>
            </w:r>
          </w:p>
        </w:tc>
        <w:tc>
          <w:tcPr>
            <w:tcW w:w="633" w:type="pct"/>
          </w:tcPr>
          <w:p w14:paraId="77002288"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4</w:t>
            </w:r>
          </w:p>
        </w:tc>
        <w:tc>
          <w:tcPr>
            <w:tcW w:w="773" w:type="pct"/>
          </w:tcPr>
          <w:p w14:paraId="5B39AFD8"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539" w:type="pct"/>
          </w:tcPr>
          <w:p w14:paraId="4F1BD5CC"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1</w:t>
            </w:r>
          </w:p>
        </w:tc>
        <w:tc>
          <w:tcPr>
            <w:tcW w:w="445" w:type="pct"/>
          </w:tcPr>
          <w:p w14:paraId="79E5D543"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01336999"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3</w:t>
            </w:r>
          </w:p>
        </w:tc>
        <w:tc>
          <w:tcPr>
            <w:tcW w:w="378" w:type="pct"/>
          </w:tcPr>
          <w:p w14:paraId="2C66C89B"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r>
      <w:tr w:rsidR="00503C89" w:rsidRPr="00722B01" w14:paraId="07CDBA4C" w14:textId="77777777" w:rsidTr="00503C89">
        <w:trPr>
          <w:cantSplit/>
          <w:tblHeader/>
          <w:jc w:val="center"/>
        </w:trPr>
        <w:tc>
          <w:tcPr>
            <w:tcW w:w="1787" w:type="pct"/>
            <w:shd w:val="clear" w:color="auto" w:fill="54575A" w:themeFill="text1"/>
          </w:tcPr>
          <w:p w14:paraId="484A3D6F" w14:textId="77777777" w:rsidR="00503C89" w:rsidRPr="00722B01" w:rsidRDefault="00503C89" w:rsidP="00F565BF">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eastAsia="en-CA"/>
              </w:rPr>
            </w:pPr>
            <w:r w:rsidRPr="00722B01">
              <w:rPr>
                <w:rFonts w:asciiTheme="minorHAnsi" w:eastAsiaTheme="majorEastAsia" w:hAnsiTheme="minorHAnsi" w:cstheme="minorHAnsi"/>
                <w:color w:val="FFFFFF" w:themeColor="background1"/>
                <w:sz w:val="22"/>
                <w:szCs w:val="22"/>
                <w:lang w:eastAsia="en-CA"/>
              </w:rPr>
              <w:t>Paragraphe 67(2) : Nominations internes (sur demande de l’administrateur général)</w:t>
            </w:r>
          </w:p>
        </w:tc>
        <w:tc>
          <w:tcPr>
            <w:tcW w:w="633" w:type="pct"/>
          </w:tcPr>
          <w:p w14:paraId="6323B50C"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773" w:type="pct"/>
          </w:tcPr>
          <w:p w14:paraId="6BE57283"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539" w:type="pct"/>
          </w:tcPr>
          <w:p w14:paraId="5C66EDAB"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73B8B07B"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0F574617"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378" w:type="pct"/>
          </w:tcPr>
          <w:p w14:paraId="222886F2"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r>
      <w:tr w:rsidR="00503C89" w:rsidRPr="00722B01" w14:paraId="02EE99EA" w14:textId="77777777" w:rsidTr="00503C89">
        <w:trPr>
          <w:cantSplit/>
          <w:tblHeader/>
          <w:jc w:val="center"/>
        </w:trPr>
        <w:tc>
          <w:tcPr>
            <w:tcW w:w="1787" w:type="pct"/>
            <w:shd w:val="clear" w:color="auto" w:fill="54575A" w:themeFill="text1"/>
          </w:tcPr>
          <w:p w14:paraId="7A70BAEA" w14:textId="77777777" w:rsidR="00503C89" w:rsidRPr="00722B01" w:rsidRDefault="00503C89" w:rsidP="00F565BF">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eastAsia="en-CA"/>
              </w:rPr>
            </w:pPr>
            <w:r w:rsidRPr="00722B01">
              <w:rPr>
                <w:rFonts w:asciiTheme="minorHAnsi" w:eastAsiaTheme="majorEastAsia" w:hAnsiTheme="minorHAnsi" w:cstheme="minorHAnsi"/>
                <w:color w:val="FFFFFF" w:themeColor="background1"/>
                <w:sz w:val="22"/>
                <w:szCs w:val="22"/>
                <w:lang w:eastAsia="en-CA"/>
              </w:rPr>
              <w:t>Article 68 : Influence politique</w:t>
            </w:r>
          </w:p>
        </w:tc>
        <w:tc>
          <w:tcPr>
            <w:tcW w:w="633" w:type="pct"/>
          </w:tcPr>
          <w:p w14:paraId="51BFA3E2"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773" w:type="pct"/>
          </w:tcPr>
          <w:p w14:paraId="3FFEFF20"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539" w:type="pct"/>
          </w:tcPr>
          <w:p w14:paraId="348E494A"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519E6D7B"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45DADA1B"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378" w:type="pct"/>
          </w:tcPr>
          <w:p w14:paraId="77EE1027"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r>
      <w:tr w:rsidR="00503C89" w:rsidRPr="00722B01" w14:paraId="3C3E7784" w14:textId="77777777" w:rsidTr="00503C89">
        <w:trPr>
          <w:cantSplit/>
          <w:tblHeader/>
          <w:jc w:val="center"/>
        </w:trPr>
        <w:tc>
          <w:tcPr>
            <w:tcW w:w="1787" w:type="pct"/>
            <w:shd w:val="clear" w:color="auto" w:fill="54575A" w:themeFill="text1"/>
          </w:tcPr>
          <w:p w14:paraId="16934F4C" w14:textId="77777777" w:rsidR="00503C89" w:rsidRPr="00722B01" w:rsidRDefault="00503C89" w:rsidP="00F565BF">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eastAsia="en-CA"/>
              </w:rPr>
            </w:pPr>
            <w:r w:rsidRPr="00722B01">
              <w:rPr>
                <w:rFonts w:asciiTheme="minorHAnsi" w:eastAsiaTheme="majorEastAsia" w:hAnsiTheme="minorHAnsi" w:cstheme="minorHAnsi"/>
                <w:color w:val="FFFFFF" w:themeColor="background1"/>
                <w:sz w:val="22"/>
                <w:szCs w:val="22"/>
                <w:lang w:eastAsia="en-CA"/>
              </w:rPr>
              <w:t>Article 69 : Fraude</w:t>
            </w:r>
          </w:p>
        </w:tc>
        <w:tc>
          <w:tcPr>
            <w:tcW w:w="633" w:type="pct"/>
          </w:tcPr>
          <w:p w14:paraId="2C55CD50"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773" w:type="pct"/>
          </w:tcPr>
          <w:p w14:paraId="72B2311A"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539" w:type="pct"/>
          </w:tcPr>
          <w:p w14:paraId="3912B7BE"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1E1FD342"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45F85FA5"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378" w:type="pct"/>
          </w:tcPr>
          <w:p w14:paraId="647A2085"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r>
      <w:tr w:rsidR="00503C89" w:rsidRPr="00722B01" w14:paraId="7DFC3862" w14:textId="77777777" w:rsidTr="00503C89">
        <w:trPr>
          <w:cantSplit/>
          <w:tblHeader/>
          <w:jc w:val="center"/>
        </w:trPr>
        <w:tc>
          <w:tcPr>
            <w:tcW w:w="1787" w:type="pct"/>
            <w:shd w:val="clear" w:color="auto" w:fill="54575A" w:themeFill="text1"/>
          </w:tcPr>
          <w:p w14:paraId="437BDDB1" w14:textId="77777777" w:rsidR="00503C89" w:rsidRPr="00722B01" w:rsidRDefault="00503C89" w:rsidP="00F565BF">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eastAsia="en-CA"/>
              </w:rPr>
            </w:pPr>
            <w:r w:rsidRPr="00722B01">
              <w:rPr>
                <w:rFonts w:asciiTheme="minorHAnsi" w:eastAsiaTheme="majorEastAsia" w:hAnsiTheme="minorHAnsi" w:cstheme="minorHAnsi"/>
                <w:color w:val="FFFFFF" w:themeColor="background1"/>
                <w:sz w:val="22"/>
                <w:szCs w:val="22"/>
                <w:lang w:eastAsia="en-CA"/>
              </w:rPr>
              <w:t>Article 118 : Activités politiques irrégulières – Employés</w:t>
            </w:r>
          </w:p>
        </w:tc>
        <w:tc>
          <w:tcPr>
            <w:tcW w:w="633" w:type="pct"/>
          </w:tcPr>
          <w:p w14:paraId="01F4A7DF"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773" w:type="pct"/>
          </w:tcPr>
          <w:p w14:paraId="21D8BDF3"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539" w:type="pct"/>
          </w:tcPr>
          <w:p w14:paraId="12FBE601"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64B36CDB"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52640C1D"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378" w:type="pct"/>
          </w:tcPr>
          <w:p w14:paraId="6331865B"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r>
      <w:tr w:rsidR="00503C89" w:rsidRPr="00722B01" w14:paraId="568691BA" w14:textId="77777777" w:rsidTr="00503C89">
        <w:trPr>
          <w:cantSplit/>
          <w:tblHeader/>
          <w:jc w:val="center"/>
        </w:trPr>
        <w:tc>
          <w:tcPr>
            <w:tcW w:w="1787" w:type="pct"/>
            <w:shd w:val="clear" w:color="auto" w:fill="54575A" w:themeFill="text1"/>
          </w:tcPr>
          <w:p w14:paraId="500BF3F2" w14:textId="77777777" w:rsidR="00503C89" w:rsidRPr="00722B01" w:rsidRDefault="00503C89" w:rsidP="00F565BF">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eastAsia="en-CA"/>
              </w:rPr>
            </w:pPr>
            <w:r w:rsidRPr="00722B01">
              <w:rPr>
                <w:rFonts w:asciiTheme="minorHAnsi" w:eastAsiaTheme="majorEastAsia" w:hAnsiTheme="minorHAnsi" w:cstheme="minorHAnsi"/>
                <w:color w:val="FFFFFF" w:themeColor="background1"/>
                <w:sz w:val="22"/>
                <w:szCs w:val="22"/>
                <w:lang w:eastAsia="en-CA"/>
              </w:rPr>
              <w:t>Total</w:t>
            </w:r>
          </w:p>
        </w:tc>
        <w:tc>
          <w:tcPr>
            <w:tcW w:w="633" w:type="pct"/>
          </w:tcPr>
          <w:p w14:paraId="759A7DED"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4</w:t>
            </w:r>
          </w:p>
        </w:tc>
        <w:tc>
          <w:tcPr>
            <w:tcW w:w="773" w:type="pct"/>
          </w:tcPr>
          <w:p w14:paraId="42DDE655"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539" w:type="pct"/>
          </w:tcPr>
          <w:p w14:paraId="55DA20D2"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1</w:t>
            </w:r>
          </w:p>
        </w:tc>
        <w:tc>
          <w:tcPr>
            <w:tcW w:w="445" w:type="pct"/>
          </w:tcPr>
          <w:p w14:paraId="2C29FF3E"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c>
          <w:tcPr>
            <w:tcW w:w="445" w:type="pct"/>
          </w:tcPr>
          <w:p w14:paraId="6231B707"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3</w:t>
            </w:r>
          </w:p>
        </w:tc>
        <w:tc>
          <w:tcPr>
            <w:tcW w:w="378" w:type="pct"/>
          </w:tcPr>
          <w:p w14:paraId="284768A7" w14:textId="77777777" w:rsidR="00503C89" w:rsidRPr="00722B01" w:rsidRDefault="00503C89" w:rsidP="00F565BF">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eastAsia="en-CA"/>
              </w:rPr>
            </w:pPr>
            <w:r w:rsidRPr="00722B01">
              <w:rPr>
                <w:rFonts w:asciiTheme="minorHAnsi" w:eastAsiaTheme="majorEastAsia" w:hAnsiTheme="minorHAnsi" w:cstheme="minorHAnsi"/>
                <w:sz w:val="22"/>
                <w:szCs w:val="22"/>
                <w:lang w:eastAsia="en-CA"/>
              </w:rPr>
              <w:t>0</w:t>
            </w:r>
          </w:p>
        </w:tc>
      </w:tr>
    </w:tbl>
    <w:p w14:paraId="03917C38" w14:textId="056DD8FA" w:rsidR="00503C89" w:rsidRPr="00503C89" w:rsidRDefault="00503C89" w:rsidP="00503C89">
      <w:pPr>
        <w:pStyle w:val="Level1"/>
        <w:tabs>
          <w:tab w:val="left" w:pos="-1440"/>
        </w:tabs>
        <w:autoSpaceDE w:val="0"/>
        <w:autoSpaceDN w:val="0"/>
        <w:adjustRightInd w:val="0"/>
        <w:spacing w:after="120" w:line="20" w:lineRule="atLeast"/>
        <w:rPr>
          <w:rFonts w:asciiTheme="minorHAnsi" w:hAnsiTheme="minorHAnsi" w:cstheme="minorHAnsi"/>
          <w:color w:val="000000"/>
          <w:sz w:val="22"/>
          <w:szCs w:val="22"/>
          <w:lang w:eastAsia="fr-CA"/>
        </w:rPr>
      </w:pPr>
      <w:r>
        <w:rPr>
          <w:rFonts w:asciiTheme="minorHAnsi" w:hAnsiTheme="minorHAnsi" w:cstheme="minorHAnsi"/>
          <w:color w:val="000000"/>
          <w:sz w:val="22"/>
          <w:szCs w:val="22"/>
          <w:lang w:eastAsia="fr-CA"/>
        </w:rPr>
        <w:t>Note</w:t>
      </w:r>
      <w:r w:rsidRPr="00503C89">
        <w:rPr>
          <w:rFonts w:asciiTheme="minorHAnsi" w:hAnsiTheme="minorHAnsi" w:cstheme="minorHAnsi"/>
          <w:color w:val="000000"/>
          <w:sz w:val="22"/>
          <w:szCs w:val="22"/>
          <w:lang w:eastAsia="fr-CA"/>
        </w:rPr>
        <w:t> : La somme des chiffres pourrait ne pas correspondre au total indiqué, car les cas abandonnés, les cas résolus au moyen d’une intervention précoce et les cas rares (paragraphe 67[1] et article 119) ne sont pas pris en compte dans le tableau.</w:t>
      </w:r>
    </w:p>
    <w:p w14:paraId="7F57162E" w14:textId="104DADC6" w:rsidR="00503C89" w:rsidRPr="00722B01" w:rsidRDefault="00503C89" w:rsidP="00503C89">
      <w:pPr>
        <w:pStyle w:val="Level1"/>
        <w:tabs>
          <w:tab w:val="left" w:pos="-1440"/>
        </w:tabs>
        <w:autoSpaceDE w:val="0"/>
        <w:autoSpaceDN w:val="0"/>
        <w:adjustRightInd w:val="0"/>
        <w:spacing w:after="120" w:line="20" w:lineRule="atLeast"/>
        <w:rPr>
          <w:rFonts w:asciiTheme="minorHAnsi" w:hAnsiTheme="minorHAnsi" w:cstheme="minorHAnsi"/>
          <w:color w:val="000000"/>
          <w:sz w:val="22"/>
          <w:szCs w:val="22"/>
          <w:lang w:eastAsia="fr-CA"/>
        </w:rPr>
      </w:pPr>
      <w:r w:rsidRPr="00722B01">
        <w:rPr>
          <w:rFonts w:asciiTheme="minorHAnsi" w:hAnsiTheme="minorHAnsi" w:cstheme="minorHAnsi"/>
          <w:color w:val="000000"/>
          <w:sz w:val="22"/>
          <w:szCs w:val="22"/>
          <w:lang w:eastAsia="fr-CA"/>
        </w:rPr>
        <w:t xml:space="preserve">Note : Les calculs dans chaque colonne sont indépendants les uns des autres. Les cas reçus représentent les cas qui ont été reçus durant la période visée, et les cas traités représentent les cas qui ont été traités durant la période visée (et non pas nécessairement les cas qui ont été traités parmi </w:t>
      </w:r>
      <w:r w:rsidRPr="00722B01">
        <w:rPr>
          <w:rFonts w:asciiTheme="minorHAnsi" w:hAnsiTheme="minorHAnsi" w:cstheme="minorHAnsi"/>
          <w:color w:val="000000"/>
          <w:sz w:val="22"/>
          <w:szCs w:val="22"/>
          <w:lang w:eastAsia="fr-CA"/>
        </w:rPr>
        <w:lastRenderedPageBreak/>
        <w:t>ceux qui ont été reçus).</w:t>
      </w:r>
    </w:p>
    <w:p w14:paraId="38115992" w14:textId="36F77625" w:rsidR="007B1B27" w:rsidRPr="00013CF8" w:rsidRDefault="009D0CF1" w:rsidP="00055B43">
      <w:pPr>
        <w:pStyle w:val="Heading2"/>
        <w:spacing w:after="120"/>
        <w:rPr>
          <w:u w:val="single"/>
        </w:rPr>
      </w:pPr>
      <w:r w:rsidRPr="00013CF8">
        <w:t>Nouvelle communauté de pratique des enquêteurs</w:t>
      </w:r>
    </w:p>
    <w:p w14:paraId="0CA613B4" w14:textId="5227D594" w:rsidR="007B1B27" w:rsidRPr="00013CF8" w:rsidRDefault="009D0CF1" w:rsidP="00013CF8">
      <w:pPr>
        <w:autoSpaceDE w:val="0"/>
        <w:autoSpaceDN w:val="0"/>
        <w:adjustRightInd w:val="0"/>
        <w:spacing w:after="120"/>
        <w:ind w:right="50"/>
        <w:rPr>
          <w:rFonts w:asciiTheme="minorHAnsi" w:hAnsiTheme="minorHAnsi" w:cstheme="minorHAnsi"/>
          <w:sz w:val="22"/>
          <w:szCs w:val="22"/>
        </w:rPr>
      </w:pPr>
      <w:r w:rsidRPr="00013CF8">
        <w:rPr>
          <w:rFonts w:asciiTheme="minorHAnsi" w:hAnsiTheme="minorHAnsi" w:cstheme="minorHAnsi"/>
          <w:sz w:val="22"/>
          <w:szCs w:val="22"/>
        </w:rPr>
        <w:t xml:space="preserve">Le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ne fait pas partie de la nouvelle communauté de pratique des enquêteurs.</w:t>
      </w:r>
    </w:p>
    <w:p w14:paraId="13D639F6" w14:textId="7D5EBFF8" w:rsidR="007B1B27" w:rsidRPr="00013CF8" w:rsidRDefault="009D0CF1" w:rsidP="00055B43">
      <w:pPr>
        <w:pStyle w:val="Heading2"/>
        <w:spacing w:after="120"/>
        <w:rPr>
          <w:u w:val="single"/>
        </w:rPr>
      </w:pPr>
      <w:r w:rsidRPr="00013CF8">
        <w:t xml:space="preserve">Résultats du </w:t>
      </w:r>
      <w:r w:rsidR="006F5ED7" w:rsidRPr="00013CF8">
        <w:t>S</w:t>
      </w:r>
      <w:r w:rsidRPr="00013CF8">
        <w:t>ondage sur la dotation et l’impartialité</w:t>
      </w:r>
      <w:r w:rsidR="006F5ED7" w:rsidRPr="00013CF8">
        <w:t xml:space="preserve"> politique</w:t>
      </w:r>
    </w:p>
    <w:p w14:paraId="1C7A4D57" w14:textId="7EBC707C" w:rsidR="007B1B27" w:rsidRPr="00013CF8" w:rsidRDefault="006F5ED7" w:rsidP="00013CF8">
      <w:pPr>
        <w:spacing w:after="120"/>
        <w:rPr>
          <w:rFonts w:asciiTheme="minorHAnsi" w:hAnsiTheme="minorHAnsi" w:cstheme="minorHAnsi"/>
          <w:sz w:val="22"/>
          <w:szCs w:val="22"/>
          <w:lang w:eastAsia="en-CA"/>
        </w:rPr>
      </w:pPr>
      <w:r w:rsidRPr="00013CF8">
        <w:rPr>
          <w:rFonts w:asciiTheme="minorHAnsi" w:eastAsiaTheme="minorHAnsi" w:hAnsiTheme="minorHAnsi" w:cstheme="minorHAnsi"/>
          <w:sz w:val="22"/>
          <w:szCs w:val="22"/>
        </w:rPr>
        <w:t xml:space="preserve">Le taux de réponse final du </w:t>
      </w:r>
      <w:r w:rsidR="00141F94" w:rsidRPr="00013CF8">
        <w:rPr>
          <w:rFonts w:asciiTheme="minorHAnsi" w:eastAsiaTheme="minorHAnsi" w:hAnsiTheme="minorHAnsi" w:cstheme="minorHAnsi"/>
          <w:sz w:val="22"/>
          <w:szCs w:val="22"/>
        </w:rPr>
        <w:t>SCDATA</w:t>
      </w:r>
      <w:r w:rsidRPr="00013CF8">
        <w:rPr>
          <w:rFonts w:asciiTheme="minorHAnsi" w:eastAsiaTheme="minorHAnsi" w:hAnsiTheme="minorHAnsi" w:cstheme="minorHAnsi"/>
          <w:sz w:val="22"/>
          <w:szCs w:val="22"/>
        </w:rPr>
        <w:t xml:space="preserve"> au Sondage sur la dotation et l’impartialité politique (SDIP) est de 51,7 %.</w:t>
      </w:r>
    </w:p>
    <w:p w14:paraId="5F0F3888" w14:textId="56D2D41A" w:rsidR="007B1B27" w:rsidRPr="00013CF8" w:rsidRDefault="006F5ED7" w:rsidP="007B1B27">
      <w:pPr>
        <w:contextualSpacing/>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 xml:space="preserve">Voici les </w:t>
      </w:r>
      <w:r w:rsidR="00E66593" w:rsidRPr="00013CF8">
        <w:rPr>
          <w:rFonts w:asciiTheme="minorHAnsi" w:eastAsiaTheme="minorHAnsi" w:hAnsiTheme="minorHAnsi" w:cstheme="minorHAnsi"/>
          <w:sz w:val="22"/>
          <w:szCs w:val="22"/>
        </w:rPr>
        <w:t>principales</w:t>
      </w:r>
      <w:r w:rsidRPr="00013CF8">
        <w:rPr>
          <w:rFonts w:asciiTheme="minorHAnsi" w:eastAsiaTheme="minorHAnsi" w:hAnsiTheme="minorHAnsi" w:cstheme="minorHAnsi"/>
          <w:sz w:val="22"/>
          <w:szCs w:val="22"/>
        </w:rPr>
        <w:t xml:space="preserve"> con</w:t>
      </w:r>
      <w:r w:rsidR="00BA2036" w:rsidRPr="00013CF8">
        <w:rPr>
          <w:rFonts w:asciiTheme="minorHAnsi" w:eastAsiaTheme="minorHAnsi" w:hAnsiTheme="minorHAnsi" w:cstheme="minorHAnsi"/>
          <w:sz w:val="22"/>
          <w:szCs w:val="22"/>
        </w:rPr>
        <w:t>statation</w:t>
      </w:r>
      <w:r w:rsidRPr="00013CF8">
        <w:rPr>
          <w:rFonts w:asciiTheme="minorHAnsi" w:eastAsiaTheme="minorHAnsi" w:hAnsiTheme="minorHAnsi" w:cstheme="minorHAnsi"/>
          <w:sz w:val="22"/>
          <w:szCs w:val="22"/>
        </w:rPr>
        <w:t>s tirées des résulta</w:t>
      </w:r>
      <w:r w:rsidR="00E66593" w:rsidRPr="00013CF8">
        <w:rPr>
          <w:rFonts w:asciiTheme="minorHAnsi" w:eastAsiaTheme="minorHAnsi" w:hAnsiTheme="minorHAnsi" w:cstheme="minorHAnsi"/>
          <w:sz w:val="22"/>
          <w:szCs w:val="22"/>
        </w:rPr>
        <w:t xml:space="preserve">ts du SDIP de 2018 </w:t>
      </w:r>
      <w:r w:rsidR="00BA2036" w:rsidRPr="00013CF8">
        <w:rPr>
          <w:rFonts w:asciiTheme="minorHAnsi" w:eastAsiaTheme="minorHAnsi" w:hAnsiTheme="minorHAnsi" w:cstheme="minorHAnsi"/>
          <w:sz w:val="22"/>
          <w:szCs w:val="22"/>
        </w:rPr>
        <w:t>concernant le</w:t>
      </w:r>
      <w:r w:rsidR="00E66593" w:rsidRPr="00013CF8">
        <w:rPr>
          <w:rFonts w:asciiTheme="minorHAnsi" w:eastAsiaTheme="minorHAnsi" w:hAnsiTheme="minorHAnsi" w:cstheme="minorHAnsi"/>
          <w:sz w:val="22"/>
          <w:szCs w:val="22"/>
        </w:rPr>
        <w:t xml:space="preserve"> </w:t>
      </w:r>
      <w:r w:rsidR="00141F94" w:rsidRPr="00013CF8">
        <w:rPr>
          <w:rFonts w:asciiTheme="minorHAnsi" w:eastAsiaTheme="minorHAnsi" w:hAnsiTheme="minorHAnsi" w:cstheme="minorHAnsi"/>
          <w:sz w:val="22"/>
          <w:szCs w:val="22"/>
        </w:rPr>
        <w:t>SCDATA</w:t>
      </w:r>
      <w:r w:rsidR="00E66593" w:rsidRPr="00013CF8">
        <w:rPr>
          <w:rFonts w:asciiTheme="minorHAnsi" w:eastAsiaTheme="minorHAnsi" w:hAnsiTheme="minorHAnsi" w:cstheme="minorHAnsi"/>
          <w:sz w:val="22"/>
          <w:szCs w:val="22"/>
        </w:rPr>
        <w:t> :</w:t>
      </w:r>
    </w:p>
    <w:p w14:paraId="10155CF2" w14:textId="68369C37" w:rsidR="007B1B27" w:rsidRPr="00013CF8" w:rsidRDefault="00E66593" w:rsidP="00503C89">
      <w:pPr>
        <w:numPr>
          <w:ilvl w:val="0"/>
          <w:numId w:val="6"/>
        </w:numPr>
        <w:spacing w:line="259" w:lineRule="auto"/>
        <w:rPr>
          <w:rFonts w:asciiTheme="minorHAnsi" w:eastAsiaTheme="minorHAnsi" w:hAnsiTheme="minorHAnsi" w:cstheme="minorHAnsi"/>
          <w:sz w:val="22"/>
          <w:szCs w:val="22"/>
          <w:lang w:eastAsia="en-CA"/>
        </w:rPr>
      </w:pPr>
      <w:r w:rsidRPr="00013CF8">
        <w:rPr>
          <w:rFonts w:asciiTheme="minorHAnsi" w:eastAsiaTheme="minorHAnsi" w:hAnsiTheme="minorHAnsi" w:cstheme="minorHAnsi"/>
          <w:sz w:val="22"/>
          <w:szCs w:val="22"/>
          <w:lang w:eastAsia="en-CA"/>
        </w:rPr>
        <w:t xml:space="preserve">80,8 % des </w:t>
      </w:r>
      <w:r w:rsidRPr="00013CF8">
        <w:rPr>
          <w:rStyle w:val="Strong"/>
          <w:rFonts w:eastAsiaTheme="minorHAnsi" w:cstheme="minorHAnsi"/>
        </w:rPr>
        <w:t>gestionnaires</w:t>
      </w:r>
      <w:r w:rsidRPr="00013CF8">
        <w:rPr>
          <w:rFonts w:asciiTheme="minorHAnsi" w:eastAsiaTheme="minorHAnsi" w:hAnsiTheme="minorHAnsi" w:cstheme="minorHAnsi"/>
          <w:sz w:val="22"/>
          <w:szCs w:val="22"/>
          <w:lang w:eastAsia="en-CA"/>
        </w:rPr>
        <w:t xml:space="preserve"> ont convenu que, dans l’ensemble, ils étaient satisfaits des services de dotation qu’ils ont reçus de leur organisation, comparativement à 67,6 % </w:t>
      </w:r>
      <w:r w:rsidR="005009EC" w:rsidRPr="00013CF8">
        <w:rPr>
          <w:rFonts w:asciiTheme="minorHAnsi" w:eastAsiaTheme="minorHAnsi" w:hAnsiTheme="minorHAnsi" w:cstheme="minorHAnsi"/>
          <w:sz w:val="22"/>
          <w:szCs w:val="22"/>
          <w:lang w:eastAsia="en-CA"/>
        </w:rPr>
        <w:t>pour les</w:t>
      </w:r>
      <w:r w:rsidRPr="00013CF8">
        <w:rPr>
          <w:rFonts w:asciiTheme="minorHAnsi" w:eastAsiaTheme="minorHAnsi" w:hAnsiTheme="minorHAnsi" w:cstheme="minorHAnsi"/>
          <w:sz w:val="22"/>
          <w:szCs w:val="22"/>
          <w:lang w:eastAsia="en-CA"/>
        </w:rPr>
        <w:t xml:space="preserve"> organisations de taille semblable et à 59,4 % </w:t>
      </w:r>
      <w:r w:rsidR="005009EC" w:rsidRPr="00013CF8">
        <w:rPr>
          <w:rFonts w:asciiTheme="minorHAnsi" w:eastAsiaTheme="minorHAnsi" w:hAnsiTheme="minorHAnsi" w:cstheme="minorHAnsi"/>
          <w:sz w:val="22"/>
          <w:szCs w:val="22"/>
          <w:lang w:eastAsia="en-CA"/>
        </w:rPr>
        <w:t>pour</w:t>
      </w:r>
      <w:r w:rsidRPr="00013CF8">
        <w:rPr>
          <w:rFonts w:asciiTheme="minorHAnsi" w:eastAsiaTheme="minorHAnsi" w:hAnsiTheme="minorHAnsi" w:cstheme="minorHAnsi"/>
          <w:sz w:val="22"/>
          <w:szCs w:val="22"/>
          <w:lang w:eastAsia="en-CA"/>
        </w:rPr>
        <w:t xml:space="preserve"> l’ensemble des organisations de la fonction publique fédérale.</w:t>
      </w:r>
    </w:p>
    <w:p w14:paraId="1E9B609F" w14:textId="1336C090" w:rsidR="007B1B27" w:rsidRPr="00013CF8" w:rsidRDefault="00E66593" w:rsidP="00013CF8">
      <w:pPr>
        <w:numPr>
          <w:ilvl w:val="0"/>
          <w:numId w:val="6"/>
        </w:numPr>
        <w:spacing w:line="259" w:lineRule="auto"/>
        <w:rPr>
          <w:rFonts w:asciiTheme="minorHAnsi" w:eastAsiaTheme="minorHAnsi" w:hAnsiTheme="minorHAnsi" w:cstheme="minorHAnsi"/>
          <w:sz w:val="22"/>
          <w:szCs w:val="22"/>
          <w:lang w:eastAsia="en-CA"/>
        </w:rPr>
      </w:pPr>
      <w:r w:rsidRPr="00013CF8">
        <w:rPr>
          <w:rFonts w:asciiTheme="minorHAnsi" w:eastAsiaTheme="minorHAnsi" w:hAnsiTheme="minorHAnsi" w:cstheme="minorHAnsi"/>
          <w:sz w:val="22"/>
          <w:szCs w:val="22"/>
          <w:lang w:eastAsia="en-CA"/>
        </w:rPr>
        <w:t xml:space="preserve">83,4 % des </w:t>
      </w:r>
      <w:r w:rsidRPr="00013CF8">
        <w:rPr>
          <w:rStyle w:val="Strong"/>
          <w:rFonts w:eastAsiaTheme="minorHAnsi"/>
        </w:rPr>
        <w:t>gestionnaires</w:t>
      </w:r>
      <w:r w:rsidRPr="00013CF8">
        <w:rPr>
          <w:rFonts w:asciiTheme="minorHAnsi" w:eastAsiaTheme="minorHAnsi" w:hAnsiTheme="minorHAnsi" w:cstheme="minorHAnsi"/>
          <w:sz w:val="22"/>
          <w:szCs w:val="22"/>
          <w:lang w:eastAsia="en-CA"/>
        </w:rPr>
        <w:t xml:space="preserve"> ont indiqué qu’ils comp</w:t>
      </w:r>
      <w:r w:rsidR="00364A6A" w:rsidRPr="00013CF8">
        <w:rPr>
          <w:rFonts w:asciiTheme="minorHAnsi" w:eastAsiaTheme="minorHAnsi" w:hAnsiTheme="minorHAnsi" w:cstheme="minorHAnsi"/>
          <w:sz w:val="22"/>
          <w:szCs w:val="22"/>
          <w:lang w:eastAsia="en-CA"/>
        </w:rPr>
        <w:t>rennent</w:t>
      </w:r>
      <w:r w:rsidRPr="00013CF8">
        <w:rPr>
          <w:rFonts w:asciiTheme="minorHAnsi" w:eastAsiaTheme="minorHAnsi" w:hAnsiTheme="minorHAnsi" w:cstheme="minorHAnsi"/>
          <w:sz w:val="22"/>
          <w:szCs w:val="22"/>
          <w:lang w:eastAsia="en-CA"/>
        </w:rPr>
        <w:t xml:space="preserve"> la NOD, comparativement à 73,4 % </w:t>
      </w:r>
      <w:r w:rsidR="005009EC" w:rsidRPr="00013CF8">
        <w:rPr>
          <w:rFonts w:asciiTheme="minorHAnsi" w:eastAsiaTheme="minorHAnsi" w:hAnsiTheme="minorHAnsi" w:cstheme="minorHAnsi"/>
          <w:sz w:val="22"/>
          <w:szCs w:val="22"/>
          <w:lang w:eastAsia="en-CA"/>
        </w:rPr>
        <w:t>pour les organisations</w:t>
      </w:r>
      <w:r w:rsidRPr="00013CF8">
        <w:rPr>
          <w:rFonts w:asciiTheme="minorHAnsi" w:eastAsiaTheme="minorHAnsi" w:hAnsiTheme="minorHAnsi" w:cstheme="minorHAnsi"/>
          <w:sz w:val="22"/>
          <w:szCs w:val="22"/>
          <w:lang w:eastAsia="en-CA"/>
        </w:rPr>
        <w:t xml:space="preserve"> d</w:t>
      </w:r>
      <w:r w:rsidR="005009EC" w:rsidRPr="00013CF8">
        <w:rPr>
          <w:rFonts w:asciiTheme="minorHAnsi" w:eastAsiaTheme="minorHAnsi" w:hAnsiTheme="minorHAnsi" w:cstheme="minorHAnsi"/>
          <w:sz w:val="22"/>
          <w:szCs w:val="22"/>
          <w:lang w:eastAsia="en-CA"/>
        </w:rPr>
        <w:t>e taille semblable et à 61,4 % pour</w:t>
      </w:r>
      <w:r w:rsidRPr="00013CF8">
        <w:rPr>
          <w:rFonts w:asciiTheme="minorHAnsi" w:eastAsiaTheme="minorHAnsi" w:hAnsiTheme="minorHAnsi" w:cstheme="minorHAnsi"/>
          <w:sz w:val="22"/>
          <w:szCs w:val="22"/>
          <w:lang w:eastAsia="en-CA"/>
        </w:rPr>
        <w:t xml:space="preserve"> l’ensemble des organisations de la fonction publique fédérale.</w:t>
      </w:r>
    </w:p>
    <w:p w14:paraId="49D669C9" w14:textId="4D15D76D" w:rsidR="007B1B27" w:rsidRPr="00013CF8" w:rsidRDefault="00E66593" w:rsidP="00013CF8">
      <w:pPr>
        <w:numPr>
          <w:ilvl w:val="0"/>
          <w:numId w:val="6"/>
        </w:numPr>
        <w:spacing w:line="259" w:lineRule="auto"/>
        <w:rPr>
          <w:rFonts w:asciiTheme="minorHAnsi" w:eastAsiaTheme="minorHAnsi" w:hAnsiTheme="minorHAnsi" w:cstheme="minorHAnsi"/>
          <w:sz w:val="22"/>
          <w:szCs w:val="22"/>
          <w:lang w:eastAsia="en-CA"/>
        </w:rPr>
      </w:pPr>
      <w:r w:rsidRPr="00013CF8">
        <w:rPr>
          <w:rFonts w:asciiTheme="minorHAnsi" w:eastAsiaTheme="minorHAnsi" w:hAnsiTheme="minorHAnsi" w:cstheme="minorHAnsi"/>
          <w:sz w:val="22"/>
          <w:szCs w:val="22"/>
          <w:lang w:eastAsia="en-CA"/>
        </w:rPr>
        <w:t xml:space="preserve">59,5 % des </w:t>
      </w:r>
      <w:r w:rsidRPr="00013CF8">
        <w:rPr>
          <w:rStyle w:val="Strong"/>
          <w:rFonts w:eastAsiaTheme="minorHAnsi"/>
        </w:rPr>
        <w:t>gestionnaires</w:t>
      </w:r>
      <w:r w:rsidRPr="00013CF8">
        <w:rPr>
          <w:rFonts w:asciiTheme="minorHAnsi" w:eastAsiaTheme="minorHAnsi" w:hAnsiTheme="minorHAnsi" w:cstheme="minorHAnsi"/>
          <w:sz w:val="22"/>
          <w:szCs w:val="22"/>
          <w:lang w:eastAsia="en-CA"/>
        </w:rPr>
        <w:t xml:space="preserve"> ont indiqué que la NOD a amélioré </w:t>
      </w:r>
      <w:r w:rsidR="00364A6A" w:rsidRPr="00013CF8">
        <w:rPr>
          <w:rFonts w:asciiTheme="minorHAnsi" w:eastAsiaTheme="minorHAnsi" w:hAnsiTheme="minorHAnsi" w:cstheme="minorHAnsi"/>
          <w:sz w:val="22"/>
          <w:szCs w:val="22"/>
          <w:lang w:eastAsia="en-CA"/>
        </w:rPr>
        <w:t>la façon d’embaucher et de nommer</w:t>
      </w:r>
      <w:r w:rsidR="00B86EAA" w:rsidRPr="00013CF8">
        <w:rPr>
          <w:rFonts w:asciiTheme="minorHAnsi" w:eastAsiaTheme="minorHAnsi" w:hAnsiTheme="minorHAnsi" w:cstheme="minorHAnsi"/>
          <w:sz w:val="22"/>
          <w:szCs w:val="22"/>
          <w:lang w:eastAsia="en-CA"/>
        </w:rPr>
        <w:t xml:space="preserve"> des candidats </w:t>
      </w:r>
      <w:r w:rsidR="00364A6A" w:rsidRPr="00013CF8">
        <w:rPr>
          <w:rFonts w:asciiTheme="minorHAnsi" w:eastAsiaTheme="minorHAnsi" w:hAnsiTheme="minorHAnsi" w:cstheme="minorHAnsi"/>
          <w:sz w:val="22"/>
          <w:szCs w:val="22"/>
          <w:lang w:eastAsia="en-CA"/>
        </w:rPr>
        <w:t>au sein de</w:t>
      </w:r>
      <w:r w:rsidR="00B86EAA" w:rsidRPr="00013CF8">
        <w:rPr>
          <w:rFonts w:asciiTheme="minorHAnsi" w:eastAsiaTheme="minorHAnsi" w:hAnsiTheme="minorHAnsi" w:cstheme="minorHAnsi"/>
          <w:sz w:val="22"/>
          <w:szCs w:val="22"/>
          <w:lang w:eastAsia="en-CA"/>
        </w:rPr>
        <w:t xml:space="preserve"> leur organisation, comparativement à 68,4 % </w:t>
      </w:r>
      <w:r w:rsidR="00364A6A" w:rsidRPr="00013CF8">
        <w:rPr>
          <w:rFonts w:asciiTheme="minorHAnsi" w:eastAsiaTheme="minorHAnsi" w:hAnsiTheme="minorHAnsi" w:cstheme="minorHAnsi"/>
          <w:sz w:val="22"/>
          <w:szCs w:val="22"/>
          <w:lang w:eastAsia="en-CA"/>
        </w:rPr>
        <w:t xml:space="preserve">pour les organisations de taille </w:t>
      </w:r>
      <w:r w:rsidR="005009EC" w:rsidRPr="00013CF8">
        <w:rPr>
          <w:rFonts w:asciiTheme="minorHAnsi" w:eastAsiaTheme="minorHAnsi" w:hAnsiTheme="minorHAnsi" w:cstheme="minorHAnsi"/>
          <w:sz w:val="22"/>
          <w:szCs w:val="22"/>
          <w:lang w:eastAsia="en-CA"/>
        </w:rPr>
        <w:t>semblable</w:t>
      </w:r>
      <w:r w:rsidR="00B86EAA" w:rsidRPr="00013CF8">
        <w:rPr>
          <w:rFonts w:asciiTheme="minorHAnsi" w:eastAsiaTheme="minorHAnsi" w:hAnsiTheme="minorHAnsi" w:cstheme="minorHAnsi"/>
          <w:sz w:val="22"/>
          <w:szCs w:val="22"/>
          <w:lang w:eastAsia="en-CA"/>
        </w:rPr>
        <w:t xml:space="preserve"> et à 56,1 % </w:t>
      </w:r>
      <w:r w:rsidR="005009EC" w:rsidRPr="00013CF8">
        <w:rPr>
          <w:rFonts w:asciiTheme="minorHAnsi" w:eastAsiaTheme="minorHAnsi" w:hAnsiTheme="minorHAnsi" w:cstheme="minorHAnsi"/>
          <w:sz w:val="22"/>
          <w:szCs w:val="22"/>
          <w:lang w:eastAsia="en-CA"/>
        </w:rPr>
        <w:t>pour</w:t>
      </w:r>
      <w:r w:rsidR="00B86EAA" w:rsidRPr="00013CF8">
        <w:rPr>
          <w:rFonts w:asciiTheme="minorHAnsi" w:eastAsiaTheme="minorHAnsi" w:hAnsiTheme="minorHAnsi" w:cstheme="minorHAnsi"/>
          <w:sz w:val="22"/>
          <w:szCs w:val="22"/>
          <w:lang w:eastAsia="en-CA"/>
        </w:rPr>
        <w:t xml:space="preserve"> l’ensemble des organisations de la fonction publique fédérale.</w:t>
      </w:r>
    </w:p>
    <w:p w14:paraId="41A51C6F" w14:textId="4722E17B" w:rsidR="007B1B27" w:rsidRPr="00013CF8" w:rsidRDefault="00B86EAA" w:rsidP="00013CF8">
      <w:pPr>
        <w:numPr>
          <w:ilvl w:val="0"/>
          <w:numId w:val="6"/>
        </w:numPr>
        <w:spacing w:line="259" w:lineRule="auto"/>
        <w:rPr>
          <w:rFonts w:asciiTheme="minorHAnsi" w:eastAsiaTheme="minorHAnsi" w:hAnsiTheme="minorHAnsi" w:cstheme="minorHAnsi"/>
          <w:sz w:val="22"/>
          <w:szCs w:val="22"/>
          <w:lang w:eastAsia="en-CA"/>
        </w:rPr>
      </w:pPr>
      <w:r w:rsidRPr="00013CF8">
        <w:rPr>
          <w:rFonts w:asciiTheme="minorHAnsi" w:eastAsiaTheme="minorHAnsi" w:hAnsiTheme="minorHAnsi" w:cstheme="minorHAnsi"/>
          <w:sz w:val="22"/>
          <w:szCs w:val="22"/>
          <w:lang w:eastAsia="en-CA"/>
        </w:rPr>
        <w:t xml:space="preserve">83,6 % des </w:t>
      </w:r>
      <w:r w:rsidRPr="00013CF8">
        <w:rPr>
          <w:rStyle w:val="Strong"/>
          <w:rFonts w:eastAsiaTheme="minorHAnsi"/>
        </w:rPr>
        <w:t>gestionnaires</w:t>
      </w:r>
      <w:r w:rsidRPr="00013CF8">
        <w:rPr>
          <w:rFonts w:asciiTheme="minorHAnsi" w:eastAsiaTheme="minorHAnsi" w:hAnsiTheme="minorHAnsi" w:cstheme="minorHAnsi"/>
          <w:sz w:val="22"/>
          <w:szCs w:val="22"/>
          <w:lang w:eastAsia="en-CA"/>
        </w:rPr>
        <w:t xml:space="preserve"> ont indiqué qu’ils compre</w:t>
      </w:r>
      <w:r w:rsidR="00364A6A" w:rsidRPr="00013CF8">
        <w:rPr>
          <w:rFonts w:asciiTheme="minorHAnsi" w:eastAsiaTheme="minorHAnsi" w:hAnsiTheme="minorHAnsi" w:cstheme="minorHAnsi"/>
          <w:sz w:val="22"/>
          <w:szCs w:val="22"/>
          <w:lang w:eastAsia="en-CA"/>
        </w:rPr>
        <w:t>nnent</w:t>
      </w:r>
      <w:r w:rsidRPr="00013CF8">
        <w:rPr>
          <w:rFonts w:asciiTheme="minorHAnsi" w:eastAsiaTheme="minorHAnsi" w:hAnsiTheme="minorHAnsi" w:cstheme="minorHAnsi"/>
          <w:sz w:val="22"/>
          <w:szCs w:val="22"/>
          <w:lang w:eastAsia="en-CA"/>
        </w:rPr>
        <w:t xml:space="preserve"> les politiques de leur organisation en matière de dotation, comparativement à 82,2 % </w:t>
      </w:r>
      <w:r w:rsidR="005009EC" w:rsidRPr="00013CF8">
        <w:rPr>
          <w:rFonts w:asciiTheme="minorHAnsi" w:eastAsiaTheme="minorHAnsi" w:hAnsiTheme="minorHAnsi" w:cstheme="minorHAnsi"/>
          <w:sz w:val="22"/>
          <w:szCs w:val="22"/>
          <w:lang w:eastAsia="en-CA"/>
        </w:rPr>
        <w:t>pour les</w:t>
      </w:r>
      <w:r w:rsidRPr="00013CF8">
        <w:rPr>
          <w:rFonts w:asciiTheme="minorHAnsi" w:eastAsiaTheme="minorHAnsi" w:hAnsiTheme="minorHAnsi" w:cstheme="minorHAnsi"/>
          <w:sz w:val="22"/>
          <w:szCs w:val="22"/>
          <w:lang w:eastAsia="en-CA"/>
        </w:rPr>
        <w:t xml:space="preserve"> organisations de taille semblable et à 73,1 % </w:t>
      </w:r>
      <w:r w:rsidR="005009EC" w:rsidRPr="00013CF8">
        <w:rPr>
          <w:rFonts w:asciiTheme="minorHAnsi" w:eastAsiaTheme="minorHAnsi" w:hAnsiTheme="minorHAnsi" w:cstheme="minorHAnsi"/>
          <w:sz w:val="22"/>
          <w:szCs w:val="22"/>
          <w:lang w:eastAsia="en-CA"/>
        </w:rPr>
        <w:t>pour l</w:t>
      </w:r>
      <w:r w:rsidRPr="00013CF8">
        <w:rPr>
          <w:rFonts w:asciiTheme="minorHAnsi" w:eastAsiaTheme="minorHAnsi" w:hAnsiTheme="minorHAnsi" w:cstheme="minorHAnsi"/>
          <w:sz w:val="22"/>
          <w:szCs w:val="22"/>
          <w:lang w:eastAsia="en-CA"/>
        </w:rPr>
        <w:t>’ensemble des organisations de la fonction publique fédérale.</w:t>
      </w:r>
    </w:p>
    <w:p w14:paraId="7640B50C" w14:textId="12BBB4B2" w:rsidR="007B1B27" w:rsidRPr="00013CF8" w:rsidRDefault="00B86EAA" w:rsidP="00013CF8">
      <w:pPr>
        <w:numPr>
          <w:ilvl w:val="0"/>
          <w:numId w:val="6"/>
        </w:numPr>
        <w:spacing w:after="120" w:line="259" w:lineRule="auto"/>
        <w:rPr>
          <w:rFonts w:asciiTheme="minorHAnsi" w:eastAsiaTheme="minorHAnsi" w:hAnsiTheme="minorHAnsi" w:cstheme="minorHAnsi"/>
          <w:sz w:val="22"/>
          <w:szCs w:val="22"/>
          <w:lang w:eastAsia="en-CA"/>
        </w:rPr>
      </w:pPr>
      <w:r w:rsidRPr="00013CF8">
        <w:rPr>
          <w:rFonts w:asciiTheme="minorHAnsi" w:eastAsiaTheme="minorHAnsi" w:hAnsiTheme="minorHAnsi" w:cstheme="minorHAnsi"/>
          <w:sz w:val="22"/>
          <w:szCs w:val="22"/>
          <w:lang w:eastAsia="en-CA"/>
        </w:rPr>
        <w:t xml:space="preserve">62,4 % des </w:t>
      </w:r>
      <w:r w:rsidRPr="00013CF8">
        <w:rPr>
          <w:rStyle w:val="Strong"/>
          <w:rFonts w:eastAsiaTheme="minorHAnsi"/>
        </w:rPr>
        <w:t>employés</w:t>
      </w:r>
      <w:r w:rsidRPr="00013CF8">
        <w:rPr>
          <w:rFonts w:asciiTheme="minorHAnsi" w:eastAsiaTheme="minorHAnsi" w:hAnsiTheme="minorHAnsi" w:cstheme="minorHAnsi"/>
          <w:sz w:val="22"/>
          <w:szCs w:val="22"/>
          <w:lang w:eastAsia="en-CA"/>
        </w:rPr>
        <w:t xml:space="preserve"> ont convenu que le processus de sélection des personnes pour les postes de leur unité de travail se fait de façon équitable, comparativement à 59,1 % </w:t>
      </w:r>
      <w:r w:rsidR="00C07681" w:rsidRPr="00013CF8">
        <w:rPr>
          <w:rFonts w:asciiTheme="minorHAnsi" w:eastAsiaTheme="minorHAnsi" w:hAnsiTheme="minorHAnsi" w:cstheme="minorHAnsi"/>
          <w:sz w:val="22"/>
          <w:szCs w:val="22"/>
          <w:lang w:eastAsia="en-CA"/>
        </w:rPr>
        <w:t>pour les</w:t>
      </w:r>
      <w:r w:rsidRPr="00013CF8">
        <w:rPr>
          <w:rFonts w:asciiTheme="minorHAnsi" w:eastAsiaTheme="minorHAnsi" w:hAnsiTheme="minorHAnsi" w:cstheme="minorHAnsi"/>
          <w:sz w:val="22"/>
          <w:szCs w:val="22"/>
          <w:lang w:eastAsia="en-CA"/>
        </w:rPr>
        <w:t xml:space="preserve"> organisations de taille semblable et à 46,4 % </w:t>
      </w:r>
      <w:r w:rsidR="00C07681" w:rsidRPr="00013CF8">
        <w:rPr>
          <w:rFonts w:asciiTheme="minorHAnsi" w:eastAsiaTheme="minorHAnsi" w:hAnsiTheme="minorHAnsi" w:cstheme="minorHAnsi"/>
          <w:sz w:val="22"/>
          <w:szCs w:val="22"/>
          <w:lang w:eastAsia="en-CA"/>
        </w:rPr>
        <w:t>pour</w:t>
      </w:r>
      <w:r w:rsidRPr="00013CF8">
        <w:rPr>
          <w:rFonts w:asciiTheme="minorHAnsi" w:eastAsiaTheme="minorHAnsi" w:hAnsiTheme="minorHAnsi" w:cstheme="minorHAnsi"/>
          <w:sz w:val="22"/>
          <w:szCs w:val="22"/>
          <w:lang w:eastAsia="en-CA"/>
        </w:rPr>
        <w:t xml:space="preserve"> l’ensemble des organisations de la fonction publique fédérale.</w:t>
      </w:r>
    </w:p>
    <w:p w14:paraId="2B6E8EB0" w14:textId="51445612" w:rsidR="007B1B27" w:rsidRPr="00013CF8" w:rsidRDefault="00B86EAA" w:rsidP="00013CF8">
      <w:pPr>
        <w:pStyle w:val="Heading1"/>
        <w:spacing w:after="120"/>
      </w:pPr>
      <w:r w:rsidRPr="00013CF8">
        <w:rPr>
          <w:rStyle w:val="Heading1Char"/>
          <w:color w:val="auto"/>
        </w:rPr>
        <w:t>Profil de diversité</w:t>
      </w:r>
    </w:p>
    <w:p w14:paraId="4B64BD32" w14:textId="6F522128" w:rsidR="007B1B27" w:rsidRPr="00013CF8" w:rsidRDefault="00B86EAA"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Le </w:t>
      </w:r>
      <w:r w:rsidR="008E5FD6" w:rsidRPr="00013CF8">
        <w:rPr>
          <w:rFonts w:asciiTheme="minorHAnsi" w:hAnsiTheme="minorHAnsi" w:cstheme="minorHAnsi"/>
          <w:sz w:val="22"/>
          <w:szCs w:val="22"/>
          <w:lang w:val="fr-CA"/>
        </w:rPr>
        <w:t xml:space="preserve">taux de représentation des femmes, des personnes handicapées et des membres de minorités visibles au </w:t>
      </w:r>
      <w:r w:rsidR="00141F94" w:rsidRPr="00013CF8">
        <w:rPr>
          <w:rFonts w:asciiTheme="minorHAnsi" w:hAnsiTheme="minorHAnsi" w:cstheme="minorHAnsi"/>
          <w:sz w:val="22"/>
          <w:szCs w:val="22"/>
          <w:lang w:val="fr-CA"/>
        </w:rPr>
        <w:t>SCDATA</w:t>
      </w:r>
      <w:r w:rsidR="008E5FD6" w:rsidRPr="00013CF8">
        <w:rPr>
          <w:rFonts w:asciiTheme="minorHAnsi" w:hAnsiTheme="minorHAnsi" w:cstheme="minorHAnsi"/>
          <w:sz w:val="22"/>
          <w:szCs w:val="22"/>
          <w:lang w:val="fr-CA"/>
        </w:rPr>
        <w:t xml:space="preserve"> est supérieur à leur taux de disponibilité au sein de la population active.</w:t>
      </w:r>
      <w:r w:rsidRPr="00013CF8">
        <w:rPr>
          <w:rFonts w:asciiTheme="minorHAnsi" w:hAnsiTheme="minorHAnsi" w:cstheme="minorHAnsi"/>
          <w:sz w:val="22"/>
          <w:szCs w:val="22"/>
          <w:lang w:val="fr-CA"/>
        </w:rPr>
        <w:t xml:space="preserve"> </w:t>
      </w:r>
      <w:r w:rsidR="00BA2036" w:rsidRPr="00013CF8">
        <w:rPr>
          <w:rFonts w:asciiTheme="minorHAnsi" w:hAnsiTheme="minorHAnsi" w:cstheme="minorHAnsi"/>
          <w:sz w:val="22"/>
          <w:szCs w:val="22"/>
          <w:lang w:val="fr-CA"/>
        </w:rPr>
        <w:t xml:space="preserve">Les </w:t>
      </w:r>
      <w:r w:rsidR="00C07681" w:rsidRPr="00013CF8">
        <w:rPr>
          <w:rFonts w:asciiTheme="minorHAnsi" w:hAnsiTheme="minorHAnsi" w:cstheme="minorHAnsi"/>
          <w:sz w:val="22"/>
          <w:szCs w:val="22"/>
          <w:lang w:val="fr-CA"/>
        </w:rPr>
        <w:t>Autochtones sont toutefois sous</w:t>
      </w:r>
      <w:r w:rsidR="00C07681" w:rsidRPr="00013CF8">
        <w:rPr>
          <w:rFonts w:asciiTheme="minorHAnsi" w:hAnsiTheme="minorHAnsi" w:cstheme="minorHAnsi"/>
          <w:sz w:val="22"/>
          <w:szCs w:val="22"/>
          <w:lang w:val="fr-CA"/>
        </w:rPr>
        <w:noBreakHyphen/>
        <w:t>représentés : ils comptent pour</w:t>
      </w:r>
      <w:r w:rsidRPr="00013CF8">
        <w:rPr>
          <w:rFonts w:asciiTheme="minorHAnsi" w:hAnsiTheme="minorHAnsi" w:cstheme="minorHAnsi"/>
          <w:sz w:val="22"/>
          <w:szCs w:val="22"/>
          <w:lang w:val="fr-CA"/>
        </w:rPr>
        <w:t xml:space="preserve"> </w:t>
      </w:r>
      <w:r w:rsidR="00BA2036" w:rsidRPr="00013CF8">
        <w:rPr>
          <w:rFonts w:asciiTheme="minorHAnsi" w:hAnsiTheme="minorHAnsi" w:cstheme="minorHAnsi"/>
          <w:sz w:val="22"/>
          <w:szCs w:val="22"/>
          <w:lang w:val="fr-CA"/>
        </w:rPr>
        <w:t>3,1 % de l’effectif,</w:t>
      </w:r>
      <w:r w:rsidRPr="00013CF8">
        <w:rPr>
          <w:rFonts w:asciiTheme="minorHAnsi" w:hAnsiTheme="minorHAnsi" w:cstheme="minorHAnsi"/>
          <w:sz w:val="22"/>
          <w:szCs w:val="22"/>
          <w:lang w:val="fr-CA"/>
        </w:rPr>
        <w:t xml:space="preserve"> </w:t>
      </w:r>
      <w:r w:rsidR="00C07681" w:rsidRPr="00013CF8">
        <w:rPr>
          <w:rFonts w:asciiTheme="minorHAnsi" w:hAnsiTheme="minorHAnsi" w:cstheme="minorHAnsi"/>
          <w:sz w:val="22"/>
          <w:szCs w:val="22"/>
          <w:lang w:val="fr-CA"/>
        </w:rPr>
        <w:t xml:space="preserve">alors que leur </w:t>
      </w:r>
      <w:r w:rsidRPr="00013CF8">
        <w:rPr>
          <w:rFonts w:asciiTheme="minorHAnsi" w:hAnsiTheme="minorHAnsi" w:cstheme="minorHAnsi"/>
          <w:sz w:val="22"/>
          <w:szCs w:val="22"/>
          <w:lang w:val="fr-CA"/>
        </w:rPr>
        <w:t xml:space="preserve">disponibilité au sein </w:t>
      </w:r>
      <w:r w:rsidR="00420DA7" w:rsidRPr="00013CF8">
        <w:rPr>
          <w:rFonts w:asciiTheme="minorHAnsi" w:hAnsiTheme="minorHAnsi" w:cstheme="minorHAnsi"/>
          <w:sz w:val="22"/>
          <w:szCs w:val="22"/>
          <w:lang w:val="fr-CA"/>
        </w:rPr>
        <w:t>de l’effectif</w:t>
      </w:r>
      <w:r w:rsidRPr="00013CF8">
        <w:rPr>
          <w:rFonts w:asciiTheme="minorHAnsi" w:hAnsiTheme="minorHAnsi" w:cstheme="minorHAnsi"/>
          <w:sz w:val="22"/>
          <w:szCs w:val="22"/>
          <w:lang w:val="fr-CA"/>
        </w:rPr>
        <w:t xml:space="preserve"> d</w:t>
      </w:r>
      <w:r w:rsidR="00BA2036" w:rsidRPr="00013CF8">
        <w:rPr>
          <w:rFonts w:asciiTheme="minorHAnsi" w:hAnsiTheme="minorHAnsi" w:cstheme="minorHAnsi"/>
          <w:sz w:val="22"/>
          <w:szCs w:val="22"/>
          <w:lang w:val="fr-CA"/>
        </w:rPr>
        <w:t>e</w:t>
      </w:r>
      <w:r w:rsidR="00C07681" w:rsidRPr="00013CF8">
        <w:rPr>
          <w:rFonts w:asciiTheme="minorHAnsi" w:hAnsiTheme="minorHAnsi" w:cstheme="minorHAnsi"/>
          <w:sz w:val="22"/>
          <w:szCs w:val="22"/>
          <w:lang w:val="fr-CA"/>
        </w:rPr>
        <w:t xml:space="preserve"> la fonction publique </w:t>
      </w:r>
      <w:r w:rsidRPr="00013CF8">
        <w:rPr>
          <w:rFonts w:asciiTheme="minorHAnsi" w:hAnsiTheme="minorHAnsi" w:cstheme="minorHAnsi"/>
          <w:sz w:val="22"/>
          <w:szCs w:val="22"/>
          <w:lang w:val="fr-CA"/>
        </w:rPr>
        <w:t>est de 3,4 %.</w:t>
      </w:r>
    </w:p>
    <w:p w14:paraId="09A4063D" w14:textId="679F0522" w:rsidR="007B1B27" w:rsidRPr="00013CF8" w:rsidRDefault="00070F28"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Les estimations de 2019 sur la disponibilité </w:t>
      </w:r>
      <w:r w:rsidR="008E5FD6" w:rsidRPr="00013CF8">
        <w:rPr>
          <w:rFonts w:asciiTheme="minorHAnsi" w:hAnsiTheme="minorHAnsi" w:cstheme="minorHAnsi"/>
          <w:sz w:val="22"/>
          <w:szCs w:val="22"/>
          <w:lang w:val="fr-CA"/>
        </w:rPr>
        <w:t>au sein de la</w:t>
      </w:r>
      <w:r w:rsidRPr="00013CF8">
        <w:rPr>
          <w:rFonts w:asciiTheme="minorHAnsi" w:hAnsiTheme="minorHAnsi" w:cstheme="minorHAnsi"/>
          <w:sz w:val="22"/>
          <w:szCs w:val="22"/>
          <w:lang w:val="fr-CA"/>
        </w:rPr>
        <w:t xml:space="preserve"> population active de la fonction publique ont été mises à jour dans l</w:t>
      </w:r>
      <w:r w:rsidR="000C1CC6" w:rsidRPr="00013CF8">
        <w:rPr>
          <w:rFonts w:asciiTheme="minorHAnsi" w:hAnsiTheme="minorHAnsi" w:cstheme="minorHAnsi"/>
          <w:sz w:val="22"/>
          <w:szCs w:val="22"/>
          <w:lang w:val="fr-CA"/>
        </w:rPr>
        <w:t xml:space="preserve">a section portant sur le </w:t>
      </w:r>
      <w:r w:rsidR="00C07681" w:rsidRPr="00013CF8">
        <w:rPr>
          <w:rFonts w:asciiTheme="minorHAnsi" w:hAnsiTheme="minorHAnsi" w:cstheme="minorHAnsi"/>
          <w:sz w:val="22"/>
          <w:szCs w:val="22"/>
          <w:lang w:val="fr-CA"/>
        </w:rPr>
        <w:t>p</w:t>
      </w:r>
      <w:r w:rsidR="000C1CC6" w:rsidRPr="00013CF8">
        <w:rPr>
          <w:rFonts w:asciiTheme="minorHAnsi" w:hAnsiTheme="minorHAnsi" w:cstheme="minorHAnsi"/>
          <w:sz w:val="22"/>
          <w:szCs w:val="22"/>
          <w:lang w:val="fr-CA"/>
        </w:rPr>
        <w:t>rofil</w:t>
      </w:r>
      <w:r w:rsidR="00C07681" w:rsidRPr="00013CF8">
        <w:rPr>
          <w:rFonts w:asciiTheme="minorHAnsi" w:hAnsiTheme="minorHAnsi" w:cstheme="minorHAnsi"/>
          <w:sz w:val="22"/>
          <w:szCs w:val="22"/>
          <w:lang w:val="fr-CA"/>
        </w:rPr>
        <w:t xml:space="preserve"> de l’effectif</w:t>
      </w:r>
      <w:r w:rsidRPr="00013CF8">
        <w:rPr>
          <w:rFonts w:asciiTheme="minorHAnsi" w:hAnsiTheme="minorHAnsi" w:cstheme="minorHAnsi"/>
          <w:sz w:val="22"/>
          <w:szCs w:val="22"/>
          <w:lang w:val="fr-CA"/>
        </w:rPr>
        <w:t>, mais elles n’ont pas encore été diffusées de façon officielle.</w:t>
      </w:r>
    </w:p>
    <w:p w14:paraId="55CD3D85" w14:textId="41F1078E" w:rsidR="007B1B27" w:rsidRPr="00013CF8" w:rsidRDefault="00070F28"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L’organisation devrait </w:t>
      </w:r>
      <w:r w:rsidR="000C1CC6" w:rsidRPr="00013CF8">
        <w:rPr>
          <w:rFonts w:asciiTheme="minorHAnsi" w:hAnsiTheme="minorHAnsi" w:cstheme="minorHAnsi"/>
          <w:sz w:val="22"/>
          <w:szCs w:val="22"/>
          <w:lang w:val="fr-CA"/>
        </w:rPr>
        <w:t>prendre des mesures pour combler l’écart</w:t>
      </w:r>
      <w:r w:rsidRPr="00013CF8">
        <w:rPr>
          <w:rFonts w:asciiTheme="minorHAnsi" w:hAnsiTheme="minorHAnsi" w:cstheme="minorHAnsi"/>
          <w:sz w:val="22"/>
          <w:szCs w:val="22"/>
          <w:lang w:val="fr-CA"/>
        </w:rPr>
        <w:t xml:space="preserve"> lié au groupe sous</w:t>
      </w:r>
      <w:r w:rsidRPr="00013CF8">
        <w:rPr>
          <w:rFonts w:asciiTheme="minorHAnsi" w:hAnsiTheme="minorHAnsi" w:cstheme="minorHAnsi"/>
          <w:sz w:val="22"/>
          <w:szCs w:val="22"/>
          <w:lang w:val="fr-CA"/>
        </w:rPr>
        <w:noBreakHyphen/>
        <w:t xml:space="preserve">représenté </w:t>
      </w:r>
      <w:r w:rsidR="000C1CC6" w:rsidRPr="00013CF8">
        <w:rPr>
          <w:rFonts w:asciiTheme="minorHAnsi" w:hAnsiTheme="minorHAnsi" w:cstheme="minorHAnsi"/>
          <w:sz w:val="22"/>
          <w:szCs w:val="22"/>
          <w:lang w:val="fr-CA"/>
        </w:rPr>
        <w:t>afin d’</w:t>
      </w:r>
      <w:r w:rsidRPr="00013CF8">
        <w:rPr>
          <w:rFonts w:asciiTheme="minorHAnsi" w:hAnsiTheme="minorHAnsi" w:cstheme="minorHAnsi"/>
          <w:sz w:val="22"/>
          <w:szCs w:val="22"/>
          <w:lang w:val="fr-CA"/>
        </w:rPr>
        <w:t>assurer la représentativité continue de son effectif.</w:t>
      </w:r>
    </w:p>
    <w:p w14:paraId="4EB60045" w14:textId="23F64E49" w:rsidR="00503C89" w:rsidRPr="00503C89" w:rsidRDefault="00503C89" w:rsidP="00503C89">
      <w:pPr>
        <w:pStyle w:val="Caption"/>
        <w:keepNext/>
        <w:spacing w:after="0"/>
        <w:rPr>
          <w:rFonts w:asciiTheme="minorHAnsi" w:hAnsiTheme="minorHAnsi" w:cstheme="minorHAnsi"/>
          <w:i w:val="0"/>
          <w:color w:val="auto"/>
        </w:rPr>
      </w:pPr>
      <w:r w:rsidRPr="00503C89">
        <w:rPr>
          <w:rFonts w:asciiTheme="minorHAnsi" w:hAnsiTheme="minorHAnsi" w:cstheme="minorHAnsi"/>
          <w:i w:val="0"/>
          <w:color w:val="auto"/>
        </w:rPr>
        <w:lastRenderedPageBreak/>
        <w:t xml:space="preserve">Table </w:t>
      </w:r>
      <w:r w:rsidRPr="00503C89">
        <w:rPr>
          <w:rFonts w:asciiTheme="minorHAnsi" w:hAnsiTheme="minorHAnsi" w:cstheme="minorHAnsi"/>
          <w:i w:val="0"/>
          <w:color w:val="auto"/>
        </w:rPr>
        <w:fldChar w:fldCharType="begin"/>
      </w:r>
      <w:r w:rsidRPr="00503C89">
        <w:rPr>
          <w:rFonts w:asciiTheme="minorHAnsi" w:hAnsiTheme="minorHAnsi" w:cstheme="minorHAnsi"/>
          <w:i w:val="0"/>
          <w:color w:val="auto"/>
        </w:rPr>
        <w:instrText xml:space="preserve"> SEQ Table \* ARABIC </w:instrText>
      </w:r>
      <w:r w:rsidRPr="00503C89">
        <w:rPr>
          <w:rFonts w:asciiTheme="minorHAnsi" w:hAnsiTheme="minorHAnsi" w:cstheme="minorHAnsi"/>
          <w:i w:val="0"/>
          <w:color w:val="auto"/>
        </w:rPr>
        <w:fldChar w:fldCharType="separate"/>
      </w:r>
      <w:r w:rsidR="0009743A">
        <w:rPr>
          <w:rFonts w:asciiTheme="minorHAnsi" w:hAnsiTheme="minorHAnsi" w:cstheme="minorHAnsi"/>
          <w:i w:val="0"/>
          <w:noProof/>
          <w:color w:val="auto"/>
        </w:rPr>
        <w:t>2</w:t>
      </w:r>
      <w:r w:rsidRPr="00503C89">
        <w:rPr>
          <w:rFonts w:asciiTheme="minorHAnsi" w:hAnsiTheme="minorHAnsi" w:cstheme="minorHAnsi"/>
          <w:i w:val="0"/>
          <w:color w:val="auto"/>
        </w:rPr>
        <w:fldChar w:fldCharType="end"/>
      </w:r>
      <w:r w:rsidRPr="00503C89">
        <w:rPr>
          <w:rFonts w:asciiTheme="minorHAnsi" w:hAnsiTheme="minorHAnsi" w:cstheme="minorHAnsi"/>
          <w:i w:val="0"/>
          <w:color w:val="auto"/>
        </w:rPr>
        <w:t xml:space="preserve"> - Profil de diversité</w:t>
      </w:r>
    </w:p>
    <w:tbl>
      <w:tblPr>
        <w:tblStyle w:val="TableGrid"/>
        <w:tblW w:w="5000" w:type="pct"/>
        <w:jc w:val="center"/>
        <w:tblLook w:val="04A0" w:firstRow="1" w:lastRow="0" w:firstColumn="1" w:lastColumn="0" w:noHBand="0" w:noVBand="1"/>
        <w:tblDescription w:val="Profil de diversité"/>
      </w:tblPr>
      <w:tblGrid>
        <w:gridCol w:w="1708"/>
        <w:gridCol w:w="2115"/>
        <w:gridCol w:w="2246"/>
        <w:gridCol w:w="1819"/>
        <w:gridCol w:w="1734"/>
      </w:tblGrid>
      <w:tr w:rsidR="00503C89" w:rsidRPr="007D6167" w14:paraId="0D2590C0" w14:textId="77777777" w:rsidTr="00503C89">
        <w:trPr>
          <w:cantSplit/>
          <w:trHeight w:val="759"/>
          <w:tblHeader/>
          <w:jc w:val="center"/>
        </w:trPr>
        <w:tc>
          <w:tcPr>
            <w:tcW w:w="888"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42D3F9FA" w14:textId="77777777" w:rsidR="00503C89" w:rsidRPr="007D6167" w:rsidRDefault="00503C89" w:rsidP="00503C89">
            <w:pPr>
              <w:pStyle w:val="TableTitle"/>
              <w:rPr>
                <w:rFonts w:cs="Segoe UI Semibold"/>
                <w:color w:val="FFFFFF" w:themeColor="background1"/>
                <w:szCs w:val="22"/>
              </w:rPr>
            </w:pPr>
            <w:r w:rsidRPr="007D6167">
              <w:rPr>
                <w:rFonts w:cs="Segoe UI Semibold"/>
                <w:color w:val="FFFFFF" w:themeColor="background1"/>
                <w:szCs w:val="22"/>
              </w:rPr>
              <w:t>Groupe désigné</w:t>
            </w:r>
          </w:p>
        </w:tc>
        <w:tc>
          <w:tcPr>
            <w:tcW w:w="1099"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5929CFA0" w14:textId="77777777" w:rsidR="00503C89" w:rsidRPr="007D6167" w:rsidRDefault="00503C89" w:rsidP="00503C89">
            <w:pPr>
              <w:pStyle w:val="TableTitle"/>
              <w:rPr>
                <w:rFonts w:cs="Segoe UI Semibold"/>
                <w:color w:val="FFFFFF" w:themeColor="background1"/>
                <w:szCs w:val="22"/>
              </w:rPr>
            </w:pPr>
            <w:r w:rsidRPr="007D6167">
              <w:rPr>
                <w:rFonts w:cs="Segoe UI Semibold"/>
                <w:color w:val="FFFFFF" w:themeColor="background1"/>
                <w:szCs w:val="22"/>
              </w:rPr>
              <w:t>Disponibilité au sein de la population active (DPA) de la fonction publique</w:t>
            </w:r>
          </w:p>
        </w:tc>
        <w:tc>
          <w:tcPr>
            <w:tcW w:w="1167" w:type="pct"/>
            <w:tcBorders>
              <w:top w:val="single" w:sz="4" w:space="0" w:color="auto"/>
              <w:left w:val="single" w:sz="4" w:space="0" w:color="auto"/>
              <w:right w:val="single" w:sz="4" w:space="0" w:color="auto"/>
            </w:tcBorders>
            <w:shd w:val="clear" w:color="auto" w:fill="BF3C00" w:themeFill="accent4" w:themeFillShade="BF"/>
            <w:vAlign w:val="center"/>
            <w:hideMark/>
          </w:tcPr>
          <w:p w14:paraId="340F04DE" w14:textId="77777777" w:rsidR="00503C89" w:rsidRPr="007D6167" w:rsidRDefault="00503C89" w:rsidP="00503C89">
            <w:pPr>
              <w:pStyle w:val="TableTitle"/>
              <w:rPr>
                <w:rFonts w:cs="Segoe UI Semibold"/>
                <w:color w:val="FFFFFF" w:themeColor="background1"/>
                <w:szCs w:val="22"/>
              </w:rPr>
            </w:pPr>
            <w:r w:rsidRPr="007D6167">
              <w:rPr>
                <w:rFonts w:cs="Segoe UI Semibold"/>
                <w:color w:val="FFFFFF" w:themeColor="background1"/>
                <w:szCs w:val="22"/>
              </w:rPr>
              <w:t>Service canadien d’appui aux tribunaux administratifs</w:t>
            </w:r>
          </w:p>
        </w:tc>
        <w:tc>
          <w:tcPr>
            <w:tcW w:w="945"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3F3A8706" w14:textId="77777777" w:rsidR="00503C89" w:rsidRPr="007D6167" w:rsidRDefault="00503C89" w:rsidP="00503C89">
            <w:pPr>
              <w:pStyle w:val="TableTitle"/>
              <w:rPr>
                <w:rFonts w:cs="Segoe UI Semibold"/>
                <w:color w:val="FFFFFF" w:themeColor="background1"/>
                <w:szCs w:val="22"/>
              </w:rPr>
            </w:pPr>
            <w:r w:rsidRPr="007D6167">
              <w:rPr>
                <w:rFonts w:eastAsiaTheme="minorHAnsi" w:cs="Segoe UI Semibold"/>
                <w:color w:val="FFFFFF" w:themeColor="background1"/>
                <w:szCs w:val="22"/>
              </w:rPr>
              <w:t>Représentation dans l’ensemble de la fonction publique du Canada</w:t>
            </w:r>
          </w:p>
        </w:tc>
        <w:tc>
          <w:tcPr>
            <w:tcW w:w="901" w:type="pct"/>
            <w:shd w:val="clear" w:color="auto" w:fill="54575A" w:themeFill="text1"/>
            <w:vAlign w:val="center"/>
          </w:tcPr>
          <w:p w14:paraId="435ACADE" w14:textId="77777777" w:rsidR="00503C89" w:rsidRPr="007D6167" w:rsidRDefault="00503C89" w:rsidP="00503C89">
            <w:pPr>
              <w:pStyle w:val="TableTitle"/>
              <w:rPr>
                <w:rFonts w:cs="Segoe UI Semibold"/>
                <w:color w:val="FFFFFF" w:themeColor="background1"/>
                <w:szCs w:val="22"/>
              </w:rPr>
            </w:pPr>
            <w:r w:rsidRPr="007D6167">
              <w:rPr>
                <w:rFonts w:eastAsiaTheme="minorHAnsi" w:cs="Segoe UI Semibold"/>
                <w:color w:val="FFFFFF" w:themeColor="background1"/>
                <w:szCs w:val="22"/>
              </w:rPr>
              <w:t>Nouvelles données sur la DPA – 2019</w:t>
            </w:r>
          </w:p>
        </w:tc>
      </w:tr>
      <w:tr w:rsidR="00503C89" w:rsidRPr="00503C89" w14:paraId="2508661E" w14:textId="77777777" w:rsidTr="00C26AA6">
        <w:trPr>
          <w:cantSplit/>
          <w:trHeight w:val="507"/>
          <w:tblHeader/>
          <w:jc w:val="center"/>
        </w:trPr>
        <w:tc>
          <w:tcPr>
            <w:tcW w:w="888" w:type="pct"/>
            <w:tcBorders>
              <w:top w:val="single" w:sz="4" w:space="0" w:color="auto"/>
              <w:left w:val="single" w:sz="4" w:space="0" w:color="auto"/>
              <w:bottom w:val="single" w:sz="4" w:space="0" w:color="auto"/>
              <w:right w:val="single" w:sz="4" w:space="0" w:color="auto"/>
            </w:tcBorders>
            <w:hideMark/>
          </w:tcPr>
          <w:p w14:paraId="752ED104" w14:textId="77777777" w:rsidR="00503C89" w:rsidRPr="00503C89" w:rsidRDefault="00503C89" w:rsidP="00F565BF">
            <w:pPr>
              <w:rPr>
                <w:rFonts w:asciiTheme="minorHAnsi" w:hAnsiTheme="minorHAnsi" w:cstheme="minorHAnsi"/>
                <w:sz w:val="22"/>
              </w:rPr>
            </w:pPr>
            <w:r w:rsidRPr="00503C89">
              <w:rPr>
                <w:rFonts w:asciiTheme="minorHAnsi" w:hAnsiTheme="minorHAnsi" w:cstheme="minorHAnsi"/>
                <w:sz w:val="22"/>
              </w:rPr>
              <w:t>Femmes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0157A4B" w14:textId="77777777" w:rsidR="00503C89" w:rsidRPr="00503C89" w:rsidRDefault="00503C89" w:rsidP="00F565BF">
            <w:pPr>
              <w:jc w:val="center"/>
              <w:rPr>
                <w:rFonts w:asciiTheme="minorHAnsi" w:hAnsiTheme="minorHAnsi" w:cstheme="minorHAnsi"/>
                <w:sz w:val="22"/>
              </w:rPr>
            </w:pPr>
            <w:r w:rsidRPr="00503C89">
              <w:rPr>
                <w:rFonts w:asciiTheme="minorHAnsi" w:hAnsiTheme="minorHAnsi" w:cstheme="minorHAnsi"/>
                <w:sz w:val="22"/>
              </w:rPr>
              <w:t>52,5 %</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73016230"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65,4 %</w:t>
            </w:r>
          </w:p>
        </w:tc>
        <w:tc>
          <w:tcPr>
            <w:tcW w:w="945" w:type="pct"/>
            <w:tcBorders>
              <w:top w:val="single" w:sz="4" w:space="0" w:color="auto"/>
              <w:left w:val="single" w:sz="4" w:space="0" w:color="auto"/>
              <w:bottom w:val="single" w:sz="4" w:space="0" w:color="auto"/>
              <w:right w:val="single" w:sz="4" w:space="0" w:color="auto"/>
            </w:tcBorders>
            <w:hideMark/>
          </w:tcPr>
          <w:p w14:paraId="1720CE91"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54,8 %</w:t>
            </w:r>
          </w:p>
        </w:tc>
        <w:tc>
          <w:tcPr>
            <w:tcW w:w="901" w:type="pct"/>
            <w:vAlign w:val="center"/>
          </w:tcPr>
          <w:p w14:paraId="60A13F5B"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52,6 %</w:t>
            </w:r>
          </w:p>
        </w:tc>
      </w:tr>
      <w:tr w:rsidR="00503C89" w:rsidRPr="00503C89" w14:paraId="19CD5245" w14:textId="77777777" w:rsidTr="00C26AA6">
        <w:trPr>
          <w:cantSplit/>
          <w:trHeight w:val="543"/>
          <w:tblHeader/>
          <w:jc w:val="center"/>
        </w:trPr>
        <w:tc>
          <w:tcPr>
            <w:tcW w:w="888" w:type="pct"/>
            <w:tcBorders>
              <w:top w:val="single" w:sz="4" w:space="0" w:color="auto"/>
              <w:left w:val="single" w:sz="4" w:space="0" w:color="auto"/>
              <w:bottom w:val="single" w:sz="4" w:space="0" w:color="auto"/>
              <w:right w:val="single" w:sz="4" w:space="0" w:color="auto"/>
            </w:tcBorders>
            <w:hideMark/>
          </w:tcPr>
          <w:p w14:paraId="4E42617E" w14:textId="77777777" w:rsidR="00503C89" w:rsidRPr="00503C89" w:rsidRDefault="00503C89" w:rsidP="00F565BF">
            <w:pPr>
              <w:rPr>
                <w:rFonts w:asciiTheme="minorHAnsi" w:hAnsiTheme="minorHAnsi" w:cstheme="minorHAnsi"/>
                <w:sz w:val="22"/>
              </w:rPr>
            </w:pPr>
            <w:r w:rsidRPr="00503C89">
              <w:rPr>
                <w:rFonts w:asciiTheme="minorHAnsi" w:hAnsiTheme="minorHAnsi" w:cstheme="minorHAnsi"/>
                <w:sz w:val="22"/>
              </w:rPr>
              <w:t>Autochtones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63A2FB62" w14:textId="77777777" w:rsidR="00503C89" w:rsidRPr="00503C89" w:rsidRDefault="00503C89" w:rsidP="00F565BF">
            <w:pPr>
              <w:jc w:val="center"/>
              <w:rPr>
                <w:rFonts w:asciiTheme="minorHAnsi" w:hAnsiTheme="minorHAnsi" w:cstheme="minorHAnsi"/>
                <w:sz w:val="22"/>
              </w:rPr>
            </w:pPr>
            <w:r w:rsidRPr="00503C89">
              <w:rPr>
                <w:rFonts w:asciiTheme="minorHAnsi" w:hAnsiTheme="minorHAnsi" w:cstheme="minorHAnsi"/>
                <w:sz w:val="22"/>
              </w:rPr>
              <w:t>3,4 %</w:t>
            </w:r>
          </w:p>
        </w:tc>
        <w:tc>
          <w:tcPr>
            <w:tcW w:w="1167" w:type="pct"/>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7E92CBEB"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3,1 %</w:t>
            </w:r>
          </w:p>
        </w:tc>
        <w:tc>
          <w:tcPr>
            <w:tcW w:w="945" w:type="pct"/>
            <w:tcBorders>
              <w:top w:val="single" w:sz="4" w:space="0" w:color="auto"/>
              <w:left w:val="single" w:sz="4" w:space="0" w:color="auto"/>
              <w:bottom w:val="single" w:sz="4" w:space="0" w:color="auto"/>
              <w:right w:val="single" w:sz="4" w:space="0" w:color="auto"/>
            </w:tcBorders>
            <w:hideMark/>
          </w:tcPr>
          <w:p w14:paraId="60A5F719"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5,1 %</w:t>
            </w:r>
          </w:p>
        </w:tc>
        <w:tc>
          <w:tcPr>
            <w:tcW w:w="901" w:type="pct"/>
            <w:vAlign w:val="center"/>
          </w:tcPr>
          <w:p w14:paraId="5A055651"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4,0 %</w:t>
            </w:r>
          </w:p>
        </w:tc>
      </w:tr>
      <w:tr w:rsidR="00503C89" w:rsidRPr="00503C89" w14:paraId="053B814F" w14:textId="77777777" w:rsidTr="00503C89">
        <w:trPr>
          <w:cantSplit/>
          <w:trHeight w:val="598"/>
          <w:tblHeader/>
          <w:jc w:val="center"/>
        </w:trPr>
        <w:tc>
          <w:tcPr>
            <w:tcW w:w="888" w:type="pct"/>
            <w:tcBorders>
              <w:top w:val="single" w:sz="4" w:space="0" w:color="auto"/>
              <w:left w:val="single" w:sz="4" w:space="0" w:color="auto"/>
              <w:bottom w:val="single" w:sz="4" w:space="0" w:color="auto"/>
              <w:right w:val="single" w:sz="4" w:space="0" w:color="auto"/>
            </w:tcBorders>
            <w:hideMark/>
          </w:tcPr>
          <w:p w14:paraId="74D9E9AB" w14:textId="77777777" w:rsidR="00503C89" w:rsidRPr="00503C89" w:rsidRDefault="00503C89" w:rsidP="00F565BF">
            <w:pPr>
              <w:rPr>
                <w:rFonts w:asciiTheme="minorHAnsi" w:hAnsiTheme="minorHAnsi" w:cstheme="minorHAnsi"/>
                <w:sz w:val="22"/>
              </w:rPr>
            </w:pPr>
            <w:r w:rsidRPr="00503C89">
              <w:rPr>
                <w:rFonts w:asciiTheme="minorHAnsi" w:hAnsiTheme="minorHAnsi" w:cstheme="minorHAnsi"/>
                <w:sz w:val="22"/>
              </w:rPr>
              <w:t>Personnes handicapées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66E645B2" w14:textId="77777777" w:rsidR="00503C89" w:rsidRPr="00503C89" w:rsidRDefault="00503C89" w:rsidP="00F565BF">
            <w:pPr>
              <w:jc w:val="center"/>
              <w:rPr>
                <w:rFonts w:asciiTheme="minorHAnsi" w:hAnsiTheme="minorHAnsi" w:cstheme="minorHAnsi"/>
                <w:sz w:val="22"/>
              </w:rPr>
            </w:pPr>
            <w:r w:rsidRPr="00503C89">
              <w:rPr>
                <w:rFonts w:asciiTheme="minorHAnsi" w:hAnsiTheme="minorHAnsi" w:cstheme="minorHAnsi"/>
                <w:sz w:val="22"/>
              </w:rPr>
              <w:t>4,4 %</w:t>
            </w:r>
          </w:p>
        </w:tc>
        <w:tc>
          <w:tcPr>
            <w:tcW w:w="1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B22E"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6,6 %</w:t>
            </w:r>
          </w:p>
        </w:tc>
        <w:tc>
          <w:tcPr>
            <w:tcW w:w="945" w:type="pct"/>
            <w:tcBorders>
              <w:top w:val="single" w:sz="4" w:space="0" w:color="auto"/>
              <w:left w:val="single" w:sz="4" w:space="0" w:color="auto"/>
              <w:bottom w:val="single" w:sz="4" w:space="0" w:color="auto"/>
              <w:right w:val="single" w:sz="4" w:space="0" w:color="auto"/>
            </w:tcBorders>
            <w:vAlign w:val="center"/>
            <w:hideMark/>
          </w:tcPr>
          <w:p w14:paraId="211C537F"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5,3 %</w:t>
            </w:r>
          </w:p>
        </w:tc>
        <w:tc>
          <w:tcPr>
            <w:tcW w:w="901" w:type="pct"/>
            <w:vAlign w:val="center"/>
          </w:tcPr>
          <w:p w14:paraId="56BBFF3C"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9,0 %</w:t>
            </w:r>
          </w:p>
        </w:tc>
      </w:tr>
      <w:tr w:rsidR="00503C89" w:rsidRPr="00503C89" w14:paraId="672C3FE8" w14:textId="77777777" w:rsidTr="00503C89">
        <w:trPr>
          <w:cantSplit/>
          <w:trHeight w:val="404"/>
          <w:tblHeader/>
          <w:jc w:val="center"/>
        </w:trPr>
        <w:tc>
          <w:tcPr>
            <w:tcW w:w="888" w:type="pct"/>
            <w:tcBorders>
              <w:top w:val="single" w:sz="4" w:space="0" w:color="auto"/>
              <w:left w:val="single" w:sz="4" w:space="0" w:color="auto"/>
              <w:bottom w:val="single" w:sz="4" w:space="0" w:color="auto"/>
              <w:right w:val="single" w:sz="4" w:space="0" w:color="auto"/>
            </w:tcBorders>
            <w:hideMark/>
          </w:tcPr>
          <w:p w14:paraId="56DC6560" w14:textId="77777777" w:rsidR="00503C89" w:rsidRPr="00503C89" w:rsidRDefault="00503C89" w:rsidP="00F565BF">
            <w:pPr>
              <w:rPr>
                <w:rFonts w:asciiTheme="minorHAnsi" w:hAnsiTheme="minorHAnsi" w:cstheme="minorHAnsi"/>
                <w:sz w:val="22"/>
              </w:rPr>
            </w:pPr>
            <w:r w:rsidRPr="00503C89">
              <w:rPr>
                <w:rFonts w:asciiTheme="minorHAnsi" w:hAnsiTheme="minorHAnsi" w:cstheme="minorHAnsi"/>
                <w:sz w:val="22"/>
              </w:rPr>
              <w:t>Membres des minorités visibles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6029FE1F" w14:textId="77777777" w:rsidR="00503C89" w:rsidRPr="00503C89" w:rsidRDefault="00503C89" w:rsidP="00F565BF">
            <w:pPr>
              <w:jc w:val="center"/>
              <w:rPr>
                <w:rFonts w:asciiTheme="minorHAnsi" w:hAnsiTheme="minorHAnsi" w:cstheme="minorHAnsi"/>
                <w:sz w:val="22"/>
              </w:rPr>
            </w:pPr>
            <w:r w:rsidRPr="00503C89">
              <w:rPr>
                <w:rFonts w:asciiTheme="minorHAnsi" w:hAnsiTheme="minorHAnsi" w:cstheme="minorHAnsi"/>
                <w:sz w:val="22"/>
              </w:rPr>
              <w:t>13,0 %</w:t>
            </w:r>
          </w:p>
        </w:tc>
        <w:tc>
          <w:tcPr>
            <w:tcW w:w="1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DAD4"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13,9 %</w:t>
            </w:r>
          </w:p>
        </w:tc>
        <w:tc>
          <w:tcPr>
            <w:tcW w:w="945" w:type="pct"/>
            <w:tcBorders>
              <w:top w:val="single" w:sz="4" w:space="0" w:color="auto"/>
              <w:left w:val="single" w:sz="4" w:space="0" w:color="auto"/>
              <w:bottom w:val="single" w:sz="4" w:space="0" w:color="auto"/>
              <w:right w:val="single" w:sz="4" w:space="0" w:color="auto"/>
            </w:tcBorders>
            <w:vAlign w:val="center"/>
            <w:hideMark/>
          </w:tcPr>
          <w:p w14:paraId="1005E29E"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15,7 %</w:t>
            </w:r>
          </w:p>
        </w:tc>
        <w:tc>
          <w:tcPr>
            <w:tcW w:w="901" w:type="pct"/>
            <w:vAlign w:val="center"/>
          </w:tcPr>
          <w:p w14:paraId="4CD37494" w14:textId="77777777" w:rsidR="00503C89" w:rsidRPr="00503C89" w:rsidRDefault="00503C89" w:rsidP="00F565BF">
            <w:pPr>
              <w:autoSpaceDE w:val="0"/>
              <w:autoSpaceDN w:val="0"/>
              <w:adjustRightInd w:val="0"/>
              <w:jc w:val="center"/>
              <w:rPr>
                <w:rFonts w:asciiTheme="minorHAnsi" w:hAnsiTheme="minorHAnsi" w:cstheme="minorHAnsi"/>
                <w:sz w:val="22"/>
              </w:rPr>
            </w:pPr>
            <w:r w:rsidRPr="00503C89">
              <w:rPr>
                <w:rFonts w:asciiTheme="minorHAnsi" w:hAnsiTheme="minorHAnsi" w:cstheme="minorHAnsi"/>
                <w:sz w:val="22"/>
              </w:rPr>
              <w:t>15,3 %</w:t>
            </w:r>
          </w:p>
        </w:tc>
      </w:tr>
    </w:tbl>
    <w:p w14:paraId="279CA7EF" w14:textId="77777777" w:rsidR="00503C89" w:rsidRPr="00503C89" w:rsidRDefault="00503C89" w:rsidP="00503C89">
      <w:pPr>
        <w:spacing w:after="120"/>
        <w:rPr>
          <w:rFonts w:asciiTheme="minorHAnsi" w:eastAsiaTheme="minorHAnsi" w:hAnsiTheme="minorHAnsi" w:cstheme="minorHAnsi"/>
          <w:sz w:val="22"/>
        </w:rPr>
      </w:pPr>
      <w:r w:rsidRPr="00503C89">
        <w:rPr>
          <w:rFonts w:asciiTheme="minorHAnsi" w:hAnsiTheme="minorHAnsi" w:cstheme="minorHAnsi"/>
          <w:sz w:val="22"/>
        </w:rPr>
        <w:t xml:space="preserve">Source : </w:t>
      </w:r>
      <w:hyperlink r:id="rId8" w:history="1">
        <w:r w:rsidRPr="00503C89">
          <w:rPr>
            <w:rStyle w:val="Hyperlink"/>
            <w:rFonts w:asciiTheme="minorHAnsi" w:eastAsiaTheme="minorHAnsi" w:hAnsiTheme="minorHAnsi" w:cstheme="minorHAnsi"/>
            <w:sz w:val="22"/>
          </w:rPr>
          <w:t>L’équité en matière d’emploi dans la fonction publique du Canada, exercice 2017 à 2018</w:t>
        </w:r>
      </w:hyperlink>
      <w:r w:rsidRPr="00503C89">
        <w:rPr>
          <w:rFonts w:asciiTheme="minorHAnsi" w:eastAsiaTheme="minorHAnsi" w:hAnsiTheme="minorHAnsi" w:cstheme="minorHAnsi"/>
          <w:sz w:val="22"/>
        </w:rPr>
        <w:t xml:space="preserve">, Secrétariat du Conseil du Trésor du Canada </w:t>
      </w:r>
    </w:p>
    <w:p w14:paraId="3FE350F1" w14:textId="54C2FAF3" w:rsidR="00503C89" w:rsidRPr="00503C89" w:rsidRDefault="00503C89" w:rsidP="00503C89">
      <w:pPr>
        <w:spacing w:after="120"/>
        <w:rPr>
          <w:rFonts w:asciiTheme="minorHAnsi" w:hAnsiTheme="minorHAnsi" w:cstheme="minorHAnsi"/>
          <w:noProof/>
          <w:sz w:val="22"/>
          <w:highlight w:val="yellow"/>
          <w:lang w:eastAsia="en-CA"/>
        </w:rPr>
      </w:pPr>
      <w:r>
        <w:rPr>
          <w:rFonts w:asciiTheme="minorHAnsi" w:eastAsiaTheme="minorHAnsi" w:hAnsiTheme="minorHAnsi" w:cstheme="minorHAnsi"/>
          <w:sz w:val="22"/>
          <w:szCs w:val="22"/>
        </w:rPr>
        <w:t>Note</w:t>
      </w:r>
      <w:r w:rsidR="00C26AA6">
        <w:rPr>
          <w:rFonts w:asciiTheme="minorHAnsi" w:eastAsiaTheme="minorHAnsi" w:hAnsiTheme="minorHAnsi" w:cstheme="minorHAnsi"/>
          <w:sz w:val="22"/>
          <w:szCs w:val="22"/>
        </w:rPr>
        <w:t> : Les données sur l’équité en matière d’emploi</w:t>
      </w:r>
      <w:r w:rsidRPr="00503C89">
        <w:rPr>
          <w:rFonts w:asciiTheme="minorHAnsi" w:eastAsiaTheme="minorHAnsi" w:hAnsiTheme="minorHAnsi" w:cstheme="minorHAnsi"/>
          <w:sz w:val="22"/>
          <w:szCs w:val="22"/>
        </w:rPr>
        <w:t xml:space="preserve"> </w:t>
      </w:r>
      <w:r w:rsidR="00C26AA6">
        <w:rPr>
          <w:rFonts w:asciiTheme="minorHAnsi" w:eastAsiaTheme="minorHAnsi" w:hAnsiTheme="minorHAnsi" w:cstheme="minorHAnsi"/>
          <w:sz w:val="22"/>
          <w:szCs w:val="22"/>
        </w:rPr>
        <w:t xml:space="preserve">(EE) </w:t>
      </w:r>
      <w:r w:rsidRPr="00503C89">
        <w:rPr>
          <w:rFonts w:asciiTheme="minorHAnsi" w:eastAsiaTheme="minorHAnsi" w:hAnsiTheme="minorHAnsi" w:cstheme="minorHAnsi"/>
          <w:sz w:val="22"/>
          <w:szCs w:val="22"/>
        </w:rPr>
        <w:t>de l’organisation pour 2019 ne sont pas encore disponibles.</w:t>
      </w:r>
      <w:r w:rsidRPr="00503C89">
        <w:rPr>
          <w:rFonts w:asciiTheme="minorHAnsi" w:hAnsiTheme="minorHAnsi" w:cstheme="minorHAnsi"/>
          <w:noProof/>
          <w:highlight w:val="yellow"/>
          <w:lang w:eastAsia="en-CA"/>
        </w:rPr>
        <w:t xml:space="preserve"> </w:t>
      </w:r>
    </w:p>
    <w:p w14:paraId="6B57FD9F" w14:textId="60171D34" w:rsidR="007B1B27" w:rsidRPr="00013CF8" w:rsidRDefault="00070F28" w:rsidP="00013CF8">
      <w:pPr>
        <w:pStyle w:val="Heading1"/>
        <w:spacing w:after="120"/>
      </w:pPr>
      <w:r w:rsidRPr="00013CF8">
        <w:t>Droits de priorité et anciens combattants</w:t>
      </w:r>
    </w:p>
    <w:p w14:paraId="29A99B19" w14:textId="4217B3FE" w:rsidR="007B1B27" w:rsidRPr="00013CF8" w:rsidRDefault="00070F28"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Du 1</w:t>
      </w:r>
      <w:r w:rsidRPr="00013CF8">
        <w:rPr>
          <w:rFonts w:asciiTheme="minorHAnsi" w:hAnsiTheme="minorHAnsi" w:cstheme="minorHAnsi"/>
          <w:sz w:val="22"/>
          <w:szCs w:val="22"/>
          <w:vertAlign w:val="superscript"/>
          <w:lang w:val="fr-CA"/>
        </w:rPr>
        <w:t>er</w:t>
      </w:r>
      <w:r w:rsidRPr="00013CF8">
        <w:rPr>
          <w:rFonts w:asciiTheme="minorHAnsi" w:hAnsiTheme="minorHAnsi" w:cstheme="minorHAnsi"/>
          <w:sz w:val="22"/>
          <w:szCs w:val="22"/>
          <w:lang w:val="fr-CA"/>
        </w:rPr>
        <w:t> avril 2018 au 1</w:t>
      </w:r>
      <w:r w:rsidRPr="00013CF8">
        <w:rPr>
          <w:rFonts w:asciiTheme="minorHAnsi" w:hAnsiTheme="minorHAnsi" w:cstheme="minorHAnsi"/>
          <w:sz w:val="22"/>
          <w:szCs w:val="22"/>
          <w:vertAlign w:val="superscript"/>
          <w:lang w:val="fr-CA"/>
        </w:rPr>
        <w:t>er</w:t>
      </w:r>
      <w:r w:rsidRPr="00013CF8">
        <w:rPr>
          <w:rFonts w:asciiTheme="minorHAnsi" w:hAnsiTheme="minorHAnsi" w:cstheme="minorHAnsi"/>
          <w:sz w:val="22"/>
          <w:szCs w:val="22"/>
          <w:lang w:val="fr-CA"/>
        </w:rPr>
        <w:t xml:space="preserve"> août 2019, le </w:t>
      </w:r>
      <w:r w:rsidR="00141F94" w:rsidRPr="00013CF8">
        <w:rPr>
          <w:rFonts w:asciiTheme="minorHAnsi" w:hAnsiTheme="minorHAnsi" w:cstheme="minorHAnsi"/>
          <w:sz w:val="22"/>
          <w:szCs w:val="22"/>
          <w:lang w:val="fr-CA"/>
        </w:rPr>
        <w:t>SCDATA</w:t>
      </w:r>
      <w:r w:rsidRPr="00013CF8">
        <w:rPr>
          <w:rFonts w:asciiTheme="minorHAnsi" w:hAnsiTheme="minorHAnsi" w:cstheme="minorHAnsi"/>
          <w:sz w:val="22"/>
          <w:szCs w:val="22"/>
          <w:lang w:val="fr-CA"/>
        </w:rPr>
        <w:t xml:space="preserve"> a nommé une personne bénéficiaire d’un droit de priorité.</w:t>
      </w:r>
    </w:p>
    <w:p w14:paraId="77952F18" w14:textId="62FF764A" w:rsidR="007B1B27" w:rsidRPr="00013CF8" w:rsidRDefault="00070F28"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D</w:t>
      </w:r>
      <w:r w:rsidR="00C07681" w:rsidRPr="00013CF8">
        <w:rPr>
          <w:rFonts w:asciiTheme="minorHAnsi" w:hAnsiTheme="minorHAnsi" w:cstheme="minorHAnsi"/>
          <w:sz w:val="22"/>
          <w:szCs w:val="22"/>
          <w:lang w:val="fr-CA"/>
        </w:rPr>
        <w:t>u 1</w:t>
      </w:r>
      <w:r w:rsidR="00C07681" w:rsidRPr="00013CF8">
        <w:rPr>
          <w:rFonts w:asciiTheme="minorHAnsi" w:hAnsiTheme="minorHAnsi" w:cstheme="minorHAnsi"/>
          <w:sz w:val="22"/>
          <w:szCs w:val="22"/>
          <w:vertAlign w:val="superscript"/>
          <w:lang w:val="fr-CA"/>
        </w:rPr>
        <w:t>er</w:t>
      </w:r>
      <w:r w:rsidR="00C07681" w:rsidRPr="00013CF8">
        <w:rPr>
          <w:rFonts w:asciiTheme="minorHAnsi" w:hAnsiTheme="minorHAnsi" w:cstheme="minorHAnsi"/>
          <w:sz w:val="22"/>
          <w:szCs w:val="22"/>
          <w:lang w:val="fr-CA"/>
        </w:rPr>
        <w:t> juillet 2015, soit la date d’</w:t>
      </w:r>
      <w:r w:rsidRPr="00013CF8">
        <w:rPr>
          <w:rFonts w:asciiTheme="minorHAnsi" w:hAnsiTheme="minorHAnsi" w:cstheme="minorHAnsi"/>
          <w:sz w:val="22"/>
          <w:szCs w:val="22"/>
          <w:lang w:val="fr-CA"/>
        </w:rPr>
        <w:t xml:space="preserve">entrée en vigueur de la </w:t>
      </w:r>
      <w:r w:rsidRPr="00013CF8">
        <w:rPr>
          <w:rStyle w:val="Emphasis"/>
          <w:sz w:val="22"/>
          <w:lang w:val="fr-CA"/>
        </w:rPr>
        <w:t xml:space="preserve">Loi sur l’embauche des anciens </w:t>
      </w:r>
      <w:r w:rsidR="00C07681" w:rsidRPr="00013CF8">
        <w:rPr>
          <w:rStyle w:val="Emphasis"/>
          <w:sz w:val="22"/>
          <w:lang w:val="fr-CA"/>
        </w:rPr>
        <w:t>combattants</w:t>
      </w:r>
      <w:r w:rsidR="00C07681" w:rsidRPr="00013CF8">
        <w:rPr>
          <w:rFonts w:asciiTheme="minorHAnsi" w:hAnsiTheme="minorHAnsi" w:cstheme="minorHAnsi"/>
          <w:sz w:val="22"/>
          <w:szCs w:val="22"/>
          <w:lang w:val="fr-CA"/>
        </w:rPr>
        <w:t>, au</w:t>
      </w:r>
      <w:r w:rsidRPr="00013CF8">
        <w:rPr>
          <w:rFonts w:asciiTheme="minorHAnsi" w:hAnsiTheme="minorHAnsi" w:cstheme="minorHAnsi"/>
          <w:sz w:val="22"/>
          <w:szCs w:val="22"/>
          <w:lang w:val="fr-CA"/>
        </w:rPr>
        <w:t xml:space="preserve"> 30 juin 2019, le </w:t>
      </w:r>
      <w:r w:rsidR="00141F94" w:rsidRPr="00013CF8">
        <w:rPr>
          <w:rFonts w:asciiTheme="minorHAnsi" w:hAnsiTheme="minorHAnsi" w:cstheme="minorHAnsi"/>
          <w:sz w:val="22"/>
          <w:szCs w:val="22"/>
          <w:lang w:val="fr-CA"/>
        </w:rPr>
        <w:t>SCDATA</w:t>
      </w:r>
      <w:r w:rsidRPr="00013CF8">
        <w:rPr>
          <w:rFonts w:asciiTheme="minorHAnsi" w:hAnsiTheme="minorHAnsi" w:cstheme="minorHAnsi"/>
          <w:sz w:val="22"/>
          <w:szCs w:val="22"/>
          <w:lang w:val="fr-CA"/>
        </w:rPr>
        <w:t xml:space="preserve"> n’a nommé aucune personne </w:t>
      </w:r>
      <w:r w:rsidR="000C1CC6" w:rsidRPr="00013CF8">
        <w:rPr>
          <w:rFonts w:asciiTheme="minorHAnsi" w:hAnsiTheme="minorHAnsi" w:cstheme="minorHAnsi"/>
          <w:sz w:val="22"/>
          <w:szCs w:val="22"/>
          <w:lang w:val="fr-CA"/>
        </w:rPr>
        <w:t xml:space="preserve">bénéficiaire d’un </w:t>
      </w:r>
      <w:r w:rsidR="00C07681" w:rsidRPr="00013CF8">
        <w:rPr>
          <w:rFonts w:asciiTheme="minorHAnsi" w:hAnsiTheme="minorHAnsi" w:cstheme="minorHAnsi"/>
          <w:sz w:val="22"/>
          <w:szCs w:val="22"/>
          <w:lang w:val="fr-CA"/>
        </w:rPr>
        <w:t xml:space="preserve">droit de priorité </w:t>
      </w:r>
      <w:r w:rsidR="000C1CC6" w:rsidRPr="00013CF8">
        <w:rPr>
          <w:rFonts w:asciiTheme="minorHAnsi" w:hAnsiTheme="minorHAnsi" w:cstheme="minorHAnsi"/>
          <w:sz w:val="22"/>
          <w:szCs w:val="22"/>
          <w:lang w:val="fr-CA"/>
        </w:rPr>
        <w:t xml:space="preserve">accordé aux anciens membres </w:t>
      </w:r>
      <w:r w:rsidRPr="00013CF8">
        <w:rPr>
          <w:rFonts w:asciiTheme="minorHAnsi" w:hAnsiTheme="minorHAnsi" w:cstheme="minorHAnsi"/>
          <w:sz w:val="22"/>
          <w:szCs w:val="22"/>
          <w:lang w:val="fr-CA"/>
        </w:rPr>
        <w:t>des Formes armées canadiennes.</w:t>
      </w:r>
    </w:p>
    <w:p w14:paraId="009F02D9" w14:textId="6A6901C7" w:rsidR="007B1B27" w:rsidRPr="00013CF8" w:rsidRDefault="00070F28" w:rsidP="00013CF8">
      <w:pPr>
        <w:pStyle w:val="NoSpacing"/>
        <w:spacing w:after="120"/>
        <w:rPr>
          <w:rFonts w:asciiTheme="minorHAnsi" w:hAnsiTheme="minorHAnsi" w:cstheme="minorHAnsi"/>
          <w:sz w:val="22"/>
          <w:szCs w:val="22"/>
          <w:lang w:val="fr-CA"/>
        </w:rPr>
      </w:pPr>
      <w:r w:rsidRPr="00013CF8">
        <w:rPr>
          <w:rFonts w:asciiTheme="minorHAnsi" w:hAnsiTheme="minorHAnsi" w:cstheme="minorHAnsi"/>
          <w:sz w:val="22"/>
          <w:szCs w:val="22"/>
          <w:lang w:val="fr-CA"/>
        </w:rPr>
        <w:t xml:space="preserve">En date du 31 juillet 2019, le </w:t>
      </w:r>
      <w:r w:rsidR="00141F94" w:rsidRPr="00013CF8">
        <w:rPr>
          <w:rFonts w:asciiTheme="minorHAnsi" w:hAnsiTheme="minorHAnsi" w:cstheme="minorHAnsi"/>
          <w:sz w:val="22"/>
          <w:szCs w:val="22"/>
          <w:lang w:val="fr-CA"/>
        </w:rPr>
        <w:t>SCDATA</w:t>
      </w:r>
      <w:r w:rsidRPr="00013CF8">
        <w:rPr>
          <w:rFonts w:asciiTheme="minorHAnsi" w:hAnsiTheme="minorHAnsi" w:cstheme="minorHAnsi"/>
          <w:sz w:val="22"/>
          <w:szCs w:val="22"/>
          <w:lang w:val="fr-CA"/>
        </w:rPr>
        <w:t xml:space="preserve"> </w:t>
      </w:r>
      <w:r w:rsidR="00C07681" w:rsidRPr="00013CF8">
        <w:rPr>
          <w:rFonts w:asciiTheme="minorHAnsi" w:hAnsiTheme="minorHAnsi" w:cstheme="minorHAnsi"/>
          <w:sz w:val="22"/>
          <w:szCs w:val="22"/>
          <w:lang w:val="fr-CA"/>
        </w:rPr>
        <w:t xml:space="preserve">a </w:t>
      </w:r>
      <w:r w:rsidR="002B47FD" w:rsidRPr="00013CF8">
        <w:rPr>
          <w:rFonts w:asciiTheme="minorHAnsi" w:hAnsiTheme="minorHAnsi" w:cstheme="minorHAnsi"/>
          <w:sz w:val="22"/>
          <w:szCs w:val="22"/>
          <w:lang w:val="fr-CA"/>
        </w:rPr>
        <w:t>nommé une personne bénéfici</w:t>
      </w:r>
      <w:r w:rsidR="00913917" w:rsidRPr="00013CF8">
        <w:rPr>
          <w:rFonts w:asciiTheme="minorHAnsi" w:hAnsiTheme="minorHAnsi" w:cstheme="minorHAnsi"/>
          <w:sz w:val="22"/>
          <w:szCs w:val="22"/>
          <w:lang w:val="fr-CA"/>
        </w:rPr>
        <w:t>ant</w:t>
      </w:r>
      <w:r w:rsidR="002B47FD" w:rsidRPr="00013CF8">
        <w:rPr>
          <w:rFonts w:asciiTheme="minorHAnsi" w:hAnsiTheme="minorHAnsi" w:cstheme="minorHAnsi"/>
          <w:sz w:val="22"/>
          <w:szCs w:val="22"/>
          <w:lang w:val="fr-CA"/>
        </w:rPr>
        <w:t xml:space="preserve"> d’un droit de priorité pour</w:t>
      </w:r>
      <w:r w:rsidRPr="00013CF8">
        <w:rPr>
          <w:rFonts w:asciiTheme="minorHAnsi" w:hAnsiTheme="minorHAnsi" w:cstheme="minorHAnsi"/>
          <w:sz w:val="22"/>
          <w:szCs w:val="22"/>
          <w:lang w:val="fr-CA"/>
        </w:rPr>
        <w:t xml:space="preserve"> réinstallation de l’époux.</w:t>
      </w:r>
    </w:p>
    <w:p w14:paraId="5930EB6D" w14:textId="08206FA4" w:rsidR="000F7E62" w:rsidRPr="000F7E62" w:rsidRDefault="000F7E62" w:rsidP="000F7E62">
      <w:pPr>
        <w:pStyle w:val="Caption"/>
        <w:keepNext/>
        <w:spacing w:after="0"/>
        <w:rPr>
          <w:rFonts w:asciiTheme="minorHAnsi" w:hAnsiTheme="minorHAnsi" w:cstheme="minorHAnsi"/>
          <w:i w:val="0"/>
          <w:color w:val="auto"/>
        </w:rPr>
      </w:pPr>
      <w:r w:rsidRPr="000F7E62">
        <w:rPr>
          <w:rFonts w:asciiTheme="minorHAnsi" w:hAnsiTheme="minorHAnsi" w:cstheme="minorHAnsi"/>
          <w:i w:val="0"/>
          <w:color w:val="auto"/>
        </w:rPr>
        <w:t xml:space="preserve">Table </w:t>
      </w:r>
      <w:r w:rsidRPr="000F7E62">
        <w:rPr>
          <w:rFonts w:asciiTheme="minorHAnsi" w:hAnsiTheme="minorHAnsi" w:cstheme="minorHAnsi"/>
          <w:i w:val="0"/>
          <w:color w:val="auto"/>
        </w:rPr>
        <w:fldChar w:fldCharType="begin"/>
      </w:r>
      <w:r w:rsidRPr="000F7E62">
        <w:rPr>
          <w:rFonts w:asciiTheme="minorHAnsi" w:hAnsiTheme="minorHAnsi" w:cstheme="minorHAnsi"/>
          <w:i w:val="0"/>
          <w:color w:val="auto"/>
        </w:rPr>
        <w:instrText xml:space="preserve"> SEQ Table \* ARABIC </w:instrText>
      </w:r>
      <w:r w:rsidRPr="000F7E62">
        <w:rPr>
          <w:rFonts w:asciiTheme="minorHAnsi" w:hAnsiTheme="minorHAnsi" w:cstheme="minorHAnsi"/>
          <w:i w:val="0"/>
          <w:color w:val="auto"/>
        </w:rPr>
        <w:fldChar w:fldCharType="separate"/>
      </w:r>
      <w:r w:rsidR="0009743A">
        <w:rPr>
          <w:rFonts w:asciiTheme="minorHAnsi" w:hAnsiTheme="minorHAnsi" w:cstheme="minorHAnsi"/>
          <w:i w:val="0"/>
          <w:noProof/>
          <w:color w:val="auto"/>
        </w:rPr>
        <w:t>3</w:t>
      </w:r>
      <w:r w:rsidRPr="000F7E62">
        <w:rPr>
          <w:rFonts w:asciiTheme="minorHAnsi" w:hAnsiTheme="minorHAnsi" w:cstheme="minorHAnsi"/>
          <w:i w:val="0"/>
          <w:color w:val="auto"/>
        </w:rPr>
        <w:fldChar w:fldCharType="end"/>
      </w:r>
      <w:r w:rsidRPr="000F7E62">
        <w:rPr>
          <w:rFonts w:asciiTheme="minorHAnsi" w:hAnsiTheme="minorHAnsi" w:cstheme="minorHAnsi"/>
          <w:i w:val="0"/>
          <w:color w:val="auto"/>
        </w:rPr>
        <w:t xml:space="preserve"> - Droits de priorité et anciens combattants</w:t>
      </w:r>
    </w:p>
    <w:tbl>
      <w:tblPr>
        <w:tblStyle w:val="TableGrid"/>
        <w:tblW w:w="5000" w:type="pct"/>
        <w:jc w:val="center"/>
        <w:tblLook w:val="04A0" w:firstRow="1" w:lastRow="0" w:firstColumn="1" w:lastColumn="0" w:noHBand="0" w:noVBand="1"/>
        <w:tblDescription w:val="Droits de priorité et anciens combattants"/>
      </w:tblPr>
      <w:tblGrid>
        <w:gridCol w:w="2351"/>
        <w:gridCol w:w="2454"/>
        <w:gridCol w:w="3054"/>
        <w:gridCol w:w="1763"/>
      </w:tblGrid>
      <w:tr w:rsidR="00503C89" w:rsidRPr="007D6167" w14:paraId="22A212EC" w14:textId="77777777" w:rsidTr="00503C89">
        <w:trPr>
          <w:cantSplit/>
          <w:tblHeader/>
          <w:jc w:val="center"/>
        </w:trPr>
        <w:tc>
          <w:tcPr>
            <w:tcW w:w="1222" w:type="pct"/>
            <w:shd w:val="clear" w:color="auto" w:fill="0070C0"/>
          </w:tcPr>
          <w:p w14:paraId="02A517E7" w14:textId="77777777" w:rsidR="00503C89" w:rsidRPr="007D6167" w:rsidRDefault="00503C89" w:rsidP="00503C89">
            <w:pPr>
              <w:pStyle w:val="TableTitle"/>
              <w:rPr>
                <w:rFonts w:cs="Segoe UI Semibold"/>
                <w:color w:val="FFFFFF" w:themeColor="background1"/>
              </w:rPr>
            </w:pPr>
            <w:r w:rsidRPr="007D6167">
              <w:rPr>
                <w:rFonts w:cs="Segoe UI Semibold"/>
                <w:color w:val="FFFFFF" w:themeColor="background1"/>
              </w:rPr>
              <w:t>Période</w:t>
            </w:r>
          </w:p>
        </w:tc>
        <w:tc>
          <w:tcPr>
            <w:tcW w:w="1275" w:type="pct"/>
            <w:shd w:val="clear" w:color="auto" w:fill="0070C0"/>
          </w:tcPr>
          <w:p w14:paraId="12929817" w14:textId="77777777" w:rsidR="00503C89" w:rsidRPr="007D6167" w:rsidRDefault="00503C89" w:rsidP="00503C89">
            <w:pPr>
              <w:pStyle w:val="TableTitle"/>
              <w:rPr>
                <w:rFonts w:cs="Segoe UI Semibold"/>
                <w:color w:val="FFFFFF" w:themeColor="background1"/>
              </w:rPr>
            </w:pPr>
            <w:r w:rsidRPr="007D6167">
              <w:rPr>
                <w:rFonts w:cs="Segoe UI Semibold"/>
                <w:color w:val="FFFFFF" w:themeColor="background1"/>
              </w:rPr>
              <w:t>Attribuable au service (statutaire)</w:t>
            </w:r>
          </w:p>
        </w:tc>
        <w:tc>
          <w:tcPr>
            <w:tcW w:w="1587" w:type="pct"/>
            <w:shd w:val="clear" w:color="auto" w:fill="0070C0"/>
          </w:tcPr>
          <w:p w14:paraId="1CE1736A" w14:textId="77777777" w:rsidR="00503C89" w:rsidRPr="007D6167" w:rsidRDefault="00503C89" w:rsidP="00503C89">
            <w:pPr>
              <w:pStyle w:val="TableTitle"/>
              <w:rPr>
                <w:rFonts w:cs="Segoe UI Semibold"/>
                <w:color w:val="FFFFFF" w:themeColor="background1"/>
              </w:rPr>
            </w:pPr>
            <w:r w:rsidRPr="007D6167">
              <w:rPr>
                <w:rFonts w:cs="Segoe UI Semibold"/>
                <w:color w:val="FFFFFF" w:themeColor="background1"/>
              </w:rPr>
              <w:t>Non attribuable au service (réglementaire)</w:t>
            </w:r>
          </w:p>
        </w:tc>
        <w:tc>
          <w:tcPr>
            <w:tcW w:w="916" w:type="pct"/>
            <w:shd w:val="clear" w:color="auto" w:fill="0070C0"/>
          </w:tcPr>
          <w:p w14:paraId="101577D0" w14:textId="77777777" w:rsidR="00503C89" w:rsidRPr="007D6167" w:rsidRDefault="00503C89" w:rsidP="00503C89">
            <w:pPr>
              <w:pStyle w:val="TableTitle"/>
              <w:rPr>
                <w:rFonts w:cs="Segoe UI Semibold"/>
                <w:color w:val="FFFFFF" w:themeColor="background1"/>
              </w:rPr>
            </w:pPr>
            <w:r w:rsidRPr="007D6167">
              <w:rPr>
                <w:rFonts w:cs="Segoe UI Semibold"/>
                <w:color w:val="FFFFFF" w:themeColor="background1"/>
              </w:rPr>
              <w:t>Total</w:t>
            </w:r>
          </w:p>
        </w:tc>
      </w:tr>
      <w:tr w:rsidR="00503C89" w:rsidRPr="00BC2D6E" w14:paraId="57669426" w14:textId="77777777" w:rsidTr="00503C89">
        <w:trPr>
          <w:cantSplit/>
          <w:tblHeader/>
          <w:jc w:val="center"/>
        </w:trPr>
        <w:tc>
          <w:tcPr>
            <w:tcW w:w="1222" w:type="pct"/>
            <w:shd w:val="clear" w:color="auto" w:fill="0070C0"/>
          </w:tcPr>
          <w:p w14:paraId="3EBCAF97" w14:textId="77777777" w:rsidR="00503C89" w:rsidRPr="00BC2D6E" w:rsidRDefault="00503C89" w:rsidP="00503C89">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rPr>
            </w:pPr>
            <w:r w:rsidRPr="00BC2D6E">
              <w:rPr>
                <w:rFonts w:asciiTheme="minorHAnsi" w:hAnsiTheme="minorHAnsi" w:cstheme="minorHAnsi"/>
                <w:color w:val="FFFFFF" w:themeColor="background1"/>
                <w:sz w:val="22"/>
              </w:rPr>
              <w:t>2015 (1</w:t>
            </w:r>
            <w:r w:rsidRPr="00BC2D6E">
              <w:rPr>
                <w:rFonts w:asciiTheme="minorHAnsi" w:hAnsiTheme="minorHAnsi" w:cstheme="minorHAnsi"/>
                <w:color w:val="FFFFFF" w:themeColor="background1"/>
                <w:sz w:val="22"/>
                <w:vertAlign w:val="superscript"/>
              </w:rPr>
              <w:t>er</w:t>
            </w:r>
            <w:r w:rsidRPr="00BC2D6E">
              <w:rPr>
                <w:rFonts w:asciiTheme="minorHAnsi" w:hAnsiTheme="minorHAnsi" w:cstheme="minorHAnsi"/>
                <w:color w:val="FFFFFF" w:themeColor="background1"/>
                <w:sz w:val="22"/>
              </w:rPr>
              <w:t> juillet)-2016</w:t>
            </w:r>
          </w:p>
        </w:tc>
        <w:tc>
          <w:tcPr>
            <w:tcW w:w="1275" w:type="pct"/>
          </w:tcPr>
          <w:p w14:paraId="67A9151C"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1587" w:type="pct"/>
          </w:tcPr>
          <w:p w14:paraId="5C9BCA88"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916" w:type="pct"/>
          </w:tcPr>
          <w:p w14:paraId="5FB5AACE"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r>
      <w:tr w:rsidR="00503C89" w:rsidRPr="00BC2D6E" w14:paraId="7FB96F5A" w14:textId="77777777" w:rsidTr="00503C89">
        <w:trPr>
          <w:cantSplit/>
          <w:tblHeader/>
          <w:jc w:val="center"/>
        </w:trPr>
        <w:tc>
          <w:tcPr>
            <w:tcW w:w="1222" w:type="pct"/>
            <w:shd w:val="clear" w:color="auto" w:fill="0070C0"/>
          </w:tcPr>
          <w:p w14:paraId="154E648D" w14:textId="77777777" w:rsidR="00503C89" w:rsidRPr="00BC2D6E" w:rsidRDefault="00503C89" w:rsidP="00503C89">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rPr>
            </w:pPr>
            <w:r w:rsidRPr="00BC2D6E">
              <w:rPr>
                <w:rFonts w:asciiTheme="minorHAnsi" w:hAnsiTheme="minorHAnsi" w:cstheme="minorHAnsi"/>
                <w:color w:val="FFFFFF" w:themeColor="background1"/>
                <w:sz w:val="22"/>
              </w:rPr>
              <w:t>2016-2017</w:t>
            </w:r>
          </w:p>
        </w:tc>
        <w:tc>
          <w:tcPr>
            <w:tcW w:w="1275" w:type="pct"/>
          </w:tcPr>
          <w:p w14:paraId="7B743A87"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1587" w:type="pct"/>
          </w:tcPr>
          <w:p w14:paraId="34F64DEC"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916" w:type="pct"/>
          </w:tcPr>
          <w:p w14:paraId="68181A64"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r>
      <w:tr w:rsidR="00503C89" w:rsidRPr="00BC2D6E" w14:paraId="11545916" w14:textId="77777777" w:rsidTr="00503C89">
        <w:trPr>
          <w:cantSplit/>
          <w:tblHeader/>
          <w:jc w:val="center"/>
        </w:trPr>
        <w:tc>
          <w:tcPr>
            <w:tcW w:w="1222" w:type="pct"/>
            <w:shd w:val="clear" w:color="auto" w:fill="0070C0"/>
          </w:tcPr>
          <w:p w14:paraId="07F1C7A9" w14:textId="77777777" w:rsidR="00503C89" w:rsidRPr="00BC2D6E" w:rsidRDefault="00503C89" w:rsidP="00503C89">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rPr>
            </w:pPr>
            <w:r w:rsidRPr="00BC2D6E">
              <w:rPr>
                <w:rFonts w:asciiTheme="minorHAnsi" w:hAnsiTheme="minorHAnsi" w:cstheme="minorHAnsi"/>
                <w:color w:val="FFFFFF" w:themeColor="background1"/>
                <w:sz w:val="22"/>
              </w:rPr>
              <w:t>2017-2018</w:t>
            </w:r>
          </w:p>
        </w:tc>
        <w:tc>
          <w:tcPr>
            <w:tcW w:w="1275" w:type="pct"/>
          </w:tcPr>
          <w:p w14:paraId="61854A87"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1587" w:type="pct"/>
          </w:tcPr>
          <w:p w14:paraId="5188F65B"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916" w:type="pct"/>
          </w:tcPr>
          <w:p w14:paraId="0E5FEEAF"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r>
      <w:tr w:rsidR="00503C89" w:rsidRPr="00BC2D6E" w14:paraId="63EE717B" w14:textId="77777777" w:rsidTr="00503C89">
        <w:trPr>
          <w:cantSplit/>
          <w:tblHeader/>
          <w:jc w:val="center"/>
        </w:trPr>
        <w:tc>
          <w:tcPr>
            <w:tcW w:w="1222" w:type="pct"/>
            <w:shd w:val="clear" w:color="auto" w:fill="BAF8FF" w:themeFill="accent3" w:themeFillTint="33"/>
          </w:tcPr>
          <w:p w14:paraId="6BEA6C98" w14:textId="5055BE7A" w:rsidR="00503C89" w:rsidRPr="00BC2D6E" w:rsidRDefault="00C26AA6" w:rsidP="00503C89">
            <w:pPr>
              <w:pStyle w:val="Level1"/>
              <w:tabs>
                <w:tab w:val="left" w:pos="-1440"/>
              </w:tabs>
              <w:autoSpaceDE w:val="0"/>
              <w:autoSpaceDN w:val="0"/>
              <w:adjustRightInd w:val="0"/>
              <w:spacing w:after="120" w:line="20" w:lineRule="atLeast"/>
              <w:rPr>
                <w:rFonts w:asciiTheme="minorHAnsi" w:hAnsiTheme="minorHAnsi" w:cstheme="minorHAnsi"/>
                <w:sz w:val="22"/>
              </w:rPr>
            </w:pPr>
            <w:r w:rsidRPr="00BC2D6E">
              <w:rPr>
                <w:rFonts w:asciiTheme="minorHAnsi" w:hAnsiTheme="minorHAnsi" w:cstheme="minorHAnsi"/>
                <w:sz w:val="22"/>
              </w:rPr>
              <w:t>Total</w:t>
            </w:r>
          </w:p>
        </w:tc>
        <w:tc>
          <w:tcPr>
            <w:tcW w:w="1275" w:type="pct"/>
            <w:shd w:val="clear" w:color="auto" w:fill="BAF8FF" w:themeFill="accent3" w:themeFillTint="33"/>
          </w:tcPr>
          <w:p w14:paraId="1B54E7A0"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1587" w:type="pct"/>
            <w:shd w:val="clear" w:color="auto" w:fill="BAF8FF" w:themeFill="accent3" w:themeFillTint="33"/>
          </w:tcPr>
          <w:p w14:paraId="2346A7E3"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c>
          <w:tcPr>
            <w:tcW w:w="916" w:type="pct"/>
            <w:shd w:val="clear" w:color="auto" w:fill="BAF8FF" w:themeFill="accent3" w:themeFillTint="33"/>
          </w:tcPr>
          <w:p w14:paraId="68A3833C" w14:textId="77777777" w:rsidR="00503C89" w:rsidRPr="00BC2D6E" w:rsidRDefault="00503C89" w:rsidP="00F565BF">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BC2D6E">
              <w:rPr>
                <w:rFonts w:asciiTheme="minorHAnsi" w:hAnsiTheme="minorHAnsi" w:cstheme="minorHAnsi"/>
                <w:sz w:val="22"/>
              </w:rPr>
              <w:t>0</w:t>
            </w:r>
          </w:p>
        </w:tc>
      </w:tr>
    </w:tbl>
    <w:p w14:paraId="4D846FF9" w14:textId="77777777" w:rsidR="00503C89" w:rsidRPr="00503C89" w:rsidRDefault="00503C89" w:rsidP="00503C89">
      <w:pPr>
        <w:rPr>
          <w:rFonts w:asciiTheme="minorHAnsi" w:hAnsiTheme="minorHAnsi" w:cstheme="minorHAnsi"/>
          <w:sz w:val="22"/>
          <w:szCs w:val="18"/>
        </w:rPr>
      </w:pPr>
      <w:r w:rsidRPr="00503C89">
        <w:rPr>
          <w:rFonts w:asciiTheme="minorHAnsi" w:hAnsiTheme="minorHAnsi" w:cstheme="minorHAnsi"/>
          <w:sz w:val="22"/>
          <w:szCs w:val="18"/>
        </w:rPr>
        <w:t>Source : Système de gestion de l’information sur les priorités de la CFP</w:t>
      </w:r>
    </w:p>
    <w:p w14:paraId="2760B166" w14:textId="2B011C3D" w:rsidR="007B1B27" w:rsidRPr="00013CF8" w:rsidRDefault="00070F28" w:rsidP="00013CF8">
      <w:pPr>
        <w:pStyle w:val="Heading1"/>
        <w:spacing w:after="120"/>
      </w:pPr>
      <w:r w:rsidRPr="00013CF8">
        <w:lastRenderedPageBreak/>
        <w:t xml:space="preserve">Impartialité politique dans la </w:t>
      </w:r>
      <w:r w:rsidR="00BA2036" w:rsidRPr="00013CF8">
        <w:t>fonction</w:t>
      </w:r>
      <w:r w:rsidRPr="00013CF8">
        <w:t xml:space="preserve"> publique</w:t>
      </w:r>
    </w:p>
    <w:p w14:paraId="43825764" w14:textId="0FE27AD4" w:rsidR="007B1B27" w:rsidRPr="00013CF8" w:rsidRDefault="00070F28" w:rsidP="00013CF8">
      <w:pPr>
        <w:spacing w:after="120"/>
        <w:rPr>
          <w:rFonts w:asciiTheme="minorHAnsi" w:hAnsiTheme="minorHAnsi" w:cstheme="minorHAnsi"/>
          <w:sz w:val="22"/>
          <w:szCs w:val="22"/>
        </w:rPr>
      </w:pPr>
      <w:r w:rsidRPr="00013CF8">
        <w:rPr>
          <w:rFonts w:asciiTheme="minorHAnsi" w:hAnsiTheme="minorHAnsi" w:cstheme="minorHAnsi"/>
          <w:sz w:val="22"/>
          <w:szCs w:val="22"/>
        </w:rPr>
        <w:t xml:space="preserve">La représentante désignée en matière d’activités politiques du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est Sophie Michaud.</w:t>
      </w:r>
      <w:r w:rsidR="008E5FD6" w:rsidRPr="00013CF8">
        <w:rPr>
          <w:rFonts w:asciiTheme="minorHAnsi" w:hAnsiTheme="minorHAnsi" w:cstheme="minorHAnsi"/>
          <w:sz w:val="22"/>
          <w:szCs w:val="22"/>
        </w:rPr>
        <w:t xml:space="preserve"> Elle assure la liaison avec la </w:t>
      </w:r>
      <w:r w:rsidR="002B47FD" w:rsidRPr="00013CF8">
        <w:rPr>
          <w:rFonts w:asciiTheme="minorHAnsi" w:hAnsiTheme="minorHAnsi" w:cstheme="minorHAnsi"/>
          <w:sz w:val="22"/>
          <w:szCs w:val="22"/>
        </w:rPr>
        <w:t>CFP pour les questions relatives</w:t>
      </w:r>
      <w:r w:rsidRPr="00013CF8">
        <w:rPr>
          <w:rFonts w:asciiTheme="minorHAnsi" w:hAnsiTheme="minorHAnsi" w:cstheme="minorHAnsi"/>
          <w:sz w:val="22"/>
          <w:szCs w:val="22"/>
        </w:rPr>
        <w:t xml:space="preserve"> aux activités politiques et à l’impartialité politique.</w:t>
      </w:r>
    </w:p>
    <w:p w14:paraId="3CC4366E" w14:textId="06862564" w:rsidR="007B1B27" w:rsidRPr="00013CF8" w:rsidRDefault="00B556C4" w:rsidP="00013CF8">
      <w:pPr>
        <w:spacing w:after="120"/>
        <w:rPr>
          <w:rFonts w:asciiTheme="minorHAnsi" w:hAnsiTheme="minorHAnsi" w:cstheme="minorHAnsi"/>
          <w:sz w:val="22"/>
          <w:szCs w:val="22"/>
        </w:rPr>
      </w:pPr>
      <w:r w:rsidRPr="00013CF8">
        <w:rPr>
          <w:rFonts w:asciiTheme="minorHAnsi" w:hAnsiTheme="minorHAnsi" w:cstheme="minorHAnsi"/>
          <w:sz w:val="22"/>
          <w:szCs w:val="22"/>
        </w:rPr>
        <w:t>Depuis le 1</w:t>
      </w:r>
      <w:r w:rsidRPr="00013CF8">
        <w:rPr>
          <w:rFonts w:asciiTheme="minorHAnsi" w:hAnsiTheme="minorHAnsi" w:cstheme="minorHAnsi"/>
          <w:sz w:val="22"/>
          <w:szCs w:val="22"/>
          <w:vertAlign w:val="superscript"/>
        </w:rPr>
        <w:t>er</w:t>
      </w:r>
      <w:r w:rsidRPr="00013CF8">
        <w:rPr>
          <w:rFonts w:asciiTheme="minorHAnsi" w:hAnsiTheme="minorHAnsi" w:cstheme="minorHAnsi"/>
          <w:sz w:val="22"/>
          <w:szCs w:val="22"/>
        </w:rPr>
        <w:t xml:space="preserve"> avril 2006, la CFP n’a reçu qu’une demande </w:t>
      </w:r>
      <w:r w:rsidR="00BA2036" w:rsidRPr="00013CF8">
        <w:rPr>
          <w:rFonts w:asciiTheme="minorHAnsi" w:hAnsiTheme="minorHAnsi" w:cstheme="minorHAnsi"/>
          <w:sz w:val="22"/>
          <w:szCs w:val="22"/>
        </w:rPr>
        <w:t>d’autorisation</w:t>
      </w:r>
      <w:r w:rsidR="008E5FD6" w:rsidRPr="00013CF8">
        <w:rPr>
          <w:rFonts w:asciiTheme="minorHAnsi" w:hAnsiTheme="minorHAnsi" w:cstheme="minorHAnsi"/>
          <w:sz w:val="22"/>
          <w:szCs w:val="22"/>
        </w:rPr>
        <w:t xml:space="preserve"> de la part d’un</w:t>
      </w:r>
      <w:r w:rsidR="00C07681" w:rsidRPr="00013CF8">
        <w:rPr>
          <w:rFonts w:asciiTheme="minorHAnsi" w:hAnsiTheme="minorHAnsi" w:cstheme="minorHAnsi"/>
          <w:sz w:val="22"/>
          <w:szCs w:val="22"/>
        </w:rPr>
        <w:t xml:space="preserve"> employé du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L’employé en question a obtenu </w:t>
      </w:r>
      <w:r w:rsidR="00BA2036" w:rsidRPr="00013CF8">
        <w:rPr>
          <w:rFonts w:asciiTheme="minorHAnsi" w:hAnsiTheme="minorHAnsi" w:cstheme="minorHAnsi"/>
          <w:sz w:val="22"/>
          <w:szCs w:val="22"/>
        </w:rPr>
        <w:t>l’autorisation</w:t>
      </w:r>
      <w:r w:rsidRPr="00013CF8">
        <w:rPr>
          <w:rFonts w:asciiTheme="minorHAnsi" w:hAnsiTheme="minorHAnsi" w:cstheme="minorHAnsi"/>
          <w:sz w:val="22"/>
          <w:szCs w:val="22"/>
        </w:rPr>
        <w:t xml:space="preserve"> de se présenter comme candidat aux élections fédérales de 2019, et on lui a octroyé un congé non payé</w:t>
      </w:r>
      <w:r w:rsidR="008E5FD6" w:rsidRPr="00013CF8">
        <w:rPr>
          <w:rFonts w:asciiTheme="minorHAnsi" w:hAnsiTheme="minorHAnsi" w:cstheme="minorHAnsi"/>
          <w:sz w:val="22"/>
          <w:szCs w:val="22"/>
        </w:rPr>
        <w:t xml:space="preserve"> à cette fin</w:t>
      </w:r>
      <w:r w:rsidRPr="00013CF8">
        <w:rPr>
          <w:rFonts w:asciiTheme="minorHAnsi" w:hAnsiTheme="minorHAnsi" w:cstheme="minorHAnsi"/>
          <w:sz w:val="22"/>
          <w:szCs w:val="22"/>
        </w:rPr>
        <w:t>. Il n’a toutefois pas été élu.</w:t>
      </w:r>
    </w:p>
    <w:p w14:paraId="288971BD" w14:textId="103E3A62" w:rsidR="007B1B27" w:rsidRPr="00013CF8" w:rsidRDefault="00B556C4" w:rsidP="00013CF8">
      <w:pPr>
        <w:spacing w:after="120"/>
        <w:rPr>
          <w:rFonts w:asciiTheme="minorHAnsi" w:hAnsiTheme="minorHAnsi" w:cstheme="minorHAnsi"/>
          <w:sz w:val="22"/>
          <w:szCs w:val="22"/>
        </w:rPr>
      </w:pPr>
      <w:r w:rsidRPr="00013CF8">
        <w:rPr>
          <w:rFonts w:asciiTheme="minorHAnsi" w:hAnsiTheme="minorHAnsi" w:cstheme="minorHAnsi"/>
          <w:sz w:val="22"/>
          <w:szCs w:val="22"/>
        </w:rPr>
        <w:t xml:space="preserve">Les résultats du SDIP de 2018 démontrent que 87,9 % des employés du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w:t>
      </w:r>
      <w:r w:rsidR="0083705D" w:rsidRPr="00013CF8">
        <w:rPr>
          <w:rFonts w:asciiTheme="minorHAnsi" w:hAnsiTheme="minorHAnsi" w:cstheme="minorHAnsi"/>
          <w:sz w:val="22"/>
          <w:szCs w:val="22"/>
        </w:rPr>
        <w:t>comprennent d</w:t>
      </w:r>
      <w:r w:rsidR="00C07681" w:rsidRPr="00013CF8">
        <w:rPr>
          <w:rFonts w:asciiTheme="minorHAnsi" w:hAnsiTheme="minorHAnsi" w:cstheme="minorHAnsi"/>
          <w:sz w:val="22"/>
          <w:szCs w:val="22"/>
        </w:rPr>
        <w:t>ans une large mesure l</w:t>
      </w:r>
      <w:r w:rsidRPr="00013CF8">
        <w:rPr>
          <w:rFonts w:asciiTheme="minorHAnsi" w:hAnsiTheme="minorHAnsi" w:cstheme="minorHAnsi"/>
          <w:sz w:val="22"/>
          <w:szCs w:val="22"/>
        </w:rPr>
        <w:t xml:space="preserve">eurs droits et leurs responsabilités concernant la participation à des activités politiques, comparativement à 80,1 % </w:t>
      </w:r>
      <w:r w:rsidR="002B47FD" w:rsidRPr="00013CF8">
        <w:rPr>
          <w:rFonts w:asciiTheme="minorHAnsi" w:hAnsiTheme="minorHAnsi" w:cstheme="minorHAnsi"/>
          <w:sz w:val="22"/>
          <w:szCs w:val="22"/>
        </w:rPr>
        <w:t xml:space="preserve">pour </w:t>
      </w:r>
      <w:r w:rsidRPr="00013CF8">
        <w:rPr>
          <w:rFonts w:asciiTheme="minorHAnsi" w:hAnsiTheme="minorHAnsi" w:cstheme="minorHAnsi"/>
          <w:sz w:val="22"/>
          <w:szCs w:val="22"/>
        </w:rPr>
        <w:t>l’ensemble de la fonction publique.</w:t>
      </w:r>
    </w:p>
    <w:p w14:paraId="2B8A3382" w14:textId="22D58200" w:rsidR="007B1B27" w:rsidRPr="00013CF8" w:rsidRDefault="00B556C4" w:rsidP="00013CF8">
      <w:pPr>
        <w:pStyle w:val="Heading1"/>
        <w:spacing w:after="120"/>
      </w:pPr>
      <w:r w:rsidRPr="00013CF8">
        <w:t>Programmes de recrutement</w:t>
      </w:r>
    </w:p>
    <w:p w14:paraId="6FE6D312" w14:textId="0AA7178A" w:rsidR="007B1B27" w:rsidRPr="00013CF8" w:rsidRDefault="00B556C4" w:rsidP="007B1B27">
      <w:pPr>
        <w:rPr>
          <w:rFonts w:asciiTheme="minorHAnsi" w:hAnsiTheme="minorHAnsi" w:cstheme="minorHAnsi"/>
          <w:sz w:val="22"/>
          <w:szCs w:val="22"/>
        </w:rPr>
      </w:pPr>
      <w:r w:rsidRPr="00013CF8">
        <w:rPr>
          <w:rFonts w:asciiTheme="minorHAnsi" w:hAnsiTheme="minorHAnsi" w:cstheme="minorHAnsi"/>
          <w:sz w:val="22"/>
          <w:szCs w:val="22"/>
        </w:rPr>
        <w:t xml:space="preserve">En 2019, le </w:t>
      </w:r>
      <w:r w:rsidR="00141F94" w:rsidRPr="00013CF8">
        <w:rPr>
          <w:rFonts w:asciiTheme="minorHAnsi" w:hAnsiTheme="minorHAnsi" w:cstheme="minorHAnsi"/>
          <w:sz w:val="22"/>
          <w:szCs w:val="22"/>
        </w:rPr>
        <w:t>SCDATA</w:t>
      </w:r>
      <w:r w:rsidRPr="00013CF8">
        <w:rPr>
          <w:rFonts w:asciiTheme="minorHAnsi" w:hAnsiTheme="minorHAnsi" w:cstheme="minorHAnsi"/>
          <w:sz w:val="22"/>
          <w:szCs w:val="22"/>
        </w:rPr>
        <w:t xml:space="preserve"> n’a présenté aucune demande </w:t>
      </w:r>
      <w:r w:rsidR="0076214E" w:rsidRPr="00013CF8">
        <w:rPr>
          <w:rFonts w:asciiTheme="minorHAnsi" w:hAnsiTheme="minorHAnsi" w:cstheme="minorHAnsi"/>
          <w:sz w:val="22"/>
          <w:szCs w:val="22"/>
        </w:rPr>
        <w:t xml:space="preserve">dans le cadre des </w:t>
      </w:r>
      <w:r w:rsidRPr="00013CF8">
        <w:rPr>
          <w:rFonts w:asciiTheme="minorHAnsi" w:hAnsiTheme="minorHAnsi" w:cstheme="minorHAnsi"/>
          <w:sz w:val="22"/>
          <w:szCs w:val="22"/>
        </w:rPr>
        <w:t xml:space="preserve">programmes </w:t>
      </w:r>
      <w:r w:rsidR="0076214E" w:rsidRPr="00013CF8">
        <w:rPr>
          <w:rFonts w:asciiTheme="minorHAnsi" w:hAnsiTheme="minorHAnsi" w:cstheme="minorHAnsi"/>
          <w:sz w:val="22"/>
          <w:szCs w:val="22"/>
        </w:rPr>
        <w:t xml:space="preserve">suivants </w:t>
      </w:r>
      <w:r w:rsidRPr="00013CF8">
        <w:rPr>
          <w:rFonts w:asciiTheme="minorHAnsi" w:hAnsiTheme="minorHAnsi" w:cstheme="minorHAnsi"/>
          <w:sz w:val="22"/>
          <w:szCs w:val="22"/>
        </w:rPr>
        <w:t>de la CFP</w:t>
      </w:r>
      <w:r w:rsidR="00CF72B4" w:rsidRPr="00013CF8">
        <w:rPr>
          <w:rFonts w:asciiTheme="minorHAnsi" w:hAnsiTheme="minorHAnsi" w:cstheme="minorHAnsi"/>
          <w:sz w:val="22"/>
          <w:szCs w:val="22"/>
        </w:rPr>
        <w:t> </w:t>
      </w:r>
      <w:r w:rsidRPr="00013CF8">
        <w:rPr>
          <w:rFonts w:asciiTheme="minorHAnsi" w:hAnsiTheme="minorHAnsi" w:cstheme="minorHAnsi"/>
          <w:sz w:val="22"/>
          <w:szCs w:val="22"/>
        </w:rPr>
        <w:t xml:space="preserve">: </w:t>
      </w:r>
    </w:p>
    <w:p w14:paraId="053C595F" w14:textId="33676998" w:rsidR="007B1B27" w:rsidRPr="00013CF8" w:rsidRDefault="00B556C4" w:rsidP="009466B2">
      <w:pPr>
        <w:numPr>
          <w:ilvl w:val="0"/>
          <w:numId w:val="3"/>
        </w:numPr>
        <w:rPr>
          <w:rFonts w:asciiTheme="minorHAnsi" w:hAnsiTheme="minorHAnsi" w:cstheme="minorHAnsi"/>
          <w:sz w:val="22"/>
          <w:szCs w:val="22"/>
        </w:rPr>
      </w:pPr>
      <w:r w:rsidRPr="00013CF8">
        <w:rPr>
          <w:rFonts w:asciiTheme="minorHAnsi" w:hAnsiTheme="minorHAnsi" w:cstheme="minorHAnsi"/>
          <w:sz w:val="22"/>
          <w:szCs w:val="22"/>
        </w:rPr>
        <w:t xml:space="preserve">Programme </w:t>
      </w:r>
      <w:r w:rsidR="0083705D" w:rsidRPr="00013CF8">
        <w:rPr>
          <w:rFonts w:asciiTheme="minorHAnsi" w:hAnsiTheme="minorHAnsi" w:cstheme="minorHAnsi"/>
          <w:sz w:val="22"/>
          <w:szCs w:val="22"/>
        </w:rPr>
        <w:t>fédéral</w:t>
      </w:r>
      <w:r w:rsidRPr="00013CF8">
        <w:rPr>
          <w:rFonts w:asciiTheme="minorHAnsi" w:hAnsiTheme="minorHAnsi" w:cstheme="minorHAnsi"/>
          <w:sz w:val="22"/>
          <w:szCs w:val="22"/>
        </w:rPr>
        <w:t xml:space="preserve"> de stages pour les Canadiens en situation de handicap</w:t>
      </w:r>
    </w:p>
    <w:p w14:paraId="773D407D" w14:textId="7B176082" w:rsidR="007B1B27" w:rsidRPr="00013CF8" w:rsidRDefault="00B556C4" w:rsidP="009466B2">
      <w:pPr>
        <w:numPr>
          <w:ilvl w:val="0"/>
          <w:numId w:val="3"/>
        </w:numPr>
        <w:rPr>
          <w:rFonts w:asciiTheme="minorHAnsi" w:hAnsiTheme="minorHAnsi" w:cstheme="minorHAnsi"/>
          <w:sz w:val="22"/>
          <w:szCs w:val="22"/>
        </w:rPr>
      </w:pPr>
      <w:r w:rsidRPr="00013CF8">
        <w:rPr>
          <w:rFonts w:asciiTheme="minorHAnsi" w:hAnsiTheme="minorHAnsi" w:cstheme="minorHAnsi"/>
          <w:sz w:val="22"/>
          <w:szCs w:val="22"/>
        </w:rPr>
        <w:t>Occasion d’emploi pour étudiants en situation de handicap</w:t>
      </w:r>
    </w:p>
    <w:p w14:paraId="03DFF758" w14:textId="383241E9" w:rsidR="007B1B27" w:rsidRPr="00013CF8" w:rsidRDefault="00B556C4" w:rsidP="00013CF8">
      <w:pPr>
        <w:numPr>
          <w:ilvl w:val="0"/>
          <w:numId w:val="3"/>
        </w:numPr>
        <w:spacing w:after="120"/>
        <w:rPr>
          <w:rFonts w:asciiTheme="minorHAnsi" w:hAnsiTheme="minorHAnsi" w:cstheme="minorHAnsi"/>
          <w:sz w:val="22"/>
          <w:szCs w:val="22"/>
        </w:rPr>
      </w:pPr>
      <w:r w:rsidRPr="00013CF8">
        <w:rPr>
          <w:rFonts w:asciiTheme="minorHAnsi" w:hAnsiTheme="minorHAnsi" w:cstheme="minorHAnsi"/>
          <w:sz w:val="22"/>
          <w:szCs w:val="22"/>
        </w:rPr>
        <w:t>Occasion d’emploi pour étudiants autochtones</w:t>
      </w:r>
    </w:p>
    <w:p w14:paraId="4220AF3B" w14:textId="59B379C4" w:rsidR="007B1B27" w:rsidRPr="00013CF8" w:rsidRDefault="00B556C4" w:rsidP="00013CF8">
      <w:pPr>
        <w:pStyle w:val="Heading1"/>
        <w:spacing w:after="120"/>
      </w:pPr>
      <w:r w:rsidRPr="00013CF8">
        <w:t>Soutien à la dotation</w:t>
      </w:r>
    </w:p>
    <w:p w14:paraId="7AEF301D" w14:textId="2C497F92" w:rsidR="007B1B27" w:rsidRPr="00013CF8" w:rsidRDefault="00B556C4" w:rsidP="004C7EE5">
      <w:pPr>
        <w:pStyle w:val="Heading2"/>
        <w:spacing w:after="120"/>
        <w:rPr>
          <w:u w:val="single"/>
        </w:rPr>
      </w:pPr>
      <w:r w:rsidRPr="00013CF8">
        <w:t>Représentants de la C</w:t>
      </w:r>
      <w:r w:rsidR="00BC2D6E">
        <w:t>ommission de la fonction publique</w:t>
      </w:r>
      <w:r w:rsidRPr="00013CF8">
        <w:t xml:space="preserve"> et personnes</w:t>
      </w:r>
      <w:r w:rsidRPr="00013CF8">
        <w:noBreakHyphen/>
        <w:t xml:space="preserve">ressources </w:t>
      </w:r>
      <w:r w:rsidR="009A6B30" w:rsidRPr="00013CF8">
        <w:t>au sein de l’organisation</w:t>
      </w:r>
    </w:p>
    <w:p w14:paraId="4515C5E4" w14:textId="54DBBD0B" w:rsidR="007B1B27" w:rsidRPr="00013CF8" w:rsidRDefault="009A6B30" w:rsidP="00013CF8">
      <w:pPr>
        <w:spacing w:after="120"/>
        <w:rPr>
          <w:rFonts w:asciiTheme="minorHAnsi" w:hAnsiTheme="minorHAnsi" w:cstheme="minorHAnsi"/>
          <w:color w:val="000000"/>
          <w:sz w:val="22"/>
          <w:szCs w:val="22"/>
        </w:rPr>
      </w:pPr>
      <w:r w:rsidRPr="00013CF8">
        <w:rPr>
          <w:rFonts w:asciiTheme="minorHAnsi" w:hAnsiTheme="minorHAnsi" w:cstheme="minorHAnsi"/>
          <w:color w:val="000000"/>
          <w:sz w:val="22"/>
          <w:szCs w:val="22"/>
        </w:rPr>
        <w:t xml:space="preserve">Le conseiller au soutien en dotation </w:t>
      </w:r>
      <w:r w:rsidR="0009261F">
        <w:rPr>
          <w:rFonts w:asciiTheme="minorHAnsi" w:hAnsiTheme="minorHAnsi" w:cstheme="minorHAnsi"/>
          <w:color w:val="000000"/>
          <w:sz w:val="22"/>
          <w:szCs w:val="22"/>
        </w:rPr>
        <w:t>assigné</w:t>
      </w:r>
      <w:r w:rsidR="0009261F" w:rsidRPr="00013CF8">
        <w:rPr>
          <w:rFonts w:asciiTheme="minorHAnsi" w:hAnsiTheme="minorHAnsi" w:cstheme="minorHAnsi"/>
          <w:color w:val="000000"/>
          <w:sz w:val="22"/>
          <w:szCs w:val="22"/>
        </w:rPr>
        <w:t xml:space="preserve"> </w:t>
      </w:r>
      <w:r w:rsidRPr="00013CF8">
        <w:rPr>
          <w:rFonts w:asciiTheme="minorHAnsi" w:hAnsiTheme="minorHAnsi" w:cstheme="minorHAnsi"/>
          <w:color w:val="000000"/>
          <w:sz w:val="22"/>
          <w:szCs w:val="22"/>
        </w:rPr>
        <w:t>à cette organisation est Daniel Morin.</w:t>
      </w:r>
    </w:p>
    <w:p w14:paraId="40B4DA4B" w14:textId="4D19467C" w:rsidR="007B1B27" w:rsidRPr="00013CF8" w:rsidRDefault="009A6B30" w:rsidP="00013CF8">
      <w:pPr>
        <w:spacing w:after="120"/>
        <w:rPr>
          <w:rFonts w:asciiTheme="minorHAnsi" w:hAnsiTheme="minorHAnsi" w:cstheme="minorHAnsi"/>
          <w:color w:val="000000"/>
          <w:sz w:val="22"/>
          <w:szCs w:val="22"/>
        </w:rPr>
      </w:pPr>
      <w:r w:rsidRPr="00013CF8">
        <w:rPr>
          <w:rFonts w:asciiTheme="minorHAnsi" w:hAnsiTheme="minorHAnsi" w:cstheme="minorHAnsi"/>
          <w:color w:val="000000"/>
          <w:sz w:val="22"/>
          <w:szCs w:val="22"/>
        </w:rPr>
        <w:t>La personne</w:t>
      </w:r>
      <w:r w:rsidRPr="00013CF8">
        <w:rPr>
          <w:rFonts w:asciiTheme="minorHAnsi" w:hAnsiTheme="minorHAnsi" w:cstheme="minorHAnsi"/>
          <w:color w:val="000000"/>
          <w:sz w:val="22"/>
          <w:szCs w:val="22"/>
        </w:rPr>
        <w:noBreakHyphen/>
        <w:t xml:space="preserve">ressource </w:t>
      </w:r>
      <w:r w:rsidR="00BA2036" w:rsidRPr="00013CF8">
        <w:rPr>
          <w:rFonts w:asciiTheme="minorHAnsi" w:hAnsiTheme="minorHAnsi" w:cstheme="minorHAnsi"/>
          <w:color w:val="000000"/>
          <w:sz w:val="22"/>
          <w:szCs w:val="22"/>
        </w:rPr>
        <w:t xml:space="preserve">principale </w:t>
      </w:r>
      <w:r w:rsidRPr="00013CF8">
        <w:rPr>
          <w:rFonts w:asciiTheme="minorHAnsi" w:hAnsiTheme="minorHAnsi" w:cstheme="minorHAnsi"/>
          <w:color w:val="000000"/>
          <w:sz w:val="22"/>
          <w:szCs w:val="22"/>
        </w:rPr>
        <w:t>de l’organisation est Sophie Michaud, directrice adjointe, Recrutement, Gestion du milieu de travail et conception organisationnelle.</w:t>
      </w:r>
    </w:p>
    <w:p w14:paraId="006D942F" w14:textId="48FBD30B" w:rsidR="000C45BD" w:rsidRPr="00013CF8" w:rsidRDefault="009A6B30" w:rsidP="007B1B27">
      <w:pPr>
        <w:rPr>
          <w:rFonts w:asciiTheme="minorHAnsi" w:hAnsiTheme="minorHAnsi" w:cstheme="minorHAnsi"/>
          <w:sz w:val="22"/>
          <w:szCs w:val="22"/>
          <w:lang w:eastAsia="en-CA"/>
        </w:rPr>
      </w:pPr>
      <w:r w:rsidRPr="00013CF8">
        <w:rPr>
          <w:rFonts w:asciiTheme="minorHAnsi" w:hAnsiTheme="minorHAnsi" w:cstheme="minorHAnsi"/>
          <w:color w:val="000000"/>
          <w:sz w:val="22"/>
          <w:szCs w:val="22"/>
        </w:rPr>
        <w:t>Le</w:t>
      </w:r>
      <w:r w:rsidR="00752328" w:rsidRPr="00013CF8">
        <w:rPr>
          <w:rFonts w:asciiTheme="minorHAnsi" w:hAnsiTheme="minorHAnsi" w:cstheme="minorHAnsi"/>
          <w:color w:val="000000"/>
          <w:sz w:val="22"/>
          <w:szCs w:val="22"/>
        </w:rPr>
        <w:t xml:space="preserve"> chef</w:t>
      </w:r>
      <w:r w:rsidRPr="00013CF8">
        <w:rPr>
          <w:rFonts w:asciiTheme="minorHAnsi" w:hAnsiTheme="minorHAnsi" w:cstheme="minorHAnsi"/>
          <w:color w:val="000000"/>
          <w:sz w:val="22"/>
          <w:szCs w:val="22"/>
        </w:rPr>
        <w:t xml:space="preserve"> des ressources humaines est Adam Beaudoin, directeur.</w:t>
      </w:r>
      <w:r w:rsidR="000C45BD" w:rsidRPr="00013CF8">
        <w:rPr>
          <w:rFonts w:asciiTheme="minorHAnsi" w:hAnsiTheme="minorHAnsi" w:cstheme="minorHAnsi"/>
          <w:color w:val="FF0000"/>
          <w:sz w:val="22"/>
          <w:szCs w:val="22"/>
          <w:lang w:eastAsia="en-CA"/>
        </w:rPr>
        <w:br w:type="page"/>
      </w:r>
    </w:p>
    <w:p w14:paraId="0795AF7C" w14:textId="78332A29" w:rsidR="00C60C29" w:rsidRPr="00DB2101" w:rsidRDefault="009A6B30" w:rsidP="00B33678">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59" w:lineRule="auto"/>
        <w:rPr>
          <w:rStyle w:val="Strong"/>
          <w:rFonts w:eastAsiaTheme="minorHAnsi"/>
        </w:rPr>
      </w:pPr>
      <w:r w:rsidRPr="00DB2101">
        <w:rPr>
          <w:rStyle w:val="Strong"/>
          <w:rFonts w:eastAsiaTheme="minorHAnsi"/>
        </w:rPr>
        <w:lastRenderedPageBreak/>
        <w:t>PRÉPARÉ PAR</w:t>
      </w:r>
    </w:p>
    <w:p w14:paraId="1479EC46" w14:textId="62BA5C25" w:rsidR="00C60C29" w:rsidRPr="00013CF8" w:rsidRDefault="009A6B30" w:rsidP="00B33678">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Daniel </w:t>
      </w:r>
      <w:r w:rsidR="00692C16" w:rsidRPr="00013CF8">
        <w:rPr>
          <w:rFonts w:asciiTheme="minorHAnsi" w:eastAsiaTheme="minorHAnsi" w:hAnsiTheme="minorHAnsi" w:cstheme="minorHAnsi"/>
          <w:sz w:val="22"/>
          <w:szCs w:val="22"/>
        </w:rPr>
        <w:t>Morin</w:t>
      </w:r>
    </w:p>
    <w:p w14:paraId="2469E873" w14:textId="30017671" w:rsidR="00C60C29" w:rsidRPr="00013CF8" w:rsidRDefault="009A6B30" w:rsidP="00C60C29">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Conseiller au soutien en dotation</w:t>
      </w:r>
    </w:p>
    <w:p w14:paraId="5C45DF25" w14:textId="2C1D3A0D" w:rsidR="007B1B27" w:rsidRPr="00013CF8" w:rsidRDefault="007B1B27" w:rsidP="00B33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rPr>
      </w:pPr>
      <w:r w:rsidRPr="00013CF8">
        <w:rPr>
          <w:rFonts w:asciiTheme="minorHAnsi" w:hAnsiTheme="minorHAnsi" w:cstheme="minorHAnsi"/>
          <w:sz w:val="22"/>
          <w:szCs w:val="22"/>
        </w:rPr>
        <w:t>Annexes</w:t>
      </w:r>
      <w:r w:rsidR="00142953">
        <w:rPr>
          <w:rFonts w:asciiTheme="minorHAnsi" w:hAnsiTheme="minorHAnsi" w:cstheme="minorHAnsi"/>
          <w:sz w:val="22"/>
          <w:szCs w:val="22"/>
        </w:rPr>
        <w:t> :</w:t>
      </w:r>
    </w:p>
    <w:p w14:paraId="29E13FC8" w14:textId="4F261B0B" w:rsidR="00B33678" w:rsidRPr="00142953" w:rsidRDefault="00030DD5" w:rsidP="00142953">
      <w:pPr>
        <w:pStyle w:val="ListParagraph"/>
        <w:numPr>
          <w:ilvl w:val="0"/>
          <w:numId w:val="28"/>
        </w:numPr>
        <w:spacing w:after="120"/>
        <w:ind w:left="714" w:hanging="357"/>
        <w:contextualSpacing w:val="0"/>
        <w:rPr>
          <w:rStyle w:val="Hyperlink"/>
          <w:rFonts w:asciiTheme="minorHAnsi" w:hAnsiTheme="minorHAnsi" w:cstheme="minorHAnsi"/>
          <w:bCs/>
          <w:sz w:val="22"/>
          <w:szCs w:val="22"/>
        </w:rPr>
      </w:pPr>
      <w:hyperlink w:anchor="Annexe_A" w:history="1">
        <w:r w:rsidR="000F7E62" w:rsidRPr="00142953">
          <w:rPr>
            <w:rStyle w:val="Hyperlink"/>
            <w:rFonts w:asciiTheme="minorHAnsi" w:hAnsiTheme="minorHAnsi" w:cstheme="minorHAnsi"/>
            <w:sz w:val="22"/>
            <w:szCs w:val="22"/>
          </w:rPr>
          <w:t>Annexe A –</w:t>
        </w:r>
        <w:r w:rsidR="00B33678" w:rsidRPr="00142953">
          <w:rPr>
            <w:rStyle w:val="Hyperlink"/>
            <w:rFonts w:asciiTheme="minorHAnsi" w:hAnsiTheme="minorHAnsi" w:cstheme="minorHAnsi"/>
            <w:sz w:val="22"/>
            <w:szCs w:val="22"/>
          </w:rPr>
          <w:t xml:space="preserve">Document Faits Saillants de la Nouvelle orientation en dotation (NOD) pour les AG </w:t>
        </w:r>
      </w:hyperlink>
    </w:p>
    <w:p w14:paraId="4158A8D5" w14:textId="27DE0493" w:rsidR="00B33678" w:rsidRPr="00142953" w:rsidRDefault="00030DD5" w:rsidP="00B33678">
      <w:pPr>
        <w:pStyle w:val="ListParagraph"/>
        <w:numPr>
          <w:ilvl w:val="0"/>
          <w:numId w:val="28"/>
        </w:numPr>
        <w:rPr>
          <w:rStyle w:val="Hyperlink"/>
          <w:rFonts w:asciiTheme="minorHAnsi" w:hAnsiTheme="minorHAnsi" w:cstheme="minorHAnsi"/>
          <w:bCs/>
          <w:color w:val="auto"/>
          <w:sz w:val="22"/>
          <w:szCs w:val="22"/>
          <w:u w:val="none"/>
        </w:rPr>
      </w:pPr>
      <w:hyperlink w:anchor="Annexe_B" w:history="1">
        <w:r w:rsidR="00B33678" w:rsidRPr="00142953">
          <w:rPr>
            <w:rStyle w:val="Hyperlink"/>
            <w:rFonts w:asciiTheme="minorHAnsi" w:hAnsiTheme="minorHAnsi" w:cstheme="minorHAnsi"/>
            <w:sz w:val="22"/>
            <w:szCs w:val="22"/>
          </w:rPr>
          <w:t>Annexe B - Données sur l’effectif et les activités de dotation</w:t>
        </w:r>
      </w:hyperlink>
    </w:p>
    <w:p w14:paraId="677D447A" w14:textId="5962412F" w:rsidR="007B1B27" w:rsidRPr="00142953" w:rsidRDefault="007B1B27" w:rsidP="00B04BE4">
      <w:pPr>
        <w:ind w:left="7920"/>
        <w:jc w:val="right"/>
        <w:rPr>
          <w:rFonts w:asciiTheme="minorHAnsi" w:hAnsiTheme="minorHAnsi" w:cstheme="minorHAnsi"/>
          <w:sz w:val="22"/>
          <w:szCs w:val="22"/>
        </w:rPr>
        <w:sectPr w:rsidR="007B1B27" w:rsidRPr="00142953" w:rsidSect="007B1B27">
          <w:footerReference w:type="default" r:id="rId9"/>
          <w:footerReference w:type="first" r:id="rId10"/>
          <w:footnotePr>
            <w:numFmt w:val="lowerLetter"/>
          </w:footnotePr>
          <w:endnotePr>
            <w:numFmt w:val="lowerLetter"/>
          </w:endnotePr>
          <w:pgSz w:w="12240" w:h="15840" w:code="1"/>
          <w:pgMar w:top="1276" w:right="1304" w:bottom="1361" w:left="1304" w:header="284" w:footer="284" w:gutter="0"/>
          <w:pgNumType w:start="1"/>
          <w:cols w:space="720"/>
          <w:docGrid w:linePitch="326"/>
        </w:sectPr>
      </w:pPr>
    </w:p>
    <w:p w14:paraId="4BB8F388" w14:textId="0C0B8BE6" w:rsidR="007B1B27" w:rsidRPr="000F7E62" w:rsidRDefault="000F7E62" w:rsidP="000F7E62">
      <w:pPr>
        <w:pStyle w:val="Heading3"/>
        <w:jc w:val="right"/>
        <w:rPr>
          <w:sz w:val="22"/>
        </w:rPr>
      </w:pPr>
      <w:bookmarkStart w:id="2" w:name="Annexe_A"/>
      <w:r w:rsidRPr="000F7E62">
        <w:rPr>
          <w:sz w:val="22"/>
        </w:rPr>
        <w:lastRenderedPageBreak/>
        <w:t>Annexe A</w:t>
      </w:r>
    </w:p>
    <w:bookmarkEnd w:id="2"/>
    <w:p w14:paraId="1691940A" w14:textId="77777777" w:rsidR="00D92B84" w:rsidRPr="00013CF8" w:rsidRDefault="00D92B84" w:rsidP="00D92B84">
      <w:pPr>
        <w:pStyle w:val="Heading2"/>
        <w:jc w:val="center"/>
      </w:pPr>
      <w:r w:rsidRPr="00013CF8">
        <w:t>Une nouvelle orientation en dotation - un système fondé sur le mérite</w:t>
      </w:r>
      <w:r w:rsidRPr="00013CF8">
        <w:rPr>
          <w:rFonts w:asciiTheme="majorHAnsi" w:hAnsiTheme="majorHAnsi" w:cstheme="majorBidi"/>
          <w:color w:val="54575A" w:themeColor="text1"/>
        </w:rPr>
        <w:t xml:space="preserve"> </w:t>
      </w:r>
      <w:r w:rsidRPr="00013CF8">
        <w:t>et axé sur l’efficacité, l’efficience et la justice</w:t>
      </w:r>
    </w:p>
    <w:p w14:paraId="69E8F801" w14:textId="77777777" w:rsidR="00D92B84" w:rsidRPr="00013CF8" w:rsidRDefault="00D92B84" w:rsidP="00D92B84">
      <w:pPr>
        <w:pStyle w:val="Heading3"/>
        <w:spacing w:after="120"/>
        <w:rPr>
          <w:sz w:val="22"/>
          <w:szCs w:val="22"/>
        </w:rPr>
      </w:pPr>
      <w:r w:rsidRPr="00013CF8">
        <w:rPr>
          <w:sz w:val="22"/>
          <w:szCs w:val="22"/>
        </w:rPr>
        <w:t>Politique de nomination</w:t>
      </w:r>
    </w:p>
    <w:p w14:paraId="297F3D4B" w14:textId="77777777" w:rsidR="00D92B84" w:rsidRPr="00013CF8" w:rsidRDefault="00D92B84" w:rsidP="00D92B84">
      <w:pPr>
        <w:keepLines/>
        <w:spacing w:line="259" w:lineRule="auto"/>
        <w:rPr>
          <w:rFonts w:asciiTheme="minorHAnsi" w:eastAsiaTheme="minorHAnsi" w:hAnsiTheme="minorHAnsi" w:cstheme="minorHAnsi"/>
          <w:spacing w:val="-6"/>
          <w:sz w:val="22"/>
          <w:szCs w:val="22"/>
        </w:rPr>
      </w:pPr>
      <w:r w:rsidRPr="00013CF8">
        <w:rPr>
          <w:rStyle w:val="Strong"/>
          <w:rFonts w:eastAsiaTheme="minorHAnsi" w:cstheme="minorHAnsi"/>
          <w:szCs w:val="22"/>
        </w:rPr>
        <w:t>L’accent est davantage mis sur  les exigences de base</w:t>
      </w:r>
      <w:r w:rsidRPr="00013CF8">
        <w:rPr>
          <w:rFonts w:asciiTheme="minorHAnsi" w:eastAsiaTheme="minorHAnsi" w:hAnsiTheme="minorHAnsi" w:cstheme="minorHAnsi"/>
          <w:spacing w:val="-6"/>
          <w:sz w:val="22"/>
          <w:szCs w:val="22"/>
        </w:rPr>
        <w:t xml:space="preserve"> afin de fournir aux personnes subdéléguées une plus grande  latitude à l’égard des nominations</w:t>
      </w:r>
    </w:p>
    <w:p w14:paraId="115F348D" w14:textId="77777777" w:rsidR="00D92B84" w:rsidRPr="00013CF8" w:rsidRDefault="00D92B84" w:rsidP="00D92B84">
      <w:pPr>
        <w:keepLines/>
        <w:numPr>
          <w:ilvl w:val="0"/>
          <w:numId w:val="23"/>
        </w:numPr>
        <w:spacing w:line="259" w:lineRule="auto"/>
        <w:rPr>
          <w:rFonts w:asciiTheme="minorHAnsi" w:eastAsiaTheme="minorHAnsi" w:hAnsiTheme="minorHAnsi" w:cstheme="minorHAnsi"/>
          <w:spacing w:val="-6"/>
          <w:sz w:val="22"/>
          <w:szCs w:val="22"/>
        </w:rPr>
      </w:pPr>
      <w:r w:rsidRPr="00013CF8">
        <w:rPr>
          <w:rStyle w:val="Strong"/>
          <w:rFonts w:eastAsiaTheme="minorHAnsi" w:cstheme="minorHAnsi"/>
          <w:szCs w:val="22"/>
        </w:rPr>
        <w:t>Une seule politique de nomination</w:t>
      </w:r>
      <w:r w:rsidRPr="00013CF8">
        <w:rPr>
          <w:rFonts w:asciiTheme="minorHAnsi" w:eastAsiaTheme="minorHAnsi" w:hAnsiTheme="minorHAnsi" w:cstheme="minorHAnsi"/>
          <w:spacing w:val="-6"/>
          <w:sz w:val="22"/>
          <w:szCs w:val="22"/>
        </w:rPr>
        <w:t xml:space="preserve">, sans chevauchement des obligations juridiques </w:t>
      </w:r>
    </w:p>
    <w:p w14:paraId="0C6FB195" w14:textId="77777777" w:rsidR="00D92B84" w:rsidRPr="00013CF8" w:rsidRDefault="00D92B84" w:rsidP="00D92B84">
      <w:pPr>
        <w:keepLines/>
        <w:numPr>
          <w:ilvl w:val="0"/>
          <w:numId w:val="23"/>
        </w:numPr>
        <w:spacing w:line="259" w:lineRule="auto"/>
        <w:rPr>
          <w:rFonts w:asciiTheme="minorHAnsi" w:eastAsiaTheme="minorHAnsi" w:hAnsiTheme="minorHAnsi" w:cstheme="minorHAnsi"/>
          <w:spacing w:val="-6"/>
          <w:sz w:val="22"/>
          <w:szCs w:val="22"/>
        </w:rPr>
      </w:pPr>
      <w:r w:rsidRPr="00013CF8">
        <w:rPr>
          <w:rStyle w:val="Strong"/>
          <w:rFonts w:eastAsiaTheme="minorHAnsi" w:cstheme="minorHAnsi"/>
          <w:szCs w:val="22"/>
        </w:rPr>
        <w:t>Accent accru sur un système axé sur les valeurs</w:t>
      </w:r>
      <w:r w:rsidRPr="00013CF8">
        <w:rPr>
          <w:rFonts w:asciiTheme="minorHAnsi" w:eastAsiaTheme="minorHAnsi" w:hAnsiTheme="minorHAnsi" w:cstheme="minorHAnsi"/>
          <w:sz w:val="22"/>
          <w:szCs w:val="22"/>
        </w:rPr>
        <w:t xml:space="preserve"> plutôt que sur un </w:t>
      </w:r>
      <w:r w:rsidRPr="00013CF8">
        <w:rPr>
          <w:rFonts w:asciiTheme="minorHAnsi" w:eastAsiaTheme="minorHAnsi" w:hAnsiTheme="minorHAnsi" w:cstheme="minorHAnsi"/>
          <w:spacing w:val="-6"/>
          <w:sz w:val="22"/>
          <w:szCs w:val="22"/>
        </w:rPr>
        <w:t>système axé sur les règles</w:t>
      </w:r>
      <w:r w:rsidRPr="00013CF8">
        <w:rPr>
          <w:rFonts w:asciiTheme="minorHAnsi" w:eastAsiaTheme="minorHAnsi" w:hAnsiTheme="minorHAnsi" w:cstheme="minorHAnsi"/>
          <w:b/>
          <w:spacing w:val="-6"/>
          <w:sz w:val="22"/>
          <w:szCs w:val="22"/>
        </w:rPr>
        <w:t xml:space="preserve"> </w:t>
      </w:r>
    </w:p>
    <w:p w14:paraId="33FC68FC" w14:textId="77777777" w:rsidR="00D92B84" w:rsidRPr="00013CF8" w:rsidRDefault="00D92B84" w:rsidP="00D92B84">
      <w:pPr>
        <w:keepLines/>
        <w:numPr>
          <w:ilvl w:val="0"/>
          <w:numId w:val="23"/>
        </w:numPr>
        <w:spacing w:line="259" w:lineRule="auto"/>
        <w:rPr>
          <w:rFonts w:asciiTheme="minorHAnsi" w:eastAsiaTheme="minorHAnsi" w:hAnsiTheme="minorHAnsi" w:cstheme="minorHAnsi"/>
          <w:spacing w:val="-6"/>
          <w:sz w:val="22"/>
          <w:szCs w:val="22"/>
        </w:rPr>
      </w:pPr>
      <w:r w:rsidRPr="00013CF8">
        <w:rPr>
          <w:rFonts w:asciiTheme="minorHAnsi" w:eastAsiaTheme="minorHAnsi" w:hAnsiTheme="minorHAnsi" w:cstheme="minorHAnsi"/>
          <w:spacing w:val="-6"/>
          <w:sz w:val="22"/>
          <w:szCs w:val="22"/>
        </w:rPr>
        <w:t xml:space="preserve">Politique de nomination appuyée par une </w:t>
      </w:r>
      <w:r w:rsidRPr="00013CF8">
        <w:rPr>
          <w:rStyle w:val="Strong"/>
          <w:rFonts w:eastAsiaTheme="minorHAnsi" w:cstheme="minorHAnsi"/>
          <w:szCs w:val="22"/>
        </w:rPr>
        <w:t>orientation rationalisée</w:t>
      </w:r>
      <w:r w:rsidRPr="00013CF8">
        <w:rPr>
          <w:rFonts w:asciiTheme="minorHAnsi" w:eastAsiaTheme="minorHAnsi" w:hAnsiTheme="minorHAnsi" w:cstheme="minorHAnsi"/>
          <w:b/>
          <w:spacing w:val="-6"/>
          <w:sz w:val="22"/>
          <w:szCs w:val="22"/>
        </w:rPr>
        <w:t xml:space="preserve"> </w:t>
      </w:r>
      <w:r w:rsidRPr="00013CF8">
        <w:rPr>
          <w:rFonts w:asciiTheme="minorHAnsi" w:eastAsiaTheme="minorHAnsi" w:hAnsiTheme="minorHAnsi" w:cstheme="minorHAnsi"/>
          <w:spacing w:val="-6"/>
          <w:sz w:val="22"/>
          <w:szCs w:val="22"/>
        </w:rPr>
        <w:t>:</w:t>
      </w:r>
    </w:p>
    <w:p w14:paraId="75546CCD" w14:textId="77777777" w:rsidR="00D92B84" w:rsidRPr="008423EA" w:rsidRDefault="00D92B84" w:rsidP="00D92B84">
      <w:pPr>
        <w:keepLines/>
        <w:numPr>
          <w:ilvl w:val="1"/>
          <w:numId w:val="19"/>
        </w:numPr>
        <w:spacing w:line="259" w:lineRule="auto"/>
        <w:ind w:left="1508" w:hanging="425"/>
        <w:rPr>
          <w:rFonts w:asciiTheme="minorHAnsi" w:eastAsiaTheme="minorHAnsi" w:hAnsiTheme="minorHAnsi" w:cstheme="minorHAnsi"/>
          <w:spacing w:val="-6"/>
          <w:sz w:val="22"/>
          <w:szCs w:val="22"/>
        </w:rPr>
      </w:pPr>
      <w:r w:rsidRPr="008423EA">
        <w:rPr>
          <w:rFonts w:asciiTheme="minorHAnsi" w:eastAsiaTheme="minorHAnsi" w:hAnsiTheme="minorHAnsi" w:cstheme="minorHAnsi"/>
          <w:spacing w:val="-6"/>
          <w:sz w:val="22"/>
          <w:szCs w:val="22"/>
        </w:rPr>
        <w:t>Feuille de route précisant les exigences relatives aux lois, règlements et politiques</w:t>
      </w:r>
    </w:p>
    <w:p w14:paraId="42DEEBD5" w14:textId="77777777" w:rsidR="00D92B84" w:rsidRPr="008423EA" w:rsidRDefault="00D92B84" w:rsidP="00D92B84">
      <w:pPr>
        <w:keepLines/>
        <w:numPr>
          <w:ilvl w:val="1"/>
          <w:numId w:val="19"/>
        </w:numPr>
        <w:spacing w:line="259" w:lineRule="auto"/>
        <w:ind w:left="1508" w:hanging="425"/>
        <w:rPr>
          <w:rFonts w:asciiTheme="minorHAnsi" w:eastAsiaTheme="minorHAnsi" w:hAnsiTheme="minorHAnsi" w:cstheme="minorHAnsi"/>
          <w:spacing w:val="-6"/>
          <w:sz w:val="22"/>
          <w:szCs w:val="22"/>
        </w:rPr>
      </w:pPr>
      <w:r w:rsidRPr="008423EA">
        <w:rPr>
          <w:rFonts w:asciiTheme="minorHAnsi" w:eastAsiaTheme="minorHAnsi" w:hAnsiTheme="minorHAnsi" w:cstheme="minorHAnsi"/>
          <w:spacing w:val="-6"/>
          <w:sz w:val="22"/>
          <w:szCs w:val="22"/>
        </w:rPr>
        <w:t>Options et considérations relatives à  la prise de décisions dans les cas où il existe une certaine latitude</w:t>
      </w:r>
    </w:p>
    <w:p w14:paraId="7D0A31DA" w14:textId="77777777" w:rsidR="00D92B84" w:rsidRPr="00013CF8" w:rsidRDefault="00D92B84" w:rsidP="00D92B84">
      <w:pPr>
        <w:keepLines/>
        <w:numPr>
          <w:ilvl w:val="0"/>
          <w:numId w:val="24"/>
        </w:numPr>
        <w:spacing w:line="259" w:lineRule="auto"/>
        <w:rPr>
          <w:rFonts w:asciiTheme="minorHAnsi" w:eastAsiaTheme="minorHAnsi" w:hAnsiTheme="minorHAnsi" w:cstheme="minorHAnsi"/>
          <w:spacing w:val="-6"/>
          <w:sz w:val="22"/>
          <w:szCs w:val="22"/>
        </w:rPr>
      </w:pPr>
      <w:r w:rsidRPr="00013CF8">
        <w:rPr>
          <w:rStyle w:val="Strong"/>
          <w:rFonts w:eastAsiaTheme="minorHAnsi" w:cstheme="minorHAnsi"/>
          <w:szCs w:val="22"/>
        </w:rPr>
        <w:t>Attentes clairement définies</w:t>
      </w:r>
      <w:r w:rsidRPr="00013CF8">
        <w:rPr>
          <w:rFonts w:asciiTheme="minorHAnsi" w:eastAsiaTheme="minorHAnsi" w:hAnsiTheme="minorHAnsi" w:cstheme="minorHAnsi"/>
          <w:spacing w:val="-6"/>
          <w:sz w:val="22"/>
          <w:szCs w:val="22"/>
        </w:rPr>
        <w:t xml:space="preserve"> quant aux droits de priorité</w:t>
      </w:r>
    </w:p>
    <w:p w14:paraId="0B27727B" w14:textId="77777777" w:rsidR="00D92B84" w:rsidRPr="00013CF8" w:rsidRDefault="00D92B84" w:rsidP="00D92B84">
      <w:pPr>
        <w:keepLines/>
        <w:numPr>
          <w:ilvl w:val="0"/>
          <w:numId w:val="24"/>
        </w:numPr>
        <w:spacing w:line="259" w:lineRule="auto"/>
        <w:rPr>
          <w:rFonts w:asciiTheme="minorHAnsi" w:eastAsiaTheme="minorHAnsi" w:hAnsiTheme="minorHAnsi" w:cstheme="minorHAnsi"/>
          <w:spacing w:val="-6"/>
          <w:sz w:val="22"/>
          <w:szCs w:val="22"/>
        </w:rPr>
      </w:pPr>
      <w:r w:rsidRPr="00013CF8">
        <w:rPr>
          <w:rFonts w:asciiTheme="minorHAnsi" w:eastAsiaTheme="minorHAnsi" w:hAnsiTheme="minorHAnsi" w:cstheme="minorHAnsi"/>
          <w:spacing w:val="-6"/>
          <w:sz w:val="22"/>
          <w:szCs w:val="22"/>
        </w:rPr>
        <w:t>Aucune restriction quant aux méthodes d’évaluation pour la  nomination des cadres de direction (EX)</w:t>
      </w:r>
    </w:p>
    <w:p w14:paraId="035F9CF3" w14:textId="77777777" w:rsidR="00D92B84" w:rsidRPr="008423EA" w:rsidRDefault="00D92B84" w:rsidP="00D92B84">
      <w:pPr>
        <w:keepLines/>
        <w:numPr>
          <w:ilvl w:val="0"/>
          <w:numId w:val="24"/>
        </w:numPr>
        <w:spacing w:after="240" w:line="259" w:lineRule="auto"/>
        <w:rPr>
          <w:rFonts w:asciiTheme="minorHAnsi" w:eastAsiaTheme="minorHAnsi" w:hAnsiTheme="minorHAnsi" w:cstheme="minorHAnsi"/>
          <w:spacing w:val="-6"/>
          <w:sz w:val="22"/>
          <w:szCs w:val="22"/>
        </w:rPr>
      </w:pPr>
      <w:r w:rsidRPr="008423EA">
        <w:rPr>
          <w:rFonts w:asciiTheme="minorHAnsi" w:eastAsiaTheme="minorHAnsi" w:hAnsiTheme="minorHAnsi" w:cstheme="minorHAnsi"/>
          <w:spacing w:val="-6"/>
          <w:sz w:val="22"/>
          <w:szCs w:val="22"/>
        </w:rPr>
        <w:t>Exceptions à la zone nationale de sélection approuvées</w:t>
      </w:r>
    </w:p>
    <w:p w14:paraId="0614B59A" w14:textId="77777777" w:rsidR="00D92B84" w:rsidRPr="00013CF8" w:rsidRDefault="00D92B84" w:rsidP="00D92B84">
      <w:pPr>
        <w:pStyle w:val="Heading3"/>
        <w:spacing w:after="120"/>
        <w:rPr>
          <w:sz w:val="22"/>
          <w:szCs w:val="22"/>
        </w:rPr>
      </w:pPr>
      <w:r w:rsidRPr="00013CF8">
        <w:rPr>
          <w:sz w:val="22"/>
          <w:szCs w:val="22"/>
        </w:rPr>
        <w:t>Délégation</w:t>
      </w:r>
    </w:p>
    <w:p w14:paraId="63878592" w14:textId="77777777" w:rsidR="00D92B84" w:rsidRPr="00013CF8" w:rsidRDefault="00D92B84" w:rsidP="00D92B84">
      <w:pPr>
        <w:pStyle w:val="ListParagraph"/>
        <w:keepLines/>
        <w:numPr>
          <w:ilvl w:val="0"/>
          <w:numId w:val="25"/>
        </w:numPr>
        <w:spacing w:after="0" w:line="259" w:lineRule="auto"/>
        <w:rPr>
          <w:rFonts w:asciiTheme="minorHAnsi" w:eastAsiaTheme="minorHAnsi" w:hAnsiTheme="minorHAnsi" w:cstheme="minorHAnsi"/>
          <w:spacing w:val="-8"/>
          <w:sz w:val="22"/>
          <w:szCs w:val="22"/>
        </w:rPr>
      </w:pPr>
      <w:r w:rsidRPr="00013CF8">
        <w:rPr>
          <w:rStyle w:val="Strong"/>
          <w:rFonts w:eastAsiaTheme="minorHAnsi" w:cstheme="minorHAnsi"/>
          <w:szCs w:val="22"/>
        </w:rPr>
        <w:t>L’accent est davantage mis sur la capacité d’adapter le système de dotation  de l’organisation</w:t>
      </w:r>
      <w:r w:rsidRPr="00013CF8">
        <w:rPr>
          <w:rFonts w:asciiTheme="minorHAnsi" w:eastAsiaTheme="minorHAnsi" w:hAnsiTheme="minorHAnsi" w:cstheme="minorHAnsi"/>
          <w:b/>
          <w:bCs/>
          <w:spacing w:val="-8"/>
          <w:sz w:val="22"/>
          <w:szCs w:val="22"/>
        </w:rPr>
        <w:t xml:space="preserve"> </w:t>
      </w:r>
      <w:r w:rsidRPr="00013CF8">
        <w:rPr>
          <w:rFonts w:asciiTheme="minorHAnsi" w:eastAsiaTheme="minorHAnsi" w:hAnsiTheme="minorHAnsi" w:cstheme="minorHAnsi"/>
          <w:spacing w:val="-8"/>
          <w:sz w:val="22"/>
          <w:szCs w:val="22"/>
        </w:rPr>
        <w:t xml:space="preserve">en fonction du contexte particulier et des besoins opérationnels en évolution </w:t>
      </w:r>
    </w:p>
    <w:p w14:paraId="611C2DD2" w14:textId="77777777" w:rsidR="00D92B84" w:rsidRPr="00013CF8" w:rsidRDefault="00D92B84" w:rsidP="00D92B84">
      <w:pPr>
        <w:keepLines/>
        <w:numPr>
          <w:ilvl w:val="0"/>
          <w:numId w:val="25"/>
        </w:numPr>
        <w:spacing w:line="259" w:lineRule="auto"/>
        <w:rPr>
          <w:rStyle w:val="Strong"/>
          <w:rFonts w:eastAsiaTheme="minorHAnsi" w:cstheme="minorHAnsi"/>
          <w:szCs w:val="22"/>
        </w:rPr>
      </w:pPr>
      <w:r w:rsidRPr="00013CF8">
        <w:rPr>
          <w:rFonts w:asciiTheme="minorHAnsi" w:eastAsiaTheme="minorHAnsi" w:hAnsiTheme="minorHAnsi" w:cstheme="minorHAnsi"/>
          <w:spacing w:val="-8"/>
          <w:sz w:val="22"/>
          <w:szCs w:val="22"/>
        </w:rPr>
        <w:t xml:space="preserve">L’administrateur général établit une orientation quant à </w:t>
      </w:r>
      <w:r w:rsidRPr="00013CF8">
        <w:rPr>
          <w:rStyle w:val="Strong"/>
          <w:rFonts w:eastAsiaTheme="minorHAnsi" w:cstheme="minorHAnsi"/>
          <w:szCs w:val="22"/>
        </w:rPr>
        <w:t xml:space="preserve">l’utilisation des processus de nomination annoncés et non annoncés </w:t>
      </w:r>
    </w:p>
    <w:p w14:paraId="1116ADD4" w14:textId="77777777" w:rsidR="00D92B84" w:rsidRPr="00013CF8" w:rsidRDefault="00D92B84" w:rsidP="00D92B84">
      <w:pPr>
        <w:keepLines/>
        <w:numPr>
          <w:ilvl w:val="0"/>
          <w:numId w:val="25"/>
        </w:numPr>
        <w:spacing w:line="259" w:lineRule="auto"/>
        <w:rPr>
          <w:rStyle w:val="Strong"/>
          <w:rFonts w:eastAsiaTheme="minorHAnsi" w:cstheme="minorHAnsi"/>
          <w:szCs w:val="22"/>
        </w:rPr>
      </w:pPr>
      <w:r w:rsidRPr="00013CF8">
        <w:rPr>
          <w:rFonts w:asciiTheme="minorHAnsi" w:eastAsiaTheme="minorHAnsi" w:hAnsiTheme="minorHAnsi" w:cstheme="minorHAnsi"/>
          <w:spacing w:val="-8"/>
          <w:sz w:val="22"/>
          <w:szCs w:val="22"/>
        </w:rPr>
        <w:t xml:space="preserve">L’administrateur général établit les exigences pour les personnes subdéléguées </w:t>
      </w:r>
      <w:r w:rsidRPr="00013CF8">
        <w:rPr>
          <w:rStyle w:val="Strong"/>
          <w:rFonts w:eastAsiaTheme="minorHAnsi" w:cstheme="minorHAnsi"/>
          <w:szCs w:val="22"/>
        </w:rPr>
        <w:t>de formuler, par écrit, la décision de sélection</w:t>
      </w:r>
    </w:p>
    <w:p w14:paraId="2E175E01" w14:textId="77777777" w:rsidR="00D92B84" w:rsidRPr="00013CF8" w:rsidRDefault="00D92B84" w:rsidP="00D92B84">
      <w:pPr>
        <w:keepLines/>
        <w:numPr>
          <w:ilvl w:val="0"/>
          <w:numId w:val="25"/>
        </w:numPr>
        <w:spacing w:line="259" w:lineRule="auto"/>
        <w:rPr>
          <w:rFonts w:asciiTheme="minorHAnsi" w:eastAsiaTheme="minorHAnsi" w:hAnsiTheme="minorHAnsi" w:cstheme="minorHAnsi"/>
          <w:spacing w:val="-8"/>
          <w:sz w:val="22"/>
          <w:szCs w:val="22"/>
        </w:rPr>
      </w:pPr>
      <w:r w:rsidRPr="00013CF8">
        <w:rPr>
          <w:rFonts w:asciiTheme="minorHAnsi" w:eastAsiaTheme="minorHAnsi" w:hAnsiTheme="minorHAnsi" w:cstheme="minorHAnsi"/>
          <w:spacing w:val="-8"/>
          <w:sz w:val="22"/>
          <w:szCs w:val="22"/>
        </w:rPr>
        <w:t>Exigences plus claires concernant les enquêtes</w:t>
      </w:r>
    </w:p>
    <w:p w14:paraId="517E2AD9" w14:textId="77777777" w:rsidR="00D92B84" w:rsidRPr="00013CF8" w:rsidRDefault="00D92B84" w:rsidP="00D92B84">
      <w:pPr>
        <w:keepLines/>
        <w:numPr>
          <w:ilvl w:val="0"/>
          <w:numId w:val="25"/>
        </w:numPr>
        <w:spacing w:line="259" w:lineRule="auto"/>
        <w:rPr>
          <w:rFonts w:asciiTheme="minorHAnsi" w:eastAsiaTheme="minorHAnsi" w:hAnsiTheme="minorHAnsi" w:cstheme="minorHAnsi"/>
          <w:spacing w:val="-8"/>
          <w:sz w:val="22"/>
          <w:szCs w:val="22"/>
        </w:rPr>
      </w:pPr>
      <w:r w:rsidRPr="00013CF8">
        <w:rPr>
          <w:rStyle w:val="Strong"/>
          <w:rFonts w:eastAsiaTheme="minorHAnsi" w:cstheme="minorHAnsi"/>
          <w:szCs w:val="22"/>
        </w:rPr>
        <w:t>Formulaire d’attestation</w:t>
      </w:r>
      <w:r w:rsidRPr="00013CF8">
        <w:rPr>
          <w:rFonts w:asciiTheme="minorHAnsi" w:eastAsiaTheme="minorHAnsi" w:hAnsiTheme="minorHAnsi" w:cstheme="minorHAnsi"/>
          <w:spacing w:val="-8"/>
          <w:sz w:val="22"/>
          <w:szCs w:val="22"/>
        </w:rPr>
        <w:t xml:space="preserve"> réitérant les responsabilités des personnes subdéléguées</w:t>
      </w:r>
    </w:p>
    <w:p w14:paraId="70ADFDD5" w14:textId="77777777" w:rsidR="000F7E62" w:rsidRDefault="00D92B84" w:rsidP="000F7E62">
      <w:pPr>
        <w:keepLines/>
        <w:spacing w:after="160" w:line="259" w:lineRule="auto"/>
        <w:ind w:right="-202"/>
        <w:rPr>
          <w:rFonts w:asciiTheme="minorHAnsi" w:eastAsiaTheme="minorHAnsi" w:hAnsiTheme="minorHAnsi" w:cstheme="minorHAnsi"/>
          <w:spacing w:val="-8"/>
          <w:sz w:val="22"/>
          <w:szCs w:val="22"/>
        </w:rPr>
      </w:pPr>
      <w:r w:rsidRPr="00013CF8">
        <w:rPr>
          <w:rFonts w:asciiTheme="minorHAnsi" w:eastAsiaTheme="minorHAnsi" w:hAnsiTheme="minorHAnsi" w:cstheme="minorHAnsi"/>
          <w:spacing w:val="-8"/>
          <w:sz w:val="22"/>
          <w:szCs w:val="22"/>
        </w:rPr>
        <w:t>Toutes les exigences de la CFP en matière de surveillance et de présentation de rapports figurent maintenant dans l’Instrument de délégation et de responsabili</w:t>
      </w:r>
      <w:r w:rsidR="000F7E62">
        <w:rPr>
          <w:rFonts w:asciiTheme="minorHAnsi" w:eastAsiaTheme="minorHAnsi" w:hAnsiTheme="minorHAnsi" w:cstheme="minorHAnsi"/>
          <w:spacing w:val="-8"/>
          <w:sz w:val="22"/>
          <w:szCs w:val="22"/>
        </w:rPr>
        <w:t>sation en matière de nomination</w:t>
      </w:r>
    </w:p>
    <w:p w14:paraId="34D40743" w14:textId="77777777" w:rsidR="00D92B84" w:rsidRPr="00013CF8" w:rsidRDefault="00D92B84" w:rsidP="00D92B84">
      <w:pPr>
        <w:pStyle w:val="Heading3"/>
        <w:spacing w:after="120"/>
        <w:rPr>
          <w:sz w:val="22"/>
          <w:szCs w:val="22"/>
        </w:rPr>
      </w:pPr>
      <w:r w:rsidRPr="00013CF8">
        <w:rPr>
          <w:sz w:val="22"/>
          <w:szCs w:val="22"/>
        </w:rPr>
        <w:t>Surveillance et rapports</w:t>
      </w:r>
    </w:p>
    <w:p w14:paraId="452773E6" w14:textId="77777777" w:rsidR="00D92B84" w:rsidRPr="00013CF8" w:rsidRDefault="00D92B84" w:rsidP="00D92B84">
      <w:pPr>
        <w:spacing w:after="120"/>
        <w:rPr>
          <w:rFonts w:asciiTheme="minorHAnsi" w:eastAsiaTheme="minorHAnsi" w:hAnsiTheme="minorHAnsi" w:cstheme="minorHAnsi"/>
          <w:sz w:val="22"/>
          <w:szCs w:val="22"/>
          <w:highlight w:val="yellow"/>
        </w:rPr>
      </w:pPr>
      <w:r w:rsidRPr="00013CF8">
        <w:rPr>
          <w:rStyle w:val="Strong"/>
          <w:rFonts w:eastAsiaTheme="minorHAnsi" w:cstheme="minorHAnsi"/>
          <w:szCs w:val="22"/>
        </w:rPr>
        <w:t>La surveillance est établie par les organisations</w:t>
      </w:r>
      <w:r w:rsidRPr="00013CF8">
        <w:rPr>
          <w:rFonts w:asciiTheme="minorHAnsi" w:eastAsiaTheme="minorHAnsi" w:hAnsiTheme="minorHAnsi" w:cstheme="minorHAnsi"/>
          <w:sz w:val="22"/>
          <w:szCs w:val="22"/>
        </w:rPr>
        <w:t>, ciblée à leurs besoins</w:t>
      </w:r>
    </w:p>
    <w:p w14:paraId="1596213D" w14:textId="77777777" w:rsidR="00D92B84" w:rsidRPr="00013CF8" w:rsidRDefault="00D92B84" w:rsidP="00D92B84">
      <w:pPr>
        <w:pStyle w:val="ListParagraph"/>
        <w:numPr>
          <w:ilvl w:val="0"/>
          <w:numId w:val="26"/>
        </w:numPr>
        <w:spacing w:after="0"/>
        <w:contextualSpacing w:val="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Le Rapport ministériel sur l’obligation de rendre compte en dotation n’est plus requis</w:t>
      </w:r>
    </w:p>
    <w:p w14:paraId="3B85DD1A" w14:textId="77777777" w:rsidR="00D92B84" w:rsidRPr="00013CF8" w:rsidRDefault="00D92B84" w:rsidP="00D92B84">
      <w:pPr>
        <w:pStyle w:val="ListParagraph"/>
        <w:numPr>
          <w:ilvl w:val="0"/>
          <w:numId w:val="26"/>
        </w:numPr>
        <w:spacing w:after="0"/>
        <w:contextualSpacing w:val="0"/>
        <w:rPr>
          <w:rFonts w:asciiTheme="minorHAnsi" w:eastAsiaTheme="minorHAnsi" w:hAnsiTheme="minorHAnsi" w:cstheme="minorHAnsi"/>
          <w:sz w:val="22"/>
          <w:szCs w:val="22"/>
        </w:rPr>
      </w:pPr>
      <w:r w:rsidRPr="00013CF8">
        <w:rPr>
          <w:rStyle w:val="Strong"/>
          <w:rFonts w:eastAsiaTheme="minorHAnsi" w:cstheme="minorHAnsi"/>
          <w:szCs w:val="22"/>
        </w:rPr>
        <w:t>Le rapport annuel à la CFP portera seulement</w:t>
      </w:r>
      <w:r w:rsidRPr="00013CF8">
        <w:rPr>
          <w:rFonts w:asciiTheme="minorHAnsi" w:eastAsiaTheme="minorHAnsi" w:hAnsiTheme="minorHAnsi" w:cstheme="minorHAnsi"/>
          <w:sz w:val="22"/>
          <w:szCs w:val="22"/>
        </w:rPr>
        <w:t xml:space="preserve"> sur :</w:t>
      </w:r>
    </w:p>
    <w:p w14:paraId="19801447" w14:textId="77777777" w:rsidR="00D92B84" w:rsidRPr="00013CF8" w:rsidRDefault="00D92B84" w:rsidP="00D92B84">
      <w:pPr>
        <w:pStyle w:val="ListParagraph"/>
        <w:numPr>
          <w:ilvl w:val="0"/>
          <w:numId w:val="20"/>
        </w:numPr>
        <w:spacing w:after="0"/>
        <w:contextualSpacing w:val="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l’utilisation du Décret d’exemption concernant les langues officielles dans la fonction publique</w:t>
      </w:r>
    </w:p>
    <w:p w14:paraId="6196957F" w14:textId="77777777" w:rsidR="00D92B84" w:rsidRPr="00013CF8" w:rsidRDefault="00D92B84" w:rsidP="00D92B84">
      <w:pPr>
        <w:pStyle w:val="ListParagraph"/>
        <w:numPr>
          <w:ilvl w:val="0"/>
          <w:numId w:val="20"/>
        </w:numPr>
        <w:spacing w:after="0"/>
        <w:contextualSpacing w:val="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les exceptions à la zone nationale de sélection approuvée par l’administrateur général</w:t>
      </w:r>
    </w:p>
    <w:p w14:paraId="68F221B2" w14:textId="77777777" w:rsidR="00D92B84" w:rsidRPr="00013CF8" w:rsidRDefault="00D92B84" w:rsidP="00D92B84">
      <w:pPr>
        <w:pStyle w:val="ListParagraph"/>
        <w:numPr>
          <w:ilvl w:val="0"/>
          <w:numId w:val="20"/>
        </w:numPr>
        <w:spacing w:after="0"/>
        <w:contextualSpacing w:val="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 xml:space="preserve">les résultats de toutes enquêtes internes </w:t>
      </w:r>
    </w:p>
    <w:p w14:paraId="2C038D78" w14:textId="77777777" w:rsidR="00D92B84" w:rsidRPr="00013CF8" w:rsidRDefault="00D92B84" w:rsidP="00D92B84">
      <w:pPr>
        <w:pStyle w:val="ListParagraph"/>
        <w:numPr>
          <w:ilvl w:val="0"/>
          <w:numId w:val="20"/>
        </w:numPr>
        <w:spacing w:after="0"/>
        <w:contextualSpacing w:val="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les mesures prises à la suite de toutes enquêtes ou vérifications menées par la CFP</w:t>
      </w:r>
    </w:p>
    <w:p w14:paraId="1F570C56" w14:textId="77777777" w:rsidR="00D92B84" w:rsidRPr="00013CF8" w:rsidRDefault="00D92B84" w:rsidP="00D92B84">
      <w:pPr>
        <w:pStyle w:val="ListParagraph"/>
        <w:numPr>
          <w:ilvl w:val="0"/>
          <w:numId w:val="21"/>
        </w:numPr>
        <w:spacing w:after="0"/>
        <w:contextualSpacing w:val="0"/>
        <w:rPr>
          <w:rFonts w:asciiTheme="minorHAnsi" w:eastAsiaTheme="minorHAnsi" w:hAnsiTheme="minorHAnsi" w:cstheme="minorHAnsi"/>
          <w:sz w:val="22"/>
          <w:szCs w:val="22"/>
        </w:rPr>
      </w:pPr>
      <w:r w:rsidRPr="00013CF8">
        <w:rPr>
          <w:rFonts w:asciiTheme="minorHAnsi" w:eastAsiaTheme="minorHAnsi" w:hAnsiTheme="minorHAnsi" w:cstheme="minorHAnsi"/>
          <w:sz w:val="22"/>
          <w:szCs w:val="22"/>
        </w:rPr>
        <w:t xml:space="preserve">L’administrateur général est responsable </w:t>
      </w:r>
      <w:r w:rsidRPr="00013CF8">
        <w:rPr>
          <w:rStyle w:val="Strong"/>
          <w:rFonts w:eastAsiaTheme="minorHAnsi" w:cstheme="minorHAnsi"/>
          <w:szCs w:val="22"/>
        </w:rPr>
        <w:t>de la surveillance continue du système de dotation</w:t>
      </w:r>
      <w:r w:rsidRPr="00013CF8">
        <w:rPr>
          <w:rFonts w:asciiTheme="minorHAnsi" w:eastAsiaTheme="minorHAnsi" w:hAnsiTheme="minorHAnsi" w:cstheme="minorHAnsi"/>
          <w:sz w:val="22"/>
          <w:szCs w:val="22"/>
        </w:rPr>
        <w:t xml:space="preserve"> de l’organisation en fonction de son contexte particulier</w:t>
      </w:r>
    </w:p>
    <w:p w14:paraId="69810D9D" w14:textId="77777777" w:rsidR="00D92B84" w:rsidRPr="00013CF8" w:rsidRDefault="00D92B84" w:rsidP="00D92B84">
      <w:pPr>
        <w:pStyle w:val="ListParagraph"/>
        <w:numPr>
          <w:ilvl w:val="0"/>
          <w:numId w:val="22"/>
        </w:numPr>
        <w:contextualSpacing w:val="0"/>
        <w:rPr>
          <w:rFonts w:asciiTheme="minorHAnsi" w:eastAsiaTheme="minorHAnsi" w:hAnsiTheme="minorHAnsi" w:cstheme="minorHAnsi"/>
          <w:sz w:val="22"/>
          <w:szCs w:val="22"/>
        </w:rPr>
      </w:pPr>
      <w:r w:rsidRPr="00013CF8">
        <w:rPr>
          <w:rStyle w:val="Strong"/>
          <w:rFonts w:eastAsiaTheme="minorHAnsi" w:cstheme="minorHAnsi"/>
          <w:szCs w:val="22"/>
        </w:rPr>
        <w:lastRenderedPageBreak/>
        <w:t>examen de la conformité aux exigences</w:t>
      </w:r>
      <w:r w:rsidRPr="00013CF8">
        <w:rPr>
          <w:rFonts w:asciiTheme="minorHAnsi" w:eastAsiaTheme="minorHAnsi" w:hAnsiTheme="minorHAnsi" w:cstheme="minorHAnsi"/>
          <w:sz w:val="22"/>
          <w:szCs w:val="22"/>
        </w:rPr>
        <w:t>, fondé sur les risques spécifiques de l’organisation, au moins une fois tous les cinq ans</w:t>
      </w:r>
    </w:p>
    <w:p w14:paraId="16F44017" w14:textId="77777777" w:rsidR="00D92B84" w:rsidRPr="00013CF8" w:rsidRDefault="00D92B84" w:rsidP="00D92B84">
      <w:pPr>
        <w:pStyle w:val="Heading3"/>
        <w:spacing w:after="120"/>
        <w:rPr>
          <w:sz w:val="22"/>
          <w:szCs w:val="22"/>
        </w:rPr>
      </w:pPr>
      <w:r w:rsidRPr="00013CF8">
        <w:rPr>
          <w:sz w:val="22"/>
          <w:szCs w:val="22"/>
        </w:rPr>
        <w:t>Surveillance de la CFP</w:t>
      </w:r>
    </w:p>
    <w:p w14:paraId="334B7617" w14:textId="77777777" w:rsidR="00D92B84" w:rsidRPr="00013CF8" w:rsidRDefault="00D92B84" w:rsidP="00D92B84">
      <w:pPr>
        <w:spacing w:after="120"/>
        <w:rPr>
          <w:rFonts w:asciiTheme="minorHAnsi" w:hAnsiTheme="minorHAnsi" w:cstheme="minorHAnsi"/>
          <w:sz w:val="22"/>
          <w:szCs w:val="22"/>
        </w:rPr>
      </w:pPr>
      <w:r w:rsidRPr="00013CF8">
        <w:rPr>
          <w:rFonts w:asciiTheme="minorHAnsi" w:hAnsiTheme="minorHAnsi" w:cstheme="minorHAnsi"/>
          <w:sz w:val="22"/>
          <w:szCs w:val="22"/>
        </w:rPr>
        <w:t>Axée sur l’ensemble du système</w:t>
      </w:r>
    </w:p>
    <w:p w14:paraId="70FE31FC" w14:textId="77777777" w:rsidR="00D92B84" w:rsidRPr="00013CF8" w:rsidRDefault="00D92B84" w:rsidP="00D92B84">
      <w:pPr>
        <w:pStyle w:val="ListParagraph"/>
        <w:numPr>
          <w:ilvl w:val="0"/>
          <w:numId w:val="27"/>
        </w:numPr>
        <w:spacing w:after="0"/>
        <w:ind w:left="723"/>
        <w:contextualSpacing w:val="0"/>
        <w:rPr>
          <w:rStyle w:val="Strong"/>
          <w:rFonts w:eastAsiaTheme="minorHAnsi" w:cstheme="minorHAnsi"/>
          <w:szCs w:val="22"/>
        </w:rPr>
      </w:pPr>
      <w:r w:rsidRPr="00013CF8">
        <w:rPr>
          <w:rStyle w:val="Strong"/>
          <w:rFonts w:eastAsiaTheme="minorHAnsi" w:cstheme="minorHAnsi"/>
          <w:szCs w:val="22"/>
        </w:rPr>
        <w:t xml:space="preserve">Vérification de la conformité pangouvernementale tous les deux ans </w:t>
      </w:r>
    </w:p>
    <w:p w14:paraId="62D08462" w14:textId="77777777" w:rsidR="00D92B84" w:rsidRPr="00013CF8" w:rsidRDefault="00D92B84" w:rsidP="00D92B84">
      <w:pPr>
        <w:pStyle w:val="ListParagraph"/>
        <w:numPr>
          <w:ilvl w:val="0"/>
          <w:numId w:val="27"/>
        </w:numPr>
        <w:spacing w:after="0"/>
        <w:ind w:left="723"/>
        <w:contextualSpacing w:val="0"/>
        <w:rPr>
          <w:rFonts w:asciiTheme="minorHAnsi" w:eastAsiaTheme="minorHAnsi" w:hAnsiTheme="minorHAnsi" w:cstheme="minorHAnsi"/>
          <w:sz w:val="22"/>
          <w:szCs w:val="22"/>
        </w:rPr>
      </w:pPr>
      <w:r w:rsidRPr="00013CF8">
        <w:rPr>
          <w:rStyle w:val="Strong"/>
          <w:rFonts w:eastAsiaTheme="minorHAnsi" w:cstheme="minorHAnsi"/>
          <w:szCs w:val="22"/>
        </w:rPr>
        <w:t>Nouveau Sondage sur la dotation</w:t>
      </w:r>
      <w:r w:rsidRPr="00013CF8">
        <w:rPr>
          <w:rFonts w:asciiTheme="minorHAnsi" w:eastAsiaTheme="minorHAnsi" w:hAnsiTheme="minorHAnsi" w:cstheme="minorHAnsi"/>
          <w:sz w:val="22"/>
          <w:szCs w:val="22"/>
        </w:rPr>
        <w:t xml:space="preserve"> administré en alternance avec la vérification pangouvernementale</w:t>
      </w:r>
    </w:p>
    <w:p w14:paraId="74739CE8" w14:textId="77777777" w:rsidR="00D92B84" w:rsidRPr="00013CF8" w:rsidRDefault="00D92B84" w:rsidP="00D92B84">
      <w:pPr>
        <w:pStyle w:val="ListParagraph"/>
        <w:numPr>
          <w:ilvl w:val="0"/>
          <w:numId w:val="27"/>
        </w:numPr>
        <w:spacing w:after="0"/>
        <w:ind w:left="723"/>
        <w:contextualSpacing w:val="0"/>
        <w:rPr>
          <w:rFonts w:asciiTheme="minorHAnsi" w:eastAsiaTheme="minorHAnsi" w:hAnsiTheme="minorHAnsi" w:cstheme="minorHAnsi"/>
          <w:sz w:val="22"/>
          <w:szCs w:val="22"/>
        </w:rPr>
      </w:pPr>
      <w:r w:rsidRPr="00013CF8">
        <w:rPr>
          <w:rStyle w:val="Strong"/>
          <w:rFonts w:eastAsiaTheme="minorHAnsi" w:cstheme="minorHAnsi"/>
          <w:szCs w:val="22"/>
        </w:rPr>
        <w:t>Examens de l’efficacité et de l’efficience de l’ensemble du système</w:t>
      </w:r>
      <w:r w:rsidRPr="00013CF8">
        <w:rPr>
          <w:rFonts w:asciiTheme="minorHAnsi" w:eastAsiaTheme="minorHAnsi" w:hAnsiTheme="minorHAnsi" w:cstheme="minorHAnsi"/>
          <w:sz w:val="22"/>
          <w:szCs w:val="22"/>
        </w:rPr>
        <w:t xml:space="preserve"> pour appuyer l’amélioration continue</w:t>
      </w:r>
    </w:p>
    <w:p w14:paraId="12577369" w14:textId="77777777" w:rsidR="00D92B84" w:rsidRPr="00013CF8" w:rsidRDefault="00D92B84" w:rsidP="00D92B84">
      <w:pPr>
        <w:pStyle w:val="ListParagraph"/>
        <w:numPr>
          <w:ilvl w:val="0"/>
          <w:numId w:val="27"/>
        </w:numPr>
        <w:spacing w:after="0"/>
        <w:ind w:left="723"/>
        <w:contextualSpacing w:val="0"/>
        <w:rPr>
          <w:rFonts w:asciiTheme="minorHAnsi" w:eastAsiaTheme="minorHAnsi" w:hAnsiTheme="minorHAnsi" w:cstheme="minorHAnsi"/>
          <w:sz w:val="22"/>
          <w:szCs w:val="22"/>
        </w:rPr>
      </w:pPr>
      <w:r w:rsidRPr="00013CF8">
        <w:rPr>
          <w:rStyle w:val="Strong"/>
          <w:rFonts w:eastAsiaTheme="minorHAnsi" w:cstheme="minorHAnsi"/>
          <w:szCs w:val="22"/>
        </w:rPr>
        <w:t>Vérifications ciblées de la CFP</w:t>
      </w:r>
      <w:r w:rsidRPr="00013CF8">
        <w:rPr>
          <w:rFonts w:asciiTheme="minorHAnsi" w:eastAsiaTheme="minorHAnsi" w:hAnsiTheme="minorHAnsi" w:cstheme="minorHAnsi"/>
          <w:sz w:val="22"/>
          <w:szCs w:val="22"/>
        </w:rPr>
        <w:t xml:space="preserve"> suite aux risques pangouvernementaux ou organisationnels identifiés, ou à la demande de l’administrateur général </w:t>
      </w:r>
    </w:p>
    <w:p w14:paraId="3FF331D3" w14:textId="77777777" w:rsidR="00D92B84" w:rsidRPr="00013CF8" w:rsidRDefault="00D92B84" w:rsidP="00D92B84">
      <w:pPr>
        <w:pStyle w:val="ListParagraph"/>
        <w:numPr>
          <w:ilvl w:val="0"/>
          <w:numId w:val="27"/>
        </w:numPr>
        <w:ind w:left="723"/>
        <w:contextualSpacing w:val="0"/>
        <w:rPr>
          <w:rFonts w:asciiTheme="minorHAnsi" w:eastAsiaTheme="minorHAnsi" w:hAnsiTheme="minorHAnsi" w:cstheme="minorHAnsi"/>
          <w:sz w:val="22"/>
          <w:szCs w:val="22"/>
        </w:rPr>
      </w:pPr>
      <w:r w:rsidRPr="00013CF8">
        <w:rPr>
          <w:rStyle w:val="Strong"/>
          <w:rFonts w:eastAsiaTheme="minorHAnsi" w:cstheme="minorHAnsi"/>
          <w:szCs w:val="22"/>
        </w:rPr>
        <w:t>Enquêtes menées</w:t>
      </w:r>
      <w:r w:rsidRPr="00013CF8">
        <w:rPr>
          <w:rFonts w:asciiTheme="minorHAnsi" w:eastAsiaTheme="minorHAnsi" w:hAnsiTheme="minorHAnsi" w:cstheme="minorHAnsi"/>
          <w:sz w:val="22"/>
          <w:szCs w:val="22"/>
        </w:rPr>
        <w:t xml:space="preserve"> lorsqu’il y a lieu de croire  qu’il pourrait y avoir ingérence politique, fraude ou conduite irrégulière dans le cadre d’un  processus de nomination</w:t>
      </w:r>
    </w:p>
    <w:p w14:paraId="6ADC0B19" w14:textId="70184E1E" w:rsidR="000C45BD" w:rsidRPr="008423EA" w:rsidRDefault="00D92B84" w:rsidP="00092CEB">
      <w:pPr>
        <w:keepLines/>
        <w:tabs>
          <w:tab w:val="center" w:pos="4680"/>
          <w:tab w:val="right" w:pos="9360"/>
        </w:tabs>
        <w:ind w:left="360"/>
        <w:rPr>
          <w:rFonts w:asciiTheme="minorHAnsi" w:eastAsiaTheme="minorHAnsi" w:hAnsiTheme="minorHAnsi" w:cstheme="minorBidi"/>
          <w:b/>
          <w:bCs/>
          <w:sz w:val="22"/>
          <w:szCs w:val="22"/>
        </w:rPr>
        <w:sectPr w:rsidR="000C45BD" w:rsidRPr="008423EA" w:rsidSect="000C45BD">
          <w:footnotePr>
            <w:numFmt w:val="lowerLetter"/>
          </w:footnotePr>
          <w:endnotePr>
            <w:numFmt w:val="lowerLetter"/>
          </w:endnotePr>
          <w:pgSz w:w="12240" w:h="15840" w:code="1"/>
          <w:pgMar w:top="1440" w:right="1440" w:bottom="1440" w:left="1440" w:header="284" w:footer="284" w:gutter="0"/>
          <w:cols w:space="720"/>
          <w:docGrid w:linePitch="326"/>
        </w:sectPr>
      </w:pPr>
      <w:r w:rsidRPr="008423EA">
        <w:rPr>
          <w:rStyle w:val="Strong"/>
          <w:rFonts w:eastAsiaTheme="minorHAnsi" w:cstheme="minorHAnsi"/>
          <w:b w:val="0"/>
          <w:szCs w:val="22"/>
        </w:rPr>
        <w:t xml:space="preserve">Ce document doit être lu conjointement avec la </w:t>
      </w:r>
      <w:r w:rsidRPr="00CC3AC9">
        <w:rPr>
          <w:rStyle w:val="Emphasis"/>
          <w:rFonts w:eastAsiaTheme="minorHAnsi"/>
          <w:i/>
          <w:sz w:val="22"/>
        </w:rPr>
        <w:t>Loi sur l’emploi dans la fonction publique</w:t>
      </w:r>
      <w:r w:rsidRPr="008423EA">
        <w:rPr>
          <w:rStyle w:val="Strong"/>
          <w:rFonts w:eastAsiaTheme="minorHAnsi" w:cstheme="minorHAnsi"/>
          <w:b w:val="0"/>
          <w:szCs w:val="22"/>
        </w:rPr>
        <w:t xml:space="preserve">, le </w:t>
      </w:r>
      <w:r w:rsidRPr="00CC3AC9">
        <w:rPr>
          <w:rStyle w:val="Emphasis"/>
          <w:rFonts w:eastAsiaTheme="minorHAnsi"/>
          <w:i/>
          <w:sz w:val="22"/>
        </w:rPr>
        <w:t>Règlement sur l'emploi dans la fonction publique</w:t>
      </w:r>
      <w:r w:rsidRPr="008423EA">
        <w:rPr>
          <w:rStyle w:val="Strong"/>
          <w:rFonts w:eastAsiaTheme="minorHAnsi" w:cstheme="minorHAnsi"/>
          <w:b w:val="0"/>
          <w:szCs w:val="22"/>
        </w:rPr>
        <w:t>, la ligne directrice en matière de nomination de la CFP ainsi que l’Instrument de délégation et de responsabilisation en matière de nomination de la CFP</w:t>
      </w:r>
      <w:r w:rsidR="00092CEB" w:rsidRPr="008423EA">
        <w:rPr>
          <w:rStyle w:val="Strong"/>
          <w:rFonts w:eastAsiaTheme="minorHAnsi" w:cstheme="minorHAnsi"/>
          <w:b w:val="0"/>
          <w:szCs w:val="22"/>
        </w:rPr>
        <w:t>.</w:t>
      </w:r>
    </w:p>
    <w:p w14:paraId="16A2A45D" w14:textId="44877860" w:rsidR="00944C68" w:rsidRPr="000F7E62" w:rsidRDefault="000F7E62" w:rsidP="000F7E62">
      <w:pPr>
        <w:pStyle w:val="Heading3"/>
        <w:jc w:val="right"/>
        <w:rPr>
          <w:sz w:val="22"/>
        </w:rPr>
      </w:pPr>
      <w:bookmarkStart w:id="3" w:name="Annexe_B"/>
      <w:r w:rsidRPr="000F7E62">
        <w:rPr>
          <w:sz w:val="22"/>
        </w:rPr>
        <w:lastRenderedPageBreak/>
        <w:t>Annexe B</w:t>
      </w:r>
    </w:p>
    <w:bookmarkEnd w:id="3"/>
    <w:p w14:paraId="28E74CFE" w14:textId="77777777" w:rsidR="00F565BF" w:rsidRPr="00F565BF" w:rsidRDefault="00F565BF" w:rsidP="00F565BF">
      <w:pPr>
        <w:pStyle w:val="Heading1"/>
        <w:spacing w:before="120" w:after="120"/>
        <w:rPr>
          <w:sz w:val="40"/>
        </w:rPr>
      </w:pPr>
      <w:r w:rsidRPr="00F565BF">
        <w:rPr>
          <w:rFonts w:eastAsia="Times New Roman"/>
          <w:sz w:val="40"/>
        </w:rPr>
        <w:t>Effectif selon la durée de l'emploi en date du 31 mars</w:t>
      </w:r>
    </w:p>
    <w:p w14:paraId="401B7DA1" w14:textId="77777777" w:rsidR="00F565BF" w:rsidRDefault="007B1B27" w:rsidP="00F565BF">
      <w:pPr>
        <w:pStyle w:val="Level1"/>
        <w:keepNext/>
        <w:tabs>
          <w:tab w:val="left" w:pos="-1440"/>
        </w:tabs>
        <w:autoSpaceDE w:val="0"/>
        <w:autoSpaceDN w:val="0"/>
        <w:adjustRightInd w:val="0"/>
        <w:jc w:val="center"/>
      </w:pPr>
      <w:r w:rsidRPr="00013CF8">
        <w:rPr>
          <w:noProof/>
          <w:lang w:val="en-CA" w:eastAsia="en-CA"/>
        </w:rPr>
        <w:drawing>
          <wp:inline distT="0" distB="0" distL="0" distR="0" wp14:anchorId="25BDE433" wp14:editId="49BEC230">
            <wp:extent cx="5648400" cy="3049200"/>
            <wp:effectExtent l="0" t="0" r="9525" b="18415"/>
            <wp:docPr id="13" name="Chart 13" descr="Effectif selon la durée de l'emploi en date du 31 mar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50FEC3" w14:textId="104EF328" w:rsidR="007B1B27" w:rsidRPr="001B291A" w:rsidRDefault="00F565BF" w:rsidP="00F565BF">
      <w:pPr>
        <w:pStyle w:val="Caption"/>
        <w:spacing w:after="0"/>
        <w:jc w:val="center"/>
        <w:rPr>
          <w:rFonts w:asciiTheme="minorHAnsi" w:hAnsiTheme="minorHAnsi" w:cstheme="minorHAnsi"/>
          <w:i w:val="0"/>
          <w:color w:val="auto"/>
          <w:sz w:val="22"/>
          <w:szCs w:val="22"/>
        </w:rPr>
      </w:pPr>
      <w:r w:rsidRPr="001B291A">
        <w:rPr>
          <w:rFonts w:asciiTheme="minorHAnsi" w:hAnsiTheme="minorHAnsi" w:cstheme="minorHAnsi"/>
          <w:i w:val="0"/>
          <w:color w:val="auto"/>
        </w:rPr>
        <w:t xml:space="preserve">Figure </w:t>
      </w:r>
      <w:r w:rsidRPr="001B291A">
        <w:rPr>
          <w:rFonts w:asciiTheme="minorHAnsi" w:hAnsiTheme="minorHAnsi" w:cstheme="minorHAnsi"/>
          <w:i w:val="0"/>
          <w:color w:val="auto"/>
        </w:rPr>
        <w:fldChar w:fldCharType="begin"/>
      </w:r>
      <w:r w:rsidRPr="001B291A">
        <w:rPr>
          <w:rFonts w:asciiTheme="minorHAnsi" w:hAnsiTheme="minorHAnsi" w:cstheme="minorHAnsi"/>
          <w:i w:val="0"/>
          <w:color w:val="auto"/>
        </w:rPr>
        <w:instrText xml:space="preserve"> SEQ Figure \* ARABIC </w:instrText>
      </w:r>
      <w:r w:rsidRPr="001B291A">
        <w:rPr>
          <w:rFonts w:asciiTheme="minorHAnsi" w:hAnsiTheme="minorHAnsi" w:cstheme="minorHAnsi"/>
          <w:i w:val="0"/>
          <w:color w:val="auto"/>
        </w:rPr>
        <w:fldChar w:fldCharType="separate"/>
      </w:r>
      <w:r w:rsidR="00817426" w:rsidRPr="001B291A">
        <w:rPr>
          <w:rFonts w:asciiTheme="minorHAnsi" w:hAnsiTheme="minorHAnsi" w:cstheme="minorHAnsi"/>
          <w:i w:val="0"/>
          <w:noProof/>
          <w:color w:val="auto"/>
        </w:rPr>
        <w:t>1</w:t>
      </w:r>
      <w:r w:rsidRPr="001B291A">
        <w:rPr>
          <w:rFonts w:asciiTheme="minorHAnsi" w:hAnsiTheme="minorHAnsi" w:cstheme="minorHAnsi"/>
          <w:i w:val="0"/>
          <w:color w:val="auto"/>
        </w:rPr>
        <w:fldChar w:fldCharType="end"/>
      </w:r>
      <w:r w:rsidRPr="001B291A">
        <w:rPr>
          <w:rFonts w:asciiTheme="minorHAnsi" w:hAnsiTheme="minorHAnsi" w:cstheme="minorHAnsi"/>
          <w:i w:val="0"/>
          <w:color w:val="auto"/>
        </w:rPr>
        <w:t xml:space="preserve"> - Effectif selon la durée de l'emploi en date du 31 mars</w:t>
      </w:r>
    </w:p>
    <w:p w14:paraId="2ACF8B7B" w14:textId="193FA954" w:rsidR="00F565BF" w:rsidRPr="001B291A" w:rsidRDefault="00F565BF" w:rsidP="00F565BF">
      <w:pPr>
        <w:pStyle w:val="Caption"/>
        <w:keepNext/>
        <w:spacing w:before="240" w:after="0"/>
        <w:jc w:val="center"/>
        <w:rPr>
          <w:rFonts w:asciiTheme="minorHAnsi" w:hAnsiTheme="minorHAnsi" w:cstheme="minorHAnsi"/>
          <w:i w:val="0"/>
          <w:color w:val="auto"/>
        </w:rPr>
      </w:pPr>
      <w:r w:rsidRPr="001B291A">
        <w:rPr>
          <w:rFonts w:asciiTheme="minorHAnsi" w:hAnsiTheme="minorHAnsi" w:cstheme="minorHAnsi"/>
          <w:i w:val="0"/>
          <w:color w:val="auto"/>
        </w:rPr>
        <w:t xml:space="preserve">Table </w:t>
      </w:r>
      <w:r w:rsidRPr="001B291A">
        <w:rPr>
          <w:rFonts w:asciiTheme="minorHAnsi" w:hAnsiTheme="minorHAnsi" w:cstheme="minorHAnsi"/>
          <w:i w:val="0"/>
          <w:color w:val="auto"/>
        </w:rPr>
        <w:fldChar w:fldCharType="begin"/>
      </w:r>
      <w:r w:rsidRPr="001B291A">
        <w:rPr>
          <w:rFonts w:asciiTheme="minorHAnsi" w:hAnsiTheme="minorHAnsi" w:cstheme="minorHAnsi"/>
          <w:i w:val="0"/>
          <w:color w:val="auto"/>
        </w:rPr>
        <w:instrText xml:space="preserve"> SEQ Table \* ARABIC </w:instrText>
      </w:r>
      <w:r w:rsidRPr="001B291A">
        <w:rPr>
          <w:rFonts w:asciiTheme="minorHAnsi" w:hAnsiTheme="minorHAnsi" w:cstheme="minorHAnsi"/>
          <w:i w:val="0"/>
          <w:color w:val="auto"/>
        </w:rPr>
        <w:fldChar w:fldCharType="separate"/>
      </w:r>
      <w:r w:rsidR="0009743A" w:rsidRPr="001B291A">
        <w:rPr>
          <w:rFonts w:asciiTheme="minorHAnsi" w:hAnsiTheme="minorHAnsi" w:cstheme="minorHAnsi"/>
          <w:i w:val="0"/>
          <w:noProof/>
          <w:color w:val="auto"/>
        </w:rPr>
        <w:t>4</w:t>
      </w:r>
      <w:r w:rsidRPr="001B291A">
        <w:rPr>
          <w:rFonts w:asciiTheme="minorHAnsi" w:hAnsiTheme="minorHAnsi" w:cstheme="minorHAnsi"/>
          <w:i w:val="0"/>
          <w:color w:val="auto"/>
        </w:rPr>
        <w:fldChar w:fldCharType="end"/>
      </w:r>
      <w:r w:rsidRPr="001B291A">
        <w:rPr>
          <w:rFonts w:asciiTheme="minorHAnsi" w:hAnsiTheme="minorHAnsi" w:cstheme="minorHAnsi"/>
          <w:i w:val="0"/>
          <w:color w:val="auto"/>
        </w:rPr>
        <w:t xml:space="preserve"> - Effectif assujetti à la </w:t>
      </w:r>
      <w:r w:rsidRPr="00C4296F">
        <w:rPr>
          <w:rStyle w:val="Emphasis"/>
        </w:rPr>
        <w:t>Loi sur l’emploi dans la fonction publique</w:t>
      </w:r>
      <w:r w:rsidRPr="001B291A">
        <w:rPr>
          <w:rFonts w:asciiTheme="minorHAnsi" w:hAnsiTheme="minorHAnsi" w:cstheme="minorHAnsi"/>
          <w:i w:val="0"/>
          <w:color w:val="auto"/>
        </w:rPr>
        <w:t xml:space="preserve"> selon la durée de l’emploi en date du 31 mars</w:t>
      </w:r>
    </w:p>
    <w:tbl>
      <w:tblPr>
        <w:tblStyle w:val="TableGrid"/>
        <w:tblW w:w="5000" w:type="pct"/>
        <w:jc w:val="center"/>
        <w:tblLook w:val="0020" w:firstRow="1" w:lastRow="0" w:firstColumn="0" w:lastColumn="0" w:noHBand="0" w:noVBand="0"/>
        <w:tblDescription w:val="Effectif selon la durée d’emploi au 31 mars 2015 à 2019"/>
      </w:tblPr>
      <w:tblGrid>
        <w:gridCol w:w="2150"/>
        <w:gridCol w:w="2938"/>
        <w:gridCol w:w="3494"/>
        <w:gridCol w:w="2046"/>
        <w:gridCol w:w="1586"/>
        <w:gridCol w:w="2176"/>
      </w:tblGrid>
      <w:tr w:rsidR="00B61F15" w:rsidRPr="007D6167" w14:paraId="122227BD" w14:textId="77777777" w:rsidTr="001F6E88">
        <w:trPr>
          <w:cantSplit/>
          <w:trHeight w:val="290"/>
          <w:tblHeader/>
          <w:jc w:val="center"/>
        </w:trPr>
        <w:tc>
          <w:tcPr>
            <w:tcW w:w="747" w:type="pct"/>
          </w:tcPr>
          <w:p w14:paraId="6A793FF5" w14:textId="77777777" w:rsidR="00B61F15" w:rsidRPr="007D6167" w:rsidRDefault="00B61F15" w:rsidP="00F565BF">
            <w:pPr>
              <w:pStyle w:val="TableTitle"/>
              <w:rPr>
                <w:rFonts w:cs="Segoe UI Semibold"/>
              </w:rPr>
            </w:pPr>
            <w:r w:rsidRPr="007D6167">
              <w:rPr>
                <w:rFonts w:cs="Segoe UI Semibold"/>
              </w:rPr>
              <w:t>Année</w:t>
            </w:r>
          </w:p>
        </w:tc>
        <w:tc>
          <w:tcPr>
            <w:tcW w:w="1021" w:type="pct"/>
          </w:tcPr>
          <w:p w14:paraId="489784DA" w14:textId="77777777" w:rsidR="00B61F15" w:rsidRPr="007D6167" w:rsidRDefault="00B61F15" w:rsidP="00F565BF">
            <w:pPr>
              <w:pStyle w:val="TableTitle"/>
              <w:rPr>
                <w:rFonts w:cs="Segoe UI Semibold"/>
              </w:rPr>
            </w:pPr>
            <w:r w:rsidRPr="007D6167">
              <w:rPr>
                <w:rFonts w:cs="Segoe UI Semibold"/>
              </w:rPr>
              <w:t>Employés nommés pour une période indéterminée</w:t>
            </w:r>
          </w:p>
        </w:tc>
        <w:tc>
          <w:tcPr>
            <w:tcW w:w="1214" w:type="pct"/>
          </w:tcPr>
          <w:p w14:paraId="77D079C8" w14:textId="77777777" w:rsidR="00B61F15" w:rsidRPr="007D6167" w:rsidRDefault="00B61F15" w:rsidP="00F565BF">
            <w:pPr>
              <w:pStyle w:val="TableTitle"/>
              <w:rPr>
                <w:rFonts w:cs="Segoe UI Semibold"/>
              </w:rPr>
            </w:pPr>
            <w:r w:rsidRPr="007D6167">
              <w:rPr>
                <w:rFonts w:cs="Segoe UI Semibold"/>
              </w:rPr>
              <w:t>Employés nommés pour une période déterminée</w:t>
            </w:r>
          </w:p>
        </w:tc>
        <w:tc>
          <w:tcPr>
            <w:tcW w:w="711" w:type="pct"/>
          </w:tcPr>
          <w:p w14:paraId="13DCDEA7" w14:textId="77777777" w:rsidR="00B61F15" w:rsidRPr="007D6167" w:rsidRDefault="00B61F15" w:rsidP="00F565BF">
            <w:pPr>
              <w:pStyle w:val="TableTitle"/>
              <w:rPr>
                <w:rFonts w:cs="Segoe UI Semibold"/>
              </w:rPr>
            </w:pPr>
            <w:r w:rsidRPr="007D6167">
              <w:rPr>
                <w:rFonts w:cs="Segoe UI Semibold"/>
              </w:rPr>
              <w:t>Employés occasionnels</w:t>
            </w:r>
          </w:p>
        </w:tc>
        <w:tc>
          <w:tcPr>
            <w:tcW w:w="551" w:type="pct"/>
          </w:tcPr>
          <w:p w14:paraId="1B565CD9" w14:textId="77777777" w:rsidR="00B61F15" w:rsidRPr="007D6167" w:rsidRDefault="00B61F15" w:rsidP="00F565BF">
            <w:pPr>
              <w:pStyle w:val="TableTitle"/>
              <w:rPr>
                <w:rFonts w:cs="Segoe UI Semibold"/>
              </w:rPr>
            </w:pPr>
            <w:r w:rsidRPr="007D6167">
              <w:rPr>
                <w:rFonts w:cs="Segoe UI Semibold"/>
              </w:rPr>
              <w:t>Étudiants</w:t>
            </w:r>
          </w:p>
        </w:tc>
        <w:tc>
          <w:tcPr>
            <w:tcW w:w="756" w:type="pct"/>
          </w:tcPr>
          <w:p w14:paraId="5B34C2CD" w14:textId="77777777" w:rsidR="00B61F15" w:rsidRPr="007D6167" w:rsidRDefault="00B61F15" w:rsidP="00F565BF">
            <w:pPr>
              <w:pStyle w:val="TableTitle"/>
              <w:rPr>
                <w:rFonts w:cs="Segoe UI Semibold"/>
              </w:rPr>
            </w:pPr>
            <w:r w:rsidRPr="007D6167">
              <w:rPr>
                <w:rFonts w:cs="Segoe UI Semibold"/>
              </w:rPr>
              <w:t>Nombre total d’employés</w:t>
            </w:r>
          </w:p>
        </w:tc>
      </w:tr>
      <w:tr w:rsidR="00B61F15" w:rsidRPr="00F565BF" w14:paraId="20F119D4" w14:textId="77777777" w:rsidTr="001F6E88">
        <w:trPr>
          <w:cantSplit/>
          <w:trHeight w:val="290"/>
          <w:tblHeader/>
          <w:jc w:val="center"/>
        </w:trPr>
        <w:tc>
          <w:tcPr>
            <w:tcW w:w="747" w:type="pct"/>
          </w:tcPr>
          <w:p w14:paraId="435B3B67" w14:textId="58C03D89" w:rsidR="00B61F15" w:rsidRPr="00F565BF" w:rsidRDefault="00F565BF" w:rsidP="00F565BF">
            <w:pPr>
              <w:autoSpaceDE w:val="0"/>
              <w:autoSpaceDN w:val="0"/>
              <w:adjustRightInd w:val="0"/>
              <w:rPr>
                <w:rFonts w:asciiTheme="minorHAnsi" w:hAnsiTheme="minorHAnsi" w:cstheme="minorHAnsi"/>
                <w:color w:val="000000"/>
                <w:sz w:val="22"/>
                <w:szCs w:val="24"/>
              </w:rPr>
            </w:pPr>
            <w:r>
              <w:rPr>
                <w:rFonts w:asciiTheme="minorHAnsi" w:hAnsiTheme="minorHAnsi" w:cstheme="minorHAnsi"/>
                <w:color w:val="000000"/>
                <w:sz w:val="22"/>
                <w:szCs w:val="24"/>
              </w:rPr>
              <w:t>Au</w:t>
            </w:r>
            <w:r w:rsidR="00B61F15" w:rsidRPr="00F565BF">
              <w:rPr>
                <w:rFonts w:asciiTheme="minorHAnsi" w:hAnsiTheme="minorHAnsi" w:cstheme="minorHAnsi"/>
                <w:color w:val="000000"/>
                <w:sz w:val="22"/>
                <w:szCs w:val="24"/>
              </w:rPr>
              <w:t xml:space="preserve"> 31 mars 2015</w:t>
            </w:r>
          </w:p>
        </w:tc>
        <w:tc>
          <w:tcPr>
            <w:tcW w:w="1021" w:type="pct"/>
            <w:vAlign w:val="center"/>
          </w:tcPr>
          <w:p w14:paraId="1E02ABAC"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275</w:t>
            </w:r>
          </w:p>
        </w:tc>
        <w:tc>
          <w:tcPr>
            <w:tcW w:w="1214" w:type="pct"/>
            <w:vAlign w:val="center"/>
          </w:tcPr>
          <w:p w14:paraId="6780A360"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11</w:t>
            </w:r>
          </w:p>
        </w:tc>
        <w:tc>
          <w:tcPr>
            <w:tcW w:w="711" w:type="pct"/>
            <w:vAlign w:val="center"/>
          </w:tcPr>
          <w:p w14:paraId="4D087510"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23</w:t>
            </w:r>
          </w:p>
        </w:tc>
        <w:tc>
          <w:tcPr>
            <w:tcW w:w="551" w:type="pct"/>
            <w:vAlign w:val="center"/>
          </w:tcPr>
          <w:p w14:paraId="587FC2D3"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w:t>
            </w:r>
          </w:p>
        </w:tc>
        <w:tc>
          <w:tcPr>
            <w:tcW w:w="756" w:type="pct"/>
            <w:vAlign w:val="center"/>
          </w:tcPr>
          <w:p w14:paraId="3861F497"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312</w:t>
            </w:r>
          </w:p>
        </w:tc>
      </w:tr>
      <w:tr w:rsidR="00B61F15" w:rsidRPr="00F565BF" w14:paraId="4235B802" w14:textId="77777777" w:rsidTr="001F6E88">
        <w:trPr>
          <w:cantSplit/>
          <w:trHeight w:val="290"/>
          <w:tblHeader/>
          <w:jc w:val="center"/>
        </w:trPr>
        <w:tc>
          <w:tcPr>
            <w:tcW w:w="747" w:type="pct"/>
          </w:tcPr>
          <w:p w14:paraId="5C788CBE" w14:textId="26165EF1" w:rsidR="00B61F15" w:rsidRPr="00F565BF" w:rsidRDefault="00F565BF" w:rsidP="00F565BF">
            <w:pPr>
              <w:autoSpaceDE w:val="0"/>
              <w:autoSpaceDN w:val="0"/>
              <w:adjustRightInd w:val="0"/>
              <w:rPr>
                <w:rFonts w:asciiTheme="minorHAnsi" w:hAnsiTheme="minorHAnsi" w:cstheme="minorHAnsi"/>
                <w:color w:val="000000"/>
                <w:sz w:val="22"/>
                <w:szCs w:val="24"/>
              </w:rPr>
            </w:pPr>
            <w:r>
              <w:rPr>
                <w:rFonts w:asciiTheme="minorHAnsi" w:hAnsiTheme="minorHAnsi" w:cstheme="minorHAnsi"/>
                <w:color w:val="000000"/>
                <w:sz w:val="22"/>
                <w:szCs w:val="24"/>
              </w:rPr>
              <w:t>Au</w:t>
            </w:r>
            <w:r w:rsidR="00B61F15" w:rsidRPr="00F565BF">
              <w:rPr>
                <w:rFonts w:asciiTheme="minorHAnsi" w:hAnsiTheme="minorHAnsi" w:cstheme="minorHAnsi"/>
                <w:color w:val="000000"/>
                <w:sz w:val="22"/>
                <w:szCs w:val="24"/>
              </w:rPr>
              <w:t xml:space="preserve"> 31 mars 2016</w:t>
            </w:r>
          </w:p>
        </w:tc>
        <w:tc>
          <w:tcPr>
            <w:tcW w:w="1021" w:type="pct"/>
            <w:vAlign w:val="center"/>
          </w:tcPr>
          <w:p w14:paraId="17BC2DBE"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290</w:t>
            </w:r>
          </w:p>
        </w:tc>
        <w:tc>
          <w:tcPr>
            <w:tcW w:w="1214" w:type="pct"/>
            <w:vAlign w:val="center"/>
          </w:tcPr>
          <w:p w14:paraId="293387E6"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12</w:t>
            </w:r>
          </w:p>
        </w:tc>
        <w:tc>
          <w:tcPr>
            <w:tcW w:w="711" w:type="pct"/>
            <w:vAlign w:val="center"/>
          </w:tcPr>
          <w:p w14:paraId="38F14D09"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24</w:t>
            </w:r>
          </w:p>
        </w:tc>
        <w:tc>
          <w:tcPr>
            <w:tcW w:w="551" w:type="pct"/>
            <w:vAlign w:val="center"/>
          </w:tcPr>
          <w:p w14:paraId="1C251AE1"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10</w:t>
            </w:r>
          </w:p>
        </w:tc>
        <w:tc>
          <w:tcPr>
            <w:tcW w:w="756" w:type="pct"/>
            <w:vAlign w:val="center"/>
          </w:tcPr>
          <w:p w14:paraId="5684DD96"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336</w:t>
            </w:r>
          </w:p>
        </w:tc>
      </w:tr>
      <w:tr w:rsidR="00B61F15" w:rsidRPr="00F565BF" w14:paraId="7D2FC900" w14:textId="77777777" w:rsidTr="001F6E88">
        <w:trPr>
          <w:cantSplit/>
          <w:trHeight w:val="290"/>
          <w:tblHeader/>
          <w:jc w:val="center"/>
        </w:trPr>
        <w:tc>
          <w:tcPr>
            <w:tcW w:w="747" w:type="pct"/>
          </w:tcPr>
          <w:p w14:paraId="21E0E983" w14:textId="2FFA755D" w:rsidR="00B61F15" w:rsidRPr="00F565BF" w:rsidRDefault="00F565BF" w:rsidP="00F565BF">
            <w:pPr>
              <w:autoSpaceDE w:val="0"/>
              <w:autoSpaceDN w:val="0"/>
              <w:adjustRightInd w:val="0"/>
              <w:rPr>
                <w:rFonts w:asciiTheme="minorHAnsi" w:hAnsiTheme="minorHAnsi" w:cstheme="minorHAnsi"/>
                <w:color w:val="000000"/>
                <w:sz w:val="22"/>
                <w:szCs w:val="24"/>
              </w:rPr>
            </w:pPr>
            <w:r>
              <w:rPr>
                <w:rFonts w:asciiTheme="minorHAnsi" w:hAnsiTheme="minorHAnsi" w:cstheme="minorHAnsi"/>
                <w:color w:val="000000"/>
                <w:sz w:val="22"/>
                <w:szCs w:val="24"/>
              </w:rPr>
              <w:t>Au</w:t>
            </w:r>
            <w:r w:rsidR="00B61F15" w:rsidRPr="00F565BF">
              <w:rPr>
                <w:rFonts w:asciiTheme="minorHAnsi" w:hAnsiTheme="minorHAnsi" w:cstheme="minorHAnsi"/>
                <w:color w:val="000000"/>
                <w:sz w:val="22"/>
                <w:szCs w:val="24"/>
              </w:rPr>
              <w:t xml:space="preserve"> 31 mars 2017</w:t>
            </w:r>
          </w:p>
        </w:tc>
        <w:tc>
          <w:tcPr>
            <w:tcW w:w="1021" w:type="pct"/>
            <w:vAlign w:val="center"/>
          </w:tcPr>
          <w:p w14:paraId="4C6B16B0"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394</w:t>
            </w:r>
          </w:p>
        </w:tc>
        <w:tc>
          <w:tcPr>
            <w:tcW w:w="1214" w:type="pct"/>
            <w:vAlign w:val="center"/>
          </w:tcPr>
          <w:p w14:paraId="43523E72"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36</w:t>
            </w:r>
          </w:p>
        </w:tc>
        <w:tc>
          <w:tcPr>
            <w:tcW w:w="711" w:type="pct"/>
            <w:vAlign w:val="center"/>
          </w:tcPr>
          <w:p w14:paraId="45327374"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30</w:t>
            </w:r>
          </w:p>
        </w:tc>
        <w:tc>
          <w:tcPr>
            <w:tcW w:w="551" w:type="pct"/>
            <w:vAlign w:val="center"/>
          </w:tcPr>
          <w:p w14:paraId="3B841364"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12</w:t>
            </w:r>
          </w:p>
        </w:tc>
        <w:tc>
          <w:tcPr>
            <w:tcW w:w="756" w:type="pct"/>
            <w:vAlign w:val="center"/>
          </w:tcPr>
          <w:p w14:paraId="54E8AC88"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472</w:t>
            </w:r>
          </w:p>
        </w:tc>
      </w:tr>
      <w:tr w:rsidR="00B61F15" w:rsidRPr="00F565BF" w14:paraId="54D00041" w14:textId="77777777" w:rsidTr="001F6E88">
        <w:trPr>
          <w:cantSplit/>
          <w:trHeight w:val="290"/>
          <w:tblHeader/>
          <w:jc w:val="center"/>
        </w:trPr>
        <w:tc>
          <w:tcPr>
            <w:tcW w:w="747" w:type="pct"/>
          </w:tcPr>
          <w:p w14:paraId="2D3EFEE9" w14:textId="5341B79D" w:rsidR="00B61F15" w:rsidRPr="00F565BF" w:rsidRDefault="00F565BF" w:rsidP="00F565BF">
            <w:pPr>
              <w:autoSpaceDE w:val="0"/>
              <w:autoSpaceDN w:val="0"/>
              <w:adjustRightInd w:val="0"/>
              <w:rPr>
                <w:rFonts w:asciiTheme="minorHAnsi" w:hAnsiTheme="minorHAnsi" w:cstheme="minorHAnsi"/>
                <w:color w:val="000000"/>
                <w:sz w:val="22"/>
                <w:szCs w:val="24"/>
              </w:rPr>
            </w:pPr>
            <w:r>
              <w:rPr>
                <w:rFonts w:asciiTheme="minorHAnsi" w:hAnsiTheme="minorHAnsi" w:cstheme="minorHAnsi"/>
                <w:color w:val="000000"/>
                <w:sz w:val="22"/>
                <w:szCs w:val="24"/>
              </w:rPr>
              <w:t>Au</w:t>
            </w:r>
            <w:r w:rsidR="00B61F15" w:rsidRPr="00F565BF">
              <w:rPr>
                <w:rFonts w:asciiTheme="minorHAnsi" w:hAnsiTheme="minorHAnsi" w:cstheme="minorHAnsi"/>
                <w:color w:val="000000"/>
                <w:sz w:val="22"/>
                <w:szCs w:val="24"/>
              </w:rPr>
              <w:t xml:space="preserve"> 31 mars 2018</w:t>
            </w:r>
          </w:p>
        </w:tc>
        <w:tc>
          <w:tcPr>
            <w:tcW w:w="1021" w:type="pct"/>
            <w:vAlign w:val="center"/>
          </w:tcPr>
          <w:p w14:paraId="64C5F880"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397</w:t>
            </w:r>
          </w:p>
        </w:tc>
        <w:tc>
          <w:tcPr>
            <w:tcW w:w="1214" w:type="pct"/>
            <w:vAlign w:val="center"/>
          </w:tcPr>
          <w:p w14:paraId="19DB27C2"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33</w:t>
            </w:r>
          </w:p>
        </w:tc>
        <w:tc>
          <w:tcPr>
            <w:tcW w:w="711" w:type="pct"/>
            <w:vAlign w:val="center"/>
          </w:tcPr>
          <w:p w14:paraId="07910E7A"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21</w:t>
            </w:r>
          </w:p>
        </w:tc>
        <w:tc>
          <w:tcPr>
            <w:tcW w:w="551" w:type="pct"/>
            <w:vAlign w:val="center"/>
          </w:tcPr>
          <w:p w14:paraId="62E51F5B"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7</w:t>
            </w:r>
          </w:p>
        </w:tc>
        <w:tc>
          <w:tcPr>
            <w:tcW w:w="756" w:type="pct"/>
            <w:vAlign w:val="center"/>
          </w:tcPr>
          <w:p w14:paraId="0AF0D960"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458</w:t>
            </w:r>
          </w:p>
        </w:tc>
      </w:tr>
      <w:tr w:rsidR="00B61F15" w:rsidRPr="00F565BF" w14:paraId="61010789" w14:textId="77777777" w:rsidTr="001F6E88">
        <w:trPr>
          <w:cantSplit/>
          <w:trHeight w:val="290"/>
          <w:tblHeader/>
          <w:jc w:val="center"/>
        </w:trPr>
        <w:tc>
          <w:tcPr>
            <w:tcW w:w="747" w:type="pct"/>
          </w:tcPr>
          <w:p w14:paraId="4AA6A949" w14:textId="669CFBFB" w:rsidR="00B61F15" w:rsidRPr="00F565BF" w:rsidRDefault="00F565BF" w:rsidP="00F565BF">
            <w:pPr>
              <w:autoSpaceDE w:val="0"/>
              <w:autoSpaceDN w:val="0"/>
              <w:adjustRightInd w:val="0"/>
              <w:rPr>
                <w:rFonts w:asciiTheme="minorHAnsi" w:hAnsiTheme="minorHAnsi" w:cstheme="minorHAnsi"/>
                <w:color w:val="000000"/>
                <w:sz w:val="22"/>
                <w:szCs w:val="24"/>
              </w:rPr>
            </w:pPr>
            <w:r>
              <w:rPr>
                <w:rFonts w:asciiTheme="minorHAnsi" w:hAnsiTheme="minorHAnsi" w:cstheme="minorHAnsi"/>
                <w:color w:val="000000"/>
                <w:sz w:val="22"/>
                <w:szCs w:val="24"/>
              </w:rPr>
              <w:t>Au</w:t>
            </w:r>
            <w:r w:rsidR="00B61F15" w:rsidRPr="00F565BF">
              <w:rPr>
                <w:rFonts w:asciiTheme="minorHAnsi" w:hAnsiTheme="minorHAnsi" w:cstheme="minorHAnsi"/>
                <w:color w:val="000000"/>
                <w:sz w:val="22"/>
                <w:szCs w:val="24"/>
              </w:rPr>
              <w:t xml:space="preserve"> 31 mars 2019</w:t>
            </w:r>
          </w:p>
        </w:tc>
        <w:tc>
          <w:tcPr>
            <w:tcW w:w="1021" w:type="pct"/>
            <w:vAlign w:val="center"/>
          </w:tcPr>
          <w:p w14:paraId="76B93008"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420</w:t>
            </w:r>
          </w:p>
        </w:tc>
        <w:tc>
          <w:tcPr>
            <w:tcW w:w="1214" w:type="pct"/>
            <w:vAlign w:val="center"/>
          </w:tcPr>
          <w:p w14:paraId="39748CEE"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18</w:t>
            </w:r>
          </w:p>
        </w:tc>
        <w:tc>
          <w:tcPr>
            <w:tcW w:w="711" w:type="pct"/>
            <w:vAlign w:val="center"/>
          </w:tcPr>
          <w:p w14:paraId="474F6133"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31</w:t>
            </w:r>
          </w:p>
        </w:tc>
        <w:tc>
          <w:tcPr>
            <w:tcW w:w="551" w:type="pct"/>
            <w:vAlign w:val="center"/>
          </w:tcPr>
          <w:p w14:paraId="4B50BA18"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11</w:t>
            </w:r>
          </w:p>
        </w:tc>
        <w:tc>
          <w:tcPr>
            <w:tcW w:w="756" w:type="pct"/>
            <w:vAlign w:val="center"/>
          </w:tcPr>
          <w:p w14:paraId="72FFF904" w14:textId="77777777" w:rsidR="00B61F15" w:rsidRPr="00F565BF" w:rsidRDefault="00B61F15" w:rsidP="00F565BF">
            <w:pPr>
              <w:autoSpaceDE w:val="0"/>
              <w:autoSpaceDN w:val="0"/>
              <w:adjustRightInd w:val="0"/>
              <w:jc w:val="center"/>
              <w:rPr>
                <w:rFonts w:asciiTheme="minorHAnsi" w:hAnsiTheme="minorHAnsi" w:cstheme="minorHAnsi"/>
                <w:color w:val="000000"/>
                <w:sz w:val="22"/>
                <w:szCs w:val="24"/>
              </w:rPr>
            </w:pPr>
            <w:r w:rsidRPr="00F565BF">
              <w:rPr>
                <w:rFonts w:asciiTheme="minorHAnsi" w:hAnsiTheme="minorHAnsi" w:cstheme="minorHAnsi"/>
                <w:color w:val="000000"/>
                <w:sz w:val="22"/>
                <w:szCs w:val="24"/>
              </w:rPr>
              <w:t>480</w:t>
            </w:r>
          </w:p>
        </w:tc>
      </w:tr>
    </w:tbl>
    <w:p w14:paraId="6B4AFB64" w14:textId="77777777" w:rsidR="000F7E62" w:rsidRDefault="000F7E62" w:rsidP="00944C68">
      <w:pPr>
        <w:pStyle w:val="Level1"/>
        <w:tabs>
          <w:tab w:val="left" w:pos="-1440"/>
        </w:tabs>
        <w:autoSpaceDE w:val="0"/>
        <w:autoSpaceDN w:val="0"/>
        <w:adjustRightInd w:val="0"/>
        <w:rPr>
          <w:rFonts w:ascii="Arial" w:hAnsi="Arial" w:cs="Arial"/>
          <w:sz w:val="22"/>
          <w:szCs w:val="22"/>
        </w:rPr>
      </w:pPr>
    </w:p>
    <w:p w14:paraId="32B6D1BC" w14:textId="77777777" w:rsidR="000F7E62" w:rsidRDefault="000F7E62" w:rsidP="00944C68">
      <w:pPr>
        <w:pStyle w:val="Level1"/>
        <w:tabs>
          <w:tab w:val="left" w:pos="-1440"/>
        </w:tabs>
        <w:autoSpaceDE w:val="0"/>
        <w:autoSpaceDN w:val="0"/>
        <w:adjustRightInd w:val="0"/>
        <w:rPr>
          <w:rFonts w:ascii="Arial" w:hAnsi="Arial" w:cs="Arial"/>
          <w:sz w:val="22"/>
          <w:szCs w:val="22"/>
        </w:rPr>
        <w:sectPr w:rsidR="000F7E62"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01852E05" w14:textId="77777777" w:rsidR="002241BA" w:rsidRPr="002241BA" w:rsidRDefault="002241BA" w:rsidP="002241BA">
      <w:pPr>
        <w:pStyle w:val="Heading1"/>
        <w:spacing w:before="120" w:after="120"/>
        <w:rPr>
          <w:sz w:val="40"/>
        </w:rPr>
      </w:pPr>
      <w:r w:rsidRPr="002241BA">
        <w:rPr>
          <w:rFonts w:eastAsia="Times New Roman"/>
          <w:sz w:val="40"/>
        </w:rPr>
        <w:lastRenderedPageBreak/>
        <w:t>Effectif selon les exigences linguistiques en date du 31 mars 2019</w:t>
      </w:r>
    </w:p>
    <w:p w14:paraId="3464D35D" w14:textId="77777777" w:rsidR="00F565BF" w:rsidRDefault="000F7E62" w:rsidP="00F565BF">
      <w:pPr>
        <w:pStyle w:val="Level1"/>
        <w:keepNext/>
        <w:tabs>
          <w:tab w:val="left" w:pos="-1440"/>
        </w:tabs>
        <w:autoSpaceDE w:val="0"/>
        <w:autoSpaceDN w:val="0"/>
        <w:adjustRightInd w:val="0"/>
        <w:jc w:val="center"/>
      </w:pPr>
      <w:r w:rsidRPr="00013CF8">
        <w:rPr>
          <w:noProof/>
          <w:lang w:val="en-CA" w:eastAsia="en-CA"/>
        </w:rPr>
        <w:drawing>
          <wp:inline distT="0" distB="0" distL="0" distR="0" wp14:anchorId="15C581D9" wp14:editId="25C0A2BC">
            <wp:extent cx="1980000" cy="3020400"/>
            <wp:effectExtent l="0" t="0" r="1270" b="8890"/>
            <wp:docPr id="8" name="Chart 8" descr="Effectif selon les exigences linguistiques en date du 31 mars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E08F48" w14:textId="4F5EACAA" w:rsidR="000F7E62" w:rsidRPr="007D6167" w:rsidRDefault="00F565BF" w:rsidP="002241BA">
      <w:pPr>
        <w:pStyle w:val="Caption"/>
        <w:spacing w:after="0"/>
        <w:jc w:val="center"/>
        <w:rPr>
          <w:rFonts w:asciiTheme="minorHAnsi" w:hAnsiTheme="minorHAnsi" w:cstheme="minorHAnsi"/>
          <w:i w:val="0"/>
          <w:color w:val="auto"/>
          <w:sz w:val="22"/>
          <w:szCs w:val="22"/>
        </w:rPr>
      </w:pPr>
      <w:r w:rsidRPr="007D6167">
        <w:rPr>
          <w:rFonts w:asciiTheme="minorHAnsi" w:hAnsiTheme="minorHAnsi" w:cstheme="minorHAnsi"/>
          <w:i w:val="0"/>
          <w:color w:val="auto"/>
        </w:rPr>
        <w:t xml:space="preserve">Figure </w:t>
      </w:r>
      <w:r w:rsidRPr="007D6167">
        <w:rPr>
          <w:rFonts w:asciiTheme="minorHAnsi" w:hAnsiTheme="minorHAnsi" w:cstheme="minorHAnsi"/>
          <w:i w:val="0"/>
          <w:color w:val="auto"/>
        </w:rPr>
        <w:fldChar w:fldCharType="begin"/>
      </w:r>
      <w:r w:rsidRPr="007D6167">
        <w:rPr>
          <w:rFonts w:asciiTheme="minorHAnsi" w:hAnsiTheme="minorHAnsi" w:cstheme="minorHAnsi"/>
          <w:i w:val="0"/>
          <w:color w:val="auto"/>
        </w:rPr>
        <w:instrText xml:space="preserve"> SEQ Figure \* ARABIC </w:instrText>
      </w:r>
      <w:r w:rsidRPr="007D6167">
        <w:rPr>
          <w:rFonts w:asciiTheme="minorHAnsi" w:hAnsiTheme="minorHAnsi" w:cstheme="minorHAnsi"/>
          <w:i w:val="0"/>
          <w:color w:val="auto"/>
        </w:rPr>
        <w:fldChar w:fldCharType="separate"/>
      </w:r>
      <w:r w:rsidR="00817426" w:rsidRPr="007D6167">
        <w:rPr>
          <w:rFonts w:asciiTheme="minorHAnsi" w:hAnsiTheme="minorHAnsi" w:cstheme="minorHAnsi"/>
          <w:i w:val="0"/>
          <w:noProof/>
          <w:color w:val="auto"/>
        </w:rPr>
        <w:t>2</w:t>
      </w:r>
      <w:r w:rsidRPr="007D6167">
        <w:rPr>
          <w:rFonts w:asciiTheme="minorHAnsi" w:hAnsiTheme="minorHAnsi" w:cstheme="minorHAnsi"/>
          <w:i w:val="0"/>
          <w:color w:val="auto"/>
        </w:rPr>
        <w:fldChar w:fldCharType="end"/>
      </w:r>
      <w:r w:rsidRPr="007D6167">
        <w:rPr>
          <w:rFonts w:asciiTheme="minorHAnsi" w:hAnsiTheme="minorHAnsi" w:cstheme="minorHAnsi"/>
          <w:i w:val="0"/>
          <w:color w:val="auto"/>
        </w:rPr>
        <w:t xml:space="preserve"> - Effectif selon les exigences linguistiques en date du 31 mars 2019</w:t>
      </w:r>
    </w:p>
    <w:p w14:paraId="56431125" w14:textId="1B62E8C2" w:rsidR="002241BA" w:rsidRPr="007D6167" w:rsidRDefault="002241BA" w:rsidP="002241BA">
      <w:pPr>
        <w:pStyle w:val="Caption"/>
        <w:keepNext/>
        <w:spacing w:before="240" w:after="0"/>
        <w:rPr>
          <w:rFonts w:asciiTheme="minorHAnsi" w:hAnsiTheme="minorHAnsi" w:cstheme="minorHAnsi"/>
          <w:i w:val="0"/>
          <w:color w:val="auto"/>
        </w:rPr>
      </w:pPr>
      <w:r w:rsidRPr="007D6167">
        <w:rPr>
          <w:rFonts w:asciiTheme="minorHAnsi" w:hAnsiTheme="minorHAnsi" w:cstheme="minorHAnsi"/>
          <w:i w:val="0"/>
          <w:color w:val="auto"/>
        </w:rPr>
        <w:t xml:space="preserve">Table </w:t>
      </w:r>
      <w:r w:rsidRPr="007D6167">
        <w:rPr>
          <w:rFonts w:asciiTheme="minorHAnsi" w:hAnsiTheme="minorHAnsi" w:cstheme="minorHAnsi"/>
          <w:i w:val="0"/>
          <w:color w:val="auto"/>
        </w:rPr>
        <w:fldChar w:fldCharType="begin"/>
      </w:r>
      <w:r w:rsidRPr="007D6167">
        <w:rPr>
          <w:rFonts w:asciiTheme="minorHAnsi" w:hAnsiTheme="minorHAnsi" w:cstheme="minorHAnsi"/>
          <w:i w:val="0"/>
          <w:color w:val="auto"/>
        </w:rPr>
        <w:instrText xml:space="preserve"> SEQ Table \* ARABIC </w:instrText>
      </w:r>
      <w:r w:rsidRPr="007D6167">
        <w:rPr>
          <w:rFonts w:asciiTheme="minorHAnsi" w:hAnsiTheme="minorHAnsi" w:cstheme="minorHAnsi"/>
          <w:i w:val="0"/>
          <w:color w:val="auto"/>
        </w:rPr>
        <w:fldChar w:fldCharType="separate"/>
      </w:r>
      <w:r w:rsidR="0009743A" w:rsidRPr="007D6167">
        <w:rPr>
          <w:rFonts w:asciiTheme="minorHAnsi" w:hAnsiTheme="minorHAnsi" w:cstheme="minorHAnsi"/>
          <w:i w:val="0"/>
          <w:noProof/>
          <w:color w:val="auto"/>
        </w:rPr>
        <w:t>5</w:t>
      </w:r>
      <w:r w:rsidRPr="007D6167">
        <w:rPr>
          <w:rFonts w:asciiTheme="minorHAnsi" w:hAnsiTheme="minorHAnsi" w:cstheme="minorHAnsi"/>
          <w:i w:val="0"/>
          <w:color w:val="auto"/>
        </w:rPr>
        <w:fldChar w:fldCharType="end"/>
      </w:r>
      <w:r w:rsidRPr="007D6167">
        <w:rPr>
          <w:rFonts w:asciiTheme="minorHAnsi" w:hAnsiTheme="minorHAnsi" w:cstheme="minorHAnsi"/>
          <w:i w:val="0"/>
          <w:color w:val="auto"/>
        </w:rPr>
        <w:t xml:space="preserve"> - Effectif assujetti à la </w:t>
      </w:r>
      <w:r w:rsidRPr="00C4296F">
        <w:rPr>
          <w:rStyle w:val="Emphasis"/>
        </w:rPr>
        <w:t>Loi sur l’emploi dans la fonction publique</w:t>
      </w:r>
      <w:r w:rsidRPr="007D6167">
        <w:rPr>
          <w:rFonts w:asciiTheme="minorHAnsi" w:hAnsiTheme="minorHAnsi" w:cstheme="minorHAnsi"/>
          <w:i w:val="0"/>
          <w:color w:val="auto"/>
        </w:rPr>
        <w:t xml:space="preserve"> selon les exigences linguistiques du poste pendant l’exercice financier 2018 2019</w:t>
      </w:r>
    </w:p>
    <w:tbl>
      <w:tblPr>
        <w:tblStyle w:val="TableGrid"/>
        <w:tblW w:w="5000" w:type="pct"/>
        <w:jc w:val="center"/>
        <w:tblLook w:val="0020" w:firstRow="1" w:lastRow="0" w:firstColumn="0" w:lastColumn="0" w:noHBand="0" w:noVBand="0"/>
        <w:tblDescription w:val="Effectif selon les exigences linguistiques au 31 mars 2019"/>
      </w:tblPr>
      <w:tblGrid>
        <w:gridCol w:w="3738"/>
        <w:gridCol w:w="5100"/>
        <w:gridCol w:w="5552"/>
      </w:tblGrid>
      <w:tr w:rsidR="00B61F15" w:rsidRPr="00013CF8" w14:paraId="2256C441" w14:textId="77777777" w:rsidTr="001F6E88">
        <w:trPr>
          <w:cantSplit/>
          <w:trHeight w:val="290"/>
          <w:tblHeader/>
          <w:jc w:val="center"/>
        </w:trPr>
        <w:tc>
          <w:tcPr>
            <w:tcW w:w="1299" w:type="pct"/>
          </w:tcPr>
          <w:p w14:paraId="411B60A7" w14:textId="77777777" w:rsidR="00B61F15" w:rsidRPr="00013CF8" w:rsidRDefault="00B61F15" w:rsidP="002241BA">
            <w:pPr>
              <w:pStyle w:val="TableTitle"/>
            </w:pPr>
            <w:r w:rsidRPr="00013CF8">
              <w:t>Exigences linguistiques du poste</w:t>
            </w:r>
          </w:p>
        </w:tc>
        <w:tc>
          <w:tcPr>
            <w:tcW w:w="1772" w:type="pct"/>
          </w:tcPr>
          <w:p w14:paraId="5257B604" w14:textId="77777777" w:rsidR="00B61F15" w:rsidRPr="00013CF8" w:rsidRDefault="00B61F15" w:rsidP="002241BA">
            <w:pPr>
              <w:pStyle w:val="TableTitle"/>
            </w:pPr>
            <w:r w:rsidRPr="00013CF8">
              <w:t>Nombre d’employés en date du 31 mars 2019</w:t>
            </w:r>
          </w:p>
        </w:tc>
        <w:tc>
          <w:tcPr>
            <w:tcW w:w="1929" w:type="pct"/>
          </w:tcPr>
          <w:p w14:paraId="09EE9F02" w14:textId="77777777" w:rsidR="00B61F15" w:rsidRPr="00013CF8" w:rsidRDefault="00B61F15" w:rsidP="002241BA">
            <w:pPr>
              <w:pStyle w:val="TableTitle"/>
            </w:pPr>
            <w:r w:rsidRPr="00013CF8">
              <w:t xml:space="preserve">Pourcentage de l’effectif en date du 31 mars 2019 </w:t>
            </w:r>
          </w:p>
        </w:tc>
      </w:tr>
      <w:tr w:rsidR="00B61F15" w:rsidRPr="002241BA" w14:paraId="4F023F30" w14:textId="77777777" w:rsidTr="001F6E88">
        <w:trPr>
          <w:cantSplit/>
          <w:trHeight w:val="290"/>
          <w:tblHeader/>
          <w:jc w:val="center"/>
        </w:trPr>
        <w:tc>
          <w:tcPr>
            <w:tcW w:w="1299" w:type="pct"/>
          </w:tcPr>
          <w:p w14:paraId="75B3B1C0"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Bilingue</w:t>
            </w:r>
          </w:p>
        </w:tc>
        <w:tc>
          <w:tcPr>
            <w:tcW w:w="1772" w:type="pct"/>
          </w:tcPr>
          <w:p w14:paraId="09B6FF2D"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266</w:t>
            </w:r>
          </w:p>
        </w:tc>
        <w:tc>
          <w:tcPr>
            <w:tcW w:w="1929" w:type="pct"/>
            <w:shd w:val="clear" w:color="auto" w:fill="auto"/>
          </w:tcPr>
          <w:p w14:paraId="4C680E87"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81 %</w:t>
            </w:r>
          </w:p>
        </w:tc>
      </w:tr>
      <w:tr w:rsidR="00B61F15" w:rsidRPr="002241BA" w14:paraId="01DE3C35" w14:textId="77777777" w:rsidTr="001F6E88">
        <w:trPr>
          <w:cantSplit/>
          <w:trHeight w:val="290"/>
          <w:tblHeader/>
          <w:jc w:val="center"/>
        </w:trPr>
        <w:tc>
          <w:tcPr>
            <w:tcW w:w="1299" w:type="pct"/>
          </w:tcPr>
          <w:p w14:paraId="243EEEBA"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Unilingue</w:t>
            </w:r>
          </w:p>
        </w:tc>
        <w:tc>
          <w:tcPr>
            <w:tcW w:w="1772" w:type="pct"/>
          </w:tcPr>
          <w:p w14:paraId="1D592AB1"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62</w:t>
            </w:r>
          </w:p>
        </w:tc>
        <w:tc>
          <w:tcPr>
            <w:tcW w:w="1929" w:type="pct"/>
            <w:shd w:val="clear" w:color="auto" w:fill="auto"/>
          </w:tcPr>
          <w:p w14:paraId="00C788F8"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19 %</w:t>
            </w:r>
          </w:p>
        </w:tc>
      </w:tr>
      <w:tr w:rsidR="00B61F15" w:rsidRPr="002241BA" w14:paraId="1F4725A0" w14:textId="77777777" w:rsidTr="001F6E88">
        <w:trPr>
          <w:cantSplit/>
          <w:trHeight w:val="290"/>
          <w:tblHeader/>
          <w:jc w:val="center"/>
        </w:trPr>
        <w:tc>
          <w:tcPr>
            <w:tcW w:w="1299" w:type="pct"/>
          </w:tcPr>
          <w:p w14:paraId="45B873E1"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Inconnu</w:t>
            </w:r>
          </w:p>
        </w:tc>
        <w:tc>
          <w:tcPr>
            <w:tcW w:w="1772" w:type="pct"/>
          </w:tcPr>
          <w:p w14:paraId="50424DAC"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152</w:t>
            </w:r>
          </w:p>
        </w:tc>
        <w:tc>
          <w:tcPr>
            <w:tcW w:w="1929" w:type="pct"/>
            <w:shd w:val="clear" w:color="auto" w:fill="auto"/>
          </w:tcPr>
          <w:p w14:paraId="1AAAA34B" w14:textId="095F842B" w:rsidR="00B61F15" w:rsidRPr="002241BA" w:rsidRDefault="002241BA" w:rsidP="00F565BF">
            <w:pPr>
              <w:autoSpaceDE w:val="0"/>
              <w:autoSpaceDN w:val="0"/>
              <w:adjustRightInd w:val="0"/>
              <w:jc w:val="center"/>
              <w:rPr>
                <w:rFonts w:asciiTheme="minorHAnsi" w:hAnsiTheme="minorHAnsi" w:cstheme="minorHAnsi"/>
                <w:color w:val="000000"/>
                <w:sz w:val="22"/>
                <w:szCs w:val="24"/>
              </w:rPr>
            </w:pPr>
            <w:r>
              <w:rPr>
                <w:rFonts w:asciiTheme="minorHAnsi" w:hAnsiTheme="minorHAnsi" w:cstheme="minorHAnsi"/>
                <w:color w:val="000000"/>
                <w:sz w:val="22"/>
                <w:szCs w:val="24"/>
              </w:rPr>
              <w:t>0%</w:t>
            </w:r>
          </w:p>
        </w:tc>
      </w:tr>
    </w:tbl>
    <w:p w14:paraId="5476F67A" w14:textId="77777777" w:rsidR="000F7E62" w:rsidRDefault="000F7E62" w:rsidP="00944C68">
      <w:pPr>
        <w:pStyle w:val="Level1"/>
        <w:tabs>
          <w:tab w:val="left" w:pos="-1440"/>
        </w:tabs>
        <w:autoSpaceDE w:val="0"/>
        <w:autoSpaceDN w:val="0"/>
        <w:adjustRightInd w:val="0"/>
        <w:rPr>
          <w:rFonts w:ascii="Arial" w:hAnsi="Arial" w:cs="Arial"/>
          <w:sz w:val="22"/>
          <w:szCs w:val="22"/>
        </w:rPr>
      </w:pPr>
    </w:p>
    <w:p w14:paraId="72A01630" w14:textId="77777777" w:rsidR="000F7E62" w:rsidRDefault="000F7E62" w:rsidP="00944C68">
      <w:pPr>
        <w:pStyle w:val="Level1"/>
        <w:tabs>
          <w:tab w:val="left" w:pos="-1440"/>
        </w:tabs>
        <w:autoSpaceDE w:val="0"/>
        <w:autoSpaceDN w:val="0"/>
        <w:adjustRightInd w:val="0"/>
        <w:rPr>
          <w:rFonts w:ascii="Arial" w:hAnsi="Arial" w:cs="Arial"/>
          <w:sz w:val="22"/>
          <w:szCs w:val="22"/>
        </w:rPr>
        <w:sectPr w:rsidR="000F7E62"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3DEE0911" w14:textId="77777777" w:rsidR="002241BA" w:rsidRPr="002241BA" w:rsidRDefault="002241BA" w:rsidP="002241BA">
      <w:pPr>
        <w:pStyle w:val="Heading1"/>
        <w:spacing w:before="120" w:after="120"/>
        <w:rPr>
          <w:sz w:val="40"/>
        </w:rPr>
      </w:pPr>
      <w:r w:rsidRPr="002241BA">
        <w:rPr>
          <w:rFonts w:eastAsia="Times New Roman"/>
          <w:sz w:val="40"/>
        </w:rPr>
        <w:lastRenderedPageBreak/>
        <w:t>Effectif selon le groupe professionnel en date du 31 mars 2019</w:t>
      </w:r>
    </w:p>
    <w:p w14:paraId="7915614E" w14:textId="77777777" w:rsidR="002241BA" w:rsidRDefault="000F7E62" w:rsidP="002241BA">
      <w:pPr>
        <w:pStyle w:val="Level1"/>
        <w:keepNext/>
        <w:tabs>
          <w:tab w:val="left" w:pos="-1440"/>
        </w:tabs>
        <w:autoSpaceDE w:val="0"/>
        <w:autoSpaceDN w:val="0"/>
        <w:adjustRightInd w:val="0"/>
        <w:jc w:val="center"/>
      </w:pPr>
      <w:r w:rsidRPr="00013CF8">
        <w:rPr>
          <w:noProof/>
          <w:lang w:val="en-CA" w:eastAsia="en-CA"/>
        </w:rPr>
        <w:drawing>
          <wp:inline distT="0" distB="0" distL="0" distR="0" wp14:anchorId="6A896DED" wp14:editId="737C390F">
            <wp:extent cx="1980000" cy="3020400"/>
            <wp:effectExtent l="0" t="0" r="1270" b="8890"/>
            <wp:docPr id="5" name="Chart 5" descr="Effectif selon le groupe professionnel en date du 31 mars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A637B8" w14:textId="0F13F536" w:rsidR="000F7E62" w:rsidRPr="003106EB" w:rsidRDefault="002241BA" w:rsidP="002241BA">
      <w:pPr>
        <w:pStyle w:val="Caption"/>
        <w:spacing w:after="0"/>
        <w:jc w:val="center"/>
        <w:rPr>
          <w:rFonts w:asciiTheme="minorHAnsi" w:hAnsiTheme="minorHAnsi" w:cstheme="minorHAnsi"/>
          <w:i w:val="0"/>
          <w:color w:val="auto"/>
          <w:sz w:val="22"/>
          <w:szCs w:val="22"/>
        </w:rPr>
      </w:pPr>
      <w:r w:rsidRPr="003106EB">
        <w:rPr>
          <w:rFonts w:asciiTheme="minorHAnsi" w:hAnsiTheme="minorHAnsi" w:cstheme="minorHAnsi"/>
          <w:i w:val="0"/>
          <w:color w:val="auto"/>
        </w:rPr>
        <w:t xml:space="preserve">Figure </w:t>
      </w:r>
      <w:r w:rsidRPr="003106EB">
        <w:rPr>
          <w:rFonts w:asciiTheme="minorHAnsi" w:hAnsiTheme="minorHAnsi" w:cstheme="minorHAnsi"/>
          <w:i w:val="0"/>
          <w:color w:val="auto"/>
        </w:rPr>
        <w:fldChar w:fldCharType="begin"/>
      </w:r>
      <w:r w:rsidRPr="003106EB">
        <w:rPr>
          <w:rFonts w:asciiTheme="minorHAnsi" w:hAnsiTheme="minorHAnsi" w:cstheme="minorHAnsi"/>
          <w:i w:val="0"/>
          <w:color w:val="auto"/>
        </w:rPr>
        <w:instrText xml:space="preserve"> SEQ Figure \* ARABIC </w:instrText>
      </w:r>
      <w:r w:rsidRPr="003106EB">
        <w:rPr>
          <w:rFonts w:asciiTheme="minorHAnsi" w:hAnsiTheme="minorHAnsi" w:cstheme="minorHAnsi"/>
          <w:i w:val="0"/>
          <w:color w:val="auto"/>
        </w:rPr>
        <w:fldChar w:fldCharType="separate"/>
      </w:r>
      <w:r w:rsidR="00817426" w:rsidRPr="003106EB">
        <w:rPr>
          <w:rFonts w:asciiTheme="minorHAnsi" w:hAnsiTheme="minorHAnsi" w:cstheme="minorHAnsi"/>
          <w:i w:val="0"/>
          <w:noProof/>
          <w:color w:val="auto"/>
        </w:rPr>
        <w:t>3</w:t>
      </w:r>
      <w:r w:rsidRPr="003106EB">
        <w:rPr>
          <w:rFonts w:asciiTheme="minorHAnsi" w:hAnsiTheme="minorHAnsi" w:cstheme="minorHAnsi"/>
          <w:i w:val="0"/>
          <w:color w:val="auto"/>
        </w:rPr>
        <w:fldChar w:fldCharType="end"/>
      </w:r>
      <w:r w:rsidRPr="003106EB">
        <w:rPr>
          <w:rFonts w:asciiTheme="minorHAnsi" w:hAnsiTheme="minorHAnsi" w:cstheme="minorHAnsi"/>
          <w:i w:val="0"/>
          <w:color w:val="auto"/>
        </w:rPr>
        <w:t xml:space="preserve"> - Effectif selon le groupe professionnel en date du 31 mars 2019</w:t>
      </w:r>
    </w:p>
    <w:p w14:paraId="5D2D4D79" w14:textId="1AF4624A" w:rsidR="002241BA" w:rsidRPr="003106EB" w:rsidRDefault="002241BA" w:rsidP="002241BA">
      <w:pPr>
        <w:pStyle w:val="Caption"/>
        <w:keepNext/>
        <w:spacing w:before="240" w:after="0"/>
        <w:jc w:val="center"/>
        <w:rPr>
          <w:rFonts w:asciiTheme="minorHAnsi" w:hAnsiTheme="minorHAnsi" w:cstheme="minorHAnsi"/>
          <w:i w:val="0"/>
          <w:color w:val="auto"/>
        </w:rPr>
      </w:pPr>
      <w:r w:rsidRPr="003106EB">
        <w:rPr>
          <w:rFonts w:asciiTheme="minorHAnsi" w:hAnsiTheme="minorHAnsi" w:cstheme="minorHAnsi"/>
          <w:i w:val="0"/>
          <w:color w:val="auto"/>
        </w:rPr>
        <w:t xml:space="preserve">Table </w:t>
      </w:r>
      <w:r w:rsidRPr="003106EB">
        <w:rPr>
          <w:rFonts w:asciiTheme="minorHAnsi" w:hAnsiTheme="minorHAnsi" w:cstheme="minorHAnsi"/>
          <w:i w:val="0"/>
          <w:color w:val="auto"/>
        </w:rPr>
        <w:fldChar w:fldCharType="begin"/>
      </w:r>
      <w:r w:rsidRPr="003106EB">
        <w:rPr>
          <w:rFonts w:asciiTheme="minorHAnsi" w:hAnsiTheme="minorHAnsi" w:cstheme="minorHAnsi"/>
          <w:i w:val="0"/>
          <w:color w:val="auto"/>
        </w:rPr>
        <w:instrText xml:space="preserve"> SEQ Table \* ARABIC </w:instrText>
      </w:r>
      <w:r w:rsidRPr="003106EB">
        <w:rPr>
          <w:rFonts w:asciiTheme="minorHAnsi" w:hAnsiTheme="minorHAnsi" w:cstheme="minorHAnsi"/>
          <w:i w:val="0"/>
          <w:color w:val="auto"/>
        </w:rPr>
        <w:fldChar w:fldCharType="separate"/>
      </w:r>
      <w:r w:rsidR="0009743A" w:rsidRPr="003106EB">
        <w:rPr>
          <w:rFonts w:asciiTheme="minorHAnsi" w:hAnsiTheme="minorHAnsi" w:cstheme="minorHAnsi"/>
          <w:i w:val="0"/>
          <w:noProof/>
          <w:color w:val="auto"/>
        </w:rPr>
        <w:t>6</w:t>
      </w:r>
      <w:r w:rsidRPr="003106EB">
        <w:rPr>
          <w:rFonts w:asciiTheme="minorHAnsi" w:hAnsiTheme="minorHAnsi" w:cstheme="minorHAnsi"/>
          <w:i w:val="0"/>
          <w:color w:val="auto"/>
        </w:rPr>
        <w:fldChar w:fldCharType="end"/>
      </w:r>
      <w:r w:rsidRPr="003106EB">
        <w:rPr>
          <w:rFonts w:asciiTheme="minorHAnsi" w:hAnsiTheme="minorHAnsi" w:cstheme="minorHAnsi"/>
          <w:i w:val="0"/>
          <w:color w:val="auto"/>
        </w:rPr>
        <w:t xml:space="preserve"> - Principaux groupes professionnels en pourcentage de l’effectif assujetti à la </w:t>
      </w:r>
      <w:r w:rsidRPr="00C4296F">
        <w:rPr>
          <w:rStyle w:val="Emphasis"/>
        </w:rPr>
        <w:t>Loi sur l’emploi dans la fonction publique</w:t>
      </w:r>
      <w:r w:rsidRPr="003106EB">
        <w:rPr>
          <w:rFonts w:asciiTheme="minorHAnsi" w:hAnsiTheme="minorHAnsi" w:cstheme="minorHAnsi"/>
          <w:i w:val="0"/>
          <w:color w:val="auto"/>
        </w:rPr>
        <w:t xml:space="preserve"> pendant l’exercice financier 2018 2019</w:t>
      </w:r>
    </w:p>
    <w:tbl>
      <w:tblPr>
        <w:tblStyle w:val="TableGrid"/>
        <w:tblW w:w="5000" w:type="pct"/>
        <w:jc w:val="center"/>
        <w:tblLook w:val="0020" w:firstRow="1" w:lastRow="0" w:firstColumn="0" w:lastColumn="0" w:noHBand="0" w:noVBand="0"/>
        <w:tblDescription w:val="Effectif selon le groupe professionnel au 31 mars 2019"/>
      </w:tblPr>
      <w:tblGrid>
        <w:gridCol w:w="3822"/>
        <w:gridCol w:w="4821"/>
        <w:gridCol w:w="5747"/>
      </w:tblGrid>
      <w:tr w:rsidR="00B61F15" w:rsidRPr="00013CF8" w14:paraId="77CC00AE" w14:textId="77777777" w:rsidTr="001F6E88">
        <w:trPr>
          <w:cantSplit/>
          <w:trHeight w:val="290"/>
          <w:tblHeader/>
          <w:jc w:val="center"/>
        </w:trPr>
        <w:tc>
          <w:tcPr>
            <w:tcW w:w="1328" w:type="pct"/>
          </w:tcPr>
          <w:p w14:paraId="65918F38" w14:textId="77777777" w:rsidR="00B61F15" w:rsidRPr="00013CF8" w:rsidRDefault="00B61F15" w:rsidP="002241BA">
            <w:pPr>
              <w:pStyle w:val="TableTitle"/>
              <w:rPr>
                <w:color w:val="000000"/>
              </w:rPr>
            </w:pPr>
            <w:r w:rsidRPr="00013CF8">
              <w:t>Groupe professionnel</w:t>
            </w:r>
          </w:p>
        </w:tc>
        <w:tc>
          <w:tcPr>
            <w:tcW w:w="1675" w:type="pct"/>
          </w:tcPr>
          <w:p w14:paraId="1C3031EF" w14:textId="77777777" w:rsidR="00B61F15" w:rsidRPr="00013CF8" w:rsidRDefault="00B61F15" w:rsidP="002241BA">
            <w:pPr>
              <w:pStyle w:val="TableTitle"/>
              <w:rPr>
                <w:color w:val="000000"/>
              </w:rPr>
            </w:pPr>
            <w:r w:rsidRPr="00013CF8">
              <w:rPr>
                <w:color w:val="000000"/>
              </w:rPr>
              <w:t>Nombre d’employés</w:t>
            </w:r>
            <w:r w:rsidRPr="00013CF8">
              <w:t xml:space="preserve"> en date du 31 mars 2019</w:t>
            </w:r>
          </w:p>
        </w:tc>
        <w:tc>
          <w:tcPr>
            <w:tcW w:w="1997" w:type="pct"/>
          </w:tcPr>
          <w:p w14:paraId="7FF86873" w14:textId="77777777" w:rsidR="00B61F15" w:rsidRPr="00013CF8" w:rsidRDefault="00B61F15" w:rsidP="002241BA">
            <w:pPr>
              <w:pStyle w:val="TableTitle"/>
            </w:pPr>
            <w:r w:rsidRPr="00013CF8">
              <w:t>Pourcentage de l’effectif en date du 31 mars 2019</w:t>
            </w:r>
          </w:p>
        </w:tc>
      </w:tr>
      <w:tr w:rsidR="00B61F15" w:rsidRPr="002241BA" w14:paraId="564B419F" w14:textId="77777777" w:rsidTr="001F6E88">
        <w:trPr>
          <w:cantSplit/>
          <w:trHeight w:val="290"/>
          <w:tblHeader/>
          <w:jc w:val="center"/>
        </w:trPr>
        <w:tc>
          <w:tcPr>
            <w:tcW w:w="1328" w:type="pct"/>
          </w:tcPr>
          <w:p w14:paraId="68430B9E"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AS – Services administratifs</w:t>
            </w:r>
          </w:p>
        </w:tc>
        <w:tc>
          <w:tcPr>
            <w:tcW w:w="1675" w:type="pct"/>
          </w:tcPr>
          <w:p w14:paraId="6F21A8B4"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134</w:t>
            </w:r>
          </w:p>
        </w:tc>
        <w:tc>
          <w:tcPr>
            <w:tcW w:w="1997" w:type="pct"/>
          </w:tcPr>
          <w:p w14:paraId="7951E857"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28 %</w:t>
            </w:r>
          </w:p>
        </w:tc>
      </w:tr>
      <w:tr w:rsidR="00B61F15" w:rsidRPr="002241BA" w14:paraId="56B2FA31" w14:textId="77777777" w:rsidTr="001F6E88">
        <w:trPr>
          <w:cantSplit/>
          <w:trHeight w:val="290"/>
          <w:tblHeader/>
          <w:jc w:val="center"/>
        </w:trPr>
        <w:tc>
          <w:tcPr>
            <w:tcW w:w="1328" w:type="pct"/>
          </w:tcPr>
          <w:p w14:paraId="20215FE2"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PM – Administration des programmes</w:t>
            </w:r>
          </w:p>
        </w:tc>
        <w:tc>
          <w:tcPr>
            <w:tcW w:w="1675" w:type="pct"/>
          </w:tcPr>
          <w:p w14:paraId="3B6822E4"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106</w:t>
            </w:r>
          </w:p>
        </w:tc>
        <w:tc>
          <w:tcPr>
            <w:tcW w:w="1997" w:type="pct"/>
          </w:tcPr>
          <w:p w14:paraId="250F4ABD"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22 %</w:t>
            </w:r>
          </w:p>
        </w:tc>
      </w:tr>
      <w:tr w:rsidR="00B61F15" w:rsidRPr="002241BA" w14:paraId="7F14A832" w14:textId="77777777" w:rsidTr="001F6E88">
        <w:trPr>
          <w:cantSplit/>
          <w:trHeight w:val="290"/>
          <w:tblHeader/>
          <w:jc w:val="center"/>
        </w:trPr>
        <w:tc>
          <w:tcPr>
            <w:tcW w:w="1328" w:type="pct"/>
          </w:tcPr>
          <w:p w14:paraId="2B351939"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CR – Écritures et règlements</w:t>
            </w:r>
          </w:p>
        </w:tc>
        <w:tc>
          <w:tcPr>
            <w:tcW w:w="1675" w:type="pct"/>
          </w:tcPr>
          <w:p w14:paraId="2F155701"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48</w:t>
            </w:r>
          </w:p>
        </w:tc>
        <w:tc>
          <w:tcPr>
            <w:tcW w:w="1997" w:type="pct"/>
          </w:tcPr>
          <w:p w14:paraId="60B79D26"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10 %</w:t>
            </w:r>
          </w:p>
        </w:tc>
      </w:tr>
      <w:tr w:rsidR="00B61F15" w:rsidRPr="002241BA" w14:paraId="3752099B" w14:textId="77777777" w:rsidTr="001F6E88">
        <w:trPr>
          <w:cantSplit/>
          <w:trHeight w:val="290"/>
          <w:tblHeader/>
          <w:jc w:val="center"/>
        </w:trPr>
        <w:tc>
          <w:tcPr>
            <w:tcW w:w="1328" w:type="pct"/>
          </w:tcPr>
          <w:p w14:paraId="56858DDC"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LP – Praticien du droit</w:t>
            </w:r>
          </w:p>
        </w:tc>
        <w:tc>
          <w:tcPr>
            <w:tcW w:w="1675" w:type="pct"/>
          </w:tcPr>
          <w:p w14:paraId="5CA008F6"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44</w:t>
            </w:r>
          </w:p>
        </w:tc>
        <w:tc>
          <w:tcPr>
            <w:tcW w:w="1997" w:type="pct"/>
          </w:tcPr>
          <w:p w14:paraId="0284AF9F"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9 %</w:t>
            </w:r>
          </w:p>
        </w:tc>
      </w:tr>
      <w:tr w:rsidR="00B61F15" w:rsidRPr="002241BA" w14:paraId="70007E03" w14:textId="77777777" w:rsidTr="001F6E88">
        <w:trPr>
          <w:cantSplit/>
          <w:trHeight w:val="290"/>
          <w:tblHeader/>
          <w:jc w:val="center"/>
        </w:trPr>
        <w:tc>
          <w:tcPr>
            <w:tcW w:w="1328" w:type="pct"/>
          </w:tcPr>
          <w:p w14:paraId="6147448B"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IS – Services d’information</w:t>
            </w:r>
          </w:p>
        </w:tc>
        <w:tc>
          <w:tcPr>
            <w:tcW w:w="1675" w:type="pct"/>
          </w:tcPr>
          <w:p w14:paraId="061D730C"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28</w:t>
            </w:r>
          </w:p>
        </w:tc>
        <w:tc>
          <w:tcPr>
            <w:tcW w:w="1997" w:type="pct"/>
          </w:tcPr>
          <w:p w14:paraId="32D35213"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6 %</w:t>
            </w:r>
          </w:p>
        </w:tc>
      </w:tr>
      <w:tr w:rsidR="00B61F15" w:rsidRPr="002241BA" w14:paraId="689F4EFA" w14:textId="77777777" w:rsidTr="001F6E88">
        <w:trPr>
          <w:cantSplit/>
          <w:trHeight w:val="290"/>
          <w:tblHeader/>
          <w:jc w:val="center"/>
        </w:trPr>
        <w:tc>
          <w:tcPr>
            <w:tcW w:w="1328" w:type="pct"/>
          </w:tcPr>
          <w:p w14:paraId="5DEF347F" w14:textId="77777777" w:rsidR="00B61F15" w:rsidRPr="002241BA" w:rsidRDefault="00B61F15" w:rsidP="00F565BF">
            <w:pPr>
              <w:autoSpaceDE w:val="0"/>
              <w:autoSpaceDN w:val="0"/>
              <w:adjustRightInd w:val="0"/>
              <w:rPr>
                <w:rFonts w:asciiTheme="minorHAnsi" w:hAnsiTheme="minorHAnsi" w:cstheme="minorHAnsi"/>
                <w:color w:val="000000"/>
                <w:sz w:val="22"/>
                <w:szCs w:val="24"/>
              </w:rPr>
            </w:pPr>
            <w:r w:rsidRPr="002241BA">
              <w:rPr>
                <w:rFonts w:asciiTheme="minorHAnsi" w:hAnsiTheme="minorHAnsi" w:cstheme="minorHAnsi"/>
                <w:color w:val="000000"/>
                <w:sz w:val="22"/>
                <w:szCs w:val="24"/>
              </w:rPr>
              <w:t>Autre</w:t>
            </w:r>
          </w:p>
        </w:tc>
        <w:tc>
          <w:tcPr>
            <w:tcW w:w="1675" w:type="pct"/>
          </w:tcPr>
          <w:p w14:paraId="3CBDCC45"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120</w:t>
            </w:r>
          </w:p>
        </w:tc>
        <w:tc>
          <w:tcPr>
            <w:tcW w:w="1997" w:type="pct"/>
          </w:tcPr>
          <w:p w14:paraId="58524EA1" w14:textId="77777777" w:rsidR="00B61F15" w:rsidRPr="002241BA" w:rsidRDefault="00B61F15" w:rsidP="00F565BF">
            <w:pPr>
              <w:autoSpaceDE w:val="0"/>
              <w:autoSpaceDN w:val="0"/>
              <w:adjustRightInd w:val="0"/>
              <w:jc w:val="center"/>
              <w:rPr>
                <w:rFonts w:asciiTheme="minorHAnsi" w:hAnsiTheme="minorHAnsi" w:cstheme="minorHAnsi"/>
                <w:color w:val="000000"/>
                <w:sz w:val="22"/>
                <w:szCs w:val="24"/>
              </w:rPr>
            </w:pPr>
            <w:r w:rsidRPr="002241BA">
              <w:rPr>
                <w:rFonts w:asciiTheme="minorHAnsi" w:hAnsiTheme="minorHAnsi" w:cstheme="minorHAnsi"/>
                <w:color w:val="000000"/>
                <w:sz w:val="22"/>
                <w:szCs w:val="24"/>
              </w:rPr>
              <w:t>25 %</w:t>
            </w:r>
          </w:p>
        </w:tc>
      </w:tr>
    </w:tbl>
    <w:p w14:paraId="5FA04107" w14:textId="77777777" w:rsidR="000F7E62" w:rsidRDefault="000F7E62" w:rsidP="00944C68">
      <w:pPr>
        <w:pStyle w:val="Level1"/>
        <w:tabs>
          <w:tab w:val="left" w:pos="-1440"/>
        </w:tabs>
        <w:autoSpaceDE w:val="0"/>
        <w:autoSpaceDN w:val="0"/>
        <w:adjustRightInd w:val="0"/>
        <w:rPr>
          <w:rFonts w:ascii="Arial" w:hAnsi="Arial" w:cs="Arial"/>
          <w:sz w:val="22"/>
          <w:szCs w:val="22"/>
        </w:rPr>
      </w:pPr>
    </w:p>
    <w:p w14:paraId="59576AB7" w14:textId="77777777" w:rsidR="000F7E62" w:rsidRDefault="000F7E62" w:rsidP="00944C68">
      <w:pPr>
        <w:pStyle w:val="Level1"/>
        <w:tabs>
          <w:tab w:val="left" w:pos="-1440"/>
        </w:tabs>
        <w:autoSpaceDE w:val="0"/>
        <w:autoSpaceDN w:val="0"/>
        <w:adjustRightInd w:val="0"/>
        <w:rPr>
          <w:rFonts w:ascii="Arial" w:hAnsi="Arial" w:cs="Arial"/>
          <w:sz w:val="22"/>
          <w:szCs w:val="22"/>
        </w:rPr>
        <w:sectPr w:rsidR="000F7E62"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23DA847C" w14:textId="77777777" w:rsidR="005E6D0E" w:rsidRPr="005E6D0E" w:rsidRDefault="005E6D0E" w:rsidP="005E6D0E">
      <w:pPr>
        <w:pStyle w:val="Heading1"/>
        <w:spacing w:before="120" w:after="120"/>
        <w:rPr>
          <w:sz w:val="40"/>
        </w:rPr>
      </w:pPr>
      <w:r w:rsidRPr="005E6D0E">
        <w:rPr>
          <w:rFonts w:eastAsia="Times New Roman"/>
          <w:sz w:val="40"/>
        </w:rPr>
        <w:lastRenderedPageBreak/>
        <w:t xml:space="preserve">Effectif selon la région en date du 31 mars 2019 </w:t>
      </w:r>
    </w:p>
    <w:p w14:paraId="6B540A95" w14:textId="77777777" w:rsidR="005E6D0E" w:rsidRPr="003106EB" w:rsidRDefault="000F7E62" w:rsidP="005E6D0E">
      <w:pPr>
        <w:pStyle w:val="Level1"/>
        <w:keepNext/>
        <w:tabs>
          <w:tab w:val="left" w:pos="-1440"/>
        </w:tabs>
        <w:autoSpaceDE w:val="0"/>
        <w:autoSpaceDN w:val="0"/>
        <w:adjustRightInd w:val="0"/>
        <w:jc w:val="center"/>
        <w:rPr>
          <w:rStyle w:val="Emphasis"/>
        </w:rPr>
      </w:pPr>
      <w:r w:rsidRPr="005E6D0E">
        <w:rPr>
          <w:rFonts w:asciiTheme="minorHAnsi" w:hAnsiTheme="minorHAnsi" w:cstheme="minorHAnsi"/>
          <w:noProof/>
          <w:lang w:val="en-CA" w:eastAsia="en-CA"/>
        </w:rPr>
        <w:drawing>
          <wp:inline distT="0" distB="0" distL="0" distR="0" wp14:anchorId="702550CA" wp14:editId="342C1138">
            <wp:extent cx="1980000" cy="3020400"/>
            <wp:effectExtent l="0" t="0" r="1270" b="8890"/>
            <wp:docPr id="12" name="Chart 12" descr="Effectif selon la région en date du 31 mars 2019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B45267" w14:textId="3C374778" w:rsidR="000F7E62" w:rsidRPr="003106EB" w:rsidRDefault="005E6D0E" w:rsidP="003106EB">
      <w:pPr>
        <w:pStyle w:val="Caption"/>
        <w:spacing w:after="0"/>
        <w:jc w:val="center"/>
        <w:rPr>
          <w:rFonts w:asciiTheme="minorHAnsi" w:hAnsiTheme="minorHAnsi" w:cstheme="minorHAnsi"/>
          <w:i w:val="0"/>
          <w:color w:val="auto"/>
          <w:sz w:val="22"/>
          <w:szCs w:val="22"/>
        </w:rPr>
      </w:pPr>
      <w:r w:rsidRPr="003106EB">
        <w:rPr>
          <w:rFonts w:asciiTheme="minorHAnsi" w:hAnsiTheme="minorHAnsi" w:cstheme="minorHAnsi"/>
          <w:i w:val="0"/>
          <w:color w:val="auto"/>
        </w:rPr>
        <w:t xml:space="preserve">Figure </w:t>
      </w:r>
      <w:r w:rsidRPr="003106EB">
        <w:rPr>
          <w:rFonts w:asciiTheme="minorHAnsi" w:hAnsiTheme="minorHAnsi" w:cstheme="minorHAnsi"/>
          <w:i w:val="0"/>
          <w:color w:val="auto"/>
        </w:rPr>
        <w:fldChar w:fldCharType="begin"/>
      </w:r>
      <w:r w:rsidRPr="003106EB">
        <w:rPr>
          <w:rFonts w:asciiTheme="minorHAnsi" w:hAnsiTheme="minorHAnsi" w:cstheme="minorHAnsi"/>
          <w:i w:val="0"/>
          <w:color w:val="auto"/>
        </w:rPr>
        <w:instrText xml:space="preserve"> SEQ Figure \* ARABIC </w:instrText>
      </w:r>
      <w:r w:rsidRPr="003106EB">
        <w:rPr>
          <w:rFonts w:asciiTheme="minorHAnsi" w:hAnsiTheme="minorHAnsi" w:cstheme="minorHAnsi"/>
          <w:i w:val="0"/>
          <w:color w:val="auto"/>
        </w:rPr>
        <w:fldChar w:fldCharType="separate"/>
      </w:r>
      <w:r w:rsidR="00817426" w:rsidRPr="003106EB">
        <w:rPr>
          <w:rFonts w:asciiTheme="minorHAnsi" w:hAnsiTheme="minorHAnsi" w:cstheme="minorHAnsi"/>
          <w:i w:val="0"/>
          <w:noProof/>
          <w:color w:val="auto"/>
        </w:rPr>
        <w:t>4</w:t>
      </w:r>
      <w:r w:rsidRPr="003106EB">
        <w:rPr>
          <w:rFonts w:asciiTheme="minorHAnsi" w:hAnsiTheme="minorHAnsi" w:cstheme="minorHAnsi"/>
          <w:i w:val="0"/>
          <w:color w:val="auto"/>
        </w:rPr>
        <w:fldChar w:fldCharType="end"/>
      </w:r>
      <w:r w:rsidRPr="003106EB">
        <w:rPr>
          <w:rFonts w:asciiTheme="minorHAnsi" w:hAnsiTheme="minorHAnsi" w:cstheme="minorHAnsi"/>
          <w:i w:val="0"/>
          <w:color w:val="auto"/>
        </w:rPr>
        <w:t xml:space="preserve"> - Effectif selon la région en date du 31 mars 2019</w:t>
      </w:r>
    </w:p>
    <w:p w14:paraId="51F2E6EE" w14:textId="44ACBBAA" w:rsidR="005E6D0E" w:rsidRPr="003106EB" w:rsidRDefault="005E6D0E" w:rsidP="005E6D0E">
      <w:pPr>
        <w:pStyle w:val="Caption"/>
        <w:keepNext/>
        <w:spacing w:before="240" w:after="0"/>
        <w:jc w:val="center"/>
        <w:rPr>
          <w:rFonts w:asciiTheme="minorHAnsi" w:hAnsiTheme="minorHAnsi" w:cstheme="minorHAnsi"/>
          <w:i w:val="0"/>
          <w:color w:val="auto"/>
        </w:rPr>
      </w:pPr>
      <w:r w:rsidRPr="003106EB">
        <w:rPr>
          <w:rFonts w:asciiTheme="minorHAnsi" w:hAnsiTheme="minorHAnsi" w:cstheme="minorHAnsi"/>
          <w:i w:val="0"/>
          <w:color w:val="auto"/>
        </w:rPr>
        <w:t xml:space="preserve">Table </w:t>
      </w:r>
      <w:r w:rsidRPr="003106EB">
        <w:rPr>
          <w:rFonts w:asciiTheme="minorHAnsi" w:hAnsiTheme="minorHAnsi" w:cstheme="minorHAnsi"/>
          <w:i w:val="0"/>
          <w:color w:val="auto"/>
        </w:rPr>
        <w:fldChar w:fldCharType="begin"/>
      </w:r>
      <w:r w:rsidRPr="003106EB">
        <w:rPr>
          <w:rFonts w:asciiTheme="minorHAnsi" w:hAnsiTheme="minorHAnsi" w:cstheme="minorHAnsi"/>
          <w:i w:val="0"/>
          <w:color w:val="auto"/>
        </w:rPr>
        <w:instrText xml:space="preserve"> SEQ Table \* ARABIC </w:instrText>
      </w:r>
      <w:r w:rsidRPr="003106EB">
        <w:rPr>
          <w:rFonts w:asciiTheme="minorHAnsi" w:hAnsiTheme="minorHAnsi" w:cstheme="minorHAnsi"/>
          <w:i w:val="0"/>
          <w:color w:val="auto"/>
        </w:rPr>
        <w:fldChar w:fldCharType="separate"/>
      </w:r>
      <w:r w:rsidR="0009743A" w:rsidRPr="003106EB">
        <w:rPr>
          <w:rFonts w:asciiTheme="minorHAnsi" w:hAnsiTheme="minorHAnsi" w:cstheme="minorHAnsi"/>
          <w:i w:val="0"/>
          <w:noProof/>
          <w:color w:val="auto"/>
        </w:rPr>
        <w:t>7</w:t>
      </w:r>
      <w:r w:rsidRPr="003106EB">
        <w:rPr>
          <w:rFonts w:asciiTheme="minorHAnsi" w:hAnsiTheme="minorHAnsi" w:cstheme="minorHAnsi"/>
          <w:i w:val="0"/>
          <w:color w:val="auto"/>
        </w:rPr>
        <w:fldChar w:fldCharType="end"/>
      </w:r>
      <w:r w:rsidRPr="003106EB">
        <w:rPr>
          <w:rFonts w:asciiTheme="minorHAnsi" w:hAnsiTheme="minorHAnsi" w:cstheme="minorHAnsi"/>
          <w:i w:val="0"/>
          <w:color w:val="auto"/>
        </w:rPr>
        <w:t xml:space="preserve"> - Répartition régionale en pourcentage de l’effectif assujetti à la </w:t>
      </w:r>
      <w:r w:rsidRPr="003106EB">
        <w:rPr>
          <w:rStyle w:val="Emphasis"/>
        </w:rPr>
        <w:t>Loi sur l’emploi dans la fonction publique</w:t>
      </w:r>
      <w:r w:rsidRPr="003106EB">
        <w:rPr>
          <w:rFonts w:asciiTheme="minorHAnsi" w:hAnsiTheme="minorHAnsi" w:cstheme="minorHAnsi"/>
          <w:i w:val="0"/>
          <w:color w:val="auto"/>
        </w:rPr>
        <w:t xml:space="preserve"> pendant l’exercice financier 2018 2019</w:t>
      </w:r>
    </w:p>
    <w:tbl>
      <w:tblPr>
        <w:tblStyle w:val="TableGrid"/>
        <w:tblW w:w="5000" w:type="pct"/>
        <w:jc w:val="center"/>
        <w:tblLook w:val="0020" w:firstRow="1" w:lastRow="0" w:firstColumn="0" w:lastColumn="0" w:noHBand="0" w:noVBand="0"/>
        <w:tblDescription w:val="Effectif selon la région au 31 mars 2019"/>
      </w:tblPr>
      <w:tblGrid>
        <w:gridCol w:w="3822"/>
        <w:gridCol w:w="4821"/>
        <w:gridCol w:w="5747"/>
      </w:tblGrid>
      <w:tr w:rsidR="00B61F15" w:rsidRPr="00013CF8" w14:paraId="08134864" w14:textId="77777777" w:rsidTr="001F6E88">
        <w:trPr>
          <w:cantSplit/>
          <w:trHeight w:val="290"/>
          <w:tblHeader/>
          <w:jc w:val="center"/>
        </w:trPr>
        <w:tc>
          <w:tcPr>
            <w:tcW w:w="1328" w:type="pct"/>
          </w:tcPr>
          <w:p w14:paraId="3F944D80" w14:textId="77777777" w:rsidR="00B61F15" w:rsidRPr="00013CF8" w:rsidRDefault="00B61F15" w:rsidP="005E6D0E">
            <w:pPr>
              <w:pStyle w:val="TableTitle"/>
            </w:pPr>
            <w:r w:rsidRPr="00013CF8">
              <w:t>Région</w:t>
            </w:r>
          </w:p>
        </w:tc>
        <w:tc>
          <w:tcPr>
            <w:tcW w:w="1675" w:type="pct"/>
          </w:tcPr>
          <w:p w14:paraId="376E0084" w14:textId="77777777" w:rsidR="00B61F15" w:rsidRPr="00013CF8" w:rsidRDefault="00B61F15" w:rsidP="005E6D0E">
            <w:pPr>
              <w:pStyle w:val="TableTitle"/>
            </w:pPr>
            <w:r w:rsidRPr="00013CF8">
              <w:t>Nombre d’employés en date du 31 mars 2019</w:t>
            </w:r>
          </w:p>
        </w:tc>
        <w:tc>
          <w:tcPr>
            <w:tcW w:w="1997" w:type="pct"/>
          </w:tcPr>
          <w:p w14:paraId="121699B4" w14:textId="77777777" w:rsidR="00B61F15" w:rsidRPr="00013CF8" w:rsidRDefault="00B61F15" w:rsidP="005E6D0E">
            <w:pPr>
              <w:pStyle w:val="TableTitle"/>
            </w:pPr>
            <w:r w:rsidRPr="00013CF8">
              <w:t>Pourcentage de l’effectif en date du 31 mars 2019</w:t>
            </w:r>
          </w:p>
        </w:tc>
      </w:tr>
      <w:tr w:rsidR="00B61F15" w:rsidRPr="005E6D0E" w14:paraId="32F6980B" w14:textId="77777777" w:rsidTr="001F6E88">
        <w:trPr>
          <w:cantSplit/>
          <w:trHeight w:val="290"/>
          <w:tblHeader/>
          <w:jc w:val="center"/>
        </w:trPr>
        <w:tc>
          <w:tcPr>
            <w:tcW w:w="1328" w:type="pct"/>
          </w:tcPr>
          <w:p w14:paraId="66CCC811"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Région de la capitale nationale (RCN)</w:t>
            </w:r>
          </w:p>
        </w:tc>
        <w:tc>
          <w:tcPr>
            <w:tcW w:w="1675" w:type="pct"/>
          </w:tcPr>
          <w:p w14:paraId="592426AA"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457</w:t>
            </w:r>
          </w:p>
        </w:tc>
        <w:tc>
          <w:tcPr>
            <w:tcW w:w="1997" w:type="pct"/>
          </w:tcPr>
          <w:p w14:paraId="5AEC3693"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96 %</w:t>
            </w:r>
          </w:p>
        </w:tc>
      </w:tr>
      <w:tr w:rsidR="00B61F15" w:rsidRPr="005E6D0E" w14:paraId="517A9974" w14:textId="77777777" w:rsidTr="001F6E88">
        <w:trPr>
          <w:cantSplit/>
          <w:trHeight w:val="290"/>
          <w:tblHeader/>
          <w:jc w:val="center"/>
        </w:trPr>
        <w:tc>
          <w:tcPr>
            <w:tcW w:w="1328" w:type="pct"/>
          </w:tcPr>
          <w:p w14:paraId="3933B464"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Extérieur de la RCN</w:t>
            </w:r>
          </w:p>
        </w:tc>
        <w:tc>
          <w:tcPr>
            <w:tcW w:w="1675" w:type="pct"/>
          </w:tcPr>
          <w:p w14:paraId="0F9C245E"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21</w:t>
            </w:r>
          </w:p>
        </w:tc>
        <w:tc>
          <w:tcPr>
            <w:tcW w:w="1997" w:type="pct"/>
          </w:tcPr>
          <w:p w14:paraId="742BDAED"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4 %</w:t>
            </w:r>
          </w:p>
        </w:tc>
      </w:tr>
      <w:tr w:rsidR="00B61F15" w:rsidRPr="005E6D0E" w14:paraId="3BB0D9E7" w14:textId="77777777" w:rsidTr="001F6E88">
        <w:trPr>
          <w:cantSplit/>
          <w:trHeight w:val="290"/>
          <w:tblHeader/>
          <w:jc w:val="center"/>
        </w:trPr>
        <w:tc>
          <w:tcPr>
            <w:tcW w:w="1328" w:type="pct"/>
          </w:tcPr>
          <w:p w14:paraId="675DCB95"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Inconnu</w:t>
            </w:r>
          </w:p>
        </w:tc>
        <w:tc>
          <w:tcPr>
            <w:tcW w:w="1675" w:type="pct"/>
          </w:tcPr>
          <w:p w14:paraId="1458082B"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2</w:t>
            </w:r>
          </w:p>
        </w:tc>
        <w:tc>
          <w:tcPr>
            <w:tcW w:w="1997" w:type="pct"/>
          </w:tcPr>
          <w:p w14:paraId="103E28D3" w14:textId="500A27D6" w:rsidR="00B61F15" w:rsidRPr="005E6D0E" w:rsidRDefault="005E6D0E" w:rsidP="00F565BF">
            <w:pPr>
              <w:autoSpaceDE w:val="0"/>
              <w:autoSpaceDN w:val="0"/>
              <w:adjustRightInd w:val="0"/>
              <w:jc w:val="center"/>
              <w:rPr>
                <w:rFonts w:asciiTheme="minorHAnsi" w:hAnsiTheme="minorHAnsi" w:cstheme="minorHAnsi"/>
                <w:color w:val="000000"/>
                <w:sz w:val="22"/>
                <w:szCs w:val="24"/>
              </w:rPr>
            </w:pPr>
            <w:r>
              <w:rPr>
                <w:rFonts w:asciiTheme="minorHAnsi" w:hAnsiTheme="minorHAnsi" w:cstheme="minorHAnsi"/>
                <w:color w:val="000000"/>
                <w:sz w:val="22"/>
                <w:szCs w:val="24"/>
              </w:rPr>
              <w:t>0%</w:t>
            </w:r>
          </w:p>
        </w:tc>
      </w:tr>
    </w:tbl>
    <w:p w14:paraId="09A5C6AD" w14:textId="77777777" w:rsidR="000F7E62" w:rsidRDefault="000F7E62" w:rsidP="00944C68">
      <w:pPr>
        <w:pStyle w:val="Level1"/>
        <w:tabs>
          <w:tab w:val="left" w:pos="-1440"/>
        </w:tabs>
        <w:autoSpaceDE w:val="0"/>
        <w:autoSpaceDN w:val="0"/>
        <w:adjustRightInd w:val="0"/>
        <w:rPr>
          <w:rFonts w:ascii="Arial" w:hAnsi="Arial" w:cs="Arial"/>
          <w:sz w:val="22"/>
          <w:szCs w:val="22"/>
        </w:rPr>
      </w:pPr>
    </w:p>
    <w:p w14:paraId="5618507C" w14:textId="77777777" w:rsidR="00B61F15" w:rsidRDefault="00B61F15" w:rsidP="00944C68">
      <w:pPr>
        <w:pStyle w:val="Level1"/>
        <w:tabs>
          <w:tab w:val="left" w:pos="-1440"/>
        </w:tabs>
        <w:autoSpaceDE w:val="0"/>
        <w:autoSpaceDN w:val="0"/>
        <w:adjustRightInd w:val="0"/>
        <w:rPr>
          <w:rFonts w:ascii="Arial" w:hAnsi="Arial" w:cs="Arial"/>
          <w:sz w:val="22"/>
          <w:szCs w:val="22"/>
        </w:rPr>
        <w:sectPr w:rsidR="00B61F15"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05B35587" w14:textId="00FE1EBE" w:rsidR="000F7E62" w:rsidRPr="005E6D0E" w:rsidRDefault="005E6D0E" w:rsidP="005E6D0E">
      <w:pPr>
        <w:pStyle w:val="Heading1"/>
        <w:spacing w:before="120" w:after="120"/>
        <w:rPr>
          <w:sz w:val="40"/>
        </w:rPr>
      </w:pPr>
      <w:r w:rsidRPr="005E6D0E">
        <w:rPr>
          <w:sz w:val="40"/>
        </w:rPr>
        <w:lastRenderedPageBreak/>
        <w:t xml:space="preserve">Embauches externes pour une période indéterminée selon le groupe professionnel, </w:t>
      </w:r>
      <w:r w:rsidRPr="005E6D0E">
        <w:rPr>
          <w:bCs/>
          <w:sz w:val="40"/>
        </w:rPr>
        <w:t>2018</w:t>
      </w:r>
      <w:r w:rsidRPr="005E6D0E">
        <w:rPr>
          <w:bCs/>
          <w:sz w:val="40"/>
        </w:rPr>
        <w:noBreakHyphen/>
        <w:t>2019</w:t>
      </w:r>
    </w:p>
    <w:p w14:paraId="404E1818" w14:textId="77777777" w:rsidR="005E6D0E" w:rsidRDefault="007B1B27" w:rsidP="005E6D0E">
      <w:pPr>
        <w:pStyle w:val="Level1"/>
        <w:keepNext/>
        <w:tabs>
          <w:tab w:val="left" w:pos="-1440"/>
        </w:tabs>
        <w:autoSpaceDE w:val="0"/>
        <w:autoSpaceDN w:val="0"/>
        <w:adjustRightInd w:val="0"/>
        <w:spacing w:after="120" w:line="20" w:lineRule="atLeast"/>
        <w:jc w:val="center"/>
      </w:pPr>
      <w:r w:rsidRPr="00013CF8">
        <w:rPr>
          <w:noProof/>
          <w:lang w:val="en-CA" w:eastAsia="en-CA"/>
        </w:rPr>
        <w:drawing>
          <wp:inline distT="0" distB="0" distL="0" distR="0" wp14:anchorId="4263B4D9" wp14:editId="0192A2CF">
            <wp:extent cx="1980000" cy="3020400"/>
            <wp:effectExtent l="0" t="0" r="1270" b="8890"/>
            <wp:docPr id="7" name="Chart 7" descr="Embauches externes pour une période indéterminée selon le groupe professionnel, 2018‑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4A41D3" w14:textId="3C7F7A70" w:rsidR="007B1B27" w:rsidRPr="00EF52E2" w:rsidRDefault="005E6D0E" w:rsidP="005E6D0E">
      <w:pPr>
        <w:pStyle w:val="Caption"/>
        <w:spacing w:after="0"/>
        <w:jc w:val="center"/>
        <w:rPr>
          <w:rFonts w:asciiTheme="minorHAnsi" w:hAnsiTheme="minorHAnsi" w:cstheme="minorHAnsi"/>
          <w:i w:val="0"/>
          <w:color w:val="auto"/>
          <w:sz w:val="22"/>
          <w:szCs w:val="22"/>
        </w:rPr>
      </w:pPr>
      <w:r w:rsidRPr="00EF52E2">
        <w:rPr>
          <w:rFonts w:asciiTheme="minorHAnsi" w:hAnsiTheme="minorHAnsi" w:cstheme="minorHAnsi"/>
          <w:i w:val="0"/>
          <w:color w:val="auto"/>
        </w:rPr>
        <w:t xml:space="preserve">Figure </w:t>
      </w:r>
      <w:r w:rsidRPr="00EF52E2">
        <w:rPr>
          <w:rFonts w:asciiTheme="minorHAnsi" w:hAnsiTheme="minorHAnsi" w:cstheme="minorHAnsi"/>
          <w:i w:val="0"/>
          <w:color w:val="auto"/>
        </w:rPr>
        <w:fldChar w:fldCharType="begin"/>
      </w:r>
      <w:r w:rsidRPr="00EF52E2">
        <w:rPr>
          <w:rFonts w:asciiTheme="minorHAnsi" w:hAnsiTheme="minorHAnsi" w:cstheme="minorHAnsi"/>
          <w:i w:val="0"/>
          <w:color w:val="auto"/>
        </w:rPr>
        <w:instrText xml:space="preserve"> SEQ Figure \* ARABIC </w:instrText>
      </w:r>
      <w:r w:rsidRPr="00EF52E2">
        <w:rPr>
          <w:rFonts w:asciiTheme="minorHAnsi" w:hAnsiTheme="minorHAnsi" w:cstheme="minorHAnsi"/>
          <w:i w:val="0"/>
          <w:color w:val="auto"/>
        </w:rPr>
        <w:fldChar w:fldCharType="separate"/>
      </w:r>
      <w:r w:rsidR="00817426" w:rsidRPr="00EF52E2">
        <w:rPr>
          <w:rFonts w:asciiTheme="minorHAnsi" w:hAnsiTheme="minorHAnsi" w:cstheme="minorHAnsi"/>
          <w:i w:val="0"/>
          <w:noProof/>
          <w:color w:val="auto"/>
        </w:rPr>
        <w:t>5</w:t>
      </w:r>
      <w:r w:rsidRPr="00EF52E2">
        <w:rPr>
          <w:rFonts w:asciiTheme="minorHAnsi" w:hAnsiTheme="minorHAnsi" w:cstheme="minorHAnsi"/>
          <w:i w:val="0"/>
          <w:color w:val="auto"/>
        </w:rPr>
        <w:fldChar w:fldCharType="end"/>
      </w:r>
      <w:r w:rsidRPr="00EF52E2">
        <w:rPr>
          <w:rFonts w:asciiTheme="minorHAnsi" w:hAnsiTheme="minorHAnsi" w:cstheme="minorHAnsi"/>
          <w:i w:val="0"/>
          <w:color w:val="auto"/>
        </w:rPr>
        <w:t xml:space="preserve"> -Embauches externes pour une période indéterminée selon le groupe professionnel, 2018‑2019</w:t>
      </w:r>
    </w:p>
    <w:p w14:paraId="64EA41DB" w14:textId="457C4ABC" w:rsidR="005E6D0E" w:rsidRPr="00EF52E2" w:rsidRDefault="005E6D0E" w:rsidP="005E6D0E">
      <w:pPr>
        <w:pStyle w:val="Caption"/>
        <w:keepNext/>
        <w:spacing w:before="240" w:after="0"/>
        <w:jc w:val="center"/>
        <w:rPr>
          <w:rFonts w:asciiTheme="minorHAnsi" w:hAnsiTheme="minorHAnsi" w:cstheme="minorHAnsi"/>
          <w:i w:val="0"/>
          <w:color w:val="auto"/>
        </w:rPr>
      </w:pPr>
      <w:r w:rsidRPr="00EF52E2">
        <w:rPr>
          <w:rFonts w:asciiTheme="minorHAnsi" w:hAnsiTheme="minorHAnsi" w:cstheme="minorHAnsi"/>
          <w:i w:val="0"/>
          <w:color w:val="auto"/>
        </w:rPr>
        <w:t xml:space="preserve">Table </w:t>
      </w:r>
      <w:r w:rsidRPr="00EF52E2">
        <w:rPr>
          <w:rFonts w:asciiTheme="minorHAnsi" w:hAnsiTheme="minorHAnsi" w:cstheme="minorHAnsi"/>
          <w:i w:val="0"/>
          <w:color w:val="auto"/>
        </w:rPr>
        <w:fldChar w:fldCharType="begin"/>
      </w:r>
      <w:r w:rsidRPr="00EF52E2">
        <w:rPr>
          <w:rFonts w:asciiTheme="minorHAnsi" w:hAnsiTheme="minorHAnsi" w:cstheme="minorHAnsi"/>
          <w:i w:val="0"/>
          <w:color w:val="auto"/>
        </w:rPr>
        <w:instrText xml:space="preserve"> SEQ Table \* ARABIC </w:instrText>
      </w:r>
      <w:r w:rsidRPr="00EF52E2">
        <w:rPr>
          <w:rFonts w:asciiTheme="minorHAnsi" w:hAnsiTheme="minorHAnsi" w:cstheme="minorHAnsi"/>
          <w:i w:val="0"/>
          <w:color w:val="auto"/>
        </w:rPr>
        <w:fldChar w:fldCharType="separate"/>
      </w:r>
      <w:r w:rsidR="0009743A" w:rsidRPr="00EF52E2">
        <w:rPr>
          <w:rFonts w:asciiTheme="minorHAnsi" w:hAnsiTheme="minorHAnsi" w:cstheme="minorHAnsi"/>
          <w:i w:val="0"/>
          <w:noProof/>
          <w:color w:val="auto"/>
        </w:rPr>
        <w:t>8</w:t>
      </w:r>
      <w:r w:rsidRPr="00EF52E2">
        <w:rPr>
          <w:rFonts w:asciiTheme="minorHAnsi" w:hAnsiTheme="minorHAnsi" w:cstheme="minorHAnsi"/>
          <w:i w:val="0"/>
          <w:color w:val="auto"/>
        </w:rPr>
        <w:fldChar w:fldCharType="end"/>
      </w:r>
      <w:r w:rsidRPr="00EF52E2">
        <w:rPr>
          <w:rFonts w:asciiTheme="minorHAnsi" w:hAnsiTheme="minorHAnsi" w:cstheme="minorHAnsi"/>
          <w:i w:val="0"/>
          <w:color w:val="auto"/>
        </w:rPr>
        <w:t xml:space="preserve"> - Embauches externes pour une période indéterminée selon les principaux groupes professionnels pendant l’exercice financier 2018 2019</w:t>
      </w:r>
    </w:p>
    <w:tbl>
      <w:tblPr>
        <w:tblStyle w:val="TableGrid"/>
        <w:tblW w:w="5000" w:type="pct"/>
        <w:jc w:val="center"/>
        <w:tblLook w:val="0020" w:firstRow="1" w:lastRow="0" w:firstColumn="0" w:lastColumn="0" w:noHBand="0" w:noVBand="0"/>
        <w:tblDescription w:val="Embauches externes indéterminée selon le groupe professionnel 2018-2019"/>
      </w:tblPr>
      <w:tblGrid>
        <w:gridCol w:w="3822"/>
        <w:gridCol w:w="5244"/>
        <w:gridCol w:w="5324"/>
      </w:tblGrid>
      <w:tr w:rsidR="00B61F15" w:rsidRPr="00013CF8" w14:paraId="41A13F7F" w14:textId="77777777" w:rsidTr="001F6E88">
        <w:trPr>
          <w:trHeight w:val="290"/>
          <w:tblHeader/>
          <w:jc w:val="center"/>
        </w:trPr>
        <w:tc>
          <w:tcPr>
            <w:tcW w:w="1328" w:type="pct"/>
          </w:tcPr>
          <w:p w14:paraId="070328A3" w14:textId="77777777" w:rsidR="00B61F15" w:rsidRPr="00013CF8" w:rsidRDefault="00B61F15" w:rsidP="005E6D0E">
            <w:pPr>
              <w:pStyle w:val="TableTitle"/>
              <w:rPr>
                <w:color w:val="000000"/>
              </w:rPr>
            </w:pPr>
            <w:r w:rsidRPr="00013CF8">
              <w:t>Groupe professionnel</w:t>
            </w:r>
          </w:p>
        </w:tc>
        <w:tc>
          <w:tcPr>
            <w:tcW w:w="1822" w:type="pct"/>
          </w:tcPr>
          <w:p w14:paraId="1F3A9EA7" w14:textId="77777777" w:rsidR="00B61F15" w:rsidRPr="00013CF8" w:rsidRDefault="00B61F15" w:rsidP="005E6D0E">
            <w:pPr>
              <w:pStyle w:val="TableTitle"/>
              <w:rPr>
                <w:color w:val="000000"/>
              </w:rPr>
            </w:pPr>
            <w:r w:rsidRPr="00013CF8">
              <w:rPr>
                <w:color w:val="000000"/>
              </w:rPr>
              <w:t>Nombre d’activités d’embauche pour une durée indéterminée</w:t>
            </w:r>
          </w:p>
        </w:tc>
        <w:tc>
          <w:tcPr>
            <w:tcW w:w="1850" w:type="pct"/>
          </w:tcPr>
          <w:p w14:paraId="26E5314E" w14:textId="77777777" w:rsidR="00B61F15" w:rsidRPr="00013CF8" w:rsidRDefault="00B61F15" w:rsidP="005E6D0E">
            <w:pPr>
              <w:pStyle w:val="TableTitle"/>
              <w:rPr>
                <w:color w:val="000000"/>
              </w:rPr>
            </w:pPr>
            <w:r w:rsidRPr="00013CF8">
              <w:rPr>
                <w:color w:val="000000"/>
              </w:rPr>
              <w:t>Pourcentage de toutes les activités d’embauche pour une durée indéterminée</w:t>
            </w:r>
          </w:p>
        </w:tc>
      </w:tr>
      <w:tr w:rsidR="00B61F15" w:rsidRPr="005E6D0E" w14:paraId="24B5BCD6" w14:textId="77777777" w:rsidTr="001F6E88">
        <w:trPr>
          <w:trHeight w:val="290"/>
          <w:tblHeader/>
          <w:jc w:val="center"/>
        </w:trPr>
        <w:tc>
          <w:tcPr>
            <w:tcW w:w="1328" w:type="pct"/>
          </w:tcPr>
          <w:p w14:paraId="620DD3E2" w14:textId="77777777" w:rsidR="00B61F15" w:rsidRPr="005E6D0E" w:rsidRDefault="00B61F15" w:rsidP="00F565BF">
            <w:pPr>
              <w:autoSpaceDE w:val="0"/>
              <w:autoSpaceDN w:val="0"/>
              <w:adjustRightInd w:val="0"/>
              <w:rPr>
                <w:rFonts w:asciiTheme="minorHAnsi" w:hAnsiTheme="minorHAnsi" w:cstheme="minorHAnsi"/>
                <w:color w:val="000000"/>
                <w:sz w:val="22"/>
                <w:szCs w:val="24"/>
                <w:highlight w:val="yellow"/>
              </w:rPr>
            </w:pPr>
            <w:r w:rsidRPr="005E6D0E">
              <w:rPr>
                <w:rFonts w:asciiTheme="minorHAnsi" w:hAnsiTheme="minorHAnsi" w:cstheme="minorHAnsi"/>
                <w:color w:val="000000"/>
                <w:sz w:val="22"/>
                <w:szCs w:val="24"/>
              </w:rPr>
              <w:t>AS – Services administratifs</w:t>
            </w:r>
          </w:p>
        </w:tc>
        <w:tc>
          <w:tcPr>
            <w:tcW w:w="1822" w:type="pct"/>
          </w:tcPr>
          <w:p w14:paraId="478682C2"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12</w:t>
            </w:r>
          </w:p>
        </w:tc>
        <w:tc>
          <w:tcPr>
            <w:tcW w:w="1850" w:type="pct"/>
          </w:tcPr>
          <w:p w14:paraId="0E531769"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29 %</w:t>
            </w:r>
          </w:p>
        </w:tc>
      </w:tr>
      <w:tr w:rsidR="00B61F15" w:rsidRPr="005E6D0E" w14:paraId="050CC77C" w14:textId="77777777" w:rsidTr="001F6E88">
        <w:trPr>
          <w:trHeight w:val="290"/>
          <w:tblHeader/>
          <w:jc w:val="center"/>
        </w:trPr>
        <w:tc>
          <w:tcPr>
            <w:tcW w:w="1328" w:type="pct"/>
          </w:tcPr>
          <w:p w14:paraId="6B1A1F3A"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CR – Écritures et règlements</w:t>
            </w:r>
          </w:p>
        </w:tc>
        <w:tc>
          <w:tcPr>
            <w:tcW w:w="1822" w:type="pct"/>
          </w:tcPr>
          <w:p w14:paraId="642CEAD4"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10</w:t>
            </w:r>
          </w:p>
        </w:tc>
        <w:tc>
          <w:tcPr>
            <w:tcW w:w="1850" w:type="pct"/>
          </w:tcPr>
          <w:p w14:paraId="2A39C379"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24 %</w:t>
            </w:r>
          </w:p>
        </w:tc>
      </w:tr>
      <w:tr w:rsidR="00B61F15" w:rsidRPr="005E6D0E" w14:paraId="5F3D729A" w14:textId="77777777" w:rsidTr="001F6E88">
        <w:trPr>
          <w:trHeight w:val="290"/>
          <w:tblHeader/>
          <w:jc w:val="center"/>
        </w:trPr>
        <w:tc>
          <w:tcPr>
            <w:tcW w:w="1328" w:type="pct"/>
          </w:tcPr>
          <w:p w14:paraId="564DA14F"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CS – Systèmes d’ordinateurs</w:t>
            </w:r>
          </w:p>
        </w:tc>
        <w:tc>
          <w:tcPr>
            <w:tcW w:w="1822" w:type="pct"/>
          </w:tcPr>
          <w:p w14:paraId="7B32358D"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6</w:t>
            </w:r>
          </w:p>
        </w:tc>
        <w:tc>
          <w:tcPr>
            <w:tcW w:w="1850" w:type="pct"/>
          </w:tcPr>
          <w:p w14:paraId="503D6AF7"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15 %</w:t>
            </w:r>
          </w:p>
        </w:tc>
      </w:tr>
      <w:tr w:rsidR="00B61F15" w:rsidRPr="005E6D0E" w14:paraId="11B8C2C5" w14:textId="77777777" w:rsidTr="001F6E88">
        <w:trPr>
          <w:trHeight w:val="290"/>
          <w:tblHeader/>
          <w:jc w:val="center"/>
        </w:trPr>
        <w:tc>
          <w:tcPr>
            <w:tcW w:w="1328" w:type="pct"/>
          </w:tcPr>
          <w:p w14:paraId="536254DC"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PM – Administration des programmes</w:t>
            </w:r>
          </w:p>
        </w:tc>
        <w:tc>
          <w:tcPr>
            <w:tcW w:w="1822" w:type="pct"/>
          </w:tcPr>
          <w:p w14:paraId="7E5E70BB"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4</w:t>
            </w:r>
          </w:p>
        </w:tc>
        <w:tc>
          <w:tcPr>
            <w:tcW w:w="1850" w:type="pct"/>
          </w:tcPr>
          <w:p w14:paraId="0817BCF5"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10 %</w:t>
            </w:r>
          </w:p>
        </w:tc>
      </w:tr>
      <w:tr w:rsidR="00B61F15" w:rsidRPr="005E6D0E" w14:paraId="3D799E81" w14:textId="77777777" w:rsidTr="001F6E88">
        <w:trPr>
          <w:trHeight w:val="290"/>
          <w:tblHeader/>
          <w:jc w:val="center"/>
        </w:trPr>
        <w:tc>
          <w:tcPr>
            <w:tcW w:w="1328" w:type="pct"/>
          </w:tcPr>
          <w:p w14:paraId="7814C925"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Autre</w:t>
            </w:r>
          </w:p>
        </w:tc>
        <w:tc>
          <w:tcPr>
            <w:tcW w:w="1822" w:type="pct"/>
          </w:tcPr>
          <w:p w14:paraId="50757884"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9</w:t>
            </w:r>
          </w:p>
        </w:tc>
        <w:tc>
          <w:tcPr>
            <w:tcW w:w="1850" w:type="pct"/>
          </w:tcPr>
          <w:p w14:paraId="459D4555"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22 %</w:t>
            </w:r>
          </w:p>
        </w:tc>
      </w:tr>
      <w:tr w:rsidR="00B61F15" w:rsidRPr="005E6D0E" w14:paraId="26DF8946" w14:textId="77777777" w:rsidTr="001F6E88">
        <w:trPr>
          <w:trHeight w:val="290"/>
          <w:tblHeader/>
          <w:jc w:val="center"/>
        </w:trPr>
        <w:tc>
          <w:tcPr>
            <w:tcW w:w="1328" w:type="pct"/>
          </w:tcPr>
          <w:p w14:paraId="7DC27F6B"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Total</w:t>
            </w:r>
          </w:p>
        </w:tc>
        <w:tc>
          <w:tcPr>
            <w:tcW w:w="1822" w:type="pct"/>
          </w:tcPr>
          <w:p w14:paraId="299F33CB"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41</w:t>
            </w:r>
          </w:p>
        </w:tc>
        <w:tc>
          <w:tcPr>
            <w:tcW w:w="1850" w:type="pct"/>
          </w:tcPr>
          <w:p w14:paraId="5B92B967"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100 %</w:t>
            </w:r>
          </w:p>
        </w:tc>
      </w:tr>
    </w:tbl>
    <w:p w14:paraId="5F19D959" w14:textId="77777777" w:rsidR="00B61F15" w:rsidRDefault="00B61F15" w:rsidP="007B1B27">
      <w:pPr>
        <w:pStyle w:val="Level1"/>
        <w:tabs>
          <w:tab w:val="left" w:pos="-1440"/>
        </w:tabs>
        <w:autoSpaceDE w:val="0"/>
        <w:autoSpaceDN w:val="0"/>
        <w:adjustRightInd w:val="0"/>
        <w:spacing w:after="120" w:line="20" w:lineRule="atLeast"/>
        <w:rPr>
          <w:rFonts w:ascii="Arial" w:hAnsi="Arial" w:cs="Arial"/>
          <w:sz w:val="22"/>
          <w:szCs w:val="22"/>
        </w:rPr>
      </w:pPr>
    </w:p>
    <w:p w14:paraId="520C521C" w14:textId="77777777" w:rsidR="00B61F15" w:rsidRDefault="00B61F15" w:rsidP="007B1B27">
      <w:pPr>
        <w:pStyle w:val="Level1"/>
        <w:tabs>
          <w:tab w:val="left" w:pos="-1440"/>
        </w:tabs>
        <w:autoSpaceDE w:val="0"/>
        <w:autoSpaceDN w:val="0"/>
        <w:adjustRightInd w:val="0"/>
        <w:spacing w:after="120" w:line="20" w:lineRule="atLeast"/>
        <w:rPr>
          <w:rFonts w:ascii="Arial" w:hAnsi="Arial" w:cs="Arial"/>
          <w:sz w:val="22"/>
          <w:szCs w:val="22"/>
        </w:rPr>
        <w:sectPr w:rsidR="00B61F15"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4A0D32BF" w14:textId="5BFC020F" w:rsidR="00B61F15" w:rsidRPr="005E6D0E" w:rsidRDefault="005E6D0E" w:rsidP="005E6D0E">
      <w:pPr>
        <w:pStyle w:val="Heading1"/>
        <w:spacing w:before="120" w:after="120"/>
        <w:rPr>
          <w:sz w:val="40"/>
        </w:rPr>
      </w:pPr>
      <w:r w:rsidRPr="005E6D0E">
        <w:rPr>
          <w:sz w:val="40"/>
        </w:rPr>
        <w:lastRenderedPageBreak/>
        <w:t>Dotation selon la région</w:t>
      </w:r>
    </w:p>
    <w:p w14:paraId="093AE110" w14:textId="77777777" w:rsidR="005E6D0E" w:rsidRDefault="00B61F15" w:rsidP="005E6D0E">
      <w:pPr>
        <w:pStyle w:val="Level1"/>
        <w:keepNext/>
        <w:tabs>
          <w:tab w:val="left" w:pos="-1440"/>
        </w:tabs>
        <w:autoSpaceDE w:val="0"/>
        <w:autoSpaceDN w:val="0"/>
        <w:adjustRightInd w:val="0"/>
        <w:spacing w:after="120" w:line="20" w:lineRule="atLeast"/>
        <w:jc w:val="center"/>
      </w:pPr>
      <w:r w:rsidRPr="00013CF8">
        <w:rPr>
          <w:noProof/>
          <w:lang w:val="en-CA" w:eastAsia="en-CA"/>
        </w:rPr>
        <w:drawing>
          <wp:inline distT="0" distB="0" distL="0" distR="0" wp14:anchorId="28B4EB9D" wp14:editId="19F4C33F">
            <wp:extent cx="5648400" cy="3049200"/>
            <wp:effectExtent l="0" t="0" r="9525" b="18415"/>
            <wp:docPr id="6" name="Chart 6" descr="Dotation selon la ré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B408C4" w14:textId="0FA87611" w:rsidR="00B61F15" w:rsidRPr="00622B16" w:rsidRDefault="005E6D0E" w:rsidP="005E6D0E">
      <w:pPr>
        <w:pStyle w:val="Caption"/>
        <w:spacing w:after="0"/>
        <w:jc w:val="center"/>
        <w:rPr>
          <w:rFonts w:asciiTheme="minorHAnsi" w:hAnsiTheme="minorHAnsi" w:cstheme="minorHAnsi"/>
          <w:i w:val="0"/>
          <w:color w:val="auto"/>
          <w:sz w:val="22"/>
          <w:szCs w:val="22"/>
        </w:rPr>
      </w:pPr>
      <w:r w:rsidRPr="00622B16">
        <w:rPr>
          <w:rFonts w:asciiTheme="minorHAnsi" w:hAnsiTheme="minorHAnsi" w:cstheme="minorHAnsi"/>
          <w:i w:val="0"/>
          <w:color w:val="auto"/>
        </w:rPr>
        <w:t xml:space="preserve">Figure </w:t>
      </w:r>
      <w:r w:rsidRPr="00622B16">
        <w:rPr>
          <w:rFonts w:asciiTheme="minorHAnsi" w:hAnsiTheme="minorHAnsi" w:cstheme="minorHAnsi"/>
          <w:i w:val="0"/>
          <w:color w:val="auto"/>
        </w:rPr>
        <w:fldChar w:fldCharType="begin"/>
      </w:r>
      <w:r w:rsidRPr="00622B16">
        <w:rPr>
          <w:rFonts w:asciiTheme="minorHAnsi" w:hAnsiTheme="minorHAnsi" w:cstheme="minorHAnsi"/>
          <w:i w:val="0"/>
          <w:color w:val="auto"/>
        </w:rPr>
        <w:instrText xml:space="preserve"> SEQ Figure \* ARABIC </w:instrText>
      </w:r>
      <w:r w:rsidRPr="00622B16">
        <w:rPr>
          <w:rFonts w:asciiTheme="minorHAnsi" w:hAnsiTheme="minorHAnsi" w:cstheme="minorHAnsi"/>
          <w:i w:val="0"/>
          <w:color w:val="auto"/>
        </w:rPr>
        <w:fldChar w:fldCharType="separate"/>
      </w:r>
      <w:r w:rsidR="00817426" w:rsidRPr="00622B16">
        <w:rPr>
          <w:rFonts w:asciiTheme="minorHAnsi" w:hAnsiTheme="minorHAnsi" w:cstheme="minorHAnsi"/>
          <w:i w:val="0"/>
          <w:noProof/>
          <w:color w:val="auto"/>
        </w:rPr>
        <w:t>6</w:t>
      </w:r>
      <w:r w:rsidRPr="00622B16">
        <w:rPr>
          <w:rFonts w:asciiTheme="minorHAnsi" w:hAnsiTheme="minorHAnsi" w:cstheme="minorHAnsi"/>
          <w:i w:val="0"/>
          <w:color w:val="auto"/>
        </w:rPr>
        <w:fldChar w:fldCharType="end"/>
      </w:r>
      <w:r w:rsidRPr="00622B16">
        <w:rPr>
          <w:rFonts w:asciiTheme="minorHAnsi" w:hAnsiTheme="minorHAnsi" w:cstheme="minorHAnsi"/>
          <w:i w:val="0"/>
          <w:color w:val="auto"/>
        </w:rPr>
        <w:t xml:space="preserve"> - Dotation selon la région</w:t>
      </w:r>
    </w:p>
    <w:p w14:paraId="6D93BC1E" w14:textId="4F1A1371" w:rsidR="005E6D0E" w:rsidRPr="00622B16" w:rsidRDefault="005E6D0E" w:rsidP="005E6D0E">
      <w:pPr>
        <w:pStyle w:val="Caption"/>
        <w:keepNext/>
        <w:spacing w:before="240" w:after="0"/>
        <w:jc w:val="center"/>
        <w:rPr>
          <w:rFonts w:asciiTheme="minorHAnsi" w:hAnsiTheme="minorHAnsi" w:cstheme="minorHAnsi"/>
          <w:i w:val="0"/>
          <w:color w:val="auto"/>
        </w:rPr>
      </w:pPr>
      <w:r w:rsidRPr="00622B16">
        <w:rPr>
          <w:rFonts w:asciiTheme="minorHAnsi" w:hAnsiTheme="minorHAnsi" w:cstheme="minorHAnsi"/>
          <w:i w:val="0"/>
          <w:color w:val="auto"/>
        </w:rPr>
        <w:t xml:space="preserve">Table </w:t>
      </w:r>
      <w:r w:rsidRPr="00622B16">
        <w:rPr>
          <w:rFonts w:asciiTheme="minorHAnsi" w:hAnsiTheme="minorHAnsi" w:cstheme="minorHAnsi"/>
          <w:i w:val="0"/>
          <w:color w:val="auto"/>
        </w:rPr>
        <w:fldChar w:fldCharType="begin"/>
      </w:r>
      <w:r w:rsidRPr="00622B16">
        <w:rPr>
          <w:rFonts w:asciiTheme="minorHAnsi" w:hAnsiTheme="minorHAnsi" w:cstheme="minorHAnsi"/>
          <w:i w:val="0"/>
          <w:color w:val="auto"/>
        </w:rPr>
        <w:instrText xml:space="preserve"> SEQ Table \* ARABIC </w:instrText>
      </w:r>
      <w:r w:rsidRPr="00622B16">
        <w:rPr>
          <w:rFonts w:asciiTheme="minorHAnsi" w:hAnsiTheme="minorHAnsi" w:cstheme="minorHAnsi"/>
          <w:i w:val="0"/>
          <w:color w:val="auto"/>
        </w:rPr>
        <w:fldChar w:fldCharType="separate"/>
      </w:r>
      <w:r w:rsidR="0009743A" w:rsidRPr="00622B16">
        <w:rPr>
          <w:rFonts w:asciiTheme="minorHAnsi" w:hAnsiTheme="minorHAnsi" w:cstheme="minorHAnsi"/>
          <w:i w:val="0"/>
          <w:noProof/>
          <w:color w:val="auto"/>
        </w:rPr>
        <w:t>9</w:t>
      </w:r>
      <w:r w:rsidRPr="00622B16">
        <w:rPr>
          <w:rFonts w:asciiTheme="minorHAnsi" w:hAnsiTheme="minorHAnsi" w:cstheme="minorHAnsi"/>
          <w:i w:val="0"/>
          <w:color w:val="auto"/>
        </w:rPr>
        <w:fldChar w:fldCharType="end"/>
      </w:r>
      <w:r w:rsidRPr="00622B16">
        <w:rPr>
          <w:rFonts w:asciiTheme="minorHAnsi" w:hAnsiTheme="minorHAnsi" w:cstheme="minorHAnsi"/>
          <w:i w:val="0"/>
          <w:color w:val="auto"/>
        </w:rPr>
        <w:t xml:space="preserve"> - Pourcentage d’activités de dotation réalisées dans la région de la capitale nationale selon l’exercice financier, comparativement à l’ensemble des autres régions</w:t>
      </w:r>
    </w:p>
    <w:tbl>
      <w:tblPr>
        <w:tblStyle w:val="TableGrid"/>
        <w:tblW w:w="5000" w:type="pct"/>
        <w:jc w:val="center"/>
        <w:tblLook w:val="0020" w:firstRow="1" w:lastRow="0" w:firstColumn="0" w:lastColumn="0" w:noHBand="0" w:noVBand="0"/>
        <w:tblDescription w:val="Dotation selon la région de 2014 à 2019"/>
      </w:tblPr>
      <w:tblGrid>
        <w:gridCol w:w="2426"/>
        <w:gridCol w:w="5791"/>
        <w:gridCol w:w="6173"/>
      </w:tblGrid>
      <w:tr w:rsidR="00B61F15" w:rsidRPr="00013CF8" w14:paraId="07C7F167" w14:textId="77777777" w:rsidTr="001F6E88">
        <w:trPr>
          <w:cantSplit/>
          <w:trHeight w:val="290"/>
          <w:tblHeader/>
          <w:jc w:val="center"/>
        </w:trPr>
        <w:tc>
          <w:tcPr>
            <w:tcW w:w="843" w:type="pct"/>
          </w:tcPr>
          <w:p w14:paraId="007D369B" w14:textId="77777777" w:rsidR="00B61F15" w:rsidRPr="00013CF8" w:rsidRDefault="00B61F15" w:rsidP="005E6D0E">
            <w:pPr>
              <w:pStyle w:val="TableTitle"/>
            </w:pPr>
            <w:r w:rsidRPr="00013CF8">
              <w:t>Exercice financier</w:t>
            </w:r>
          </w:p>
        </w:tc>
        <w:tc>
          <w:tcPr>
            <w:tcW w:w="2012" w:type="pct"/>
          </w:tcPr>
          <w:p w14:paraId="5EA47E98" w14:textId="77777777" w:rsidR="00B61F15" w:rsidRPr="00013CF8" w:rsidRDefault="00B61F15" w:rsidP="005E6D0E">
            <w:pPr>
              <w:pStyle w:val="TableTitle"/>
            </w:pPr>
            <w:r w:rsidRPr="00013CF8">
              <w:t>Pourcentage des activités d’embauche réalisées dans la région de la capitale nationale (RCN)</w:t>
            </w:r>
          </w:p>
        </w:tc>
        <w:tc>
          <w:tcPr>
            <w:tcW w:w="2145" w:type="pct"/>
          </w:tcPr>
          <w:p w14:paraId="67998674" w14:textId="77777777" w:rsidR="00B61F15" w:rsidRPr="00013CF8" w:rsidRDefault="00B61F15" w:rsidP="005E6D0E">
            <w:pPr>
              <w:pStyle w:val="TableTitle"/>
            </w:pPr>
            <w:r w:rsidRPr="00013CF8">
              <w:t>Pourcentage des activités de dotation réalisées dans l’ensemble des autres régions (extérieur de la RCN)</w:t>
            </w:r>
          </w:p>
        </w:tc>
      </w:tr>
      <w:tr w:rsidR="00B61F15" w:rsidRPr="005E6D0E" w14:paraId="3EC19B26" w14:textId="77777777" w:rsidTr="001F6E88">
        <w:trPr>
          <w:cantSplit/>
          <w:trHeight w:val="398"/>
          <w:tblHeader/>
          <w:jc w:val="center"/>
        </w:trPr>
        <w:tc>
          <w:tcPr>
            <w:tcW w:w="843" w:type="pct"/>
          </w:tcPr>
          <w:p w14:paraId="1C84A70E"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De 2014 à 2015</w:t>
            </w:r>
          </w:p>
        </w:tc>
        <w:tc>
          <w:tcPr>
            <w:tcW w:w="2012" w:type="pct"/>
          </w:tcPr>
          <w:p w14:paraId="28098520"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89 %</w:t>
            </w:r>
          </w:p>
        </w:tc>
        <w:tc>
          <w:tcPr>
            <w:tcW w:w="2145" w:type="pct"/>
          </w:tcPr>
          <w:p w14:paraId="1044E994"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11 %</w:t>
            </w:r>
          </w:p>
        </w:tc>
      </w:tr>
      <w:tr w:rsidR="00B61F15" w:rsidRPr="005E6D0E" w14:paraId="29609144" w14:textId="77777777" w:rsidTr="001F6E88">
        <w:trPr>
          <w:cantSplit/>
          <w:trHeight w:val="290"/>
          <w:tblHeader/>
          <w:jc w:val="center"/>
        </w:trPr>
        <w:tc>
          <w:tcPr>
            <w:tcW w:w="843" w:type="pct"/>
          </w:tcPr>
          <w:p w14:paraId="2469C61E"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De 2015 à 2016</w:t>
            </w:r>
          </w:p>
        </w:tc>
        <w:tc>
          <w:tcPr>
            <w:tcW w:w="2012" w:type="pct"/>
          </w:tcPr>
          <w:p w14:paraId="08E2210D"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97 %</w:t>
            </w:r>
          </w:p>
        </w:tc>
        <w:tc>
          <w:tcPr>
            <w:tcW w:w="2145" w:type="pct"/>
          </w:tcPr>
          <w:p w14:paraId="661AB362"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3 %</w:t>
            </w:r>
          </w:p>
        </w:tc>
      </w:tr>
      <w:tr w:rsidR="00B61F15" w:rsidRPr="005E6D0E" w14:paraId="69D0F302" w14:textId="77777777" w:rsidTr="001F6E88">
        <w:trPr>
          <w:cantSplit/>
          <w:trHeight w:val="290"/>
          <w:tblHeader/>
          <w:jc w:val="center"/>
        </w:trPr>
        <w:tc>
          <w:tcPr>
            <w:tcW w:w="843" w:type="pct"/>
          </w:tcPr>
          <w:p w14:paraId="78B1AF4C"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De 2016 à 2017</w:t>
            </w:r>
          </w:p>
        </w:tc>
        <w:tc>
          <w:tcPr>
            <w:tcW w:w="2012" w:type="pct"/>
          </w:tcPr>
          <w:p w14:paraId="539EEF65"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99 %</w:t>
            </w:r>
          </w:p>
        </w:tc>
        <w:tc>
          <w:tcPr>
            <w:tcW w:w="2145" w:type="pct"/>
          </w:tcPr>
          <w:p w14:paraId="1352C80A"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1 %</w:t>
            </w:r>
          </w:p>
        </w:tc>
      </w:tr>
      <w:tr w:rsidR="00B61F15" w:rsidRPr="005E6D0E" w14:paraId="5FEBD344" w14:textId="77777777" w:rsidTr="001F6E88">
        <w:trPr>
          <w:cantSplit/>
          <w:trHeight w:val="290"/>
          <w:tblHeader/>
          <w:jc w:val="center"/>
        </w:trPr>
        <w:tc>
          <w:tcPr>
            <w:tcW w:w="843" w:type="pct"/>
          </w:tcPr>
          <w:p w14:paraId="10078998"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De 2017 à 2018</w:t>
            </w:r>
          </w:p>
        </w:tc>
        <w:tc>
          <w:tcPr>
            <w:tcW w:w="2012" w:type="pct"/>
          </w:tcPr>
          <w:p w14:paraId="0C3634FC"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98 %</w:t>
            </w:r>
          </w:p>
        </w:tc>
        <w:tc>
          <w:tcPr>
            <w:tcW w:w="2145" w:type="pct"/>
          </w:tcPr>
          <w:p w14:paraId="169B53D5"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2 %</w:t>
            </w:r>
          </w:p>
        </w:tc>
      </w:tr>
      <w:tr w:rsidR="00B61F15" w:rsidRPr="005E6D0E" w14:paraId="1FC28A8B" w14:textId="77777777" w:rsidTr="001F6E88">
        <w:trPr>
          <w:cantSplit/>
          <w:trHeight w:val="290"/>
          <w:tblHeader/>
          <w:jc w:val="center"/>
        </w:trPr>
        <w:tc>
          <w:tcPr>
            <w:tcW w:w="843" w:type="pct"/>
          </w:tcPr>
          <w:p w14:paraId="7514BD14" w14:textId="77777777" w:rsidR="00B61F15" w:rsidRPr="005E6D0E" w:rsidRDefault="00B61F15" w:rsidP="00F565BF">
            <w:pPr>
              <w:autoSpaceDE w:val="0"/>
              <w:autoSpaceDN w:val="0"/>
              <w:adjustRightInd w:val="0"/>
              <w:rPr>
                <w:rFonts w:asciiTheme="minorHAnsi" w:hAnsiTheme="minorHAnsi" w:cstheme="minorHAnsi"/>
                <w:color w:val="000000"/>
                <w:sz w:val="22"/>
                <w:szCs w:val="24"/>
              </w:rPr>
            </w:pPr>
            <w:r w:rsidRPr="005E6D0E">
              <w:rPr>
                <w:rFonts w:asciiTheme="minorHAnsi" w:hAnsiTheme="minorHAnsi" w:cstheme="minorHAnsi"/>
                <w:color w:val="000000"/>
                <w:sz w:val="22"/>
                <w:szCs w:val="24"/>
              </w:rPr>
              <w:t>De 2018 à 2019</w:t>
            </w:r>
          </w:p>
        </w:tc>
        <w:tc>
          <w:tcPr>
            <w:tcW w:w="2012" w:type="pct"/>
          </w:tcPr>
          <w:p w14:paraId="37A69F41"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97 %</w:t>
            </w:r>
          </w:p>
        </w:tc>
        <w:tc>
          <w:tcPr>
            <w:tcW w:w="2145" w:type="pct"/>
          </w:tcPr>
          <w:p w14:paraId="0E38452D" w14:textId="77777777" w:rsidR="00B61F15" w:rsidRPr="005E6D0E" w:rsidRDefault="00B61F15" w:rsidP="00F565BF">
            <w:pPr>
              <w:autoSpaceDE w:val="0"/>
              <w:autoSpaceDN w:val="0"/>
              <w:adjustRightInd w:val="0"/>
              <w:jc w:val="center"/>
              <w:rPr>
                <w:rFonts w:asciiTheme="minorHAnsi" w:hAnsiTheme="minorHAnsi" w:cstheme="minorHAnsi"/>
                <w:color w:val="000000"/>
                <w:sz w:val="22"/>
                <w:szCs w:val="24"/>
              </w:rPr>
            </w:pPr>
            <w:r w:rsidRPr="005E6D0E">
              <w:rPr>
                <w:rFonts w:asciiTheme="minorHAnsi" w:hAnsiTheme="minorHAnsi" w:cstheme="minorHAnsi"/>
                <w:color w:val="000000"/>
                <w:sz w:val="22"/>
                <w:szCs w:val="24"/>
              </w:rPr>
              <w:t>3 %</w:t>
            </w:r>
          </w:p>
        </w:tc>
      </w:tr>
    </w:tbl>
    <w:p w14:paraId="3DB6EF0A" w14:textId="04B2AC3A" w:rsidR="00B61F15" w:rsidRPr="005E6D0E" w:rsidRDefault="00B61F15" w:rsidP="005E6D0E">
      <w:pPr>
        <w:pStyle w:val="ListParagraph"/>
        <w:numPr>
          <w:ilvl w:val="0"/>
          <w:numId w:val="9"/>
        </w:numPr>
        <w:spacing w:after="100" w:afterAutospacing="1"/>
        <w:contextualSpacing w:val="0"/>
        <w:rPr>
          <w:rFonts w:asciiTheme="minorHAnsi" w:hAnsiTheme="minorHAnsi" w:cstheme="minorHAnsi"/>
          <w:sz w:val="22"/>
        </w:rPr>
      </w:pPr>
      <w:r w:rsidRPr="005E6D0E">
        <w:rPr>
          <w:rFonts w:asciiTheme="minorHAnsi" w:hAnsiTheme="minorHAnsi" w:cstheme="minorHAnsi"/>
          <w:sz w:val="22"/>
        </w:rPr>
        <w:t>La répartition régionale n</w:t>
      </w:r>
      <w:r w:rsidR="005E6D0E">
        <w:rPr>
          <w:rFonts w:asciiTheme="minorHAnsi" w:hAnsiTheme="minorHAnsi" w:cstheme="minorHAnsi"/>
          <w:sz w:val="22"/>
        </w:rPr>
        <w:t>e tient pas compte des inconnus.</w:t>
      </w:r>
    </w:p>
    <w:p w14:paraId="69321220" w14:textId="77777777" w:rsidR="00B61F15" w:rsidRDefault="00B61F15" w:rsidP="007B1B27">
      <w:pPr>
        <w:pStyle w:val="Level1"/>
        <w:tabs>
          <w:tab w:val="left" w:pos="-1440"/>
        </w:tabs>
        <w:autoSpaceDE w:val="0"/>
        <w:autoSpaceDN w:val="0"/>
        <w:adjustRightInd w:val="0"/>
        <w:spacing w:after="120" w:line="20" w:lineRule="atLeast"/>
        <w:rPr>
          <w:rFonts w:ascii="Arial" w:hAnsi="Arial" w:cs="Arial"/>
          <w:sz w:val="22"/>
          <w:szCs w:val="22"/>
        </w:rPr>
        <w:sectPr w:rsidR="00B61F15"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7DFE2911" w14:textId="77777777" w:rsidR="00060368" w:rsidRPr="00060368" w:rsidRDefault="00060368" w:rsidP="00060368">
      <w:pPr>
        <w:pStyle w:val="Heading1"/>
        <w:spacing w:before="120" w:after="120"/>
        <w:rPr>
          <w:sz w:val="40"/>
        </w:rPr>
      </w:pPr>
      <w:r w:rsidRPr="00060368">
        <w:rPr>
          <w:rFonts w:eastAsia="Times New Roman"/>
          <w:sz w:val="40"/>
        </w:rPr>
        <w:lastRenderedPageBreak/>
        <w:t>Dotation selon le type de processus</w:t>
      </w:r>
    </w:p>
    <w:p w14:paraId="739184C5" w14:textId="77777777" w:rsidR="00060368" w:rsidRDefault="00B61F15" w:rsidP="00060368">
      <w:pPr>
        <w:pStyle w:val="Level1"/>
        <w:keepNext/>
        <w:tabs>
          <w:tab w:val="left" w:pos="-1440"/>
        </w:tabs>
        <w:autoSpaceDE w:val="0"/>
        <w:autoSpaceDN w:val="0"/>
        <w:adjustRightInd w:val="0"/>
        <w:spacing w:after="120" w:line="20" w:lineRule="atLeast"/>
        <w:jc w:val="center"/>
      </w:pPr>
      <w:r w:rsidRPr="00622B16">
        <w:rPr>
          <w:noProof/>
          <w:shd w:val="clear" w:color="auto" w:fill="FFFFFF" w:themeFill="background1"/>
          <w:lang w:val="en-CA" w:eastAsia="en-CA"/>
        </w:rPr>
        <w:drawing>
          <wp:inline distT="0" distB="0" distL="0" distR="0" wp14:anchorId="0EDFFEAF" wp14:editId="7DA658BB">
            <wp:extent cx="5648400" cy="3049200"/>
            <wp:effectExtent l="0" t="0" r="9525" b="18415"/>
            <wp:docPr id="10" name="Chart 1" descr="Dotation selon le type de processu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C13472" w14:textId="0EA18EF8" w:rsidR="00B61F15" w:rsidRPr="00622B16" w:rsidRDefault="00060368" w:rsidP="00060368">
      <w:pPr>
        <w:pStyle w:val="Caption"/>
        <w:spacing w:after="0"/>
        <w:jc w:val="center"/>
        <w:rPr>
          <w:rFonts w:asciiTheme="minorHAnsi" w:hAnsiTheme="minorHAnsi" w:cstheme="minorHAnsi"/>
          <w:i w:val="0"/>
          <w:color w:val="auto"/>
          <w:sz w:val="22"/>
          <w:szCs w:val="22"/>
        </w:rPr>
      </w:pPr>
      <w:r w:rsidRPr="00622B16">
        <w:rPr>
          <w:rFonts w:asciiTheme="minorHAnsi" w:hAnsiTheme="minorHAnsi" w:cstheme="minorHAnsi"/>
          <w:i w:val="0"/>
          <w:color w:val="auto"/>
        </w:rPr>
        <w:t xml:space="preserve">Figure </w:t>
      </w:r>
      <w:r w:rsidRPr="00622B16">
        <w:rPr>
          <w:rFonts w:asciiTheme="minorHAnsi" w:hAnsiTheme="minorHAnsi" w:cstheme="minorHAnsi"/>
          <w:i w:val="0"/>
          <w:color w:val="auto"/>
        </w:rPr>
        <w:fldChar w:fldCharType="begin"/>
      </w:r>
      <w:r w:rsidRPr="00622B16">
        <w:rPr>
          <w:rFonts w:asciiTheme="minorHAnsi" w:hAnsiTheme="minorHAnsi" w:cstheme="minorHAnsi"/>
          <w:i w:val="0"/>
          <w:color w:val="auto"/>
        </w:rPr>
        <w:instrText xml:space="preserve"> SEQ Figure \* ARABIC </w:instrText>
      </w:r>
      <w:r w:rsidRPr="00622B16">
        <w:rPr>
          <w:rFonts w:asciiTheme="minorHAnsi" w:hAnsiTheme="minorHAnsi" w:cstheme="minorHAnsi"/>
          <w:i w:val="0"/>
          <w:color w:val="auto"/>
        </w:rPr>
        <w:fldChar w:fldCharType="separate"/>
      </w:r>
      <w:r w:rsidR="00817426" w:rsidRPr="00622B16">
        <w:rPr>
          <w:rFonts w:asciiTheme="minorHAnsi" w:hAnsiTheme="minorHAnsi" w:cstheme="minorHAnsi"/>
          <w:i w:val="0"/>
          <w:noProof/>
          <w:color w:val="auto"/>
        </w:rPr>
        <w:t>7</w:t>
      </w:r>
      <w:r w:rsidRPr="00622B16">
        <w:rPr>
          <w:rFonts w:asciiTheme="minorHAnsi" w:hAnsiTheme="minorHAnsi" w:cstheme="minorHAnsi"/>
          <w:i w:val="0"/>
          <w:color w:val="auto"/>
        </w:rPr>
        <w:fldChar w:fldCharType="end"/>
      </w:r>
      <w:r w:rsidRPr="00622B16">
        <w:rPr>
          <w:rFonts w:asciiTheme="minorHAnsi" w:hAnsiTheme="minorHAnsi" w:cstheme="minorHAnsi"/>
          <w:i w:val="0"/>
          <w:color w:val="auto"/>
        </w:rPr>
        <w:t xml:space="preserve"> - Dotation selon le type de processus</w:t>
      </w:r>
    </w:p>
    <w:p w14:paraId="492695DA" w14:textId="3765D171" w:rsidR="00060368" w:rsidRPr="00622B16" w:rsidRDefault="00060368" w:rsidP="00060368">
      <w:pPr>
        <w:pStyle w:val="Caption"/>
        <w:keepNext/>
        <w:spacing w:before="240" w:after="0"/>
        <w:jc w:val="center"/>
        <w:rPr>
          <w:rFonts w:asciiTheme="minorHAnsi" w:hAnsiTheme="minorHAnsi" w:cstheme="minorHAnsi"/>
          <w:i w:val="0"/>
          <w:color w:val="auto"/>
        </w:rPr>
      </w:pPr>
      <w:r w:rsidRPr="00622B16">
        <w:rPr>
          <w:rFonts w:asciiTheme="minorHAnsi" w:hAnsiTheme="minorHAnsi" w:cstheme="minorHAnsi"/>
          <w:i w:val="0"/>
          <w:color w:val="auto"/>
        </w:rPr>
        <w:t xml:space="preserve">Table </w:t>
      </w:r>
      <w:r w:rsidRPr="00622B16">
        <w:rPr>
          <w:rFonts w:asciiTheme="minorHAnsi" w:hAnsiTheme="minorHAnsi" w:cstheme="minorHAnsi"/>
          <w:i w:val="0"/>
          <w:color w:val="auto"/>
        </w:rPr>
        <w:fldChar w:fldCharType="begin"/>
      </w:r>
      <w:r w:rsidRPr="00622B16">
        <w:rPr>
          <w:rFonts w:asciiTheme="minorHAnsi" w:hAnsiTheme="minorHAnsi" w:cstheme="minorHAnsi"/>
          <w:i w:val="0"/>
          <w:color w:val="auto"/>
        </w:rPr>
        <w:instrText xml:space="preserve"> SEQ Table \* ARABIC </w:instrText>
      </w:r>
      <w:r w:rsidRPr="00622B16">
        <w:rPr>
          <w:rFonts w:asciiTheme="minorHAnsi" w:hAnsiTheme="minorHAnsi" w:cstheme="minorHAnsi"/>
          <w:i w:val="0"/>
          <w:color w:val="auto"/>
        </w:rPr>
        <w:fldChar w:fldCharType="separate"/>
      </w:r>
      <w:r w:rsidR="0009743A" w:rsidRPr="00622B16">
        <w:rPr>
          <w:rFonts w:asciiTheme="minorHAnsi" w:hAnsiTheme="minorHAnsi" w:cstheme="minorHAnsi"/>
          <w:i w:val="0"/>
          <w:noProof/>
          <w:color w:val="auto"/>
        </w:rPr>
        <w:t>10</w:t>
      </w:r>
      <w:r w:rsidRPr="00622B16">
        <w:rPr>
          <w:rFonts w:asciiTheme="minorHAnsi" w:hAnsiTheme="minorHAnsi" w:cstheme="minorHAnsi"/>
          <w:i w:val="0"/>
          <w:color w:val="auto"/>
        </w:rPr>
        <w:fldChar w:fldCharType="end"/>
      </w:r>
      <w:r w:rsidRPr="00622B16">
        <w:rPr>
          <w:rFonts w:asciiTheme="minorHAnsi" w:hAnsiTheme="minorHAnsi" w:cstheme="minorHAnsi"/>
          <w:i w:val="0"/>
          <w:color w:val="auto"/>
        </w:rPr>
        <w:t xml:space="preserve"> - Nombre et pourcentage d’activités de dotation selon le type de processus et l’exercice financier</w:t>
      </w:r>
    </w:p>
    <w:tbl>
      <w:tblPr>
        <w:tblStyle w:val="TableGrid"/>
        <w:tblW w:w="5000" w:type="pct"/>
        <w:jc w:val="center"/>
        <w:tblLook w:val="0020" w:firstRow="1" w:lastRow="0" w:firstColumn="0" w:lastColumn="0" w:noHBand="0" w:noVBand="0"/>
        <w:tblDescription w:val="Dotation selon le type de processus de 2014 à 2019"/>
      </w:tblPr>
      <w:tblGrid>
        <w:gridCol w:w="2121"/>
        <w:gridCol w:w="4110"/>
        <w:gridCol w:w="3546"/>
        <w:gridCol w:w="4613"/>
      </w:tblGrid>
      <w:tr w:rsidR="00B61F15" w:rsidRPr="00013CF8" w14:paraId="0EE8DC8C" w14:textId="77777777" w:rsidTr="001F6E88">
        <w:trPr>
          <w:cantSplit/>
          <w:trHeight w:val="290"/>
          <w:tblHeader/>
          <w:jc w:val="center"/>
        </w:trPr>
        <w:tc>
          <w:tcPr>
            <w:tcW w:w="737" w:type="pct"/>
          </w:tcPr>
          <w:p w14:paraId="6CC9E6F8" w14:textId="77777777" w:rsidR="00B61F15" w:rsidRPr="00013CF8" w:rsidRDefault="00B61F15" w:rsidP="00060368">
            <w:pPr>
              <w:pStyle w:val="TableTitle"/>
            </w:pPr>
            <w:r w:rsidRPr="00013CF8">
              <w:t>Exercice financier</w:t>
            </w:r>
          </w:p>
        </w:tc>
        <w:tc>
          <w:tcPr>
            <w:tcW w:w="1428" w:type="pct"/>
          </w:tcPr>
          <w:p w14:paraId="18AEB766" w14:textId="77777777" w:rsidR="00B61F15" w:rsidRPr="00013CF8" w:rsidRDefault="00B61F15" w:rsidP="00060368">
            <w:pPr>
              <w:pStyle w:val="TableTitle"/>
            </w:pPr>
            <w:r w:rsidRPr="00013CF8">
              <w:t>Processus non annoncés (ne comprend pas les inconnus)</w:t>
            </w:r>
          </w:p>
        </w:tc>
        <w:tc>
          <w:tcPr>
            <w:tcW w:w="1232" w:type="pct"/>
          </w:tcPr>
          <w:p w14:paraId="01BE8EEA" w14:textId="77777777" w:rsidR="00B61F15" w:rsidRPr="00013CF8" w:rsidRDefault="00B61F15" w:rsidP="00060368">
            <w:pPr>
              <w:pStyle w:val="TableTitle"/>
            </w:pPr>
            <w:r w:rsidRPr="00013CF8">
              <w:t>Processus annoncés</w:t>
            </w:r>
          </w:p>
        </w:tc>
        <w:tc>
          <w:tcPr>
            <w:tcW w:w="1603" w:type="pct"/>
          </w:tcPr>
          <w:p w14:paraId="067D45BB" w14:textId="77777777" w:rsidR="00B61F15" w:rsidRPr="00013CF8" w:rsidRDefault="00B61F15" w:rsidP="00060368">
            <w:pPr>
              <w:pStyle w:val="TableTitle"/>
            </w:pPr>
            <w:r w:rsidRPr="00013CF8">
              <w:t>Pourcentage de nominations découlant de processus non annoncés</w:t>
            </w:r>
          </w:p>
        </w:tc>
      </w:tr>
      <w:tr w:rsidR="00B61F15" w:rsidRPr="00060368" w14:paraId="2F03F906" w14:textId="77777777" w:rsidTr="001F6E88">
        <w:trPr>
          <w:cantSplit/>
          <w:trHeight w:val="290"/>
          <w:tblHeader/>
          <w:jc w:val="center"/>
        </w:trPr>
        <w:tc>
          <w:tcPr>
            <w:tcW w:w="737" w:type="pct"/>
          </w:tcPr>
          <w:p w14:paraId="1661A784" w14:textId="77777777" w:rsidR="00B61F15" w:rsidRPr="00060368" w:rsidRDefault="00B61F15" w:rsidP="00F565BF">
            <w:pPr>
              <w:autoSpaceDE w:val="0"/>
              <w:autoSpaceDN w:val="0"/>
              <w:adjustRightInd w:val="0"/>
              <w:rPr>
                <w:rFonts w:asciiTheme="minorHAnsi" w:hAnsiTheme="minorHAnsi" w:cstheme="minorHAnsi"/>
                <w:color w:val="000000"/>
                <w:sz w:val="22"/>
                <w:szCs w:val="24"/>
              </w:rPr>
            </w:pPr>
            <w:r w:rsidRPr="00060368">
              <w:rPr>
                <w:rFonts w:asciiTheme="minorHAnsi" w:hAnsiTheme="minorHAnsi" w:cstheme="minorHAnsi"/>
                <w:color w:val="000000"/>
                <w:sz w:val="22"/>
                <w:szCs w:val="24"/>
              </w:rPr>
              <w:t>De 2014 à 2015</w:t>
            </w:r>
          </w:p>
        </w:tc>
        <w:tc>
          <w:tcPr>
            <w:tcW w:w="1428" w:type="pct"/>
          </w:tcPr>
          <w:p w14:paraId="3B64342E"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0</w:t>
            </w:r>
          </w:p>
        </w:tc>
        <w:tc>
          <w:tcPr>
            <w:tcW w:w="1232" w:type="pct"/>
          </w:tcPr>
          <w:p w14:paraId="0E3293E8"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6</w:t>
            </w:r>
          </w:p>
        </w:tc>
        <w:tc>
          <w:tcPr>
            <w:tcW w:w="1603" w:type="pct"/>
          </w:tcPr>
          <w:p w14:paraId="4560D624"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0 %</w:t>
            </w:r>
          </w:p>
        </w:tc>
      </w:tr>
      <w:tr w:rsidR="00B61F15" w:rsidRPr="00060368" w14:paraId="2FBE176E" w14:textId="77777777" w:rsidTr="001F6E88">
        <w:trPr>
          <w:cantSplit/>
          <w:trHeight w:val="290"/>
          <w:tblHeader/>
          <w:jc w:val="center"/>
        </w:trPr>
        <w:tc>
          <w:tcPr>
            <w:tcW w:w="737" w:type="pct"/>
          </w:tcPr>
          <w:p w14:paraId="46751BC5" w14:textId="77777777" w:rsidR="00B61F15" w:rsidRPr="00060368" w:rsidRDefault="00B61F15" w:rsidP="00F565BF">
            <w:pPr>
              <w:autoSpaceDE w:val="0"/>
              <w:autoSpaceDN w:val="0"/>
              <w:adjustRightInd w:val="0"/>
              <w:rPr>
                <w:rFonts w:asciiTheme="minorHAnsi" w:hAnsiTheme="minorHAnsi" w:cstheme="minorHAnsi"/>
                <w:color w:val="000000"/>
                <w:sz w:val="22"/>
                <w:szCs w:val="24"/>
              </w:rPr>
            </w:pPr>
            <w:r w:rsidRPr="00060368">
              <w:rPr>
                <w:rFonts w:asciiTheme="minorHAnsi" w:hAnsiTheme="minorHAnsi" w:cstheme="minorHAnsi"/>
                <w:color w:val="000000"/>
                <w:sz w:val="22"/>
                <w:szCs w:val="24"/>
              </w:rPr>
              <w:t>De 2015 à 2016</w:t>
            </w:r>
          </w:p>
        </w:tc>
        <w:tc>
          <w:tcPr>
            <w:tcW w:w="1428" w:type="pct"/>
          </w:tcPr>
          <w:p w14:paraId="15B71E13"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23</w:t>
            </w:r>
          </w:p>
        </w:tc>
        <w:tc>
          <w:tcPr>
            <w:tcW w:w="1232" w:type="pct"/>
          </w:tcPr>
          <w:p w14:paraId="2D0979A6"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34</w:t>
            </w:r>
          </w:p>
        </w:tc>
        <w:tc>
          <w:tcPr>
            <w:tcW w:w="1603" w:type="pct"/>
          </w:tcPr>
          <w:p w14:paraId="5F8C985D"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40 %</w:t>
            </w:r>
          </w:p>
        </w:tc>
      </w:tr>
      <w:tr w:rsidR="00B61F15" w:rsidRPr="00060368" w14:paraId="207303E8" w14:textId="77777777" w:rsidTr="001F6E88">
        <w:trPr>
          <w:cantSplit/>
          <w:trHeight w:val="290"/>
          <w:tblHeader/>
          <w:jc w:val="center"/>
        </w:trPr>
        <w:tc>
          <w:tcPr>
            <w:tcW w:w="737" w:type="pct"/>
          </w:tcPr>
          <w:p w14:paraId="2A95A32A" w14:textId="77777777" w:rsidR="00B61F15" w:rsidRPr="00060368" w:rsidRDefault="00B61F15" w:rsidP="00F565BF">
            <w:pPr>
              <w:autoSpaceDE w:val="0"/>
              <w:autoSpaceDN w:val="0"/>
              <w:adjustRightInd w:val="0"/>
              <w:rPr>
                <w:rFonts w:asciiTheme="minorHAnsi" w:hAnsiTheme="minorHAnsi" w:cstheme="minorHAnsi"/>
                <w:color w:val="000000"/>
                <w:sz w:val="22"/>
                <w:szCs w:val="24"/>
              </w:rPr>
            </w:pPr>
            <w:r w:rsidRPr="00060368">
              <w:rPr>
                <w:rFonts w:asciiTheme="minorHAnsi" w:hAnsiTheme="minorHAnsi" w:cstheme="minorHAnsi"/>
                <w:color w:val="000000"/>
                <w:sz w:val="22"/>
                <w:szCs w:val="24"/>
              </w:rPr>
              <w:t>De 2016 à 2017</w:t>
            </w:r>
          </w:p>
        </w:tc>
        <w:tc>
          <w:tcPr>
            <w:tcW w:w="1428" w:type="pct"/>
          </w:tcPr>
          <w:p w14:paraId="49A151AE"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21</w:t>
            </w:r>
          </w:p>
        </w:tc>
        <w:tc>
          <w:tcPr>
            <w:tcW w:w="1232" w:type="pct"/>
          </w:tcPr>
          <w:p w14:paraId="4CC76EBB"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78</w:t>
            </w:r>
          </w:p>
        </w:tc>
        <w:tc>
          <w:tcPr>
            <w:tcW w:w="1603" w:type="pct"/>
          </w:tcPr>
          <w:p w14:paraId="19EFD2B4"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21 %</w:t>
            </w:r>
          </w:p>
        </w:tc>
      </w:tr>
      <w:tr w:rsidR="00B61F15" w:rsidRPr="00060368" w14:paraId="21C16C24" w14:textId="77777777" w:rsidTr="001F6E88">
        <w:trPr>
          <w:cantSplit/>
          <w:trHeight w:val="290"/>
          <w:tblHeader/>
          <w:jc w:val="center"/>
        </w:trPr>
        <w:tc>
          <w:tcPr>
            <w:tcW w:w="737" w:type="pct"/>
          </w:tcPr>
          <w:p w14:paraId="77699DD1" w14:textId="77777777" w:rsidR="00B61F15" w:rsidRPr="00060368" w:rsidRDefault="00B61F15" w:rsidP="00F565BF">
            <w:pPr>
              <w:autoSpaceDE w:val="0"/>
              <w:autoSpaceDN w:val="0"/>
              <w:adjustRightInd w:val="0"/>
              <w:rPr>
                <w:rFonts w:asciiTheme="minorHAnsi" w:hAnsiTheme="minorHAnsi" w:cstheme="minorHAnsi"/>
                <w:color w:val="000000"/>
                <w:sz w:val="22"/>
                <w:szCs w:val="24"/>
              </w:rPr>
            </w:pPr>
            <w:r w:rsidRPr="00060368">
              <w:rPr>
                <w:rFonts w:asciiTheme="minorHAnsi" w:hAnsiTheme="minorHAnsi" w:cstheme="minorHAnsi"/>
                <w:color w:val="000000"/>
                <w:sz w:val="22"/>
                <w:szCs w:val="24"/>
              </w:rPr>
              <w:t>De 2017 à 2018</w:t>
            </w:r>
          </w:p>
        </w:tc>
        <w:tc>
          <w:tcPr>
            <w:tcW w:w="1428" w:type="pct"/>
          </w:tcPr>
          <w:p w14:paraId="29D84028"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49</w:t>
            </w:r>
          </w:p>
        </w:tc>
        <w:tc>
          <w:tcPr>
            <w:tcW w:w="1232" w:type="pct"/>
          </w:tcPr>
          <w:p w14:paraId="6822014A"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87</w:t>
            </w:r>
          </w:p>
        </w:tc>
        <w:tc>
          <w:tcPr>
            <w:tcW w:w="1603" w:type="pct"/>
          </w:tcPr>
          <w:p w14:paraId="7B986E03"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36 %</w:t>
            </w:r>
          </w:p>
        </w:tc>
      </w:tr>
      <w:tr w:rsidR="00B61F15" w:rsidRPr="00060368" w14:paraId="08864941" w14:textId="77777777" w:rsidTr="001F6E88">
        <w:trPr>
          <w:cantSplit/>
          <w:trHeight w:val="290"/>
          <w:tblHeader/>
          <w:jc w:val="center"/>
        </w:trPr>
        <w:tc>
          <w:tcPr>
            <w:tcW w:w="737" w:type="pct"/>
          </w:tcPr>
          <w:p w14:paraId="145E6F15" w14:textId="77777777" w:rsidR="00B61F15" w:rsidRPr="00060368" w:rsidRDefault="00B61F15" w:rsidP="00F565BF">
            <w:pPr>
              <w:autoSpaceDE w:val="0"/>
              <w:autoSpaceDN w:val="0"/>
              <w:adjustRightInd w:val="0"/>
              <w:rPr>
                <w:rFonts w:asciiTheme="minorHAnsi" w:hAnsiTheme="minorHAnsi" w:cstheme="minorHAnsi"/>
                <w:color w:val="000000"/>
                <w:sz w:val="22"/>
                <w:szCs w:val="24"/>
              </w:rPr>
            </w:pPr>
            <w:r w:rsidRPr="00060368">
              <w:rPr>
                <w:rFonts w:asciiTheme="minorHAnsi" w:hAnsiTheme="minorHAnsi" w:cstheme="minorHAnsi"/>
                <w:color w:val="000000"/>
                <w:sz w:val="22"/>
                <w:szCs w:val="24"/>
              </w:rPr>
              <w:t>De 2018 à 2019</w:t>
            </w:r>
          </w:p>
        </w:tc>
        <w:tc>
          <w:tcPr>
            <w:tcW w:w="1428" w:type="pct"/>
          </w:tcPr>
          <w:p w14:paraId="05D82F7B"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61</w:t>
            </w:r>
          </w:p>
        </w:tc>
        <w:tc>
          <w:tcPr>
            <w:tcW w:w="1232" w:type="pct"/>
          </w:tcPr>
          <w:p w14:paraId="51A233A9"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98</w:t>
            </w:r>
          </w:p>
        </w:tc>
        <w:tc>
          <w:tcPr>
            <w:tcW w:w="1603" w:type="pct"/>
          </w:tcPr>
          <w:p w14:paraId="56A4BA27" w14:textId="77777777" w:rsidR="00B61F15" w:rsidRPr="00060368" w:rsidRDefault="00B61F15" w:rsidP="00F565BF">
            <w:pPr>
              <w:autoSpaceDE w:val="0"/>
              <w:autoSpaceDN w:val="0"/>
              <w:adjustRightInd w:val="0"/>
              <w:jc w:val="center"/>
              <w:rPr>
                <w:rFonts w:asciiTheme="minorHAnsi" w:hAnsiTheme="minorHAnsi" w:cstheme="minorHAnsi"/>
                <w:color w:val="000000"/>
                <w:sz w:val="22"/>
                <w:szCs w:val="24"/>
              </w:rPr>
            </w:pPr>
            <w:r w:rsidRPr="00060368">
              <w:rPr>
                <w:rFonts w:asciiTheme="minorHAnsi" w:hAnsiTheme="minorHAnsi" w:cstheme="minorHAnsi"/>
                <w:color w:val="000000"/>
                <w:sz w:val="22"/>
                <w:szCs w:val="24"/>
              </w:rPr>
              <w:t>38 %</w:t>
            </w:r>
          </w:p>
        </w:tc>
      </w:tr>
    </w:tbl>
    <w:p w14:paraId="22B50959" w14:textId="77777777" w:rsidR="00B61F15" w:rsidRPr="00060368" w:rsidRDefault="00B61F15" w:rsidP="001014AA">
      <w:pPr>
        <w:pStyle w:val="ListParagraph"/>
        <w:numPr>
          <w:ilvl w:val="0"/>
          <w:numId w:val="8"/>
        </w:numPr>
        <w:spacing w:after="0"/>
        <w:contextualSpacing w:val="0"/>
        <w:rPr>
          <w:rFonts w:asciiTheme="minorHAnsi" w:hAnsiTheme="minorHAnsi" w:cstheme="minorHAnsi"/>
          <w:sz w:val="22"/>
        </w:rPr>
      </w:pPr>
      <w:r w:rsidRPr="00060368">
        <w:rPr>
          <w:rFonts w:asciiTheme="minorHAnsi" w:hAnsiTheme="minorHAnsi" w:cstheme="minorHAnsi"/>
          <w:sz w:val="22"/>
        </w:rPr>
        <w:t>Comprend les nominations pour une période indéterminée et celles pour une période déterminée.</w:t>
      </w:r>
    </w:p>
    <w:p w14:paraId="163460CB" w14:textId="77777777" w:rsidR="00B61F15" w:rsidRPr="00060368" w:rsidRDefault="00B61F15" w:rsidP="001014AA">
      <w:pPr>
        <w:pStyle w:val="ListParagraph"/>
        <w:numPr>
          <w:ilvl w:val="0"/>
          <w:numId w:val="8"/>
        </w:numPr>
        <w:spacing w:after="0"/>
        <w:contextualSpacing w:val="0"/>
        <w:rPr>
          <w:rFonts w:asciiTheme="minorHAnsi" w:hAnsiTheme="minorHAnsi" w:cstheme="minorHAnsi"/>
          <w:sz w:val="22"/>
        </w:rPr>
      </w:pPr>
      <w:r w:rsidRPr="00060368">
        <w:rPr>
          <w:rFonts w:asciiTheme="minorHAnsi" w:hAnsiTheme="minorHAnsi" w:cstheme="minorHAnsi"/>
          <w:sz w:val="22"/>
        </w:rPr>
        <w:t>Exclut les déplacements latéraux et régressifs, les mutations et les nominations intérimaires de moins de quatre mois.</w:t>
      </w:r>
    </w:p>
    <w:p w14:paraId="72720DD5" w14:textId="77777777" w:rsidR="00B61F15" w:rsidRPr="00060368" w:rsidRDefault="00B61F15" w:rsidP="00B61F15">
      <w:pPr>
        <w:pStyle w:val="ListParagraph"/>
        <w:numPr>
          <w:ilvl w:val="0"/>
          <w:numId w:val="8"/>
        </w:numPr>
        <w:spacing w:before="100" w:beforeAutospacing="1" w:after="100" w:afterAutospacing="1"/>
        <w:contextualSpacing w:val="0"/>
        <w:rPr>
          <w:rFonts w:asciiTheme="minorHAnsi" w:hAnsiTheme="minorHAnsi" w:cstheme="minorHAnsi"/>
          <w:sz w:val="22"/>
        </w:rPr>
      </w:pPr>
      <w:r w:rsidRPr="00060368">
        <w:rPr>
          <w:rFonts w:asciiTheme="minorHAnsi" w:hAnsiTheme="minorHAnsi" w:cstheme="minorHAnsi"/>
          <w:sz w:val="22"/>
        </w:rPr>
        <w:t>Comprend seulement les nominations pour lesquelles le type de processus de dotation utilisé est connu (de 43 à 87 % des nominations).</w:t>
      </w:r>
    </w:p>
    <w:p w14:paraId="7DD18759" w14:textId="77777777" w:rsidR="00B61F15" w:rsidRPr="00060368" w:rsidRDefault="00B61F15" w:rsidP="001014AA">
      <w:pPr>
        <w:pStyle w:val="Level1"/>
        <w:tabs>
          <w:tab w:val="left" w:pos="-1440"/>
        </w:tabs>
        <w:autoSpaceDE w:val="0"/>
        <w:autoSpaceDN w:val="0"/>
        <w:adjustRightInd w:val="0"/>
        <w:spacing w:line="20" w:lineRule="atLeast"/>
        <w:rPr>
          <w:rFonts w:asciiTheme="minorHAnsi" w:hAnsiTheme="minorHAnsi" w:cstheme="minorHAnsi"/>
          <w:sz w:val="20"/>
          <w:szCs w:val="22"/>
        </w:rPr>
        <w:sectPr w:rsidR="00B61F15" w:rsidRPr="00060368"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12BDB248" w14:textId="77777777" w:rsidR="00FE4142" w:rsidRPr="00FE4142" w:rsidRDefault="00FE4142" w:rsidP="00FE4142">
      <w:pPr>
        <w:pStyle w:val="Heading1"/>
        <w:spacing w:before="120" w:after="120"/>
        <w:rPr>
          <w:sz w:val="40"/>
        </w:rPr>
      </w:pPr>
      <w:r w:rsidRPr="00FE4142">
        <w:rPr>
          <w:rFonts w:eastAsia="Times New Roman"/>
          <w:sz w:val="40"/>
        </w:rPr>
        <w:lastRenderedPageBreak/>
        <w:t>Dotation selon le type de nomination</w:t>
      </w:r>
    </w:p>
    <w:p w14:paraId="13957F04" w14:textId="77777777" w:rsidR="00FE4142" w:rsidRDefault="007B1B27" w:rsidP="00FE4142">
      <w:pPr>
        <w:pStyle w:val="Level1"/>
        <w:keepNext/>
        <w:tabs>
          <w:tab w:val="left" w:pos="-1440"/>
        </w:tabs>
        <w:autoSpaceDE w:val="0"/>
        <w:autoSpaceDN w:val="0"/>
        <w:adjustRightInd w:val="0"/>
        <w:spacing w:after="120" w:line="20" w:lineRule="atLeast"/>
        <w:jc w:val="center"/>
      </w:pPr>
      <w:r w:rsidRPr="00FE4142">
        <w:rPr>
          <w:noProof/>
          <w:lang w:val="en-CA" w:eastAsia="en-CA"/>
        </w:rPr>
        <w:drawing>
          <wp:inline distT="0" distB="0" distL="0" distR="0" wp14:anchorId="16613B56" wp14:editId="63B68D9F">
            <wp:extent cx="5648400" cy="3049200"/>
            <wp:effectExtent l="0" t="0" r="9525" b="18415"/>
            <wp:docPr id="9" name="Chart 9" descr="Dotation selon le type de nomin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425505" w14:textId="23F17562" w:rsidR="00B61F15" w:rsidRPr="001014AA" w:rsidRDefault="00FE4142" w:rsidP="00FE4142">
      <w:pPr>
        <w:pStyle w:val="Caption"/>
        <w:spacing w:after="0"/>
        <w:jc w:val="center"/>
        <w:rPr>
          <w:rFonts w:asciiTheme="minorHAnsi" w:hAnsiTheme="minorHAnsi" w:cstheme="minorHAnsi"/>
          <w:i w:val="0"/>
          <w:color w:val="auto"/>
          <w:sz w:val="22"/>
          <w:szCs w:val="22"/>
        </w:rPr>
      </w:pPr>
      <w:r w:rsidRPr="001014AA">
        <w:rPr>
          <w:rFonts w:asciiTheme="minorHAnsi" w:hAnsiTheme="minorHAnsi" w:cstheme="minorHAnsi"/>
          <w:i w:val="0"/>
          <w:color w:val="auto"/>
        </w:rPr>
        <w:t xml:space="preserve">Figure </w:t>
      </w:r>
      <w:r w:rsidRPr="001014AA">
        <w:rPr>
          <w:rFonts w:asciiTheme="minorHAnsi" w:hAnsiTheme="minorHAnsi" w:cstheme="minorHAnsi"/>
          <w:i w:val="0"/>
          <w:color w:val="auto"/>
        </w:rPr>
        <w:fldChar w:fldCharType="begin"/>
      </w:r>
      <w:r w:rsidRPr="001014AA">
        <w:rPr>
          <w:rFonts w:asciiTheme="minorHAnsi" w:hAnsiTheme="minorHAnsi" w:cstheme="minorHAnsi"/>
          <w:i w:val="0"/>
          <w:color w:val="auto"/>
        </w:rPr>
        <w:instrText xml:space="preserve"> SEQ Figure \* ARABIC </w:instrText>
      </w:r>
      <w:r w:rsidRPr="001014AA">
        <w:rPr>
          <w:rFonts w:asciiTheme="minorHAnsi" w:hAnsiTheme="minorHAnsi" w:cstheme="minorHAnsi"/>
          <w:i w:val="0"/>
          <w:color w:val="auto"/>
        </w:rPr>
        <w:fldChar w:fldCharType="separate"/>
      </w:r>
      <w:r w:rsidR="00817426" w:rsidRPr="001014AA">
        <w:rPr>
          <w:rFonts w:asciiTheme="minorHAnsi" w:hAnsiTheme="minorHAnsi" w:cstheme="minorHAnsi"/>
          <w:i w:val="0"/>
          <w:noProof/>
          <w:color w:val="auto"/>
        </w:rPr>
        <w:t>8</w:t>
      </w:r>
      <w:r w:rsidRPr="001014AA">
        <w:rPr>
          <w:rFonts w:asciiTheme="minorHAnsi" w:hAnsiTheme="minorHAnsi" w:cstheme="minorHAnsi"/>
          <w:i w:val="0"/>
          <w:color w:val="auto"/>
        </w:rPr>
        <w:fldChar w:fldCharType="end"/>
      </w:r>
      <w:r w:rsidRPr="001014AA">
        <w:rPr>
          <w:rFonts w:asciiTheme="minorHAnsi" w:hAnsiTheme="minorHAnsi" w:cstheme="minorHAnsi"/>
          <w:i w:val="0"/>
          <w:color w:val="auto"/>
        </w:rPr>
        <w:t xml:space="preserve"> - Dotation selon le type de nomination</w:t>
      </w:r>
    </w:p>
    <w:p w14:paraId="7CE84CAF" w14:textId="065706C9" w:rsidR="00FE4142" w:rsidRPr="001014AA" w:rsidRDefault="00FE4142" w:rsidP="00FE4142">
      <w:pPr>
        <w:pStyle w:val="Caption"/>
        <w:keepNext/>
        <w:spacing w:before="240" w:after="0"/>
        <w:jc w:val="center"/>
        <w:rPr>
          <w:rFonts w:asciiTheme="minorHAnsi" w:hAnsiTheme="minorHAnsi" w:cstheme="minorHAnsi"/>
          <w:i w:val="0"/>
          <w:color w:val="auto"/>
        </w:rPr>
      </w:pPr>
      <w:r w:rsidRPr="001014AA">
        <w:rPr>
          <w:rFonts w:asciiTheme="minorHAnsi" w:hAnsiTheme="minorHAnsi" w:cstheme="minorHAnsi"/>
          <w:i w:val="0"/>
          <w:color w:val="auto"/>
        </w:rPr>
        <w:t xml:space="preserve">Table </w:t>
      </w:r>
      <w:r w:rsidRPr="001014AA">
        <w:rPr>
          <w:rFonts w:asciiTheme="minorHAnsi" w:hAnsiTheme="minorHAnsi" w:cstheme="minorHAnsi"/>
          <w:i w:val="0"/>
          <w:color w:val="auto"/>
        </w:rPr>
        <w:fldChar w:fldCharType="begin"/>
      </w:r>
      <w:r w:rsidRPr="001014AA">
        <w:rPr>
          <w:rFonts w:asciiTheme="minorHAnsi" w:hAnsiTheme="minorHAnsi" w:cstheme="minorHAnsi"/>
          <w:i w:val="0"/>
          <w:color w:val="auto"/>
        </w:rPr>
        <w:instrText xml:space="preserve"> SEQ Table \* ARABIC </w:instrText>
      </w:r>
      <w:r w:rsidRPr="001014AA">
        <w:rPr>
          <w:rFonts w:asciiTheme="minorHAnsi" w:hAnsiTheme="minorHAnsi" w:cstheme="minorHAnsi"/>
          <w:i w:val="0"/>
          <w:color w:val="auto"/>
        </w:rPr>
        <w:fldChar w:fldCharType="separate"/>
      </w:r>
      <w:r w:rsidR="0009743A" w:rsidRPr="001014AA">
        <w:rPr>
          <w:rFonts w:asciiTheme="minorHAnsi" w:hAnsiTheme="minorHAnsi" w:cstheme="minorHAnsi"/>
          <w:i w:val="0"/>
          <w:noProof/>
          <w:color w:val="auto"/>
        </w:rPr>
        <w:t>11</w:t>
      </w:r>
      <w:r w:rsidRPr="001014AA">
        <w:rPr>
          <w:rFonts w:asciiTheme="minorHAnsi" w:hAnsiTheme="minorHAnsi" w:cstheme="minorHAnsi"/>
          <w:i w:val="0"/>
          <w:color w:val="auto"/>
        </w:rPr>
        <w:fldChar w:fldCharType="end"/>
      </w:r>
      <w:r w:rsidRPr="001014AA">
        <w:rPr>
          <w:rFonts w:asciiTheme="minorHAnsi" w:hAnsiTheme="minorHAnsi" w:cstheme="minorHAnsi"/>
          <w:i w:val="0"/>
          <w:color w:val="auto"/>
        </w:rPr>
        <w:t xml:space="preserve"> - Activités de dotation selon le type de nomination et l’exercice financier</w:t>
      </w:r>
    </w:p>
    <w:tbl>
      <w:tblPr>
        <w:tblStyle w:val="TableGrid"/>
        <w:tblW w:w="5000" w:type="pct"/>
        <w:jc w:val="center"/>
        <w:tblLook w:val="0020" w:firstRow="1" w:lastRow="0" w:firstColumn="0" w:lastColumn="0" w:noHBand="0" w:noVBand="0"/>
        <w:tblDescription w:val="Dotation selon le type de nomination de 2014 à 2019"/>
      </w:tblPr>
      <w:tblGrid>
        <w:gridCol w:w="1981"/>
        <w:gridCol w:w="1560"/>
        <w:gridCol w:w="2409"/>
        <w:gridCol w:w="4190"/>
        <w:gridCol w:w="3246"/>
        <w:gridCol w:w="1004"/>
      </w:tblGrid>
      <w:tr w:rsidR="00B61F15" w:rsidRPr="00013CF8" w14:paraId="0FF10A01" w14:textId="77777777" w:rsidTr="001F6E88">
        <w:trPr>
          <w:cantSplit/>
          <w:tblHeader/>
          <w:jc w:val="center"/>
        </w:trPr>
        <w:tc>
          <w:tcPr>
            <w:tcW w:w="688" w:type="pct"/>
          </w:tcPr>
          <w:p w14:paraId="56FBC659" w14:textId="77777777" w:rsidR="00B61F15" w:rsidRPr="00013CF8" w:rsidRDefault="00B61F15" w:rsidP="00FE4142">
            <w:pPr>
              <w:pStyle w:val="TableTitle"/>
            </w:pPr>
            <w:r w:rsidRPr="00013CF8">
              <w:t>Exercice financier</w:t>
            </w:r>
          </w:p>
        </w:tc>
        <w:tc>
          <w:tcPr>
            <w:tcW w:w="542" w:type="pct"/>
          </w:tcPr>
          <w:p w14:paraId="13F53ACC" w14:textId="77777777" w:rsidR="00B61F15" w:rsidRPr="00013CF8" w:rsidRDefault="00B61F15" w:rsidP="00FE4142">
            <w:pPr>
              <w:pStyle w:val="TableTitle"/>
            </w:pPr>
            <w:r w:rsidRPr="00013CF8">
              <w:t>Promotions</w:t>
            </w:r>
          </w:p>
        </w:tc>
        <w:tc>
          <w:tcPr>
            <w:tcW w:w="837" w:type="pct"/>
          </w:tcPr>
          <w:p w14:paraId="41DD5E41" w14:textId="77777777" w:rsidR="00B61F15" w:rsidRPr="00013CF8" w:rsidRDefault="00B61F15" w:rsidP="00FE4142">
            <w:pPr>
              <w:pStyle w:val="TableTitle"/>
            </w:pPr>
            <w:r w:rsidRPr="00013CF8">
              <w:t>Déplacements latéraux et régressifs</w:t>
            </w:r>
          </w:p>
        </w:tc>
        <w:tc>
          <w:tcPr>
            <w:tcW w:w="1456" w:type="pct"/>
          </w:tcPr>
          <w:p w14:paraId="6475BBA7" w14:textId="77777777" w:rsidR="00B61F15" w:rsidRPr="00013CF8" w:rsidRDefault="00B61F15" w:rsidP="00FE4142">
            <w:pPr>
              <w:pStyle w:val="TableTitle"/>
            </w:pPr>
            <w:r w:rsidRPr="00013CF8">
              <w:t>Nominations à la fonction publique (sont compris les employés occasionnels et les étudiants)</w:t>
            </w:r>
          </w:p>
        </w:tc>
        <w:tc>
          <w:tcPr>
            <w:tcW w:w="1128" w:type="pct"/>
          </w:tcPr>
          <w:p w14:paraId="13ACDFEB" w14:textId="77777777" w:rsidR="00B61F15" w:rsidRPr="00013CF8" w:rsidRDefault="00B61F15" w:rsidP="00FE4142">
            <w:pPr>
              <w:pStyle w:val="TableTitle"/>
            </w:pPr>
            <w:r w:rsidRPr="00013CF8">
              <w:t>Nominations intérimaires (sont exclues les nominations de moins de quatre mois)</w:t>
            </w:r>
          </w:p>
        </w:tc>
        <w:tc>
          <w:tcPr>
            <w:tcW w:w="349" w:type="pct"/>
          </w:tcPr>
          <w:p w14:paraId="6A170393" w14:textId="77777777" w:rsidR="00B61F15" w:rsidRPr="00013CF8" w:rsidRDefault="00B61F15" w:rsidP="00FE4142">
            <w:pPr>
              <w:pStyle w:val="TableTitle"/>
            </w:pPr>
            <w:r w:rsidRPr="00013CF8">
              <w:t>Total</w:t>
            </w:r>
          </w:p>
        </w:tc>
      </w:tr>
      <w:tr w:rsidR="00B61F15" w:rsidRPr="00FE4142" w14:paraId="0FD2C345" w14:textId="77777777" w:rsidTr="001F6E88">
        <w:trPr>
          <w:cantSplit/>
          <w:tblHeader/>
          <w:jc w:val="center"/>
        </w:trPr>
        <w:tc>
          <w:tcPr>
            <w:tcW w:w="688" w:type="pct"/>
          </w:tcPr>
          <w:p w14:paraId="2D19758C"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2014 à 2015</w:t>
            </w:r>
          </w:p>
        </w:tc>
        <w:tc>
          <w:tcPr>
            <w:tcW w:w="542" w:type="pct"/>
          </w:tcPr>
          <w:p w14:paraId="44BF43A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4</w:t>
            </w:r>
          </w:p>
        </w:tc>
        <w:tc>
          <w:tcPr>
            <w:tcW w:w="837" w:type="pct"/>
          </w:tcPr>
          <w:p w14:paraId="7892C4DD"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14</w:t>
            </w:r>
          </w:p>
        </w:tc>
        <w:tc>
          <w:tcPr>
            <w:tcW w:w="1456" w:type="pct"/>
          </w:tcPr>
          <w:p w14:paraId="31974DC5"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22</w:t>
            </w:r>
          </w:p>
        </w:tc>
        <w:tc>
          <w:tcPr>
            <w:tcW w:w="1128" w:type="pct"/>
          </w:tcPr>
          <w:p w14:paraId="148F3F3C"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5</w:t>
            </w:r>
          </w:p>
        </w:tc>
        <w:tc>
          <w:tcPr>
            <w:tcW w:w="349" w:type="pct"/>
          </w:tcPr>
          <w:p w14:paraId="56798AE8"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45</w:t>
            </w:r>
          </w:p>
        </w:tc>
      </w:tr>
      <w:tr w:rsidR="00B61F15" w:rsidRPr="00FE4142" w14:paraId="0695DFB9" w14:textId="77777777" w:rsidTr="001F6E88">
        <w:trPr>
          <w:cantSplit/>
          <w:tblHeader/>
          <w:jc w:val="center"/>
        </w:trPr>
        <w:tc>
          <w:tcPr>
            <w:tcW w:w="688" w:type="pct"/>
          </w:tcPr>
          <w:p w14:paraId="2399F181"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2015 à 2016</w:t>
            </w:r>
          </w:p>
        </w:tc>
        <w:tc>
          <w:tcPr>
            <w:tcW w:w="542" w:type="pct"/>
          </w:tcPr>
          <w:p w14:paraId="63D2A79F"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26</w:t>
            </w:r>
          </w:p>
        </w:tc>
        <w:tc>
          <w:tcPr>
            <w:tcW w:w="837" w:type="pct"/>
          </w:tcPr>
          <w:p w14:paraId="23755CB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61</w:t>
            </w:r>
          </w:p>
        </w:tc>
        <w:tc>
          <w:tcPr>
            <w:tcW w:w="1456" w:type="pct"/>
          </w:tcPr>
          <w:p w14:paraId="6872F681"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114</w:t>
            </w:r>
          </w:p>
        </w:tc>
        <w:tc>
          <w:tcPr>
            <w:tcW w:w="1128" w:type="pct"/>
          </w:tcPr>
          <w:p w14:paraId="1D678FC7"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32</w:t>
            </w:r>
          </w:p>
        </w:tc>
        <w:tc>
          <w:tcPr>
            <w:tcW w:w="349" w:type="pct"/>
          </w:tcPr>
          <w:p w14:paraId="290381C3"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233</w:t>
            </w:r>
          </w:p>
        </w:tc>
      </w:tr>
      <w:tr w:rsidR="00B61F15" w:rsidRPr="00FE4142" w14:paraId="6A2B8800" w14:textId="77777777" w:rsidTr="001F6E88">
        <w:trPr>
          <w:cantSplit/>
          <w:tblHeader/>
          <w:jc w:val="center"/>
        </w:trPr>
        <w:tc>
          <w:tcPr>
            <w:tcW w:w="688" w:type="pct"/>
          </w:tcPr>
          <w:p w14:paraId="3EB4736E"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2016 à 2017</w:t>
            </w:r>
          </w:p>
        </w:tc>
        <w:tc>
          <w:tcPr>
            <w:tcW w:w="542" w:type="pct"/>
          </w:tcPr>
          <w:p w14:paraId="2BBD17C8"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58</w:t>
            </w:r>
          </w:p>
        </w:tc>
        <w:tc>
          <w:tcPr>
            <w:tcW w:w="837" w:type="pct"/>
          </w:tcPr>
          <w:p w14:paraId="10461ED0"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96</w:t>
            </w:r>
          </w:p>
        </w:tc>
        <w:tc>
          <w:tcPr>
            <w:tcW w:w="1456" w:type="pct"/>
          </w:tcPr>
          <w:p w14:paraId="6D18CC27"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180</w:t>
            </w:r>
          </w:p>
        </w:tc>
        <w:tc>
          <w:tcPr>
            <w:tcW w:w="1128" w:type="pct"/>
          </w:tcPr>
          <w:p w14:paraId="6B5CF60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26</w:t>
            </w:r>
          </w:p>
        </w:tc>
        <w:tc>
          <w:tcPr>
            <w:tcW w:w="349" w:type="pct"/>
          </w:tcPr>
          <w:p w14:paraId="6856EF6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360</w:t>
            </w:r>
          </w:p>
        </w:tc>
      </w:tr>
      <w:tr w:rsidR="00B61F15" w:rsidRPr="00FE4142" w14:paraId="34671B7D" w14:textId="77777777" w:rsidTr="001F6E88">
        <w:trPr>
          <w:cantSplit/>
          <w:tblHeader/>
          <w:jc w:val="center"/>
        </w:trPr>
        <w:tc>
          <w:tcPr>
            <w:tcW w:w="688" w:type="pct"/>
          </w:tcPr>
          <w:p w14:paraId="230D67AE"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2017 à 2018</w:t>
            </w:r>
          </w:p>
        </w:tc>
        <w:tc>
          <w:tcPr>
            <w:tcW w:w="542" w:type="pct"/>
          </w:tcPr>
          <w:p w14:paraId="544F4578"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77</w:t>
            </w:r>
          </w:p>
        </w:tc>
        <w:tc>
          <w:tcPr>
            <w:tcW w:w="837" w:type="pct"/>
          </w:tcPr>
          <w:p w14:paraId="0028DC7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78</w:t>
            </w:r>
          </w:p>
        </w:tc>
        <w:tc>
          <w:tcPr>
            <w:tcW w:w="1456" w:type="pct"/>
          </w:tcPr>
          <w:p w14:paraId="3A9EB332"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123</w:t>
            </w:r>
          </w:p>
        </w:tc>
        <w:tc>
          <w:tcPr>
            <w:tcW w:w="1128" w:type="pct"/>
          </w:tcPr>
          <w:p w14:paraId="754D6991"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34</w:t>
            </w:r>
          </w:p>
        </w:tc>
        <w:tc>
          <w:tcPr>
            <w:tcW w:w="349" w:type="pct"/>
          </w:tcPr>
          <w:p w14:paraId="35D7D730"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312</w:t>
            </w:r>
          </w:p>
        </w:tc>
      </w:tr>
      <w:tr w:rsidR="00B61F15" w:rsidRPr="00FE4142" w14:paraId="4B85CCAC" w14:textId="77777777" w:rsidTr="001F6E88">
        <w:trPr>
          <w:cantSplit/>
          <w:tblHeader/>
          <w:jc w:val="center"/>
        </w:trPr>
        <w:tc>
          <w:tcPr>
            <w:tcW w:w="688" w:type="pct"/>
          </w:tcPr>
          <w:p w14:paraId="72965616"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2018 à 2019</w:t>
            </w:r>
          </w:p>
        </w:tc>
        <w:tc>
          <w:tcPr>
            <w:tcW w:w="542" w:type="pct"/>
          </w:tcPr>
          <w:p w14:paraId="0C71755E"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91</w:t>
            </w:r>
          </w:p>
        </w:tc>
        <w:tc>
          <w:tcPr>
            <w:tcW w:w="837" w:type="pct"/>
          </w:tcPr>
          <w:p w14:paraId="77B055DC"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61</w:t>
            </w:r>
          </w:p>
        </w:tc>
        <w:tc>
          <w:tcPr>
            <w:tcW w:w="1456" w:type="pct"/>
          </w:tcPr>
          <w:p w14:paraId="42DADA66"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179</w:t>
            </w:r>
          </w:p>
        </w:tc>
        <w:tc>
          <w:tcPr>
            <w:tcW w:w="1128" w:type="pct"/>
          </w:tcPr>
          <w:p w14:paraId="60F9501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28</w:t>
            </w:r>
          </w:p>
        </w:tc>
        <w:tc>
          <w:tcPr>
            <w:tcW w:w="349" w:type="pct"/>
          </w:tcPr>
          <w:p w14:paraId="5782AF2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359</w:t>
            </w:r>
          </w:p>
        </w:tc>
      </w:tr>
    </w:tbl>
    <w:p w14:paraId="45A14364" w14:textId="77777777" w:rsidR="00B61F15" w:rsidRDefault="00B61F15" w:rsidP="00944C68">
      <w:pPr>
        <w:pStyle w:val="Level1"/>
        <w:tabs>
          <w:tab w:val="left" w:pos="-1440"/>
        </w:tabs>
        <w:autoSpaceDE w:val="0"/>
        <w:autoSpaceDN w:val="0"/>
        <w:adjustRightInd w:val="0"/>
        <w:spacing w:after="120" w:line="20" w:lineRule="atLeast"/>
        <w:rPr>
          <w:rFonts w:ascii="Arial" w:hAnsi="Arial" w:cs="Arial"/>
          <w:sz w:val="22"/>
          <w:szCs w:val="22"/>
        </w:rPr>
      </w:pPr>
    </w:p>
    <w:p w14:paraId="1122F1A7" w14:textId="77777777" w:rsidR="00B61F15" w:rsidRDefault="00B61F15" w:rsidP="00944C68">
      <w:pPr>
        <w:pStyle w:val="Level1"/>
        <w:tabs>
          <w:tab w:val="left" w:pos="-1440"/>
        </w:tabs>
        <w:autoSpaceDE w:val="0"/>
        <w:autoSpaceDN w:val="0"/>
        <w:adjustRightInd w:val="0"/>
        <w:spacing w:after="120" w:line="20" w:lineRule="atLeast"/>
        <w:rPr>
          <w:rFonts w:ascii="Arial" w:hAnsi="Arial" w:cs="Arial"/>
          <w:sz w:val="22"/>
          <w:szCs w:val="22"/>
        </w:rPr>
        <w:sectPr w:rsidR="00B61F15"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038B486A" w14:textId="77777777" w:rsidR="00FE4142" w:rsidRPr="00FE4142" w:rsidRDefault="00FE4142" w:rsidP="00FE4142">
      <w:pPr>
        <w:pStyle w:val="Heading1"/>
        <w:spacing w:before="120" w:after="120"/>
        <w:rPr>
          <w:sz w:val="40"/>
        </w:rPr>
      </w:pPr>
      <w:r w:rsidRPr="00FE4142">
        <w:rPr>
          <w:rFonts w:eastAsia="Times New Roman"/>
          <w:sz w:val="40"/>
        </w:rPr>
        <w:lastRenderedPageBreak/>
        <w:t>Dotation selon la durée de l'emploi</w:t>
      </w:r>
    </w:p>
    <w:p w14:paraId="7E257FFD" w14:textId="77777777" w:rsidR="00FE4142" w:rsidRDefault="00B61F15" w:rsidP="00FE4142">
      <w:pPr>
        <w:pStyle w:val="Level1"/>
        <w:keepNext/>
        <w:tabs>
          <w:tab w:val="left" w:pos="-1440"/>
        </w:tabs>
        <w:autoSpaceDE w:val="0"/>
        <w:autoSpaceDN w:val="0"/>
        <w:adjustRightInd w:val="0"/>
        <w:spacing w:after="120" w:line="20" w:lineRule="atLeast"/>
        <w:jc w:val="center"/>
      </w:pPr>
      <w:r w:rsidRPr="00013CF8">
        <w:rPr>
          <w:noProof/>
          <w:lang w:val="en-CA" w:eastAsia="en-CA"/>
        </w:rPr>
        <w:drawing>
          <wp:inline distT="0" distB="0" distL="0" distR="0" wp14:anchorId="47417510" wp14:editId="2E942A07">
            <wp:extent cx="5648400" cy="3049200"/>
            <wp:effectExtent l="0" t="0" r="9525" b="18415"/>
            <wp:docPr id="11" name="Chart 3" descr="Dotation selon la durée de l'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3D32B3" w14:textId="09B96465" w:rsidR="00B61F15" w:rsidRPr="001014AA" w:rsidRDefault="00FE4142" w:rsidP="00FE4142">
      <w:pPr>
        <w:pStyle w:val="Caption"/>
        <w:spacing w:after="0"/>
        <w:jc w:val="center"/>
        <w:rPr>
          <w:rFonts w:asciiTheme="minorHAnsi" w:hAnsiTheme="minorHAnsi" w:cstheme="minorHAnsi"/>
          <w:i w:val="0"/>
          <w:color w:val="auto"/>
          <w:sz w:val="22"/>
          <w:szCs w:val="22"/>
        </w:rPr>
      </w:pPr>
      <w:r w:rsidRPr="001014AA">
        <w:rPr>
          <w:rFonts w:asciiTheme="minorHAnsi" w:hAnsiTheme="minorHAnsi" w:cstheme="minorHAnsi"/>
          <w:i w:val="0"/>
          <w:color w:val="auto"/>
        </w:rPr>
        <w:t xml:space="preserve">Figure </w:t>
      </w:r>
      <w:r w:rsidRPr="001014AA">
        <w:rPr>
          <w:rFonts w:asciiTheme="minorHAnsi" w:hAnsiTheme="minorHAnsi" w:cstheme="minorHAnsi"/>
          <w:i w:val="0"/>
          <w:color w:val="auto"/>
        </w:rPr>
        <w:fldChar w:fldCharType="begin"/>
      </w:r>
      <w:r w:rsidRPr="001014AA">
        <w:rPr>
          <w:rFonts w:asciiTheme="minorHAnsi" w:hAnsiTheme="minorHAnsi" w:cstheme="minorHAnsi"/>
          <w:i w:val="0"/>
          <w:color w:val="auto"/>
        </w:rPr>
        <w:instrText xml:space="preserve"> SEQ Figure \* ARABIC </w:instrText>
      </w:r>
      <w:r w:rsidRPr="001014AA">
        <w:rPr>
          <w:rFonts w:asciiTheme="minorHAnsi" w:hAnsiTheme="minorHAnsi" w:cstheme="minorHAnsi"/>
          <w:i w:val="0"/>
          <w:color w:val="auto"/>
        </w:rPr>
        <w:fldChar w:fldCharType="separate"/>
      </w:r>
      <w:r w:rsidR="00817426" w:rsidRPr="001014AA">
        <w:rPr>
          <w:rFonts w:asciiTheme="minorHAnsi" w:hAnsiTheme="minorHAnsi" w:cstheme="minorHAnsi"/>
          <w:i w:val="0"/>
          <w:noProof/>
          <w:color w:val="auto"/>
        </w:rPr>
        <w:t>9</w:t>
      </w:r>
      <w:r w:rsidRPr="001014AA">
        <w:rPr>
          <w:rFonts w:asciiTheme="minorHAnsi" w:hAnsiTheme="minorHAnsi" w:cstheme="minorHAnsi"/>
          <w:i w:val="0"/>
          <w:color w:val="auto"/>
        </w:rPr>
        <w:fldChar w:fldCharType="end"/>
      </w:r>
      <w:r w:rsidRPr="001014AA">
        <w:rPr>
          <w:rFonts w:asciiTheme="minorHAnsi" w:hAnsiTheme="minorHAnsi" w:cstheme="minorHAnsi"/>
          <w:i w:val="0"/>
          <w:color w:val="auto"/>
        </w:rPr>
        <w:t xml:space="preserve"> - Dotation selon la durée de l'emploi</w:t>
      </w:r>
    </w:p>
    <w:p w14:paraId="10383374" w14:textId="5CF9817F" w:rsidR="00FE4142" w:rsidRPr="001014AA" w:rsidRDefault="00FE4142" w:rsidP="00FE4142">
      <w:pPr>
        <w:pStyle w:val="Caption"/>
        <w:keepNext/>
        <w:spacing w:before="240" w:after="0"/>
        <w:jc w:val="center"/>
        <w:rPr>
          <w:rFonts w:asciiTheme="minorHAnsi" w:hAnsiTheme="minorHAnsi" w:cstheme="minorHAnsi"/>
          <w:i w:val="0"/>
          <w:color w:val="auto"/>
        </w:rPr>
      </w:pPr>
      <w:r w:rsidRPr="001014AA">
        <w:rPr>
          <w:rFonts w:asciiTheme="minorHAnsi" w:hAnsiTheme="minorHAnsi" w:cstheme="minorHAnsi"/>
          <w:i w:val="0"/>
          <w:color w:val="auto"/>
        </w:rPr>
        <w:t xml:space="preserve">Table </w:t>
      </w:r>
      <w:r w:rsidRPr="001014AA">
        <w:rPr>
          <w:rFonts w:asciiTheme="minorHAnsi" w:hAnsiTheme="minorHAnsi" w:cstheme="minorHAnsi"/>
          <w:i w:val="0"/>
          <w:color w:val="auto"/>
        </w:rPr>
        <w:fldChar w:fldCharType="begin"/>
      </w:r>
      <w:r w:rsidRPr="001014AA">
        <w:rPr>
          <w:rFonts w:asciiTheme="minorHAnsi" w:hAnsiTheme="minorHAnsi" w:cstheme="minorHAnsi"/>
          <w:i w:val="0"/>
          <w:color w:val="auto"/>
        </w:rPr>
        <w:instrText xml:space="preserve"> SEQ Table \* ARABIC </w:instrText>
      </w:r>
      <w:r w:rsidRPr="001014AA">
        <w:rPr>
          <w:rFonts w:asciiTheme="minorHAnsi" w:hAnsiTheme="minorHAnsi" w:cstheme="minorHAnsi"/>
          <w:i w:val="0"/>
          <w:color w:val="auto"/>
        </w:rPr>
        <w:fldChar w:fldCharType="separate"/>
      </w:r>
      <w:r w:rsidR="0009743A" w:rsidRPr="001014AA">
        <w:rPr>
          <w:rFonts w:asciiTheme="minorHAnsi" w:hAnsiTheme="minorHAnsi" w:cstheme="minorHAnsi"/>
          <w:i w:val="0"/>
          <w:noProof/>
          <w:color w:val="auto"/>
        </w:rPr>
        <w:t>12</w:t>
      </w:r>
      <w:r w:rsidRPr="001014AA">
        <w:rPr>
          <w:rFonts w:asciiTheme="minorHAnsi" w:hAnsiTheme="minorHAnsi" w:cstheme="minorHAnsi"/>
          <w:i w:val="0"/>
          <w:color w:val="auto"/>
        </w:rPr>
        <w:fldChar w:fldCharType="end"/>
      </w:r>
      <w:r w:rsidRPr="001014AA">
        <w:rPr>
          <w:rFonts w:asciiTheme="minorHAnsi" w:hAnsiTheme="minorHAnsi" w:cstheme="minorHAnsi"/>
          <w:i w:val="0"/>
          <w:color w:val="auto"/>
        </w:rPr>
        <w:t xml:space="preserve"> - Activités de dotation selon la durée de l’emploi et l’exercice financier</w:t>
      </w:r>
    </w:p>
    <w:tbl>
      <w:tblPr>
        <w:tblStyle w:val="TableGrid"/>
        <w:tblW w:w="5000" w:type="pct"/>
        <w:jc w:val="center"/>
        <w:tblLook w:val="0020" w:firstRow="1" w:lastRow="0" w:firstColumn="0" w:lastColumn="0" w:noHBand="0" w:noVBand="0"/>
        <w:tblDescription w:val="Dotation selon la durée d’emploi de 2014 à 2019"/>
      </w:tblPr>
      <w:tblGrid>
        <w:gridCol w:w="2554"/>
        <w:gridCol w:w="2561"/>
        <w:gridCol w:w="2561"/>
        <w:gridCol w:w="2662"/>
        <w:gridCol w:w="2458"/>
        <w:gridCol w:w="1594"/>
      </w:tblGrid>
      <w:tr w:rsidR="00B61F15" w:rsidRPr="00013CF8" w14:paraId="191BAED1" w14:textId="77777777" w:rsidTr="001F6E88">
        <w:trPr>
          <w:cantSplit/>
          <w:tblHeader/>
          <w:jc w:val="center"/>
        </w:trPr>
        <w:tc>
          <w:tcPr>
            <w:tcW w:w="887" w:type="pct"/>
          </w:tcPr>
          <w:p w14:paraId="38B8792A" w14:textId="77777777" w:rsidR="00B61F15" w:rsidRPr="00013CF8" w:rsidRDefault="00B61F15" w:rsidP="00FE4142">
            <w:pPr>
              <w:pStyle w:val="TableTitle"/>
            </w:pPr>
            <w:r w:rsidRPr="00013CF8">
              <w:t>Exercice financier</w:t>
            </w:r>
          </w:p>
        </w:tc>
        <w:tc>
          <w:tcPr>
            <w:tcW w:w="890" w:type="pct"/>
          </w:tcPr>
          <w:p w14:paraId="180D118F" w14:textId="77777777" w:rsidR="00B61F15" w:rsidRPr="00013CF8" w:rsidRDefault="00B61F15" w:rsidP="00FE4142">
            <w:pPr>
              <w:pStyle w:val="TableTitle"/>
            </w:pPr>
            <w:r w:rsidRPr="00013CF8">
              <w:t>Activités de dotation visant des postes d’une durée indéterminée</w:t>
            </w:r>
          </w:p>
        </w:tc>
        <w:tc>
          <w:tcPr>
            <w:tcW w:w="890" w:type="pct"/>
          </w:tcPr>
          <w:p w14:paraId="4867517F" w14:textId="77777777" w:rsidR="00B61F15" w:rsidRPr="00013CF8" w:rsidRDefault="00B61F15" w:rsidP="00FE4142">
            <w:pPr>
              <w:pStyle w:val="TableTitle"/>
            </w:pPr>
            <w:r w:rsidRPr="00013CF8">
              <w:t>Activités de dotation visant des postes d’une durée déterminée</w:t>
            </w:r>
          </w:p>
        </w:tc>
        <w:tc>
          <w:tcPr>
            <w:tcW w:w="925" w:type="pct"/>
          </w:tcPr>
          <w:p w14:paraId="3EAE57F8" w14:textId="77777777" w:rsidR="00B61F15" w:rsidRPr="00013CF8" w:rsidRDefault="00B61F15" w:rsidP="00FE4142">
            <w:pPr>
              <w:pStyle w:val="TableTitle"/>
            </w:pPr>
            <w:r w:rsidRPr="00013CF8">
              <w:t>Activités de dotation visant des employés occasionnels</w:t>
            </w:r>
          </w:p>
        </w:tc>
        <w:tc>
          <w:tcPr>
            <w:tcW w:w="854" w:type="pct"/>
          </w:tcPr>
          <w:p w14:paraId="41718EF9" w14:textId="77777777" w:rsidR="00B61F15" w:rsidRPr="00013CF8" w:rsidRDefault="00B61F15" w:rsidP="00FE4142">
            <w:pPr>
              <w:pStyle w:val="TableTitle"/>
            </w:pPr>
            <w:r w:rsidRPr="00013CF8">
              <w:t>Activités de dotation visant des postes étudiants</w:t>
            </w:r>
          </w:p>
        </w:tc>
        <w:tc>
          <w:tcPr>
            <w:tcW w:w="555" w:type="pct"/>
          </w:tcPr>
          <w:p w14:paraId="3C86C40B" w14:textId="77777777" w:rsidR="00B61F15" w:rsidRPr="00013CF8" w:rsidRDefault="00B61F15" w:rsidP="00FE4142">
            <w:pPr>
              <w:pStyle w:val="TableTitle"/>
            </w:pPr>
            <w:r w:rsidRPr="00013CF8">
              <w:t>Total des activités de dotation</w:t>
            </w:r>
          </w:p>
        </w:tc>
      </w:tr>
      <w:tr w:rsidR="00B61F15" w:rsidRPr="00FE4142" w14:paraId="04E70652" w14:textId="77777777" w:rsidTr="001F6E88">
        <w:trPr>
          <w:cantSplit/>
          <w:tblHeader/>
          <w:jc w:val="center"/>
        </w:trPr>
        <w:tc>
          <w:tcPr>
            <w:tcW w:w="887" w:type="pct"/>
          </w:tcPr>
          <w:p w14:paraId="560E5314"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2014 à 2015</w:t>
            </w:r>
          </w:p>
        </w:tc>
        <w:tc>
          <w:tcPr>
            <w:tcW w:w="890" w:type="pct"/>
          </w:tcPr>
          <w:p w14:paraId="7E960738"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26</w:t>
            </w:r>
          </w:p>
        </w:tc>
        <w:tc>
          <w:tcPr>
            <w:tcW w:w="890" w:type="pct"/>
          </w:tcPr>
          <w:p w14:paraId="5C9FF131"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w:t>
            </w:r>
          </w:p>
        </w:tc>
        <w:tc>
          <w:tcPr>
            <w:tcW w:w="925" w:type="pct"/>
          </w:tcPr>
          <w:p w14:paraId="7EF4DCC2"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15</w:t>
            </w:r>
          </w:p>
        </w:tc>
        <w:tc>
          <w:tcPr>
            <w:tcW w:w="854" w:type="pct"/>
          </w:tcPr>
          <w:p w14:paraId="12C5F74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w:t>
            </w:r>
          </w:p>
        </w:tc>
        <w:tc>
          <w:tcPr>
            <w:tcW w:w="555" w:type="pct"/>
          </w:tcPr>
          <w:p w14:paraId="4FAB97AF"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45</w:t>
            </w:r>
          </w:p>
        </w:tc>
      </w:tr>
      <w:tr w:rsidR="00B61F15" w:rsidRPr="00FE4142" w14:paraId="1889C05B" w14:textId="77777777" w:rsidTr="001F6E88">
        <w:trPr>
          <w:cantSplit/>
          <w:tblHeader/>
          <w:jc w:val="center"/>
        </w:trPr>
        <w:tc>
          <w:tcPr>
            <w:tcW w:w="887" w:type="pct"/>
          </w:tcPr>
          <w:p w14:paraId="2DEA20ED"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2015 à 2016</w:t>
            </w:r>
          </w:p>
        </w:tc>
        <w:tc>
          <w:tcPr>
            <w:tcW w:w="890" w:type="pct"/>
          </w:tcPr>
          <w:p w14:paraId="09FDF33A"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131</w:t>
            </w:r>
          </w:p>
        </w:tc>
        <w:tc>
          <w:tcPr>
            <w:tcW w:w="890" w:type="pct"/>
          </w:tcPr>
          <w:p w14:paraId="6E68A45A"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23</w:t>
            </w:r>
          </w:p>
        </w:tc>
        <w:tc>
          <w:tcPr>
            <w:tcW w:w="925" w:type="pct"/>
          </w:tcPr>
          <w:p w14:paraId="3F75F7F2"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54</w:t>
            </w:r>
          </w:p>
        </w:tc>
        <w:tc>
          <w:tcPr>
            <w:tcW w:w="854" w:type="pct"/>
          </w:tcPr>
          <w:p w14:paraId="2BB5E472"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25</w:t>
            </w:r>
          </w:p>
        </w:tc>
        <w:tc>
          <w:tcPr>
            <w:tcW w:w="555" w:type="pct"/>
          </w:tcPr>
          <w:p w14:paraId="7C09A19B"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233</w:t>
            </w:r>
          </w:p>
        </w:tc>
      </w:tr>
      <w:tr w:rsidR="00B61F15" w:rsidRPr="00FE4142" w14:paraId="2DAC1D3C" w14:textId="77777777" w:rsidTr="001F6E88">
        <w:trPr>
          <w:cantSplit/>
          <w:tblHeader/>
          <w:jc w:val="center"/>
        </w:trPr>
        <w:tc>
          <w:tcPr>
            <w:tcW w:w="887" w:type="pct"/>
          </w:tcPr>
          <w:p w14:paraId="77A51F13"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2016 à 2017</w:t>
            </w:r>
          </w:p>
        </w:tc>
        <w:tc>
          <w:tcPr>
            <w:tcW w:w="890" w:type="pct"/>
          </w:tcPr>
          <w:p w14:paraId="14A608B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195</w:t>
            </w:r>
          </w:p>
        </w:tc>
        <w:tc>
          <w:tcPr>
            <w:tcW w:w="890" w:type="pct"/>
          </w:tcPr>
          <w:p w14:paraId="40A88AFA"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58</w:t>
            </w:r>
          </w:p>
        </w:tc>
        <w:tc>
          <w:tcPr>
            <w:tcW w:w="925" w:type="pct"/>
          </w:tcPr>
          <w:p w14:paraId="1CE86B65"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90</w:t>
            </w:r>
          </w:p>
        </w:tc>
        <w:tc>
          <w:tcPr>
            <w:tcW w:w="854" w:type="pct"/>
          </w:tcPr>
          <w:p w14:paraId="1B6CBB9D"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17</w:t>
            </w:r>
          </w:p>
        </w:tc>
        <w:tc>
          <w:tcPr>
            <w:tcW w:w="555" w:type="pct"/>
          </w:tcPr>
          <w:p w14:paraId="3566392C"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360</w:t>
            </w:r>
          </w:p>
        </w:tc>
      </w:tr>
      <w:tr w:rsidR="00B61F15" w:rsidRPr="00FE4142" w14:paraId="53FA6D72" w14:textId="77777777" w:rsidTr="001F6E88">
        <w:trPr>
          <w:cantSplit/>
          <w:tblHeader/>
          <w:jc w:val="center"/>
        </w:trPr>
        <w:tc>
          <w:tcPr>
            <w:tcW w:w="887" w:type="pct"/>
          </w:tcPr>
          <w:p w14:paraId="3EEA4EE1"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2017 à 2018</w:t>
            </w:r>
          </w:p>
        </w:tc>
        <w:tc>
          <w:tcPr>
            <w:tcW w:w="890" w:type="pct"/>
          </w:tcPr>
          <w:p w14:paraId="3DE0DD8A"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200</w:t>
            </w:r>
          </w:p>
        </w:tc>
        <w:tc>
          <w:tcPr>
            <w:tcW w:w="890" w:type="pct"/>
          </w:tcPr>
          <w:p w14:paraId="769FBBC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48</w:t>
            </w:r>
          </w:p>
        </w:tc>
        <w:tc>
          <w:tcPr>
            <w:tcW w:w="925" w:type="pct"/>
          </w:tcPr>
          <w:p w14:paraId="68F336BA"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48</w:t>
            </w:r>
          </w:p>
        </w:tc>
        <w:tc>
          <w:tcPr>
            <w:tcW w:w="854" w:type="pct"/>
          </w:tcPr>
          <w:p w14:paraId="55876665"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16</w:t>
            </w:r>
          </w:p>
        </w:tc>
        <w:tc>
          <w:tcPr>
            <w:tcW w:w="555" w:type="pct"/>
          </w:tcPr>
          <w:p w14:paraId="46700EF3"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312</w:t>
            </w:r>
          </w:p>
        </w:tc>
      </w:tr>
      <w:tr w:rsidR="00B61F15" w:rsidRPr="00FE4142" w14:paraId="02151A08" w14:textId="77777777" w:rsidTr="001F6E88">
        <w:trPr>
          <w:cantSplit/>
          <w:tblHeader/>
          <w:jc w:val="center"/>
        </w:trPr>
        <w:tc>
          <w:tcPr>
            <w:tcW w:w="887" w:type="pct"/>
          </w:tcPr>
          <w:p w14:paraId="4945A134"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2018 à 2019</w:t>
            </w:r>
          </w:p>
        </w:tc>
        <w:tc>
          <w:tcPr>
            <w:tcW w:w="890" w:type="pct"/>
          </w:tcPr>
          <w:p w14:paraId="0F462C3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218</w:t>
            </w:r>
          </w:p>
        </w:tc>
        <w:tc>
          <w:tcPr>
            <w:tcW w:w="890" w:type="pct"/>
          </w:tcPr>
          <w:p w14:paraId="121B4281"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25</w:t>
            </w:r>
          </w:p>
        </w:tc>
        <w:tc>
          <w:tcPr>
            <w:tcW w:w="925" w:type="pct"/>
          </w:tcPr>
          <w:p w14:paraId="3AD3006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86</w:t>
            </w:r>
          </w:p>
        </w:tc>
        <w:tc>
          <w:tcPr>
            <w:tcW w:w="854" w:type="pct"/>
          </w:tcPr>
          <w:p w14:paraId="4BC2D8A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30</w:t>
            </w:r>
          </w:p>
        </w:tc>
        <w:tc>
          <w:tcPr>
            <w:tcW w:w="555" w:type="pct"/>
          </w:tcPr>
          <w:p w14:paraId="0CFDDD07"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359</w:t>
            </w:r>
          </w:p>
        </w:tc>
      </w:tr>
    </w:tbl>
    <w:p w14:paraId="1C2C37FC" w14:textId="77777777" w:rsidR="00B61F15" w:rsidRPr="00FE4142" w:rsidRDefault="00B61F15" w:rsidP="00FE4142">
      <w:pPr>
        <w:spacing w:before="120"/>
        <w:rPr>
          <w:rStyle w:val="Strong"/>
        </w:rPr>
      </w:pPr>
      <w:r w:rsidRPr="00FE4142">
        <w:rPr>
          <w:rStyle w:val="Strong"/>
        </w:rPr>
        <w:t>Principales constatations tirées du Sondage sur la dotation et l’impartialité politique (2018)</w:t>
      </w:r>
    </w:p>
    <w:p w14:paraId="676C85CD" w14:textId="77777777" w:rsidR="00B61F15" w:rsidRPr="00FE4142" w:rsidRDefault="00B61F15" w:rsidP="00B61F15">
      <w:pPr>
        <w:pStyle w:val="ListParagraph"/>
        <w:numPr>
          <w:ilvl w:val="0"/>
          <w:numId w:val="11"/>
        </w:numPr>
        <w:rPr>
          <w:rFonts w:asciiTheme="minorHAnsi" w:hAnsiTheme="minorHAnsi" w:cstheme="minorHAnsi"/>
          <w:sz w:val="22"/>
        </w:rPr>
      </w:pPr>
      <w:r w:rsidRPr="00FE4142">
        <w:rPr>
          <w:rFonts w:asciiTheme="minorHAnsi" w:hAnsiTheme="minorHAnsi" w:cstheme="minorHAnsi"/>
          <w:sz w:val="22"/>
        </w:rPr>
        <w:t xml:space="preserve">68,5 % des </w:t>
      </w:r>
      <w:r w:rsidRPr="00FE4142">
        <w:rPr>
          <w:rStyle w:val="Strong"/>
        </w:rPr>
        <w:t xml:space="preserve">employés </w:t>
      </w:r>
      <w:r w:rsidRPr="00FE4142">
        <w:rPr>
          <w:rFonts w:asciiTheme="minorHAnsi" w:hAnsiTheme="minorHAnsi" w:cstheme="minorHAnsi"/>
          <w:sz w:val="22"/>
        </w:rPr>
        <w:t>ont indiqué que les personnes embauchées peuvent effectuer le travail, comparativement à 67,6 % pour les organisations de taille semblable et à 53,8 % pour la fonction publique fédérale.</w:t>
      </w:r>
    </w:p>
    <w:p w14:paraId="4955FFB6" w14:textId="77777777" w:rsidR="00B61F15" w:rsidRPr="00FE4142" w:rsidRDefault="00B61F15" w:rsidP="00B61F15">
      <w:pPr>
        <w:pStyle w:val="ListParagraph"/>
        <w:numPr>
          <w:ilvl w:val="0"/>
          <w:numId w:val="11"/>
        </w:numPr>
        <w:rPr>
          <w:rFonts w:asciiTheme="minorHAnsi" w:hAnsiTheme="minorHAnsi" w:cstheme="minorHAnsi"/>
          <w:sz w:val="22"/>
        </w:rPr>
      </w:pPr>
      <w:r w:rsidRPr="00FE4142">
        <w:rPr>
          <w:rFonts w:asciiTheme="minorHAnsi" w:hAnsiTheme="minorHAnsi" w:cstheme="minorHAnsi"/>
          <w:sz w:val="22"/>
        </w:rPr>
        <w:t xml:space="preserve">59,5 % des </w:t>
      </w:r>
      <w:r w:rsidRPr="00FE4142">
        <w:rPr>
          <w:rStyle w:val="Strong"/>
        </w:rPr>
        <w:t xml:space="preserve">gestionnaires </w:t>
      </w:r>
      <w:r w:rsidRPr="00FE4142">
        <w:rPr>
          <w:rFonts w:asciiTheme="minorHAnsi" w:hAnsiTheme="minorHAnsi" w:cstheme="minorHAnsi"/>
          <w:sz w:val="22"/>
        </w:rPr>
        <w:t>ont indiqué que la NOD a amélioré la façon d’embaucher et de nommer les candidats au sein de leur organisation, comparativement à 69,4 % pour les organisations de taille semblable et à 56,1 % pour la fonction publique fédérale.</w:t>
      </w:r>
    </w:p>
    <w:p w14:paraId="033FB4B9" w14:textId="77777777" w:rsidR="00B61F15" w:rsidRPr="00FE4142" w:rsidRDefault="00B61F15" w:rsidP="00B61F15">
      <w:pPr>
        <w:pStyle w:val="ListParagraph"/>
        <w:numPr>
          <w:ilvl w:val="0"/>
          <w:numId w:val="11"/>
        </w:numPr>
        <w:rPr>
          <w:rFonts w:asciiTheme="minorHAnsi" w:hAnsiTheme="minorHAnsi" w:cstheme="minorHAnsi"/>
          <w:sz w:val="22"/>
        </w:rPr>
      </w:pPr>
      <w:r w:rsidRPr="00FE4142">
        <w:rPr>
          <w:rFonts w:asciiTheme="minorHAnsi" w:hAnsiTheme="minorHAnsi" w:cstheme="minorHAnsi"/>
          <w:sz w:val="22"/>
        </w:rPr>
        <w:lastRenderedPageBreak/>
        <w:t xml:space="preserve">81,6 % des </w:t>
      </w:r>
      <w:r w:rsidRPr="00FE4142">
        <w:rPr>
          <w:rStyle w:val="Strong"/>
        </w:rPr>
        <w:t>gestionnaires</w:t>
      </w:r>
      <w:r w:rsidRPr="00FE4142">
        <w:rPr>
          <w:rFonts w:asciiTheme="minorHAnsi" w:hAnsiTheme="minorHAnsi" w:cstheme="minorHAnsi"/>
          <w:sz w:val="22"/>
        </w:rPr>
        <w:t xml:space="preserve"> ont indiqué que le processus administratif de dotation dans leur organisation est lourd, comparativement à 84 % pour les organisations de taille semblable et à 87,9 % pour la fonction publique fédérale.</w:t>
      </w:r>
    </w:p>
    <w:p w14:paraId="6144AA37" w14:textId="77777777" w:rsidR="00B61F15" w:rsidRDefault="00B61F15" w:rsidP="00944C68">
      <w:pPr>
        <w:pStyle w:val="Level1"/>
        <w:tabs>
          <w:tab w:val="left" w:pos="-1440"/>
        </w:tabs>
        <w:autoSpaceDE w:val="0"/>
        <w:autoSpaceDN w:val="0"/>
        <w:adjustRightInd w:val="0"/>
        <w:spacing w:after="120" w:line="20" w:lineRule="atLeast"/>
        <w:rPr>
          <w:rFonts w:ascii="Arial" w:hAnsi="Arial" w:cs="Arial"/>
          <w:sz w:val="22"/>
          <w:szCs w:val="22"/>
        </w:rPr>
        <w:sectPr w:rsidR="00B61F15"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131CF72D" w14:textId="77777777" w:rsidR="00FE4142" w:rsidRPr="00FE4142" w:rsidRDefault="00FE4142" w:rsidP="00FE4142">
      <w:pPr>
        <w:pStyle w:val="Heading1"/>
        <w:spacing w:before="120" w:after="120"/>
        <w:rPr>
          <w:sz w:val="40"/>
        </w:rPr>
      </w:pPr>
      <w:r w:rsidRPr="00FE4142">
        <w:rPr>
          <w:rFonts w:eastAsia="Times New Roman"/>
          <w:sz w:val="40"/>
        </w:rPr>
        <w:lastRenderedPageBreak/>
        <w:t>Embauche dans le cadre de programmes étudiants</w:t>
      </w:r>
    </w:p>
    <w:p w14:paraId="3B8934B8" w14:textId="77777777" w:rsidR="00FE4142" w:rsidRDefault="007B1B27" w:rsidP="00FE4142">
      <w:pPr>
        <w:pStyle w:val="Level1"/>
        <w:keepNext/>
        <w:tabs>
          <w:tab w:val="left" w:pos="-1440"/>
        </w:tabs>
        <w:autoSpaceDE w:val="0"/>
        <w:autoSpaceDN w:val="0"/>
        <w:adjustRightInd w:val="0"/>
        <w:spacing w:after="120" w:line="20" w:lineRule="atLeast"/>
        <w:jc w:val="center"/>
      </w:pPr>
      <w:r w:rsidRPr="00013CF8">
        <w:rPr>
          <w:noProof/>
          <w:lang w:val="en-CA" w:eastAsia="en-CA"/>
        </w:rPr>
        <w:drawing>
          <wp:inline distT="0" distB="0" distL="0" distR="0" wp14:anchorId="41CA68E5" wp14:editId="1AC8ABB8">
            <wp:extent cx="5648400" cy="3049200"/>
            <wp:effectExtent l="0" t="0" r="9525" b="18415"/>
            <wp:docPr id="17" name="Chart 17" descr="Embauche dans le cadre de programme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675928" w14:textId="4FD5AD6A" w:rsidR="007B1B27" w:rsidRPr="00FE4142" w:rsidRDefault="00FE4142" w:rsidP="00FE4142">
      <w:pPr>
        <w:pStyle w:val="Caption"/>
        <w:spacing w:after="0"/>
        <w:jc w:val="center"/>
        <w:rPr>
          <w:rFonts w:asciiTheme="minorHAnsi" w:hAnsiTheme="minorHAnsi" w:cstheme="minorHAnsi"/>
          <w:i w:val="0"/>
          <w:color w:val="auto"/>
          <w:sz w:val="22"/>
          <w:szCs w:val="22"/>
        </w:rPr>
      </w:pPr>
      <w:r w:rsidRPr="00FE4142">
        <w:rPr>
          <w:rFonts w:asciiTheme="minorHAnsi" w:hAnsiTheme="minorHAnsi" w:cstheme="minorHAnsi"/>
          <w:i w:val="0"/>
          <w:color w:val="auto"/>
        </w:rPr>
        <w:t xml:space="preserve">Figure </w:t>
      </w:r>
      <w:r w:rsidRPr="00FE4142">
        <w:rPr>
          <w:rFonts w:asciiTheme="minorHAnsi" w:hAnsiTheme="minorHAnsi" w:cstheme="minorHAnsi"/>
          <w:i w:val="0"/>
          <w:color w:val="auto"/>
        </w:rPr>
        <w:fldChar w:fldCharType="begin"/>
      </w:r>
      <w:r w:rsidRPr="00FE4142">
        <w:rPr>
          <w:rFonts w:asciiTheme="minorHAnsi" w:hAnsiTheme="minorHAnsi" w:cstheme="minorHAnsi"/>
          <w:i w:val="0"/>
          <w:color w:val="auto"/>
        </w:rPr>
        <w:instrText xml:space="preserve"> SEQ Figure \* ARABIC </w:instrText>
      </w:r>
      <w:r w:rsidRPr="00FE4142">
        <w:rPr>
          <w:rFonts w:asciiTheme="minorHAnsi" w:hAnsiTheme="minorHAnsi" w:cstheme="minorHAnsi"/>
          <w:i w:val="0"/>
          <w:color w:val="auto"/>
        </w:rPr>
        <w:fldChar w:fldCharType="separate"/>
      </w:r>
      <w:r w:rsidR="00817426">
        <w:rPr>
          <w:rFonts w:asciiTheme="minorHAnsi" w:hAnsiTheme="minorHAnsi" w:cstheme="minorHAnsi"/>
          <w:i w:val="0"/>
          <w:noProof/>
          <w:color w:val="auto"/>
        </w:rPr>
        <w:t>10</w:t>
      </w:r>
      <w:r w:rsidRPr="00FE4142">
        <w:rPr>
          <w:rFonts w:asciiTheme="minorHAnsi" w:hAnsiTheme="minorHAnsi" w:cstheme="minorHAnsi"/>
          <w:i w:val="0"/>
          <w:color w:val="auto"/>
        </w:rPr>
        <w:fldChar w:fldCharType="end"/>
      </w:r>
      <w:r w:rsidRPr="00FE4142">
        <w:rPr>
          <w:rFonts w:asciiTheme="minorHAnsi" w:hAnsiTheme="minorHAnsi" w:cstheme="minorHAnsi"/>
          <w:i w:val="0"/>
          <w:color w:val="auto"/>
        </w:rPr>
        <w:t xml:space="preserve"> - Embauche dans le cadre de programmes étudiants</w:t>
      </w:r>
    </w:p>
    <w:p w14:paraId="3384A463" w14:textId="166958B2" w:rsidR="00FE4142" w:rsidRPr="00FE4142" w:rsidRDefault="00FE4142" w:rsidP="00FE4142">
      <w:pPr>
        <w:pStyle w:val="Caption"/>
        <w:keepNext/>
        <w:spacing w:before="240" w:after="0"/>
        <w:jc w:val="center"/>
        <w:rPr>
          <w:rFonts w:asciiTheme="minorHAnsi" w:hAnsiTheme="minorHAnsi" w:cstheme="minorHAnsi"/>
          <w:i w:val="0"/>
          <w:color w:val="auto"/>
        </w:rPr>
      </w:pPr>
      <w:r w:rsidRPr="00FE4142">
        <w:rPr>
          <w:rFonts w:asciiTheme="minorHAnsi" w:hAnsiTheme="minorHAnsi" w:cstheme="minorHAnsi"/>
          <w:i w:val="0"/>
          <w:color w:val="auto"/>
        </w:rPr>
        <w:t xml:space="preserve">Table </w:t>
      </w:r>
      <w:r w:rsidRPr="00FE4142">
        <w:rPr>
          <w:rFonts w:asciiTheme="minorHAnsi" w:hAnsiTheme="minorHAnsi" w:cstheme="minorHAnsi"/>
          <w:i w:val="0"/>
          <w:color w:val="auto"/>
        </w:rPr>
        <w:fldChar w:fldCharType="begin"/>
      </w:r>
      <w:r w:rsidRPr="00FE4142">
        <w:rPr>
          <w:rFonts w:asciiTheme="minorHAnsi" w:hAnsiTheme="minorHAnsi" w:cstheme="minorHAnsi"/>
          <w:i w:val="0"/>
          <w:color w:val="auto"/>
        </w:rPr>
        <w:instrText xml:space="preserve"> SEQ Table \* ARABIC </w:instrText>
      </w:r>
      <w:r w:rsidRPr="00FE4142">
        <w:rPr>
          <w:rFonts w:asciiTheme="minorHAnsi" w:hAnsiTheme="minorHAnsi" w:cstheme="minorHAnsi"/>
          <w:i w:val="0"/>
          <w:color w:val="auto"/>
        </w:rPr>
        <w:fldChar w:fldCharType="separate"/>
      </w:r>
      <w:r w:rsidR="0009743A">
        <w:rPr>
          <w:rFonts w:asciiTheme="minorHAnsi" w:hAnsiTheme="minorHAnsi" w:cstheme="minorHAnsi"/>
          <w:i w:val="0"/>
          <w:noProof/>
          <w:color w:val="auto"/>
        </w:rPr>
        <w:t>13</w:t>
      </w:r>
      <w:r w:rsidRPr="00FE4142">
        <w:rPr>
          <w:rFonts w:asciiTheme="minorHAnsi" w:hAnsiTheme="minorHAnsi" w:cstheme="minorHAnsi"/>
          <w:i w:val="0"/>
          <w:color w:val="auto"/>
        </w:rPr>
        <w:fldChar w:fldCharType="end"/>
      </w:r>
      <w:r w:rsidRPr="00FE4142">
        <w:rPr>
          <w:rFonts w:asciiTheme="minorHAnsi" w:hAnsiTheme="minorHAnsi" w:cstheme="minorHAnsi"/>
          <w:i w:val="0"/>
          <w:color w:val="auto"/>
        </w:rPr>
        <w:t xml:space="preserve"> - Activités d’embauche visant des étudiants selon le programme de recrutement et l’exercice financier</w:t>
      </w:r>
    </w:p>
    <w:tbl>
      <w:tblPr>
        <w:tblStyle w:val="TableGrid"/>
        <w:tblW w:w="5000" w:type="pct"/>
        <w:jc w:val="center"/>
        <w:tblLook w:val="0020" w:firstRow="1" w:lastRow="0" w:firstColumn="0" w:lastColumn="0" w:noHBand="0" w:noVBand="0"/>
        <w:tblDescription w:val="Embauches dans le cadre de programmes d’étudiants de 2014 à 2019"/>
      </w:tblPr>
      <w:tblGrid>
        <w:gridCol w:w="1981"/>
        <w:gridCol w:w="3829"/>
        <w:gridCol w:w="3969"/>
        <w:gridCol w:w="3117"/>
        <w:gridCol w:w="1494"/>
      </w:tblGrid>
      <w:tr w:rsidR="00B61F15" w:rsidRPr="00013CF8" w14:paraId="48E3FD84" w14:textId="77777777" w:rsidTr="001F6E88">
        <w:trPr>
          <w:cantSplit/>
          <w:tblHeader/>
          <w:jc w:val="center"/>
        </w:trPr>
        <w:tc>
          <w:tcPr>
            <w:tcW w:w="688" w:type="pct"/>
          </w:tcPr>
          <w:p w14:paraId="03BC04FE" w14:textId="77777777" w:rsidR="00B61F15" w:rsidRPr="00013CF8" w:rsidRDefault="00B61F15" w:rsidP="00FE4142">
            <w:pPr>
              <w:pStyle w:val="TableTitle"/>
            </w:pPr>
            <w:r w:rsidRPr="00013CF8">
              <w:t>Exercice financier</w:t>
            </w:r>
          </w:p>
        </w:tc>
        <w:tc>
          <w:tcPr>
            <w:tcW w:w="1330" w:type="pct"/>
          </w:tcPr>
          <w:p w14:paraId="5F182BFC" w14:textId="77777777" w:rsidR="00B61F15" w:rsidRPr="00013CF8" w:rsidRDefault="00B61F15" w:rsidP="00FE4142">
            <w:pPr>
              <w:pStyle w:val="TableTitle"/>
            </w:pPr>
            <w:r w:rsidRPr="00013CF8">
              <w:t>Programme fédéral d’expérience de travail étudiant (PFETE)</w:t>
            </w:r>
          </w:p>
        </w:tc>
        <w:tc>
          <w:tcPr>
            <w:tcW w:w="1379" w:type="pct"/>
          </w:tcPr>
          <w:p w14:paraId="3D5C46BA" w14:textId="77777777" w:rsidR="00B61F15" w:rsidRPr="00013CF8" w:rsidRDefault="00B61F15" w:rsidP="00FE4142">
            <w:pPr>
              <w:pStyle w:val="TableTitle"/>
            </w:pPr>
            <w:r w:rsidRPr="00013CF8">
              <w:t>Programme postsecondaire d’enseignement coopératif/d’internat</w:t>
            </w:r>
          </w:p>
        </w:tc>
        <w:tc>
          <w:tcPr>
            <w:tcW w:w="1083" w:type="pct"/>
          </w:tcPr>
          <w:p w14:paraId="181221CB" w14:textId="77777777" w:rsidR="00B61F15" w:rsidRPr="00013CF8" w:rsidRDefault="00B61F15" w:rsidP="00FE4142">
            <w:pPr>
              <w:pStyle w:val="TableTitle"/>
            </w:pPr>
            <w:r w:rsidRPr="00013CF8">
              <w:t>Programme des adjoints de recherche (PAR)</w:t>
            </w:r>
          </w:p>
        </w:tc>
        <w:tc>
          <w:tcPr>
            <w:tcW w:w="519" w:type="pct"/>
          </w:tcPr>
          <w:p w14:paraId="0AA72285" w14:textId="77777777" w:rsidR="00B61F15" w:rsidRPr="00013CF8" w:rsidRDefault="00B61F15" w:rsidP="00FE4142">
            <w:pPr>
              <w:pStyle w:val="TableTitle"/>
            </w:pPr>
            <w:r w:rsidRPr="00013CF8">
              <w:t>Total</w:t>
            </w:r>
          </w:p>
        </w:tc>
      </w:tr>
      <w:tr w:rsidR="00B61F15" w:rsidRPr="00FE4142" w14:paraId="29FFD2A0" w14:textId="77777777" w:rsidTr="001F6E88">
        <w:trPr>
          <w:cantSplit/>
          <w:tblHeader/>
          <w:jc w:val="center"/>
        </w:trPr>
        <w:tc>
          <w:tcPr>
            <w:tcW w:w="688" w:type="pct"/>
          </w:tcPr>
          <w:p w14:paraId="6D818971"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2014 à 2015</w:t>
            </w:r>
          </w:p>
        </w:tc>
        <w:tc>
          <w:tcPr>
            <w:tcW w:w="1330" w:type="pct"/>
          </w:tcPr>
          <w:p w14:paraId="1D82A1C0"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0</w:t>
            </w:r>
          </w:p>
        </w:tc>
        <w:tc>
          <w:tcPr>
            <w:tcW w:w="1379" w:type="pct"/>
          </w:tcPr>
          <w:p w14:paraId="3783F33B"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w:t>
            </w:r>
          </w:p>
        </w:tc>
        <w:tc>
          <w:tcPr>
            <w:tcW w:w="1083" w:type="pct"/>
          </w:tcPr>
          <w:p w14:paraId="5C16E5EA"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0</w:t>
            </w:r>
          </w:p>
        </w:tc>
        <w:tc>
          <w:tcPr>
            <w:tcW w:w="519" w:type="pct"/>
          </w:tcPr>
          <w:p w14:paraId="757F26C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w:t>
            </w:r>
          </w:p>
        </w:tc>
      </w:tr>
      <w:tr w:rsidR="00B61F15" w:rsidRPr="00FE4142" w14:paraId="21AC75DF" w14:textId="77777777" w:rsidTr="001F6E88">
        <w:trPr>
          <w:cantSplit/>
          <w:tblHeader/>
          <w:jc w:val="center"/>
        </w:trPr>
        <w:tc>
          <w:tcPr>
            <w:tcW w:w="688" w:type="pct"/>
          </w:tcPr>
          <w:p w14:paraId="5640034A"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2015 à 2016</w:t>
            </w:r>
          </w:p>
        </w:tc>
        <w:tc>
          <w:tcPr>
            <w:tcW w:w="1330" w:type="pct"/>
          </w:tcPr>
          <w:p w14:paraId="70CB0C71"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13</w:t>
            </w:r>
          </w:p>
        </w:tc>
        <w:tc>
          <w:tcPr>
            <w:tcW w:w="1379" w:type="pct"/>
          </w:tcPr>
          <w:p w14:paraId="38A92DBB"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12</w:t>
            </w:r>
          </w:p>
        </w:tc>
        <w:tc>
          <w:tcPr>
            <w:tcW w:w="1083" w:type="pct"/>
          </w:tcPr>
          <w:p w14:paraId="4D4C4150"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0</w:t>
            </w:r>
          </w:p>
        </w:tc>
        <w:tc>
          <w:tcPr>
            <w:tcW w:w="519" w:type="pct"/>
          </w:tcPr>
          <w:p w14:paraId="017286DD"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25</w:t>
            </w:r>
          </w:p>
        </w:tc>
      </w:tr>
      <w:tr w:rsidR="00B61F15" w:rsidRPr="00FE4142" w14:paraId="2979905A" w14:textId="77777777" w:rsidTr="001F6E88">
        <w:trPr>
          <w:cantSplit/>
          <w:tblHeader/>
          <w:jc w:val="center"/>
        </w:trPr>
        <w:tc>
          <w:tcPr>
            <w:tcW w:w="688" w:type="pct"/>
          </w:tcPr>
          <w:p w14:paraId="7032BE95"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2016 à 2017</w:t>
            </w:r>
          </w:p>
        </w:tc>
        <w:tc>
          <w:tcPr>
            <w:tcW w:w="1330" w:type="pct"/>
          </w:tcPr>
          <w:p w14:paraId="65C645E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13</w:t>
            </w:r>
          </w:p>
        </w:tc>
        <w:tc>
          <w:tcPr>
            <w:tcW w:w="1379" w:type="pct"/>
          </w:tcPr>
          <w:p w14:paraId="0274F3E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4</w:t>
            </w:r>
          </w:p>
        </w:tc>
        <w:tc>
          <w:tcPr>
            <w:tcW w:w="1083" w:type="pct"/>
          </w:tcPr>
          <w:p w14:paraId="5BBDD336"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0</w:t>
            </w:r>
          </w:p>
        </w:tc>
        <w:tc>
          <w:tcPr>
            <w:tcW w:w="519" w:type="pct"/>
          </w:tcPr>
          <w:p w14:paraId="1C5CA6D9"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17</w:t>
            </w:r>
          </w:p>
        </w:tc>
      </w:tr>
      <w:tr w:rsidR="00B61F15" w:rsidRPr="00FE4142" w14:paraId="1DB8EAA9" w14:textId="77777777" w:rsidTr="001F6E88">
        <w:trPr>
          <w:cantSplit/>
          <w:tblHeader/>
          <w:jc w:val="center"/>
        </w:trPr>
        <w:tc>
          <w:tcPr>
            <w:tcW w:w="688" w:type="pct"/>
          </w:tcPr>
          <w:p w14:paraId="37A3850B"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2017 à 2018</w:t>
            </w:r>
          </w:p>
        </w:tc>
        <w:tc>
          <w:tcPr>
            <w:tcW w:w="1330" w:type="pct"/>
          </w:tcPr>
          <w:p w14:paraId="1733C141"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13</w:t>
            </w:r>
          </w:p>
        </w:tc>
        <w:tc>
          <w:tcPr>
            <w:tcW w:w="1379" w:type="pct"/>
          </w:tcPr>
          <w:p w14:paraId="37898E51"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w:t>
            </w:r>
          </w:p>
        </w:tc>
        <w:tc>
          <w:tcPr>
            <w:tcW w:w="1083" w:type="pct"/>
          </w:tcPr>
          <w:p w14:paraId="332579A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0</w:t>
            </w:r>
          </w:p>
        </w:tc>
        <w:tc>
          <w:tcPr>
            <w:tcW w:w="519" w:type="pct"/>
          </w:tcPr>
          <w:p w14:paraId="3FB8559B"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16</w:t>
            </w:r>
          </w:p>
        </w:tc>
      </w:tr>
      <w:tr w:rsidR="00B61F15" w:rsidRPr="00FE4142" w14:paraId="2F79A348" w14:textId="77777777" w:rsidTr="001F6E88">
        <w:trPr>
          <w:cantSplit/>
          <w:tblHeader/>
          <w:jc w:val="center"/>
        </w:trPr>
        <w:tc>
          <w:tcPr>
            <w:tcW w:w="688" w:type="pct"/>
          </w:tcPr>
          <w:p w14:paraId="5A0F1695" w14:textId="77777777" w:rsidR="00B61F15" w:rsidRPr="00FE4142" w:rsidRDefault="00B61F15" w:rsidP="00F565BF">
            <w:pPr>
              <w:autoSpaceDE w:val="0"/>
              <w:autoSpaceDN w:val="0"/>
              <w:adjustRightInd w:val="0"/>
              <w:rPr>
                <w:rFonts w:asciiTheme="minorHAnsi" w:hAnsiTheme="minorHAnsi" w:cstheme="minorHAnsi"/>
                <w:color w:val="000000"/>
                <w:sz w:val="22"/>
                <w:szCs w:val="24"/>
              </w:rPr>
            </w:pPr>
            <w:r w:rsidRPr="00FE4142">
              <w:rPr>
                <w:rFonts w:asciiTheme="minorHAnsi" w:hAnsiTheme="minorHAnsi" w:cstheme="minorHAnsi"/>
                <w:color w:val="000000"/>
                <w:sz w:val="22"/>
                <w:szCs w:val="24"/>
              </w:rPr>
              <w:t>De 2018 à 2019</w:t>
            </w:r>
          </w:p>
        </w:tc>
        <w:tc>
          <w:tcPr>
            <w:tcW w:w="1330" w:type="pct"/>
          </w:tcPr>
          <w:p w14:paraId="0FE22D05"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28</w:t>
            </w:r>
          </w:p>
        </w:tc>
        <w:tc>
          <w:tcPr>
            <w:tcW w:w="1379" w:type="pct"/>
          </w:tcPr>
          <w:p w14:paraId="72E5D8F4"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2</w:t>
            </w:r>
          </w:p>
        </w:tc>
        <w:tc>
          <w:tcPr>
            <w:tcW w:w="1083" w:type="pct"/>
          </w:tcPr>
          <w:p w14:paraId="76C0F50F"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0</w:t>
            </w:r>
          </w:p>
        </w:tc>
        <w:tc>
          <w:tcPr>
            <w:tcW w:w="519" w:type="pct"/>
          </w:tcPr>
          <w:p w14:paraId="63863A5B" w14:textId="77777777" w:rsidR="00B61F15" w:rsidRPr="00FE4142" w:rsidRDefault="00B61F15" w:rsidP="00F565BF">
            <w:pPr>
              <w:autoSpaceDE w:val="0"/>
              <w:autoSpaceDN w:val="0"/>
              <w:adjustRightInd w:val="0"/>
              <w:jc w:val="center"/>
              <w:rPr>
                <w:rFonts w:asciiTheme="minorHAnsi" w:hAnsiTheme="minorHAnsi" w:cstheme="minorHAnsi"/>
                <w:color w:val="000000"/>
                <w:sz w:val="22"/>
                <w:szCs w:val="24"/>
              </w:rPr>
            </w:pPr>
            <w:r w:rsidRPr="00FE4142">
              <w:rPr>
                <w:rFonts w:asciiTheme="minorHAnsi" w:hAnsiTheme="minorHAnsi" w:cstheme="minorHAnsi"/>
                <w:color w:val="000000"/>
                <w:sz w:val="22"/>
                <w:szCs w:val="24"/>
              </w:rPr>
              <w:t>30</w:t>
            </w:r>
          </w:p>
        </w:tc>
      </w:tr>
    </w:tbl>
    <w:p w14:paraId="75A41E63" w14:textId="77777777" w:rsidR="00B61F15" w:rsidRDefault="00B61F15" w:rsidP="00944C68">
      <w:pPr>
        <w:pStyle w:val="Level1"/>
        <w:tabs>
          <w:tab w:val="left" w:pos="-1440"/>
        </w:tabs>
        <w:autoSpaceDE w:val="0"/>
        <w:autoSpaceDN w:val="0"/>
        <w:adjustRightInd w:val="0"/>
        <w:spacing w:after="120" w:line="20" w:lineRule="atLeast"/>
        <w:rPr>
          <w:rFonts w:ascii="Arial" w:hAnsi="Arial" w:cs="Arial"/>
          <w:sz w:val="22"/>
          <w:szCs w:val="22"/>
        </w:rPr>
      </w:pPr>
    </w:p>
    <w:p w14:paraId="5D780BBB" w14:textId="77777777" w:rsidR="00B61F15" w:rsidRDefault="00B61F15" w:rsidP="00944C68">
      <w:pPr>
        <w:pStyle w:val="Level1"/>
        <w:tabs>
          <w:tab w:val="left" w:pos="-1440"/>
        </w:tabs>
        <w:autoSpaceDE w:val="0"/>
        <w:autoSpaceDN w:val="0"/>
        <w:adjustRightInd w:val="0"/>
        <w:spacing w:after="120" w:line="20" w:lineRule="atLeast"/>
        <w:rPr>
          <w:rFonts w:ascii="Arial" w:hAnsi="Arial" w:cs="Arial"/>
          <w:sz w:val="22"/>
          <w:szCs w:val="22"/>
        </w:rPr>
        <w:sectPr w:rsidR="00B61F15"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424A3639" w14:textId="77777777" w:rsidR="00B9416E" w:rsidRPr="00B9416E" w:rsidRDefault="00B9416E" w:rsidP="00B9416E">
      <w:pPr>
        <w:pStyle w:val="Heading1"/>
        <w:spacing w:before="120" w:after="120"/>
        <w:rPr>
          <w:sz w:val="40"/>
        </w:rPr>
      </w:pPr>
      <w:r w:rsidRPr="00B9416E">
        <w:rPr>
          <w:rFonts w:eastAsia="Times New Roman"/>
          <w:sz w:val="40"/>
        </w:rPr>
        <w:lastRenderedPageBreak/>
        <w:t>Activités d'embauche à l'externe pour une durée déterminée ou indéterminée : Programme de recrutement postsecondaire et embauche d'anciens étudiants</w:t>
      </w:r>
    </w:p>
    <w:p w14:paraId="47C04B11" w14:textId="77777777" w:rsidR="00B9416E" w:rsidRDefault="00B61F15" w:rsidP="00B9416E">
      <w:pPr>
        <w:pStyle w:val="Level1"/>
        <w:keepNext/>
        <w:tabs>
          <w:tab w:val="left" w:pos="-1440"/>
        </w:tabs>
        <w:autoSpaceDE w:val="0"/>
        <w:autoSpaceDN w:val="0"/>
        <w:adjustRightInd w:val="0"/>
        <w:spacing w:after="120" w:line="20" w:lineRule="atLeast"/>
        <w:jc w:val="center"/>
      </w:pPr>
      <w:r w:rsidRPr="00B9416E">
        <w:rPr>
          <w:noProof/>
          <w:lang w:val="en-CA" w:eastAsia="en-CA"/>
        </w:rPr>
        <w:drawing>
          <wp:inline distT="0" distB="0" distL="0" distR="0" wp14:anchorId="6895F8EA" wp14:editId="1F706DA4">
            <wp:extent cx="5648400" cy="3049200"/>
            <wp:effectExtent l="0" t="0" r="9525" b="18415"/>
            <wp:docPr id="14" name="Chart 2" descr="Activités d'embauche à l'externe pour une durée déterminée ou indéterminée :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AAF373" w14:textId="55979CD5" w:rsidR="00B61F15" w:rsidRPr="00B9416E" w:rsidRDefault="00B9416E" w:rsidP="00B9416E">
      <w:pPr>
        <w:pStyle w:val="Caption"/>
        <w:spacing w:after="0"/>
        <w:jc w:val="center"/>
        <w:rPr>
          <w:rFonts w:asciiTheme="minorHAnsi" w:hAnsiTheme="minorHAnsi" w:cstheme="minorHAnsi"/>
          <w:i w:val="0"/>
          <w:color w:val="auto"/>
          <w:sz w:val="22"/>
          <w:szCs w:val="22"/>
        </w:rPr>
      </w:pPr>
      <w:r w:rsidRPr="00B9416E">
        <w:rPr>
          <w:rFonts w:asciiTheme="minorHAnsi" w:hAnsiTheme="minorHAnsi" w:cstheme="minorHAnsi"/>
          <w:i w:val="0"/>
          <w:color w:val="auto"/>
        </w:rPr>
        <w:t xml:space="preserve">Figure </w:t>
      </w:r>
      <w:r w:rsidRPr="00B9416E">
        <w:rPr>
          <w:rFonts w:asciiTheme="minorHAnsi" w:hAnsiTheme="minorHAnsi" w:cstheme="minorHAnsi"/>
          <w:i w:val="0"/>
          <w:color w:val="auto"/>
        </w:rPr>
        <w:fldChar w:fldCharType="begin"/>
      </w:r>
      <w:r w:rsidRPr="00B9416E">
        <w:rPr>
          <w:rFonts w:asciiTheme="minorHAnsi" w:hAnsiTheme="minorHAnsi" w:cstheme="minorHAnsi"/>
          <w:i w:val="0"/>
          <w:color w:val="auto"/>
        </w:rPr>
        <w:instrText xml:space="preserve"> SEQ Figure \* ARABIC </w:instrText>
      </w:r>
      <w:r w:rsidRPr="00B9416E">
        <w:rPr>
          <w:rFonts w:asciiTheme="minorHAnsi" w:hAnsiTheme="minorHAnsi" w:cstheme="minorHAnsi"/>
          <w:i w:val="0"/>
          <w:color w:val="auto"/>
        </w:rPr>
        <w:fldChar w:fldCharType="separate"/>
      </w:r>
      <w:r w:rsidR="00817426">
        <w:rPr>
          <w:rFonts w:asciiTheme="minorHAnsi" w:hAnsiTheme="minorHAnsi" w:cstheme="minorHAnsi"/>
          <w:i w:val="0"/>
          <w:noProof/>
          <w:color w:val="auto"/>
        </w:rPr>
        <w:t>11</w:t>
      </w:r>
      <w:r w:rsidRPr="00B9416E">
        <w:rPr>
          <w:rFonts w:asciiTheme="minorHAnsi" w:hAnsiTheme="minorHAnsi" w:cstheme="minorHAnsi"/>
          <w:i w:val="0"/>
          <w:color w:val="auto"/>
        </w:rPr>
        <w:fldChar w:fldCharType="end"/>
      </w:r>
      <w:r w:rsidRPr="00B9416E">
        <w:rPr>
          <w:rFonts w:asciiTheme="minorHAnsi" w:hAnsiTheme="minorHAnsi" w:cstheme="minorHAnsi"/>
          <w:i w:val="0"/>
          <w:color w:val="auto"/>
        </w:rPr>
        <w:t xml:space="preserve"> - Activités d'embauche à l'externe pour une durée déterminée ou indéterminée : Programme de recrutement postsecondaire et embauche d'anciens étudiants</w:t>
      </w:r>
    </w:p>
    <w:p w14:paraId="3B3E762A" w14:textId="1B18E03E" w:rsidR="00B9416E" w:rsidRPr="00B9416E" w:rsidRDefault="00B9416E" w:rsidP="00B9416E">
      <w:pPr>
        <w:pStyle w:val="Caption"/>
        <w:keepNext/>
        <w:spacing w:before="240" w:after="0"/>
        <w:jc w:val="center"/>
        <w:rPr>
          <w:rFonts w:asciiTheme="minorHAnsi" w:hAnsiTheme="minorHAnsi" w:cstheme="minorHAnsi"/>
          <w:i w:val="0"/>
          <w:color w:val="auto"/>
        </w:rPr>
      </w:pPr>
      <w:r w:rsidRPr="00B9416E">
        <w:rPr>
          <w:rFonts w:asciiTheme="minorHAnsi" w:hAnsiTheme="minorHAnsi" w:cstheme="minorHAnsi"/>
          <w:i w:val="0"/>
          <w:color w:val="auto"/>
        </w:rPr>
        <w:t xml:space="preserve">Table </w:t>
      </w:r>
      <w:r w:rsidRPr="00B9416E">
        <w:rPr>
          <w:rFonts w:asciiTheme="minorHAnsi" w:hAnsiTheme="minorHAnsi" w:cstheme="minorHAnsi"/>
          <w:i w:val="0"/>
          <w:color w:val="auto"/>
        </w:rPr>
        <w:fldChar w:fldCharType="begin"/>
      </w:r>
      <w:r w:rsidRPr="00B9416E">
        <w:rPr>
          <w:rFonts w:asciiTheme="minorHAnsi" w:hAnsiTheme="minorHAnsi" w:cstheme="minorHAnsi"/>
          <w:i w:val="0"/>
          <w:color w:val="auto"/>
        </w:rPr>
        <w:instrText xml:space="preserve"> SEQ Table \* ARABIC </w:instrText>
      </w:r>
      <w:r w:rsidRPr="00B9416E">
        <w:rPr>
          <w:rFonts w:asciiTheme="minorHAnsi" w:hAnsiTheme="minorHAnsi" w:cstheme="minorHAnsi"/>
          <w:i w:val="0"/>
          <w:color w:val="auto"/>
        </w:rPr>
        <w:fldChar w:fldCharType="separate"/>
      </w:r>
      <w:r w:rsidR="0009743A">
        <w:rPr>
          <w:rFonts w:asciiTheme="minorHAnsi" w:hAnsiTheme="minorHAnsi" w:cstheme="minorHAnsi"/>
          <w:i w:val="0"/>
          <w:noProof/>
          <w:color w:val="auto"/>
        </w:rPr>
        <w:t>14</w:t>
      </w:r>
      <w:r w:rsidRPr="00B9416E">
        <w:rPr>
          <w:rFonts w:asciiTheme="minorHAnsi" w:hAnsiTheme="minorHAnsi" w:cstheme="minorHAnsi"/>
          <w:i w:val="0"/>
          <w:color w:val="auto"/>
        </w:rPr>
        <w:fldChar w:fldCharType="end"/>
      </w:r>
      <w:r w:rsidRPr="00B9416E">
        <w:rPr>
          <w:rFonts w:asciiTheme="minorHAnsi" w:hAnsiTheme="minorHAnsi" w:cstheme="minorHAnsi"/>
          <w:i w:val="0"/>
          <w:color w:val="auto"/>
        </w:rPr>
        <w:t xml:space="preserve"> - Activités d’embauche à l’externe pour une durée déterminée ou indéterminée : Programme de recrutement postsecondaire et embauche d’anciens étudiants</w:t>
      </w:r>
    </w:p>
    <w:tbl>
      <w:tblPr>
        <w:tblStyle w:val="TableGrid"/>
        <w:tblW w:w="5000" w:type="pct"/>
        <w:jc w:val="center"/>
        <w:tblLook w:val="0020" w:firstRow="1" w:lastRow="0" w:firstColumn="0" w:lastColumn="0" w:noHBand="0" w:noVBand="0"/>
        <w:tblDescription w:val="Programme de recrutement postsecondaire et embauche d'anciens étudiants"/>
      </w:tblPr>
      <w:tblGrid>
        <w:gridCol w:w="2262"/>
        <w:gridCol w:w="7379"/>
        <w:gridCol w:w="4749"/>
      </w:tblGrid>
      <w:tr w:rsidR="00B61F15" w:rsidRPr="00013CF8" w14:paraId="0945CD4C" w14:textId="77777777" w:rsidTr="001F6E88">
        <w:trPr>
          <w:cantSplit/>
          <w:tblHeader/>
          <w:jc w:val="center"/>
        </w:trPr>
        <w:tc>
          <w:tcPr>
            <w:tcW w:w="786" w:type="pct"/>
          </w:tcPr>
          <w:p w14:paraId="379CAC64" w14:textId="07ED08CC" w:rsidR="00B61F15" w:rsidRPr="00013CF8" w:rsidRDefault="00164689" w:rsidP="00B9416E">
            <w:pPr>
              <w:pStyle w:val="TableTitle"/>
            </w:pPr>
            <w:r>
              <w:t>Exercice financier</w:t>
            </w:r>
          </w:p>
        </w:tc>
        <w:tc>
          <w:tcPr>
            <w:tcW w:w="2564" w:type="pct"/>
          </w:tcPr>
          <w:p w14:paraId="108E5684" w14:textId="77777777" w:rsidR="00B61F15" w:rsidRPr="00013CF8" w:rsidRDefault="00B61F15" w:rsidP="00B9416E">
            <w:pPr>
              <w:pStyle w:val="TableTitle"/>
            </w:pPr>
            <w:r w:rsidRPr="00013CF8">
              <w:t>Embauche dans le cadre du programme de recrutement postsecondaire</w:t>
            </w:r>
          </w:p>
        </w:tc>
        <w:tc>
          <w:tcPr>
            <w:tcW w:w="1650" w:type="pct"/>
          </w:tcPr>
          <w:p w14:paraId="3F99C5CB" w14:textId="77777777" w:rsidR="00B61F15" w:rsidRPr="00013CF8" w:rsidRDefault="00B61F15" w:rsidP="00B9416E">
            <w:pPr>
              <w:pStyle w:val="TableTitle"/>
            </w:pPr>
            <w:r w:rsidRPr="00013CF8">
              <w:t>Embauche d’anciens étudiants</w:t>
            </w:r>
          </w:p>
        </w:tc>
      </w:tr>
      <w:tr w:rsidR="00B61F15" w:rsidRPr="00B9416E" w14:paraId="43868767" w14:textId="77777777" w:rsidTr="001F6E88">
        <w:trPr>
          <w:cantSplit/>
          <w:tblHeader/>
          <w:jc w:val="center"/>
        </w:trPr>
        <w:tc>
          <w:tcPr>
            <w:tcW w:w="786" w:type="pct"/>
          </w:tcPr>
          <w:p w14:paraId="55E19A33" w14:textId="77777777" w:rsidR="00B61F15" w:rsidRPr="00B9416E" w:rsidRDefault="00B61F15" w:rsidP="00F565BF">
            <w:pPr>
              <w:autoSpaceDE w:val="0"/>
              <w:autoSpaceDN w:val="0"/>
              <w:adjustRightInd w:val="0"/>
              <w:rPr>
                <w:rFonts w:asciiTheme="minorHAnsi" w:hAnsiTheme="minorHAnsi" w:cstheme="minorHAnsi"/>
                <w:color w:val="000000"/>
                <w:sz w:val="22"/>
                <w:szCs w:val="24"/>
              </w:rPr>
            </w:pPr>
            <w:r w:rsidRPr="00B9416E">
              <w:rPr>
                <w:rFonts w:asciiTheme="minorHAnsi" w:hAnsiTheme="minorHAnsi" w:cstheme="minorHAnsi"/>
                <w:color w:val="000000"/>
                <w:sz w:val="22"/>
                <w:szCs w:val="24"/>
              </w:rPr>
              <w:t>De 2014 à 2015</w:t>
            </w:r>
          </w:p>
        </w:tc>
        <w:tc>
          <w:tcPr>
            <w:tcW w:w="2564" w:type="pct"/>
          </w:tcPr>
          <w:p w14:paraId="4AE57C34"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0</w:t>
            </w:r>
          </w:p>
        </w:tc>
        <w:tc>
          <w:tcPr>
            <w:tcW w:w="1650" w:type="pct"/>
          </w:tcPr>
          <w:p w14:paraId="60DAC363"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1</w:t>
            </w:r>
          </w:p>
        </w:tc>
      </w:tr>
      <w:tr w:rsidR="00B61F15" w:rsidRPr="00B9416E" w14:paraId="272BF9D5" w14:textId="77777777" w:rsidTr="001F6E88">
        <w:trPr>
          <w:cantSplit/>
          <w:tblHeader/>
          <w:jc w:val="center"/>
        </w:trPr>
        <w:tc>
          <w:tcPr>
            <w:tcW w:w="786" w:type="pct"/>
          </w:tcPr>
          <w:p w14:paraId="1B055D7A" w14:textId="77777777" w:rsidR="00B61F15" w:rsidRPr="00B9416E" w:rsidRDefault="00B61F15" w:rsidP="00F565BF">
            <w:pPr>
              <w:autoSpaceDE w:val="0"/>
              <w:autoSpaceDN w:val="0"/>
              <w:adjustRightInd w:val="0"/>
              <w:rPr>
                <w:rFonts w:asciiTheme="minorHAnsi" w:hAnsiTheme="minorHAnsi" w:cstheme="minorHAnsi"/>
                <w:color w:val="000000"/>
                <w:sz w:val="22"/>
                <w:szCs w:val="24"/>
              </w:rPr>
            </w:pPr>
            <w:r w:rsidRPr="00B9416E">
              <w:rPr>
                <w:rFonts w:asciiTheme="minorHAnsi" w:hAnsiTheme="minorHAnsi" w:cstheme="minorHAnsi"/>
                <w:color w:val="000000"/>
                <w:sz w:val="22"/>
                <w:szCs w:val="24"/>
              </w:rPr>
              <w:t>De 2015 à 2016</w:t>
            </w:r>
          </w:p>
        </w:tc>
        <w:tc>
          <w:tcPr>
            <w:tcW w:w="2564" w:type="pct"/>
          </w:tcPr>
          <w:p w14:paraId="37DFC9BE"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2</w:t>
            </w:r>
          </w:p>
        </w:tc>
        <w:tc>
          <w:tcPr>
            <w:tcW w:w="1650" w:type="pct"/>
          </w:tcPr>
          <w:p w14:paraId="1F4B4F3F"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7</w:t>
            </w:r>
          </w:p>
        </w:tc>
      </w:tr>
      <w:tr w:rsidR="00B61F15" w:rsidRPr="00B9416E" w14:paraId="79E88A5C" w14:textId="77777777" w:rsidTr="001F6E88">
        <w:trPr>
          <w:cantSplit/>
          <w:tblHeader/>
          <w:jc w:val="center"/>
        </w:trPr>
        <w:tc>
          <w:tcPr>
            <w:tcW w:w="786" w:type="pct"/>
          </w:tcPr>
          <w:p w14:paraId="5D1C20F7" w14:textId="77777777" w:rsidR="00B61F15" w:rsidRPr="00B9416E" w:rsidRDefault="00B61F15" w:rsidP="00F565BF">
            <w:pPr>
              <w:autoSpaceDE w:val="0"/>
              <w:autoSpaceDN w:val="0"/>
              <w:adjustRightInd w:val="0"/>
              <w:rPr>
                <w:rFonts w:asciiTheme="minorHAnsi" w:hAnsiTheme="minorHAnsi" w:cstheme="minorHAnsi"/>
                <w:color w:val="000000"/>
                <w:sz w:val="22"/>
                <w:szCs w:val="24"/>
              </w:rPr>
            </w:pPr>
            <w:r w:rsidRPr="00B9416E">
              <w:rPr>
                <w:rFonts w:asciiTheme="minorHAnsi" w:hAnsiTheme="minorHAnsi" w:cstheme="minorHAnsi"/>
                <w:color w:val="000000"/>
                <w:sz w:val="22"/>
                <w:szCs w:val="24"/>
              </w:rPr>
              <w:t>De 2016 à 2017</w:t>
            </w:r>
          </w:p>
        </w:tc>
        <w:tc>
          <w:tcPr>
            <w:tcW w:w="2564" w:type="pct"/>
          </w:tcPr>
          <w:p w14:paraId="1B29939A"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1</w:t>
            </w:r>
          </w:p>
        </w:tc>
        <w:tc>
          <w:tcPr>
            <w:tcW w:w="1650" w:type="pct"/>
          </w:tcPr>
          <w:p w14:paraId="251035B1"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14</w:t>
            </w:r>
          </w:p>
        </w:tc>
      </w:tr>
      <w:tr w:rsidR="00B61F15" w:rsidRPr="00B9416E" w14:paraId="54226CB2" w14:textId="77777777" w:rsidTr="001F6E88">
        <w:trPr>
          <w:cantSplit/>
          <w:tblHeader/>
          <w:jc w:val="center"/>
        </w:trPr>
        <w:tc>
          <w:tcPr>
            <w:tcW w:w="786" w:type="pct"/>
          </w:tcPr>
          <w:p w14:paraId="6910DB10" w14:textId="77777777" w:rsidR="00B61F15" w:rsidRPr="00B9416E" w:rsidRDefault="00B61F15" w:rsidP="00F565BF">
            <w:pPr>
              <w:autoSpaceDE w:val="0"/>
              <w:autoSpaceDN w:val="0"/>
              <w:adjustRightInd w:val="0"/>
              <w:rPr>
                <w:rFonts w:asciiTheme="minorHAnsi" w:hAnsiTheme="minorHAnsi" w:cstheme="minorHAnsi"/>
                <w:color w:val="000000"/>
                <w:sz w:val="22"/>
                <w:szCs w:val="24"/>
              </w:rPr>
            </w:pPr>
            <w:r w:rsidRPr="00B9416E">
              <w:rPr>
                <w:rFonts w:asciiTheme="minorHAnsi" w:hAnsiTheme="minorHAnsi" w:cstheme="minorHAnsi"/>
                <w:color w:val="000000"/>
                <w:sz w:val="22"/>
                <w:szCs w:val="24"/>
              </w:rPr>
              <w:t>De 2017 à 2018</w:t>
            </w:r>
          </w:p>
        </w:tc>
        <w:tc>
          <w:tcPr>
            <w:tcW w:w="2564" w:type="pct"/>
          </w:tcPr>
          <w:p w14:paraId="46B0E787"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1</w:t>
            </w:r>
          </w:p>
        </w:tc>
        <w:tc>
          <w:tcPr>
            <w:tcW w:w="1650" w:type="pct"/>
          </w:tcPr>
          <w:p w14:paraId="0BAF0368"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15</w:t>
            </w:r>
          </w:p>
        </w:tc>
      </w:tr>
      <w:tr w:rsidR="00B61F15" w:rsidRPr="00B9416E" w14:paraId="4AAB19D5" w14:textId="77777777" w:rsidTr="001F6E88">
        <w:trPr>
          <w:cantSplit/>
          <w:tblHeader/>
          <w:jc w:val="center"/>
        </w:trPr>
        <w:tc>
          <w:tcPr>
            <w:tcW w:w="786" w:type="pct"/>
          </w:tcPr>
          <w:p w14:paraId="47B0C02E" w14:textId="77777777" w:rsidR="00B61F15" w:rsidRPr="00B9416E" w:rsidRDefault="00B61F15" w:rsidP="00F565BF">
            <w:pPr>
              <w:autoSpaceDE w:val="0"/>
              <w:autoSpaceDN w:val="0"/>
              <w:adjustRightInd w:val="0"/>
              <w:rPr>
                <w:rFonts w:asciiTheme="minorHAnsi" w:hAnsiTheme="minorHAnsi" w:cstheme="minorHAnsi"/>
                <w:color w:val="000000"/>
                <w:sz w:val="22"/>
                <w:szCs w:val="24"/>
              </w:rPr>
            </w:pPr>
            <w:r w:rsidRPr="00B9416E">
              <w:rPr>
                <w:rFonts w:asciiTheme="minorHAnsi" w:hAnsiTheme="minorHAnsi" w:cstheme="minorHAnsi"/>
                <w:color w:val="000000"/>
                <w:sz w:val="22"/>
                <w:szCs w:val="24"/>
              </w:rPr>
              <w:t>De 2018 à 2019</w:t>
            </w:r>
          </w:p>
        </w:tc>
        <w:tc>
          <w:tcPr>
            <w:tcW w:w="2564" w:type="pct"/>
          </w:tcPr>
          <w:p w14:paraId="62C9848B"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1</w:t>
            </w:r>
          </w:p>
        </w:tc>
        <w:tc>
          <w:tcPr>
            <w:tcW w:w="1650" w:type="pct"/>
          </w:tcPr>
          <w:p w14:paraId="67EEAE8C" w14:textId="77777777" w:rsidR="00B61F15" w:rsidRPr="00B9416E" w:rsidRDefault="00B61F15" w:rsidP="00F565BF">
            <w:pPr>
              <w:autoSpaceDE w:val="0"/>
              <w:autoSpaceDN w:val="0"/>
              <w:adjustRightInd w:val="0"/>
              <w:jc w:val="center"/>
              <w:rPr>
                <w:rFonts w:asciiTheme="minorHAnsi" w:hAnsiTheme="minorHAnsi" w:cstheme="minorHAnsi"/>
                <w:color w:val="000000"/>
                <w:sz w:val="22"/>
                <w:szCs w:val="24"/>
              </w:rPr>
            </w:pPr>
            <w:r w:rsidRPr="00B9416E">
              <w:rPr>
                <w:rFonts w:asciiTheme="minorHAnsi" w:hAnsiTheme="minorHAnsi" w:cstheme="minorHAnsi"/>
                <w:color w:val="000000"/>
                <w:sz w:val="22"/>
                <w:szCs w:val="24"/>
              </w:rPr>
              <w:t>11</w:t>
            </w:r>
          </w:p>
        </w:tc>
      </w:tr>
    </w:tbl>
    <w:p w14:paraId="5E9B69A0" w14:textId="77777777" w:rsidR="00B9416E" w:rsidRDefault="00B61F15" w:rsidP="00B61F15">
      <w:pPr>
        <w:rPr>
          <w:rFonts w:asciiTheme="minorHAnsi" w:hAnsiTheme="minorHAnsi" w:cstheme="minorHAnsi"/>
          <w:sz w:val="22"/>
          <w:szCs w:val="24"/>
        </w:rPr>
        <w:sectPr w:rsidR="00B9416E"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r w:rsidRPr="00B9416E">
        <w:rPr>
          <w:rFonts w:asciiTheme="minorHAnsi" w:hAnsiTheme="minorHAnsi" w:cstheme="minorHAnsi"/>
          <w:sz w:val="22"/>
          <w:szCs w:val="24"/>
        </w:rPr>
        <w:t>L’embauche d’anciens étudiants comprend l’embauche à un poste d’une période déterminée ou indéterminée de personnes ayant participé à un programme fédéral de recrutement pour étudiants dans les dix dernières années.</w:t>
      </w:r>
    </w:p>
    <w:p w14:paraId="210AEC94" w14:textId="51B8E48E" w:rsidR="00B61F15" w:rsidRPr="00955BBF" w:rsidRDefault="00955BBF" w:rsidP="00955BBF">
      <w:pPr>
        <w:pStyle w:val="Heading1"/>
        <w:spacing w:before="120" w:after="120"/>
        <w:rPr>
          <w:sz w:val="40"/>
        </w:rPr>
      </w:pPr>
      <w:r w:rsidRPr="00955BBF">
        <w:rPr>
          <w:sz w:val="40"/>
        </w:rPr>
        <w:lastRenderedPageBreak/>
        <w:t>Durée de</w:t>
      </w:r>
      <w:r w:rsidR="00817426">
        <w:rPr>
          <w:sz w:val="40"/>
        </w:rPr>
        <w:t>s processus de dotation internes</w:t>
      </w:r>
    </w:p>
    <w:p w14:paraId="1576BA6D" w14:textId="77777777" w:rsidR="00B9416E" w:rsidRDefault="007B1B27" w:rsidP="00B9416E">
      <w:pPr>
        <w:pStyle w:val="Level1"/>
        <w:keepNext/>
        <w:tabs>
          <w:tab w:val="left" w:pos="-1440"/>
        </w:tabs>
        <w:autoSpaceDE w:val="0"/>
        <w:autoSpaceDN w:val="0"/>
        <w:adjustRightInd w:val="0"/>
        <w:spacing w:after="120" w:line="20" w:lineRule="atLeast"/>
        <w:jc w:val="center"/>
      </w:pPr>
      <w:r w:rsidRPr="00013CF8">
        <w:rPr>
          <w:noProof/>
          <w:lang w:val="en-CA" w:eastAsia="en-CA"/>
        </w:rPr>
        <w:drawing>
          <wp:inline distT="0" distB="0" distL="0" distR="0" wp14:anchorId="2A37C599" wp14:editId="732B643E">
            <wp:extent cx="5648400" cy="3049200"/>
            <wp:effectExtent l="0" t="0" r="9525" b="18415"/>
            <wp:docPr id="22" name="Chart 22" descr="Durée des processus de dotation internes - Durée médiane dans la fonction publique : 176 jour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D02220" w14:textId="6B137164" w:rsidR="007B1B27" w:rsidRPr="00B9416E" w:rsidRDefault="00B9416E" w:rsidP="00164689">
      <w:pPr>
        <w:pStyle w:val="Caption"/>
        <w:spacing w:after="240"/>
        <w:jc w:val="center"/>
        <w:rPr>
          <w:rFonts w:asciiTheme="minorHAnsi" w:hAnsiTheme="minorHAnsi" w:cstheme="minorHAnsi"/>
          <w:i w:val="0"/>
          <w:color w:val="auto"/>
          <w:sz w:val="22"/>
          <w:szCs w:val="22"/>
        </w:rPr>
      </w:pPr>
      <w:r w:rsidRPr="00B9416E">
        <w:rPr>
          <w:rFonts w:asciiTheme="minorHAnsi" w:hAnsiTheme="minorHAnsi" w:cstheme="minorHAnsi"/>
          <w:i w:val="0"/>
          <w:color w:val="auto"/>
        </w:rPr>
        <w:t xml:space="preserve">Figure </w:t>
      </w:r>
      <w:r w:rsidRPr="00B9416E">
        <w:rPr>
          <w:rFonts w:asciiTheme="minorHAnsi" w:hAnsiTheme="minorHAnsi" w:cstheme="minorHAnsi"/>
          <w:i w:val="0"/>
          <w:color w:val="auto"/>
        </w:rPr>
        <w:fldChar w:fldCharType="begin"/>
      </w:r>
      <w:r w:rsidRPr="00B9416E">
        <w:rPr>
          <w:rFonts w:asciiTheme="minorHAnsi" w:hAnsiTheme="minorHAnsi" w:cstheme="minorHAnsi"/>
          <w:i w:val="0"/>
          <w:color w:val="auto"/>
        </w:rPr>
        <w:instrText xml:space="preserve"> SEQ Figure \* ARABIC </w:instrText>
      </w:r>
      <w:r w:rsidRPr="00B9416E">
        <w:rPr>
          <w:rFonts w:asciiTheme="minorHAnsi" w:hAnsiTheme="minorHAnsi" w:cstheme="minorHAnsi"/>
          <w:i w:val="0"/>
          <w:color w:val="auto"/>
        </w:rPr>
        <w:fldChar w:fldCharType="separate"/>
      </w:r>
      <w:r w:rsidR="00817426">
        <w:rPr>
          <w:rFonts w:asciiTheme="minorHAnsi" w:hAnsiTheme="minorHAnsi" w:cstheme="minorHAnsi"/>
          <w:i w:val="0"/>
          <w:noProof/>
          <w:color w:val="auto"/>
        </w:rPr>
        <w:t>12</w:t>
      </w:r>
      <w:r w:rsidRPr="00B9416E">
        <w:rPr>
          <w:rFonts w:asciiTheme="minorHAnsi" w:hAnsiTheme="minorHAnsi" w:cstheme="minorHAnsi"/>
          <w:i w:val="0"/>
          <w:color w:val="auto"/>
        </w:rPr>
        <w:fldChar w:fldCharType="end"/>
      </w:r>
      <w:r w:rsidRPr="00B9416E">
        <w:rPr>
          <w:rFonts w:asciiTheme="minorHAnsi" w:hAnsiTheme="minorHAnsi" w:cstheme="minorHAnsi"/>
          <w:i w:val="0"/>
          <w:color w:val="auto"/>
        </w:rPr>
        <w:t xml:space="preserve"> - Durée des processus de dotation internes</w:t>
      </w:r>
      <w:r>
        <w:rPr>
          <w:rFonts w:asciiTheme="minorHAnsi" w:hAnsiTheme="minorHAnsi" w:cstheme="minorHAnsi"/>
          <w:i w:val="0"/>
          <w:color w:val="auto"/>
        </w:rPr>
        <w:t xml:space="preserve"> – Durée médiane dans la fonction publique : 176 jours, 2018=2019</w:t>
      </w:r>
    </w:p>
    <w:p w14:paraId="00608329" w14:textId="62B19270" w:rsidR="00955BBF" w:rsidRPr="00955BBF" w:rsidRDefault="00030DD5" w:rsidP="00955BBF">
      <w:pPr>
        <w:pStyle w:val="Level1"/>
        <w:tabs>
          <w:tab w:val="left" w:pos="-1440"/>
        </w:tabs>
        <w:autoSpaceDE w:val="0"/>
        <w:autoSpaceDN w:val="0"/>
        <w:adjustRightInd w:val="0"/>
        <w:spacing w:after="240" w:line="20" w:lineRule="atLeast"/>
        <w:rPr>
          <w:rFonts w:asciiTheme="minorHAnsi" w:hAnsiTheme="minorHAnsi" w:cstheme="minorHAnsi"/>
          <w:sz w:val="22"/>
          <w:szCs w:val="22"/>
        </w:rPr>
      </w:pPr>
      <w:hyperlink w:anchor="Durée_dotation_interne" w:history="1">
        <w:r w:rsidR="00955BBF" w:rsidRPr="00211FA7">
          <w:rPr>
            <w:rStyle w:val="Hyperlink"/>
            <w:rFonts w:asciiTheme="minorHAnsi" w:hAnsiTheme="minorHAnsi" w:cstheme="minorHAnsi"/>
            <w:b/>
            <w:sz w:val="22"/>
            <w:szCs w:val="22"/>
          </w:rPr>
          <w:t>Tableau des données sur la durée de dotation interne disponible ici</w:t>
        </w:r>
      </w:hyperlink>
    </w:p>
    <w:p w14:paraId="668E29BD" w14:textId="4C185F69" w:rsidR="00955BBF" w:rsidRPr="00955BBF" w:rsidRDefault="00955BBF" w:rsidP="007B1B27">
      <w:pPr>
        <w:pStyle w:val="Level1"/>
        <w:tabs>
          <w:tab w:val="left" w:pos="-1440"/>
        </w:tabs>
        <w:autoSpaceDE w:val="0"/>
        <w:autoSpaceDN w:val="0"/>
        <w:adjustRightInd w:val="0"/>
        <w:spacing w:after="120" w:line="20" w:lineRule="atLeast"/>
        <w:rPr>
          <w:rStyle w:val="Strong"/>
        </w:rPr>
      </w:pPr>
      <w:r w:rsidRPr="00955BBF">
        <w:rPr>
          <w:rStyle w:val="Strong"/>
        </w:rPr>
        <w:t>Durée de</w:t>
      </w:r>
      <w:r w:rsidR="00817426">
        <w:rPr>
          <w:rStyle w:val="Strong"/>
        </w:rPr>
        <w:t>s processus de dotation internes</w:t>
      </w:r>
    </w:p>
    <w:p w14:paraId="2EB8957B" w14:textId="5EB70792" w:rsidR="00955BBF" w:rsidRPr="00955BBF" w:rsidRDefault="00955BBF" w:rsidP="00955BBF">
      <w:pPr>
        <w:spacing w:after="120"/>
        <w:rPr>
          <w:rFonts w:asciiTheme="minorHAnsi" w:hAnsiTheme="minorHAnsi" w:cstheme="minorHAnsi"/>
          <w:sz w:val="22"/>
          <w:szCs w:val="22"/>
        </w:rPr>
      </w:pPr>
      <w:r w:rsidRPr="00955BBF">
        <w:rPr>
          <w:rFonts w:asciiTheme="minorHAnsi" w:hAnsiTheme="minorHAnsi" w:cstheme="minorHAnsi"/>
          <w:sz w:val="22"/>
          <w:szCs w:val="22"/>
        </w:rPr>
        <w:t>La quantité limitée de données ne permet pas de fournir des résultats sur la durée de traitement interne au sein du Service canadien d’appui aux tribunaux administratif</w:t>
      </w:r>
      <w:r>
        <w:rPr>
          <w:rFonts w:asciiTheme="minorHAnsi" w:hAnsiTheme="minorHAnsi" w:cstheme="minorHAnsi"/>
          <w:sz w:val="22"/>
          <w:szCs w:val="22"/>
        </w:rPr>
        <w:t>s</w:t>
      </w:r>
      <w:r w:rsidR="00817426">
        <w:rPr>
          <w:rFonts w:asciiTheme="minorHAnsi" w:hAnsiTheme="minorHAnsi" w:cstheme="minorHAnsi"/>
          <w:sz w:val="22"/>
          <w:szCs w:val="22"/>
        </w:rPr>
        <w:t>.</w:t>
      </w:r>
    </w:p>
    <w:p w14:paraId="74830381" w14:textId="2EAA4B80" w:rsidR="00B9416E" w:rsidRPr="00955BBF" w:rsidRDefault="00955BBF" w:rsidP="007B1B27">
      <w:pPr>
        <w:pStyle w:val="Level1"/>
        <w:tabs>
          <w:tab w:val="left" w:pos="-1440"/>
        </w:tabs>
        <w:autoSpaceDE w:val="0"/>
        <w:autoSpaceDN w:val="0"/>
        <w:adjustRightInd w:val="0"/>
        <w:spacing w:after="120" w:line="20" w:lineRule="atLeast"/>
        <w:rPr>
          <w:rFonts w:asciiTheme="minorHAnsi" w:hAnsiTheme="minorHAnsi" w:cstheme="minorHAnsi"/>
          <w:sz w:val="22"/>
          <w:szCs w:val="22"/>
        </w:rPr>
      </w:pPr>
      <w:r w:rsidRPr="00955BBF">
        <w:rPr>
          <w:rFonts w:asciiTheme="minorHAnsi" w:hAnsiTheme="minorHAnsi" w:cstheme="minorHAnsi"/>
          <w:sz w:val="22"/>
          <w:szCs w:val="22"/>
        </w:rPr>
        <w:t>Afin de déterminer la durée d’un processus de dotation interne, il faut compter le nombre de jours civils entre la date d’ouverture de l’annonce et la date de la première notification</w:t>
      </w:r>
      <w:r w:rsidR="00817426">
        <w:rPr>
          <w:rFonts w:asciiTheme="minorHAnsi" w:hAnsiTheme="minorHAnsi" w:cstheme="minorHAnsi"/>
          <w:sz w:val="22"/>
          <w:szCs w:val="22"/>
        </w:rPr>
        <w:t>.</w:t>
      </w:r>
    </w:p>
    <w:p w14:paraId="0314870B" w14:textId="4A7D8306" w:rsidR="00955BBF" w:rsidRPr="00955BBF" w:rsidRDefault="00955BBF" w:rsidP="00164689">
      <w:pPr>
        <w:spacing w:after="120"/>
        <w:rPr>
          <w:rStyle w:val="Strong"/>
        </w:rPr>
      </w:pPr>
      <w:r w:rsidRPr="00955BBF">
        <w:rPr>
          <w:rStyle w:val="Strong"/>
        </w:rPr>
        <w:t>Durée de</w:t>
      </w:r>
      <w:r w:rsidR="00817426">
        <w:rPr>
          <w:rStyle w:val="Strong"/>
        </w:rPr>
        <w:t>s processus de dotation internes</w:t>
      </w:r>
      <w:r w:rsidRPr="00955BBF">
        <w:rPr>
          <w:rStyle w:val="Strong"/>
        </w:rPr>
        <w:t xml:space="preserve"> au cours de l’exercice financier 2018</w:t>
      </w:r>
      <w:r w:rsidRPr="00955BBF">
        <w:rPr>
          <w:rStyle w:val="Strong"/>
        </w:rPr>
        <w:noBreakHyphen/>
        <w:t>2019</w:t>
      </w:r>
    </w:p>
    <w:p w14:paraId="28DF7816" w14:textId="561F30B6" w:rsidR="00B9416E" w:rsidRPr="00817426" w:rsidRDefault="00955BBF" w:rsidP="00817426">
      <w:pPr>
        <w:rPr>
          <w:rFonts w:asciiTheme="minorHAnsi" w:hAnsiTheme="minorHAnsi" w:cstheme="minorHAnsi"/>
          <w:sz w:val="22"/>
          <w:szCs w:val="22"/>
        </w:rPr>
      </w:pPr>
      <w:r w:rsidRPr="00955BBF">
        <w:rPr>
          <w:rFonts w:asciiTheme="minorHAnsi" w:hAnsiTheme="minorHAnsi" w:cstheme="minorHAnsi"/>
          <w:sz w:val="22"/>
          <w:szCs w:val="22"/>
        </w:rPr>
        <w:t xml:space="preserve">La durée médiane des processus de dotation internes pour la fonction publique (organisations assujetties à la </w:t>
      </w:r>
      <w:r w:rsidRPr="00164689">
        <w:rPr>
          <w:rStyle w:val="Emphasis"/>
          <w:i/>
          <w:sz w:val="22"/>
        </w:rPr>
        <w:t>Loi sur l’emploi dans la fonction publique</w:t>
      </w:r>
      <w:r w:rsidRPr="00955BBF">
        <w:rPr>
          <w:rFonts w:asciiTheme="minorHAnsi" w:hAnsiTheme="minorHAnsi" w:cstheme="minorHAnsi"/>
          <w:i/>
          <w:sz w:val="22"/>
          <w:szCs w:val="22"/>
        </w:rPr>
        <w:t xml:space="preserve">) </w:t>
      </w:r>
      <w:r w:rsidRPr="00955BBF">
        <w:rPr>
          <w:rFonts w:asciiTheme="minorHAnsi" w:hAnsiTheme="minorHAnsi" w:cstheme="minorHAnsi"/>
          <w:sz w:val="22"/>
          <w:szCs w:val="22"/>
        </w:rPr>
        <w:t>au cours de l’exercice financier </w:t>
      </w:r>
      <w:r w:rsidR="00817426">
        <w:rPr>
          <w:rFonts w:asciiTheme="minorHAnsi" w:hAnsiTheme="minorHAnsi" w:cstheme="minorHAnsi"/>
          <w:sz w:val="22"/>
          <w:szCs w:val="22"/>
        </w:rPr>
        <w:t>2018</w:t>
      </w:r>
      <w:r w:rsidR="00817426">
        <w:rPr>
          <w:rFonts w:asciiTheme="minorHAnsi" w:hAnsiTheme="minorHAnsi" w:cstheme="minorHAnsi"/>
          <w:sz w:val="22"/>
          <w:szCs w:val="22"/>
        </w:rPr>
        <w:noBreakHyphen/>
        <w:t>2019 est de 176 jours.</w:t>
      </w:r>
    </w:p>
    <w:p w14:paraId="03552542" w14:textId="77777777" w:rsidR="00B9416E" w:rsidRDefault="00B9416E" w:rsidP="007B1B27">
      <w:pPr>
        <w:pStyle w:val="Level1"/>
        <w:tabs>
          <w:tab w:val="left" w:pos="-1440"/>
        </w:tabs>
        <w:autoSpaceDE w:val="0"/>
        <w:autoSpaceDN w:val="0"/>
        <w:adjustRightInd w:val="0"/>
        <w:spacing w:after="120" w:line="20" w:lineRule="atLeast"/>
        <w:rPr>
          <w:rFonts w:ascii="Arial" w:hAnsi="Arial" w:cs="Arial"/>
          <w:sz w:val="22"/>
          <w:szCs w:val="22"/>
        </w:rPr>
        <w:sectPr w:rsidR="00B9416E"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69B79FF3" w14:textId="73637B49" w:rsidR="00B9416E" w:rsidRPr="00817426" w:rsidRDefault="00817426" w:rsidP="00817426">
      <w:pPr>
        <w:pStyle w:val="Heading1"/>
        <w:spacing w:before="120" w:after="120"/>
        <w:rPr>
          <w:sz w:val="40"/>
        </w:rPr>
      </w:pPr>
      <w:r w:rsidRPr="00817426">
        <w:rPr>
          <w:sz w:val="40"/>
        </w:rPr>
        <w:lastRenderedPageBreak/>
        <w:t>Durée des processus de dotation interne</w:t>
      </w:r>
      <w:r>
        <w:rPr>
          <w:sz w:val="40"/>
        </w:rPr>
        <w:t>s</w:t>
      </w:r>
    </w:p>
    <w:p w14:paraId="203F7665" w14:textId="514BC374" w:rsidR="00817426" w:rsidRPr="00164689" w:rsidRDefault="00817426" w:rsidP="00817426">
      <w:pPr>
        <w:pStyle w:val="Caption"/>
        <w:keepNext/>
        <w:spacing w:after="0"/>
        <w:rPr>
          <w:rFonts w:asciiTheme="minorHAnsi" w:hAnsiTheme="minorHAnsi" w:cstheme="minorHAnsi"/>
          <w:i w:val="0"/>
          <w:color w:val="auto"/>
        </w:rPr>
      </w:pPr>
      <w:r w:rsidRPr="00164689">
        <w:rPr>
          <w:rFonts w:asciiTheme="minorHAnsi" w:hAnsiTheme="minorHAnsi" w:cstheme="minorHAnsi"/>
          <w:i w:val="0"/>
          <w:color w:val="auto"/>
        </w:rPr>
        <w:t xml:space="preserve">Table </w:t>
      </w:r>
      <w:r w:rsidRPr="00164689">
        <w:rPr>
          <w:rFonts w:asciiTheme="minorHAnsi" w:hAnsiTheme="minorHAnsi" w:cstheme="minorHAnsi"/>
          <w:i w:val="0"/>
          <w:color w:val="auto"/>
        </w:rPr>
        <w:fldChar w:fldCharType="begin"/>
      </w:r>
      <w:r w:rsidRPr="00164689">
        <w:rPr>
          <w:rFonts w:asciiTheme="minorHAnsi" w:hAnsiTheme="minorHAnsi" w:cstheme="minorHAnsi"/>
          <w:i w:val="0"/>
          <w:color w:val="auto"/>
        </w:rPr>
        <w:instrText xml:space="preserve"> SEQ Table \* ARABIC </w:instrText>
      </w:r>
      <w:r w:rsidRPr="00164689">
        <w:rPr>
          <w:rFonts w:asciiTheme="minorHAnsi" w:hAnsiTheme="minorHAnsi" w:cstheme="minorHAnsi"/>
          <w:i w:val="0"/>
          <w:color w:val="auto"/>
        </w:rPr>
        <w:fldChar w:fldCharType="separate"/>
      </w:r>
      <w:r w:rsidR="0009743A" w:rsidRPr="00164689">
        <w:rPr>
          <w:rFonts w:asciiTheme="minorHAnsi" w:hAnsiTheme="minorHAnsi" w:cstheme="minorHAnsi"/>
          <w:i w:val="0"/>
          <w:noProof/>
          <w:color w:val="auto"/>
        </w:rPr>
        <w:t>15</w:t>
      </w:r>
      <w:r w:rsidRPr="00164689">
        <w:rPr>
          <w:rFonts w:asciiTheme="minorHAnsi" w:hAnsiTheme="minorHAnsi" w:cstheme="minorHAnsi"/>
          <w:i w:val="0"/>
          <w:color w:val="auto"/>
        </w:rPr>
        <w:fldChar w:fldCharType="end"/>
      </w:r>
      <w:r w:rsidRPr="00164689">
        <w:rPr>
          <w:rFonts w:asciiTheme="minorHAnsi" w:hAnsiTheme="minorHAnsi" w:cstheme="minorHAnsi"/>
          <w:i w:val="0"/>
          <w:color w:val="auto"/>
        </w:rPr>
        <w:t xml:space="preserve"> - Durée de processus de dotation interne</w:t>
      </w:r>
      <w:r w:rsidR="00164689">
        <w:rPr>
          <w:rFonts w:asciiTheme="minorHAnsi" w:hAnsiTheme="minorHAnsi" w:cstheme="minorHAnsi"/>
          <w:i w:val="0"/>
          <w:color w:val="auto"/>
        </w:rPr>
        <w:t>s</w:t>
      </w:r>
    </w:p>
    <w:tbl>
      <w:tblPr>
        <w:tblStyle w:val="TableGrid"/>
        <w:tblW w:w="5000" w:type="pct"/>
        <w:jc w:val="center"/>
        <w:tblLook w:val="0020" w:firstRow="1" w:lastRow="0" w:firstColumn="0" w:lastColumn="0" w:noHBand="0" w:noVBand="0"/>
        <w:tblDescription w:val="Durée des processus de dotation internes"/>
      </w:tblPr>
      <w:tblGrid>
        <w:gridCol w:w="6126"/>
        <w:gridCol w:w="8452"/>
        <w:gridCol w:w="8452"/>
      </w:tblGrid>
      <w:tr w:rsidR="00817426" w:rsidRPr="00A32DE4" w14:paraId="075DF947" w14:textId="77777777" w:rsidTr="001F6E88">
        <w:trPr>
          <w:cantSplit/>
          <w:trHeight w:val="290"/>
          <w:tblHeader/>
          <w:jc w:val="center"/>
        </w:trPr>
        <w:tc>
          <w:tcPr>
            <w:tcW w:w="1330" w:type="pct"/>
          </w:tcPr>
          <w:p w14:paraId="1726FC77" w14:textId="77777777" w:rsidR="00817426" w:rsidRPr="00A32DE4" w:rsidRDefault="00817426" w:rsidP="00817426">
            <w:pPr>
              <w:pStyle w:val="TableTitle"/>
              <w:rPr>
                <w:rFonts w:cs="Segoe UI Semibold"/>
              </w:rPr>
            </w:pPr>
            <w:bookmarkStart w:id="4" w:name="Durée_dotation_interne"/>
            <w:r w:rsidRPr="00A32DE4">
              <w:rPr>
                <w:rFonts w:cs="Segoe UI Semibold"/>
              </w:rPr>
              <w:t>Nombre de jours civils</w:t>
            </w:r>
            <w:bookmarkEnd w:id="4"/>
          </w:p>
        </w:tc>
        <w:tc>
          <w:tcPr>
            <w:tcW w:w="1835" w:type="pct"/>
          </w:tcPr>
          <w:p w14:paraId="4DB01C0C" w14:textId="77777777" w:rsidR="00817426" w:rsidRPr="00A32DE4" w:rsidRDefault="00817426" w:rsidP="00817426">
            <w:pPr>
              <w:pStyle w:val="TableTitle"/>
              <w:rPr>
                <w:rFonts w:cs="Segoe UI Semibold"/>
                <w:i/>
              </w:rPr>
            </w:pPr>
            <w:r w:rsidRPr="00A32DE4">
              <w:rPr>
                <w:rFonts w:cs="Segoe UI Semibold"/>
              </w:rPr>
              <w:t xml:space="preserve">Nombre de processus de nomination internes dont la durée correspondait au nombre de jours civils donné pour l’ensemble des organisations assujetties à la </w:t>
            </w:r>
            <w:r w:rsidRPr="00A32DE4">
              <w:rPr>
                <w:rStyle w:val="Emphasis"/>
                <w:rFonts w:ascii="Segoe UI Semibold" w:hAnsi="Segoe UI Semibold" w:cs="Segoe UI Semibold"/>
                <w:i/>
              </w:rPr>
              <w:t>Loi sur l’emploi dans la fonction publique</w:t>
            </w:r>
          </w:p>
        </w:tc>
        <w:tc>
          <w:tcPr>
            <w:tcW w:w="1835" w:type="pct"/>
          </w:tcPr>
          <w:p w14:paraId="7830E8C0" w14:textId="77777777" w:rsidR="00817426" w:rsidRPr="00A32DE4" w:rsidRDefault="00817426" w:rsidP="00817426">
            <w:pPr>
              <w:pStyle w:val="TableTitle"/>
              <w:rPr>
                <w:rFonts w:cs="Segoe UI Semibold"/>
              </w:rPr>
            </w:pPr>
            <w:r w:rsidRPr="00A32DE4">
              <w:rPr>
                <w:rFonts w:cs="Segoe UI Semibold"/>
              </w:rPr>
              <w:t>Nombre de processus de nomination internes dont la durée correspondait au nombre de jours civils donné pour l’organisation précisée</w:t>
            </w:r>
          </w:p>
        </w:tc>
      </w:tr>
      <w:tr w:rsidR="00817426" w:rsidRPr="00817426" w14:paraId="721EFD42" w14:textId="77777777" w:rsidTr="001F6E88">
        <w:trPr>
          <w:cantSplit/>
          <w:trHeight w:val="306"/>
          <w:tblHeader/>
          <w:jc w:val="center"/>
        </w:trPr>
        <w:tc>
          <w:tcPr>
            <w:tcW w:w="1330" w:type="pct"/>
          </w:tcPr>
          <w:p w14:paraId="3B30BF15"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0 à 29 </w:t>
            </w:r>
          </w:p>
        </w:tc>
        <w:tc>
          <w:tcPr>
            <w:tcW w:w="1835" w:type="pct"/>
          </w:tcPr>
          <w:p w14:paraId="581F5B80"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15</w:t>
            </w:r>
          </w:p>
        </w:tc>
        <w:tc>
          <w:tcPr>
            <w:tcW w:w="1835" w:type="pct"/>
          </w:tcPr>
          <w:p w14:paraId="4606134B" w14:textId="50720D23" w:rsidR="00817426" w:rsidRPr="00817426" w:rsidRDefault="00A32DE4" w:rsidP="00A32DE4">
            <w:pPr>
              <w:autoSpaceDE w:val="0"/>
              <w:autoSpaceDN w:val="0"/>
              <w:adjustRightInd w:val="0"/>
              <w:spacing w:before="24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6F9C17E" w14:textId="77777777" w:rsidTr="001F6E88">
        <w:trPr>
          <w:cantSplit/>
          <w:trHeight w:val="290"/>
          <w:tblHeader/>
          <w:jc w:val="center"/>
        </w:trPr>
        <w:tc>
          <w:tcPr>
            <w:tcW w:w="1330" w:type="pct"/>
          </w:tcPr>
          <w:p w14:paraId="29E6C517"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30 à 59 </w:t>
            </w:r>
          </w:p>
        </w:tc>
        <w:tc>
          <w:tcPr>
            <w:tcW w:w="1835" w:type="pct"/>
          </w:tcPr>
          <w:p w14:paraId="1523BD6E"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130</w:t>
            </w:r>
          </w:p>
        </w:tc>
        <w:tc>
          <w:tcPr>
            <w:tcW w:w="1835" w:type="pct"/>
          </w:tcPr>
          <w:p w14:paraId="1726CFAC" w14:textId="35F5B8C2"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8AAE082" w14:textId="77777777" w:rsidTr="001F6E88">
        <w:trPr>
          <w:cantSplit/>
          <w:trHeight w:val="290"/>
          <w:tblHeader/>
          <w:jc w:val="center"/>
        </w:trPr>
        <w:tc>
          <w:tcPr>
            <w:tcW w:w="1330" w:type="pct"/>
          </w:tcPr>
          <w:p w14:paraId="7680C79A"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60 à 89 </w:t>
            </w:r>
          </w:p>
        </w:tc>
        <w:tc>
          <w:tcPr>
            <w:tcW w:w="1835" w:type="pct"/>
          </w:tcPr>
          <w:p w14:paraId="45764E10"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277</w:t>
            </w:r>
          </w:p>
        </w:tc>
        <w:tc>
          <w:tcPr>
            <w:tcW w:w="1835" w:type="pct"/>
          </w:tcPr>
          <w:p w14:paraId="669DA409" w14:textId="61D2F03B"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025A52A7" w14:textId="77777777" w:rsidTr="001F6E88">
        <w:trPr>
          <w:cantSplit/>
          <w:trHeight w:val="290"/>
          <w:tblHeader/>
          <w:jc w:val="center"/>
        </w:trPr>
        <w:tc>
          <w:tcPr>
            <w:tcW w:w="1330" w:type="pct"/>
          </w:tcPr>
          <w:p w14:paraId="5E73C300"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90 à 119 </w:t>
            </w:r>
          </w:p>
        </w:tc>
        <w:tc>
          <w:tcPr>
            <w:tcW w:w="1835" w:type="pct"/>
          </w:tcPr>
          <w:p w14:paraId="1A0CC6CC"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391</w:t>
            </w:r>
          </w:p>
        </w:tc>
        <w:tc>
          <w:tcPr>
            <w:tcW w:w="1835" w:type="pct"/>
          </w:tcPr>
          <w:p w14:paraId="773333E2" w14:textId="0C10377E"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233D0334" w14:textId="77777777" w:rsidTr="001F6E88">
        <w:trPr>
          <w:cantSplit/>
          <w:trHeight w:val="290"/>
          <w:tblHeader/>
          <w:jc w:val="center"/>
        </w:trPr>
        <w:tc>
          <w:tcPr>
            <w:tcW w:w="1330" w:type="pct"/>
          </w:tcPr>
          <w:p w14:paraId="5E21735C"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120 à 149 </w:t>
            </w:r>
          </w:p>
        </w:tc>
        <w:tc>
          <w:tcPr>
            <w:tcW w:w="1835" w:type="pct"/>
          </w:tcPr>
          <w:p w14:paraId="44536E16"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367</w:t>
            </w:r>
          </w:p>
        </w:tc>
        <w:tc>
          <w:tcPr>
            <w:tcW w:w="1835" w:type="pct"/>
          </w:tcPr>
          <w:p w14:paraId="4FB30E6B" w14:textId="76150469"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0EE53CE4" w14:textId="77777777" w:rsidTr="001F6E88">
        <w:trPr>
          <w:cantSplit/>
          <w:trHeight w:val="290"/>
          <w:tblHeader/>
          <w:jc w:val="center"/>
        </w:trPr>
        <w:tc>
          <w:tcPr>
            <w:tcW w:w="1330" w:type="pct"/>
          </w:tcPr>
          <w:p w14:paraId="76B09DAE"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150 à 179 </w:t>
            </w:r>
          </w:p>
        </w:tc>
        <w:tc>
          <w:tcPr>
            <w:tcW w:w="1835" w:type="pct"/>
          </w:tcPr>
          <w:p w14:paraId="709E1A76"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322</w:t>
            </w:r>
          </w:p>
        </w:tc>
        <w:tc>
          <w:tcPr>
            <w:tcW w:w="1835" w:type="pct"/>
          </w:tcPr>
          <w:p w14:paraId="7C6A239D" w14:textId="38E4A3B9"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2FA3D510" w14:textId="77777777" w:rsidTr="001F6E88">
        <w:trPr>
          <w:cantSplit/>
          <w:trHeight w:val="290"/>
          <w:tblHeader/>
          <w:jc w:val="center"/>
        </w:trPr>
        <w:tc>
          <w:tcPr>
            <w:tcW w:w="1330" w:type="pct"/>
          </w:tcPr>
          <w:p w14:paraId="0B5DBE3D"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180 à 209 </w:t>
            </w:r>
          </w:p>
        </w:tc>
        <w:tc>
          <w:tcPr>
            <w:tcW w:w="1835" w:type="pct"/>
          </w:tcPr>
          <w:p w14:paraId="2657E19C"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278</w:t>
            </w:r>
          </w:p>
        </w:tc>
        <w:tc>
          <w:tcPr>
            <w:tcW w:w="1835" w:type="pct"/>
          </w:tcPr>
          <w:p w14:paraId="1476E109" w14:textId="2B45F71E"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5376E56C" w14:textId="77777777" w:rsidTr="001F6E88">
        <w:trPr>
          <w:cantSplit/>
          <w:trHeight w:val="290"/>
          <w:tblHeader/>
          <w:jc w:val="center"/>
        </w:trPr>
        <w:tc>
          <w:tcPr>
            <w:tcW w:w="1330" w:type="pct"/>
          </w:tcPr>
          <w:p w14:paraId="3B318288"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210 à 239 </w:t>
            </w:r>
          </w:p>
        </w:tc>
        <w:tc>
          <w:tcPr>
            <w:tcW w:w="1835" w:type="pct"/>
          </w:tcPr>
          <w:p w14:paraId="75696C53"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241</w:t>
            </w:r>
          </w:p>
        </w:tc>
        <w:tc>
          <w:tcPr>
            <w:tcW w:w="1835" w:type="pct"/>
          </w:tcPr>
          <w:p w14:paraId="686DB2F2" w14:textId="5D0DAA63"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0193063" w14:textId="77777777" w:rsidTr="001F6E88">
        <w:trPr>
          <w:cantSplit/>
          <w:trHeight w:val="290"/>
          <w:tblHeader/>
          <w:jc w:val="center"/>
        </w:trPr>
        <w:tc>
          <w:tcPr>
            <w:tcW w:w="1330" w:type="pct"/>
          </w:tcPr>
          <w:p w14:paraId="134C5593"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240 à 269 </w:t>
            </w:r>
          </w:p>
        </w:tc>
        <w:tc>
          <w:tcPr>
            <w:tcW w:w="1835" w:type="pct"/>
          </w:tcPr>
          <w:p w14:paraId="727BAD1C"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165</w:t>
            </w:r>
          </w:p>
        </w:tc>
        <w:tc>
          <w:tcPr>
            <w:tcW w:w="1835" w:type="pct"/>
          </w:tcPr>
          <w:p w14:paraId="0DACFAAB" w14:textId="4F0AE084"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2515B4BF" w14:textId="77777777" w:rsidTr="001F6E88">
        <w:trPr>
          <w:cantSplit/>
          <w:trHeight w:val="290"/>
          <w:tblHeader/>
          <w:jc w:val="center"/>
        </w:trPr>
        <w:tc>
          <w:tcPr>
            <w:tcW w:w="1330" w:type="pct"/>
          </w:tcPr>
          <w:p w14:paraId="21621DA2"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270 à 299 </w:t>
            </w:r>
          </w:p>
        </w:tc>
        <w:tc>
          <w:tcPr>
            <w:tcW w:w="1835" w:type="pct"/>
          </w:tcPr>
          <w:p w14:paraId="4C179742"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134</w:t>
            </w:r>
          </w:p>
        </w:tc>
        <w:tc>
          <w:tcPr>
            <w:tcW w:w="1835" w:type="pct"/>
          </w:tcPr>
          <w:p w14:paraId="40129CC9" w14:textId="18F3DB4A"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306C489" w14:textId="77777777" w:rsidTr="001F6E88">
        <w:trPr>
          <w:cantSplit/>
          <w:trHeight w:val="290"/>
          <w:tblHeader/>
          <w:jc w:val="center"/>
        </w:trPr>
        <w:tc>
          <w:tcPr>
            <w:tcW w:w="1330" w:type="pct"/>
          </w:tcPr>
          <w:p w14:paraId="4CC3C22D"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300 à 329 </w:t>
            </w:r>
          </w:p>
        </w:tc>
        <w:tc>
          <w:tcPr>
            <w:tcW w:w="1835" w:type="pct"/>
          </w:tcPr>
          <w:p w14:paraId="0CFD1A6F"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107</w:t>
            </w:r>
          </w:p>
        </w:tc>
        <w:tc>
          <w:tcPr>
            <w:tcW w:w="1835" w:type="pct"/>
          </w:tcPr>
          <w:p w14:paraId="64EBBEE2" w14:textId="07EB8B29"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252E3FCC" w14:textId="77777777" w:rsidTr="001F6E88">
        <w:trPr>
          <w:cantSplit/>
          <w:trHeight w:val="290"/>
          <w:tblHeader/>
          <w:jc w:val="center"/>
        </w:trPr>
        <w:tc>
          <w:tcPr>
            <w:tcW w:w="1330" w:type="pct"/>
          </w:tcPr>
          <w:p w14:paraId="75AE8CD7"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330 à 359 </w:t>
            </w:r>
          </w:p>
        </w:tc>
        <w:tc>
          <w:tcPr>
            <w:tcW w:w="1835" w:type="pct"/>
          </w:tcPr>
          <w:p w14:paraId="445E027A"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77</w:t>
            </w:r>
          </w:p>
        </w:tc>
        <w:tc>
          <w:tcPr>
            <w:tcW w:w="1835" w:type="pct"/>
          </w:tcPr>
          <w:p w14:paraId="6591CB39" w14:textId="66EB8FD1"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25AF91D9" w14:textId="77777777" w:rsidTr="001F6E88">
        <w:trPr>
          <w:cantSplit/>
          <w:trHeight w:val="290"/>
          <w:tblHeader/>
          <w:jc w:val="center"/>
        </w:trPr>
        <w:tc>
          <w:tcPr>
            <w:tcW w:w="1330" w:type="pct"/>
          </w:tcPr>
          <w:p w14:paraId="7A5232C6"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360 à 389 </w:t>
            </w:r>
          </w:p>
        </w:tc>
        <w:tc>
          <w:tcPr>
            <w:tcW w:w="1835" w:type="pct"/>
          </w:tcPr>
          <w:p w14:paraId="3E72C293"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61</w:t>
            </w:r>
          </w:p>
        </w:tc>
        <w:tc>
          <w:tcPr>
            <w:tcW w:w="1835" w:type="pct"/>
          </w:tcPr>
          <w:p w14:paraId="539F69ED" w14:textId="5E46A787"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7F542F10" w14:textId="77777777" w:rsidTr="001F6E88">
        <w:trPr>
          <w:cantSplit/>
          <w:trHeight w:val="290"/>
          <w:tblHeader/>
          <w:jc w:val="center"/>
        </w:trPr>
        <w:tc>
          <w:tcPr>
            <w:tcW w:w="1330" w:type="pct"/>
          </w:tcPr>
          <w:p w14:paraId="5B7B091F"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390 à 419 </w:t>
            </w:r>
          </w:p>
        </w:tc>
        <w:tc>
          <w:tcPr>
            <w:tcW w:w="1835" w:type="pct"/>
          </w:tcPr>
          <w:p w14:paraId="1A19DB8E"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53</w:t>
            </w:r>
          </w:p>
        </w:tc>
        <w:tc>
          <w:tcPr>
            <w:tcW w:w="1835" w:type="pct"/>
          </w:tcPr>
          <w:p w14:paraId="6D08A2A3" w14:textId="61B941F7"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326C496D" w14:textId="77777777" w:rsidTr="001F6E88">
        <w:trPr>
          <w:cantSplit/>
          <w:trHeight w:val="290"/>
          <w:tblHeader/>
          <w:jc w:val="center"/>
        </w:trPr>
        <w:tc>
          <w:tcPr>
            <w:tcW w:w="1330" w:type="pct"/>
          </w:tcPr>
          <w:p w14:paraId="5B9E6FB9"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420 à 449 </w:t>
            </w:r>
          </w:p>
        </w:tc>
        <w:tc>
          <w:tcPr>
            <w:tcW w:w="1835" w:type="pct"/>
          </w:tcPr>
          <w:p w14:paraId="6830F03C"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51</w:t>
            </w:r>
          </w:p>
        </w:tc>
        <w:tc>
          <w:tcPr>
            <w:tcW w:w="1835" w:type="pct"/>
          </w:tcPr>
          <w:p w14:paraId="387D1A72" w14:textId="38E21D8E"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0AC8344C" w14:textId="77777777" w:rsidTr="001F6E88">
        <w:trPr>
          <w:cantSplit/>
          <w:trHeight w:val="290"/>
          <w:tblHeader/>
          <w:jc w:val="center"/>
        </w:trPr>
        <w:tc>
          <w:tcPr>
            <w:tcW w:w="1330" w:type="pct"/>
          </w:tcPr>
          <w:p w14:paraId="7F49B568"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450 à 479 </w:t>
            </w:r>
          </w:p>
        </w:tc>
        <w:tc>
          <w:tcPr>
            <w:tcW w:w="1835" w:type="pct"/>
          </w:tcPr>
          <w:p w14:paraId="49C15CAE"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42</w:t>
            </w:r>
          </w:p>
        </w:tc>
        <w:tc>
          <w:tcPr>
            <w:tcW w:w="1835" w:type="pct"/>
          </w:tcPr>
          <w:p w14:paraId="1A0D4978" w14:textId="3CD2C2BE"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9DC9580" w14:textId="77777777" w:rsidTr="001F6E88">
        <w:trPr>
          <w:cantSplit/>
          <w:trHeight w:val="290"/>
          <w:tblHeader/>
          <w:jc w:val="center"/>
        </w:trPr>
        <w:tc>
          <w:tcPr>
            <w:tcW w:w="1330" w:type="pct"/>
          </w:tcPr>
          <w:p w14:paraId="3D8B07D3"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480 à 509 </w:t>
            </w:r>
          </w:p>
        </w:tc>
        <w:tc>
          <w:tcPr>
            <w:tcW w:w="1835" w:type="pct"/>
          </w:tcPr>
          <w:p w14:paraId="19B7F6AE"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40</w:t>
            </w:r>
          </w:p>
        </w:tc>
        <w:tc>
          <w:tcPr>
            <w:tcW w:w="1835" w:type="pct"/>
          </w:tcPr>
          <w:p w14:paraId="417F408F" w14:textId="7BFBD613"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333B6524" w14:textId="77777777" w:rsidTr="001F6E88">
        <w:trPr>
          <w:cantSplit/>
          <w:trHeight w:val="290"/>
          <w:tblHeader/>
          <w:jc w:val="center"/>
        </w:trPr>
        <w:tc>
          <w:tcPr>
            <w:tcW w:w="1330" w:type="pct"/>
          </w:tcPr>
          <w:p w14:paraId="2E602A64"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510 à 539 </w:t>
            </w:r>
          </w:p>
        </w:tc>
        <w:tc>
          <w:tcPr>
            <w:tcW w:w="1835" w:type="pct"/>
          </w:tcPr>
          <w:p w14:paraId="3A46FE78"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32</w:t>
            </w:r>
          </w:p>
        </w:tc>
        <w:tc>
          <w:tcPr>
            <w:tcW w:w="1835" w:type="pct"/>
          </w:tcPr>
          <w:p w14:paraId="509D07A7" w14:textId="6043C19C"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09F0DF78" w14:textId="77777777" w:rsidTr="001F6E88">
        <w:trPr>
          <w:cantSplit/>
          <w:trHeight w:val="290"/>
          <w:tblHeader/>
          <w:jc w:val="center"/>
        </w:trPr>
        <w:tc>
          <w:tcPr>
            <w:tcW w:w="1330" w:type="pct"/>
          </w:tcPr>
          <w:p w14:paraId="08A3D6E5"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540 à 569 </w:t>
            </w:r>
          </w:p>
        </w:tc>
        <w:tc>
          <w:tcPr>
            <w:tcW w:w="1835" w:type="pct"/>
          </w:tcPr>
          <w:p w14:paraId="1077C73E"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24</w:t>
            </w:r>
          </w:p>
        </w:tc>
        <w:tc>
          <w:tcPr>
            <w:tcW w:w="1835" w:type="pct"/>
          </w:tcPr>
          <w:p w14:paraId="5E2343E7" w14:textId="4FCBF3D5"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5078C45E" w14:textId="77777777" w:rsidTr="001F6E88">
        <w:trPr>
          <w:cantSplit/>
          <w:trHeight w:val="290"/>
          <w:tblHeader/>
          <w:jc w:val="center"/>
        </w:trPr>
        <w:tc>
          <w:tcPr>
            <w:tcW w:w="1330" w:type="pct"/>
          </w:tcPr>
          <w:p w14:paraId="78B9BD4E"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570 à 599 </w:t>
            </w:r>
          </w:p>
        </w:tc>
        <w:tc>
          <w:tcPr>
            <w:tcW w:w="1835" w:type="pct"/>
          </w:tcPr>
          <w:p w14:paraId="08A05AD1"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21</w:t>
            </w:r>
          </w:p>
        </w:tc>
        <w:tc>
          <w:tcPr>
            <w:tcW w:w="1835" w:type="pct"/>
          </w:tcPr>
          <w:p w14:paraId="0AC8B29C" w14:textId="70350F27"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754EA958" w14:textId="77777777" w:rsidTr="001F6E88">
        <w:trPr>
          <w:cantSplit/>
          <w:trHeight w:val="290"/>
          <w:tblHeader/>
          <w:jc w:val="center"/>
        </w:trPr>
        <w:tc>
          <w:tcPr>
            <w:tcW w:w="1330" w:type="pct"/>
          </w:tcPr>
          <w:p w14:paraId="44121EBE"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600 à 629 </w:t>
            </w:r>
          </w:p>
        </w:tc>
        <w:tc>
          <w:tcPr>
            <w:tcW w:w="1835" w:type="pct"/>
          </w:tcPr>
          <w:p w14:paraId="06323BA3"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11</w:t>
            </w:r>
          </w:p>
        </w:tc>
        <w:tc>
          <w:tcPr>
            <w:tcW w:w="1835" w:type="pct"/>
          </w:tcPr>
          <w:p w14:paraId="5026A32C" w14:textId="59156985"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7405556E" w14:textId="77777777" w:rsidTr="001F6E88">
        <w:trPr>
          <w:cantSplit/>
          <w:trHeight w:val="290"/>
          <w:tblHeader/>
          <w:jc w:val="center"/>
        </w:trPr>
        <w:tc>
          <w:tcPr>
            <w:tcW w:w="1330" w:type="pct"/>
          </w:tcPr>
          <w:p w14:paraId="65C3976B"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630 à 659 </w:t>
            </w:r>
          </w:p>
        </w:tc>
        <w:tc>
          <w:tcPr>
            <w:tcW w:w="1835" w:type="pct"/>
          </w:tcPr>
          <w:p w14:paraId="1B94C6DB"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19</w:t>
            </w:r>
          </w:p>
        </w:tc>
        <w:tc>
          <w:tcPr>
            <w:tcW w:w="1835" w:type="pct"/>
          </w:tcPr>
          <w:p w14:paraId="359D7103" w14:textId="575C5C48"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537BD5A5" w14:textId="77777777" w:rsidTr="001F6E88">
        <w:trPr>
          <w:cantSplit/>
          <w:trHeight w:val="290"/>
          <w:tblHeader/>
          <w:jc w:val="center"/>
        </w:trPr>
        <w:tc>
          <w:tcPr>
            <w:tcW w:w="1330" w:type="pct"/>
          </w:tcPr>
          <w:p w14:paraId="0BAB58E5"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660 à 689 </w:t>
            </w:r>
          </w:p>
        </w:tc>
        <w:tc>
          <w:tcPr>
            <w:tcW w:w="1835" w:type="pct"/>
          </w:tcPr>
          <w:p w14:paraId="477E0D73"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3</w:t>
            </w:r>
          </w:p>
        </w:tc>
        <w:tc>
          <w:tcPr>
            <w:tcW w:w="1835" w:type="pct"/>
          </w:tcPr>
          <w:p w14:paraId="49D6E0D3" w14:textId="143981A6"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3F6AC7B2" w14:textId="77777777" w:rsidTr="001F6E88">
        <w:trPr>
          <w:cantSplit/>
          <w:trHeight w:val="290"/>
          <w:tblHeader/>
          <w:jc w:val="center"/>
        </w:trPr>
        <w:tc>
          <w:tcPr>
            <w:tcW w:w="1330" w:type="pct"/>
          </w:tcPr>
          <w:p w14:paraId="50BFF05C"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690 à 719 </w:t>
            </w:r>
          </w:p>
        </w:tc>
        <w:tc>
          <w:tcPr>
            <w:tcW w:w="1835" w:type="pct"/>
          </w:tcPr>
          <w:p w14:paraId="6E74D5F5"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13</w:t>
            </w:r>
          </w:p>
        </w:tc>
        <w:tc>
          <w:tcPr>
            <w:tcW w:w="1835" w:type="pct"/>
          </w:tcPr>
          <w:p w14:paraId="1340FE5C" w14:textId="3D1B8EDF"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62E0AE08" w14:textId="77777777" w:rsidTr="001F6E88">
        <w:trPr>
          <w:cantSplit/>
          <w:trHeight w:val="302"/>
          <w:tblHeader/>
          <w:jc w:val="center"/>
        </w:trPr>
        <w:tc>
          <w:tcPr>
            <w:tcW w:w="1330" w:type="pct"/>
          </w:tcPr>
          <w:p w14:paraId="7E7BBAF2"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720 à 749 </w:t>
            </w:r>
          </w:p>
        </w:tc>
        <w:tc>
          <w:tcPr>
            <w:tcW w:w="1835" w:type="pct"/>
          </w:tcPr>
          <w:p w14:paraId="6BBFDA76"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6</w:t>
            </w:r>
          </w:p>
        </w:tc>
        <w:tc>
          <w:tcPr>
            <w:tcW w:w="1835" w:type="pct"/>
          </w:tcPr>
          <w:p w14:paraId="3A2CC725" w14:textId="5D10814A"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66D7F468" w14:textId="77777777" w:rsidTr="001F6E88">
        <w:trPr>
          <w:cantSplit/>
          <w:trHeight w:val="290"/>
          <w:tblHeader/>
          <w:jc w:val="center"/>
        </w:trPr>
        <w:tc>
          <w:tcPr>
            <w:tcW w:w="1330" w:type="pct"/>
          </w:tcPr>
          <w:p w14:paraId="60814FB5"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750 à 779 </w:t>
            </w:r>
          </w:p>
        </w:tc>
        <w:tc>
          <w:tcPr>
            <w:tcW w:w="1835" w:type="pct"/>
          </w:tcPr>
          <w:p w14:paraId="5BDBB4AF"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5</w:t>
            </w:r>
          </w:p>
        </w:tc>
        <w:tc>
          <w:tcPr>
            <w:tcW w:w="1835" w:type="pct"/>
          </w:tcPr>
          <w:p w14:paraId="16AF86ED" w14:textId="2E677F14"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583B73EB" w14:textId="77777777" w:rsidTr="001F6E88">
        <w:trPr>
          <w:cantSplit/>
          <w:trHeight w:val="290"/>
          <w:tblHeader/>
          <w:jc w:val="center"/>
        </w:trPr>
        <w:tc>
          <w:tcPr>
            <w:tcW w:w="1330" w:type="pct"/>
          </w:tcPr>
          <w:p w14:paraId="05C83079"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780 à 809 </w:t>
            </w:r>
          </w:p>
        </w:tc>
        <w:tc>
          <w:tcPr>
            <w:tcW w:w="1835" w:type="pct"/>
          </w:tcPr>
          <w:p w14:paraId="6BF83AA4"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8</w:t>
            </w:r>
          </w:p>
        </w:tc>
        <w:tc>
          <w:tcPr>
            <w:tcW w:w="1835" w:type="pct"/>
          </w:tcPr>
          <w:p w14:paraId="2CEE979F" w14:textId="47BF99AD"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7BF7874" w14:textId="77777777" w:rsidTr="001F6E88">
        <w:trPr>
          <w:cantSplit/>
          <w:trHeight w:val="290"/>
          <w:tblHeader/>
          <w:jc w:val="center"/>
        </w:trPr>
        <w:tc>
          <w:tcPr>
            <w:tcW w:w="1330" w:type="pct"/>
          </w:tcPr>
          <w:p w14:paraId="7BDAF14F"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810 à 839 </w:t>
            </w:r>
          </w:p>
        </w:tc>
        <w:tc>
          <w:tcPr>
            <w:tcW w:w="1835" w:type="pct"/>
          </w:tcPr>
          <w:p w14:paraId="196855F8"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4</w:t>
            </w:r>
          </w:p>
        </w:tc>
        <w:tc>
          <w:tcPr>
            <w:tcW w:w="1835" w:type="pct"/>
          </w:tcPr>
          <w:p w14:paraId="52B6BEB8" w14:textId="690311C7"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E861FFB" w14:textId="77777777" w:rsidTr="001F6E88">
        <w:trPr>
          <w:cantSplit/>
          <w:trHeight w:val="290"/>
          <w:tblHeader/>
          <w:jc w:val="center"/>
        </w:trPr>
        <w:tc>
          <w:tcPr>
            <w:tcW w:w="1330" w:type="pct"/>
          </w:tcPr>
          <w:p w14:paraId="177CCB4A"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840 à 869 </w:t>
            </w:r>
          </w:p>
        </w:tc>
        <w:tc>
          <w:tcPr>
            <w:tcW w:w="1835" w:type="pct"/>
          </w:tcPr>
          <w:p w14:paraId="298FA4DC"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10</w:t>
            </w:r>
          </w:p>
        </w:tc>
        <w:tc>
          <w:tcPr>
            <w:tcW w:w="1835" w:type="pct"/>
          </w:tcPr>
          <w:p w14:paraId="06B450A3" w14:textId="72BF88AD"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79FDAAEA" w14:textId="77777777" w:rsidTr="001F6E88">
        <w:trPr>
          <w:cantSplit/>
          <w:trHeight w:val="290"/>
          <w:tblHeader/>
          <w:jc w:val="center"/>
        </w:trPr>
        <w:tc>
          <w:tcPr>
            <w:tcW w:w="1330" w:type="pct"/>
          </w:tcPr>
          <w:p w14:paraId="0A85C4D1"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870 à 899 </w:t>
            </w:r>
          </w:p>
        </w:tc>
        <w:tc>
          <w:tcPr>
            <w:tcW w:w="1835" w:type="pct"/>
          </w:tcPr>
          <w:p w14:paraId="48DC373A"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4</w:t>
            </w:r>
          </w:p>
        </w:tc>
        <w:tc>
          <w:tcPr>
            <w:tcW w:w="1835" w:type="pct"/>
          </w:tcPr>
          <w:p w14:paraId="433F99D7" w14:textId="61892A8D"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1B67F8DE" w14:textId="77777777" w:rsidTr="001F6E88">
        <w:trPr>
          <w:cantSplit/>
          <w:trHeight w:val="290"/>
          <w:tblHeader/>
          <w:jc w:val="center"/>
        </w:trPr>
        <w:tc>
          <w:tcPr>
            <w:tcW w:w="1330" w:type="pct"/>
          </w:tcPr>
          <w:p w14:paraId="1392BCBC"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900 à 929 </w:t>
            </w:r>
          </w:p>
        </w:tc>
        <w:tc>
          <w:tcPr>
            <w:tcW w:w="1835" w:type="pct"/>
          </w:tcPr>
          <w:p w14:paraId="7F5F3728"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5</w:t>
            </w:r>
          </w:p>
        </w:tc>
        <w:tc>
          <w:tcPr>
            <w:tcW w:w="1835" w:type="pct"/>
          </w:tcPr>
          <w:p w14:paraId="02D408F3" w14:textId="2422AD75"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5591F13B" w14:textId="77777777" w:rsidTr="001F6E88">
        <w:trPr>
          <w:cantSplit/>
          <w:trHeight w:val="290"/>
          <w:tblHeader/>
          <w:jc w:val="center"/>
        </w:trPr>
        <w:tc>
          <w:tcPr>
            <w:tcW w:w="1330" w:type="pct"/>
          </w:tcPr>
          <w:p w14:paraId="7EC32507"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930 à 959 </w:t>
            </w:r>
          </w:p>
        </w:tc>
        <w:tc>
          <w:tcPr>
            <w:tcW w:w="1835" w:type="pct"/>
          </w:tcPr>
          <w:p w14:paraId="1F708038"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5</w:t>
            </w:r>
          </w:p>
        </w:tc>
        <w:tc>
          <w:tcPr>
            <w:tcW w:w="1835" w:type="pct"/>
          </w:tcPr>
          <w:p w14:paraId="39F3B5CB" w14:textId="3DF6447B"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09E24500" w14:textId="77777777" w:rsidTr="001F6E88">
        <w:trPr>
          <w:cantSplit/>
          <w:trHeight w:val="290"/>
          <w:tblHeader/>
          <w:jc w:val="center"/>
        </w:trPr>
        <w:tc>
          <w:tcPr>
            <w:tcW w:w="1330" w:type="pct"/>
          </w:tcPr>
          <w:p w14:paraId="5AE03F05"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 xml:space="preserve">De 960 à 989 </w:t>
            </w:r>
          </w:p>
        </w:tc>
        <w:tc>
          <w:tcPr>
            <w:tcW w:w="1835" w:type="pct"/>
          </w:tcPr>
          <w:p w14:paraId="67DE93CE"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3</w:t>
            </w:r>
          </w:p>
        </w:tc>
        <w:tc>
          <w:tcPr>
            <w:tcW w:w="1835" w:type="pct"/>
          </w:tcPr>
          <w:p w14:paraId="60D942BD" w14:textId="75FB243A"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817426" w:rsidRPr="00817426" w14:paraId="4929A461" w14:textId="77777777" w:rsidTr="001F6E88">
        <w:trPr>
          <w:cantSplit/>
          <w:trHeight w:val="290"/>
          <w:tblHeader/>
          <w:jc w:val="center"/>
        </w:trPr>
        <w:tc>
          <w:tcPr>
            <w:tcW w:w="1330" w:type="pct"/>
          </w:tcPr>
          <w:p w14:paraId="487DB989" w14:textId="77777777" w:rsidR="00817426" w:rsidRPr="00817426" w:rsidRDefault="00817426" w:rsidP="008423EA">
            <w:pPr>
              <w:autoSpaceDE w:val="0"/>
              <w:autoSpaceDN w:val="0"/>
              <w:adjustRightInd w:val="0"/>
              <w:rPr>
                <w:rFonts w:asciiTheme="minorHAnsi" w:hAnsiTheme="minorHAnsi" w:cstheme="minorHAnsi"/>
                <w:color w:val="000000"/>
                <w:sz w:val="22"/>
                <w:szCs w:val="22"/>
              </w:rPr>
            </w:pPr>
            <w:r w:rsidRPr="00817426">
              <w:rPr>
                <w:rFonts w:asciiTheme="minorHAnsi" w:hAnsiTheme="minorHAnsi" w:cstheme="minorHAnsi"/>
                <w:color w:val="000000"/>
                <w:sz w:val="22"/>
                <w:szCs w:val="22"/>
              </w:rPr>
              <w:t>990 et plus</w:t>
            </w:r>
          </w:p>
        </w:tc>
        <w:tc>
          <w:tcPr>
            <w:tcW w:w="1835" w:type="pct"/>
          </w:tcPr>
          <w:p w14:paraId="1A43A0E0" w14:textId="77777777" w:rsidR="00817426" w:rsidRPr="00817426" w:rsidRDefault="00817426" w:rsidP="008423EA">
            <w:pPr>
              <w:autoSpaceDE w:val="0"/>
              <w:autoSpaceDN w:val="0"/>
              <w:adjustRightInd w:val="0"/>
              <w:jc w:val="center"/>
              <w:rPr>
                <w:rFonts w:asciiTheme="minorHAnsi" w:hAnsiTheme="minorHAnsi" w:cstheme="minorHAnsi"/>
                <w:color w:val="000000"/>
                <w:sz w:val="22"/>
                <w:szCs w:val="22"/>
              </w:rPr>
            </w:pPr>
            <w:r w:rsidRPr="00817426">
              <w:rPr>
                <w:rFonts w:asciiTheme="minorHAnsi" w:hAnsiTheme="minorHAnsi" w:cstheme="minorHAnsi"/>
                <w:sz w:val="22"/>
                <w:szCs w:val="22"/>
              </w:rPr>
              <w:t>23</w:t>
            </w:r>
          </w:p>
        </w:tc>
        <w:tc>
          <w:tcPr>
            <w:tcW w:w="1835" w:type="pct"/>
          </w:tcPr>
          <w:p w14:paraId="2F7F7EA1" w14:textId="3EA9BE9B" w:rsidR="00817426" w:rsidRPr="00817426" w:rsidRDefault="00A32DE4" w:rsidP="008423EA">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bl>
    <w:p w14:paraId="059C8D56" w14:textId="77777777" w:rsidR="00817426" w:rsidRDefault="00817426" w:rsidP="007B1B27">
      <w:pPr>
        <w:pStyle w:val="Level1"/>
        <w:tabs>
          <w:tab w:val="left" w:pos="-1440"/>
        </w:tabs>
        <w:autoSpaceDE w:val="0"/>
        <w:autoSpaceDN w:val="0"/>
        <w:adjustRightInd w:val="0"/>
        <w:spacing w:after="120" w:line="20" w:lineRule="atLeast"/>
        <w:rPr>
          <w:rFonts w:ascii="Arial" w:hAnsi="Arial" w:cs="Arial"/>
          <w:sz w:val="22"/>
          <w:szCs w:val="22"/>
        </w:rPr>
      </w:pPr>
    </w:p>
    <w:p w14:paraId="72337C49" w14:textId="77777777" w:rsidR="00817426" w:rsidRDefault="00817426" w:rsidP="007B1B27">
      <w:pPr>
        <w:pStyle w:val="Level1"/>
        <w:tabs>
          <w:tab w:val="left" w:pos="-1440"/>
        </w:tabs>
        <w:autoSpaceDE w:val="0"/>
        <w:autoSpaceDN w:val="0"/>
        <w:adjustRightInd w:val="0"/>
        <w:spacing w:after="120" w:line="20" w:lineRule="atLeast"/>
        <w:rPr>
          <w:rFonts w:ascii="Arial" w:hAnsi="Arial" w:cs="Arial"/>
          <w:sz w:val="22"/>
          <w:szCs w:val="22"/>
        </w:rPr>
        <w:sectPr w:rsidR="00817426" w:rsidSect="00817426">
          <w:footnotePr>
            <w:numFmt w:val="lowerLetter"/>
          </w:footnotePr>
          <w:endnotePr>
            <w:numFmt w:val="lowerLetter"/>
          </w:endnotePr>
          <w:pgSz w:w="24480" w:h="15840" w:orient="landscape" w:code="3"/>
          <w:pgMar w:top="720" w:right="720" w:bottom="720" w:left="720" w:header="284" w:footer="284" w:gutter="0"/>
          <w:cols w:space="720"/>
          <w:docGrid w:linePitch="326"/>
        </w:sectPr>
      </w:pPr>
    </w:p>
    <w:p w14:paraId="61E6E033" w14:textId="5A953E01" w:rsidR="00817426" w:rsidRPr="00A32DE4" w:rsidRDefault="00817426" w:rsidP="00817426">
      <w:pPr>
        <w:pStyle w:val="Heading1"/>
        <w:spacing w:before="120" w:after="120"/>
        <w:rPr>
          <w:sz w:val="40"/>
        </w:rPr>
      </w:pPr>
      <w:r w:rsidRPr="00A32DE4">
        <w:rPr>
          <w:sz w:val="40"/>
        </w:rPr>
        <w:lastRenderedPageBreak/>
        <w:t>Durée des processus de dotation externes</w:t>
      </w:r>
    </w:p>
    <w:p w14:paraId="11D23FDD" w14:textId="77777777" w:rsidR="00817426" w:rsidRDefault="000F72EA" w:rsidP="00817426">
      <w:pPr>
        <w:keepNext/>
        <w:jc w:val="center"/>
      </w:pPr>
      <w:r w:rsidRPr="00013CF8">
        <w:rPr>
          <w:noProof/>
          <w:lang w:val="en-CA" w:eastAsia="en-CA"/>
        </w:rPr>
        <w:drawing>
          <wp:inline distT="0" distB="0" distL="0" distR="0" wp14:anchorId="55BEA8AC" wp14:editId="733E98C0">
            <wp:extent cx="5648400" cy="3049200"/>
            <wp:effectExtent l="0" t="0" r="9525" b="18415"/>
            <wp:docPr id="21" name="Chart 21" descr="Durée des processus de dotation externes - Durée médiane dans la fonction publique : 186 jour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9722ED" w14:textId="69F1096D" w:rsidR="000F72EA" w:rsidRPr="00A32DE4" w:rsidRDefault="00817426" w:rsidP="00A32DE4">
      <w:pPr>
        <w:pStyle w:val="Caption"/>
        <w:spacing w:after="240"/>
        <w:jc w:val="center"/>
        <w:rPr>
          <w:rFonts w:asciiTheme="minorHAnsi" w:hAnsiTheme="minorHAnsi" w:cstheme="minorHAnsi"/>
          <w:i w:val="0"/>
          <w:color w:val="auto"/>
        </w:rPr>
      </w:pPr>
      <w:r w:rsidRPr="00A32DE4">
        <w:rPr>
          <w:rFonts w:asciiTheme="minorHAnsi" w:hAnsiTheme="minorHAnsi" w:cstheme="minorHAnsi"/>
          <w:i w:val="0"/>
          <w:color w:val="auto"/>
        </w:rPr>
        <w:t xml:space="preserve">Figure </w:t>
      </w:r>
      <w:r w:rsidRPr="00A32DE4">
        <w:rPr>
          <w:rFonts w:asciiTheme="minorHAnsi" w:hAnsiTheme="minorHAnsi" w:cstheme="minorHAnsi"/>
          <w:i w:val="0"/>
          <w:color w:val="auto"/>
        </w:rPr>
        <w:fldChar w:fldCharType="begin"/>
      </w:r>
      <w:r w:rsidRPr="00A32DE4">
        <w:rPr>
          <w:rFonts w:asciiTheme="minorHAnsi" w:hAnsiTheme="minorHAnsi" w:cstheme="minorHAnsi"/>
          <w:i w:val="0"/>
          <w:color w:val="auto"/>
        </w:rPr>
        <w:instrText xml:space="preserve"> SEQ Figure \* ARABIC </w:instrText>
      </w:r>
      <w:r w:rsidRPr="00A32DE4">
        <w:rPr>
          <w:rFonts w:asciiTheme="minorHAnsi" w:hAnsiTheme="minorHAnsi" w:cstheme="minorHAnsi"/>
          <w:i w:val="0"/>
          <w:color w:val="auto"/>
        </w:rPr>
        <w:fldChar w:fldCharType="separate"/>
      </w:r>
      <w:r w:rsidRPr="00A32DE4">
        <w:rPr>
          <w:rFonts w:asciiTheme="minorHAnsi" w:hAnsiTheme="minorHAnsi" w:cstheme="minorHAnsi"/>
          <w:i w:val="0"/>
          <w:noProof/>
          <w:color w:val="auto"/>
        </w:rPr>
        <w:t>13</w:t>
      </w:r>
      <w:r w:rsidRPr="00A32DE4">
        <w:rPr>
          <w:rFonts w:asciiTheme="minorHAnsi" w:hAnsiTheme="minorHAnsi" w:cstheme="minorHAnsi"/>
          <w:i w:val="0"/>
          <w:color w:val="auto"/>
        </w:rPr>
        <w:fldChar w:fldCharType="end"/>
      </w:r>
      <w:r w:rsidRPr="00A32DE4">
        <w:rPr>
          <w:rFonts w:asciiTheme="minorHAnsi" w:hAnsiTheme="minorHAnsi" w:cstheme="minorHAnsi"/>
          <w:i w:val="0"/>
          <w:color w:val="auto"/>
        </w:rPr>
        <w:t xml:space="preserve"> - Durée des processus de dotation externes – Durée médiane dans la fonction publique : 186 jours, 2018-2019</w:t>
      </w:r>
    </w:p>
    <w:p w14:paraId="686E099B" w14:textId="20CF8B70" w:rsidR="00817426" w:rsidRPr="00955BBF" w:rsidRDefault="00030DD5" w:rsidP="00817426">
      <w:pPr>
        <w:pStyle w:val="Level1"/>
        <w:tabs>
          <w:tab w:val="left" w:pos="-1440"/>
        </w:tabs>
        <w:autoSpaceDE w:val="0"/>
        <w:autoSpaceDN w:val="0"/>
        <w:adjustRightInd w:val="0"/>
        <w:spacing w:after="240" w:line="20" w:lineRule="atLeast"/>
        <w:rPr>
          <w:rFonts w:asciiTheme="minorHAnsi" w:hAnsiTheme="minorHAnsi" w:cstheme="minorHAnsi"/>
          <w:sz w:val="22"/>
          <w:szCs w:val="22"/>
        </w:rPr>
      </w:pPr>
      <w:hyperlink w:anchor="Durée_dotation_externe" w:history="1">
        <w:r w:rsidR="00817426" w:rsidRPr="0019209C">
          <w:rPr>
            <w:rStyle w:val="Hyperlink"/>
            <w:rFonts w:asciiTheme="minorHAnsi" w:hAnsiTheme="minorHAnsi" w:cstheme="minorHAnsi"/>
            <w:b/>
            <w:sz w:val="22"/>
            <w:szCs w:val="22"/>
          </w:rPr>
          <w:t>Tableau des données sur la durée de dotation externes disponible ici</w:t>
        </w:r>
      </w:hyperlink>
    </w:p>
    <w:p w14:paraId="60736C07" w14:textId="36DEB409" w:rsidR="00817426" w:rsidRPr="00955BBF" w:rsidRDefault="00817426" w:rsidP="00817426">
      <w:pPr>
        <w:pStyle w:val="Level1"/>
        <w:tabs>
          <w:tab w:val="left" w:pos="-1440"/>
        </w:tabs>
        <w:autoSpaceDE w:val="0"/>
        <w:autoSpaceDN w:val="0"/>
        <w:adjustRightInd w:val="0"/>
        <w:spacing w:after="120" w:line="20" w:lineRule="atLeast"/>
        <w:rPr>
          <w:rStyle w:val="Strong"/>
        </w:rPr>
      </w:pPr>
      <w:r w:rsidRPr="00955BBF">
        <w:rPr>
          <w:rStyle w:val="Strong"/>
        </w:rPr>
        <w:t>Durée de</w:t>
      </w:r>
      <w:r>
        <w:rPr>
          <w:rStyle w:val="Strong"/>
        </w:rPr>
        <w:t>s processus de dotation externes</w:t>
      </w:r>
    </w:p>
    <w:p w14:paraId="470437E3" w14:textId="77777777" w:rsidR="00817426" w:rsidRPr="00955BBF" w:rsidRDefault="00817426" w:rsidP="00817426">
      <w:pPr>
        <w:spacing w:after="120"/>
        <w:rPr>
          <w:rFonts w:asciiTheme="minorHAnsi" w:hAnsiTheme="minorHAnsi" w:cstheme="minorHAnsi"/>
          <w:sz w:val="22"/>
          <w:szCs w:val="22"/>
        </w:rPr>
      </w:pPr>
      <w:r w:rsidRPr="00955BBF">
        <w:rPr>
          <w:rFonts w:asciiTheme="minorHAnsi" w:hAnsiTheme="minorHAnsi" w:cstheme="minorHAnsi"/>
          <w:sz w:val="22"/>
          <w:szCs w:val="22"/>
        </w:rPr>
        <w:t>La quantité limitée de données ne permet pas de fournir des résultats sur la durée de traitement interne au sein du Service canadien d’appui aux tribunaux administratif</w:t>
      </w:r>
      <w:r>
        <w:rPr>
          <w:rFonts w:asciiTheme="minorHAnsi" w:hAnsiTheme="minorHAnsi" w:cstheme="minorHAnsi"/>
          <w:sz w:val="22"/>
          <w:szCs w:val="22"/>
        </w:rPr>
        <w:t>s.</w:t>
      </w:r>
    </w:p>
    <w:p w14:paraId="07E0D629" w14:textId="601DB151" w:rsidR="00817426" w:rsidRPr="00955BBF" w:rsidRDefault="00817426" w:rsidP="00817426">
      <w:pPr>
        <w:pStyle w:val="Level1"/>
        <w:tabs>
          <w:tab w:val="left" w:pos="-1440"/>
        </w:tabs>
        <w:autoSpaceDE w:val="0"/>
        <w:autoSpaceDN w:val="0"/>
        <w:adjustRightInd w:val="0"/>
        <w:spacing w:after="120" w:line="20" w:lineRule="atLeast"/>
        <w:rPr>
          <w:rFonts w:asciiTheme="minorHAnsi" w:hAnsiTheme="minorHAnsi" w:cstheme="minorHAnsi"/>
          <w:sz w:val="22"/>
          <w:szCs w:val="22"/>
        </w:rPr>
      </w:pPr>
      <w:r w:rsidRPr="00955BBF">
        <w:rPr>
          <w:rFonts w:asciiTheme="minorHAnsi" w:hAnsiTheme="minorHAnsi" w:cstheme="minorHAnsi"/>
          <w:sz w:val="22"/>
          <w:szCs w:val="22"/>
        </w:rPr>
        <w:t>Afin de déterminer la dur</w:t>
      </w:r>
      <w:r>
        <w:rPr>
          <w:rFonts w:asciiTheme="minorHAnsi" w:hAnsiTheme="minorHAnsi" w:cstheme="minorHAnsi"/>
          <w:sz w:val="22"/>
          <w:szCs w:val="22"/>
        </w:rPr>
        <w:t>ée d’un processus de dotation ex</w:t>
      </w:r>
      <w:r w:rsidRPr="00955BBF">
        <w:rPr>
          <w:rFonts w:asciiTheme="minorHAnsi" w:hAnsiTheme="minorHAnsi" w:cstheme="minorHAnsi"/>
          <w:sz w:val="22"/>
          <w:szCs w:val="22"/>
        </w:rPr>
        <w:t xml:space="preserve">terne, il faut compter le nombre de jours civils entre la date d’ouverture de l’annonce et la date de la première </w:t>
      </w:r>
      <w:r>
        <w:rPr>
          <w:rFonts w:asciiTheme="minorHAnsi" w:hAnsiTheme="minorHAnsi" w:cstheme="minorHAnsi"/>
          <w:sz w:val="22"/>
          <w:szCs w:val="22"/>
        </w:rPr>
        <w:t>embauche prévue à l’externe.</w:t>
      </w:r>
    </w:p>
    <w:p w14:paraId="57849C70" w14:textId="54BEF389" w:rsidR="00817426" w:rsidRPr="00955BBF" w:rsidRDefault="00817426" w:rsidP="00A32DE4">
      <w:pPr>
        <w:spacing w:after="120"/>
        <w:rPr>
          <w:rStyle w:val="Strong"/>
        </w:rPr>
      </w:pPr>
      <w:r w:rsidRPr="00955BBF">
        <w:rPr>
          <w:rStyle w:val="Strong"/>
        </w:rPr>
        <w:t>Durée de</w:t>
      </w:r>
      <w:r>
        <w:rPr>
          <w:rStyle w:val="Strong"/>
        </w:rPr>
        <w:t>s processus de dotation externes</w:t>
      </w:r>
      <w:r w:rsidRPr="00955BBF">
        <w:rPr>
          <w:rStyle w:val="Strong"/>
        </w:rPr>
        <w:t xml:space="preserve"> au cours de l’exercice financier 2018</w:t>
      </w:r>
      <w:r w:rsidRPr="00955BBF">
        <w:rPr>
          <w:rStyle w:val="Strong"/>
        </w:rPr>
        <w:noBreakHyphen/>
        <w:t>2019</w:t>
      </w:r>
    </w:p>
    <w:p w14:paraId="157261B6" w14:textId="3C00EEB4" w:rsidR="00817426" w:rsidRPr="00817426" w:rsidRDefault="00817426" w:rsidP="00817426">
      <w:pPr>
        <w:rPr>
          <w:rFonts w:asciiTheme="minorHAnsi" w:hAnsiTheme="minorHAnsi" w:cstheme="minorHAnsi"/>
          <w:sz w:val="22"/>
          <w:szCs w:val="22"/>
        </w:rPr>
      </w:pPr>
      <w:r w:rsidRPr="00955BBF">
        <w:rPr>
          <w:rFonts w:asciiTheme="minorHAnsi" w:hAnsiTheme="minorHAnsi" w:cstheme="minorHAnsi"/>
          <w:sz w:val="22"/>
          <w:szCs w:val="22"/>
        </w:rPr>
        <w:t xml:space="preserve">La durée médiane des processus de dotation internes pour la fonction publique (organisations assujetties à la </w:t>
      </w:r>
      <w:r w:rsidRPr="00A32DE4">
        <w:rPr>
          <w:rStyle w:val="Emphasis"/>
          <w:i/>
          <w:sz w:val="22"/>
        </w:rPr>
        <w:t>Loi sur l’emploi dans la fonction publique</w:t>
      </w:r>
      <w:r w:rsidRPr="00955BBF">
        <w:rPr>
          <w:rFonts w:asciiTheme="minorHAnsi" w:hAnsiTheme="minorHAnsi" w:cstheme="minorHAnsi"/>
          <w:i/>
          <w:sz w:val="22"/>
          <w:szCs w:val="22"/>
        </w:rPr>
        <w:t xml:space="preserve">) </w:t>
      </w:r>
      <w:r w:rsidRPr="00955BBF">
        <w:rPr>
          <w:rFonts w:asciiTheme="minorHAnsi" w:hAnsiTheme="minorHAnsi" w:cstheme="minorHAnsi"/>
          <w:sz w:val="22"/>
          <w:szCs w:val="22"/>
        </w:rPr>
        <w:t>au cours de l’exercice financier </w:t>
      </w:r>
      <w:r>
        <w:rPr>
          <w:rFonts w:asciiTheme="minorHAnsi" w:hAnsiTheme="minorHAnsi" w:cstheme="minorHAnsi"/>
          <w:sz w:val="22"/>
          <w:szCs w:val="22"/>
        </w:rPr>
        <w:t>2018</w:t>
      </w:r>
      <w:r>
        <w:rPr>
          <w:rFonts w:asciiTheme="minorHAnsi" w:hAnsiTheme="minorHAnsi" w:cstheme="minorHAnsi"/>
          <w:sz w:val="22"/>
          <w:szCs w:val="22"/>
        </w:rPr>
        <w:noBreakHyphen/>
        <w:t>2019 est de 186 jours.</w:t>
      </w:r>
    </w:p>
    <w:p w14:paraId="601B419B" w14:textId="77777777" w:rsidR="00817426" w:rsidRDefault="00817426" w:rsidP="00817426">
      <w:pPr>
        <w:pStyle w:val="Level1"/>
        <w:tabs>
          <w:tab w:val="left" w:pos="-1440"/>
        </w:tabs>
        <w:autoSpaceDE w:val="0"/>
        <w:autoSpaceDN w:val="0"/>
        <w:adjustRightInd w:val="0"/>
        <w:spacing w:after="120" w:line="20" w:lineRule="atLeast"/>
        <w:rPr>
          <w:rFonts w:ascii="Arial" w:hAnsi="Arial" w:cs="Arial"/>
          <w:sz w:val="22"/>
          <w:szCs w:val="22"/>
        </w:rPr>
        <w:sectPr w:rsidR="00817426"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6E286636" w14:textId="7098640A" w:rsidR="00817426" w:rsidRPr="0009743A" w:rsidRDefault="0009743A" w:rsidP="0009743A">
      <w:pPr>
        <w:pStyle w:val="Heading1"/>
        <w:spacing w:before="120" w:after="120"/>
        <w:rPr>
          <w:rFonts w:eastAsiaTheme="minorHAnsi"/>
          <w:sz w:val="40"/>
        </w:rPr>
      </w:pPr>
      <w:r w:rsidRPr="0009743A">
        <w:rPr>
          <w:rFonts w:eastAsiaTheme="minorHAnsi"/>
          <w:sz w:val="40"/>
        </w:rPr>
        <w:lastRenderedPageBreak/>
        <w:t xml:space="preserve">Durée des processus </w:t>
      </w:r>
      <w:r>
        <w:rPr>
          <w:rFonts w:eastAsiaTheme="minorHAnsi"/>
          <w:sz w:val="40"/>
        </w:rPr>
        <w:t xml:space="preserve">de dotation </w:t>
      </w:r>
      <w:r w:rsidRPr="0009743A">
        <w:rPr>
          <w:rFonts w:eastAsiaTheme="minorHAnsi"/>
          <w:sz w:val="40"/>
        </w:rPr>
        <w:t>externes</w:t>
      </w:r>
    </w:p>
    <w:p w14:paraId="5543FEF4" w14:textId="11C2F23D" w:rsidR="0009743A" w:rsidRPr="0009743A" w:rsidRDefault="0009743A" w:rsidP="0009743A">
      <w:pPr>
        <w:pStyle w:val="Caption"/>
        <w:keepNext/>
        <w:spacing w:after="0"/>
        <w:rPr>
          <w:rFonts w:asciiTheme="minorHAnsi" w:hAnsiTheme="minorHAnsi" w:cstheme="minorHAnsi"/>
          <w:i w:val="0"/>
          <w:color w:val="auto"/>
        </w:rPr>
      </w:pPr>
      <w:r w:rsidRPr="0009743A">
        <w:rPr>
          <w:rFonts w:asciiTheme="minorHAnsi" w:hAnsiTheme="minorHAnsi" w:cstheme="minorHAnsi"/>
          <w:i w:val="0"/>
          <w:color w:val="auto"/>
        </w:rPr>
        <w:t xml:space="preserve">Table </w:t>
      </w:r>
      <w:r w:rsidRPr="0009743A">
        <w:rPr>
          <w:rFonts w:asciiTheme="minorHAnsi" w:hAnsiTheme="minorHAnsi" w:cstheme="minorHAnsi"/>
          <w:i w:val="0"/>
          <w:color w:val="auto"/>
        </w:rPr>
        <w:fldChar w:fldCharType="begin"/>
      </w:r>
      <w:r w:rsidRPr="0009743A">
        <w:rPr>
          <w:rFonts w:asciiTheme="minorHAnsi" w:hAnsiTheme="minorHAnsi" w:cstheme="minorHAnsi"/>
          <w:i w:val="0"/>
          <w:color w:val="auto"/>
        </w:rPr>
        <w:instrText xml:space="preserve"> SEQ Table \* ARABIC </w:instrText>
      </w:r>
      <w:r w:rsidRPr="0009743A">
        <w:rPr>
          <w:rFonts w:asciiTheme="minorHAnsi" w:hAnsiTheme="minorHAnsi" w:cstheme="minorHAnsi"/>
          <w:i w:val="0"/>
          <w:color w:val="auto"/>
        </w:rPr>
        <w:fldChar w:fldCharType="separate"/>
      </w:r>
      <w:r w:rsidRPr="0009743A">
        <w:rPr>
          <w:rFonts w:asciiTheme="minorHAnsi" w:hAnsiTheme="minorHAnsi" w:cstheme="minorHAnsi"/>
          <w:i w:val="0"/>
          <w:noProof/>
          <w:color w:val="auto"/>
        </w:rPr>
        <w:t>16</w:t>
      </w:r>
      <w:r w:rsidRPr="0009743A">
        <w:rPr>
          <w:rFonts w:asciiTheme="minorHAnsi" w:hAnsiTheme="minorHAnsi" w:cstheme="minorHAnsi"/>
          <w:i w:val="0"/>
          <w:color w:val="auto"/>
        </w:rPr>
        <w:fldChar w:fldCharType="end"/>
      </w:r>
      <w:r w:rsidRPr="0009743A">
        <w:rPr>
          <w:rFonts w:asciiTheme="minorHAnsi" w:hAnsiTheme="minorHAnsi" w:cstheme="minorHAnsi"/>
          <w:i w:val="0"/>
          <w:color w:val="auto"/>
        </w:rPr>
        <w:t xml:space="preserve"> - Durée des processus de dotation externes</w:t>
      </w:r>
    </w:p>
    <w:tbl>
      <w:tblPr>
        <w:tblStyle w:val="TableGrid"/>
        <w:tblW w:w="5000" w:type="pct"/>
        <w:jc w:val="center"/>
        <w:tblLook w:val="0020" w:firstRow="1" w:lastRow="0" w:firstColumn="0" w:lastColumn="0" w:noHBand="0" w:noVBand="0"/>
        <w:tblDescription w:val="Durées de processus de dotation externes"/>
      </w:tblPr>
      <w:tblGrid>
        <w:gridCol w:w="2830"/>
        <w:gridCol w:w="9782"/>
        <w:gridCol w:w="8978"/>
      </w:tblGrid>
      <w:tr w:rsidR="0009743A" w:rsidRPr="00E53E2F" w14:paraId="6D84F256" w14:textId="337F732C" w:rsidTr="001F6E88">
        <w:trPr>
          <w:cantSplit/>
          <w:trHeight w:val="290"/>
          <w:tblHeader/>
          <w:jc w:val="center"/>
        </w:trPr>
        <w:tc>
          <w:tcPr>
            <w:tcW w:w="655" w:type="pct"/>
          </w:tcPr>
          <w:p w14:paraId="22AD4D8D" w14:textId="77777777" w:rsidR="0009743A" w:rsidRPr="00E53E2F" w:rsidRDefault="0009743A" w:rsidP="00A32DE4">
            <w:pPr>
              <w:pStyle w:val="TableTitle"/>
            </w:pPr>
            <w:bookmarkStart w:id="5" w:name="Durée_dotation_externe"/>
            <w:r w:rsidRPr="00E53E2F">
              <w:t>Nombre de jours civils</w:t>
            </w:r>
            <w:bookmarkEnd w:id="5"/>
          </w:p>
        </w:tc>
        <w:tc>
          <w:tcPr>
            <w:tcW w:w="2265" w:type="pct"/>
          </w:tcPr>
          <w:p w14:paraId="3B723E85" w14:textId="444630DB" w:rsidR="0009743A" w:rsidRPr="00E53E2F" w:rsidRDefault="0009743A" w:rsidP="00A32DE4">
            <w:pPr>
              <w:pStyle w:val="TableTitle"/>
            </w:pPr>
            <w:r w:rsidRPr="00E53E2F">
              <w:t xml:space="preserve">Nombre de processus de nomination externes dont la durée correspondait au nombre de jours civils donné pour l’ensemble des organisations assujetties à la </w:t>
            </w:r>
            <w:r w:rsidRPr="001F6E88">
              <w:t>Loi sur l’emploi dans la fonction publique</w:t>
            </w:r>
          </w:p>
        </w:tc>
        <w:tc>
          <w:tcPr>
            <w:tcW w:w="2079" w:type="pct"/>
          </w:tcPr>
          <w:p w14:paraId="28D53E7F" w14:textId="53CD0F69" w:rsidR="0009743A" w:rsidRPr="00E53E2F" w:rsidRDefault="0009743A" w:rsidP="00A32DE4">
            <w:pPr>
              <w:pStyle w:val="TableTitle"/>
            </w:pPr>
            <w:r w:rsidRPr="00E53E2F">
              <w:t>Nombre de processus de nomination externes dont la durée correspondait au nombre de jours civils donné pour l’organisation précisée</w:t>
            </w:r>
          </w:p>
        </w:tc>
      </w:tr>
      <w:tr w:rsidR="0009743A" w:rsidRPr="0009743A" w14:paraId="7B047A06" w14:textId="17CB613C" w:rsidTr="001F6E88">
        <w:trPr>
          <w:cantSplit/>
          <w:trHeight w:val="290"/>
          <w:tblHeader/>
          <w:jc w:val="center"/>
        </w:trPr>
        <w:tc>
          <w:tcPr>
            <w:tcW w:w="655" w:type="pct"/>
          </w:tcPr>
          <w:p w14:paraId="2051BE76"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0 à 29 </w:t>
            </w:r>
          </w:p>
        </w:tc>
        <w:tc>
          <w:tcPr>
            <w:tcW w:w="2265" w:type="pct"/>
          </w:tcPr>
          <w:p w14:paraId="705DFF21" w14:textId="7CD4FE6A"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49</w:t>
            </w:r>
          </w:p>
        </w:tc>
        <w:tc>
          <w:tcPr>
            <w:tcW w:w="2079" w:type="pct"/>
          </w:tcPr>
          <w:p w14:paraId="61118800" w14:textId="5A7599D3"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67E51050" w14:textId="789B614E" w:rsidTr="001F6E88">
        <w:trPr>
          <w:cantSplit/>
          <w:trHeight w:val="290"/>
          <w:tblHeader/>
          <w:jc w:val="center"/>
        </w:trPr>
        <w:tc>
          <w:tcPr>
            <w:tcW w:w="655" w:type="pct"/>
          </w:tcPr>
          <w:p w14:paraId="75CA2B1E"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30 à 59 </w:t>
            </w:r>
          </w:p>
        </w:tc>
        <w:tc>
          <w:tcPr>
            <w:tcW w:w="2265" w:type="pct"/>
          </w:tcPr>
          <w:p w14:paraId="7BF0F075" w14:textId="12312F75"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82</w:t>
            </w:r>
          </w:p>
        </w:tc>
        <w:tc>
          <w:tcPr>
            <w:tcW w:w="2079" w:type="pct"/>
          </w:tcPr>
          <w:p w14:paraId="6545B3E9" w14:textId="71097D83"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44BF2547" w14:textId="3E13D1C7" w:rsidTr="001F6E88">
        <w:trPr>
          <w:cantSplit/>
          <w:trHeight w:val="290"/>
          <w:tblHeader/>
          <w:jc w:val="center"/>
        </w:trPr>
        <w:tc>
          <w:tcPr>
            <w:tcW w:w="655" w:type="pct"/>
          </w:tcPr>
          <w:p w14:paraId="59AFB4FD"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60 à 89 </w:t>
            </w:r>
          </w:p>
        </w:tc>
        <w:tc>
          <w:tcPr>
            <w:tcW w:w="2265" w:type="pct"/>
          </w:tcPr>
          <w:p w14:paraId="19639ADC" w14:textId="03F6543B"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124</w:t>
            </w:r>
          </w:p>
        </w:tc>
        <w:tc>
          <w:tcPr>
            <w:tcW w:w="2079" w:type="pct"/>
          </w:tcPr>
          <w:p w14:paraId="1D389C0D" w14:textId="77CE1BF0"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216FDC3C" w14:textId="1FC7660F" w:rsidTr="001F6E88">
        <w:trPr>
          <w:cantSplit/>
          <w:trHeight w:val="290"/>
          <w:tblHeader/>
          <w:jc w:val="center"/>
        </w:trPr>
        <w:tc>
          <w:tcPr>
            <w:tcW w:w="655" w:type="pct"/>
          </w:tcPr>
          <w:p w14:paraId="7405E6B0"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90 à 119 </w:t>
            </w:r>
          </w:p>
        </w:tc>
        <w:tc>
          <w:tcPr>
            <w:tcW w:w="2265" w:type="pct"/>
          </w:tcPr>
          <w:p w14:paraId="3FA2FDEE" w14:textId="1C09FBCE"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160</w:t>
            </w:r>
          </w:p>
        </w:tc>
        <w:tc>
          <w:tcPr>
            <w:tcW w:w="2079" w:type="pct"/>
          </w:tcPr>
          <w:p w14:paraId="6AF45AF1" w14:textId="7AB12964"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26A63F46" w14:textId="3B51B454" w:rsidTr="001F6E88">
        <w:trPr>
          <w:cantSplit/>
          <w:trHeight w:val="290"/>
          <w:tblHeader/>
          <w:jc w:val="center"/>
        </w:trPr>
        <w:tc>
          <w:tcPr>
            <w:tcW w:w="655" w:type="pct"/>
          </w:tcPr>
          <w:p w14:paraId="5B60ABA8"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120 à 149 </w:t>
            </w:r>
          </w:p>
        </w:tc>
        <w:tc>
          <w:tcPr>
            <w:tcW w:w="2265" w:type="pct"/>
          </w:tcPr>
          <w:p w14:paraId="487FE031" w14:textId="460DD34B"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181</w:t>
            </w:r>
          </w:p>
        </w:tc>
        <w:tc>
          <w:tcPr>
            <w:tcW w:w="2079" w:type="pct"/>
          </w:tcPr>
          <w:p w14:paraId="6CC8A44B" w14:textId="64D1011C"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7BDD24E5" w14:textId="6853D20C" w:rsidTr="001F6E88">
        <w:trPr>
          <w:cantSplit/>
          <w:trHeight w:val="290"/>
          <w:tblHeader/>
          <w:jc w:val="center"/>
        </w:trPr>
        <w:tc>
          <w:tcPr>
            <w:tcW w:w="655" w:type="pct"/>
          </w:tcPr>
          <w:p w14:paraId="52D621D7"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150 à 179 </w:t>
            </w:r>
          </w:p>
        </w:tc>
        <w:tc>
          <w:tcPr>
            <w:tcW w:w="2265" w:type="pct"/>
          </w:tcPr>
          <w:p w14:paraId="72ADF97D" w14:textId="1B6FCCB3"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179</w:t>
            </w:r>
          </w:p>
        </w:tc>
        <w:tc>
          <w:tcPr>
            <w:tcW w:w="2079" w:type="pct"/>
          </w:tcPr>
          <w:p w14:paraId="1749162A" w14:textId="76EC4905"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619324EB" w14:textId="69E41682" w:rsidTr="001F6E88">
        <w:trPr>
          <w:cantSplit/>
          <w:trHeight w:val="290"/>
          <w:tblHeader/>
          <w:jc w:val="center"/>
        </w:trPr>
        <w:tc>
          <w:tcPr>
            <w:tcW w:w="655" w:type="pct"/>
          </w:tcPr>
          <w:p w14:paraId="6DDD65B1"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180 à 209 </w:t>
            </w:r>
          </w:p>
        </w:tc>
        <w:tc>
          <w:tcPr>
            <w:tcW w:w="2265" w:type="pct"/>
          </w:tcPr>
          <w:p w14:paraId="6E405D7A" w14:textId="2B0CAA72"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160</w:t>
            </w:r>
          </w:p>
        </w:tc>
        <w:tc>
          <w:tcPr>
            <w:tcW w:w="2079" w:type="pct"/>
          </w:tcPr>
          <w:p w14:paraId="364F12DF" w14:textId="351A42CB"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3C70A925" w14:textId="1293D11A" w:rsidTr="001F6E88">
        <w:trPr>
          <w:cantSplit/>
          <w:trHeight w:val="290"/>
          <w:tblHeader/>
          <w:jc w:val="center"/>
        </w:trPr>
        <w:tc>
          <w:tcPr>
            <w:tcW w:w="655" w:type="pct"/>
          </w:tcPr>
          <w:p w14:paraId="64FC41AE"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210 à 239 </w:t>
            </w:r>
          </w:p>
        </w:tc>
        <w:tc>
          <w:tcPr>
            <w:tcW w:w="2265" w:type="pct"/>
          </w:tcPr>
          <w:p w14:paraId="4BC98EFD" w14:textId="1FF3B2D4"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139</w:t>
            </w:r>
          </w:p>
        </w:tc>
        <w:tc>
          <w:tcPr>
            <w:tcW w:w="2079" w:type="pct"/>
          </w:tcPr>
          <w:p w14:paraId="0E7F50C3" w14:textId="2D88176E"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64F532B4" w14:textId="4549FBF1" w:rsidTr="001F6E88">
        <w:trPr>
          <w:cantSplit/>
          <w:trHeight w:val="290"/>
          <w:tblHeader/>
          <w:jc w:val="center"/>
        </w:trPr>
        <w:tc>
          <w:tcPr>
            <w:tcW w:w="655" w:type="pct"/>
          </w:tcPr>
          <w:p w14:paraId="4915D0B9"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240 à 269 </w:t>
            </w:r>
          </w:p>
        </w:tc>
        <w:tc>
          <w:tcPr>
            <w:tcW w:w="2265" w:type="pct"/>
          </w:tcPr>
          <w:p w14:paraId="425321BF" w14:textId="63203991"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84</w:t>
            </w:r>
          </w:p>
        </w:tc>
        <w:tc>
          <w:tcPr>
            <w:tcW w:w="2079" w:type="pct"/>
          </w:tcPr>
          <w:p w14:paraId="0A426406" w14:textId="1064644F"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7E9D6071" w14:textId="3003E02B" w:rsidTr="001F6E88">
        <w:trPr>
          <w:cantSplit/>
          <w:trHeight w:val="290"/>
          <w:tblHeader/>
          <w:jc w:val="center"/>
        </w:trPr>
        <w:tc>
          <w:tcPr>
            <w:tcW w:w="655" w:type="pct"/>
          </w:tcPr>
          <w:p w14:paraId="2DA71A01"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270 à 299 </w:t>
            </w:r>
          </w:p>
        </w:tc>
        <w:tc>
          <w:tcPr>
            <w:tcW w:w="2265" w:type="pct"/>
          </w:tcPr>
          <w:p w14:paraId="1FBBAEFC" w14:textId="664D659C"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73</w:t>
            </w:r>
          </w:p>
        </w:tc>
        <w:tc>
          <w:tcPr>
            <w:tcW w:w="2079" w:type="pct"/>
          </w:tcPr>
          <w:p w14:paraId="7E34B975" w14:textId="54745F42"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1E5F93B1" w14:textId="47BBBB62" w:rsidTr="001F6E88">
        <w:trPr>
          <w:cantSplit/>
          <w:trHeight w:val="290"/>
          <w:tblHeader/>
          <w:jc w:val="center"/>
        </w:trPr>
        <w:tc>
          <w:tcPr>
            <w:tcW w:w="655" w:type="pct"/>
          </w:tcPr>
          <w:p w14:paraId="7689C536"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300 à 329 </w:t>
            </w:r>
          </w:p>
        </w:tc>
        <w:tc>
          <w:tcPr>
            <w:tcW w:w="2265" w:type="pct"/>
          </w:tcPr>
          <w:p w14:paraId="08107E70" w14:textId="42400E21"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61</w:t>
            </w:r>
          </w:p>
        </w:tc>
        <w:tc>
          <w:tcPr>
            <w:tcW w:w="2079" w:type="pct"/>
          </w:tcPr>
          <w:p w14:paraId="7BCF4E60" w14:textId="679B3F53"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63B35E75" w14:textId="5AFEA1D9" w:rsidTr="001F6E88">
        <w:trPr>
          <w:cantSplit/>
          <w:trHeight w:val="290"/>
          <w:tblHeader/>
          <w:jc w:val="center"/>
        </w:trPr>
        <w:tc>
          <w:tcPr>
            <w:tcW w:w="655" w:type="pct"/>
          </w:tcPr>
          <w:p w14:paraId="53B1B681"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330 à 359 </w:t>
            </w:r>
          </w:p>
        </w:tc>
        <w:tc>
          <w:tcPr>
            <w:tcW w:w="2265" w:type="pct"/>
          </w:tcPr>
          <w:p w14:paraId="7593EE1A" w14:textId="2E6AD684"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41</w:t>
            </w:r>
          </w:p>
        </w:tc>
        <w:tc>
          <w:tcPr>
            <w:tcW w:w="2079" w:type="pct"/>
          </w:tcPr>
          <w:p w14:paraId="47224758" w14:textId="0C63AECB"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2B8B24A" w14:textId="0917C407" w:rsidTr="001F6E88">
        <w:trPr>
          <w:cantSplit/>
          <w:trHeight w:val="290"/>
          <w:tblHeader/>
          <w:jc w:val="center"/>
        </w:trPr>
        <w:tc>
          <w:tcPr>
            <w:tcW w:w="655" w:type="pct"/>
          </w:tcPr>
          <w:p w14:paraId="733BA869"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360 à 389 </w:t>
            </w:r>
          </w:p>
        </w:tc>
        <w:tc>
          <w:tcPr>
            <w:tcW w:w="2265" w:type="pct"/>
          </w:tcPr>
          <w:p w14:paraId="6FC7F7D6" w14:textId="53B44737"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43</w:t>
            </w:r>
          </w:p>
        </w:tc>
        <w:tc>
          <w:tcPr>
            <w:tcW w:w="2079" w:type="pct"/>
          </w:tcPr>
          <w:p w14:paraId="657BCEE4" w14:textId="3192298C"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1CFF7BD9" w14:textId="59BCEE4C" w:rsidTr="001F6E88">
        <w:trPr>
          <w:cantSplit/>
          <w:trHeight w:val="290"/>
          <w:tblHeader/>
          <w:jc w:val="center"/>
        </w:trPr>
        <w:tc>
          <w:tcPr>
            <w:tcW w:w="655" w:type="pct"/>
          </w:tcPr>
          <w:p w14:paraId="129C9B53"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390 à 419 </w:t>
            </w:r>
          </w:p>
        </w:tc>
        <w:tc>
          <w:tcPr>
            <w:tcW w:w="2265" w:type="pct"/>
          </w:tcPr>
          <w:p w14:paraId="400EC1E9" w14:textId="461CEAD6"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49</w:t>
            </w:r>
          </w:p>
        </w:tc>
        <w:tc>
          <w:tcPr>
            <w:tcW w:w="2079" w:type="pct"/>
          </w:tcPr>
          <w:p w14:paraId="1131DB7E" w14:textId="6A63D8AF"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8FA4AD6" w14:textId="40BE2E11" w:rsidTr="001F6E88">
        <w:trPr>
          <w:cantSplit/>
          <w:trHeight w:val="290"/>
          <w:tblHeader/>
          <w:jc w:val="center"/>
        </w:trPr>
        <w:tc>
          <w:tcPr>
            <w:tcW w:w="655" w:type="pct"/>
          </w:tcPr>
          <w:p w14:paraId="103EEC42"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420 à 449 </w:t>
            </w:r>
          </w:p>
        </w:tc>
        <w:tc>
          <w:tcPr>
            <w:tcW w:w="2265" w:type="pct"/>
          </w:tcPr>
          <w:p w14:paraId="5AFA0BFB" w14:textId="5E69F61F"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35</w:t>
            </w:r>
          </w:p>
        </w:tc>
        <w:tc>
          <w:tcPr>
            <w:tcW w:w="2079" w:type="pct"/>
          </w:tcPr>
          <w:p w14:paraId="45AA72CD" w14:textId="0DEF27BD"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7FE72586" w14:textId="3702FB6A" w:rsidTr="001F6E88">
        <w:trPr>
          <w:cantSplit/>
          <w:trHeight w:val="290"/>
          <w:tblHeader/>
          <w:jc w:val="center"/>
        </w:trPr>
        <w:tc>
          <w:tcPr>
            <w:tcW w:w="655" w:type="pct"/>
          </w:tcPr>
          <w:p w14:paraId="1515C9B0"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450 à 479 </w:t>
            </w:r>
          </w:p>
        </w:tc>
        <w:tc>
          <w:tcPr>
            <w:tcW w:w="2265" w:type="pct"/>
          </w:tcPr>
          <w:p w14:paraId="0873DC4A" w14:textId="2213F00F"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22</w:t>
            </w:r>
          </w:p>
        </w:tc>
        <w:tc>
          <w:tcPr>
            <w:tcW w:w="2079" w:type="pct"/>
          </w:tcPr>
          <w:p w14:paraId="5FD6C0FF" w14:textId="37A1E1FE"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0A855D0C" w14:textId="4CB6E6BB" w:rsidTr="001F6E88">
        <w:trPr>
          <w:cantSplit/>
          <w:trHeight w:val="290"/>
          <w:tblHeader/>
          <w:jc w:val="center"/>
        </w:trPr>
        <w:tc>
          <w:tcPr>
            <w:tcW w:w="655" w:type="pct"/>
          </w:tcPr>
          <w:p w14:paraId="6197758C"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480 à 509 </w:t>
            </w:r>
          </w:p>
        </w:tc>
        <w:tc>
          <w:tcPr>
            <w:tcW w:w="2265" w:type="pct"/>
          </w:tcPr>
          <w:p w14:paraId="1FBE6396" w14:textId="71ED3F65"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27</w:t>
            </w:r>
          </w:p>
        </w:tc>
        <w:tc>
          <w:tcPr>
            <w:tcW w:w="2079" w:type="pct"/>
          </w:tcPr>
          <w:p w14:paraId="65FF2830" w14:textId="3E0BA924"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2F4B86B4" w14:textId="08B5AA35" w:rsidTr="001F6E88">
        <w:trPr>
          <w:cantSplit/>
          <w:trHeight w:val="290"/>
          <w:tblHeader/>
          <w:jc w:val="center"/>
        </w:trPr>
        <w:tc>
          <w:tcPr>
            <w:tcW w:w="655" w:type="pct"/>
          </w:tcPr>
          <w:p w14:paraId="394F3907"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510 à 539 </w:t>
            </w:r>
          </w:p>
        </w:tc>
        <w:tc>
          <w:tcPr>
            <w:tcW w:w="2265" w:type="pct"/>
          </w:tcPr>
          <w:p w14:paraId="3C4F74E4" w14:textId="35A5FEA0"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17</w:t>
            </w:r>
          </w:p>
        </w:tc>
        <w:tc>
          <w:tcPr>
            <w:tcW w:w="2079" w:type="pct"/>
          </w:tcPr>
          <w:p w14:paraId="4F442D2A" w14:textId="5C5EBD5B"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3E1CBCFF" w14:textId="0585720A" w:rsidTr="001F6E88">
        <w:trPr>
          <w:cantSplit/>
          <w:trHeight w:val="290"/>
          <w:tblHeader/>
          <w:jc w:val="center"/>
        </w:trPr>
        <w:tc>
          <w:tcPr>
            <w:tcW w:w="655" w:type="pct"/>
          </w:tcPr>
          <w:p w14:paraId="7F7B73F7"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540 à 569 </w:t>
            </w:r>
          </w:p>
        </w:tc>
        <w:tc>
          <w:tcPr>
            <w:tcW w:w="2265" w:type="pct"/>
          </w:tcPr>
          <w:p w14:paraId="6B748B93" w14:textId="3C26208F"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15</w:t>
            </w:r>
          </w:p>
        </w:tc>
        <w:tc>
          <w:tcPr>
            <w:tcW w:w="2079" w:type="pct"/>
          </w:tcPr>
          <w:p w14:paraId="711B6B1A" w14:textId="6382A841"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06D45BC" w14:textId="43E8C971" w:rsidTr="001F6E88">
        <w:trPr>
          <w:cantSplit/>
          <w:trHeight w:val="290"/>
          <w:tblHeader/>
          <w:jc w:val="center"/>
        </w:trPr>
        <w:tc>
          <w:tcPr>
            <w:tcW w:w="655" w:type="pct"/>
          </w:tcPr>
          <w:p w14:paraId="6F8B5C9F"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570 à 599 </w:t>
            </w:r>
          </w:p>
        </w:tc>
        <w:tc>
          <w:tcPr>
            <w:tcW w:w="2265" w:type="pct"/>
          </w:tcPr>
          <w:p w14:paraId="5484DDC6" w14:textId="1DBBDF06"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14</w:t>
            </w:r>
          </w:p>
        </w:tc>
        <w:tc>
          <w:tcPr>
            <w:tcW w:w="2079" w:type="pct"/>
          </w:tcPr>
          <w:p w14:paraId="083CDA16" w14:textId="75F62D4D"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B4BFA63" w14:textId="218739B6" w:rsidTr="001F6E88">
        <w:trPr>
          <w:cantSplit/>
          <w:trHeight w:val="290"/>
          <w:tblHeader/>
          <w:jc w:val="center"/>
        </w:trPr>
        <w:tc>
          <w:tcPr>
            <w:tcW w:w="655" w:type="pct"/>
          </w:tcPr>
          <w:p w14:paraId="0B190E73"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600 à 629 </w:t>
            </w:r>
          </w:p>
        </w:tc>
        <w:tc>
          <w:tcPr>
            <w:tcW w:w="2265" w:type="pct"/>
          </w:tcPr>
          <w:p w14:paraId="5BBDCC0A" w14:textId="4B67B12F"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12</w:t>
            </w:r>
          </w:p>
        </w:tc>
        <w:tc>
          <w:tcPr>
            <w:tcW w:w="2079" w:type="pct"/>
          </w:tcPr>
          <w:p w14:paraId="1B497C11" w14:textId="247DB66F"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F02AFC3" w14:textId="6D29693F" w:rsidTr="001F6E88">
        <w:trPr>
          <w:cantSplit/>
          <w:trHeight w:val="290"/>
          <w:tblHeader/>
          <w:jc w:val="center"/>
        </w:trPr>
        <w:tc>
          <w:tcPr>
            <w:tcW w:w="655" w:type="pct"/>
          </w:tcPr>
          <w:p w14:paraId="0CD1930A"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630 à 659 </w:t>
            </w:r>
          </w:p>
        </w:tc>
        <w:tc>
          <w:tcPr>
            <w:tcW w:w="2265" w:type="pct"/>
          </w:tcPr>
          <w:p w14:paraId="68B78441" w14:textId="64054744"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7</w:t>
            </w:r>
          </w:p>
        </w:tc>
        <w:tc>
          <w:tcPr>
            <w:tcW w:w="2079" w:type="pct"/>
          </w:tcPr>
          <w:p w14:paraId="6359A0E1" w14:textId="0118AC67"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F07C342" w14:textId="007DCDD4" w:rsidTr="001F6E88">
        <w:trPr>
          <w:cantSplit/>
          <w:trHeight w:val="290"/>
          <w:tblHeader/>
          <w:jc w:val="center"/>
        </w:trPr>
        <w:tc>
          <w:tcPr>
            <w:tcW w:w="655" w:type="pct"/>
          </w:tcPr>
          <w:p w14:paraId="051DB079"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660 à 689 </w:t>
            </w:r>
          </w:p>
        </w:tc>
        <w:tc>
          <w:tcPr>
            <w:tcW w:w="2265" w:type="pct"/>
          </w:tcPr>
          <w:p w14:paraId="754DFBAE" w14:textId="398BEAD3"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5</w:t>
            </w:r>
          </w:p>
        </w:tc>
        <w:tc>
          <w:tcPr>
            <w:tcW w:w="2079" w:type="pct"/>
          </w:tcPr>
          <w:p w14:paraId="4BBD2EDC" w14:textId="6F4B9844"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2A888533" w14:textId="33BB7B79" w:rsidTr="001F6E88">
        <w:trPr>
          <w:cantSplit/>
          <w:trHeight w:val="290"/>
          <w:tblHeader/>
          <w:jc w:val="center"/>
        </w:trPr>
        <w:tc>
          <w:tcPr>
            <w:tcW w:w="655" w:type="pct"/>
          </w:tcPr>
          <w:p w14:paraId="47DAA8BF"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690 à 719 </w:t>
            </w:r>
          </w:p>
        </w:tc>
        <w:tc>
          <w:tcPr>
            <w:tcW w:w="2265" w:type="pct"/>
          </w:tcPr>
          <w:p w14:paraId="3A7CAAB9" w14:textId="47BC6270"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7</w:t>
            </w:r>
          </w:p>
        </w:tc>
        <w:tc>
          <w:tcPr>
            <w:tcW w:w="2079" w:type="pct"/>
          </w:tcPr>
          <w:p w14:paraId="5BAE45E9" w14:textId="4AE595C8"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6343C19E" w14:textId="47BCD928" w:rsidTr="001F6E88">
        <w:trPr>
          <w:cantSplit/>
          <w:trHeight w:val="302"/>
          <w:tblHeader/>
          <w:jc w:val="center"/>
        </w:trPr>
        <w:tc>
          <w:tcPr>
            <w:tcW w:w="655" w:type="pct"/>
          </w:tcPr>
          <w:p w14:paraId="526AB8E3"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720 à 749 </w:t>
            </w:r>
          </w:p>
        </w:tc>
        <w:tc>
          <w:tcPr>
            <w:tcW w:w="2265" w:type="pct"/>
          </w:tcPr>
          <w:p w14:paraId="32E3A162" w14:textId="21194EF6"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11</w:t>
            </w:r>
          </w:p>
        </w:tc>
        <w:tc>
          <w:tcPr>
            <w:tcW w:w="2079" w:type="pct"/>
          </w:tcPr>
          <w:p w14:paraId="61B2FBE0" w14:textId="6D67EB3B"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950BB9B" w14:textId="2A75A0F6" w:rsidTr="001F6E88">
        <w:trPr>
          <w:cantSplit/>
          <w:trHeight w:val="290"/>
          <w:tblHeader/>
          <w:jc w:val="center"/>
        </w:trPr>
        <w:tc>
          <w:tcPr>
            <w:tcW w:w="655" w:type="pct"/>
          </w:tcPr>
          <w:p w14:paraId="3967AC7B"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750 à 779 </w:t>
            </w:r>
          </w:p>
        </w:tc>
        <w:tc>
          <w:tcPr>
            <w:tcW w:w="2265" w:type="pct"/>
          </w:tcPr>
          <w:p w14:paraId="7DACB602" w14:textId="62F6F8E6"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3</w:t>
            </w:r>
          </w:p>
        </w:tc>
        <w:tc>
          <w:tcPr>
            <w:tcW w:w="2079" w:type="pct"/>
          </w:tcPr>
          <w:p w14:paraId="65CF7737" w14:textId="5A53E6C7"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12948F19" w14:textId="631D68FF" w:rsidTr="001F6E88">
        <w:trPr>
          <w:cantSplit/>
          <w:trHeight w:val="290"/>
          <w:tblHeader/>
          <w:jc w:val="center"/>
        </w:trPr>
        <w:tc>
          <w:tcPr>
            <w:tcW w:w="655" w:type="pct"/>
          </w:tcPr>
          <w:p w14:paraId="093A09BF"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780 à 809 </w:t>
            </w:r>
          </w:p>
        </w:tc>
        <w:tc>
          <w:tcPr>
            <w:tcW w:w="2265" w:type="pct"/>
          </w:tcPr>
          <w:p w14:paraId="7A51EDAD" w14:textId="37B77EF9"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7</w:t>
            </w:r>
          </w:p>
        </w:tc>
        <w:tc>
          <w:tcPr>
            <w:tcW w:w="2079" w:type="pct"/>
          </w:tcPr>
          <w:p w14:paraId="34180D65" w14:textId="7664937B"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9528D2F" w14:textId="19C6A5CC" w:rsidTr="001F6E88">
        <w:trPr>
          <w:cantSplit/>
          <w:trHeight w:val="290"/>
          <w:tblHeader/>
          <w:jc w:val="center"/>
        </w:trPr>
        <w:tc>
          <w:tcPr>
            <w:tcW w:w="655" w:type="pct"/>
          </w:tcPr>
          <w:p w14:paraId="68427A16"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810 à 839 </w:t>
            </w:r>
          </w:p>
        </w:tc>
        <w:tc>
          <w:tcPr>
            <w:tcW w:w="2265" w:type="pct"/>
          </w:tcPr>
          <w:p w14:paraId="74D34F3C" w14:textId="158EF41F"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2</w:t>
            </w:r>
          </w:p>
        </w:tc>
        <w:tc>
          <w:tcPr>
            <w:tcW w:w="2079" w:type="pct"/>
          </w:tcPr>
          <w:p w14:paraId="69939F9D" w14:textId="430D0398"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2F5BC6F4" w14:textId="5F5F3CC0" w:rsidTr="001F6E88">
        <w:trPr>
          <w:cantSplit/>
          <w:trHeight w:val="290"/>
          <w:tblHeader/>
          <w:jc w:val="center"/>
        </w:trPr>
        <w:tc>
          <w:tcPr>
            <w:tcW w:w="655" w:type="pct"/>
          </w:tcPr>
          <w:p w14:paraId="4EFF3331"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840 à 869 </w:t>
            </w:r>
          </w:p>
        </w:tc>
        <w:tc>
          <w:tcPr>
            <w:tcW w:w="2265" w:type="pct"/>
          </w:tcPr>
          <w:p w14:paraId="63AA6F1C" w14:textId="2837FEB0"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2</w:t>
            </w:r>
          </w:p>
        </w:tc>
        <w:tc>
          <w:tcPr>
            <w:tcW w:w="2079" w:type="pct"/>
          </w:tcPr>
          <w:p w14:paraId="1C756B74" w14:textId="11F30322"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790E9AC1" w14:textId="5FA7F24B" w:rsidTr="001F6E88">
        <w:trPr>
          <w:cantSplit/>
          <w:trHeight w:val="290"/>
          <w:tblHeader/>
          <w:jc w:val="center"/>
        </w:trPr>
        <w:tc>
          <w:tcPr>
            <w:tcW w:w="655" w:type="pct"/>
          </w:tcPr>
          <w:p w14:paraId="6EEC448C"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870 à 899 </w:t>
            </w:r>
          </w:p>
        </w:tc>
        <w:tc>
          <w:tcPr>
            <w:tcW w:w="2265" w:type="pct"/>
          </w:tcPr>
          <w:p w14:paraId="49070714" w14:textId="07326CF9"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0</w:t>
            </w:r>
          </w:p>
        </w:tc>
        <w:tc>
          <w:tcPr>
            <w:tcW w:w="2079" w:type="pct"/>
          </w:tcPr>
          <w:p w14:paraId="2DA77052" w14:textId="7E1E5653"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6A00B824" w14:textId="0B8CBC67" w:rsidTr="001F6E88">
        <w:trPr>
          <w:cantSplit/>
          <w:trHeight w:val="290"/>
          <w:tblHeader/>
          <w:jc w:val="center"/>
        </w:trPr>
        <w:tc>
          <w:tcPr>
            <w:tcW w:w="655" w:type="pct"/>
          </w:tcPr>
          <w:p w14:paraId="4053CD88"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900 à 929 </w:t>
            </w:r>
          </w:p>
        </w:tc>
        <w:tc>
          <w:tcPr>
            <w:tcW w:w="2265" w:type="pct"/>
          </w:tcPr>
          <w:p w14:paraId="31248141" w14:textId="348B476D"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3</w:t>
            </w:r>
          </w:p>
        </w:tc>
        <w:tc>
          <w:tcPr>
            <w:tcW w:w="2079" w:type="pct"/>
          </w:tcPr>
          <w:p w14:paraId="607F592D" w14:textId="29580B32"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31C317A8" w14:textId="108D06E4" w:rsidTr="001F6E88">
        <w:trPr>
          <w:cantSplit/>
          <w:trHeight w:val="290"/>
          <w:tblHeader/>
          <w:jc w:val="center"/>
        </w:trPr>
        <w:tc>
          <w:tcPr>
            <w:tcW w:w="655" w:type="pct"/>
          </w:tcPr>
          <w:p w14:paraId="38A51FD6"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930 à 959 </w:t>
            </w:r>
          </w:p>
        </w:tc>
        <w:tc>
          <w:tcPr>
            <w:tcW w:w="2265" w:type="pct"/>
          </w:tcPr>
          <w:p w14:paraId="0D4E0FC1" w14:textId="5E3FF890"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1</w:t>
            </w:r>
          </w:p>
        </w:tc>
        <w:tc>
          <w:tcPr>
            <w:tcW w:w="2079" w:type="pct"/>
          </w:tcPr>
          <w:p w14:paraId="06BF1810" w14:textId="3C18D5F1"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5B788E51" w14:textId="6C0AD316" w:rsidTr="001F6E88">
        <w:trPr>
          <w:cantSplit/>
          <w:trHeight w:val="290"/>
          <w:tblHeader/>
          <w:jc w:val="center"/>
        </w:trPr>
        <w:tc>
          <w:tcPr>
            <w:tcW w:w="655" w:type="pct"/>
          </w:tcPr>
          <w:p w14:paraId="246F4360"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 xml:space="preserve">De 960 à 989 </w:t>
            </w:r>
          </w:p>
        </w:tc>
        <w:tc>
          <w:tcPr>
            <w:tcW w:w="2265" w:type="pct"/>
          </w:tcPr>
          <w:p w14:paraId="7650D273" w14:textId="572F8F97"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0</w:t>
            </w:r>
          </w:p>
        </w:tc>
        <w:tc>
          <w:tcPr>
            <w:tcW w:w="2079" w:type="pct"/>
          </w:tcPr>
          <w:p w14:paraId="15A66F81" w14:textId="24A6BA91"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rsidR="0009743A" w:rsidRPr="0009743A" w14:paraId="7149DA6D" w14:textId="2D1066BB" w:rsidTr="001F6E88">
        <w:trPr>
          <w:cantSplit/>
          <w:trHeight w:val="290"/>
          <w:tblHeader/>
          <w:jc w:val="center"/>
        </w:trPr>
        <w:tc>
          <w:tcPr>
            <w:tcW w:w="655" w:type="pct"/>
          </w:tcPr>
          <w:p w14:paraId="3AF8AE77" w14:textId="77777777" w:rsidR="0009743A" w:rsidRPr="0009743A" w:rsidRDefault="0009743A" w:rsidP="0009743A">
            <w:pPr>
              <w:autoSpaceDE w:val="0"/>
              <w:autoSpaceDN w:val="0"/>
              <w:adjustRightInd w:val="0"/>
              <w:rPr>
                <w:rFonts w:asciiTheme="minorHAnsi" w:hAnsiTheme="minorHAnsi" w:cstheme="minorHAnsi"/>
                <w:color w:val="000000"/>
                <w:sz w:val="22"/>
                <w:szCs w:val="22"/>
              </w:rPr>
            </w:pPr>
            <w:r w:rsidRPr="0009743A">
              <w:rPr>
                <w:rFonts w:asciiTheme="minorHAnsi" w:hAnsiTheme="minorHAnsi" w:cstheme="minorHAnsi"/>
                <w:color w:val="000000"/>
                <w:sz w:val="22"/>
                <w:szCs w:val="22"/>
              </w:rPr>
              <w:t>990 et plus</w:t>
            </w:r>
          </w:p>
        </w:tc>
        <w:tc>
          <w:tcPr>
            <w:tcW w:w="2265" w:type="pct"/>
          </w:tcPr>
          <w:p w14:paraId="6941D69E" w14:textId="56A4878B" w:rsidR="0009743A" w:rsidRPr="0009743A" w:rsidRDefault="0009743A" w:rsidP="00A32DE4">
            <w:pPr>
              <w:autoSpaceDE w:val="0"/>
              <w:autoSpaceDN w:val="0"/>
              <w:adjustRightInd w:val="0"/>
              <w:jc w:val="center"/>
              <w:rPr>
                <w:rFonts w:asciiTheme="minorHAnsi" w:hAnsiTheme="minorHAnsi" w:cstheme="minorHAnsi"/>
                <w:color w:val="000000"/>
                <w:sz w:val="22"/>
                <w:szCs w:val="22"/>
              </w:rPr>
            </w:pPr>
            <w:r w:rsidRPr="0009743A">
              <w:rPr>
                <w:rFonts w:asciiTheme="minorHAnsi" w:hAnsiTheme="minorHAnsi" w:cstheme="minorHAnsi"/>
                <w:color w:val="000000"/>
                <w:sz w:val="22"/>
                <w:szCs w:val="22"/>
              </w:rPr>
              <w:t>0</w:t>
            </w:r>
          </w:p>
        </w:tc>
        <w:tc>
          <w:tcPr>
            <w:tcW w:w="2079" w:type="pct"/>
          </w:tcPr>
          <w:p w14:paraId="1DD35E91" w14:textId="2B5019A1" w:rsidR="0009743A" w:rsidRPr="0009743A" w:rsidRDefault="00A32DE4" w:rsidP="00A32DE4">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bl>
    <w:p w14:paraId="1EE61424" w14:textId="77777777" w:rsidR="00817426" w:rsidRDefault="00817426" w:rsidP="007B1B27">
      <w:pPr>
        <w:rPr>
          <w:rFonts w:ascii="Arial" w:eastAsiaTheme="minorHAnsi" w:hAnsi="Arial" w:cstheme="minorBidi"/>
          <w:b/>
          <w:bCs/>
          <w:szCs w:val="24"/>
        </w:rPr>
      </w:pPr>
    </w:p>
    <w:p w14:paraId="2B3B8A6F" w14:textId="77777777" w:rsidR="00817426" w:rsidRDefault="00817426" w:rsidP="007B1B27">
      <w:pPr>
        <w:rPr>
          <w:rFonts w:ascii="Arial" w:eastAsiaTheme="minorHAnsi" w:hAnsi="Arial" w:cstheme="minorBidi"/>
          <w:b/>
          <w:bCs/>
          <w:szCs w:val="24"/>
        </w:rPr>
        <w:sectPr w:rsidR="00817426" w:rsidSect="00817426">
          <w:footnotePr>
            <w:numFmt w:val="lowerLetter"/>
          </w:footnotePr>
          <w:endnotePr>
            <w:numFmt w:val="lowerLetter"/>
          </w:endnotePr>
          <w:pgSz w:w="24480" w:h="15840" w:orient="landscape" w:code="3"/>
          <w:pgMar w:top="1440" w:right="1440" w:bottom="1440" w:left="1440" w:header="284" w:footer="284" w:gutter="0"/>
          <w:cols w:space="720"/>
          <w:docGrid w:linePitch="326"/>
        </w:sectPr>
      </w:pPr>
    </w:p>
    <w:p w14:paraId="60D5A4C0" w14:textId="7B9F598E" w:rsidR="007B1B27" w:rsidRPr="0009743A" w:rsidRDefault="008A356F" w:rsidP="00A32DE4">
      <w:pPr>
        <w:pStyle w:val="Heading1"/>
        <w:spacing w:after="120"/>
        <w:rPr>
          <w:rFonts w:eastAsiaTheme="minorHAnsi"/>
          <w:sz w:val="40"/>
        </w:rPr>
      </w:pPr>
      <w:r w:rsidRPr="0009743A">
        <w:rPr>
          <w:rFonts w:eastAsiaTheme="minorHAnsi"/>
          <w:sz w:val="40"/>
        </w:rPr>
        <w:lastRenderedPageBreak/>
        <w:t>Notes techniques</w:t>
      </w:r>
    </w:p>
    <w:p w14:paraId="187D4D15" w14:textId="3E5BB619" w:rsidR="007B1B27" w:rsidRPr="0009743A" w:rsidRDefault="008A356F" w:rsidP="0009743A">
      <w:pPr>
        <w:numPr>
          <w:ilvl w:val="0"/>
          <w:numId w:val="5"/>
        </w:numPr>
        <w:tabs>
          <w:tab w:val="clear" w:pos="720"/>
          <w:tab w:val="num" w:pos="360"/>
        </w:tabs>
        <w:ind w:left="360"/>
        <w:contextualSpacing/>
        <w:rPr>
          <w:rFonts w:asciiTheme="minorHAnsi" w:hAnsiTheme="minorHAnsi" w:cstheme="minorHAnsi"/>
          <w:sz w:val="22"/>
          <w:szCs w:val="22"/>
          <w:lang w:eastAsia="en-CA"/>
        </w:rPr>
      </w:pPr>
      <w:r w:rsidRPr="0009743A">
        <w:rPr>
          <w:rFonts w:asciiTheme="minorHAnsi" w:hAnsiTheme="minorHAnsi" w:cstheme="minorHAnsi"/>
          <w:sz w:val="22"/>
          <w:szCs w:val="22"/>
          <w:lang w:eastAsia="en-CA"/>
        </w:rPr>
        <w:t xml:space="preserve">La durée </w:t>
      </w:r>
      <w:r w:rsidR="001D6ED8" w:rsidRPr="0009743A">
        <w:rPr>
          <w:rFonts w:asciiTheme="minorHAnsi" w:hAnsiTheme="minorHAnsi" w:cstheme="minorHAnsi"/>
          <w:sz w:val="22"/>
          <w:szCs w:val="22"/>
          <w:lang w:eastAsia="en-CA"/>
        </w:rPr>
        <w:t>des processus de</w:t>
      </w:r>
      <w:r w:rsidRPr="0009743A">
        <w:rPr>
          <w:rFonts w:asciiTheme="minorHAnsi" w:hAnsiTheme="minorHAnsi" w:cstheme="minorHAnsi"/>
          <w:sz w:val="22"/>
          <w:szCs w:val="22"/>
          <w:lang w:eastAsia="en-CA"/>
        </w:rPr>
        <w:t xml:space="preserve"> nomination internes est le nombre médian de jours civils entre la date d’ouverture d’une annonce interne et la date </w:t>
      </w:r>
      <w:r w:rsidR="002C10F6" w:rsidRPr="0009743A">
        <w:rPr>
          <w:rFonts w:asciiTheme="minorHAnsi" w:hAnsiTheme="minorHAnsi" w:cstheme="minorHAnsi"/>
          <w:sz w:val="22"/>
          <w:szCs w:val="22"/>
          <w:lang w:eastAsia="en-CA"/>
        </w:rPr>
        <w:t>de la première notification</w:t>
      </w:r>
      <w:r w:rsidRPr="0009743A">
        <w:rPr>
          <w:rFonts w:asciiTheme="minorHAnsi" w:hAnsiTheme="minorHAnsi" w:cstheme="minorHAnsi"/>
          <w:sz w:val="22"/>
          <w:szCs w:val="22"/>
          <w:lang w:eastAsia="en-CA"/>
        </w:rPr>
        <w:t xml:space="preserve"> de nomination ou </w:t>
      </w:r>
      <w:r w:rsidR="002C10F6" w:rsidRPr="0009743A">
        <w:rPr>
          <w:rFonts w:asciiTheme="minorHAnsi" w:hAnsiTheme="minorHAnsi" w:cstheme="minorHAnsi"/>
          <w:sz w:val="22"/>
          <w:szCs w:val="22"/>
          <w:lang w:eastAsia="en-CA"/>
        </w:rPr>
        <w:t xml:space="preserve">de </w:t>
      </w:r>
      <w:r w:rsidRPr="0009743A">
        <w:rPr>
          <w:rFonts w:asciiTheme="minorHAnsi" w:hAnsiTheme="minorHAnsi" w:cstheme="minorHAnsi"/>
          <w:sz w:val="22"/>
          <w:szCs w:val="22"/>
          <w:lang w:eastAsia="en-CA"/>
        </w:rPr>
        <w:t xml:space="preserve">proposition de nomination </w:t>
      </w:r>
      <w:r w:rsidR="0021167B" w:rsidRPr="0009743A">
        <w:rPr>
          <w:rFonts w:asciiTheme="minorHAnsi" w:hAnsiTheme="minorHAnsi" w:cstheme="minorHAnsi"/>
          <w:sz w:val="22"/>
          <w:szCs w:val="22"/>
          <w:lang w:eastAsia="en-CA"/>
        </w:rPr>
        <w:t>généré</w:t>
      </w:r>
      <w:r w:rsidR="002C10F6" w:rsidRPr="0009743A">
        <w:rPr>
          <w:rFonts w:asciiTheme="minorHAnsi" w:hAnsiTheme="minorHAnsi" w:cstheme="minorHAnsi"/>
          <w:sz w:val="22"/>
          <w:szCs w:val="22"/>
          <w:lang w:eastAsia="en-CA"/>
        </w:rPr>
        <w:t>e</w:t>
      </w:r>
      <w:r w:rsidR="0021167B" w:rsidRPr="0009743A">
        <w:rPr>
          <w:rFonts w:asciiTheme="minorHAnsi" w:hAnsiTheme="minorHAnsi" w:cstheme="minorHAnsi"/>
          <w:sz w:val="22"/>
          <w:szCs w:val="22"/>
          <w:lang w:eastAsia="en-CA"/>
        </w:rPr>
        <w:t xml:space="preserve"> par le </w:t>
      </w:r>
      <w:r w:rsidRPr="0009743A">
        <w:rPr>
          <w:rFonts w:asciiTheme="minorHAnsi" w:hAnsiTheme="minorHAnsi" w:cstheme="minorHAnsi"/>
          <w:sz w:val="22"/>
          <w:szCs w:val="22"/>
          <w:lang w:eastAsia="en-CA"/>
        </w:rPr>
        <w:t xml:space="preserve">Système de ressourcement de la fonction publique pour les postes internes d’une durée déterminée ou indéterminée. Puisque les </w:t>
      </w:r>
      <w:r w:rsidR="002C10F6" w:rsidRPr="0009743A">
        <w:rPr>
          <w:rFonts w:asciiTheme="minorHAnsi" w:hAnsiTheme="minorHAnsi" w:cstheme="minorHAnsi"/>
          <w:sz w:val="22"/>
          <w:szCs w:val="22"/>
          <w:lang w:eastAsia="en-CA"/>
        </w:rPr>
        <w:t xml:space="preserve">notifications </w:t>
      </w:r>
      <w:r w:rsidRPr="0009743A">
        <w:rPr>
          <w:rFonts w:asciiTheme="minorHAnsi" w:hAnsiTheme="minorHAnsi" w:cstheme="minorHAnsi"/>
          <w:sz w:val="22"/>
          <w:szCs w:val="22"/>
          <w:lang w:eastAsia="en-CA"/>
        </w:rPr>
        <w:t xml:space="preserve">ne sont pas obligatoires pour toutes les mesures de dotation interne, </w:t>
      </w:r>
      <w:r w:rsidR="007F2CEA" w:rsidRPr="0009743A">
        <w:rPr>
          <w:rFonts w:asciiTheme="minorHAnsi" w:hAnsiTheme="minorHAnsi" w:cstheme="minorHAnsi"/>
          <w:sz w:val="22"/>
          <w:szCs w:val="22"/>
          <w:lang w:eastAsia="en-CA"/>
        </w:rPr>
        <w:t>on s’en tient ici aux</w:t>
      </w:r>
      <w:r w:rsidRPr="0009743A">
        <w:rPr>
          <w:rFonts w:asciiTheme="minorHAnsi" w:hAnsiTheme="minorHAnsi" w:cstheme="minorHAnsi"/>
          <w:sz w:val="22"/>
          <w:szCs w:val="22"/>
          <w:lang w:eastAsia="en-CA"/>
        </w:rPr>
        <w:t xml:space="preserve"> nominations internes </w:t>
      </w:r>
      <w:r w:rsidR="007F2CEA" w:rsidRPr="0009743A">
        <w:rPr>
          <w:rFonts w:asciiTheme="minorHAnsi" w:hAnsiTheme="minorHAnsi" w:cstheme="minorHAnsi"/>
          <w:sz w:val="22"/>
          <w:szCs w:val="22"/>
          <w:lang w:eastAsia="en-CA"/>
        </w:rPr>
        <w:t xml:space="preserve">qui constituent une </w:t>
      </w:r>
      <w:r w:rsidRPr="0009743A">
        <w:rPr>
          <w:rFonts w:asciiTheme="minorHAnsi" w:hAnsiTheme="minorHAnsi" w:cstheme="minorHAnsi"/>
          <w:sz w:val="22"/>
          <w:szCs w:val="22"/>
          <w:lang w:eastAsia="en-CA"/>
        </w:rPr>
        <w:t>promotion.</w:t>
      </w:r>
    </w:p>
    <w:p w14:paraId="509EF41A" w14:textId="2BEA707D" w:rsidR="008A356F" w:rsidRDefault="008A356F" w:rsidP="0009743A">
      <w:pPr>
        <w:numPr>
          <w:ilvl w:val="0"/>
          <w:numId w:val="5"/>
        </w:numPr>
        <w:tabs>
          <w:tab w:val="clear" w:pos="720"/>
          <w:tab w:val="num" w:pos="360"/>
        </w:tabs>
        <w:spacing w:after="120"/>
        <w:ind w:left="360"/>
        <w:contextualSpacing/>
        <w:rPr>
          <w:rFonts w:asciiTheme="minorHAnsi" w:hAnsiTheme="minorHAnsi" w:cstheme="minorHAnsi"/>
          <w:sz w:val="22"/>
          <w:szCs w:val="22"/>
          <w:lang w:eastAsia="en-CA"/>
        </w:rPr>
      </w:pPr>
      <w:r w:rsidRPr="0009743A">
        <w:rPr>
          <w:rFonts w:asciiTheme="minorHAnsi" w:hAnsiTheme="minorHAnsi" w:cstheme="minorHAnsi"/>
          <w:sz w:val="22"/>
          <w:szCs w:val="22"/>
          <w:lang w:eastAsia="en-CA"/>
        </w:rPr>
        <w:t xml:space="preserve">La durée </w:t>
      </w:r>
      <w:r w:rsidR="001D6ED8" w:rsidRPr="0009743A">
        <w:rPr>
          <w:rFonts w:asciiTheme="minorHAnsi" w:hAnsiTheme="minorHAnsi" w:cstheme="minorHAnsi"/>
          <w:sz w:val="22"/>
          <w:szCs w:val="22"/>
          <w:lang w:eastAsia="en-CA"/>
        </w:rPr>
        <w:t>des processus de</w:t>
      </w:r>
      <w:r w:rsidRPr="0009743A">
        <w:rPr>
          <w:rFonts w:asciiTheme="minorHAnsi" w:hAnsiTheme="minorHAnsi" w:cstheme="minorHAnsi"/>
          <w:sz w:val="22"/>
          <w:szCs w:val="22"/>
          <w:lang w:eastAsia="en-CA"/>
        </w:rPr>
        <w:t xml:space="preserve"> nomination externes est le nombre médian de jours civils entre la date d’ouverture d’une annonce externe et la date de la première nomination prévue d’une personne provenant d’une organisation </w:t>
      </w:r>
      <w:r w:rsidR="001723EE" w:rsidRPr="0009743A">
        <w:rPr>
          <w:rFonts w:asciiTheme="minorHAnsi" w:hAnsiTheme="minorHAnsi" w:cstheme="minorHAnsi"/>
          <w:sz w:val="22"/>
          <w:szCs w:val="22"/>
          <w:lang w:eastAsia="en-CA"/>
        </w:rPr>
        <w:t xml:space="preserve">qui n’est pas </w:t>
      </w:r>
      <w:r w:rsidR="001D6ED8" w:rsidRPr="0009743A">
        <w:rPr>
          <w:rFonts w:asciiTheme="minorHAnsi" w:hAnsiTheme="minorHAnsi" w:cstheme="minorHAnsi"/>
          <w:sz w:val="22"/>
          <w:szCs w:val="22"/>
          <w:lang w:eastAsia="en-CA"/>
        </w:rPr>
        <w:t>assujettie à la</w:t>
      </w:r>
      <w:r w:rsidRPr="0009743A">
        <w:rPr>
          <w:rFonts w:asciiTheme="minorHAnsi" w:hAnsiTheme="minorHAnsi" w:cstheme="minorHAnsi"/>
          <w:sz w:val="22"/>
          <w:szCs w:val="22"/>
          <w:lang w:eastAsia="en-CA"/>
        </w:rPr>
        <w:t xml:space="preserve"> </w:t>
      </w:r>
      <w:r w:rsidRPr="00AC5433">
        <w:rPr>
          <w:rStyle w:val="Emphasis"/>
          <w:i/>
          <w:sz w:val="22"/>
        </w:rPr>
        <w:t>Loi sur l’emploi dans la fonction publique</w:t>
      </w:r>
      <w:r w:rsidR="0021167B" w:rsidRPr="0009743A">
        <w:rPr>
          <w:rStyle w:val="Emphasis"/>
          <w:sz w:val="22"/>
        </w:rPr>
        <w:t xml:space="preserve"> </w:t>
      </w:r>
      <w:r w:rsidR="0021167B" w:rsidRPr="0009743A">
        <w:rPr>
          <w:rFonts w:asciiTheme="minorHAnsi" w:hAnsiTheme="minorHAnsi" w:cstheme="minorHAnsi"/>
          <w:sz w:val="22"/>
          <w:szCs w:val="22"/>
          <w:lang w:eastAsia="en-CA"/>
        </w:rPr>
        <w:t>pour les postes d’une durée déterminée ou indéterminée. Comme les données entre les systèmes sont reliées au moyen d’un appariement probabiliste, les erreurs de couplage de données sont une source potentielle d’erreur de mesure.</w:t>
      </w:r>
    </w:p>
    <w:p w14:paraId="4233684D" w14:textId="1A627F45" w:rsidR="0009743A" w:rsidRPr="0009743A" w:rsidRDefault="0009743A" w:rsidP="00A32DE4">
      <w:pPr>
        <w:pStyle w:val="Heading1"/>
        <w:spacing w:after="120"/>
        <w:rPr>
          <w:lang w:eastAsia="en-CA"/>
        </w:rPr>
      </w:pPr>
      <w:r>
        <w:rPr>
          <w:lang w:eastAsia="en-CA"/>
        </w:rPr>
        <w:t>Sources</w:t>
      </w:r>
    </w:p>
    <w:p w14:paraId="1BA6DF33" w14:textId="4027A546" w:rsidR="007B1B27" w:rsidRPr="0009743A" w:rsidRDefault="0021167B" w:rsidP="0009743A">
      <w:pPr>
        <w:numPr>
          <w:ilvl w:val="0"/>
          <w:numId w:val="5"/>
        </w:numPr>
        <w:tabs>
          <w:tab w:val="clear" w:pos="720"/>
          <w:tab w:val="num" w:pos="360"/>
        </w:tabs>
        <w:ind w:left="360"/>
        <w:contextualSpacing/>
        <w:rPr>
          <w:rFonts w:asciiTheme="minorHAnsi" w:hAnsiTheme="minorHAnsi" w:cstheme="minorHAnsi"/>
          <w:sz w:val="22"/>
          <w:szCs w:val="22"/>
          <w:lang w:eastAsia="en-CA"/>
        </w:rPr>
      </w:pPr>
      <w:r w:rsidRPr="0009743A">
        <w:rPr>
          <w:rFonts w:asciiTheme="minorHAnsi" w:hAnsiTheme="minorHAnsi" w:cstheme="minorHAnsi"/>
          <w:sz w:val="22"/>
          <w:szCs w:val="22"/>
          <w:lang w:eastAsia="en-CA"/>
        </w:rPr>
        <w:t xml:space="preserve">Seules les nominations prévues pour une période déterminée </w:t>
      </w:r>
      <w:r w:rsidR="007A7688" w:rsidRPr="0009743A">
        <w:rPr>
          <w:rFonts w:asciiTheme="minorHAnsi" w:hAnsiTheme="minorHAnsi" w:cstheme="minorHAnsi"/>
          <w:sz w:val="22"/>
          <w:szCs w:val="22"/>
          <w:lang w:eastAsia="en-CA"/>
        </w:rPr>
        <w:t>ou</w:t>
      </w:r>
      <w:r w:rsidRPr="0009743A">
        <w:rPr>
          <w:rFonts w:asciiTheme="minorHAnsi" w:hAnsiTheme="minorHAnsi" w:cstheme="minorHAnsi"/>
          <w:sz w:val="22"/>
          <w:szCs w:val="22"/>
          <w:lang w:eastAsia="en-CA"/>
        </w:rPr>
        <w:t xml:space="preserve"> indéterminée</w:t>
      </w:r>
      <w:r w:rsidR="00F36850" w:rsidRPr="0009743A">
        <w:rPr>
          <w:rFonts w:asciiTheme="minorHAnsi" w:hAnsiTheme="minorHAnsi" w:cstheme="minorHAnsi"/>
          <w:sz w:val="22"/>
          <w:szCs w:val="22"/>
          <w:lang w:eastAsia="en-CA"/>
        </w:rPr>
        <w:t xml:space="preserve"> et les notifications connexes</w:t>
      </w:r>
      <w:r w:rsidRPr="0009743A">
        <w:rPr>
          <w:rFonts w:asciiTheme="minorHAnsi" w:hAnsiTheme="minorHAnsi" w:cstheme="minorHAnsi"/>
          <w:sz w:val="22"/>
          <w:szCs w:val="22"/>
          <w:lang w:eastAsia="en-CA"/>
        </w:rPr>
        <w:t xml:space="preserve"> sont prises en compte (les mutations, les nominations</w:t>
      </w:r>
      <w:r w:rsidR="003C6517" w:rsidRPr="0009743A">
        <w:rPr>
          <w:rFonts w:asciiTheme="minorHAnsi" w:hAnsiTheme="minorHAnsi" w:cstheme="minorHAnsi"/>
          <w:sz w:val="22"/>
          <w:szCs w:val="22"/>
          <w:lang w:eastAsia="en-CA"/>
        </w:rPr>
        <w:t xml:space="preserve"> à </w:t>
      </w:r>
      <w:r w:rsidR="0084739A" w:rsidRPr="0009743A">
        <w:rPr>
          <w:rFonts w:asciiTheme="minorHAnsi" w:hAnsiTheme="minorHAnsi" w:cstheme="minorHAnsi"/>
          <w:sz w:val="22"/>
          <w:szCs w:val="22"/>
          <w:lang w:eastAsia="en-CA"/>
        </w:rPr>
        <w:t>un</w:t>
      </w:r>
      <w:r w:rsidR="003C6517" w:rsidRPr="0009743A">
        <w:rPr>
          <w:rFonts w:asciiTheme="minorHAnsi" w:hAnsiTheme="minorHAnsi" w:cstheme="minorHAnsi"/>
          <w:sz w:val="22"/>
          <w:szCs w:val="22"/>
          <w:lang w:eastAsia="en-CA"/>
        </w:rPr>
        <w:t xml:space="preserve"> poste</w:t>
      </w:r>
      <w:r w:rsidRPr="0009743A">
        <w:rPr>
          <w:rFonts w:asciiTheme="minorHAnsi" w:hAnsiTheme="minorHAnsi" w:cstheme="minorHAnsi"/>
          <w:sz w:val="22"/>
          <w:szCs w:val="22"/>
          <w:lang w:eastAsia="en-CA"/>
        </w:rPr>
        <w:t xml:space="preserve"> occasionnel et les nominations intérimaires sont exclues).</w:t>
      </w:r>
    </w:p>
    <w:p w14:paraId="790CC9BA" w14:textId="1EE23468" w:rsidR="00AA7DE2" w:rsidRPr="0009743A" w:rsidRDefault="00AA7DE2" w:rsidP="00AA7DE2">
      <w:pPr>
        <w:pStyle w:val="ListParagraph"/>
        <w:numPr>
          <w:ilvl w:val="0"/>
          <w:numId w:val="10"/>
        </w:numPr>
        <w:spacing w:after="0"/>
        <w:rPr>
          <w:rFonts w:asciiTheme="minorHAnsi" w:hAnsiTheme="minorHAnsi" w:cstheme="minorHAnsi"/>
          <w:sz w:val="22"/>
          <w:szCs w:val="22"/>
        </w:rPr>
      </w:pPr>
      <w:r w:rsidRPr="0009743A">
        <w:rPr>
          <w:rFonts w:asciiTheme="minorHAnsi" w:hAnsiTheme="minorHAnsi" w:cstheme="minorHAnsi"/>
          <w:sz w:val="22"/>
          <w:szCs w:val="22"/>
        </w:rPr>
        <w:t xml:space="preserve">La durée des processus de nomination internes est le nombre médian de jours civils entre la date d’ouverture d’une annonce interne et la date </w:t>
      </w:r>
      <w:r w:rsidR="00E2592E" w:rsidRPr="0009743A">
        <w:rPr>
          <w:rFonts w:asciiTheme="minorHAnsi" w:hAnsiTheme="minorHAnsi" w:cstheme="minorHAnsi"/>
          <w:sz w:val="22"/>
          <w:szCs w:val="22"/>
        </w:rPr>
        <w:t>de la première notification</w:t>
      </w:r>
      <w:r w:rsidRPr="0009743A">
        <w:rPr>
          <w:rFonts w:asciiTheme="minorHAnsi" w:hAnsiTheme="minorHAnsi" w:cstheme="minorHAnsi"/>
          <w:sz w:val="22"/>
          <w:szCs w:val="22"/>
        </w:rPr>
        <w:t xml:space="preserve"> de nomination ou </w:t>
      </w:r>
      <w:r w:rsidR="00E2592E" w:rsidRPr="0009743A">
        <w:rPr>
          <w:rFonts w:asciiTheme="minorHAnsi" w:hAnsiTheme="minorHAnsi" w:cstheme="minorHAnsi"/>
          <w:sz w:val="22"/>
          <w:szCs w:val="22"/>
        </w:rPr>
        <w:t xml:space="preserve">de </w:t>
      </w:r>
      <w:r w:rsidRPr="0009743A">
        <w:rPr>
          <w:rFonts w:asciiTheme="minorHAnsi" w:hAnsiTheme="minorHAnsi" w:cstheme="minorHAnsi"/>
          <w:sz w:val="22"/>
          <w:szCs w:val="22"/>
        </w:rPr>
        <w:t>proposition de nomination généré</w:t>
      </w:r>
      <w:r w:rsidR="00E2592E" w:rsidRPr="0009743A">
        <w:rPr>
          <w:rFonts w:asciiTheme="minorHAnsi" w:hAnsiTheme="minorHAnsi" w:cstheme="minorHAnsi"/>
          <w:sz w:val="22"/>
          <w:szCs w:val="22"/>
        </w:rPr>
        <w:t>e</w:t>
      </w:r>
      <w:r w:rsidRPr="0009743A">
        <w:rPr>
          <w:rFonts w:asciiTheme="minorHAnsi" w:hAnsiTheme="minorHAnsi" w:cstheme="minorHAnsi"/>
          <w:sz w:val="22"/>
          <w:szCs w:val="22"/>
        </w:rPr>
        <w:t xml:space="preserve"> par le Système de ressourcement de la fonction publique pour les postes internes d’une durée déterminée ou indéterminée. Puisque l</w:t>
      </w:r>
      <w:r w:rsidR="009F7E09" w:rsidRPr="0009743A">
        <w:rPr>
          <w:rFonts w:asciiTheme="minorHAnsi" w:hAnsiTheme="minorHAnsi" w:cstheme="minorHAnsi"/>
          <w:sz w:val="22"/>
          <w:szCs w:val="22"/>
        </w:rPr>
        <w:t>es </w:t>
      </w:r>
      <w:r w:rsidR="00E2592E" w:rsidRPr="0009743A">
        <w:rPr>
          <w:rFonts w:asciiTheme="minorHAnsi" w:hAnsiTheme="minorHAnsi" w:cstheme="minorHAnsi"/>
          <w:sz w:val="22"/>
          <w:szCs w:val="22"/>
        </w:rPr>
        <w:t xml:space="preserve">notifications </w:t>
      </w:r>
      <w:r w:rsidRPr="0009743A">
        <w:rPr>
          <w:rFonts w:asciiTheme="minorHAnsi" w:hAnsiTheme="minorHAnsi" w:cstheme="minorHAnsi"/>
          <w:sz w:val="22"/>
          <w:szCs w:val="22"/>
        </w:rPr>
        <w:t xml:space="preserve">ne sont pas obligatoires pour toutes les mesures de dotation interne, </w:t>
      </w:r>
      <w:r w:rsidR="00E2592E" w:rsidRPr="0009743A">
        <w:rPr>
          <w:rFonts w:asciiTheme="minorHAnsi" w:hAnsiTheme="minorHAnsi" w:cstheme="minorHAnsi"/>
          <w:sz w:val="22"/>
          <w:szCs w:val="22"/>
        </w:rPr>
        <w:t>on s’en tient ici aux</w:t>
      </w:r>
      <w:r w:rsidRPr="0009743A">
        <w:rPr>
          <w:rFonts w:asciiTheme="minorHAnsi" w:hAnsiTheme="minorHAnsi" w:cstheme="minorHAnsi"/>
          <w:sz w:val="22"/>
          <w:szCs w:val="22"/>
        </w:rPr>
        <w:t xml:space="preserve"> nominations internes </w:t>
      </w:r>
      <w:r w:rsidR="00E2592E" w:rsidRPr="0009743A">
        <w:rPr>
          <w:rFonts w:asciiTheme="minorHAnsi" w:hAnsiTheme="minorHAnsi" w:cstheme="minorHAnsi"/>
          <w:sz w:val="22"/>
          <w:szCs w:val="22"/>
        </w:rPr>
        <w:t xml:space="preserve">qui constituent une </w:t>
      </w:r>
      <w:r w:rsidRPr="0009743A">
        <w:rPr>
          <w:rFonts w:asciiTheme="minorHAnsi" w:hAnsiTheme="minorHAnsi" w:cstheme="minorHAnsi"/>
          <w:sz w:val="22"/>
          <w:szCs w:val="22"/>
        </w:rPr>
        <w:t>promotion.</w:t>
      </w:r>
    </w:p>
    <w:p w14:paraId="6D2CB4E5" w14:textId="12B94F0D" w:rsidR="0021167B" w:rsidRPr="0009743A" w:rsidRDefault="0021167B" w:rsidP="00AA7DE2">
      <w:pPr>
        <w:pStyle w:val="ListParagraph"/>
        <w:numPr>
          <w:ilvl w:val="0"/>
          <w:numId w:val="10"/>
        </w:numPr>
        <w:spacing w:after="0"/>
        <w:rPr>
          <w:rFonts w:asciiTheme="minorHAnsi" w:hAnsiTheme="minorHAnsi" w:cstheme="minorHAnsi"/>
          <w:sz w:val="22"/>
          <w:szCs w:val="22"/>
        </w:rPr>
      </w:pPr>
      <w:r w:rsidRPr="0009743A">
        <w:rPr>
          <w:rFonts w:asciiTheme="minorHAnsi" w:hAnsiTheme="minorHAnsi" w:cstheme="minorHAnsi"/>
          <w:sz w:val="22"/>
          <w:szCs w:val="22"/>
        </w:rPr>
        <w:t xml:space="preserve">Seules les nominations prévues pour une période déterminée </w:t>
      </w:r>
      <w:r w:rsidR="00E2592E" w:rsidRPr="0009743A">
        <w:rPr>
          <w:rFonts w:asciiTheme="minorHAnsi" w:hAnsiTheme="minorHAnsi" w:cstheme="minorHAnsi"/>
          <w:sz w:val="22"/>
          <w:szCs w:val="22"/>
        </w:rPr>
        <w:t xml:space="preserve">ou </w:t>
      </w:r>
      <w:r w:rsidRPr="0009743A">
        <w:rPr>
          <w:rFonts w:asciiTheme="minorHAnsi" w:hAnsiTheme="minorHAnsi" w:cstheme="minorHAnsi"/>
          <w:sz w:val="22"/>
          <w:szCs w:val="22"/>
        </w:rPr>
        <w:t xml:space="preserve">indéterminée </w:t>
      </w:r>
      <w:r w:rsidR="00E2592E" w:rsidRPr="0009743A">
        <w:rPr>
          <w:rFonts w:asciiTheme="minorHAnsi" w:hAnsiTheme="minorHAnsi" w:cstheme="minorHAnsi"/>
          <w:sz w:val="22"/>
          <w:szCs w:val="22"/>
        </w:rPr>
        <w:t xml:space="preserve">et les notifications connexes </w:t>
      </w:r>
      <w:r w:rsidRPr="0009743A">
        <w:rPr>
          <w:rFonts w:asciiTheme="minorHAnsi" w:hAnsiTheme="minorHAnsi" w:cstheme="minorHAnsi"/>
          <w:sz w:val="22"/>
          <w:szCs w:val="22"/>
        </w:rPr>
        <w:t xml:space="preserve">sont prises en compte (les mutations, les nominations </w:t>
      </w:r>
      <w:r w:rsidR="00E2592E" w:rsidRPr="0009743A">
        <w:rPr>
          <w:rFonts w:asciiTheme="minorHAnsi" w:hAnsiTheme="minorHAnsi" w:cstheme="minorHAnsi"/>
          <w:sz w:val="22"/>
          <w:szCs w:val="22"/>
        </w:rPr>
        <w:t xml:space="preserve">à un poste </w:t>
      </w:r>
      <w:r w:rsidRPr="0009743A">
        <w:rPr>
          <w:rFonts w:asciiTheme="minorHAnsi" w:hAnsiTheme="minorHAnsi" w:cstheme="minorHAnsi"/>
          <w:sz w:val="22"/>
          <w:szCs w:val="22"/>
        </w:rPr>
        <w:t>occasionnel et les nominations intérimaires sont exclues).</w:t>
      </w:r>
    </w:p>
    <w:p w14:paraId="7551E431" w14:textId="5BC8961B" w:rsidR="00AA7DE2" w:rsidRPr="0009743A" w:rsidRDefault="00AA7DE2" w:rsidP="00AA7DE2">
      <w:pPr>
        <w:pStyle w:val="ListParagraph"/>
        <w:numPr>
          <w:ilvl w:val="0"/>
          <w:numId w:val="10"/>
        </w:numPr>
        <w:spacing w:after="0"/>
        <w:rPr>
          <w:rFonts w:asciiTheme="minorHAnsi" w:hAnsiTheme="minorHAnsi" w:cstheme="minorHAnsi"/>
          <w:sz w:val="22"/>
          <w:szCs w:val="22"/>
        </w:rPr>
      </w:pPr>
      <w:r w:rsidRPr="0009743A">
        <w:rPr>
          <w:rFonts w:asciiTheme="minorHAnsi" w:hAnsiTheme="minorHAnsi" w:cstheme="minorHAnsi"/>
          <w:sz w:val="22"/>
          <w:szCs w:val="22"/>
        </w:rPr>
        <w:t xml:space="preserve">La durée des processus de nomination externes est le nombre médian de jours civils entre la date d’ouverture d’une annonce externe et la date de la première nomination prévue d’une personne provenant d’une organisation </w:t>
      </w:r>
      <w:r w:rsidR="001723EE" w:rsidRPr="0009743A">
        <w:rPr>
          <w:rFonts w:asciiTheme="minorHAnsi" w:hAnsiTheme="minorHAnsi" w:cstheme="minorHAnsi"/>
          <w:sz w:val="22"/>
          <w:szCs w:val="22"/>
        </w:rPr>
        <w:t>qui n’est pas</w:t>
      </w:r>
      <w:r w:rsidRPr="0009743A">
        <w:rPr>
          <w:rFonts w:asciiTheme="minorHAnsi" w:hAnsiTheme="minorHAnsi" w:cstheme="minorHAnsi"/>
          <w:sz w:val="22"/>
          <w:szCs w:val="22"/>
        </w:rPr>
        <w:t xml:space="preserve"> assujettie à la </w:t>
      </w:r>
      <w:r w:rsidRPr="00C4296F">
        <w:rPr>
          <w:rStyle w:val="Emphasis"/>
          <w:i/>
          <w:sz w:val="22"/>
        </w:rPr>
        <w:t>Loi sur l’emploi dans la fonction publique</w:t>
      </w:r>
      <w:r w:rsidRPr="0009743A">
        <w:rPr>
          <w:rFonts w:asciiTheme="minorHAnsi" w:hAnsiTheme="minorHAnsi" w:cstheme="minorHAnsi"/>
          <w:sz w:val="22"/>
          <w:szCs w:val="22"/>
        </w:rPr>
        <w:t xml:space="preserve"> pour les postes d’une durée déterminée ou indéterminée. Seules les nominations prévues pour une période déterminée </w:t>
      </w:r>
      <w:r w:rsidR="00D244F0" w:rsidRPr="0009743A">
        <w:rPr>
          <w:rFonts w:asciiTheme="minorHAnsi" w:hAnsiTheme="minorHAnsi" w:cstheme="minorHAnsi"/>
          <w:sz w:val="22"/>
          <w:szCs w:val="22"/>
        </w:rPr>
        <w:t xml:space="preserve">ou </w:t>
      </w:r>
      <w:r w:rsidRPr="0009743A">
        <w:rPr>
          <w:rFonts w:asciiTheme="minorHAnsi" w:hAnsiTheme="minorHAnsi" w:cstheme="minorHAnsi"/>
          <w:sz w:val="22"/>
          <w:szCs w:val="22"/>
        </w:rPr>
        <w:t xml:space="preserve">indéterminée </w:t>
      </w:r>
      <w:r w:rsidR="00E2592E" w:rsidRPr="0009743A">
        <w:rPr>
          <w:rFonts w:asciiTheme="minorHAnsi" w:hAnsiTheme="minorHAnsi" w:cstheme="minorHAnsi"/>
          <w:sz w:val="22"/>
          <w:szCs w:val="22"/>
        </w:rPr>
        <w:t xml:space="preserve">et les notifications connexes </w:t>
      </w:r>
      <w:r w:rsidRPr="0009743A">
        <w:rPr>
          <w:rFonts w:asciiTheme="minorHAnsi" w:hAnsiTheme="minorHAnsi" w:cstheme="minorHAnsi"/>
          <w:sz w:val="22"/>
          <w:szCs w:val="22"/>
        </w:rPr>
        <w:t xml:space="preserve">sont prises en compte (les mutations, les nominations </w:t>
      </w:r>
      <w:r w:rsidR="00E2592E" w:rsidRPr="0009743A">
        <w:rPr>
          <w:rFonts w:asciiTheme="minorHAnsi" w:hAnsiTheme="minorHAnsi" w:cstheme="minorHAnsi"/>
          <w:sz w:val="22"/>
          <w:szCs w:val="22"/>
        </w:rPr>
        <w:t xml:space="preserve">à un poste </w:t>
      </w:r>
      <w:r w:rsidRPr="0009743A">
        <w:rPr>
          <w:rFonts w:asciiTheme="minorHAnsi" w:hAnsiTheme="minorHAnsi" w:cstheme="minorHAnsi"/>
          <w:sz w:val="22"/>
          <w:szCs w:val="22"/>
        </w:rPr>
        <w:t>occasionnel et les nominations intérimaires sont exclues).</w:t>
      </w:r>
    </w:p>
    <w:p w14:paraId="763E2B13" w14:textId="3F4A611D" w:rsidR="007B1B27" w:rsidRPr="0009743A" w:rsidRDefault="0021167B" w:rsidP="007B1B27">
      <w:pPr>
        <w:pStyle w:val="ListParagraph"/>
        <w:numPr>
          <w:ilvl w:val="0"/>
          <w:numId w:val="10"/>
        </w:numPr>
        <w:spacing w:after="0"/>
        <w:rPr>
          <w:rFonts w:asciiTheme="minorHAnsi" w:hAnsiTheme="minorHAnsi" w:cstheme="minorHAnsi"/>
          <w:sz w:val="22"/>
          <w:szCs w:val="22"/>
        </w:rPr>
      </w:pPr>
      <w:r w:rsidRPr="0009743A">
        <w:rPr>
          <w:rFonts w:asciiTheme="minorHAnsi" w:hAnsiTheme="minorHAnsi" w:cstheme="minorHAnsi"/>
          <w:sz w:val="22"/>
          <w:szCs w:val="22"/>
        </w:rPr>
        <w:t>Comme les données entre les systèmes sont reliées au moyen d’un appariement probabiliste, les erreurs de couplage de données sont une source potentielle d’erreur de mesure.</w:t>
      </w:r>
    </w:p>
    <w:sectPr w:rsidR="007B1B27" w:rsidRPr="0009743A" w:rsidSect="00B61F15">
      <w:headerReference w:type="default" r:id="rId24"/>
      <w:footerReference w:type="default" r:id="rId25"/>
      <w:pgSz w:w="12240" w:h="15840"/>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9B62" w14:textId="77777777" w:rsidR="00030DD5" w:rsidRDefault="00030DD5" w:rsidP="0051557E">
      <w:r>
        <w:separator/>
      </w:r>
    </w:p>
  </w:endnote>
  <w:endnote w:type="continuationSeparator" w:id="0">
    <w:p w14:paraId="5770BF64" w14:textId="77777777" w:rsidR="00030DD5" w:rsidRDefault="00030DD5"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89A9" w14:textId="21F0D794" w:rsidR="00E02A69" w:rsidRPr="00C60C29" w:rsidRDefault="00E02A69" w:rsidP="00C60C29">
    <w:pPr>
      <w:pStyle w:val="Footer"/>
    </w:pPr>
    <w:r w:rsidRPr="006B2FDC">
      <w:rPr>
        <w:rFonts w:ascii="Calibri" w:eastAsia="Calibri" w:hAnsi="Calibri" w:cs="Arial"/>
        <w:sz w:val="16"/>
      </w:rPr>
      <w:fldChar w:fldCharType="begin"/>
    </w:r>
    <w:r w:rsidRPr="006B2FDC">
      <w:rPr>
        <w:rFonts w:ascii="Calibri" w:eastAsia="Calibri" w:hAnsi="Calibri" w:cs="Arial"/>
        <w:sz w:val="16"/>
        <w:lang w:val="en-CA"/>
      </w:rPr>
      <w:instrText xml:space="preserve"> PAGE   \* MERGEFORMAT </w:instrText>
    </w:r>
    <w:r w:rsidRPr="006B2FDC">
      <w:rPr>
        <w:rFonts w:ascii="Calibri" w:eastAsia="Calibri" w:hAnsi="Calibri" w:cs="Arial"/>
        <w:sz w:val="16"/>
      </w:rPr>
      <w:fldChar w:fldCharType="separate"/>
    </w:r>
    <w:r w:rsidR="0009261F" w:rsidRPr="0009261F">
      <w:rPr>
        <w:rFonts w:ascii="Calibri" w:eastAsia="Calibri" w:hAnsi="Calibri" w:cs="Arial"/>
        <w:b/>
        <w:bCs/>
        <w:noProof/>
        <w:sz w:val="16"/>
        <w:lang w:val="en-CA"/>
      </w:rPr>
      <w:t>1</w:t>
    </w:r>
    <w:r w:rsidRPr="006B2FDC">
      <w:rPr>
        <w:rFonts w:ascii="Calibri" w:eastAsia="Calibri" w:hAnsi="Calibri" w:cs="Arial"/>
        <w:b/>
        <w:bCs/>
        <w:noProof/>
        <w:sz w:val="16"/>
      </w:rPr>
      <w:fldChar w:fldCharType="end"/>
    </w:r>
    <w:r>
      <w:rPr>
        <w:rFonts w:ascii="Calibri" w:eastAsia="Calibri" w:hAnsi="Calibri" w:cs="Arial"/>
        <w:b/>
        <w:bCs/>
        <w:sz w:val="16"/>
        <w:lang w:val="en-CA"/>
      </w:rPr>
      <w:tab/>
    </w:r>
    <w:r>
      <w:rPr>
        <w:rFonts w:ascii="Calibri" w:eastAsia="Calibri" w:hAnsi="Calibri" w:cs="Arial"/>
        <w:b/>
        <w:bCs/>
        <w:sz w:val="16"/>
        <w:lang w:val="en-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412C" w14:textId="421E215C" w:rsidR="00E02A69" w:rsidRPr="00C60C29" w:rsidRDefault="00E02A69" w:rsidP="00C60C29">
    <w:pPr>
      <w:pStyle w:val="Footer"/>
    </w:pPr>
    <w:r w:rsidRPr="006B2FDC">
      <w:rPr>
        <w:rFonts w:ascii="Calibri" w:eastAsia="Calibri" w:hAnsi="Calibri" w:cs="Arial"/>
        <w:sz w:val="16"/>
      </w:rPr>
      <w:fldChar w:fldCharType="begin"/>
    </w:r>
    <w:r w:rsidRPr="006B2FDC">
      <w:rPr>
        <w:rFonts w:ascii="Calibri" w:eastAsia="Calibri" w:hAnsi="Calibri" w:cs="Arial"/>
        <w:sz w:val="16"/>
        <w:lang w:val="en-CA"/>
      </w:rPr>
      <w:instrText xml:space="preserve"> PAGE   \* MERGEFORMAT </w:instrText>
    </w:r>
    <w:r w:rsidRPr="006B2FDC">
      <w:rPr>
        <w:rFonts w:ascii="Calibri" w:eastAsia="Calibri" w:hAnsi="Calibri" w:cs="Arial"/>
        <w:sz w:val="16"/>
      </w:rPr>
      <w:fldChar w:fldCharType="separate"/>
    </w:r>
    <w:r w:rsidR="0009261F" w:rsidRPr="0009261F">
      <w:rPr>
        <w:rFonts w:ascii="Calibri" w:eastAsia="Calibri" w:hAnsi="Calibri" w:cs="Arial"/>
        <w:b/>
        <w:bCs/>
        <w:noProof/>
        <w:sz w:val="16"/>
        <w:lang w:val="en-CA"/>
      </w:rPr>
      <w:t>27</w:t>
    </w:r>
    <w:r w:rsidRPr="006B2FDC">
      <w:rPr>
        <w:rFonts w:ascii="Calibri" w:eastAsia="Calibri" w:hAnsi="Calibri" w:cs="Arial"/>
        <w:b/>
        <w:bCs/>
        <w:noProof/>
        <w:sz w:val="16"/>
      </w:rPr>
      <w:fldChar w:fldCharType="end"/>
    </w:r>
    <w:r>
      <w:rPr>
        <w:rFonts w:ascii="Calibri" w:eastAsia="Calibri" w:hAnsi="Calibri" w:cs="Arial"/>
        <w:b/>
        <w:bCs/>
        <w:sz w:val="16"/>
        <w:lang w:val="en-CA"/>
      </w:rPr>
      <w:tab/>
    </w:r>
    <w:r>
      <w:rPr>
        <w:rFonts w:ascii="Calibri" w:eastAsia="Calibri" w:hAnsi="Calibri" w:cs="Arial"/>
        <w:b/>
        <w:bCs/>
        <w:sz w:val="16"/>
        <w:lang w:val="en-C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0A47" w14:textId="4C790E71" w:rsidR="00E02A69" w:rsidRPr="00C60C29" w:rsidRDefault="00E02A69" w:rsidP="00C60C29">
    <w:pPr>
      <w:pStyle w:val="Footer"/>
    </w:pPr>
    <w:r w:rsidRPr="006B2FDC">
      <w:rPr>
        <w:rFonts w:ascii="Calibri" w:eastAsia="Calibri" w:hAnsi="Calibri" w:cs="Arial"/>
        <w:sz w:val="16"/>
      </w:rPr>
      <w:fldChar w:fldCharType="begin"/>
    </w:r>
    <w:r w:rsidRPr="006B2FDC">
      <w:rPr>
        <w:rFonts w:ascii="Calibri" w:eastAsia="Calibri" w:hAnsi="Calibri" w:cs="Arial"/>
        <w:sz w:val="16"/>
        <w:lang w:val="en-CA"/>
      </w:rPr>
      <w:instrText xml:space="preserve"> PAGE   \* MERGEFORMAT </w:instrText>
    </w:r>
    <w:r w:rsidRPr="006B2FDC">
      <w:rPr>
        <w:rFonts w:ascii="Calibri" w:eastAsia="Calibri" w:hAnsi="Calibri" w:cs="Arial"/>
        <w:sz w:val="16"/>
      </w:rPr>
      <w:fldChar w:fldCharType="separate"/>
    </w:r>
    <w:r w:rsidRPr="0009743A">
      <w:rPr>
        <w:rFonts w:ascii="Calibri" w:eastAsia="Calibri" w:hAnsi="Calibri" w:cs="Arial"/>
        <w:b/>
        <w:bCs/>
        <w:noProof/>
        <w:sz w:val="16"/>
        <w:lang w:val="en-CA"/>
      </w:rPr>
      <w:t>28</w:t>
    </w:r>
    <w:r w:rsidRPr="006B2FDC">
      <w:rPr>
        <w:rFonts w:ascii="Calibri" w:eastAsia="Calibri" w:hAnsi="Calibri" w:cs="Arial"/>
        <w:b/>
        <w:bCs/>
        <w:noProof/>
        <w:sz w:val="16"/>
      </w:rPr>
      <w:fldChar w:fldCharType="end"/>
    </w:r>
    <w:r>
      <w:rPr>
        <w:rFonts w:ascii="Calibri" w:eastAsia="Calibri" w:hAnsi="Calibri" w:cs="Arial"/>
        <w:b/>
        <w:bCs/>
        <w:sz w:val="16"/>
        <w:lang w:val="en-CA"/>
      </w:rPr>
      <w:tab/>
    </w:r>
    <w:r>
      <w:rPr>
        <w:rFonts w:ascii="Calibri" w:eastAsia="Calibri" w:hAnsi="Calibri" w:cs="Arial"/>
        <w:b/>
        <w:bCs/>
        <w:sz w:val="16"/>
        <w:lang w:val="en-CA"/>
      </w:rPr>
      <w:tab/>
    </w:r>
    <w:proofErr w:type="spellStart"/>
    <w:r>
      <w:rPr>
        <w:rFonts w:ascii="Calibri" w:eastAsia="Calibri" w:hAnsi="Calibri" w:cs="Arial"/>
        <w:sz w:val="16"/>
        <w:lang w:val="en-CA"/>
      </w:rPr>
      <w:t>GCdocs</w:t>
    </w:r>
    <w:proofErr w:type="spellEnd"/>
    <w:r>
      <w:rPr>
        <w:rFonts w:ascii="Calibri" w:eastAsia="Calibri" w:hAnsi="Calibri" w:cs="Arial"/>
        <w:sz w:val="16"/>
        <w:lang w:val="en-CA"/>
      </w:rPr>
      <w:t xml:space="preserve"> n</w:t>
    </w:r>
    <w:r w:rsidRPr="00CD3267">
      <w:rPr>
        <w:rFonts w:ascii="Calibri" w:eastAsia="Calibri" w:hAnsi="Calibri" w:cs="Arial"/>
        <w:sz w:val="16"/>
        <w:vertAlign w:val="superscript"/>
        <w:lang w:val="en-CA"/>
      </w:rPr>
      <w:t>o</w:t>
    </w:r>
    <w:r>
      <w:rPr>
        <w:rFonts w:ascii="Calibri" w:eastAsia="Calibri" w:hAnsi="Calibri" w:cs="Arial"/>
        <w:sz w:val="16"/>
        <w:lang w:val="en-CA"/>
      </w:rPr>
      <w:t xml:space="preserve"> 10251579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4F6B" w14:textId="77777777" w:rsidR="00030DD5" w:rsidRDefault="00030DD5" w:rsidP="0051557E">
      <w:r>
        <w:separator/>
      </w:r>
    </w:p>
  </w:footnote>
  <w:footnote w:type="continuationSeparator" w:id="0">
    <w:p w14:paraId="47A620F0" w14:textId="77777777" w:rsidR="00030DD5" w:rsidRDefault="00030DD5"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A887" w14:textId="77777777" w:rsidR="00E02A69" w:rsidRDefault="00E02A69" w:rsidP="0051557E">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966E7"/>
    <w:multiLevelType w:val="hybridMultilevel"/>
    <w:tmpl w:val="DFDEF248"/>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5"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5B4CB3"/>
    <w:multiLevelType w:val="hybridMultilevel"/>
    <w:tmpl w:val="4B383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BD2DBF"/>
    <w:multiLevelType w:val="hybridMultilevel"/>
    <w:tmpl w:val="8326AE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DC19D5"/>
    <w:multiLevelType w:val="hybridMultilevel"/>
    <w:tmpl w:val="0D12BF1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305AD7"/>
    <w:multiLevelType w:val="hybridMultilevel"/>
    <w:tmpl w:val="45D0C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75032B"/>
    <w:multiLevelType w:val="hybridMultilevel"/>
    <w:tmpl w:val="4B0A3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5"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num>
  <w:num w:numId="5">
    <w:abstractNumId w:val="3"/>
  </w:num>
  <w:num w:numId="6">
    <w:abstractNumId w:val="2"/>
  </w:num>
  <w:num w:numId="7">
    <w:abstractNumId w:val="18"/>
  </w:num>
  <w:num w:numId="8">
    <w:abstractNumId w:val="9"/>
  </w:num>
  <w:num w:numId="9">
    <w:abstractNumId w:val="12"/>
  </w:num>
  <w:num w:numId="10">
    <w:abstractNumId w:val="6"/>
  </w:num>
  <w:num w:numId="11">
    <w:abstractNumId w:val="19"/>
  </w:num>
  <w:num w:numId="12">
    <w:abstractNumId w:val="0"/>
  </w:num>
  <w:num w:numId="13">
    <w:abstractNumId w:val="23"/>
  </w:num>
  <w:num w:numId="14">
    <w:abstractNumId w:val="20"/>
  </w:num>
  <w:num w:numId="15">
    <w:abstractNumId w:val="26"/>
  </w:num>
  <w:num w:numId="16">
    <w:abstractNumId w:val="17"/>
  </w:num>
  <w:num w:numId="17">
    <w:abstractNumId w:val="15"/>
  </w:num>
  <w:num w:numId="18">
    <w:abstractNumId w:val="10"/>
  </w:num>
  <w:num w:numId="19">
    <w:abstractNumId w:val="16"/>
  </w:num>
  <w:num w:numId="20">
    <w:abstractNumId w:val="27"/>
  </w:num>
  <w:num w:numId="21">
    <w:abstractNumId w:val="21"/>
  </w:num>
  <w:num w:numId="22">
    <w:abstractNumId w:val="7"/>
  </w:num>
  <w:num w:numId="23">
    <w:abstractNumId w:val="11"/>
  </w:num>
  <w:num w:numId="24">
    <w:abstractNumId w:val="1"/>
  </w:num>
  <w:num w:numId="25">
    <w:abstractNumId w:val="22"/>
  </w:num>
  <w:num w:numId="26">
    <w:abstractNumId w:val="5"/>
  </w:num>
  <w:num w:numId="27">
    <w:abstractNumId w:val="4"/>
  </w:num>
  <w:num w:numId="28">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jezana Kulic">
    <w15:presenceInfo w15:providerId="AD" w15:userId="S::snjezana.kulic@cfp-psc.gc.ca::8c804b40-7be5-4df3-9618-dcb639ad7e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20"/>
  <w:hyphenationZone w:val="425"/>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27"/>
    <w:rsid w:val="000010F2"/>
    <w:rsid w:val="00001AF3"/>
    <w:rsid w:val="0000371B"/>
    <w:rsid w:val="00012882"/>
    <w:rsid w:val="00013CF8"/>
    <w:rsid w:val="000148B3"/>
    <w:rsid w:val="00030DD5"/>
    <w:rsid w:val="00055B43"/>
    <w:rsid w:val="00060368"/>
    <w:rsid w:val="0006573D"/>
    <w:rsid w:val="00070F28"/>
    <w:rsid w:val="00072AE3"/>
    <w:rsid w:val="00082E79"/>
    <w:rsid w:val="0009261F"/>
    <w:rsid w:val="00092CEB"/>
    <w:rsid w:val="0009743A"/>
    <w:rsid w:val="00097A56"/>
    <w:rsid w:val="000A741E"/>
    <w:rsid w:val="000C1CC6"/>
    <w:rsid w:val="000C45BD"/>
    <w:rsid w:val="000F2B69"/>
    <w:rsid w:val="000F72EA"/>
    <w:rsid w:val="000F7E62"/>
    <w:rsid w:val="001014AA"/>
    <w:rsid w:val="00103580"/>
    <w:rsid w:val="00106072"/>
    <w:rsid w:val="0011143F"/>
    <w:rsid w:val="00141F94"/>
    <w:rsid w:val="00142953"/>
    <w:rsid w:val="00164689"/>
    <w:rsid w:val="001723EE"/>
    <w:rsid w:val="0019209C"/>
    <w:rsid w:val="001931D5"/>
    <w:rsid w:val="001B13BA"/>
    <w:rsid w:val="001B1D91"/>
    <w:rsid w:val="001B291A"/>
    <w:rsid w:val="001B32BB"/>
    <w:rsid w:val="001B35EE"/>
    <w:rsid w:val="001D6ED8"/>
    <w:rsid w:val="001E52D5"/>
    <w:rsid w:val="001F6E88"/>
    <w:rsid w:val="00210749"/>
    <w:rsid w:val="0021167B"/>
    <w:rsid w:val="00211FA7"/>
    <w:rsid w:val="002241BA"/>
    <w:rsid w:val="002342AB"/>
    <w:rsid w:val="00244CD0"/>
    <w:rsid w:val="00244DAF"/>
    <w:rsid w:val="002619C0"/>
    <w:rsid w:val="00272550"/>
    <w:rsid w:val="00272667"/>
    <w:rsid w:val="0027300D"/>
    <w:rsid w:val="0028655C"/>
    <w:rsid w:val="002A659C"/>
    <w:rsid w:val="002B0A98"/>
    <w:rsid w:val="002B13B1"/>
    <w:rsid w:val="002B47FD"/>
    <w:rsid w:val="002B7FC2"/>
    <w:rsid w:val="002C0B71"/>
    <w:rsid w:val="002C10F6"/>
    <w:rsid w:val="002C12A8"/>
    <w:rsid w:val="002C29F3"/>
    <w:rsid w:val="002D0903"/>
    <w:rsid w:val="003106EB"/>
    <w:rsid w:val="00336B63"/>
    <w:rsid w:val="00364A6A"/>
    <w:rsid w:val="00366178"/>
    <w:rsid w:val="003753E1"/>
    <w:rsid w:val="00392697"/>
    <w:rsid w:val="003C6517"/>
    <w:rsid w:val="003D3DF6"/>
    <w:rsid w:val="003E5B17"/>
    <w:rsid w:val="003E70CC"/>
    <w:rsid w:val="003F1D3E"/>
    <w:rsid w:val="003F5CA1"/>
    <w:rsid w:val="00406231"/>
    <w:rsid w:val="004148C6"/>
    <w:rsid w:val="00420DA7"/>
    <w:rsid w:val="00424113"/>
    <w:rsid w:val="004411EB"/>
    <w:rsid w:val="00464B40"/>
    <w:rsid w:val="004709AB"/>
    <w:rsid w:val="004845A2"/>
    <w:rsid w:val="004863B5"/>
    <w:rsid w:val="004A379E"/>
    <w:rsid w:val="004B291B"/>
    <w:rsid w:val="004B45D3"/>
    <w:rsid w:val="004B45E8"/>
    <w:rsid w:val="004C7EE5"/>
    <w:rsid w:val="004E0641"/>
    <w:rsid w:val="004F5701"/>
    <w:rsid w:val="005009EC"/>
    <w:rsid w:val="00503C89"/>
    <w:rsid w:val="005100E6"/>
    <w:rsid w:val="0051557E"/>
    <w:rsid w:val="00520881"/>
    <w:rsid w:val="00531A4E"/>
    <w:rsid w:val="00541A63"/>
    <w:rsid w:val="0057112E"/>
    <w:rsid w:val="005718C7"/>
    <w:rsid w:val="005B1309"/>
    <w:rsid w:val="005B315B"/>
    <w:rsid w:val="005D7855"/>
    <w:rsid w:val="005E6D0E"/>
    <w:rsid w:val="006078D1"/>
    <w:rsid w:val="00622B16"/>
    <w:rsid w:val="006359E0"/>
    <w:rsid w:val="00676FEF"/>
    <w:rsid w:val="00682727"/>
    <w:rsid w:val="00692C16"/>
    <w:rsid w:val="006943D7"/>
    <w:rsid w:val="006A1428"/>
    <w:rsid w:val="006A3DED"/>
    <w:rsid w:val="006B20CB"/>
    <w:rsid w:val="006E2D15"/>
    <w:rsid w:val="006E419B"/>
    <w:rsid w:val="006F5ED7"/>
    <w:rsid w:val="00701806"/>
    <w:rsid w:val="00722B01"/>
    <w:rsid w:val="0072483F"/>
    <w:rsid w:val="0074723A"/>
    <w:rsid w:val="0075226B"/>
    <w:rsid w:val="00752328"/>
    <w:rsid w:val="0076214E"/>
    <w:rsid w:val="00770D13"/>
    <w:rsid w:val="00772B4B"/>
    <w:rsid w:val="007769CA"/>
    <w:rsid w:val="007A3597"/>
    <w:rsid w:val="007A7688"/>
    <w:rsid w:val="007B1B27"/>
    <w:rsid w:val="007B7C18"/>
    <w:rsid w:val="007D484F"/>
    <w:rsid w:val="007D6167"/>
    <w:rsid w:val="007E17D1"/>
    <w:rsid w:val="007E6852"/>
    <w:rsid w:val="007F2CEA"/>
    <w:rsid w:val="00800936"/>
    <w:rsid w:val="00811C8C"/>
    <w:rsid w:val="00817426"/>
    <w:rsid w:val="008208A3"/>
    <w:rsid w:val="008241C4"/>
    <w:rsid w:val="0083705D"/>
    <w:rsid w:val="008423EA"/>
    <w:rsid w:val="0084739A"/>
    <w:rsid w:val="00850876"/>
    <w:rsid w:val="008509B4"/>
    <w:rsid w:val="008701F0"/>
    <w:rsid w:val="00877C22"/>
    <w:rsid w:val="008A356F"/>
    <w:rsid w:val="008C249B"/>
    <w:rsid w:val="008E5FD6"/>
    <w:rsid w:val="00913917"/>
    <w:rsid w:val="00925EDF"/>
    <w:rsid w:val="00944C68"/>
    <w:rsid w:val="00945313"/>
    <w:rsid w:val="009466B2"/>
    <w:rsid w:val="00950DD9"/>
    <w:rsid w:val="00955BBF"/>
    <w:rsid w:val="00963938"/>
    <w:rsid w:val="009832C4"/>
    <w:rsid w:val="00983400"/>
    <w:rsid w:val="00997D3F"/>
    <w:rsid w:val="009A6B30"/>
    <w:rsid w:val="009D0CF1"/>
    <w:rsid w:val="009F253C"/>
    <w:rsid w:val="009F4A85"/>
    <w:rsid w:val="009F7E09"/>
    <w:rsid w:val="00A0130F"/>
    <w:rsid w:val="00A16B26"/>
    <w:rsid w:val="00A20742"/>
    <w:rsid w:val="00A32DE4"/>
    <w:rsid w:val="00A3677B"/>
    <w:rsid w:val="00A75EF6"/>
    <w:rsid w:val="00A77330"/>
    <w:rsid w:val="00A809F3"/>
    <w:rsid w:val="00AA6CCC"/>
    <w:rsid w:val="00AA7DE2"/>
    <w:rsid w:val="00AB0297"/>
    <w:rsid w:val="00AC47E4"/>
    <w:rsid w:val="00AC5433"/>
    <w:rsid w:val="00AD45A8"/>
    <w:rsid w:val="00AD7AE8"/>
    <w:rsid w:val="00AF0EE3"/>
    <w:rsid w:val="00AF255F"/>
    <w:rsid w:val="00B04BE4"/>
    <w:rsid w:val="00B07CDF"/>
    <w:rsid w:val="00B13455"/>
    <w:rsid w:val="00B15BB2"/>
    <w:rsid w:val="00B23836"/>
    <w:rsid w:val="00B33678"/>
    <w:rsid w:val="00B54067"/>
    <w:rsid w:val="00B556C4"/>
    <w:rsid w:val="00B61F15"/>
    <w:rsid w:val="00B62F5D"/>
    <w:rsid w:val="00B65DA1"/>
    <w:rsid w:val="00B723E8"/>
    <w:rsid w:val="00B86EAA"/>
    <w:rsid w:val="00B9416E"/>
    <w:rsid w:val="00B9648D"/>
    <w:rsid w:val="00BA2036"/>
    <w:rsid w:val="00BB4AD1"/>
    <w:rsid w:val="00BC2D6E"/>
    <w:rsid w:val="00BC38F7"/>
    <w:rsid w:val="00C06C7E"/>
    <w:rsid w:val="00C07681"/>
    <w:rsid w:val="00C07E9B"/>
    <w:rsid w:val="00C26AA6"/>
    <w:rsid w:val="00C27D5D"/>
    <w:rsid w:val="00C4296F"/>
    <w:rsid w:val="00C4307D"/>
    <w:rsid w:val="00C47058"/>
    <w:rsid w:val="00C562F1"/>
    <w:rsid w:val="00C60C29"/>
    <w:rsid w:val="00C6750D"/>
    <w:rsid w:val="00C73EF5"/>
    <w:rsid w:val="00CA0BAE"/>
    <w:rsid w:val="00CC3AC9"/>
    <w:rsid w:val="00CD3267"/>
    <w:rsid w:val="00CD62D2"/>
    <w:rsid w:val="00CF2734"/>
    <w:rsid w:val="00CF72B4"/>
    <w:rsid w:val="00D10A56"/>
    <w:rsid w:val="00D244F0"/>
    <w:rsid w:val="00D24E33"/>
    <w:rsid w:val="00D31E61"/>
    <w:rsid w:val="00D43542"/>
    <w:rsid w:val="00D709D2"/>
    <w:rsid w:val="00D84E7B"/>
    <w:rsid w:val="00D92B84"/>
    <w:rsid w:val="00DB2101"/>
    <w:rsid w:val="00DD057D"/>
    <w:rsid w:val="00DD73EB"/>
    <w:rsid w:val="00DF7361"/>
    <w:rsid w:val="00E004F7"/>
    <w:rsid w:val="00E02A69"/>
    <w:rsid w:val="00E1620F"/>
    <w:rsid w:val="00E23392"/>
    <w:rsid w:val="00E2592E"/>
    <w:rsid w:val="00E4373E"/>
    <w:rsid w:val="00E43EBA"/>
    <w:rsid w:val="00E453C7"/>
    <w:rsid w:val="00E53E2F"/>
    <w:rsid w:val="00E575DE"/>
    <w:rsid w:val="00E63CDF"/>
    <w:rsid w:val="00E66593"/>
    <w:rsid w:val="00EA3D30"/>
    <w:rsid w:val="00EA7BBC"/>
    <w:rsid w:val="00EB7C38"/>
    <w:rsid w:val="00ED7F0A"/>
    <w:rsid w:val="00EF2922"/>
    <w:rsid w:val="00EF52E2"/>
    <w:rsid w:val="00F078F3"/>
    <w:rsid w:val="00F13451"/>
    <w:rsid w:val="00F36850"/>
    <w:rsid w:val="00F43FD9"/>
    <w:rsid w:val="00F51BE7"/>
    <w:rsid w:val="00F52D67"/>
    <w:rsid w:val="00F565BF"/>
    <w:rsid w:val="00F65E57"/>
    <w:rsid w:val="00F70707"/>
    <w:rsid w:val="00F83D39"/>
    <w:rsid w:val="00F87008"/>
    <w:rsid w:val="00F876E2"/>
    <w:rsid w:val="00FA4820"/>
    <w:rsid w:val="00FC6414"/>
    <w:rsid w:val="00FE41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DB642"/>
  <w15:chartTrackingRefBased/>
  <w15:docId w15:val="{BF8B71A6-D8D6-41B3-ACEC-2C2497B1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27"/>
    <w:pPr>
      <w:spacing w:after="0" w:line="240" w:lineRule="auto"/>
    </w:pPr>
    <w:rPr>
      <w:rFonts w:ascii="Times New Roman" w:eastAsia="Times New Roman" w:hAnsi="Times New Roman" w:cs="Times New Roman"/>
      <w:sz w:val="24"/>
      <w:szCs w:val="20"/>
      <w:lang w:val="fr-CA"/>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paragraph" w:styleId="ListParagraph">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7D6167"/>
    <w:rPr>
      <w:rFonts w:ascii="Segoe UI Semibold" w:hAnsi="Segoe UI Semibold"/>
      <w:b w:val="0"/>
      <w:color w:val="auto"/>
      <w:sz w:val="22"/>
    </w:rPr>
  </w:style>
  <w:style w:type="paragraph" w:styleId="Title">
    <w:name w:val="Title"/>
    <w:basedOn w:val="Normal"/>
    <w:next w:val="Normal"/>
    <w:link w:val="TitleChar"/>
    <w:autoRedefine/>
    <w:uiPriority w:val="10"/>
    <w:qFormat/>
    <w:rsid w:val="00210749"/>
    <w:pPr>
      <w:spacing w:before="120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210749"/>
    <w:rPr>
      <w:rFonts w:ascii="Segoe UI Light" w:eastAsiaTheme="majorEastAsia" w:hAnsi="Segoe UI Light" w:cs="Segoe UI Light"/>
      <w:color w:val="54575A" w:themeColor="text1"/>
      <w:spacing w:val="-10"/>
      <w:kern w:val="28"/>
      <w:sz w:val="120"/>
      <w:szCs w:val="120"/>
      <w:lang w:val="fr-CA"/>
    </w:rPr>
  </w:style>
  <w:style w:type="paragraph" w:styleId="NormalWeb">
    <w:name w:val="Normal (Web)"/>
    <w:basedOn w:val="Normal"/>
    <w:uiPriority w:val="99"/>
    <w:unhideWhenUsed/>
    <w:rsid w:val="007B1B27"/>
    <w:pPr>
      <w:spacing w:before="100" w:beforeAutospacing="1" w:after="100" w:afterAutospacing="1"/>
    </w:pPr>
    <w:rPr>
      <w:rFonts w:ascii="Verdana" w:hAnsi="Verdana"/>
      <w:szCs w:val="24"/>
    </w:rPr>
  </w:style>
  <w:style w:type="paragraph" w:customStyle="1" w:styleId="Level1">
    <w:name w:val="Level 1"/>
    <w:basedOn w:val="Normal"/>
    <w:uiPriority w:val="99"/>
    <w:rsid w:val="007B1B27"/>
    <w:pPr>
      <w:widowControl w:val="0"/>
    </w:pPr>
  </w:style>
  <w:style w:type="character" w:styleId="Hyperlink">
    <w:name w:val="Hyperlink"/>
    <w:uiPriority w:val="99"/>
    <w:unhideWhenUsed/>
    <w:rsid w:val="007B1B27"/>
    <w:rPr>
      <w:color w:val="0563C1"/>
      <w:u w:val="single"/>
    </w:rPr>
  </w:style>
  <w:style w:type="character" w:customStyle="1" w:styleId="CommentTextChar">
    <w:name w:val="Comment Text Char"/>
    <w:basedOn w:val="DefaultParagraphFont"/>
    <w:link w:val="CommentText"/>
    <w:uiPriority w:val="99"/>
    <w:semiHidden/>
    <w:rsid w:val="007B1B27"/>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7B1B27"/>
    <w:rPr>
      <w:sz w:val="20"/>
    </w:rPr>
  </w:style>
  <w:style w:type="character" w:customStyle="1" w:styleId="CommentSubjectChar">
    <w:name w:val="Comment Subject Char"/>
    <w:basedOn w:val="CommentTextChar"/>
    <w:link w:val="CommentSubject"/>
    <w:uiPriority w:val="99"/>
    <w:semiHidden/>
    <w:rsid w:val="007B1B27"/>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7B1B27"/>
    <w:rPr>
      <w:b/>
      <w:bCs/>
    </w:rPr>
  </w:style>
  <w:style w:type="paragraph" w:styleId="NoSpacing">
    <w:name w:val="No Spacing"/>
    <w:uiPriority w:val="1"/>
    <w:qFormat/>
    <w:rsid w:val="007B1B27"/>
    <w:pPr>
      <w:spacing w:after="0" w:line="240" w:lineRule="auto"/>
    </w:pPr>
    <w:rPr>
      <w:rFonts w:ascii="Times New Roman" w:eastAsia="Times New Roman" w:hAnsi="Times New Roman" w:cs="Times New Roman"/>
      <w:sz w:val="24"/>
      <w:szCs w:val="20"/>
      <w:lang w:val="en-US"/>
    </w:rPr>
  </w:style>
  <w:style w:type="paragraph" w:styleId="EndnoteText">
    <w:name w:val="endnote text"/>
    <w:basedOn w:val="Normal"/>
    <w:link w:val="EndnoteTextChar"/>
    <w:unhideWhenUsed/>
    <w:rsid w:val="007B1B27"/>
    <w:rPr>
      <w:rFonts w:ascii="Arial" w:hAnsi="Arial"/>
      <w:sz w:val="20"/>
      <w:lang w:val="en-CA" w:eastAsia="en-CA"/>
    </w:rPr>
  </w:style>
  <w:style w:type="character" w:customStyle="1" w:styleId="EndnoteTextChar">
    <w:name w:val="Endnote Text Char"/>
    <w:basedOn w:val="DefaultParagraphFont"/>
    <w:link w:val="EndnoteText"/>
    <w:rsid w:val="007B1B27"/>
    <w:rPr>
      <w:rFonts w:ascii="Arial" w:eastAsia="Times New Roman" w:hAnsi="Arial" w:cs="Times New Roman"/>
      <w:sz w:val="20"/>
      <w:szCs w:val="20"/>
      <w:lang w:eastAsia="en-CA"/>
    </w:rPr>
  </w:style>
  <w:style w:type="paragraph" w:customStyle="1" w:styleId="Style1">
    <w:name w:val="Style1"/>
    <w:basedOn w:val="Normal"/>
    <w:link w:val="Style1Char"/>
    <w:qFormat/>
    <w:rsid w:val="007B1B27"/>
    <w:pPr>
      <w:pBdr>
        <w:bottom w:val="single" w:sz="4" w:space="1" w:color="92D050"/>
      </w:pBdr>
      <w:autoSpaceDE w:val="0"/>
      <w:autoSpaceDN w:val="0"/>
      <w:adjustRightInd w:val="0"/>
      <w:ind w:right="50"/>
    </w:pPr>
    <w:rPr>
      <w:rFonts w:ascii="Arial" w:hAnsi="Arial" w:cs="Arial"/>
      <w:b/>
      <w:caps/>
      <w:color w:val="92D050"/>
      <w:sz w:val="22"/>
      <w:szCs w:val="22"/>
      <w:lang w:val="en-CA"/>
    </w:rPr>
  </w:style>
  <w:style w:type="character" w:customStyle="1" w:styleId="Style1Char">
    <w:name w:val="Style1 Char"/>
    <w:basedOn w:val="DefaultParagraphFont"/>
    <w:link w:val="Style1"/>
    <w:rsid w:val="007B1B27"/>
    <w:rPr>
      <w:rFonts w:ascii="Arial" w:eastAsia="Times New Roman" w:hAnsi="Arial" w:cs="Arial"/>
      <w:b/>
      <w:caps/>
      <w:color w:val="92D050"/>
    </w:rPr>
  </w:style>
  <w:style w:type="paragraph" w:customStyle="1" w:styleId="Style2">
    <w:name w:val="Style2"/>
    <w:basedOn w:val="Normal"/>
    <w:link w:val="Style2Char"/>
    <w:qFormat/>
    <w:rsid w:val="007B1B27"/>
    <w:pPr>
      <w:shd w:val="clear" w:color="auto" w:fill="F2F2F2"/>
    </w:pPr>
    <w:rPr>
      <w:rFonts w:ascii="Arial" w:hAnsi="Arial" w:cs="Arial"/>
      <w:b/>
      <w:color w:val="009999"/>
      <w:spacing w:val="-10"/>
      <w:sz w:val="22"/>
      <w:szCs w:val="22"/>
      <w:lang w:val="en-CA"/>
    </w:rPr>
  </w:style>
  <w:style w:type="character" w:customStyle="1" w:styleId="Style2Char">
    <w:name w:val="Style2 Char"/>
    <w:basedOn w:val="DefaultParagraphFont"/>
    <w:link w:val="Style2"/>
    <w:rsid w:val="007B1B27"/>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7B1B27"/>
    <w:pPr>
      <w:jc w:val="center"/>
    </w:pPr>
    <w:rPr>
      <w:rFonts w:ascii="Arial" w:hAnsi="Arial" w:cs="Arial"/>
      <w:b/>
      <w:sz w:val="22"/>
      <w:szCs w:val="22"/>
      <w:u w:val="single"/>
    </w:rPr>
  </w:style>
  <w:style w:type="character" w:customStyle="1" w:styleId="Style3Char">
    <w:name w:val="Style3 Char"/>
    <w:basedOn w:val="DefaultParagraphFont"/>
    <w:link w:val="Style3"/>
    <w:rsid w:val="007B1B27"/>
    <w:rPr>
      <w:rFonts w:ascii="Arial" w:eastAsia="Times New Roman" w:hAnsi="Arial" w:cs="Arial"/>
      <w:b/>
      <w:u w:val="single"/>
      <w:lang w:val="en-US"/>
    </w:rPr>
  </w:style>
  <w:style w:type="paragraph" w:customStyle="1" w:styleId="Style4">
    <w:name w:val="Style4"/>
    <w:basedOn w:val="Normal"/>
    <w:link w:val="Style4Char"/>
    <w:qFormat/>
    <w:rsid w:val="007B1B27"/>
    <w:rPr>
      <w:rFonts w:ascii="Arial" w:hAnsi="Arial" w:cs="Arial"/>
      <w:sz w:val="22"/>
      <w:szCs w:val="22"/>
      <w:u w:val="single"/>
      <w:lang w:val="en-CA" w:eastAsia="en-CA"/>
    </w:rPr>
  </w:style>
  <w:style w:type="character" w:customStyle="1" w:styleId="Style4Char">
    <w:name w:val="Style4 Char"/>
    <w:basedOn w:val="DefaultParagraphFont"/>
    <w:link w:val="Style4"/>
    <w:rsid w:val="007B1B27"/>
    <w:rPr>
      <w:rFonts w:ascii="Arial" w:eastAsia="Times New Roman" w:hAnsi="Arial" w:cs="Arial"/>
      <w:u w:val="single"/>
      <w:lang w:eastAsia="en-CA"/>
    </w:rPr>
  </w:style>
  <w:style w:type="paragraph" w:customStyle="1" w:styleId="Style5">
    <w:name w:val="Style5"/>
    <w:basedOn w:val="Normal"/>
    <w:link w:val="Style5Char"/>
    <w:qFormat/>
    <w:rsid w:val="007B1B27"/>
    <w:pPr>
      <w:jc w:val="center"/>
    </w:pPr>
    <w:rPr>
      <w:rFonts w:ascii="Arial" w:hAnsi="Arial" w:cs="Arial"/>
      <w:b/>
      <w:bCs/>
      <w:sz w:val="22"/>
      <w:szCs w:val="22"/>
      <w:lang w:val="en"/>
    </w:rPr>
  </w:style>
  <w:style w:type="character" w:customStyle="1" w:styleId="Style5Char">
    <w:name w:val="Style5 Char"/>
    <w:basedOn w:val="DefaultParagraphFont"/>
    <w:link w:val="Style5"/>
    <w:rsid w:val="007B1B27"/>
    <w:rPr>
      <w:rFonts w:ascii="Arial" w:eastAsia="Times New Roman" w:hAnsi="Arial" w:cs="Arial"/>
      <w:b/>
      <w:bCs/>
      <w:lang w:val="en"/>
    </w:rPr>
  </w:style>
  <w:style w:type="paragraph" w:customStyle="1" w:styleId="Style6">
    <w:name w:val="Style6"/>
    <w:basedOn w:val="Normal"/>
    <w:link w:val="Style6Char"/>
    <w:qFormat/>
    <w:rsid w:val="007B1B27"/>
    <w:pPr>
      <w:jc w:val="center"/>
    </w:pPr>
    <w:rPr>
      <w:rFonts w:ascii="Arial" w:hAnsi="Arial" w:cs="Arial"/>
      <w:b/>
      <w:color w:val="009999"/>
      <w:szCs w:val="24"/>
    </w:rPr>
  </w:style>
  <w:style w:type="character" w:customStyle="1" w:styleId="Style6Char">
    <w:name w:val="Style6 Char"/>
    <w:basedOn w:val="DefaultParagraphFont"/>
    <w:link w:val="Style6"/>
    <w:rsid w:val="007B1B27"/>
    <w:rPr>
      <w:rFonts w:ascii="Arial" w:eastAsia="Times New Roman" w:hAnsi="Arial" w:cs="Arial"/>
      <w:b/>
      <w:color w:val="009999"/>
      <w:sz w:val="24"/>
      <w:szCs w:val="24"/>
      <w:lang w:val="en-US"/>
    </w:rPr>
  </w:style>
  <w:style w:type="paragraph" w:customStyle="1" w:styleId="Style7">
    <w:name w:val="Style7"/>
    <w:basedOn w:val="Normal"/>
    <w:link w:val="Style7Char"/>
    <w:qFormat/>
    <w:rsid w:val="007B1B27"/>
    <w:pPr>
      <w:jc w:val="center"/>
    </w:pPr>
    <w:rPr>
      <w:rFonts w:ascii="Arial" w:hAnsi="Arial" w:cs="Arial"/>
      <w:color w:val="009999"/>
      <w:sz w:val="22"/>
      <w:szCs w:val="32"/>
    </w:rPr>
  </w:style>
  <w:style w:type="character" w:customStyle="1" w:styleId="Style7Char">
    <w:name w:val="Style7 Char"/>
    <w:basedOn w:val="DefaultParagraphFont"/>
    <w:link w:val="Style7"/>
    <w:rsid w:val="007B1B27"/>
    <w:rPr>
      <w:rFonts w:ascii="Arial" w:eastAsia="Times New Roman" w:hAnsi="Arial" w:cs="Arial"/>
      <w:color w:val="009999"/>
      <w:szCs w:val="32"/>
      <w:lang w:val="en-US"/>
    </w:rPr>
  </w:style>
  <w:style w:type="paragraph" w:customStyle="1" w:styleId="Style8">
    <w:name w:val="Style8"/>
    <w:basedOn w:val="Normal"/>
    <w:link w:val="Style8Char"/>
    <w:qFormat/>
    <w:rsid w:val="007B1B27"/>
    <w:rPr>
      <w:rFonts w:ascii="Arial" w:hAnsi="Arial" w:cs="Arial"/>
      <w:color w:val="767171"/>
      <w:sz w:val="16"/>
      <w:szCs w:val="22"/>
      <w:lang w:val="en-CA"/>
    </w:rPr>
  </w:style>
  <w:style w:type="character" w:customStyle="1" w:styleId="Style8Char">
    <w:name w:val="Style8 Char"/>
    <w:basedOn w:val="DefaultParagraphFont"/>
    <w:link w:val="Style8"/>
    <w:rsid w:val="007B1B27"/>
    <w:rPr>
      <w:rFonts w:ascii="Arial" w:eastAsia="Times New Roman" w:hAnsi="Arial" w:cs="Arial"/>
      <w:color w:val="767171"/>
      <w:sz w:val="16"/>
    </w:rPr>
  </w:style>
  <w:style w:type="paragraph" w:customStyle="1" w:styleId="Style9">
    <w:name w:val="Style9"/>
    <w:basedOn w:val="Normal"/>
    <w:link w:val="Style9Char"/>
    <w:qFormat/>
    <w:rsid w:val="007B1B27"/>
    <w:rPr>
      <w:rFonts w:ascii="Arial" w:hAnsi="Arial" w:cs="Arial"/>
      <w:b/>
      <w:color w:val="009999"/>
      <w:spacing w:val="-10"/>
      <w:sz w:val="22"/>
      <w:szCs w:val="22"/>
      <w:lang w:val="en-CA"/>
    </w:rPr>
  </w:style>
  <w:style w:type="character" w:customStyle="1" w:styleId="Style9Char">
    <w:name w:val="Style9 Char"/>
    <w:basedOn w:val="DefaultParagraphFont"/>
    <w:link w:val="Style9"/>
    <w:rsid w:val="007B1B27"/>
    <w:rPr>
      <w:rFonts w:ascii="Arial" w:eastAsia="Times New Roman" w:hAnsi="Arial" w:cs="Arial"/>
      <w:b/>
      <w:color w:val="009999"/>
      <w:spacing w:val="-10"/>
    </w:rPr>
  </w:style>
  <w:style w:type="character" w:customStyle="1" w:styleId="tlid-translation">
    <w:name w:val="tlid-translation"/>
    <w:basedOn w:val="DefaultParagraphFont"/>
    <w:rsid w:val="007B1B27"/>
  </w:style>
  <w:style w:type="character" w:customStyle="1" w:styleId="st1">
    <w:name w:val="st1"/>
    <w:basedOn w:val="DefaultParagraphFont"/>
    <w:rsid w:val="007B1B27"/>
  </w:style>
  <w:style w:type="character" w:styleId="FollowedHyperlink">
    <w:name w:val="FollowedHyperlink"/>
    <w:basedOn w:val="DefaultParagraphFont"/>
    <w:uiPriority w:val="99"/>
    <w:semiHidden/>
    <w:unhideWhenUsed/>
    <w:rsid w:val="00AB0297"/>
    <w:rPr>
      <w:color w:val="A5A5A5" w:themeColor="followedHyperlink"/>
      <w:u w:val="single"/>
    </w:rPr>
  </w:style>
  <w:style w:type="table" w:styleId="GridTable5Dark">
    <w:name w:val="Grid Table 5 Dark"/>
    <w:basedOn w:val="TableNormal"/>
    <w:uiPriority w:val="50"/>
    <w:rsid w:val="00441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75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75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75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75A" w:themeFill="text1"/>
      </w:tcPr>
    </w:tblStylePr>
    <w:tblStylePr w:type="band1Vert">
      <w:tblPr/>
      <w:tcPr>
        <w:shd w:val="clear" w:color="auto" w:fill="B9BBBE" w:themeFill="text1" w:themeFillTint="66"/>
      </w:tcPr>
    </w:tblStylePr>
    <w:tblStylePr w:type="band1Horz">
      <w:tblPr/>
      <w:tcPr>
        <w:shd w:val="clear" w:color="auto" w:fill="B9BBBE" w:themeFill="text1" w:themeFillTint="66"/>
      </w:tcPr>
    </w:tblStylePr>
  </w:style>
  <w:style w:type="table" w:styleId="GridTable5Dark-Accent3">
    <w:name w:val="Grid Table 5 Dark Accent 3"/>
    <w:basedOn w:val="TableNormal"/>
    <w:uiPriority w:val="50"/>
    <w:rsid w:val="00082E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A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A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A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A8" w:themeFill="accent3"/>
      </w:tcPr>
    </w:tblStylePr>
    <w:tblStylePr w:type="band1Vert">
      <w:tblPr/>
      <w:tcPr>
        <w:shd w:val="clear" w:color="auto" w:fill="76F2FF" w:themeFill="accent3" w:themeFillTint="66"/>
      </w:tcPr>
    </w:tblStylePr>
    <w:tblStylePr w:type="band1Horz">
      <w:tblPr/>
      <w:tcPr>
        <w:shd w:val="clear" w:color="auto" w:fill="76F2FF" w:themeFill="accent3" w:themeFillTint="66"/>
      </w:tcPr>
    </w:tblStylePr>
  </w:style>
  <w:style w:type="character" w:styleId="CommentReference">
    <w:name w:val="annotation reference"/>
    <w:basedOn w:val="DefaultParagraphFont"/>
    <w:uiPriority w:val="99"/>
    <w:semiHidden/>
    <w:unhideWhenUsed/>
    <w:rsid w:val="007769CA"/>
    <w:rPr>
      <w:sz w:val="16"/>
      <w:szCs w:val="16"/>
    </w:rPr>
  </w:style>
  <w:style w:type="character" w:customStyle="1" w:styleId="corestatus">
    <w:name w:val="corestatus"/>
    <w:basedOn w:val="DefaultParagraphFont"/>
    <w:rsid w:val="003753E1"/>
  </w:style>
  <w:style w:type="character" w:customStyle="1" w:styleId="genlabel">
    <w:name w:val="gen_label"/>
    <w:basedOn w:val="DefaultParagraphFont"/>
    <w:rsid w:val="003753E1"/>
  </w:style>
  <w:style w:type="character" w:styleId="Strong">
    <w:name w:val="Strong"/>
    <w:basedOn w:val="DefaultParagraphFont"/>
    <w:uiPriority w:val="22"/>
    <w:qFormat/>
    <w:rsid w:val="00013CF8"/>
    <w:rPr>
      <w:rFonts w:asciiTheme="minorHAnsi" w:hAnsiTheme="minorHAnsi"/>
      <w:b/>
      <w:bCs/>
      <w:sz w:val="22"/>
    </w:rPr>
  </w:style>
  <w:style w:type="paragraph" w:styleId="Revision">
    <w:name w:val="Revision"/>
    <w:hidden/>
    <w:uiPriority w:val="99"/>
    <w:semiHidden/>
    <w:rsid w:val="00752328"/>
    <w:pPr>
      <w:spacing w:after="0" w:line="240" w:lineRule="auto"/>
    </w:pPr>
    <w:rPr>
      <w:rFonts w:ascii="Times New Roman" w:eastAsia="Times New Roman" w:hAnsi="Times New Roman" w:cs="Times New Roman"/>
      <w:sz w:val="24"/>
      <w:szCs w:val="20"/>
      <w:lang w:val="fr-CA"/>
    </w:rPr>
  </w:style>
  <w:style w:type="character" w:customStyle="1" w:styleId="ListParagraphChar">
    <w:name w:val="List Paragraph Char"/>
    <w:aliases w:val="TBS PB List Paragraph Char,Table Paragraph Char,Dot pt Char,Liste 1 Char,List Paragraph1 Char,Recommendation Char,List Paragraph11 Char,L Char,List Paragraph2 Char,CV text Char,Table text Char,F5 List Paragraph Char,Bullet text Char"/>
    <w:basedOn w:val="DefaultParagraphFont"/>
    <w:link w:val="ListParagraph"/>
    <w:uiPriority w:val="34"/>
    <w:locked/>
    <w:rsid w:val="00D92B84"/>
    <w:rPr>
      <w:rFonts w:ascii="Times New Roman" w:eastAsia="Times New Roman" w:hAnsi="Times New Roman" w:cs="Times New Roman"/>
      <w:sz w:val="24"/>
      <w:szCs w:val="20"/>
      <w:lang w:val="fr-CA"/>
    </w:rPr>
  </w:style>
  <w:style w:type="character" w:styleId="Emphasis">
    <w:name w:val="Emphasis"/>
    <w:uiPriority w:val="20"/>
    <w:qFormat/>
    <w:rsid w:val="003106EB"/>
    <w:rPr>
      <w:rFonts w:asciiTheme="minorHAnsi" w:hAnsiTheme="minorHAnsi" w:cstheme="minorHAnsi"/>
      <w:color w:val="auto"/>
    </w:rPr>
  </w:style>
  <w:style w:type="paragraph" w:styleId="Caption">
    <w:name w:val="caption"/>
    <w:basedOn w:val="Normal"/>
    <w:next w:val="Normal"/>
    <w:uiPriority w:val="35"/>
    <w:unhideWhenUsed/>
    <w:qFormat/>
    <w:rsid w:val="00503C89"/>
    <w:pPr>
      <w:spacing w:after="200"/>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0189">
      <w:bodyDiv w:val="1"/>
      <w:marLeft w:val="0"/>
      <w:marRight w:val="0"/>
      <w:marTop w:val="0"/>
      <w:marBottom w:val="0"/>
      <w:divBdr>
        <w:top w:val="none" w:sz="0" w:space="0" w:color="auto"/>
        <w:left w:val="none" w:sz="0" w:space="0" w:color="auto"/>
        <w:bottom w:val="none" w:sz="0" w:space="0" w:color="auto"/>
        <w:right w:val="none" w:sz="0" w:space="0" w:color="auto"/>
      </w:divBdr>
    </w:div>
    <w:div w:id="283002408">
      <w:bodyDiv w:val="1"/>
      <w:marLeft w:val="0"/>
      <w:marRight w:val="0"/>
      <w:marTop w:val="0"/>
      <w:marBottom w:val="0"/>
      <w:divBdr>
        <w:top w:val="none" w:sz="0" w:space="0" w:color="auto"/>
        <w:left w:val="none" w:sz="0" w:space="0" w:color="auto"/>
        <w:bottom w:val="none" w:sz="0" w:space="0" w:color="auto"/>
        <w:right w:val="none" w:sz="0" w:space="0" w:color="auto"/>
      </w:divBdr>
    </w:div>
    <w:div w:id="494884165">
      <w:bodyDiv w:val="1"/>
      <w:marLeft w:val="0"/>
      <w:marRight w:val="0"/>
      <w:marTop w:val="0"/>
      <w:marBottom w:val="0"/>
      <w:divBdr>
        <w:top w:val="none" w:sz="0" w:space="0" w:color="auto"/>
        <w:left w:val="none" w:sz="0" w:space="0" w:color="auto"/>
        <w:bottom w:val="none" w:sz="0" w:space="0" w:color="auto"/>
        <w:right w:val="none" w:sz="0" w:space="0" w:color="auto"/>
      </w:divBdr>
    </w:div>
    <w:div w:id="770783597">
      <w:bodyDiv w:val="1"/>
      <w:marLeft w:val="0"/>
      <w:marRight w:val="0"/>
      <w:marTop w:val="0"/>
      <w:marBottom w:val="0"/>
      <w:divBdr>
        <w:top w:val="none" w:sz="0" w:space="0" w:color="auto"/>
        <w:left w:val="none" w:sz="0" w:space="0" w:color="auto"/>
        <w:bottom w:val="none" w:sz="0" w:space="0" w:color="auto"/>
        <w:right w:val="none" w:sz="0" w:space="0" w:color="auto"/>
      </w:divBdr>
    </w:div>
    <w:div w:id="913931925">
      <w:bodyDiv w:val="1"/>
      <w:marLeft w:val="0"/>
      <w:marRight w:val="0"/>
      <w:marTop w:val="0"/>
      <w:marBottom w:val="0"/>
      <w:divBdr>
        <w:top w:val="none" w:sz="0" w:space="0" w:color="auto"/>
        <w:left w:val="none" w:sz="0" w:space="0" w:color="auto"/>
        <w:bottom w:val="none" w:sz="0" w:space="0" w:color="auto"/>
        <w:right w:val="none" w:sz="0" w:space="0" w:color="auto"/>
      </w:divBdr>
    </w:div>
    <w:div w:id="976179840">
      <w:bodyDiv w:val="1"/>
      <w:marLeft w:val="0"/>
      <w:marRight w:val="0"/>
      <w:marTop w:val="0"/>
      <w:marBottom w:val="0"/>
      <w:divBdr>
        <w:top w:val="none" w:sz="0" w:space="0" w:color="auto"/>
        <w:left w:val="none" w:sz="0" w:space="0" w:color="auto"/>
        <w:bottom w:val="none" w:sz="0" w:space="0" w:color="auto"/>
        <w:right w:val="none" w:sz="0" w:space="0" w:color="auto"/>
      </w:divBdr>
    </w:div>
    <w:div w:id="1164786421">
      <w:bodyDiv w:val="1"/>
      <w:marLeft w:val="0"/>
      <w:marRight w:val="0"/>
      <w:marTop w:val="0"/>
      <w:marBottom w:val="0"/>
      <w:divBdr>
        <w:top w:val="none" w:sz="0" w:space="0" w:color="auto"/>
        <w:left w:val="none" w:sz="0" w:space="0" w:color="auto"/>
        <w:bottom w:val="none" w:sz="0" w:space="0" w:color="auto"/>
        <w:right w:val="none" w:sz="0" w:space="0" w:color="auto"/>
      </w:divBdr>
    </w:div>
    <w:div w:id="1261722770">
      <w:bodyDiv w:val="1"/>
      <w:marLeft w:val="0"/>
      <w:marRight w:val="0"/>
      <w:marTop w:val="0"/>
      <w:marBottom w:val="0"/>
      <w:divBdr>
        <w:top w:val="none" w:sz="0" w:space="0" w:color="auto"/>
        <w:left w:val="none" w:sz="0" w:space="0" w:color="auto"/>
        <w:bottom w:val="none" w:sz="0" w:space="0" w:color="auto"/>
        <w:right w:val="none" w:sz="0" w:space="0" w:color="auto"/>
      </w:divBdr>
    </w:div>
    <w:div w:id="1368875141">
      <w:bodyDiv w:val="1"/>
      <w:marLeft w:val="0"/>
      <w:marRight w:val="0"/>
      <w:marTop w:val="0"/>
      <w:marBottom w:val="0"/>
      <w:divBdr>
        <w:top w:val="none" w:sz="0" w:space="0" w:color="auto"/>
        <w:left w:val="none" w:sz="0" w:space="0" w:color="auto"/>
        <w:bottom w:val="none" w:sz="0" w:space="0" w:color="auto"/>
        <w:right w:val="none" w:sz="0" w:space="0" w:color="auto"/>
      </w:divBdr>
    </w:div>
    <w:div w:id="1469324423">
      <w:bodyDiv w:val="1"/>
      <w:marLeft w:val="0"/>
      <w:marRight w:val="0"/>
      <w:marTop w:val="0"/>
      <w:marBottom w:val="0"/>
      <w:divBdr>
        <w:top w:val="none" w:sz="0" w:space="0" w:color="auto"/>
        <w:left w:val="none" w:sz="0" w:space="0" w:color="auto"/>
        <w:bottom w:val="none" w:sz="0" w:space="0" w:color="auto"/>
        <w:right w:val="none" w:sz="0" w:space="0" w:color="auto"/>
      </w:divBdr>
    </w:div>
    <w:div w:id="1649868924">
      <w:bodyDiv w:val="1"/>
      <w:marLeft w:val="0"/>
      <w:marRight w:val="0"/>
      <w:marTop w:val="0"/>
      <w:marBottom w:val="0"/>
      <w:divBdr>
        <w:top w:val="none" w:sz="0" w:space="0" w:color="auto"/>
        <w:left w:val="none" w:sz="0" w:space="0" w:color="auto"/>
        <w:bottom w:val="none" w:sz="0" w:space="0" w:color="auto"/>
        <w:right w:val="none" w:sz="0" w:space="0" w:color="auto"/>
      </w:divBdr>
    </w:div>
    <w:div w:id="20667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i="0" baseline="0">
                <a:solidFill>
                  <a:sysClr val="windowText" lastClr="000000"/>
                </a:solidFill>
                <a:effectLst/>
                <a:latin typeface="+mn-lt"/>
              </a:rPr>
              <a:t>Effectif selon la durée de l'emploi en date du 31 mars</a:t>
            </a:r>
            <a:endParaRPr lang="en-CA" sz="1200">
              <a:solidFill>
                <a:sysClr val="windowText" lastClr="000000"/>
              </a:solidFill>
              <a:effectLst/>
              <a:latin typeface="+mn-lt"/>
            </a:endParaRPr>
          </a:p>
        </c:rich>
      </c:tx>
      <c:overlay val="1"/>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Durée 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 = 312) </c:v>
                </c:pt>
                <c:pt idx="1">
                  <c:v> 2016 
(N = 336)</c:v>
                </c:pt>
                <c:pt idx="2">
                  <c:v> 2017 
(N = 472) </c:v>
                </c:pt>
                <c:pt idx="3">
                  <c:v> 2018 
(N = 458) </c:v>
                </c:pt>
                <c:pt idx="4">
                  <c:v> 2019
(N = 480) </c:v>
                </c:pt>
              </c:strCache>
            </c:strRef>
          </c:cat>
          <c:val>
            <c:numRef>
              <c:f>Sheet1!$B$2:$B$6</c:f>
              <c:numCache>
                <c:formatCode>######0</c:formatCode>
                <c:ptCount val="5"/>
                <c:pt idx="0">
                  <c:v>275</c:v>
                </c:pt>
                <c:pt idx="1">
                  <c:v>290</c:v>
                </c:pt>
                <c:pt idx="2">
                  <c:v>394</c:v>
                </c:pt>
                <c:pt idx="3">
                  <c:v>397</c:v>
                </c:pt>
                <c:pt idx="4">
                  <c:v>420</c:v>
                </c:pt>
              </c:numCache>
            </c:numRef>
          </c:val>
          <c:extLst>
            <c:ext xmlns:c16="http://schemas.microsoft.com/office/drawing/2014/chart" uri="{C3380CC4-5D6E-409C-BE32-E72D297353CC}">
              <c16:uniqueId val="{00000000-A80C-435B-9E76-D0ADC1CD7BDC}"/>
            </c:ext>
          </c:extLst>
        </c:ser>
        <c:ser>
          <c:idx val="1"/>
          <c:order val="1"/>
          <c:tx>
            <c:strRef>
              <c:f>Sheet1!$C$1</c:f>
              <c:strCache>
                <c:ptCount val="1"/>
                <c:pt idx="0">
                  <c:v>Durée déterminée</c:v>
                </c:pt>
              </c:strCache>
            </c:strRef>
          </c:tx>
          <c:spPr>
            <a:solidFill>
              <a:schemeClr val="accent2"/>
            </a:solidFill>
            <a:ln>
              <a:noFill/>
            </a:ln>
            <a:effectLst/>
          </c:spPr>
          <c:invertIfNegative val="0"/>
          <c:dLbls>
            <c:dLbl>
              <c:idx val="0"/>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0C-435B-9E76-D0ADC1CD7BDC}"/>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0C-435B-9E76-D0ADC1CD7BDC}"/>
                </c:ext>
              </c:extLst>
            </c:dLbl>
            <c:dLbl>
              <c:idx val="2"/>
              <c:layout>
                <c:manualLayout>
                  <c:x val="0"/>
                  <c:y val="6.173910619014739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0C-435B-9E76-D0ADC1CD7BDC}"/>
                </c:ext>
              </c:extLst>
            </c:dLbl>
            <c:dLbl>
              <c:idx val="3"/>
              <c:layout>
                <c:manualLayout>
                  <c:x val="0"/>
                  <c:y val="7.20289572218386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0C-435B-9E76-D0ADC1CD7BDC}"/>
                </c:ext>
              </c:extLst>
            </c:dLbl>
            <c:dLbl>
              <c:idx val="4"/>
              <c:layout>
                <c:manualLayout>
                  <c:x val="0"/>
                  <c:y val="1.03397094109330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0C-435B-9E76-D0ADC1CD7BD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 = 312) </c:v>
                </c:pt>
                <c:pt idx="1">
                  <c:v> 2016 
(N = 336)</c:v>
                </c:pt>
                <c:pt idx="2">
                  <c:v> 2017 
(N = 472) </c:v>
                </c:pt>
                <c:pt idx="3">
                  <c:v> 2018 
(N = 458) </c:v>
                </c:pt>
                <c:pt idx="4">
                  <c:v> 2019
(N = 480) </c:v>
                </c:pt>
              </c:strCache>
            </c:strRef>
          </c:cat>
          <c:val>
            <c:numRef>
              <c:f>Sheet1!$C$2:$C$6</c:f>
              <c:numCache>
                <c:formatCode>######0</c:formatCode>
                <c:ptCount val="5"/>
                <c:pt idx="0">
                  <c:v>11</c:v>
                </c:pt>
                <c:pt idx="1">
                  <c:v>12</c:v>
                </c:pt>
                <c:pt idx="2">
                  <c:v>36</c:v>
                </c:pt>
                <c:pt idx="3">
                  <c:v>33</c:v>
                </c:pt>
                <c:pt idx="4">
                  <c:v>18</c:v>
                </c:pt>
              </c:numCache>
            </c:numRef>
          </c:val>
          <c:extLst>
            <c:ext xmlns:c16="http://schemas.microsoft.com/office/drawing/2014/chart" uri="{C3380CC4-5D6E-409C-BE32-E72D297353CC}">
              <c16:uniqueId val="{00000006-A80C-435B-9E76-D0ADC1CD7BDC}"/>
            </c:ext>
          </c:extLst>
        </c:ser>
        <c:ser>
          <c:idx val="2"/>
          <c:order val="2"/>
          <c:tx>
            <c:strRef>
              <c:f>Sheet1!$D$1</c:f>
              <c:strCache>
                <c:ptCount val="1"/>
                <c:pt idx="0">
                  <c:v>Poste occasionnel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 = 312) </c:v>
                </c:pt>
                <c:pt idx="1">
                  <c:v> 2016 
(N = 336)</c:v>
                </c:pt>
                <c:pt idx="2">
                  <c:v> 2017 
(N = 472) </c:v>
                </c:pt>
                <c:pt idx="3">
                  <c:v> 2018 
(N = 458) </c:v>
                </c:pt>
                <c:pt idx="4">
                  <c:v> 2019
(N = 480) </c:v>
                </c:pt>
              </c:strCache>
            </c:strRef>
          </c:cat>
          <c:val>
            <c:numRef>
              <c:f>Sheet1!$D$2:$D$6</c:f>
              <c:numCache>
                <c:formatCode>######0</c:formatCode>
                <c:ptCount val="5"/>
                <c:pt idx="0">
                  <c:v>23</c:v>
                </c:pt>
                <c:pt idx="1">
                  <c:v>24</c:v>
                </c:pt>
                <c:pt idx="2">
                  <c:v>30</c:v>
                </c:pt>
                <c:pt idx="3">
                  <c:v>21</c:v>
                </c:pt>
                <c:pt idx="4">
                  <c:v>31</c:v>
                </c:pt>
              </c:numCache>
            </c:numRef>
          </c:val>
          <c:extLst>
            <c:ext xmlns:c16="http://schemas.microsoft.com/office/drawing/2014/chart" uri="{C3380CC4-5D6E-409C-BE32-E72D297353CC}">
              <c16:uniqueId val="{00000007-A80C-435B-9E76-D0ADC1CD7BDC}"/>
            </c:ext>
          </c:extLst>
        </c:ser>
        <c:ser>
          <c:idx val="3"/>
          <c:order val="3"/>
          <c:tx>
            <c:strRef>
              <c:f>Sheet1!$E$1</c:f>
              <c:strCache>
                <c:ptCount val="1"/>
                <c:pt idx="0">
                  <c:v>Étudiants</c:v>
                </c:pt>
              </c:strCache>
            </c:strRef>
          </c:tx>
          <c:spPr>
            <a:solidFill>
              <a:schemeClr val="accent4"/>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80C-435B-9E76-D0ADC1CD7BDC}"/>
                </c:ext>
              </c:extLst>
            </c:dLbl>
            <c:dLbl>
              <c:idx val="1"/>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0C-435B-9E76-D0ADC1CD7BDC}"/>
                </c:ext>
              </c:extLst>
            </c:dLbl>
            <c:dLbl>
              <c:idx val="2"/>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80C-435B-9E76-D0ADC1CD7BDC}"/>
                </c:ext>
              </c:extLst>
            </c:dLbl>
            <c:dLbl>
              <c:idx val="3"/>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0C-435B-9E76-D0ADC1CD7BDC}"/>
                </c:ext>
              </c:extLst>
            </c:dLbl>
            <c:dLbl>
              <c:idx val="4"/>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80C-435B-9E76-D0ADC1CD7B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 = 312) </c:v>
                </c:pt>
                <c:pt idx="1">
                  <c:v> 2016 
(N = 336)</c:v>
                </c:pt>
                <c:pt idx="2">
                  <c:v> 2017 
(N = 472) </c:v>
                </c:pt>
                <c:pt idx="3">
                  <c:v> 2018 
(N = 458) </c:v>
                </c:pt>
                <c:pt idx="4">
                  <c:v> 2019
(N = 480) </c:v>
                </c:pt>
              </c:strCache>
            </c:strRef>
          </c:cat>
          <c:val>
            <c:numRef>
              <c:f>Sheet1!$E$2:$E$6</c:f>
              <c:numCache>
                <c:formatCode>######0</c:formatCode>
                <c:ptCount val="5"/>
                <c:pt idx="0">
                  <c:v>3</c:v>
                </c:pt>
                <c:pt idx="1">
                  <c:v>10</c:v>
                </c:pt>
                <c:pt idx="2">
                  <c:v>12</c:v>
                </c:pt>
                <c:pt idx="3">
                  <c:v>7</c:v>
                </c:pt>
                <c:pt idx="4">
                  <c:v>11</c:v>
                </c:pt>
              </c:numCache>
            </c:numRef>
          </c:val>
          <c:extLst>
            <c:ext xmlns:c16="http://schemas.microsoft.com/office/drawing/2014/chart" uri="{C3380CC4-5D6E-409C-BE32-E72D297353CC}">
              <c16:uniqueId val="{0000000D-A80C-435B-9E76-D0ADC1CD7BDC}"/>
            </c:ext>
          </c:extLst>
        </c:ser>
        <c:dLbls>
          <c:dLblPos val="ctr"/>
          <c:showLegendKey val="0"/>
          <c:showVal val="1"/>
          <c:showCatName val="0"/>
          <c:showSerName val="0"/>
          <c:showPercent val="0"/>
          <c:showBubbleSize val="0"/>
        </c:dLbls>
        <c:gapWidth val="150"/>
        <c:overlap val="100"/>
        <c:axId val="342527640"/>
        <c:axId val="342528424"/>
      </c:barChart>
      <c:catAx>
        <c:axId val="34252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42528424"/>
        <c:crosses val="autoZero"/>
        <c:auto val="1"/>
        <c:lblAlgn val="ctr"/>
        <c:lblOffset val="100"/>
        <c:noMultiLvlLbl val="0"/>
      </c:catAx>
      <c:valAx>
        <c:axId val="3425284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42527640"/>
        <c:crosses val="autoZero"/>
        <c:crossBetween val="between"/>
      </c:valAx>
      <c:spPr>
        <a:noFill/>
        <a:ln>
          <a:noFill/>
        </a:ln>
        <a:effectLst/>
      </c:spPr>
    </c:plotArea>
    <c:legend>
      <c:legendPos val="b"/>
      <c:layout>
        <c:manualLayout>
          <c:xMode val="edge"/>
          <c:yMode val="edge"/>
          <c:x val="0"/>
          <c:y val="0.90115586902988476"/>
          <c:w val="0.99854784978800726"/>
          <c:h val="9.369612582211005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Embauche dans le cadre de programmes étudiants</a:t>
            </a:r>
          </a:p>
        </c:rich>
      </c:tx>
      <c:layout>
        <c:manualLayout>
          <c:xMode val="edge"/>
          <c:yMode val="edge"/>
          <c:x val="0.19904431844838957"/>
          <c:y val="2.9160591543428451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Programme fédéral d'expérience de travail étudiant (PFETE)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 = 2)</c:v>
                </c:pt>
                <c:pt idx="1">
                  <c:v>2015-2016
 (N = 25)</c:v>
                </c:pt>
                <c:pt idx="2">
                  <c:v>2016-2017
 (N = 17)</c:v>
                </c:pt>
                <c:pt idx="3">
                  <c:v>2017-2018
 (N = 16)</c:v>
                </c:pt>
                <c:pt idx="4">
                  <c:v>2018-2019
 (N = 30)</c:v>
                </c:pt>
              </c:strCache>
            </c:strRef>
          </c:cat>
          <c:val>
            <c:numRef>
              <c:f>Sheet1!$B$2:$B$6</c:f>
              <c:numCache>
                <c:formatCode>General</c:formatCode>
                <c:ptCount val="5"/>
                <c:pt idx="1">
                  <c:v>13</c:v>
                </c:pt>
                <c:pt idx="2">
                  <c:v>13</c:v>
                </c:pt>
                <c:pt idx="3">
                  <c:v>13</c:v>
                </c:pt>
                <c:pt idx="4">
                  <c:v>28</c:v>
                </c:pt>
              </c:numCache>
            </c:numRef>
          </c:val>
          <c:extLst>
            <c:ext xmlns:c16="http://schemas.microsoft.com/office/drawing/2014/chart" uri="{C3380CC4-5D6E-409C-BE32-E72D297353CC}">
              <c16:uniqueId val="{00000000-898A-48AF-B869-54D086DB9716}"/>
            </c:ext>
          </c:extLst>
        </c:ser>
        <c:ser>
          <c:idx val="1"/>
          <c:order val="1"/>
          <c:tx>
            <c:strRef>
              <c:f>Sheet1!$C$1</c:f>
              <c:strCache>
                <c:ptCount val="1"/>
                <c:pt idx="0">
                  <c:v>Programme postsecondaire d'enseignement coopératif/d'internat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 = 2)</c:v>
                </c:pt>
                <c:pt idx="1">
                  <c:v>2015-2016
 (N = 25)</c:v>
                </c:pt>
                <c:pt idx="2">
                  <c:v>2016-2017
 (N = 17)</c:v>
                </c:pt>
                <c:pt idx="3">
                  <c:v>2017-2018
 (N = 16)</c:v>
                </c:pt>
                <c:pt idx="4">
                  <c:v>2018-2019
 (N = 30)</c:v>
                </c:pt>
              </c:strCache>
            </c:strRef>
          </c:cat>
          <c:val>
            <c:numRef>
              <c:f>Sheet1!$C$2:$C$6</c:f>
              <c:numCache>
                <c:formatCode>General</c:formatCode>
                <c:ptCount val="5"/>
                <c:pt idx="0">
                  <c:v>2</c:v>
                </c:pt>
                <c:pt idx="1">
                  <c:v>12</c:v>
                </c:pt>
                <c:pt idx="2">
                  <c:v>4</c:v>
                </c:pt>
                <c:pt idx="3">
                  <c:v>3</c:v>
                </c:pt>
                <c:pt idx="4">
                  <c:v>2</c:v>
                </c:pt>
              </c:numCache>
            </c:numRef>
          </c:val>
          <c:extLst>
            <c:ext xmlns:c16="http://schemas.microsoft.com/office/drawing/2014/chart" uri="{C3380CC4-5D6E-409C-BE32-E72D297353CC}">
              <c16:uniqueId val="{00000001-898A-48AF-B869-54D086DB9716}"/>
            </c:ext>
          </c:extLst>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layout>
                <c:manualLayout>
                  <c:x val="0"/>
                  <c:y val="-2.6861089792785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8A-48AF-B869-54D086DB9716}"/>
                </c:ext>
              </c:extLst>
            </c:dLbl>
            <c:dLbl>
              <c:idx val="1"/>
              <c:layout>
                <c:manualLayout>
                  <c:x val="-7.5290026889317413E-17"/>
                  <c:y val="-2.6861089792785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8A-48AF-B869-54D086DB9716}"/>
                </c:ext>
              </c:extLst>
            </c:dLbl>
            <c:dLbl>
              <c:idx val="2"/>
              <c:layout>
                <c:manualLayout>
                  <c:x val="0"/>
                  <c:y val="-2.30237912509593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8A-48AF-B869-54D086DB9716}"/>
                </c:ext>
              </c:extLst>
            </c:dLbl>
            <c:dLbl>
              <c:idx val="3"/>
              <c:layout>
                <c:manualLayout>
                  <c:x val="-1.5058005377863483E-16"/>
                  <c:y val="-2.30237912509593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8A-48AF-B869-54D086DB9716}"/>
                </c:ext>
              </c:extLst>
            </c:dLbl>
            <c:dLbl>
              <c:idx val="4"/>
              <c:layout>
                <c:manualLayout>
                  <c:x val="8.2135523613961533E-3"/>
                  <c:y val="-2.6861089792785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8A-48AF-B869-54D086DB971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 = 2)</c:v>
                </c:pt>
                <c:pt idx="1">
                  <c:v>2015-2016
 (N = 25)</c:v>
                </c:pt>
                <c:pt idx="2">
                  <c:v>2016-2017
 (N = 17)</c:v>
                </c:pt>
                <c:pt idx="3">
                  <c:v>2017-2018
 (N = 16)</c:v>
                </c:pt>
                <c:pt idx="4">
                  <c:v>2018-2019
 (N = 30)</c:v>
                </c:pt>
              </c:strCache>
            </c:strRef>
          </c:cat>
          <c:val>
            <c:numRef>
              <c:f>Sheet1!$D$2:$D$6</c:f>
              <c:numCache>
                <c:formatCode>General</c:formatCode>
                <c:ptCount val="5"/>
              </c:numCache>
            </c:numRef>
          </c:val>
          <c:extLst>
            <c:ext xmlns:c16="http://schemas.microsoft.com/office/drawing/2014/chart" uri="{C3380CC4-5D6E-409C-BE32-E72D297353CC}">
              <c16:uniqueId val="{00000007-898A-48AF-B869-54D086DB9716}"/>
            </c:ext>
          </c:extLst>
        </c:ser>
        <c:dLbls>
          <c:dLblPos val="ctr"/>
          <c:showLegendKey val="0"/>
          <c:showVal val="1"/>
          <c:showCatName val="0"/>
          <c:showSerName val="0"/>
          <c:showPercent val="0"/>
          <c:showBubbleSize val="0"/>
        </c:dLbls>
        <c:gapWidth val="150"/>
        <c:overlap val="100"/>
        <c:axId val="378785544"/>
        <c:axId val="381700080"/>
      </c:barChart>
      <c:catAx>
        <c:axId val="37878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700080"/>
        <c:crosses val="autoZero"/>
        <c:auto val="1"/>
        <c:lblAlgn val="ctr"/>
        <c:lblOffset val="100"/>
        <c:noMultiLvlLbl val="0"/>
      </c:catAx>
      <c:valAx>
        <c:axId val="381700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85544"/>
        <c:crosses val="autoZero"/>
        <c:crossBetween val="between"/>
      </c:valAx>
      <c:spPr>
        <a:noFill/>
        <a:ln>
          <a:noFill/>
        </a:ln>
        <a:effectLst/>
      </c:spPr>
    </c:plotArea>
    <c:legend>
      <c:legendPos val="b"/>
      <c:layout>
        <c:manualLayout>
          <c:xMode val="edge"/>
          <c:yMode val="edge"/>
          <c:x val="0"/>
          <c:y val="0.84703607061638164"/>
          <c:w val="1"/>
          <c:h val="0.1469710015379963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t>Activités d'embauche à l'externe pour une durée déterminée ou indéterminée : Programme de recrutement postsecondaire et embauche d'anciens étudiants</a:t>
            </a:r>
          </a:p>
        </c:rich>
      </c:tx>
      <c:layout>
        <c:manualLayout>
          <c:xMode val="edge"/>
          <c:yMode val="edge"/>
          <c:x val="0.11785522631398095"/>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676938711351894E-2"/>
          <c:y val="0.2079626952638875"/>
          <c:w val="0.90621744112971792"/>
          <c:h val="0.52825822904140041"/>
        </c:manualLayout>
      </c:layout>
      <c:bar3DChart>
        <c:barDir val="col"/>
        <c:grouping val="clustered"/>
        <c:varyColors val="0"/>
        <c:ser>
          <c:idx val="0"/>
          <c:order val="0"/>
          <c:tx>
            <c:strRef>
              <c:f>Sheet1!$B$1</c:f>
              <c:strCache>
                <c:ptCount val="1"/>
                <c:pt idx="0">
                  <c:v>Recrutement postsecondaire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7022396980082442E-17"/>
                  <c:y val="1.1511895625479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4E-4CCC-A33B-DEDB01EC611F}"/>
                </c:ext>
              </c:extLst>
            </c:dLbl>
            <c:dLbl>
              <c:idx val="1"/>
              <c:layout>
                <c:manualLayout>
                  <c:x val="0"/>
                  <c:y val="1.1511895625479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4E-4CCC-A33B-DEDB01EC611F}"/>
                </c:ext>
              </c:extLst>
            </c:dLbl>
            <c:dLbl>
              <c:idx val="2"/>
              <c:layout>
                <c:manualLayout>
                  <c:x val="0"/>
                  <c:y val="7.67459708365310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4E-4CCC-A33B-DEDB01EC611F}"/>
                </c:ext>
              </c:extLst>
            </c:dLbl>
            <c:dLbl>
              <c:idx val="3"/>
              <c:layout>
                <c:manualLayout>
                  <c:x val="-3.7140204271123491E-3"/>
                  <c:y val="3.83729854182648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4E-4CCC-A33B-DEDB01EC611F}"/>
                </c:ext>
              </c:extLst>
            </c:dLbl>
            <c:dLbl>
              <c:idx val="4"/>
              <c:layout>
                <c:manualLayout>
                  <c:x val="0"/>
                  <c:y val="1.1511895625479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4E-4CCC-A33B-DEDB01EC611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 ##0_-;\-* #\ ##0_-;_-* "-"??_-;_-@_-</c:formatCode>
                <c:ptCount val="5"/>
                <c:pt idx="0">
                  <c:v>0</c:v>
                </c:pt>
                <c:pt idx="1">
                  <c:v>2</c:v>
                </c:pt>
                <c:pt idx="2">
                  <c:v>1</c:v>
                </c:pt>
                <c:pt idx="3">
                  <c:v>1</c:v>
                </c:pt>
                <c:pt idx="4">
                  <c:v>1</c:v>
                </c:pt>
              </c:numCache>
            </c:numRef>
          </c:val>
          <c:extLst>
            <c:ext xmlns:c16="http://schemas.microsoft.com/office/drawing/2014/chart" uri="{C3380CC4-5D6E-409C-BE32-E72D297353CC}">
              <c16:uniqueId val="{00000005-494E-4CCC-A33B-DEDB01EC611F}"/>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 ##0_-;\-* #\ ##0_-;_-* "-"??_-;_-@_-</c:formatCode>
                <c:ptCount val="5"/>
                <c:pt idx="0">
                  <c:v>1</c:v>
                </c:pt>
                <c:pt idx="1">
                  <c:v>7</c:v>
                </c:pt>
                <c:pt idx="2">
                  <c:v>14</c:v>
                </c:pt>
                <c:pt idx="3">
                  <c:v>15</c:v>
                </c:pt>
                <c:pt idx="4">
                  <c:v>11</c:v>
                </c:pt>
              </c:numCache>
            </c:numRef>
          </c:val>
          <c:extLst>
            <c:ext xmlns:c16="http://schemas.microsoft.com/office/drawing/2014/chart" uri="{C3380CC4-5D6E-409C-BE32-E72D297353CC}">
              <c16:uniqueId val="{00000006-494E-4CCC-A33B-DEDB01EC611F}"/>
            </c:ext>
          </c:extLst>
        </c:ser>
        <c:dLbls>
          <c:showLegendKey val="0"/>
          <c:showVal val="1"/>
          <c:showCatName val="0"/>
          <c:showSerName val="0"/>
          <c:showPercent val="0"/>
          <c:showBubbleSize val="0"/>
        </c:dLbls>
        <c:gapWidth val="150"/>
        <c:shape val="box"/>
        <c:axId val="381699688"/>
        <c:axId val="381701256"/>
        <c:axId val="0"/>
      </c:bar3DChart>
      <c:catAx>
        <c:axId val="381699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701256"/>
        <c:crosses val="autoZero"/>
        <c:auto val="1"/>
        <c:lblAlgn val="ctr"/>
        <c:lblOffset val="100"/>
        <c:noMultiLvlLbl val="0"/>
      </c:catAx>
      <c:valAx>
        <c:axId val="38170125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699688"/>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des processus de dotation internes</a:t>
            </a:r>
          </a:p>
          <a:p>
            <a:pPr>
              <a:defRPr sz="1200"/>
            </a:pPr>
            <a:r>
              <a:rPr lang="en-CA" sz="1200"/>
              <a:t>Durée médiane dans la fonction </a:t>
            </a:r>
            <a:r>
              <a:rPr lang="fr-CA" sz="1200"/>
              <a:t>publique : </a:t>
            </a:r>
            <a:r>
              <a:rPr lang="en-CA" sz="1200"/>
              <a:t>176</a:t>
            </a:r>
            <a:r>
              <a:rPr lang="fr-CA" sz="1200"/>
              <a:t> </a:t>
            </a:r>
            <a:r>
              <a:rPr lang="en-CA" sz="1200"/>
              <a:t>jours</a:t>
            </a:r>
          </a:p>
          <a:p>
            <a:pPr>
              <a:defRPr sz="1200"/>
            </a:pPr>
            <a:r>
              <a:rPr lang="en-CA" sz="1200"/>
              <a:t> 2018-2019</a:t>
            </a:r>
          </a:p>
        </c:rich>
      </c:tx>
      <c:layout>
        <c:manualLayout>
          <c:xMode val="edge"/>
          <c:yMode val="edge"/>
          <c:x val="0.20296990700782974"/>
          <c:y val="1.19499382510533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Durée en 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58</c:v>
                </c:pt>
                <c:pt idx="14">
                  <c:v>51</c:v>
                </c:pt>
                <c:pt idx="15">
                  <c:v>49</c:v>
                </c:pt>
                <c:pt idx="16">
                  <c:v>40</c:v>
                </c:pt>
                <c:pt idx="17">
                  <c:v>38</c:v>
                </c:pt>
                <c:pt idx="18">
                  <c:v>31</c:v>
                </c:pt>
                <c:pt idx="19">
                  <c:v>23</c:v>
                </c:pt>
                <c:pt idx="20">
                  <c:v>21</c:v>
                </c:pt>
                <c:pt idx="21">
                  <c:v>10</c:v>
                </c:pt>
                <c:pt idx="22">
                  <c:v>19</c:v>
                </c:pt>
                <c:pt idx="23">
                  <c:v>3</c:v>
                </c:pt>
                <c:pt idx="24">
                  <c:v>12</c:v>
                </c:pt>
                <c:pt idx="25">
                  <c:v>6</c:v>
                </c:pt>
                <c:pt idx="26">
                  <c:v>5</c:v>
                </c:pt>
                <c:pt idx="27">
                  <c:v>8</c:v>
                </c:pt>
                <c:pt idx="28">
                  <c:v>3</c:v>
                </c:pt>
                <c:pt idx="29">
                  <c:v>10</c:v>
                </c:pt>
                <c:pt idx="30">
                  <c:v>4</c:v>
                </c:pt>
                <c:pt idx="31">
                  <c:v>5</c:v>
                </c:pt>
                <c:pt idx="32">
                  <c:v>4</c:v>
                </c:pt>
                <c:pt idx="33">
                  <c:v>3</c:v>
                </c:pt>
                <c:pt idx="34">
                  <c:v>23</c:v>
                </c:pt>
              </c:numCache>
            </c:numRef>
          </c:val>
          <c:extLst>
            <c:ext xmlns:c16="http://schemas.microsoft.com/office/drawing/2014/chart" uri="{C3380CC4-5D6E-409C-BE32-E72D297353CC}">
              <c16:uniqueId val="{00000000-1753-42D7-A53D-A597A5B98A18}"/>
            </c:ext>
          </c:extLst>
        </c:ser>
        <c:dLbls>
          <c:showLegendKey val="0"/>
          <c:showVal val="0"/>
          <c:showCatName val="0"/>
          <c:showSerName val="0"/>
          <c:showPercent val="0"/>
          <c:showBubbleSize val="0"/>
        </c:dLbls>
        <c:gapWidth val="150"/>
        <c:overlap val="100"/>
        <c:axId val="381698904"/>
        <c:axId val="381696552"/>
      </c:barChart>
      <c:catAx>
        <c:axId val="38169890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696552"/>
        <c:crosses val="autoZero"/>
        <c:auto val="1"/>
        <c:lblAlgn val="ctr"/>
        <c:lblOffset val="100"/>
        <c:noMultiLvlLbl val="0"/>
      </c:catAx>
      <c:valAx>
        <c:axId val="381696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698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des processus de dotation externes</a:t>
            </a:r>
          </a:p>
          <a:p>
            <a:pPr>
              <a:defRPr sz="1200"/>
            </a:pPr>
            <a:r>
              <a:rPr lang="en-CA" sz="1200"/>
              <a:t>Durée médiane dans la fonction publique</a:t>
            </a:r>
            <a:r>
              <a:rPr lang="fr-CA" sz="1200"/>
              <a:t> : </a:t>
            </a:r>
            <a:r>
              <a:rPr lang="en-CA" sz="1200"/>
              <a:t>186</a:t>
            </a:r>
            <a:r>
              <a:rPr lang="fr-CA" sz="1200"/>
              <a:t> </a:t>
            </a:r>
            <a:r>
              <a:rPr lang="en-CA" sz="1200"/>
              <a:t>jours</a:t>
            </a:r>
          </a:p>
          <a:p>
            <a:pPr>
              <a:defRPr sz="1200"/>
            </a:pPr>
            <a:r>
              <a:rPr lang="en-CA" sz="1200"/>
              <a:t> 2018-2019</a:t>
            </a:r>
          </a:p>
        </c:rich>
      </c:tx>
      <c:layout>
        <c:manualLayout>
          <c:xMode val="edge"/>
          <c:yMode val="edge"/>
          <c:x val="0.21912832565406559"/>
          <c:y val="1.278211396247828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extLst>
            <c:ext xmlns:c16="http://schemas.microsoft.com/office/drawing/2014/chart" uri="{C3380CC4-5D6E-409C-BE32-E72D297353CC}">
              <c16:uniqueId val="{00000000-B893-4BF9-8F9B-3C2FE1CB2A8C}"/>
            </c:ext>
          </c:extLst>
        </c:ser>
        <c:dLbls>
          <c:showLegendKey val="0"/>
          <c:showVal val="0"/>
          <c:showCatName val="0"/>
          <c:showSerName val="0"/>
          <c:showPercent val="0"/>
          <c:showBubbleSize val="0"/>
        </c:dLbls>
        <c:gapWidth val="150"/>
        <c:overlap val="100"/>
        <c:axId val="381695768"/>
        <c:axId val="381696160"/>
      </c:barChart>
      <c:catAx>
        <c:axId val="38169576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696160"/>
        <c:crosses val="autoZero"/>
        <c:auto val="1"/>
        <c:lblAlgn val="ctr"/>
        <c:lblOffset val="100"/>
        <c:noMultiLvlLbl val="0"/>
      </c:catAx>
      <c:valAx>
        <c:axId val="381696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695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Effectif selon les exigences linguistiques en date du 31</a:t>
            </a:r>
            <a:r>
              <a:rPr lang="en-CA" sz="1200" baseline="0">
                <a:solidFill>
                  <a:sysClr val="windowText" lastClr="000000"/>
                </a:solidFill>
              </a:rPr>
              <a:t> mars 2019</a:t>
            </a:r>
          </a:p>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(N = 480</a:t>
            </a:r>
            <a:r>
              <a:rPr lang="en-CA" sz="1200" baseline="0">
                <a:solidFill>
                  <a:sysClr val="windowText" lastClr="000000"/>
                </a:solidFill>
              </a:rPr>
              <a:t>)</a:t>
            </a:r>
            <a:endParaRPr lang="en-CA" sz="1200">
              <a:solidFill>
                <a:sysClr val="windowText" lastClr="000000"/>
              </a:solidFill>
            </a:endParaRPr>
          </a:p>
        </c:rich>
      </c:tx>
      <c:layout>
        <c:manualLayout>
          <c:xMode val="edge"/>
          <c:yMode val="edge"/>
          <c:x val="0.12429546658780329"/>
          <c:y val="0"/>
        </c:manualLayout>
      </c:layout>
      <c:overlay val="0"/>
      <c:spPr>
        <a:noFill/>
        <a:ln>
          <a:noFill/>
        </a:ln>
        <a:effectLst/>
      </c:spPr>
    </c:title>
    <c:autoTitleDeleted val="0"/>
    <c:plotArea>
      <c:layout>
        <c:manualLayout>
          <c:layoutTarget val="inner"/>
          <c:xMode val="edge"/>
          <c:yMode val="edge"/>
          <c:x val="4.3280379426255927E-2"/>
          <c:y val="0.34476516236090327"/>
          <c:w val="0.8981066627234976"/>
          <c:h val="0.59516739173483535"/>
        </c:manualLayout>
      </c:layout>
      <c:pieChart>
        <c:varyColors val="1"/>
        <c:ser>
          <c:idx val="0"/>
          <c:order val="0"/>
          <c:tx>
            <c:strRef>
              <c:f>Sheet1!$B$1</c:f>
              <c:strCache>
                <c:ptCount val="1"/>
                <c:pt idx="0">
                  <c:v>Population by Language Requirements as of March 31, 2019</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CF8-4D2A-823E-316B1ACBC860}"/>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CF8-4D2A-823E-316B1ACBC860}"/>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r>
                      <a:rPr lang="en-US"/>
                      <a:t>Bilingue</a:t>
                    </a:r>
                    <a:r>
                      <a:rPr lang="en-US" baseline="0"/>
                      <a:t>
 81 %</a:t>
                    </a:r>
                    <a:endParaRPr lang="en-US"/>
                  </a:p>
                </c:rich>
              </c:tx>
              <c:spPr>
                <a:noFill/>
                <a:ln>
                  <a:noFill/>
                </a:ln>
                <a:effectLst/>
              </c:sp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28992944194996795"/>
                      <c:h val="0.16362489486963835"/>
                    </c:manualLayout>
                  </c15:layout>
                  <c15:showDataLabelsRange val="0"/>
                </c:ext>
                <c:ext xmlns:c16="http://schemas.microsoft.com/office/drawing/2014/chart" uri="{C3380CC4-5D6E-409C-BE32-E72D297353CC}">
                  <c16:uniqueId val="{00000001-3CF8-4D2A-823E-316B1ACBC860}"/>
                </c:ext>
              </c:extLst>
            </c:dLbl>
            <c:dLbl>
              <c:idx val="1"/>
              <c:layout>
                <c:manualLayout>
                  <c:x val="-9.2975004166813979E-2"/>
                  <c:y val="-0.12077541505797906"/>
                </c:manualLayout>
              </c:layout>
              <c:tx>
                <c:rich>
                  <a:bodyPr/>
                  <a:lstStyle/>
                  <a:p>
                    <a:r>
                      <a:rPr lang="en-US" baseline="0"/>
                      <a:t>Unilingue
19 %</a:t>
                    </a:r>
                    <a:endParaRPr lang="en-US"/>
                  </a:p>
                </c:rich>
              </c:tx>
              <c:dLblPos val="bestFit"/>
              <c:showLegendKey val="0"/>
              <c:showVal val="0"/>
              <c:showCatName val="1"/>
              <c:showSerName val="0"/>
              <c:showPercent val="1"/>
              <c:showBubbleSize val="0"/>
              <c:extLst>
                <c:ext xmlns:c15="http://schemas.microsoft.com/office/drawing/2012/chart" uri="{CE6537A1-D6FC-4f65-9D91-7224C49458BB}">
                  <c15:layout>
                    <c:manualLayout>
                      <c:w val="0.49413182507116188"/>
                      <c:h val="0.18667358050298158"/>
                    </c:manualLayout>
                  </c15:layout>
                  <c15:showDataLabelsRange val="0"/>
                </c:ext>
                <c:ext xmlns:c16="http://schemas.microsoft.com/office/drawing/2014/chart" uri="{C3380CC4-5D6E-409C-BE32-E72D297353CC}">
                  <c16:uniqueId val="{00000003-3CF8-4D2A-823E-316B1ACBC86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266</c:v>
                </c:pt>
                <c:pt idx="1">
                  <c:v>62</c:v>
                </c:pt>
              </c:numCache>
            </c:numRef>
          </c:val>
          <c:extLst>
            <c:ext xmlns:c16="http://schemas.microsoft.com/office/drawing/2014/chart" uri="{C3380CC4-5D6E-409C-BE32-E72D297353CC}">
              <c16:uniqueId val="{00000004-3CF8-4D2A-823E-316B1ACBC860}"/>
            </c:ext>
          </c:extLst>
        </c:ser>
        <c:dLbls>
          <c:showLegendKey val="0"/>
          <c:showVal val="0"/>
          <c:showCatName val="0"/>
          <c:showSerName val="0"/>
          <c:showPercent val="0"/>
          <c:showBubbleSize val="0"/>
          <c:showLeaderLines val="1"/>
        </c:dLbls>
        <c:firstSliceAng val="177"/>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Effectif selon le groupe professionnel</a:t>
            </a:r>
            <a:r>
              <a:rPr lang="en-US" sz="1200" baseline="0">
                <a:solidFill>
                  <a:sysClr val="windowText" lastClr="000000"/>
                </a:solidFill>
              </a:rPr>
              <a:t> en date du </a:t>
            </a:r>
            <a:r>
              <a:rPr lang="fr-CA" sz="1200" b="1" i="0" u="none" strike="noStrike" baseline="0">
                <a:solidFill>
                  <a:sysClr val="windowText" lastClr="000000"/>
                </a:solidFill>
                <a:effectLst/>
              </a:rPr>
              <a:t>31 mars 2019</a:t>
            </a:r>
            <a:endParaRPr lang="en-US" sz="1200">
              <a:solidFill>
                <a:sysClr val="windowText" lastClr="000000"/>
              </a:solidFill>
            </a:endParaRP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785B-4CFF-A824-519C7CDBDA9F}"/>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785B-4CFF-A824-519C7CDBDA9F}"/>
              </c:ext>
            </c:extLst>
          </c:dPt>
          <c:dPt>
            <c:idx val="2"/>
            <c:bubble3D val="0"/>
            <c:spPr>
              <a:solidFill>
                <a:schemeClr val="accent3"/>
              </a:solidFill>
              <a:ln w="3175">
                <a:solidFill>
                  <a:schemeClr val="lt1"/>
                </a:solidFill>
              </a:ln>
              <a:effectLst/>
            </c:spPr>
            <c:extLst>
              <c:ext xmlns:c16="http://schemas.microsoft.com/office/drawing/2014/chart" uri="{C3380CC4-5D6E-409C-BE32-E72D297353CC}">
                <c16:uniqueId val="{00000005-785B-4CFF-A824-519C7CDBDA9F}"/>
              </c:ext>
            </c:extLst>
          </c:dPt>
          <c:dPt>
            <c:idx val="3"/>
            <c:bubble3D val="0"/>
            <c:spPr>
              <a:solidFill>
                <a:schemeClr val="accent4">
                  <a:lumMod val="60000"/>
                  <a:lumOff val="40000"/>
                </a:schemeClr>
              </a:solidFill>
              <a:ln w="3175">
                <a:solidFill>
                  <a:schemeClr val="lt1"/>
                </a:solidFill>
              </a:ln>
              <a:effectLst/>
            </c:spPr>
            <c:extLst>
              <c:ext xmlns:c16="http://schemas.microsoft.com/office/drawing/2014/chart" uri="{C3380CC4-5D6E-409C-BE32-E72D297353CC}">
                <c16:uniqueId val="{00000007-785B-4CFF-A824-519C7CDBDA9F}"/>
              </c:ext>
            </c:extLst>
          </c:dPt>
          <c:dPt>
            <c:idx val="4"/>
            <c:bubble3D val="0"/>
            <c:spPr>
              <a:solidFill>
                <a:schemeClr val="accent2">
                  <a:lumMod val="60000"/>
                  <a:lumOff val="40000"/>
                </a:schemeClr>
              </a:solidFill>
              <a:ln w="3175">
                <a:solidFill>
                  <a:schemeClr val="lt1"/>
                </a:solidFill>
              </a:ln>
              <a:effectLst/>
            </c:spPr>
            <c:extLst>
              <c:ext xmlns:c16="http://schemas.microsoft.com/office/drawing/2014/chart" uri="{C3380CC4-5D6E-409C-BE32-E72D297353CC}">
                <c16:uniqueId val="{00000009-785B-4CFF-A824-519C7CDBDA9F}"/>
              </c:ext>
            </c:extLst>
          </c:dPt>
          <c:dPt>
            <c:idx val="5"/>
            <c:bubble3D val="0"/>
            <c:spPr>
              <a:solidFill>
                <a:schemeClr val="accent6"/>
              </a:solidFill>
              <a:ln w="3175">
                <a:solidFill>
                  <a:schemeClr val="lt1"/>
                </a:solidFill>
              </a:ln>
              <a:effectLst/>
            </c:spPr>
            <c:extLst>
              <c:ext xmlns:c16="http://schemas.microsoft.com/office/drawing/2014/chart" uri="{C3380CC4-5D6E-409C-BE32-E72D297353CC}">
                <c16:uniqueId val="{0000000B-785B-4CFF-A824-519C7CDBDA9F}"/>
              </c:ext>
            </c:extLst>
          </c:dPt>
          <c:dLbls>
            <c:dLbl>
              <c:idx val="3"/>
              <c:numFmt formatCode="0\ %" sourceLinked="0"/>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785B-4CFF-A824-519C7CDBDA9F}"/>
                </c:ext>
              </c:extLst>
            </c:dLbl>
            <c:dLbl>
              <c:idx val="4"/>
              <c:numFmt formatCode="0\ %" sourceLinked="0"/>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785B-4CFF-A824-519C7CDBDA9F}"/>
                </c:ext>
              </c:extLst>
            </c:dLbl>
            <c:dLbl>
              <c:idx val="5"/>
              <c:layout>
                <c:manualLayout>
                  <c:x val="-5.9134353488832933E-2"/>
                  <c:y val="-1.9737734706238748E-2"/>
                </c:manualLayout>
              </c:layout>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r>
                      <a:rPr lang="en-US" baseline="0"/>
                      <a:t>Autre
</a:t>
                    </a:r>
                    <a:fld id="{08029AE8-E1C0-4EC2-91D3-DA4254543962}" type="PERCENTAGE">
                      <a:rPr lang="en-US" baseline="0"/>
                      <a:pPr>
                        <a:defRPr b="1">
                          <a:solidFill>
                            <a:schemeClr val="bg1"/>
                          </a:solidFill>
                        </a:defRPr>
                      </a:pPr>
                      <a:t>[PERCENTAGE]</a:t>
                    </a:fld>
                    <a:endParaRPr lang="en-US" baseline="0"/>
                  </a:p>
                </c:rich>
              </c:tx>
              <c:numFmt formatCode="0\ %" sourceLinked="0"/>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3722515228049321"/>
                      <c:h val="0.19953846153846153"/>
                    </c:manualLayout>
                  </c15:layout>
                  <c15:dlblFieldTable/>
                  <c15:showDataLabelsRange val="0"/>
                </c:ext>
                <c:ext xmlns:c16="http://schemas.microsoft.com/office/drawing/2014/chart" uri="{C3380CC4-5D6E-409C-BE32-E72D297353CC}">
                  <c16:uniqueId val="{0000000B-785B-4CFF-A824-519C7CDBDA9F}"/>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AS</c:v>
                </c:pt>
                <c:pt idx="1">
                  <c:v>PM</c:v>
                </c:pt>
                <c:pt idx="2">
                  <c:v>CR</c:v>
                </c:pt>
                <c:pt idx="3">
                  <c:v>LP</c:v>
                </c:pt>
                <c:pt idx="4">
                  <c:v>IS</c:v>
                </c:pt>
                <c:pt idx="5">
                  <c:v>Other</c:v>
                </c:pt>
              </c:strCache>
            </c:strRef>
          </c:cat>
          <c:val>
            <c:numRef>
              <c:f>Sheet1!$B$2:$B$7</c:f>
              <c:numCache>
                <c:formatCode>#######0</c:formatCode>
                <c:ptCount val="6"/>
                <c:pt idx="0">
                  <c:v>134</c:v>
                </c:pt>
                <c:pt idx="1">
                  <c:v>106</c:v>
                </c:pt>
                <c:pt idx="2">
                  <c:v>48</c:v>
                </c:pt>
                <c:pt idx="3">
                  <c:v>44</c:v>
                </c:pt>
                <c:pt idx="4">
                  <c:v>28</c:v>
                </c:pt>
                <c:pt idx="5" formatCode="General">
                  <c:v>120</c:v>
                </c:pt>
              </c:numCache>
            </c:numRef>
          </c:val>
          <c:extLst>
            <c:ext xmlns:c16="http://schemas.microsoft.com/office/drawing/2014/chart" uri="{C3380CC4-5D6E-409C-BE32-E72D297353CC}">
              <c16:uniqueId val="{0000000C-785B-4CFF-A824-519C7CDBDA9F}"/>
            </c:ext>
          </c:extLst>
        </c:ser>
        <c:dLbls>
          <c:dLblPos val="inEnd"/>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Effectif selon la région en date du </a:t>
            </a:r>
            <a:r>
              <a:rPr lang="fr-CA" sz="1200" b="1" i="0" u="none" strike="noStrike" baseline="0">
                <a:solidFill>
                  <a:sysClr val="windowText" lastClr="000000"/>
                </a:solidFill>
                <a:effectLst/>
              </a:rPr>
              <a:t>31 mars 2019 </a:t>
            </a:r>
          </a:p>
          <a:p>
            <a:pPr>
              <a:defRPr sz="1200">
                <a:solidFill>
                  <a:sysClr val="windowText" lastClr="000000"/>
                </a:solidFill>
              </a:defRPr>
            </a:pPr>
            <a:r>
              <a:rPr lang="en-CA" sz="1200" baseline="0">
                <a:solidFill>
                  <a:sysClr val="windowText" lastClr="000000"/>
                </a:solidFill>
              </a:rPr>
              <a:t>(N = 478)</a:t>
            </a:r>
            <a:endParaRPr lang="en-CA" sz="1200">
              <a:solidFill>
                <a:sysClr val="windowText" lastClr="000000"/>
              </a:solidFill>
            </a:endParaRPr>
          </a:p>
        </c:rich>
      </c:tx>
      <c:layout>
        <c:manualLayout>
          <c:xMode val="edge"/>
          <c:yMode val="edge"/>
          <c:x val="0.1005859238693429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52-4EAA-B573-6C2E38BF982B}"/>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52-4EAA-B573-6C2E38BF982B}"/>
              </c:ext>
            </c:extLst>
          </c:dPt>
          <c:dLbls>
            <c:dLbl>
              <c:idx val="0"/>
              <c:layout>
                <c:manualLayout>
                  <c:x val="0.31775163768416048"/>
                  <c:y val="0.15145460686211523"/>
                </c:manualLayout>
              </c:layout>
              <c:tx>
                <c:rich>
                  <a:bodyPr/>
                  <a:lstStyle/>
                  <a:p>
                    <a:r>
                      <a:rPr lang="en-US"/>
                      <a:t>RCN</a:t>
                    </a:r>
                    <a:r>
                      <a:rPr lang="en-US" baseline="0"/>
                      <a:t>
</a:t>
                    </a:r>
                    <a:fld id="{27492298-85DE-4BF5-A1D9-8BA5CAE3982B}"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C52-4EAA-B573-6C2E38BF982B}"/>
                </c:ext>
              </c:extLst>
            </c:dLbl>
            <c:dLbl>
              <c:idx val="1"/>
              <c:layout>
                <c:manualLayout>
                  <c:x val="-3.4862343618208724E-2"/>
                  <c:y val="-0.1657236942312405"/>
                </c:manualLayout>
              </c:layout>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r>
                      <a:rPr lang="en-US"/>
                      <a:t>Extérieur de la RCN</a:t>
                    </a:r>
                    <a:r>
                      <a:rPr lang="en-US" baseline="0"/>
                      <a:t>
</a:t>
                    </a:r>
                    <a:fld id="{69E0B855-B6DD-4297-8984-CE75A8A613DE}" type="PERCENTAGE">
                      <a:rPr lang="en-US" baseline="0"/>
                      <a:pPr>
                        <a:defRPr b="1">
                          <a:solidFill>
                            <a:schemeClr val="bg1"/>
                          </a:solidFill>
                        </a:defRPr>
                      </a:pPr>
                      <a:t>[PERCENTAGE]</a:t>
                    </a:fld>
                    <a:endParaRPr lang="en-US" baseline="0"/>
                  </a:p>
                </c:rich>
              </c:tx>
              <c:numFmt formatCode="0\ %" sourceLinked="0"/>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5874596576646649"/>
                      <c:h val="0.26429772918418837"/>
                    </c:manualLayout>
                  </c15:layout>
                  <c15:dlblFieldTable/>
                  <c15:showDataLabelsRange val="0"/>
                </c:ext>
                <c:ext xmlns:c16="http://schemas.microsoft.com/office/drawing/2014/chart" uri="{C3380CC4-5D6E-409C-BE32-E72D297353CC}">
                  <c16:uniqueId val="{00000003-EC52-4EAA-B573-6C2E38BF982B}"/>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457</c:v>
                </c:pt>
                <c:pt idx="1">
                  <c:v>21</c:v>
                </c:pt>
              </c:numCache>
            </c:numRef>
          </c:val>
          <c:extLst>
            <c:ext xmlns:c16="http://schemas.microsoft.com/office/drawing/2014/chart" uri="{C3380CC4-5D6E-409C-BE32-E72D297353CC}">
              <c16:uniqueId val="{00000004-EC52-4EAA-B573-6C2E38BF982B}"/>
            </c:ext>
          </c:extLst>
        </c:ser>
        <c:dLbls>
          <c:showLegendKey val="0"/>
          <c:showVal val="0"/>
          <c:showCatName val="0"/>
          <c:showSerName val="0"/>
          <c:showPercent val="0"/>
          <c:showBubbleSize val="0"/>
          <c:showLeaderLines val="1"/>
        </c:dLbls>
        <c:firstSliceAng val="147"/>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Embauches externes pour une période indéterminée selon le groupe professionnel, </a:t>
            </a:r>
            <a:r>
              <a:rPr lang="fr-CA" sz="1200" b="1" i="0" u="none" strike="noStrike" baseline="0">
                <a:solidFill>
                  <a:sysClr val="windowText" lastClr="000000"/>
                </a:solidFill>
                <a:effectLst/>
              </a:rPr>
              <a:t>2018‑2019</a:t>
            </a:r>
            <a:r>
              <a:rPr lang="en-US" sz="1200" baseline="0">
                <a:solidFill>
                  <a:sysClr val="windowText" lastClr="000000"/>
                </a:solidFill>
              </a:rPr>
              <a:t> </a:t>
            </a:r>
            <a:r>
              <a:rPr lang="en-US" sz="1200">
                <a:solidFill>
                  <a:sysClr val="windowText" lastClr="000000"/>
                </a:solidFill>
              </a:rPr>
              <a:t>(N = 41)</a:t>
            </a:r>
          </a:p>
        </c:rich>
      </c:tx>
      <c:layout>
        <c:manualLayout>
          <c:xMode val="edge"/>
          <c:yMode val="edge"/>
          <c:x val="9.1715363674473346E-2"/>
          <c:y val="2.844281239445574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7503245064219434E-2"/>
          <c:y val="0.42044528916644042"/>
          <c:w val="0.8966533531134695"/>
          <c:h val="0.48715812098290862"/>
        </c:manualLayout>
      </c:layout>
      <c:doughnutChart>
        <c:varyColors val="1"/>
        <c:ser>
          <c:idx val="0"/>
          <c:order val="0"/>
          <c:tx>
            <c:strRef>
              <c:f>Sheet1!$B$1</c:f>
              <c:strCache>
                <c:ptCount val="1"/>
                <c:pt idx="0">
                  <c:v>External Indeterminate Hires</c:v>
                </c:pt>
              </c:strCache>
            </c:strRef>
          </c:tx>
          <c:spPr>
            <a:solidFill>
              <a:schemeClr val="accent1"/>
            </a:solidFill>
            <a:ln w="6350"/>
          </c:spPr>
          <c:dPt>
            <c:idx val="0"/>
            <c:bubble3D val="0"/>
            <c:spPr>
              <a:solidFill>
                <a:schemeClr val="accent1"/>
              </a:solidFill>
              <a:ln w="6350">
                <a:solidFill>
                  <a:schemeClr val="lt1"/>
                </a:solidFill>
              </a:ln>
              <a:effectLst/>
            </c:spPr>
            <c:extLst>
              <c:ext xmlns:c16="http://schemas.microsoft.com/office/drawing/2014/chart" uri="{C3380CC4-5D6E-409C-BE32-E72D297353CC}">
                <c16:uniqueId val="{00000001-99B7-4BE9-8E27-A67CF3A4ABD3}"/>
              </c:ext>
            </c:extLst>
          </c:dPt>
          <c:dPt>
            <c:idx val="1"/>
            <c:bubble3D val="0"/>
            <c:spPr>
              <a:solidFill>
                <a:schemeClr val="accent2"/>
              </a:solidFill>
              <a:ln w="6350">
                <a:solidFill>
                  <a:schemeClr val="lt1"/>
                </a:solidFill>
              </a:ln>
              <a:effectLst/>
            </c:spPr>
            <c:extLst>
              <c:ext xmlns:c16="http://schemas.microsoft.com/office/drawing/2014/chart" uri="{C3380CC4-5D6E-409C-BE32-E72D297353CC}">
                <c16:uniqueId val="{00000003-99B7-4BE9-8E27-A67CF3A4ABD3}"/>
              </c:ext>
            </c:extLst>
          </c:dPt>
          <c:dPt>
            <c:idx val="2"/>
            <c:bubble3D val="0"/>
            <c:spPr>
              <a:solidFill>
                <a:schemeClr val="accent2">
                  <a:lumMod val="60000"/>
                  <a:lumOff val="40000"/>
                </a:schemeClr>
              </a:solidFill>
              <a:ln w="6350">
                <a:solidFill>
                  <a:schemeClr val="lt1"/>
                </a:solidFill>
              </a:ln>
              <a:effectLst/>
            </c:spPr>
            <c:extLst>
              <c:ext xmlns:c16="http://schemas.microsoft.com/office/drawing/2014/chart" uri="{C3380CC4-5D6E-409C-BE32-E72D297353CC}">
                <c16:uniqueId val="{00000005-99B7-4BE9-8E27-A67CF3A4ABD3}"/>
              </c:ext>
            </c:extLst>
          </c:dPt>
          <c:dPt>
            <c:idx val="3"/>
            <c:bubble3D val="0"/>
            <c:spPr>
              <a:solidFill>
                <a:schemeClr val="accent4">
                  <a:lumMod val="60000"/>
                  <a:lumOff val="40000"/>
                </a:schemeClr>
              </a:solidFill>
              <a:ln w="6350">
                <a:solidFill>
                  <a:schemeClr val="lt1"/>
                </a:solidFill>
              </a:ln>
              <a:effectLst/>
            </c:spPr>
            <c:extLst>
              <c:ext xmlns:c16="http://schemas.microsoft.com/office/drawing/2014/chart" uri="{C3380CC4-5D6E-409C-BE32-E72D297353CC}">
                <c16:uniqueId val="{00000007-99B7-4BE9-8E27-A67CF3A4ABD3}"/>
              </c:ext>
            </c:extLst>
          </c:dPt>
          <c:dPt>
            <c:idx val="4"/>
            <c:bubble3D val="0"/>
            <c:spPr>
              <a:solidFill>
                <a:schemeClr val="accent6"/>
              </a:solidFill>
              <a:ln w="6350">
                <a:solidFill>
                  <a:schemeClr val="lt1"/>
                </a:solidFill>
              </a:ln>
              <a:effectLst/>
            </c:spPr>
            <c:extLst>
              <c:ext xmlns:c16="http://schemas.microsoft.com/office/drawing/2014/chart" uri="{C3380CC4-5D6E-409C-BE32-E72D297353CC}">
                <c16:uniqueId val="{00000009-99B7-4BE9-8E27-A67CF3A4ABD3}"/>
              </c:ext>
            </c:extLst>
          </c:dPt>
          <c:dLbls>
            <c:dLbl>
              <c:idx val="4"/>
              <c:tx>
                <c:rich>
                  <a:bodyPr/>
                  <a:lstStyle/>
                  <a:p>
                    <a:r>
                      <a:rPr lang="en-US" baseline="0"/>
                      <a:t>Autre
</a:t>
                    </a:r>
                    <a:fld id="{015E877F-93C0-4358-A371-55FCE459696A}"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9B7-4BE9-8E27-A67CF3A4ABD3}"/>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AS</c:v>
                </c:pt>
                <c:pt idx="1">
                  <c:v>CR</c:v>
                </c:pt>
                <c:pt idx="2">
                  <c:v>CS</c:v>
                </c:pt>
                <c:pt idx="3">
                  <c:v>PM</c:v>
                </c:pt>
                <c:pt idx="4">
                  <c:v>Other</c:v>
                </c:pt>
              </c:strCache>
            </c:strRef>
          </c:cat>
          <c:val>
            <c:numRef>
              <c:f>Sheet1!$B$2:$B$6</c:f>
              <c:numCache>
                <c:formatCode>#######0</c:formatCode>
                <c:ptCount val="5"/>
                <c:pt idx="0">
                  <c:v>12</c:v>
                </c:pt>
                <c:pt idx="1">
                  <c:v>10</c:v>
                </c:pt>
                <c:pt idx="2">
                  <c:v>6</c:v>
                </c:pt>
                <c:pt idx="3">
                  <c:v>4</c:v>
                </c:pt>
                <c:pt idx="4" formatCode="General">
                  <c:v>9</c:v>
                </c:pt>
              </c:numCache>
            </c:numRef>
          </c:val>
          <c:extLst>
            <c:ext xmlns:c16="http://schemas.microsoft.com/office/drawing/2014/chart" uri="{C3380CC4-5D6E-409C-BE32-E72D297353CC}">
              <c16:uniqueId val="{0000000A-99B7-4BE9-8E27-A67CF3A4ABD3}"/>
            </c:ext>
          </c:extLst>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région</a:t>
            </a:r>
          </a:p>
        </c:rich>
      </c:tx>
      <c:layout>
        <c:manualLayout>
          <c:xMode val="edge"/>
          <c:yMode val="edge"/>
          <c:x val="0.35166248401074657"/>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073234748095512"/>
          <c:y val="9.4894492045412282E-2"/>
          <c:w val="0.86920200662278635"/>
          <c:h val="0.63171202340305677"/>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89-4812-8C3E-5CEB55048A50}"/>
                </c:ext>
              </c:extLst>
            </c:dLbl>
            <c:dLbl>
              <c:idx val="1"/>
              <c:layout>
                <c:manualLayout>
                  <c:x val="-1.4482252911290745E-2"/>
                  <c:y val="1.0495014867937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89-4812-8C3E-5CEB55048A50}"/>
                </c:ext>
              </c:extLst>
            </c:dLbl>
            <c:dLbl>
              <c:idx val="2"/>
              <c:layout>
                <c:manualLayout>
                  <c:x val="-8.5383312673498954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89-4812-8C3E-5CEB55048A50}"/>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89-4812-8C3E-5CEB55048A50}"/>
                </c:ext>
              </c:extLst>
            </c:dLbl>
            <c:dLbl>
              <c:idx val="4"/>
              <c:layout>
                <c:manualLayout>
                  <c:x val="-1.1413540048070488E-2"/>
                  <c:y val="1.4415081969922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89-4812-8C3E-5CEB55048A50}"/>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0.89</c:v>
                </c:pt>
                <c:pt idx="1">
                  <c:v>0.97</c:v>
                </c:pt>
                <c:pt idx="2">
                  <c:v>0.99</c:v>
                </c:pt>
                <c:pt idx="3">
                  <c:v>0.98</c:v>
                </c:pt>
                <c:pt idx="4">
                  <c:v>0.97</c:v>
                </c:pt>
              </c:numCache>
            </c:numRef>
          </c:val>
          <c:extLst>
            <c:ext xmlns:c16="http://schemas.microsoft.com/office/drawing/2014/chart" uri="{C3380CC4-5D6E-409C-BE32-E72D297353CC}">
              <c16:uniqueId val="{00000005-4989-4812-8C3E-5CEB55048A50}"/>
            </c:ext>
          </c:extLst>
        </c:ser>
        <c:ser>
          <c:idx val="1"/>
          <c:order val="1"/>
          <c:tx>
            <c:strRef>
              <c:f>Sheet1!$C$1</c:f>
              <c:strCache>
                <c:ptCount val="1"/>
                <c:pt idx="0">
                  <c:v>Extérieur de la région de la capitale nationale</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89-4812-8C3E-5CEB55048A50}"/>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89-4812-8C3E-5CEB55048A50}"/>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89-4812-8C3E-5CEB55048A50}"/>
                </c:ext>
              </c:extLst>
            </c:dLbl>
            <c:dLbl>
              <c:idx val="3"/>
              <c:layout>
                <c:manualLayout>
                  <c:x val="1.8477457501847747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89-4812-8C3E-5CEB55048A50}"/>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989-4812-8C3E-5CEB55048A50}"/>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0.11</c:v>
                </c:pt>
                <c:pt idx="1">
                  <c:v>0.03</c:v>
                </c:pt>
                <c:pt idx="2">
                  <c:v>0.01</c:v>
                </c:pt>
                <c:pt idx="3">
                  <c:v>0.02</c:v>
                </c:pt>
                <c:pt idx="4">
                  <c:v>0.03</c:v>
                </c:pt>
              </c:numCache>
            </c:numRef>
          </c:val>
          <c:extLst>
            <c:ext xmlns:c16="http://schemas.microsoft.com/office/drawing/2014/chart" uri="{C3380CC4-5D6E-409C-BE32-E72D297353CC}">
              <c16:uniqueId val="{0000000B-4989-4812-8C3E-5CEB55048A50}"/>
            </c:ext>
          </c:extLst>
        </c:ser>
        <c:dLbls>
          <c:showLegendKey val="0"/>
          <c:showVal val="0"/>
          <c:showCatName val="0"/>
          <c:showSerName val="0"/>
          <c:showPercent val="0"/>
          <c:showBubbleSize val="0"/>
        </c:dLbls>
        <c:gapWidth val="150"/>
        <c:axId val="378787896"/>
        <c:axId val="378790248"/>
      </c:barChart>
      <c:catAx>
        <c:axId val="3787878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90248"/>
        <c:crosses val="autoZero"/>
        <c:auto val="1"/>
        <c:lblAlgn val="ctr"/>
        <c:lblOffset val="100"/>
        <c:noMultiLvlLbl val="0"/>
      </c:catAx>
      <c:valAx>
        <c:axId val="378790248"/>
        <c:scaling>
          <c:orientation val="minMax"/>
          <c:max val="1"/>
        </c:scaling>
        <c:delete val="0"/>
        <c:axPos val="l"/>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87896"/>
        <c:crosses val="autoZero"/>
        <c:crossBetween val="between"/>
      </c:valAx>
      <c:spPr>
        <a:noFill/>
        <a:ln>
          <a:noFill/>
        </a:ln>
        <a:effectLst/>
      </c:spPr>
    </c:plotArea>
    <c:legend>
      <c:legendPos val="b"/>
      <c:layout>
        <c:manualLayout>
          <c:xMode val="edge"/>
          <c:yMode val="edge"/>
          <c:x val="0.15069486879550256"/>
          <c:y val="0.80610583988353568"/>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le type de processus</a:t>
            </a:r>
          </a:p>
        </c:rich>
      </c:tx>
      <c:layout>
        <c:manualLayout>
          <c:xMode val="edge"/>
          <c:yMode val="edge"/>
          <c:x val="0.26720718088990986"/>
          <c:y val="5.003222753789810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 annoncé (exclut les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6D-43A7-B610-5DA4F81F0237}"/>
                </c:ext>
              </c:extLst>
            </c:dLbl>
            <c:dLbl>
              <c:idx val="1"/>
              <c:layout>
                <c:manualLayout>
                  <c:x val="-1.4035706474190727E-2"/>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6D-43A7-B610-5DA4F81F0237}"/>
                </c:ext>
              </c:extLst>
            </c:dLbl>
            <c:dLbl>
              <c:idx val="2"/>
              <c:layout>
                <c:manualLayout>
                  <c:x val="-1.1787237532808399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6D-43A7-B610-5DA4F81F0237}"/>
                </c:ext>
              </c:extLst>
            </c:dLbl>
            <c:dLbl>
              <c:idx val="3"/>
              <c:layout>
                <c:manualLayout>
                  <c:x val="-1.5990266841644795E-2"/>
                  <c:y val="1.7491691446562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6D-43A7-B610-5DA4F81F0237}"/>
                </c:ext>
              </c:extLst>
            </c:dLbl>
            <c:dLbl>
              <c:idx val="4"/>
              <c:layout>
                <c:manualLayout>
                  <c:x val="-8.3877405949257609E-3"/>
                  <c:y val="1.7913420259235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6D-43A7-B610-5DA4F81F0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0</c:v>
                </c:pt>
                <c:pt idx="1">
                  <c:v>23</c:v>
                </c:pt>
                <c:pt idx="2">
                  <c:v>21</c:v>
                </c:pt>
                <c:pt idx="3">
                  <c:v>49</c:v>
                </c:pt>
                <c:pt idx="4">
                  <c:v>61</c:v>
                </c:pt>
              </c:numCache>
            </c:numRef>
          </c:val>
          <c:extLst>
            <c:ext xmlns:c16="http://schemas.microsoft.com/office/drawing/2014/chart" uri="{C3380CC4-5D6E-409C-BE32-E72D297353CC}">
              <c16:uniqueId val="{00000005-346D-43A7-B610-5DA4F81F0237}"/>
            </c:ext>
          </c:extLst>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5085848643919512E-3"/>
                  <c:y val="1.6992558455993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6D-43A7-B610-5DA4F81F0237}"/>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6D-43A7-B610-5DA4F81F0237}"/>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46D-43A7-B610-5DA4F81F0237}"/>
                </c:ext>
              </c:extLst>
            </c:dLbl>
            <c:dLbl>
              <c:idx val="3"/>
              <c:layout>
                <c:manualLayout>
                  <c:x val="3.472222222222222E-3"/>
                  <c:y val="8.26186301664189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6D-43A7-B610-5DA4F81F0237}"/>
                </c:ext>
              </c:extLst>
            </c:dLbl>
            <c:dLbl>
              <c:idx val="4"/>
              <c:layout>
                <c:manualLayout>
                  <c:x val="1.73430664916884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46D-43A7-B610-5DA4F81F0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6</c:v>
                </c:pt>
                <c:pt idx="1">
                  <c:v>34</c:v>
                </c:pt>
                <c:pt idx="2">
                  <c:v>78</c:v>
                </c:pt>
                <c:pt idx="3">
                  <c:v>87</c:v>
                </c:pt>
                <c:pt idx="4">
                  <c:v>98</c:v>
                </c:pt>
              </c:numCache>
            </c:numRef>
          </c:val>
          <c:extLst>
            <c:ext xmlns:c16="http://schemas.microsoft.com/office/drawing/2014/chart" uri="{C3380CC4-5D6E-409C-BE32-E72D297353CC}">
              <c16:uniqueId val="{0000000B-346D-43A7-B610-5DA4F81F0237}"/>
            </c:ext>
          </c:extLst>
        </c:ser>
        <c:dLbls>
          <c:showLegendKey val="0"/>
          <c:showVal val="0"/>
          <c:showCatName val="0"/>
          <c:showSerName val="0"/>
          <c:showPercent val="0"/>
          <c:showBubbleSize val="0"/>
        </c:dLbls>
        <c:gapWidth val="150"/>
        <c:axId val="378790640"/>
        <c:axId val="378792208"/>
      </c:barChart>
      <c:lineChart>
        <c:grouping val="standard"/>
        <c:varyColors val="0"/>
        <c:ser>
          <c:idx val="2"/>
          <c:order val="2"/>
          <c:tx>
            <c:strRef>
              <c:f>Sheet1!$D$1</c:f>
              <c:strCache>
                <c:ptCount val="1"/>
                <c:pt idx="0">
                  <c:v>% de nominations non annoncées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8906933508311484E-2"/>
                  <c:y val="-5.1849780802937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46D-43A7-B610-5DA4F81F0237}"/>
                </c:ext>
              </c:extLst>
            </c:dLbl>
            <c:dLbl>
              <c:idx val="1"/>
              <c:layout>
                <c:manualLayout>
                  <c:x val="-6.9140966754155736E-2"/>
                  <c:y val="-3.7935209122123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46D-43A7-B610-5DA4F81F0237}"/>
                </c:ext>
              </c:extLst>
            </c:dLbl>
            <c:dLbl>
              <c:idx val="2"/>
              <c:layout>
                <c:manualLayout>
                  <c:x val="-7.0908809248759586E-2"/>
                  <c:y val="-5.5164688458933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46D-43A7-B610-5DA4F81F0237}"/>
                </c:ext>
              </c:extLst>
            </c:dLbl>
            <c:dLbl>
              <c:idx val="3"/>
              <c:layout>
                <c:manualLayout>
                  <c:x val="-9.5120570866141729E-2"/>
                  <c:y val="-2.4191422460158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46D-43A7-B610-5DA4F81F0237}"/>
                </c:ext>
              </c:extLst>
            </c:dLbl>
            <c:dLbl>
              <c:idx val="4"/>
              <c:layout>
                <c:manualLayout>
                  <c:x val="-8.1078302712160974E-2"/>
                  <c:y val="-1.9475276802573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46D-43A7-B610-5DA4F81F0237}"/>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c:v>
                </c:pt>
                <c:pt idx="1">
                  <c:v>0.4</c:v>
                </c:pt>
                <c:pt idx="2">
                  <c:v>0.21</c:v>
                </c:pt>
                <c:pt idx="3">
                  <c:v>0.36</c:v>
                </c:pt>
                <c:pt idx="4">
                  <c:v>0.38</c:v>
                </c:pt>
              </c:numCache>
            </c:numRef>
          </c:val>
          <c:smooth val="0"/>
          <c:extLst>
            <c:ext xmlns:c16="http://schemas.microsoft.com/office/drawing/2014/chart" uri="{C3380CC4-5D6E-409C-BE32-E72D297353CC}">
              <c16:uniqueId val="{00000011-346D-43A7-B610-5DA4F81F0237}"/>
            </c:ext>
          </c:extLst>
        </c:ser>
        <c:dLbls>
          <c:showLegendKey val="0"/>
          <c:showVal val="0"/>
          <c:showCatName val="0"/>
          <c:showSerName val="0"/>
          <c:showPercent val="0"/>
          <c:showBubbleSize val="0"/>
        </c:dLbls>
        <c:marker val="1"/>
        <c:smooth val="0"/>
        <c:axId val="378791424"/>
        <c:axId val="378792600"/>
      </c:lineChart>
      <c:catAx>
        <c:axId val="378790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92208"/>
        <c:crosses val="autoZero"/>
        <c:auto val="1"/>
        <c:lblAlgn val="ctr"/>
        <c:lblOffset val="100"/>
        <c:noMultiLvlLbl val="0"/>
      </c:catAx>
      <c:valAx>
        <c:axId val="37879220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90640"/>
        <c:crosses val="autoZero"/>
        <c:crossBetween val="between"/>
      </c:valAx>
      <c:valAx>
        <c:axId val="378792600"/>
        <c:scaling>
          <c:orientation val="minMax"/>
          <c:max val="1"/>
          <c:min val="0"/>
        </c:scaling>
        <c:delete val="0"/>
        <c:axPos val="r"/>
        <c:numFmt formatCode="0\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91424"/>
        <c:crosses val="max"/>
        <c:crossBetween val="between"/>
      </c:valAx>
      <c:catAx>
        <c:axId val="378791424"/>
        <c:scaling>
          <c:orientation val="minMax"/>
        </c:scaling>
        <c:delete val="1"/>
        <c:axPos val="b"/>
        <c:numFmt formatCode="General" sourceLinked="1"/>
        <c:majorTickMark val="out"/>
        <c:minorTickMark val="none"/>
        <c:tickLblPos val="nextTo"/>
        <c:crossAx val="378792600"/>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2292476994592544"/>
        </c:manualLayout>
      </c:layout>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t>Dotation selon le type de nomination</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8495188101487317E-3"/>
                  <c:y val="2.5887825560266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07-4534-82F2-85D6B040971F}"/>
                </c:ext>
              </c:extLst>
            </c:dLbl>
            <c:dLbl>
              <c:idx val="1"/>
              <c:layout>
                <c:manualLayout>
                  <c:x val="-1.1111111111111162E-2"/>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07-4534-82F2-85D6B040971F}"/>
                </c:ext>
              </c:extLst>
            </c:dLbl>
            <c:dLbl>
              <c:idx val="2"/>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07-4534-82F2-85D6B040971F}"/>
                </c:ext>
              </c:extLst>
            </c:dLbl>
            <c:dLbl>
              <c:idx val="3"/>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07-4534-82F2-85D6B040971F}"/>
                </c:ext>
              </c:extLst>
            </c:dLbl>
            <c:dLbl>
              <c:idx val="4"/>
              <c:layout>
                <c:manualLayout>
                  <c:x val="-1.1111111111111112E-2"/>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07-4534-82F2-85D6B040971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 = 45)</c:v>
                </c:pt>
                <c:pt idx="1">
                  <c:v>2015-2016
(N = 233)</c:v>
                </c:pt>
                <c:pt idx="2">
                  <c:v>2016-2017 
(N = 360)</c:v>
                </c:pt>
                <c:pt idx="3">
                  <c:v>2017-2018
(N = 312)</c:v>
                </c:pt>
                <c:pt idx="4">
                  <c:v>2018-2019
(N = 359)</c:v>
                </c:pt>
              </c:strCache>
            </c:strRef>
          </c:cat>
          <c:val>
            <c:numRef>
              <c:f>Sheet1!$B$3:$B$7</c:f>
              <c:numCache>
                <c:formatCode>######0</c:formatCode>
                <c:ptCount val="5"/>
                <c:pt idx="0">
                  <c:v>4</c:v>
                </c:pt>
                <c:pt idx="1">
                  <c:v>26</c:v>
                </c:pt>
                <c:pt idx="2">
                  <c:v>58</c:v>
                </c:pt>
                <c:pt idx="3">
                  <c:v>77</c:v>
                </c:pt>
                <c:pt idx="4">
                  <c:v>91</c:v>
                </c:pt>
              </c:numCache>
            </c:numRef>
          </c:val>
          <c:extLst>
            <c:ext xmlns:c16="http://schemas.microsoft.com/office/drawing/2014/chart" uri="{C3380CC4-5D6E-409C-BE32-E72D297353CC}">
              <c16:uniqueId val="{00000005-5007-4534-82F2-85D6B040971F}"/>
            </c:ext>
          </c:extLst>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5680193821926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07-4534-82F2-85D6B040971F}"/>
                </c:ext>
              </c:extLst>
            </c:dLbl>
            <c:dLbl>
              <c:idx val="1"/>
              <c:layout>
                <c:manualLayout>
                  <c:x val="-2.7777777777777779E-3"/>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07-4534-82F2-85D6B040971F}"/>
                </c:ext>
              </c:extLst>
            </c:dLbl>
            <c:dLbl>
              <c:idx val="2"/>
              <c:layout>
                <c:manualLayout>
                  <c:x val="0"/>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07-4534-82F2-85D6B040971F}"/>
                </c:ext>
              </c:extLst>
            </c:dLbl>
            <c:dLbl>
              <c:idx val="3"/>
              <c:layout>
                <c:manualLayout>
                  <c:x val="0"/>
                  <c:y val="1.9965273571572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07-4534-82F2-85D6B040971F}"/>
                </c:ext>
              </c:extLst>
            </c:dLbl>
            <c:dLbl>
              <c:idx val="4"/>
              <c:layout>
                <c:manualLayout>
                  <c:x val="8.3333333333334356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007-4534-82F2-85D6B040971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 = 45)</c:v>
                </c:pt>
                <c:pt idx="1">
                  <c:v>2015-2016
(N = 233)</c:v>
                </c:pt>
                <c:pt idx="2">
                  <c:v>2016-2017 
(N = 360)</c:v>
                </c:pt>
                <c:pt idx="3">
                  <c:v>2017-2018
(N = 312)</c:v>
                </c:pt>
                <c:pt idx="4">
                  <c:v>2018-2019
(N = 359)</c:v>
                </c:pt>
              </c:strCache>
            </c:strRef>
          </c:cat>
          <c:val>
            <c:numRef>
              <c:f>Sheet1!$C$3:$C$7</c:f>
              <c:numCache>
                <c:formatCode>######0</c:formatCode>
                <c:ptCount val="5"/>
                <c:pt idx="0">
                  <c:v>14</c:v>
                </c:pt>
                <c:pt idx="1">
                  <c:v>61</c:v>
                </c:pt>
                <c:pt idx="2">
                  <c:v>96</c:v>
                </c:pt>
                <c:pt idx="3">
                  <c:v>78</c:v>
                </c:pt>
                <c:pt idx="4">
                  <c:v>61</c:v>
                </c:pt>
              </c:numCache>
            </c:numRef>
          </c:val>
          <c:extLst>
            <c:ext xmlns:c16="http://schemas.microsoft.com/office/drawing/2014/chart" uri="{C3380CC4-5D6E-409C-BE32-E72D297353CC}">
              <c16:uniqueId val="{0000000B-5007-4534-82F2-85D6B040971F}"/>
            </c:ext>
          </c:extLst>
        </c:ser>
        <c:ser>
          <c:idx val="2"/>
          <c:order val="2"/>
          <c:tx>
            <c:strRef>
              <c:f>Sheet1!$D$1</c:f>
              <c:strCache>
                <c:ptCount val="1"/>
                <c:pt idx="0">
                  <c:v>Nominations à la fonction publique (sont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007-4534-82F2-85D6B040971F}"/>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007-4534-82F2-85D6B040971F}"/>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007-4534-82F2-85D6B040971F}"/>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007-4534-82F2-85D6B040971F}"/>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007-4534-82F2-85D6B040971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 = 45)</c:v>
                </c:pt>
                <c:pt idx="1">
                  <c:v>2015-2016
(N = 233)</c:v>
                </c:pt>
                <c:pt idx="2">
                  <c:v>2016-2017 
(N = 360)</c:v>
                </c:pt>
                <c:pt idx="3">
                  <c:v>2017-2018
(N = 312)</c:v>
                </c:pt>
                <c:pt idx="4">
                  <c:v>2018-2019
(N = 359)</c:v>
                </c:pt>
              </c:strCache>
            </c:strRef>
          </c:cat>
          <c:val>
            <c:numRef>
              <c:f>Sheet1!$D$3:$D$7</c:f>
              <c:numCache>
                <c:formatCode>######0</c:formatCode>
                <c:ptCount val="5"/>
                <c:pt idx="0">
                  <c:v>22</c:v>
                </c:pt>
                <c:pt idx="1">
                  <c:v>114</c:v>
                </c:pt>
                <c:pt idx="2">
                  <c:v>180</c:v>
                </c:pt>
                <c:pt idx="3">
                  <c:v>123</c:v>
                </c:pt>
                <c:pt idx="4">
                  <c:v>179</c:v>
                </c:pt>
              </c:numCache>
            </c:numRef>
          </c:val>
          <c:extLst>
            <c:ext xmlns:c16="http://schemas.microsoft.com/office/drawing/2014/chart" uri="{C3380CC4-5D6E-409C-BE32-E72D297353CC}">
              <c16:uniqueId val="{00000011-5007-4534-82F2-85D6B040971F}"/>
            </c:ext>
          </c:extLst>
        </c:ser>
        <c:ser>
          <c:idx val="3"/>
          <c:order val="3"/>
          <c:tx>
            <c:strRef>
              <c:f>Sheet1!$E$1</c:f>
              <c:strCache>
                <c:ptCount val="1"/>
                <c:pt idx="0">
                  <c:v>Nominations intérimaires (sont exclues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007-4534-82F2-85D6B040971F}"/>
                </c:ext>
              </c:extLst>
            </c:dLbl>
            <c:dLbl>
              <c:idx val="1"/>
              <c:layout>
                <c:manualLayout>
                  <c:x val="5.5555555555556061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007-4534-82F2-85D6B040971F}"/>
                </c:ext>
              </c:extLst>
            </c:dLbl>
            <c:dLbl>
              <c:idx val="2"/>
              <c:layout>
                <c:manualLayout>
                  <c:x val="8.3333333333333332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007-4534-82F2-85D6B040971F}"/>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007-4534-82F2-85D6B040971F}"/>
                </c:ext>
              </c:extLst>
            </c:dLbl>
            <c:dLbl>
              <c:idx val="4"/>
              <c:layout>
                <c:manualLayout>
                  <c:x val="9.1618547681539802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007-4534-82F2-85D6B040971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 = 45)</c:v>
                </c:pt>
                <c:pt idx="1">
                  <c:v>2015-2016
(N = 233)</c:v>
                </c:pt>
                <c:pt idx="2">
                  <c:v>2016-2017 
(N = 360)</c:v>
                </c:pt>
                <c:pt idx="3">
                  <c:v>2017-2018
(N = 312)</c:v>
                </c:pt>
                <c:pt idx="4">
                  <c:v>2018-2019
(N = 359)</c:v>
                </c:pt>
              </c:strCache>
            </c:strRef>
          </c:cat>
          <c:val>
            <c:numRef>
              <c:f>Sheet1!$E$3:$E$7</c:f>
              <c:numCache>
                <c:formatCode>######0</c:formatCode>
                <c:ptCount val="5"/>
                <c:pt idx="0">
                  <c:v>5</c:v>
                </c:pt>
                <c:pt idx="1">
                  <c:v>32</c:v>
                </c:pt>
                <c:pt idx="2">
                  <c:v>26</c:v>
                </c:pt>
                <c:pt idx="3">
                  <c:v>34</c:v>
                </c:pt>
                <c:pt idx="4">
                  <c:v>28</c:v>
                </c:pt>
              </c:numCache>
            </c:numRef>
          </c:val>
          <c:extLst>
            <c:ext xmlns:c16="http://schemas.microsoft.com/office/drawing/2014/chart" uri="{C3380CC4-5D6E-409C-BE32-E72D297353CC}">
              <c16:uniqueId val="{00000017-5007-4534-82F2-85D6B040971F}"/>
            </c:ext>
          </c:extLst>
        </c:ser>
        <c:dLbls>
          <c:showLegendKey val="0"/>
          <c:showVal val="0"/>
          <c:showCatName val="0"/>
          <c:showSerName val="0"/>
          <c:showPercent val="0"/>
          <c:showBubbleSize val="0"/>
        </c:dLbls>
        <c:gapWidth val="150"/>
        <c:shape val="box"/>
        <c:axId val="378787504"/>
        <c:axId val="378788680"/>
        <c:axId val="0"/>
      </c:bar3DChart>
      <c:catAx>
        <c:axId val="3787875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88680"/>
        <c:crosses val="autoZero"/>
        <c:auto val="0"/>
        <c:lblAlgn val="ctr"/>
        <c:lblOffset val="100"/>
        <c:noMultiLvlLbl val="0"/>
      </c:catAx>
      <c:valAx>
        <c:axId val="37878868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87504"/>
        <c:crosses val="autoZero"/>
        <c:crossBetween val="between"/>
      </c:valAx>
      <c:spPr>
        <a:noFill/>
        <a:ln>
          <a:noFill/>
        </a:ln>
        <a:effectLst/>
      </c:spPr>
    </c:plotArea>
    <c:legend>
      <c:legendPos val="b"/>
      <c:layout>
        <c:manualLayout>
          <c:xMode val="edge"/>
          <c:yMode val="edge"/>
          <c:x val="0"/>
          <c:y val="0.82823077051674276"/>
          <c:w val="1"/>
          <c:h val="0.167522944982195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durée de l'emploi</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Durée 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3A-4B20-B152-3514F1444761}"/>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3A-4B20-B152-3514F1444761}"/>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3A-4B20-B152-3514F1444761}"/>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3A-4B20-B152-3514F1444761}"/>
                </c:ext>
              </c:extLst>
            </c:dLbl>
            <c:dLbl>
              <c:idx val="4"/>
              <c:layout>
                <c:manualLayout>
                  <c:x val="-1.0185067526415994E-16"/>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3A-4B20-B152-3514F14447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 = 45)</c:v>
                </c:pt>
                <c:pt idx="1">
                  <c:v>2015-2016
 (N = 233)</c:v>
                </c:pt>
                <c:pt idx="2">
                  <c:v>2016-2017
 (N = 360)</c:v>
                </c:pt>
                <c:pt idx="3">
                  <c:v>2017-2018
 (N = 312)</c:v>
                </c:pt>
                <c:pt idx="4">
                  <c:v>2018-2019
 (N = 359)</c:v>
                </c:pt>
              </c:strCache>
            </c:strRef>
          </c:cat>
          <c:val>
            <c:numRef>
              <c:f>Sheet1!$B$2:$B$6</c:f>
              <c:numCache>
                <c:formatCode>######0</c:formatCode>
                <c:ptCount val="5"/>
                <c:pt idx="0">
                  <c:v>26</c:v>
                </c:pt>
                <c:pt idx="1">
                  <c:v>131</c:v>
                </c:pt>
                <c:pt idx="2">
                  <c:v>195</c:v>
                </c:pt>
                <c:pt idx="3">
                  <c:v>200</c:v>
                </c:pt>
                <c:pt idx="4">
                  <c:v>218</c:v>
                </c:pt>
              </c:numCache>
            </c:numRef>
          </c:val>
          <c:extLst>
            <c:ext xmlns:c16="http://schemas.microsoft.com/office/drawing/2014/chart" uri="{C3380CC4-5D6E-409C-BE32-E72D297353CC}">
              <c16:uniqueId val="{00000005-BC3A-4B20-B152-3514F1444761}"/>
            </c:ext>
          </c:extLst>
        </c:ser>
        <c:ser>
          <c:idx val="1"/>
          <c:order val="1"/>
          <c:tx>
            <c:strRef>
              <c:f>Sheet1!$C$1</c:f>
              <c:strCache>
                <c:ptCount val="1"/>
                <c:pt idx="0">
                  <c:v>Durée 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3A-4B20-B152-3514F1444761}"/>
                </c:ext>
              </c:extLst>
            </c:dLbl>
            <c:dLbl>
              <c:idx val="1"/>
              <c:layout>
                <c:manualLayout>
                  <c:x val="-5.0925337632079971E-17"/>
                  <c:y val="2.4250353321219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3A-4B20-B152-3514F1444761}"/>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3A-4B20-B152-3514F1444761}"/>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3A-4B20-B152-3514F1444761}"/>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3A-4B20-B152-3514F14447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 = 45)</c:v>
                </c:pt>
                <c:pt idx="1">
                  <c:v>2015-2016
 (N = 233)</c:v>
                </c:pt>
                <c:pt idx="2">
                  <c:v>2016-2017
 (N = 360)</c:v>
                </c:pt>
                <c:pt idx="3">
                  <c:v>2017-2018
 (N = 312)</c:v>
                </c:pt>
                <c:pt idx="4">
                  <c:v>2018-2019
 (N = 359)</c:v>
                </c:pt>
              </c:strCache>
            </c:strRef>
          </c:cat>
          <c:val>
            <c:numRef>
              <c:f>Sheet1!$C$2:$C$6</c:f>
              <c:numCache>
                <c:formatCode>######0</c:formatCode>
                <c:ptCount val="5"/>
                <c:pt idx="0">
                  <c:v>2</c:v>
                </c:pt>
                <c:pt idx="1">
                  <c:v>23</c:v>
                </c:pt>
                <c:pt idx="2">
                  <c:v>58</c:v>
                </c:pt>
                <c:pt idx="3">
                  <c:v>48</c:v>
                </c:pt>
                <c:pt idx="4">
                  <c:v>25</c:v>
                </c:pt>
              </c:numCache>
            </c:numRef>
          </c:val>
          <c:extLst>
            <c:ext xmlns:c16="http://schemas.microsoft.com/office/drawing/2014/chart" uri="{C3380CC4-5D6E-409C-BE32-E72D297353CC}">
              <c16:uniqueId val="{0000000B-BC3A-4B20-B152-3514F1444761}"/>
            </c:ext>
          </c:extLst>
        </c:ser>
        <c:ser>
          <c:idx val="2"/>
          <c:order val="2"/>
          <c:tx>
            <c:strRef>
              <c:f>Sheet1!$D$1</c:f>
              <c:strCache>
                <c:ptCount val="1"/>
                <c:pt idx="0">
                  <c:v>Poste 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3A-4B20-B152-3514F1444761}"/>
                </c:ext>
              </c:extLst>
            </c:dLbl>
            <c:dLbl>
              <c:idx val="1"/>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3A-4B20-B152-3514F1444761}"/>
                </c:ext>
              </c:extLst>
            </c:dLbl>
            <c:dLbl>
              <c:idx val="2"/>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3A-4B20-B152-3514F1444761}"/>
                </c:ext>
              </c:extLst>
            </c:dLbl>
            <c:dLbl>
              <c:idx val="3"/>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3A-4B20-B152-3514F1444761}"/>
                </c:ext>
              </c:extLst>
            </c:dLbl>
            <c:dLbl>
              <c:idx val="4"/>
              <c:layout>
                <c:manualLayout>
                  <c:x val="2.777777777777676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3A-4B20-B152-3514F14447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 = 45)</c:v>
                </c:pt>
                <c:pt idx="1">
                  <c:v>2015-2016
 (N = 233)</c:v>
                </c:pt>
                <c:pt idx="2">
                  <c:v>2016-2017
 (N = 360)</c:v>
                </c:pt>
                <c:pt idx="3">
                  <c:v>2017-2018
 (N = 312)</c:v>
                </c:pt>
                <c:pt idx="4">
                  <c:v>2018-2019
 (N = 359)</c:v>
                </c:pt>
              </c:strCache>
            </c:strRef>
          </c:cat>
          <c:val>
            <c:numRef>
              <c:f>Sheet1!$D$2:$D$6</c:f>
              <c:numCache>
                <c:formatCode>######0</c:formatCode>
                <c:ptCount val="5"/>
                <c:pt idx="0">
                  <c:v>15</c:v>
                </c:pt>
                <c:pt idx="1">
                  <c:v>54</c:v>
                </c:pt>
                <c:pt idx="2">
                  <c:v>90</c:v>
                </c:pt>
                <c:pt idx="3">
                  <c:v>48</c:v>
                </c:pt>
                <c:pt idx="4">
                  <c:v>86</c:v>
                </c:pt>
              </c:numCache>
            </c:numRef>
          </c:val>
          <c:extLst>
            <c:ext xmlns:c16="http://schemas.microsoft.com/office/drawing/2014/chart" uri="{C3380CC4-5D6E-409C-BE32-E72D297353CC}">
              <c16:uniqueId val="{00000011-BC3A-4B20-B152-3514F1444761}"/>
            </c:ext>
          </c:extLst>
        </c:ser>
        <c:ser>
          <c:idx val="3"/>
          <c:order val="3"/>
          <c:tx>
            <c:strRef>
              <c:f>Sheet1!$E$1</c:f>
              <c:strCache>
                <c:ptCount val="1"/>
                <c:pt idx="0">
                  <c:v>Étudiants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3A-4B20-B152-3514F1444761}"/>
                </c:ext>
              </c:extLst>
            </c:dLbl>
            <c:dLbl>
              <c:idx val="1"/>
              <c:layout>
                <c:manualLayout>
                  <c:x val="5.5555555555555558E-3"/>
                  <c:y val="2.7622854835453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3A-4B20-B152-3514F1444761}"/>
                </c:ext>
              </c:extLst>
            </c:dLbl>
            <c:dLbl>
              <c:idx val="2"/>
              <c:layout>
                <c:manualLayout>
                  <c:x val="1.3888888888888888E-2"/>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3A-4B20-B152-3514F1444761}"/>
                </c:ext>
              </c:extLst>
            </c:dLbl>
            <c:dLbl>
              <c:idx val="3"/>
              <c:layout>
                <c:manualLayout>
                  <c:x val="1.3888888888888888E-2"/>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3A-4B20-B152-3514F1444761}"/>
                </c:ext>
              </c:extLst>
            </c:dLbl>
            <c:dLbl>
              <c:idx val="4"/>
              <c:layout>
                <c:manualLayout>
                  <c:x val="1.6666666666666767E-2"/>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3A-4B20-B152-3514F14447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 = 45)</c:v>
                </c:pt>
                <c:pt idx="1">
                  <c:v>2015-2016
 (N = 233)</c:v>
                </c:pt>
                <c:pt idx="2">
                  <c:v>2016-2017
 (N = 360)</c:v>
                </c:pt>
                <c:pt idx="3">
                  <c:v>2017-2018
 (N = 312)</c:v>
                </c:pt>
                <c:pt idx="4">
                  <c:v>2018-2019
 (N = 359)</c:v>
                </c:pt>
              </c:strCache>
            </c:strRef>
          </c:cat>
          <c:val>
            <c:numRef>
              <c:f>Sheet1!$E$2:$E$6</c:f>
              <c:numCache>
                <c:formatCode>######0</c:formatCode>
                <c:ptCount val="5"/>
                <c:pt idx="0">
                  <c:v>2</c:v>
                </c:pt>
                <c:pt idx="1">
                  <c:v>25</c:v>
                </c:pt>
                <c:pt idx="2">
                  <c:v>17</c:v>
                </c:pt>
                <c:pt idx="3">
                  <c:v>16</c:v>
                </c:pt>
                <c:pt idx="4">
                  <c:v>30</c:v>
                </c:pt>
              </c:numCache>
            </c:numRef>
          </c:val>
          <c:extLst>
            <c:ext xmlns:c16="http://schemas.microsoft.com/office/drawing/2014/chart" uri="{C3380CC4-5D6E-409C-BE32-E72D297353CC}">
              <c16:uniqueId val="{00000017-BC3A-4B20-B152-3514F1444761}"/>
            </c:ext>
          </c:extLst>
        </c:ser>
        <c:dLbls>
          <c:showLegendKey val="0"/>
          <c:showVal val="1"/>
          <c:showCatName val="0"/>
          <c:showSerName val="0"/>
          <c:showPercent val="0"/>
          <c:showBubbleSize val="0"/>
        </c:dLbls>
        <c:gapWidth val="150"/>
        <c:shape val="box"/>
        <c:axId val="378786328"/>
        <c:axId val="378786720"/>
        <c:axId val="0"/>
      </c:bar3DChart>
      <c:catAx>
        <c:axId val="378786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86720"/>
        <c:crosses val="autoZero"/>
        <c:auto val="1"/>
        <c:lblAlgn val="ctr"/>
        <c:lblOffset val="100"/>
        <c:noMultiLvlLbl val="0"/>
      </c:catAx>
      <c:valAx>
        <c:axId val="3787867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786328"/>
        <c:crosses val="autoZero"/>
        <c:crossBetween val="between"/>
      </c:valAx>
      <c:spPr>
        <a:noFill/>
        <a:ln>
          <a:noFill/>
        </a:ln>
        <a:effectLst/>
      </c:spPr>
    </c:plotArea>
    <c:legend>
      <c:legendPos val="r"/>
      <c:layout>
        <c:manualLayout>
          <c:xMode val="edge"/>
          <c:yMode val="edge"/>
          <c:x val="0.05"/>
          <c:y val="0.81526638400969109"/>
          <c:w val="0.90422681539807515"/>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Inconnus = </a:t>
          </a:r>
          <a:r>
            <a:rPr lang="en-CA" sz="850">
              <a:solidFill>
                <a:sysClr val="windowText" lastClr="000000"/>
              </a:solidFill>
            </a:rPr>
            <a:t>152</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Inconnus</a:t>
          </a:r>
          <a:r>
            <a:rPr lang="en-CA" sz="850" baseline="0"/>
            <a:t> </a:t>
          </a:r>
          <a:r>
            <a:rPr lang="en-CA" sz="850"/>
            <a:t>= 2</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 La répartition régionale ne tient pas compte des inconnus.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0.83146</cdr:y>
    </cdr:from>
    <cdr:to>
      <cdr:x>0.9823</cdr:x>
      <cdr:y>1</cdr:y>
    </cdr:to>
    <cdr:sp macro="" textlink="">
      <cdr:nvSpPr>
        <cdr:cNvPr id="2" name="Text Box 1"/>
        <cdr:cNvSpPr txBox="1"/>
      </cdr:nvSpPr>
      <cdr:spPr>
        <a:xfrm xmlns:a="http://schemas.openxmlformats.org/drawingml/2006/main">
          <a:off x="64813" y="2804614"/>
          <a:ext cx="3528047" cy="56850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600"/>
            <a:t>- </a:t>
          </a:r>
          <a:r>
            <a:rPr lang="en-CA" sz="800" baseline="0">
              <a:solidFill>
                <a:sysClr val="windowText" lastClr="000000"/>
              </a:solidFill>
            </a:rPr>
            <a:t>Comprend les nominations pour une période indéterminée et celles pour une période déterminée.</a:t>
          </a:r>
        </a:p>
        <a:p xmlns:a="http://schemas.openxmlformats.org/drawingml/2006/main">
          <a:pPr>
            <a:lnSpc>
              <a:spcPts val="900"/>
            </a:lnSpc>
          </a:pPr>
          <a:r>
            <a:rPr lang="en-CA" sz="800" baseline="0">
              <a:solidFill>
                <a:sysClr val="windowText" lastClr="000000"/>
              </a:solidFill>
            </a:rPr>
            <a:t>- Exclut les déplacements latéraux et régressifs, les mutations et les nominations intérimaires de moins de quatre mois.</a:t>
          </a:r>
        </a:p>
        <a:p xmlns:a="http://schemas.openxmlformats.org/drawingml/2006/main">
          <a:pPr>
            <a:lnSpc>
              <a:spcPts val="900"/>
            </a:lnSpc>
          </a:pPr>
          <a:r>
            <a:rPr lang="en-CA" sz="800" baseline="0">
              <a:solidFill>
                <a:sysClr val="windowText" lastClr="000000"/>
              </a:solidFill>
            </a:rPr>
            <a:t>- Comprend uniquement les </a:t>
          </a:r>
          <a:r>
            <a:rPr lang="en-CA" sz="900" baseline="0">
              <a:solidFill>
                <a:sysClr val="windowText" lastClr="000000"/>
              </a:solidFill>
            </a:rPr>
            <a:t>nominations</a:t>
          </a:r>
          <a:r>
            <a:rPr lang="en-CA" sz="800" baseline="0">
              <a:solidFill>
                <a:sysClr val="windowText" lastClr="000000"/>
              </a:solidFill>
            </a:rPr>
            <a:t> pour lesquelles le type de processus de dotation utilisé est connu (de 43 à 87 % des nominations).</a:t>
          </a:r>
          <a:endParaRPr lang="en-CA" sz="800">
            <a:solidFill>
              <a:sysClr val="windowText" lastClr="000000"/>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0.85672</cdr:y>
    </cdr:from>
    <cdr:to>
      <cdr:x>0.98582</cdr:x>
      <cdr:y>0.9706</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0" y="2770667"/>
          <a:ext cx="3370987" cy="3683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solidFill>
                <a:sysClr val="windowText" lastClr="000000"/>
              </a:solidFill>
            </a:rPr>
            <a:t>*</a:t>
          </a:r>
          <a:r>
            <a:rPr lang="en-CA" sz="700">
              <a:solidFill>
                <a:sysClr val="windowText" lastClr="000000"/>
              </a:solidFill>
            </a:rPr>
            <a:t>Embauche de personnes ayant participé à un programme fédéral de recrutement d'étudiants dans les dix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2FC9-82A9-4486-96E2-10499CD0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TotalTime>
  <Pages>27</Pages>
  <Words>4969</Words>
  <Characters>28326</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Snjezana Kulic</cp:lastModifiedBy>
  <cp:revision>2</cp:revision>
  <dcterms:created xsi:type="dcterms:W3CDTF">2022-03-04T20:17:00Z</dcterms:created>
  <dcterms:modified xsi:type="dcterms:W3CDTF">2022-03-04T20:17:00Z</dcterms:modified>
</cp:coreProperties>
</file>