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drawings/drawing1.xml" ContentType="application/vnd.openxmlformats-officedocument.drawingml.chartshapes+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drawings/drawing2.xml" ContentType="application/vnd.openxmlformats-officedocument.drawingml.chartshapes+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drawings/drawing3.xml" ContentType="application/vnd.openxmlformats-officedocument.drawingml.chartshapes+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drawings/drawing4.xml" ContentType="application/vnd.openxmlformats-officedocument.drawingml.chartshapes+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drawings/drawing5.xml" ContentType="application/vnd.openxmlformats-officedocument.drawingml.chartshapes+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drawings/drawing6.xml" ContentType="application/vnd.openxmlformats-officedocument.drawingml.chartshapes+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drawings/drawing7.xml" ContentType="application/vnd.openxmlformats-officedocument.drawingml.chartshapes+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AACDFA" w14:textId="77777777" w:rsidR="007473E7" w:rsidRPr="00E628AA" w:rsidRDefault="007473E7" w:rsidP="007473E7">
      <w:pPr>
        <w:pStyle w:val="Titre"/>
        <w:rPr>
          <w:lang w:val="en-CA"/>
        </w:rPr>
      </w:pPr>
      <w:r w:rsidRPr="00E628AA">
        <w:rPr>
          <w:lang w:val="en-CA"/>
        </w:rPr>
        <w:t xml:space="preserve">President Meeting with Dr. Pierre </w:t>
      </w:r>
      <w:proofErr w:type="spellStart"/>
      <w:r w:rsidRPr="00E628AA">
        <w:rPr>
          <w:lang w:val="en-CA"/>
        </w:rPr>
        <w:t>Béland</w:t>
      </w:r>
      <w:proofErr w:type="spellEnd"/>
      <w:r w:rsidRPr="00E628AA">
        <w:rPr>
          <w:lang w:val="en-CA"/>
        </w:rPr>
        <w:t>, Commissioner, International Joint C</w:t>
      </w:r>
      <w:r w:rsidR="00C87939" w:rsidRPr="00E628AA">
        <w:rPr>
          <w:lang w:val="en-CA"/>
        </w:rPr>
        <w:t>ommission</w:t>
      </w:r>
      <w:r w:rsidR="00C87939" w:rsidRPr="00E628AA">
        <w:rPr>
          <w:lang w:val="en-CA"/>
        </w:rPr>
        <w:br/>
      </w:r>
      <w:r w:rsidRPr="00E628AA">
        <w:rPr>
          <w:lang w:val="en-CA"/>
        </w:rPr>
        <w:t>August 26, 2019</w:t>
      </w:r>
    </w:p>
    <w:p w14:paraId="7AACD5F2" w14:textId="5B3D923D" w:rsidR="007473E7" w:rsidRPr="00E628AA" w:rsidRDefault="00535B86" w:rsidP="00DB77DB">
      <w:pPr>
        <w:pStyle w:val="Titre1"/>
        <w:spacing w:after="120"/>
        <w:rPr>
          <w:lang w:val="en-CA"/>
        </w:rPr>
      </w:pPr>
      <w:r>
        <w:rPr>
          <w:lang w:val="en-CA"/>
        </w:rPr>
        <w:t>Introduction</w:t>
      </w:r>
    </w:p>
    <w:p w14:paraId="1F965D95" w14:textId="77777777" w:rsidR="007473E7" w:rsidRPr="00E628AA" w:rsidRDefault="007473E7" w:rsidP="00F60B33">
      <w:pPr>
        <w:pStyle w:val="Titre2"/>
        <w:spacing w:after="120"/>
        <w:rPr>
          <w:lang w:val="en-CA"/>
        </w:rPr>
      </w:pPr>
      <w:r w:rsidRPr="00E628AA">
        <w:rPr>
          <w:lang w:val="en-CA"/>
        </w:rPr>
        <w:t>Deputy Head</w:t>
      </w:r>
    </w:p>
    <w:p w14:paraId="4D668BC8" w14:textId="034A0ED5" w:rsidR="004D3B3C" w:rsidRPr="00E628AA" w:rsidRDefault="007473E7" w:rsidP="004D3B3C">
      <w:pPr>
        <w:pStyle w:val="Sansinterligne"/>
        <w:rPr>
          <w:rFonts w:asciiTheme="minorHAnsi" w:hAnsiTheme="minorHAnsi" w:cstheme="minorHAnsi"/>
          <w:sz w:val="22"/>
          <w:szCs w:val="22"/>
          <w:lang w:val="en-CA" w:eastAsia="en-CA"/>
        </w:rPr>
      </w:pPr>
      <w:r w:rsidRPr="00E628AA">
        <w:rPr>
          <w:rFonts w:asciiTheme="minorHAnsi" w:hAnsiTheme="minorHAnsi" w:cstheme="minorHAnsi"/>
          <w:sz w:val="22"/>
          <w:szCs w:val="22"/>
          <w:lang w:val="en-CA" w:eastAsia="en-CA"/>
        </w:rPr>
        <w:t xml:space="preserve">Dr. Pierre </w:t>
      </w:r>
      <w:proofErr w:type="spellStart"/>
      <w:r w:rsidRPr="00E628AA">
        <w:rPr>
          <w:rFonts w:asciiTheme="minorHAnsi" w:hAnsiTheme="minorHAnsi" w:cstheme="minorHAnsi"/>
          <w:sz w:val="22"/>
          <w:szCs w:val="22"/>
          <w:lang w:val="en-CA" w:eastAsia="en-CA"/>
        </w:rPr>
        <w:t>Béland</w:t>
      </w:r>
      <w:proofErr w:type="spellEnd"/>
      <w:r w:rsidRPr="00E628AA">
        <w:rPr>
          <w:rFonts w:asciiTheme="minorHAnsi" w:hAnsiTheme="minorHAnsi" w:cstheme="minorHAnsi"/>
          <w:sz w:val="22"/>
          <w:szCs w:val="22"/>
          <w:lang w:val="en-CA" w:eastAsia="en-CA"/>
        </w:rPr>
        <w:t xml:space="preserve"> was appointed as the Commissioner of the International Joint C</w:t>
      </w:r>
      <w:r w:rsidR="00944E9A" w:rsidRPr="00E628AA">
        <w:rPr>
          <w:rFonts w:asciiTheme="minorHAnsi" w:hAnsiTheme="minorHAnsi" w:cstheme="minorHAnsi"/>
          <w:sz w:val="22"/>
          <w:szCs w:val="22"/>
          <w:lang w:val="en-CA" w:eastAsia="en-CA"/>
        </w:rPr>
        <w:t>ommission (IJC) on May 9, 2019.</w:t>
      </w:r>
    </w:p>
    <w:p w14:paraId="42EDA378" w14:textId="7357B8CA" w:rsidR="00C830B4" w:rsidRPr="00C830B4" w:rsidRDefault="00C830B4" w:rsidP="00C830B4">
      <w:pPr>
        <w:autoSpaceDE w:val="0"/>
        <w:autoSpaceDN w:val="0"/>
        <w:adjustRightInd w:val="0"/>
        <w:spacing w:before="240" w:after="360"/>
        <w:ind w:right="50"/>
        <w:rPr>
          <w:rFonts w:asciiTheme="minorHAnsi" w:hAnsiTheme="minorHAnsi" w:cstheme="minorHAnsi"/>
          <w:sz w:val="22"/>
          <w:szCs w:val="22"/>
          <w:lang w:val="en-CA" w:eastAsia="en-CA"/>
        </w:rPr>
      </w:pPr>
      <w:r>
        <w:rPr>
          <w:rFonts w:asciiTheme="minorHAnsi" w:hAnsiTheme="minorHAnsi" w:cstheme="minorHAnsi"/>
          <w:sz w:val="22"/>
          <w:szCs w:val="22"/>
          <w:lang w:val="en-CA" w:eastAsia="en-CA"/>
        </w:rPr>
        <w:t>D</w:t>
      </w:r>
      <w:r w:rsidRPr="00C830B4">
        <w:rPr>
          <w:rFonts w:asciiTheme="minorHAnsi" w:hAnsiTheme="minorHAnsi" w:cstheme="minorHAnsi"/>
          <w:sz w:val="22"/>
          <w:szCs w:val="22"/>
          <w:lang w:val="en-CA" w:eastAsia="en-CA"/>
        </w:rPr>
        <w:t>r.</w:t>
      </w:r>
      <w:r>
        <w:rPr>
          <w:rFonts w:asciiTheme="minorHAnsi" w:hAnsiTheme="minorHAnsi" w:cstheme="minorHAnsi"/>
          <w:sz w:val="22"/>
          <w:szCs w:val="22"/>
          <w:lang w:val="en-CA" w:eastAsia="en-CA"/>
        </w:rPr>
        <w:t xml:space="preserve"> Pierre </w:t>
      </w:r>
      <w:proofErr w:type="spellStart"/>
      <w:r>
        <w:rPr>
          <w:rFonts w:asciiTheme="minorHAnsi" w:hAnsiTheme="minorHAnsi" w:cstheme="minorHAnsi"/>
          <w:sz w:val="22"/>
          <w:szCs w:val="22"/>
          <w:lang w:val="en-CA" w:eastAsia="en-CA"/>
        </w:rPr>
        <w:t>Béland</w:t>
      </w:r>
      <w:proofErr w:type="spellEnd"/>
      <w:r>
        <w:rPr>
          <w:rFonts w:asciiTheme="minorHAnsi" w:hAnsiTheme="minorHAnsi" w:cstheme="minorHAnsi"/>
          <w:sz w:val="22"/>
          <w:szCs w:val="22"/>
          <w:lang w:val="en-CA" w:eastAsia="en-CA"/>
        </w:rPr>
        <w:t xml:space="preserve"> </w:t>
      </w:r>
      <w:r w:rsidRPr="00C830B4">
        <w:rPr>
          <w:rFonts w:asciiTheme="minorHAnsi" w:hAnsiTheme="minorHAnsi" w:cstheme="minorHAnsi"/>
          <w:sz w:val="22"/>
          <w:szCs w:val="22"/>
          <w:lang w:val="en-CA" w:eastAsia="en-CA"/>
        </w:rPr>
        <w:t xml:space="preserve">is exercising the Public Service Commission’s (PSC) authority for the first time as </w:t>
      </w:r>
      <w:r>
        <w:rPr>
          <w:rFonts w:asciiTheme="minorHAnsi" w:hAnsiTheme="minorHAnsi" w:cstheme="minorHAnsi"/>
          <w:sz w:val="22"/>
          <w:szCs w:val="22"/>
          <w:lang w:val="en-CA" w:eastAsia="en-CA"/>
        </w:rPr>
        <w:t>Deputy Head (</w:t>
      </w:r>
      <w:r w:rsidRPr="00C830B4">
        <w:rPr>
          <w:rFonts w:asciiTheme="minorHAnsi" w:hAnsiTheme="minorHAnsi" w:cstheme="minorHAnsi"/>
          <w:sz w:val="22"/>
          <w:szCs w:val="22"/>
          <w:lang w:val="en-CA" w:eastAsia="en-CA"/>
        </w:rPr>
        <w:t>DH</w:t>
      </w:r>
      <w:r>
        <w:rPr>
          <w:rFonts w:asciiTheme="minorHAnsi" w:hAnsiTheme="minorHAnsi" w:cstheme="minorHAnsi"/>
          <w:sz w:val="22"/>
          <w:szCs w:val="22"/>
          <w:lang w:val="en-CA" w:eastAsia="en-CA"/>
        </w:rPr>
        <w:t>)</w:t>
      </w:r>
      <w:r w:rsidRPr="00C830B4">
        <w:rPr>
          <w:rFonts w:asciiTheme="minorHAnsi" w:hAnsiTheme="minorHAnsi" w:cstheme="minorHAnsi"/>
          <w:sz w:val="22"/>
          <w:szCs w:val="22"/>
          <w:lang w:val="en-CA" w:eastAsia="en-CA"/>
        </w:rPr>
        <w:t xml:space="preserve">. A copy of the New Direction in Staffing (NDS) highlights for DHs is attached as </w:t>
      </w:r>
      <w:hyperlink w:anchor="AnnexA" w:history="1">
        <w:r w:rsidRPr="00C830B4">
          <w:rPr>
            <w:rStyle w:val="Lienhypertexte"/>
            <w:rFonts w:asciiTheme="minorHAnsi" w:hAnsiTheme="minorHAnsi" w:cstheme="minorHAnsi"/>
            <w:sz w:val="22"/>
            <w:szCs w:val="22"/>
            <w:lang w:val="en-CA" w:eastAsia="en-CA"/>
          </w:rPr>
          <w:t>Annex A</w:t>
        </w:r>
      </w:hyperlink>
      <w:r w:rsidRPr="00C830B4">
        <w:rPr>
          <w:rFonts w:asciiTheme="minorHAnsi" w:hAnsiTheme="minorHAnsi" w:cstheme="minorHAnsi"/>
          <w:sz w:val="22"/>
          <w:szCs w:val="22"/>
          <w:lang w:val="en-CA" w:eastAsia="en-CA"/>
        </w:rPr>
        <w:t>.</w:t>
      </w:r>
    </w:p>
    <w:p w14:paraId="1277B4F6" w14:textId="77777777" w:rsidR="007473E7" w:rsidRPr="00E628AA" w:rsidRDefault="007473E7" w:rsidP="00DB77DB">
      <w:pPr>
        <w:pStyle w:val="Titre1"/>
        <w:spacing w:after="120"/>
        <w:rPr>
          <w:lang w:val="en-CA"/>
        </w:rPr>
      </w:pPr>
      <w:r w:rsidRPr="00E628AA">
        <w:rPr>
          <w:lang w:val="en-CA"/>
        </w:rPr>
        <w:t>Organizational Context</w:t>
      </w:r>
    </w:p>
    <w:p w14:paraId="05999B2F" w14:textId="77777777" w:rsidR="007473E7" w:rsidRPr="00E628AA" w:rsidRDefault="007473E7" w:rsidP="00F60B33">
      <w:pPr>
        <w:pStyle w:val="Titre2"/>
        <w:spacing w:after="120"/>
        <w:rPr>
          <w:u w:val="single"/>
          <w:lang w:val="en-CA"/>
        </w:rPr>
      </w:pPr>
      <w:r w:rsidRPr="00E628AA">
        <w:rPr>
          <w:lang w:val="en-CA"/>
        </w:rPr>
        <w:t>Mandate</w:t>
      </w:r>
    </w:p>
    <w:p w14:paraId="53043AF4" w14:textId="77777777" w:rsidR="007473E7" w:rsidRPr="00E628AA" w:rsidRDefault="007473E7" w:rsidP="007473E7">
      <w:pPr>
        <w:pStyle w:val="Sansinterligne"/>
        <w:rPr>
          <w:rFonts w:asciiTheme="minorHAnsi" w:hAnsiTheme="minorHAnsi" w:cstheme="minorHAnsi"/>
          <w:sz w:val="22"/>
          <w:szCs w:val="22"/>
          <w:lang w:val="en-CA"/>
        </w:rPr>
      </w:pPr>
      <w:r w:rsidRPr="00E628AA">
        <w:rPr>
          <w:rFonts w:asciiTheme="minorHAnsi" w:hAnsiTheme="minorHAnsi" w:cstheme="minorHAnsi"/>
          <w:sz w:val="22"/>
          <w:szCs w:val="22"/>
          <w:lang w:val="en-CA"/>
        </w:rPr>
        <w:t>Canada and the United States created the IJC because they recognized that each country is affected by the other’s actions in lake and river systems along the border. The two countries cooperate to manage these waters wisely and protect them for the benefit of today’s citizens and future generations.</w:t>
      </w:r>
    </w:p>
    <w:p w14:paraId="647991C9" w14:textId="354A10FB" w:rsidR="00C87939" w:rsidRPr="00E628AA" w:rsidRDefault="007473E7" w:rsidP="00096C27">
      <w:pPr>
        <w:pStyle w:val="Sansinterligne"/>
        <w:spacing w:before="240" w:after="360"/>
        <w:rPr>
          <w:rFonts w:asciiTheme="minorHAnsi" w:hAnsiTheme="minorHAnsi" w:cstheme="minorHAnsi"/>
          <w:sz w:val="22"/>
          <w:szCs w:val="22"/>
          <w:lang w:val="en-CA"/>
        </w:rPr>
      </w:pPr>
      <w:r w:rsidRPr="00E628AA">
        <w:rPr>
          <w:rFonts w:asciiTheme="minorHAnsi" w:hAnsiTheme="minorHAnsi" w:cstheme="minorHAnsi"/>
          <w:sz w:val="22"/>
          <w:szCs w:val="22"/>
          <w:lang w:val="en-CA"/>
        </w:rPr>
        <w:t xml:space="preserve">The IJC has two main responsibilities: approving projects that affect water levels and flows across the boundary and investigating transboundary issues and recommending solutions. The IJC’s recommendations and decisions take into account the needs presented by a wide range of water uses, including drinking water, commercial shipping, hydroelectric power generation, agriculture, industry, fishing, </w:t>
      </w:r>
      <w:proofErr w:type="gramStart"/>
      <w:r w:rsidRPr="00E628AA">
        <w:rPr>
          <w:rFonts w:asciiTheme="minorHAnsi" w:hAnsiTheme="minorHAnsi" w:cstheme="minorHAnsi"/>
          <w:sz w:val="22"/>
          <w:szCs w:val="22"/>
          <w:lang w:val="en-CA"/>
        </w:rPr>
        <w:t>recreational</w:t>
      </w:r>
      <w:proofErr w:type="gramEnd"/>
      <w:r w:rsidRPr="00E628AA">
        <w:rPr>
          <w:rFonts w:asciiTheme="minorHAnsi" w:hAnsiTheme="minorHAnsi" w:cstheme="minorHAnsi"/>
          <w:sz w:val="22"/>
          <w:szCs w:val="22"/>
          <w:lang w:val="en-CA"/>
        </w:rPr>
        <w:t xml:space="preserve"> boating and shoreline property.</w:t>
      </w:r>
    </w:p>
    <w:p w14:paraId="26DAB90B" w14:textId="77777777" w:rsidR="007473E7" w:rsidRPr="00E628AA" w:rsidRDefault="007473E7" w:rsidP="00DB77DB">
      <w:pPr>
        <w:pStyle w:val="Titre1"/>
        <w:spacing w:after="120"/>
        <w:rPr>
          <w:lang w:val="en-CA"/>
        </w:rPr>
      </w:pPr>
      <w:r w:rsidRPr="00E628AA">
        <w:rPr>
          <w:lang w:val="en-CA"/>
        </w:rPr>
        <w:t>Population and Staffing Activities</w:t>
      </w:r>
    </w:p>
    <w:p w14:paraId="75B5AEEF" w14:textId="77777777" w:rsidR="00C830B4" w:rsidRPr="00374A6E" w:rsidRDefault="00C830B4" w:rsidP="00C830B4">
      <w:pPr>
        <w:pStyle w:val="Titre2"/>
        <w:spacing w:after="120"/>
        <w:rPr>
          <w:u w:val="single"/>
          <w:lang w:val="en-CA"/>
        </w:rPr>
      </w:pPr>
      <w:r w:rsidRPr="00374A6E">
        <w:rPr>
          <w:lang w:val="en-CA"/>
        </w:rPr>
        <w:t>Population</w:t>
      </w:r>
    </w:p>
    <w:p w14:paraId="5604F1AC" w14:textId="77777777" w:rsidR="00C830B4" w:rsidRDefault="007473E7" w:rsidP="007473E7">
      <w:pPr>
        <w:pStyle w:val="NormalWeb"/>
        <w:spacing w:before="0" w:beforeAutospacing="0" w:after="0" w:afterAutospacing="0"/>
        <w:rPr>
          <w:rFonts w:asciiTheme="minorHAnsi" w:hAnsiTheme="minorHAnsi" w:cstheme="minorHAnsi"/>
          <w:color w:val="000000"/>
          <w:sz w:val="22"/>
          <w:szCs w:val="22"/>
          <w:lang w:val="en-CA"/>
        </w:rPr>
      </w:pPr>
      <w:r w:rsidRPr="00E628AA">
        <w:rPr>
          <w:rFonts w:asciiTheme="minorHAnsi" w:hAnsiTheme="minorHAnsi" w:cstheme="minorHAnsi"/>
          <w:sz w:val="22"/>
          <w:szCs w:val="22"/>
          <w:lang w:val="en-CA"/>
        </w:rPr>
        <w:t xml:space="preserve">IJC </w:t>
      </w:r>
      <w:r w:rsidRPr="00E628AA">
        <w:rPr>
          <w:rFonts w:asciiTheme="minorHAnsi" w:hAnsiTheme="minorHAnsi" w:cstheme="minorHAnsi"/>
          <w:color w:val="000000"/>
          <w:sz w:val="22"/>
          <w:szCs w:val="22"/>
          <w:lang w:val="en-CA"/>
        </w:rPr>
        <w:t xml:space="preserve">is a very small organization that has a population of 30 employees (as of March 31, 2019). </w:t>
      </w:r>
    </w:p>
    <w:p w14:paraId="728CFD3B" w14:textId="77777777" w:rsidR="00C830B4" w:rsidRDefault="00C830B4" w:rsidP="00C830B4">
      <w:pPr>
        <w:pStyle w:val="Titre2"/>
        <w:spacing w:after="120"/>
        <w:rPr>
          <w:lang w:val="en-CA"/>
        </w:rPr>
        <w:sectPr w:rsidR="00C830B4" w:rsidSect="00535B86">
          <w:headerReference w:type="default" r:id="rId8"/>
          <w:footerReference w:type="even" r:id="rId9"/>
          <w:headerReference w:type="first" r:id="rId10"/>
          <w:footerReference w:type="first" r:id="rId11"/>
          <w:pgSz w:w="12240" w:h="15840"/>
          <w:pgMar w:top="720" w:right="720" w:bottom="720" w:left="1025" w:header="708" w:footer="397" w:gutter="0"/>
          <w:cols w:space="708"/>
          <w:titlePg/>
          <w:docGrid w:linePitch="360"/>
        </w:sectPr>
      </w:pPr>
    </w:p>
    <w:p w14:paraId="3257CCE3" w14:textId="2EA45CE8" w:rsidR="00C830B4" w:rsidRPr="00374A6E" w:rsidRDefault="00C830B4" w:rsidP="00C830B4">
      <w:pPr>
        <w:pStyle w:val="Titre2"/>
        <w:spacing w:after="120"/>
        <w:rPr>
          <w:u w:val="single"/>
          <w:lang w:val="en-CA"/>
        </w:rPr>
      </w:pPr>
      <w:r w:rsidRPr="00374A6E">
        <w:rPr>
          <w:lang w:val="en-CA"/>
        </w:rPr>
        <w:lastRenderedPageBreak/>
        <w:t>Staffing Activities</w:t>
      </w:r>
    </w:p>
    <w:p w14:paraId="1582169F" w14:textId="16B82E3A" w:rsidR="007473E7" w:rsidRPr="00E628AA" w:rsidRDefault="007473E7" w:rsidP="007473E7">
      <w:pPr>
        <w:pStyle w:val="NormalWeb"/>
        <w:spacing w:before="0" w:beforeAutospacing="0" w:after="0" w:afterAutospacing="0"/>
        <w:rPr>
          <w:rFonts w:asciiTheme="minorHAnsi" w:hAnsiTheme="minorHAnsi" w:cstheme="minorHAnsi"/>
          <w:color w:val="000000"/>
          <w:sz w:val="22"/>
          <w:szCs w:val="22"/>
          <w:lang w:val="en-CA"/>
        </w:rPr>
      </w:pPr>
      <w:r w:rsidRPr="00E628AA">
        <w:rPr>
          <w:rFonts w:asciiTheme="minorHAnsi" w:hAnsiTheme="minorHAnsi" w:cstheme="minorHAnsi"/>
          <w:color w:val="000000"/>
          <w:sz w:val="22"/>
          <w:szCs w:val="22"/>
          <w:lang w:val="en-CA"/>
        </w:rPr>
        <w:t>In the 2018–2019 fiscal year, the organization performed 17</w:t>
      </w:r>
      <w:r w:rsidRPr="00E628AA">
        <w:rPr>
          <w:rFonts w:asciiTheme="minorHAnsi" w:hAnsiTheme="minorHAnsi" w:cstheme="minorHAnsi"/>
          <w:b/>
          <w:color w:val="000000"/>
          <w:sz w:val="22"/>
          <w:szCs w:val="22"/>
          <w:lang w:val="en-CA"/>
        </w:rPr>
        <w:t xml:space="preserve"> </w:t>
      </w:r>
      <w:r w:rsidRPr="00E628AA">
        <w:rPr>
          <w:rFonts w:asciiTheme="minorHAnsi" w:hAnsiTheme="minorHAnsi" w:cstheme="minorHAnsi"/>
          <w:color w:val="000000"/>
          <w:sz w:val="22"/>
          <w:szCs w:val="22"/>
          <w:lang w:val="en-CA"/>
        </w:rPr>
        <w:t xml:space="preserve">staffing actions through its service provider, Public Service and </w:t>
      </w:r>
      <w:r w:rsidR="006F2F26" w:rsidRPr="00E628AA">
        <w:rPr>
          <w:rFonts w:asciiTheme="minorHAnsi" w:hAnsiTheme="minorHAnsi" w:cstheme="minorHAnsi"/>
          <w:color w:val="000000"/>
          <w:sz w:val="22"/>
          <w:szCs w:val="22"/>
          <w:lang w:val="en-CA"/>
        </w:rPr>
        <w:t xml:space="preserve">Procurement </w:t>
      </w:r>
      <w:r w:rsidRPr="00E628AA">
        <w:rPr>
          <w:rFonts w:asciiTheme="minorHAnsi" w:hAnsiTheme="minorHAnsi" w:cstheme="minorHAnsi"/>
          <w:color w:val="000000"/>
          <w:sz w:val="22"/>
          <w:szCs w:val="22"/>
          <w:lang w:val="en-CA"/>
        </w:rPr>
        <w:t xml:space="preserve">Canada, detailed as follows: </w:t>
      </w:r>
    </w:p>
    <w:p w14:paraId="3BE899C5" w14:textId="77777777" w:rsidR="007473E7" w:rsidRPr="00E628AA" w:rsidRDefault="007473E7" w:rsidP="00096C27">
      <w:pPr>
        <w:numPr>
          <w:ilvl w:val="0"/>
          <w:numId w:val="5"/>
        </w:numPr>
        <w:spacing w:before="240"/>
        <w:rPr>
          <w:rFonts w:asciiTheme="minorHAnsi" w:hAnsiTheme="minorHAnsi" w:cstheme="minorHAnsi"/>
          <w:color w:val="000000"/>
          <w:sz w:val="22"/>
          <w:szCs w:val="22"/>
          <w:lang w:val="en-CA"/>
        </w:rPr>
      </w:pPr>
      <w:r w:rsidRPr="00E628AA">
        <w:rPr>
          <w:rFonts w:asciiTheme="minorHAnsi" w:hAnsiTheme="minorHAnsi" w:cstheme="minorHAnsi"/>
          <w:color w:val="000000"/>
          <w:sz w:val="22"/>
          <w:szCs w:val="22"/>
          <w:lang w:val="en-CA"/>
        </w:rPr>
        <w:t>12</w:t>
      </w:r>
      <w:r w:rsidRPr="00E628AA">
        <w:rPr>
          <w:rFonts w:asciiTheme="minorHAnsi" w:hAnsiTheme="minorHAnsi" w:cstheme="minorHAnsi"/>
          <w:b/>
          <w:color w:val="000000"/>
          <w:sz w:val="22"/>
          <w:szCs w:val="22"/>
          <w:lang w:val="en-CA"/>
        </w:rPr>
        <w:t xml:space="preserve"> </w:t>
      </w:r>
      <w:r w:rsidRPr="00E628AA">
        <w:rPr>
          <w:rFonts w:asciiTheme="minorHAnsi" w:hAnsiTheme="minorHAnsi" w:cstheme="minorHAnsi"/>
          <w:color w:val="000000"/>
          <w:sz w:val="22"/>
          <w:szCs w:val="22"/>
          <w:lang w:val="en-CA"/>
        </w:rPr>
        <w:t xml:space="preserve">appointments to the public service (including the hiring of 1 casual employee and 7 students; </w:t>
      </w:r>
    </w:p>
    <w:p w14:paraId="655FF9B9" w14:textId="77777777" w:rsidR="007473E7" w:rsidRPr="00E628AA" w:rsidRDefault="007473E7" w:rsidP="007473E7">
      <w:pPr>
        <w:numPr>
          <w:ilvl w:val="0"/>
          <w:numId w:val="5"/>
        </w:numPr>
        <w:rPr>
          <w:rFonts w:asciiTheme="minorHAnsi" w:hAnsiTheme="minorHAnsi" w:cstheme="minorHAnsi"/>
          <w:color w:val="000000"/>
          <w:sz w:val="22"/>
          <w:szCs w:val="22"/>
          <w:lang w:val="en-CA"/>
        </w:rPr>
      </w:pPr>
      <w:r w:rsidRPr="00E628AA">
        <w:rPr>
          <w:rFonts w:asciiTheme="minorHAnsi" w:hAnsiTheme="minorHAnsi" w:cstheme="minorHAnsi"/>
          <w:color w:val="000000"/>
          <w:sz w:val="22"/>
          <w:szCs w:val="22"/>
          <w:lang w:val="en-CA"/>
        </w:rPr>
        <w:t>4 promotions;</w:t>
      </w:r>
    </w:p>
    <w:p w14:paraId="2DFC2246" w14:textId="77777777" w:rsidR="007473E7" w:rsidRPr="00E628AA" w:rsidRDefault="007473E7" w:rsidP="007473E7">
      <w:pPr>
        <w:numPr>
          <w:ilvl w:val="0"/>
          <w:numId w:val="5"/>
        </w:numPr>
        <w:rPr>
          <w:rFonts w:asciiTheme="minorHAnsi" w:hAnsiTheme="minorHAnsi" w:cstheme="minorHAnsi"/>
          <w:color w:val="000000"/>
          <w:sz w:val="22"/>
          <w:szCs w:val="22"/>
          <w:lang w:val="en-CA"/>
        </w:rPr>
      </w:pPr>
      <w:r w:rsidRPr="00E628AA">
        <w:rPr>
          <w:rFonts w:asciiTheme="minorHAnsi" w:hAnsiTheme="minorHAnsi" w:cstheme="minorHAnsi"/>
          <w:color w:val="000000"/>
          <w:sz w:val="22"/>
          <w:szCs w:val="22"/>
          <w:lang w:val="en-CA"/>
        </w:rPr>
        <w:t xml:space="preserve">1 lateral and downward movements </w:t>
      </w:r>
    </w:p>
    <w:p w14:paraId="03E08008" w14:textId="2FD0C178" w:rsidR="007473E7" w:rsidRPr="00E628AA" w:rsidRDefault="007473E7" w:rsidP="00096C27">
      <w:pPr>
        <w:pStyle w:val="Sansinterligne"/>
        <w:spacing w:before="240" w:after="360"/>
        <w:rPr>
          <w:rFonts w:asciiTheme="minorHAnsi" w:hAnsiTheme="minorHAnsi" w:cstheme="minorHAnsi"/>
          <w:color w:val="000000"/>
          <w:sz w:val="22"/>
          <w:szCs w:val="22"/>
          <w:lang w:val="en-CA"/>
        </w:rPr>
      </w:pPr>
      <w:r w:rsidRPr="00E628AA">
        <w:rPr>
          <w:rFonts w:asciiTheme="minorHAnsi" w:hAnsiTheme="minorHAnsi" w:cstheme="minorHAnsi"/>
          <w:sz w:val="22"/>
          <w:szCs w:val="22"/>
          <w:lang w:val="en-CA" w:eastAsia="en-CA"/>
        </w:rPr>
        <w:t xml:space="preserve">Please refer to </w:t>
      </w:r>
      <w:hyperlink w:anchor="AnnexB" w:history="1">
        <w:r w:rsidR="005E5636" w:rsidRPr="005E5636">
          <w:rPr>
            <w:rStyle w:val="Lienhypertexte"/>
            <w:rFonts w:asciiTheme="minorHAnsi" w:hAnsiTheme="minorHAnsi" w:cstheme="minorHAnsi"/>
            <w:sz w:val="22"/>
            <w:szCs w:val="22"/>
            <w:lang w:val="en-CA" w:eastAsia="en-CA"/>
          </w:rPr>
          <w:t>Annex B</w:t>
        </w:r>
      </w:hyperlink>
      <w:r w:rsidRPr="00E628AA">
        <w:rPr>
          <w:rFonts w:asciiTheme="minorHAnsi" w:hAnsiTheme="minorHAnsi" w:cstheme="minorHAnsi"/>
          <w:sz w:val="22"/>
          <w:szCs w:val="22"/>
          <w:lang w:val="en-CA" w:eastAsia="en-CA"/>
        </w:rPr>
        <w:t xml:space="preserve"> for additional detail</w:t>
      </w:r>
      <w:r w:rsidR="00C830B4" w:rsidRPr="00C830B4">
        <w:rPr>
          <w:rFonts w:asciiTheme="minorHAnsi" w:hAnsiTheme="minorHAnsi" w:cstheme="minorHAnsi"/>
          <w:sz w:val="22"/>
          <w:szCs w:val="22"/>
          <w:lang w:val="en-CA" w:eastAsia="en-CA"/>
        </w:rPr>
        <w:t xml:space="preserve"> </w:t>
      </w:r>
      <w:r w:rsidR="00C830B4">
        <w:rPr>
          <w:rFonts w:asciiTheme="minorHAnsi" w:hAnsiTheme="minorHAnsi" w:cstheme="minorHAnsi"/>
          <w:sz w:val="22"/>
          <w:szCs w:val="22"/>
          <w:lang w:val="en-CA" w:eastAsia="en-CA"/>
        </w:rPr>
        <w:t>on staffing activities.</w:t>
      </w:r>
    </w:p>
    <w:p w14:paraId="49BA27A5" w14:textId="77777777" w:rsidR="007473E7" w:rsidRPr="00E628AA" w:rsidRDefault="007473E7" w:rsidP="00DB77DB">
      <w:pPr>
        <w:pStyle w:val="Titre1"/>
        <w:spacing w:after="120"/>
        <w:rPr>
          <w:lang w:val="en-CA"/>
        </w:rPr>
      </w:pPr>
      <w:r w:rsidRPr="00E628AA">
        <w:rPr>
          <w:lang w:val="en-CA"/>
        </w:rPr>
        <w:t>Time to Staff</w:t>
      </w:r>
    </w:p>
    <w:p w14:paraId="74944779" w14:textId="77777777" w:rsidR="007473E7" w:rsidRPr="00E628AA" w:rsidRDefault="007473E7" w:rsidP="00CB6909">
      <w:pPr>
        <w:pStyle w:val="Sansinterligne"/>
        <w:spacing w:after="360"/>
        <w:rPr>
          <w:rFonts w:asciiTheme="minorHAnsi" w:hAnsiTheme="minorHAnsi" w:cstheme="minorHAnsi"/>
          <w:color w:val="000000"/>
          <w:sz w:val="22"/>
          <w:szCs w:val="22"/>
          <w:lang w:val="en-CA"/>
        </w:rPr>
      </w:pPr>
      <w:r w:rsidRPr="00E628AA">
        <w:rPr>
          <w:rFonts w:asciiTheme="minorHAnsi" w:hAnsiTheme="minorHAnsi" w:cstheme="minorHAnsi"/>
          <w:sz w:val="22"/>
          <w:szCs w:val="22"/>
          <w:lang w:val="en-CA"/>
        </w:rPr>
        <w:t>The data is insufficient for providing results on internal and external process times for the IJC.</w:t>
      </w:r>
    </w:p>
    <w:p w14:paraId="7786F579" w14:textId="77777777" w:rsidR="007473E7" w:rsidRPr="00E628AA" w:rsidRDefault="007473E7" w:rsidP="00DB77DB">
      <w:pPr>
        <w:pStyle w:val="Titre1"/>
        <w:spacing w:after="120"/>
        <w:rPr>
          <w:lang w:val="en-CA"/>
        </w:rPr>
      </w:pPr>
      <w:r w:rsidRPr="00E628AA">
        <w:rPr>
          <w:lang w:val="en-CA"/>
        </w:rPr>
        <w:t>Staffing Framework</w:t>
      </w:r>
    </w:p>
    <w:p w14:paraId="5B00B0BE" w14:textId="77777777" w:rsidR="007473E7" w:rsidRPr="00E628AA" w:rsidRDefault="007473E7" w:rsidP="00F60B33">
      <w:pPr>
        <w:pStyle w:val="Titre2"/>
        <w:spacing w:after="120"/>
        <w:rPr>
          <w:lang w:val="en-CA"/>
        </w:rPr>
      </w:pPr>
      <w:r w:rsidRPr="00E628AA">
        <w:rPr>
          <w:lang w:val="en-CA"/>
        </w:rPr>
        <w:t>New Direction in Staffing Implementation</w:t>
      </w:r>
    </w:p>
    <w:p w14:paraId="6523D86C" w14:textId="77777777" w:rsidR="007473E7" w:rsidRPr="00E628AA" w:rsidRDefault="007473E7" w:rsidP="007473E7">
      <w:pPr>
        <w:rPr>
          <w:rFonts w:asciiTheme="minorHAnsi" w:hAnsiTheme="minorHAnsi" w:cstheme="minorHAnsi"/>
          <w:sz w:val="22"/>
          <w:szCs w:val="22"/>
          <w:lang w:val="en-CA"/>
        </w:rPr>
      </w:pPr>
      <w:r w:rsidRPr="00E628AA">
        <w:rPr>
          <w:rFonts w:asciiTheme="minorHAnsi" w:hAnsiTheme="minorHAnsi" w:cstheme="minorHAnsi"/>
          <w:sz w:val="22"/>
          <w:szCs w:val="22"/>
          <w:lang w:val="en-CA"/>
        </w:rPr>
        <w:t>Following the implementation of the New Direction in Staffing (NDS), the IJC developed its appointment and staffing policy. This policy, which has been in effect since July 2016, was shared with the PSC.</w:t>
      </w:r>
    </w:p>
    <w:p w14:paraId="3556BF69" w14:textId="77777777" w:rsidR="003222DC" w:rsidRDefault="007473E7" w:rsidP="00096C27">
      <w:pPr>
        <w:spacing w:before="240" w:after="360"/>
        <w:rPr>
          <w:rFonts w:asciiTheme="minorHAnsi" w:hAnsiTheme="minorHAnsi" w:cstheme="minorHAnsi"/>
          <w:sz w:val="22"/>
          <w:szCs w:val="22"/>
          <w:lang w:val="en-CA"/>
        </w:rPr>
        <w:sectPr w:rsidR="003222DC" w:rsidSect="004E5A9A">
          <w:pgSz w:w="12240" w:h="15840"/>
          <w:pgMar w:top="1440" w:right="1797" w:bottom="1440" w:left="1797" w:header="709" w:footer="397" w:gutter="0"/>
          <w:cols w:space="708"/>
          <w:titlePg/>
          <w:docGrid w:linePitch="360"/>
        </w:sectPr>
      </w:pPr>
      <w:r w:rsidRPr="00E628AA">
        <w:rPr>
          <w:rFonts w:asciiTheme="minorHAnsi" w:hAnsiTheme="minorHAnsi" w:cstheme="minorHAnsi"/>
          <w:sz w:val="22"/>
          <w:szCs w:val="22"/>
          <w:lang w:val="en-CA"/>
        </w:rPr>
        <w:t xml:space="preserve">In January 2019, the IJC shared its sub-delegation instrument and guidelines with the PSC. The PSC provided feedback and commended the IJC for its work on the documents. It should be noted that its instrument meets all the requirements of the </w:t>
      </w:r>
      <w:r w:rsidRPr="00DB77DB">
        <w:rPr>
          <w:rStyle w:val="Accentuation"/>
        </w:rPr>
        <w:t>Appointment Delegation and Accountability Instrument</w:t>
      </w:r>
      <w:r w:rsidRPr="00E628AA">
        <w:rPr>
          <w:rFonts w:asciiTheme="minorHAnsi" w:hAnsiTheme="minorHAnsi" w:cstheme="minorHAnsi"/>
          <w:sz w:val="22"/>
          <w:szCs w:val="22"/>
          <w:lang w:val="en-CA"/>
        </w:rPr>
        <w:t xml:space="preserve"> (ADAI).</w:t>
      </w:r>
    </w:p>
    <w:p w14:paraId="3B0D0673" w14:textId="77777777" w:rsidR="007473E7" w:rsidRPr="00E628AA" w:rsidRDefault="007473E7" w:rsidP="00DB77DB">
      <w:pPr>
        <w:pStyle w:val="Titre1"/>
        <w:spacing w:after="120"/>
        <w:rPr>
          <w:lang w:val="en-CA"/>
        </w:rPr>
      </w:pPr>
      <w:r w:rsidRPr="00E628AA">
        <w:rPr>
          <w:lang w:val="en-CA"/>
        </w:rPr>
        <w:lastRenderedPageBreak/>
        <w:t>Appointment Delegation and Accountability Instrument Annex D Reporting</w:t>
      </w:r>
    </w:p>
    <w:p w14:paraId="606A9AFC" w14:textId="77777777" w:rsidR="007473E7" w:rsidRPr="00E628AA" w:rsidRDefault="007473E7" w:rsidP="00F60B33">
      <w:pPr>
        <w:pStyle w:val="Titre2"/>
        <w:spacing w:after="120"/>
        <w:rPr>
          <w:lang w:val="en-CA"/>
        </w:rPr>
      </w:pPr>
      <w:r w:rsidRPr="00E628AA">
        <w:rPr>
          <w:lang w:val="en-CA"/>
        </w:rPr>
        <w:t>Use of the Public Service Official Languages Exclusion Approval Order and the Public Service Official Languages Appointment Regulations</w:t>
      </w:r>
    </w:p>
    <w:p w14:paraId="4D9915FB" w14:textId="77777777" w:rsidR="007473E7" w:rsidRPr="00E628AA" w:rsidRDefault="007473E7" w:rsidP="00CB6909">
      <w:pPr>
        <w:pStyle w:val="Sansinterligne"/>
        <w:spacing w:after="360"/>
        <w:rPr>
          <w:rFonts w:asciiTheme="minorHAnsi" w:hAnsiTheme="minorHAnsi" w:cstheme="minorHAnsi"/>
          <w:color w:val="222222"/>
          <w:sz w:val="22"/>
          <w:szCs w:val="22"/>
          <w:lang w:val="en-CA"/>
        </w:rPr>
      </w:pPr>
      <w:r w:rsidRPr="00E628AA">
        <w:rPr>
          <w:rFonts w:asciiTheme="minorHAnsi" w:hAnsiTheme="minorHAnsi" w:cstheme="minorHAnsi"/>
          <w:color w:val="222222"/>
          <w:sz w:val="22"/>
          <w:szCs w:val="22"/>
          <w:lang w:val="en-CA"/>
        </w:rPr>
        <w:t>IJC reported that the organization made no use</w:t>
      </w:r>
      <w:r w:rsidRPr="00E628AA">
        <w:rPr>
          <w:rFonts w:asciiTheme="minorHAnsi" w:hAnsiTheme="minorHAnsi" w:cstheme="minorHAnsi"/>
          <w:b/>
          <w:color w:val="222222"/>
          <w:sz w:val="22"/>
          <w:szCs w:val="22"/>
          <w:lang w:val="en-CA"/>
        </w:rPr>
        <w:t xml:space="preserve"> </w:t>
      </w:r>
      <w:r w:rsidRPr="00E628AA">
        <w:rPr>
          <w:rFonts w:asciiTheme="minorHAnsi" w:hAnsiTheme="minorHAnsi" w:cstheme="minorHAnsi"/>
          <w:color w:val="222222"/>
          <w:sz w:val="22"/>
          <w:szCs w:val="22"/>
          <w:lang w:val="en-CA"/>
        </w:rPr>
        <w:t>of the PSOLEAO and no use of the PSOLAR for the period of April 1, 2018,</w:t>
      </w:r>
      <w:r w:rsidRPr="00E628AA">
        <w:rPr>
          <w:rFonts w:asciiTheme="minorHAnsi" w:hAnsiTheme="minorHAnsi" w:cstheme="minorHAnsi"/>
          <w:b/>
          <w:color w:val="222222"/>
          <w:sz w:val="22"/>
          <w:szCs w:val="22"/>
          <w:lang w:val="en-CA"/>
        </w:rPr>
        <w:t xml:space="preserve"> </w:t>
      </w:r>
      <w:r w:rsidRPr="00E628AA">
        <w:rPr>
          <w:rFonts w:asciiTheme="minorHAnsi" w:hAnsiTheme="minorHAnsi" w:cstheme="minorHAnsi"/>
          <w:color w:val="222222"/>
          <w:sz w:val="22"/>
          <w:szCs w:val="22"/>
          <w:lang w:val="en-CA"/>
        </w:rPr>
        <w:t>and March 31, 2019.</w:t>
      </w:r>
    </w:p>
    <w:p w14:paraId="04ED1CD2" w14:textId="77777777" w:rsidR="007473E7" w:rsidRPr="00E628AA" w:rsidRDefault="007473E7" w:rsidP="00F60B33">
      <w:pPr>
        <w:pStyle w:val="Titre2"/>
        <w:spacing w:after="120"/>
        <w:rPr>
          <w:lang w:val="en-CA"/>
        </w:rPr>
      </w:pPr>
      <w:r w:rsidRPr="00E628AA">
        <w:rPr>
          <w:lang w:val="en-CA"/>
        </w:rPr>
        <w:t>Approved Deputy Head Exceptions to the National Area of Selection Requirements for External Advertised Appointment Process</w:t>
      </w:r>
    </w:p>
    <w:p w14:paraId="5ACD5096" w14:textId="5BF9ED4B" w:rsidR="00F60B33" w:rsidRPr="00E628AA" w:rsidRDefault="007473E7" w:rsidP="00CB6909">
      <w:pPr>
        <w:pStyle w:val="Sansinterligne"/>
        <w:spacing w:after="360"/>
        <w:rPr>
          <w:rFonts w:asciiTheme="minorHAnsi" w:hAnsiTheme="minorHAnsi" w:cstheme="minorHAnsi"/>
          <w:color w:val="000000"/>
          <w:sz w:val="22"/>
          <w:szCs w:val="22"/>
          <w:lang w:val="en-CA"/>
        </w:rPr>
      </w:pPr>
      <w:r w:rsidRPr="00E628AA">
        <w:rPr>
          <w:rFonts w:asciiTheme="minorHAnsi" w:hAnsiTheme="minorHAnsi" w:cstheme="minorHAnsi"/>
          <w:color w:val="000000"/>
          <w:sz w:val="22"/>
          <w:szCs w:val="22"/>
          <w:lang w:val="en-CA"/>
        </w:rPr>
        <w:t>IJC</w:t>
      </w:r>
      <w:r w:rsidRPr="00E628AA">
        <w:rPr>
          <w:rFonts w:asciiTheme="minorHAnsi" w:hAnsiTheme="minorHAnsi" w:cstheme="minorHAnsi"/>
          <w:color w:val="222222"/>
          <w:sz w:val="22"/>
          <w:szCs w:val="22"/>
          <w:lang w:val="en-CA"/>
        </w:rPr>
        <w:t xml:space="preserve"> reported that the DH approved 0 </w:t>
      </w:r>
      <w:r w:rsidRPr="00E628AA">
        <w:rPr>
          <w:rFonts w:asciiTheme="minorHAnsi" w:hAnsiTheme="minorHAnsi" w:cstheme="minorHAnsi"/>
          <w:color w:val="000000"/>
          <w:sz w:val="22"/>
          <w:szCs w:val="22"/>
          <w:lang w:val="en-CA"/>
        </w:rPr>
        <w:t>exceptions</w:t>
      </w:r>
      <w:r w:rsidRPr="00E628AA">
        <w:rPr>
          <w:rFonts w:asciiTheme="minorHAnsi" w:hAnsiTheme="minorHAnsi" w:cstheme="minorHAnsi"/>
          <w:b/>
          <w:color w:val="000000"/>
          <w:sz w:val="22"/>
          <w:szCs w:val="22"/>
          <w:lang w:val="en-CA"/>
        </w:rPr>
        <w:t xml:space="preserve"> </w:t>
      </w:r>
      <w:r w:rsidRPr="00E628AA">
        <w:rPr>
          <w:rFonts w:asciiTheme="minorHAnsi" w:hAnsiTheme="minorHAnsi" w:cstheme="minorHAnsi"/>
          <w:color w:val="000000"/>
          <w:sz w:val="22"/>
          <w:szCs w:val="22"/>
          <w:lang w:val="en-CA"/>
        </w:rPr>
        <w:t>to the NAOS.</w:t>
      </w:r>
    </w:p>
    <w:p w14:paraId="7E245491" w14:textId="77777777" w:rsidR="007473E7" w:rsidRPr="00E628AA" w:rsidRDefault="007473E7" w:rsidP="00F60B33">
      <w:pPr>
        <w:pStyle w:val="Titre2"/>
        <w:spacing w:after="120"/>
        <w:rPr>
          <w:lang w:val="en-CA"/>
        </w:rPr>
      </w:pPr>
      <w:r w:rsidRPr="00E628AA">
        <w:rPr>
          <w:lang w:val="en-CA"/>
        </w:rPr>
        <w:t>Results of Organizational Cyclical Assessment</w:t>
      </w:r>
    </w:p>
    <w:p w14:paraId="28B83B0E" w14:textId="77777777" w:rsidR="007473E7" w:rsidRPr="00E628AA" w:rsidRDefault="007473E7" w:rsidP="00CB6909">
      <w:pPr>
        <w:spacing w:after="360"/>
        <w:rPr>
          <w:rFonts w:asciiTheme="minorHAnsi" w:hAnsiTheme="minorHAnsi" w:cstheme="minorHAnsi"/>
          <w:sz w:val="22"/>
          <w:szCs w:val="22"/>
          <w:lang w:val="en-CA"/>
        </w:rPr>
      </w:pPr>
      <w:r w:rsidRPr="00E628AA">
        <w:rPr>
          <w:rFonts w:asciiTheme="minorHAnsi" w:hAnsiTheme="minorHAnsi" w:cstheme="minorHAnsi"/>
          <w:sz w:val="22"/>
          <w:szCs w:val="22"/>
          <w:lang w:val="en-CA"/>
        </w:rPr>
        <w:t>The IJC expressed interest in participating in the PSC’s pilot project to perform cyclical assessments of smaller organizations.</w:t>
      </w:r>
    </w:p>
    <w:p w14:paraId="242227ED" w14:textId="77777777" w:rsidR="007473E7" w:rsidRPr="00E628AA" w:rsidRDefault="007473E7" w:rsidP="00CB6909">
      <w:pPr>
        <w:pStyle w:val="Titre2"/>
        <w:spacing w:after="120"/>
        <w:rPr>
          <w:lang w:val="en-CA"/>
        </w:rPr>
      </w:pPr>
      <w:r w:rsidRPr="00E628AA">
        <w:rPr>
          <w:lang w:val="en-CA"/>
        </w:rPr>
        <w:t>Inquiries and Trends</w:t>
      </w:r>
    </w:p>
    <w:p w14:paraId="533889E4" w14:textId="77777777" w:rsidR="007473E7" w:rsidRPr="00E628AA" w:rsidRDefault="007473E7" w:rsidP="00CB6909">
      <w:pPr>
        <w:pStyle w:val="Sansinterligne"/>
        <w:spacing w:after="360"/>
        <w:rPr>
          <w:rFonts w:asciiTheme="minorHAnsi" w:hAnsiTheme="minorHAnsi" w:cstheme="minorHAnsi"/>
          <w:sz w:val="22"/>
          <w:szCs w:val="22"/>
          <w:lang w:val="en-CA"/>
        </w:rPr>
      </w:pPr>
      <w:r w:rsidRPr="00E628AA">
        <w:rPr>
          <w:rFonts w:asciiTheme="minorHAnsi" w:hAnsiTheme="minorHAnsi" w:cstheme="minorHAnsi"/>
          <w:sz w:val="22"/>
          <w:szCs w:val="22"/>
          <w:lang w:val="en-CA"/>
        </w:rPr>
        <w:t>The PSC received a total of 15 requests for information between April 1, 2018, and January 31, 2019. There is a very good relationship between the staffing support advisor (SSA) and the organization’s contacts.</w:t>
      </w:r>
    </w:p>
    <w:p w14:paraId="3B0ED788" w14:textId="7DC8E540" w:rsidR="007473E7" w:rsidRPr="00E628AA" w:rsidRDefault="00B41DDE" w:rsidP="00DB77DB">
      <w:pPr>
        <w:pStyle w:val="Titre1"/>
        <w:spacing w:after="120"/>
        <w:rPr>
          <w:lang w:val="en-CA"/>
        </w:rPr>
      </w:pPr>
      <w:r>
        <w:rPr>
          <w:lang w:val="en-CA"/>
        </w:rPr>
        <w:t>Oversight</w:t>
      </w:r>
    </w:p>
    <w:p w14:paraId="1DCBA8E9" w14:textId="77777777" w:rsidR="007473E7" w:rsidRPr="00E628AA" w:rsidRDefault="007473E7" w:rsidP="00CB6909">
      <w:pPr>
        <w:pStyle w:val="Titre2"/>
        <w:spacing w:after="120"/>
        <w:rPr>
          <w:u w:val="single"/>
          <w:lang w:val="en-CA"/>
        </w:rPr>
      </w:pPr>
      <w:r w:rsidRPr="00E628AA">
        <w:rPr>
          <w:lang w:val="en-CA"/>
        </w:rPr>
        <w:t>Investigations</w:t>
      </w:r>
    </w:p>
    <w:p w14:paraId="27A66392" w14:textId="77777777" w:rsidR="007473E7" w:rsidRPr="00E628AA" w:rsidRDefault="007473E7" w:rsidP="00CB6909">
      <w:pPr>
        <w:spacing w:after="360"/>
        <w:rPr>
          <w:rFonts w:asciiTheme="minorHAnsi" w:hAnsiTheme="minorHAnsi" w:cstheme="minorHAnsi"/>
          <w:sz w:val="22"/>
          <w:szCs w:val="22"/>
          <w:lang w:val="en-CA"/>
        </w:rPr>
      </w:pPr>
      <w:r w:rsidRPr="00E628AA">
        <w:rPr>
          <w:rFonts w:asciiTheme="minorHAnsi" w:hAnsiTheme="minorHAnsi" w:cstheme="minorHAnsi"/>
          <w:sz w:val="22"/>
          <w:szCs w:val="22"/>
          <w:lang w:val="en-CA"/>
        </w:rPr>
        <w:t>No investigation for IJC.</w:t>
      </w:r>
    </w:p>
    <w:p w14:paraId="6FF58684" w14:textId="77777777" w:rsidR="007473E7" w:rsidRPr="00E628AA" w:rsidRDefault="007473E7" w:rsidP="00CB6909">
      <w:pPr>
        <w:pStyle w:val="Titre2"/>
        <w:spacing w:after="120"/>
        <w:rPr>
          <w:u w:val="single"/>
          <w:lang w:val="en-CA"/>
        </w:rPr>
      </w:pPr>
      <w:r w:rsidRPr="00E628AA">
        <w:rPr>
          <w:lang w:val="en-CA"/>
        </w:rPr>
        <w:t>Staffing and Non-Partisanship Survey Results (SNPS)</w:t>
      </w:r>
    </w:p>
    <w:p w14:paraId="7914F1A3" w14:textId="77777777" w:rsidR="007473E7" w:rsidRPr="00E628AA" w:rsidRDefault="007473E7" w:rsidP="007473E7">
      <w:pPr>
        <w:pStyle w:val="Paragraphedeliste"/>
        <w:spacing w:after="0"/>
        <w:rPr>
          <w:rFonts w:asciiTheme="minorHAnsi" w:hAnsiTheme="minorHAnsi" w:cstheme="minorHAnsi"/>
          <w:noProof/>
          <w:sz w:val="22"/>
          <w:szCs w:val="22"/>
          <w:lang w:val="en-CA" w:eastAsia="en-CA"/>
        </w:rPr>
      </w:pPr>
      <w:r w:rsidRPr="00E628AA">
        <w:rPr>
          <w:rFonts w:asciiTheme="minorHAnsi" w:hAnsiTheme="minorHAnsi" w:cstheme="minorHAnsi"/>
          <w:noProof/>
          <w:sz w:val="22"/>
          <w:szCs w:val="22"/>
          <w:lang w:val="en-CA" w:eastAsia="en-CA"/>
        </w:rPr>
        <w:t xml:space="preserve">For certain questions, the IJC’s SNPS results diverge with those of other very small organizations and the public service as a whole. It should be noted that the IJC did not </w:t>
      </w:r>
      <w:r w:rsidRPr="00E628AA">
        <w:rPr>
          <w:rFonts w:asciiTheme="minorHAnsi" w:hAnsiTheme="minorHAnsi" w:cstheme="minorHAnsi"/>
          <w:noProof/>
          <w:sz w:val="22"/>
          <w:szCs w:val="22"/>
          <w:lang w:val="en-CA" w:eastAsia="en-CA"/>
        </w:rPr>
        <w:lastRenderedPageBreak/>
        <w:t xml:space="preserve">receive results for every SNPS question because results are only provided for questions with at least 10 respondents. </w:t>
      </w:r>
    </w:p>
    <w:p w14:paraId="3386F8FF" w14:textId="3DF42C0E" w:rsidR="007473E7" w:rsidRPr="00E628AA" w:rsidRDefault="007473E7" w:rsidP="00096C27">
      <w:pPr>
        <w:spacing w:before="240"/>
        <w:rPr>
          <w:rFonts w:asciiTheme="minorHAnsi" w:hAnsiTheme="minorHAnsi" w:cstheme="minorHAnsi"/>
          <w:sz w:val="22"/>
          <w:szCs w:val="22"/>
          <w:highlight w:val="cyan"/>
          <w:lang w:val="en-CA"/>
        </w:rPr>
      </w:pPr>
      <w:r w:rsidRPr="00E628AA">
        <w:rPr>
          <w:rFonts w:asciiTheme="minorHAnsi" w:hAnsiTheme="minorHAnsi" w:cstheme="minorHAnsi"/>
          <w:sz w:val="22"/>
          <w:szCs w:val="22"/>
          <w:lang w:val="en-CA"/>
        </w:rPr>
        <w:t>Below are the main findings of the IJC’s 2018 SNPS results:</w:t>
      </w:r>
    </w:p>
    <w:p w14:paraId="2F4B4DF7" w14:textId="77777777" w:rsidR="007473E7" w:rsidRPr="00E628AA" w:rsidRDefault="007473E7" w:rsidP="00096C27">
      <w:pPr>
        <w:pStyle w:val="Paragraphedeliste"/>
        <w:numPr>
          <w:ilvl w:val="0"/>
          <w:numId w:val="6"/>
        </w:numPr>
        <w:spacing w:before="240" w:after="160" w:line="259" w:lineRule="auto"/>
        <w:rPr>
          <w:rFonts w:asciiTheme="minorHAnsi" w:hAnsiTheme="minorHAnsi" w:cstheme="minorHAnsi"/>
          <w:sz w:val="22"/>
          <w:szCs w:val="22"/>
          <w:lang w:val="en-CA"/>
        </w:rPr>
      </w:pPr>
      <w:r w:rsidRPr="00E628AA">
        <w:rPr>
          <w:rFonts w:asciiTheme="minorHAnsi" w:hAnsiTheme="minorHAnsi" w:cstheme="minorHAnsi"/>
          <w:sz w:val="22"/>
          <w:szCs w:val="22"/>
          <w:lang w:val="en-CA"/>
        </w:rPr>
        <w:t>93.4% of employees indicated that individuals hired to their work unit were able to do the job, compared to 69.8% in organizations of a similar size and 53.8% across the federal public service.</w:t>
      </w:r>
    </w:p>
    <w:p w14:paraId="76FAC3D6" w14:textId="77777777" w:rsidR="007473E7" w:rsidRPr="00E628AA" w:rsidRDefault="007473E7" w:rsidP="007473E7">
      <w:pPr>
        <w:pStyle w:val="Paragraphedeliste"/>
        <w:numPr>
          <w:ilvl w:val="0"/>
          <w:numId w:val="6"/>
        </w:numPr>
        <w:spacing w:after="160" w:line="259" w:lineRule="auto"/>
        <w:rPr>
          <w:rFonts w:asciiTheme="minorHAnsi" w:hAnsiTheme="minorHAnsi" w:cstheme="minorHAnsi"/>
          <w:sz w:val="22"/>
          <w:szCs w:val="22"/>
          <w:lang w:val="en-CA"/>
        </w:rPr>
      </w:pPr>
      <w:r w:rsidRPr="00E628AA">
        <w:rPr>
          <w:rFonts w:asciiTheme="minorHAnsi" w:hAnsiTheme="minorHAnsi" w:cstheme="minorHAnsi"/>
          <w:sz w:val="22"/>
          <w:szCs w:val="22"/>
          <w:lang w:val="en-CA"/>
        </w:rPr>
        <w:t>93.3% of employees indicated that the process used for selecting persons for positions in their work units is done fairly, compared to 61.7% in organizations of a similar size and 46.4% across the federal public service.</w:t>
      </w:r>
    </w:p>
    <w:p w14:paraId="0D37D10C" w14:textId="77777777" w:rsidR="007473E7" w:rsidRPr="00E628AA" w:rsidRDefault="007473E7" w:rsidP="007473E7">
      <w:pPr>
        <w:pStyle w:val="Paragraphedeliste"/>
        <w:numPr>
          <w:ilvl w:val="0"/>
          <w:numId w:val="6"/>
        </w:numPr>
        <w:spacing w:after="160" w:line="259" w:lineRule="auto"/>
        <w:rPr>
          <w:rFonts w:asciiTheme="minorHAnsi" w:hAnsiTheme="minorHAnsi" w:cstheme="minorHAnsi"/>
          <w:sz w:val="22"/>
          <w:szCs w:val="22"/>
          <w:lang w:val="en-CA"/>
        </w:rPr>
      </w:pPr>
      <w:r w:rsidRPr="00E628AA">
        <w:rPr>
          <w:rFonts w:asciiTheme="minorHAnsi" w:hAnsiTheme="minorHAnsi" w:cstheme="minorHAnsi"/>
          <w:sz w:val="22"/>
          <w:szCs w:val="22"/>
          <w:lang w:val="en-CA"/>
        </w:rPr>
        <w:t>53.3% of employees did not agree with the statement that appointments in their work units depend on who you know, compared to 35.2% in organizations in similar size and 23.5% across the federal public service.</w:t>
      </w:r>
    </w:p>
    <w:p w14:paraId="315B66D8" w14:textId="77777777" w:rsidR="007473E7" w:rsidRPr="00E628AA" w:rsidRDefault="007473E7" w:rsidP="00CB6909">
      <w:pPr>
        <w:pStyle w:val="Paragraphedeliste"/>
        <w:numPr>
          <w:ilvl w:val="0"/>
          <w:numId w:val="6"/>
        </w:numPr>
        <w:spacing w:after="360" w:line="259" w:lineRule="auto"/>
        <w:rPr>
          <w:rFonts w:asciiTheme="minorHAnsi" w:hAnsiTheme="minorHAnsi" w:cstheme="minorHAnsi"/>
          <w:sz w:val="22"/>
          <w:szCs w:val="22"/>
          <w:lang w:val="en-CA"/>
        </w:rPr>
      </w:pPr>
      <w:r w:rsidRPr="00E628AA">
        <w:rPr>
          <w:rFonts w:asciiTheme="minorHAnsi" w:hAnsiTheme="minorHAnsi" w:cstheme="minorHAnsi"/>
          <w:sz w:val="22"/>
          <w:szCs w:val="22"/>
          <w:lang w:val="en-CA"/>
        </w:rPr>
        <w:t xml:space="preserve">80% of employees indicated that staffing activities in their work units are carried out in a transparent way, compared to 60.9% in organizations of a similar size and 44.3% in the federal public service as a whole. </w:t>
      </w:r>
    </w:p>
    <w:p w14:paraId="1A8529C3" w14:textId="1BB47727" w:rsidR="007473E7" w:rsidRPr="00E628AA" w:rsidRDefault="007473E7" w:rsidP="00DB77DB">
      <w:pPr>
        <w:pStyle w:val="Titre1"/>
        <w:spacing w:after="120"/>
        <w:rPr>
          <w:lang w:val="en-CA"/>
        </w:rPr>
      </w:pPr>
      <w:r w:rsidRPr="00E628AA">
        <w:rPr>
          <w:rStyle w:val="Titre1Car"/>
          <w:color w:val="auto"/>
          <w:lang w:val="en-CA"/>
        </w:rPr>
        <w:t>Diversity</w:t>
      </w:r>
      <w:r w:rsidRPr="00E628AA">
        <w:rPr>
          <w:rStyle w:val="Titre1Car"/>
          <w:lang w:val="en-CA"/>
        </w:rPr>
        <w:t xml:space="preserve"> </w:t>
      </w:r>
      <w:r w:rsidRPr="00E628AA">
        <w:rPr>
          <w:rStyle w:val="Titre1Car"/>
          <w:color w:val="auto"/>
          <w:lang w:val="en-CA"/>
        </w:rPr>
        <w:t>Profile</w:t>
      </w:r>
    </w:p>
    <w:p w14:paraId="6E867B8E" w14:textId="464E70B6" w:rsidR="007473E7" w:rsidRPr="00E628AA" w:rsidRDefault="00E628AA" w:rsidP="00E628AA">
      <w:pPr>
        <w:rPr>
          <w:rFonts w:asciiTheme="minorHAnsi" w:hAnsiTheme="minorHAnsi" w:cstheme="minorHAnsi"/>
          <w:sz w:val="22"/>
          <w:szCs w:val="22"/>
          <w:lang w:val="en-CA"/>
        </w:rPr>
      </w:pPr>
      <w:r w:rsidRPr="00E628AA">
        <w:rPr>
          <w:rFonts w:asciiTheme="minorHAnsi" w:hAnsiTheme="minorHAnsi" w:cstheme="minorHAnsi"/>
          <w:sz w:val="22"/>
          <w:szCs w:val="22"/>
          <w:lang w:val="en-CA"/>
        </w:rPr>
        <w:t>Due to the organizations small number of employees, the employment equity statistics have been removed from this report to protect the confidentiality of individual respondents.</w:t>
      </w:r>
    </w:p>
    <w:p w14:paraId="149B81CC" w14:textId="77777777" w:rsidR="007473E7" w:rsidRPr="00E628AA" w:rsidRDefault="007473E7" w:rsidP="00DB77DB">
      <w:pPr>
        <w:pStyle w:val="Titre1"/>
        <w:spacing w:after="120"/>
        <w:rPr>
          <w:lang w:val="en-CA"/>
        </w:rPr>
      </w:pPr>
      <w:r w:rsidRPr="00E628AA">
        <w:rPr>
          <w:lang w:val="en-CA"/>
        </w:rPr>
        <w:t>Priority Entitlements and Veterans</w:t>
      </w:r>
    </w:p>
    <w:p w14:paraId="23C1AB65" w14:textId="77777777" w:rsidR="007473E7" w:rsidRPr="00E628AA" w:rsidRDefault="007473E7" w:rsidP="007473E7">
      <w:pPr>
        <w:rPr>
          <w:rFonts w:asciiTheme="minorHAnsi" w:hAnsiTheme="minorHAnsi" w:cstheme="minorHAnsi"/>
          <w:sz w:val="22"/>
          <w:szCs w:val="22"/>
          <w:lang w:val="en-CA"/>
        </w:rPr>
      </w:pPr>
      <w:r w:rsidRPr="00E628AA">
        <w:rPr>
          <w:rFonts w:asciiTheme="minorHAnsi" w:hAnsiTheme="minorHAnsi" w:cstheme="minorHAnsi"/>
          <w:sz w:val="22"/>
          <w:szCs w:val="22"/>
          <w:lang w:val="en-CA"/>
        </w:rPr>
        <w:t>From April 1, 2018, to July 10, 2019, the IJC appointed one person with a priority entitlement. Over the same period, the IJC submitted 11 requests for priority clearance.</w:t>
      </w:r>
      <w:r w:rsidRPr="00E628AA">
        <w:rPr>
          <w:rFonts w:asciiTheme="minorHAnsi" w:eastAsiaTheme="minorHAnsi" w:hAnsiTheme="minorHAnsi" w:cstheme="minorHAnsi"/>
          <w:sz w:val="22"/>
          <w:szCs w:val="22"/>
          <w:lang w:val="en-CA"/>
        </w:rPr>
        <w:t xml:space="preserve"> </w:t>
      </w:r>
    </w:p>
    <w:p w14:paraId="3D94F281" w14:textId="77777777" w:rsidR="007473E7" w:rsidRPr="00E628AA" w:rsidRDefault="007473E7" w:rsidP="00096C27">
      <w:pPr>
        <w:pStyle w:val="Sansinterligne"/>
        <w:spacing w:before="240"/>
        <w:rPr>
          <w:rFonts w:asciiTheme="minorHAnsi" w:hAnsiTheme="minorHAnsi" w:cstheme="minorHAnsi"/>
          <w:sz w:val="22"/>
          <w:szCs w:val="22"/>
          <w:lang w:val="en-CA"/>
        </w:rPr>
      </w:pPr>
      <w:r w:rsidRPr="00E628AA">
        <w:rPr>
          <w:rFonts w:asciiTheme="minorHAnsi" w:hAnsiTheme="minorHAnsi" w:cstheme="minorHAnsi"/>
          <w:sz w:val="22"/>
          <w:szCs w:val="22"/>
          <w:lang w:val="en-CA"/>
        </w:rPr>
        <w:t>As at June 30, 2019, the IJC had not appointed any member of the Canadian Armed Forces medically released for reasons attributable or not attributable to service since the Veterans Hiring Act came into effect on July 1, 2015.</w:t>
      </w:r>
    </w:p>
    <w:p w14:paraId="19293B82" w14:textId="77777777" w:rsidR="007473E7" w:rsidRPr="00E628AA" w:rsidRDefault="007473E7" w:rsidP="00096C27">
      <w:pPr>
        <w:spacing w:before="240"/>
        <w:rPr>
          <w:rFonts w:asciiTheme="minorHAnsi" w:eastAsiaTheme="minorHAnsi" w:hAnsiTheme="minorHAnsi" w:cstheme="minorHAnsi"/>
          <w:sz w:val="22"/>
          <w:szCs w:val="22"/>
          <w:lang w:val="en-CA"/>
        </w:rPr>
      </w:pPr>
      <w:r w:rsidRPr="00E628AA">
        <w:rPr>
          <w:rFonts w:asciiTheme="minorHAnsi" w:eastAsiaTheme="minorHAnsi" w:hAnsiTheme="minorHAnsi" w:cstheme="minorHAnsi"/>
          <w:sz w:val="22"/>
          <w:szCs w:val="22"/>
          <w:lang w:val="en-CA"/>
        </w:rPr>
        <w:t>On July 23, 2019, the IJC had no “active” persons with a priority entitlement in the PSC priority system.</w:t>
      </w:r>
    </w:p>
    <w:p w14:paraId="5DDCA8DD" w14:textId="3AC0A4F1" w:rsidR="007473E7" w:rsidRPr="00E628AA" w:rsidRDefault="007473E7" w:rsidP="00DB77DB">
      <w:pPr>
        <w:pStyle w:val="Titre1"/>
        <w:spacing w:after="120"/>
        <w:rPr>
          <w:lang w:val="en-CA"/>
        </w:rPr>
      </w:pPr>
      <w:r w:rsidRPr="00E628AA">
        <w:rPr>
          <w:lang w:val="en-CA"/>
        </w:rPr>
        <w:t>Non-Par</w:t>
      </w:r>
      <w:r w:rsidR="00B41DDE">
        <w:rPr>
          <w:lang w:val="en-CA"/>
        </w:rPr>
        <w:t>tisanship in the Public Service</w:t>
      </w:r>
    </w:p>
    <w:p w14:paraId="44C1E4E9" w14:textId="77777777" w:rsidR="007473E7" w:rsidRPr="00E628AA" w:rsidRDefault="007473E7" w:rsidP="007473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2"/>
          <w:szCs w:val="22"/>
          <w:lang w:val="en-CA" w:eastAsia="en-CA"/>
        </w:rPr>
      </w:pPr>
      <w:r w:rsidRPr="00E628AA">
        <w:rPr>
          <w:rFonts w:asciiTheme="minorHAnsi" w:hAnsiTheme="minorHAnsi" w:cstheme="minorHAnsi"/>
          <w:sz w:val="22"/>
          <w:szCs w:val="22"/>
          <w:lang w:val="en-CA" w:eastAsia="en-CA"/>
        </w:rPr>
        <w:t xml:space="preserve">Nick </w:t>
      </w:r>
      <w:proofErr w:type="spellStart"/>
      <w:r w:rsidRPr="00E628AA">
        <w:rPr>
          <w:rFonts w:asciiTheme="minorHAnsi" w:hAnsiTheme="minorHAnsi" w:cstheme="minorHAnsi"/>
          <w:sz w:val="22"/>
          <w:szCs w:val="22"/>
          <w:lang w:val="en-CA" w:eastAsia="en-CA"/>
        </w:rPr>
        <w:t>Heisler</w:t>
      </w:r>
      <w:proofErr w:type="spellEnd"/>
      <w:r w:rsidRPr="00E628AA">
        <w:rPr>
          <w:rFonts w:asciiTheme="minorHAnsi" w:hAnsiTheme="minorHAnsi" w:cstheme="minorHAnsi"/>
          <w:sz w:val="22"/>
          <w:szCs w:val="22"/>
          <w:lang w:val="en-CA" w:eastAsia="en-CA"/>
        </w:rPr>
        <w:t xml:space="preserve"> is the IJC Designated Political Activities Representative (DPAR). The DPAR liaises with the PSC on issues related to political activities and non</w:t>
      </w:r>
      <w:r w:rsidRPr="00E628AA">
        <w:rPr>
          <w:rFonts w:asciiTheme="minorHAnsi" w:hAnsiTheme="minorHAnsi" w:cstheme="minorHAnsi"/>
          <w:sz w:val="22"/>
          <w:szCs w:val="22"/>
          <w:lang w:val="en-CA" w:eastAsia="en-CA"/>
        </w:rPr>
        <w:noBreakHyphen/>
        <w:t>partisanship.</w:t>
      </w:r>
    </w:p>
    <w:p w14:paraId="5107945F" w14:textId="77777777" w:rsidR="007473E7" w:rsidRPr="00E628AA" w:rsidRDefault="007473E7" w:rsidP="00096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rPr>
          <w:rFonts w:asciiTheme="minorHAnsi" w:hAnsiTheme="minorHAnsi" w:cstheme="minorHAnsi"/>
          <w:sz w:val="22"/>
          <w:szCs w:val="22"/>
          <w:lang w:val="en-CA" w:eastAsia="en-CA"/>
        </w:rPr>
      </w:pPr>
      <w:r w:rsidRPr="00E628AA">
        <w:rPr>
          <w:rFonts w:asciiTheme="minorHAnsi" w:hAnsiTheme="minorHAnsi" w:cstheme="minorHAnsi"/>
          <w:sz w:val="22"/>
          <w:szCs w:val="22"/>
          <w:lang w:val="en-CA" w:eastAsia="en-CA"/>
        </w:rPr>
        <w:lastRenderedPageBreak/>
        <w:t>In past years, the PSC has not received any request to stand in an election from an IJC employee. Since April 1, 2015, the PSC has received no federal, provincial, territorial or municipal requests from this organization.</w:t>
      </w:r>
    </w:p>
    <w:p w14:paraId="1EB1263F" w14:textId="77777777" w:rsidR="007473E7" w:rsidRPr="00E628AA" w:rsidRDefault="007473E7" w:rsidP="00096C27">
      <w:pPr>
        <w:spacing w:before="240" w:after="360"/>
        <w:rPr>
          <w:rFonts w:asciiTheme="minorHAnsi" w:hAnsiTheme="minorHAnsi" w:cstheme="minorHAnsi"/>
          <w:sz w:val="22"/>
          <w:szCs w:val="22"/>
          <w:lang w:val="en-CA"/>
        </w:rPr>
      </w:pPr>
      <w:r w:rsidRPr="00E628AA">
        <w:rPr>
          <w:rFonts w:asciiTheme="minorHAnsi" w:hAnsiTheme="minorHAnsi" w:cstheme="minorHAnsi"/>
          <w:sz w:val="22"/>
          <w:szCs w:val="22"/>
          <w:lang w:val="en-CA" w:eastAsia="en-CA"/>
        </w:rPr>
        <w:t>The 2018 SNPS results indicated that 87.5% of IJC employees were aware of their rights and obligations for engaging in political activities, compared to 80.1% across the public service. In addition, 93.8% of employees indicated that they are able to make informed decisions about engaging in political activities, compared to 92.9% in organizations of a similar size and 87.9% in the public service as a whole.</w:t>
      </w:r>
    </w:p>
    <w:p w14:paraId="0D14FD75" w14:textId="77777777" w:rsidR="007473E7" w:rsidRPr="00E628AA" w:rsidRDefault="007473E7" w:rsidP="00DB77DB">
      <w:pPr>
        <w:pStyle w:val="Titre1"/>
        <w:spacing w:after="120"/>
        <w:rPr>
          <w:lang w:val="en-CA"/>
        </w:rPr>
      </w:pPr>
      <w:r w:rsidRPr="00E628AA">
        <w:rPr>
          <w:lang w:val="en-CA"/>
        </w:rPr>
        <w:t>PSC Initiatives</w:t>
      </w:r>
    </w:p>
    <w:p w14:paraId="774DB8B5" w14:textId="77777777" w:rsidR="007473E7" w:rsidRPr="00E628AA" w:rsidRDefault="007473E7" w:rsidP="00CB6909">
      <w:pPr>
        <w:pStyle w:val="Sansinterligne"/>
        <w:spacing w:after="360"/>
        <w:rPr>
          <w:rFonts w:asciiTheme="minorHAnsi" w:hAnsiTheme="minorHAnsi" w:cstheme="minorHAnsi"/>
          <w:color w:val="000000"/>
          <w:sz w:val="22"/>
          <w:szCs w:val="22"/>
          <w:lang w:val="en-CA"/>
        </w:rPr>
      </w:pPr>
      <w:r w:rsidRPr="00E628AA">
        <w:rPr>
          <w:rFonts w:asciiTheme="minorHAnsi" w:hAnsiTheme="minorHAnsi" w:cstheme="minorHAnsi"/>
          <w:color w:val="000000"/>
          <w:sz w:val="22"/>
          <w:szCs w:val="22"/>
          <w:lang w:val="en-CA"/>
        </w:rPr>
        <w:t>IJC is not part of any PSC-led initiatives at this moment.</w:t>
      </w:r>
    </w:p>
    <w:p w14:paraId="7BB3FD7F" w14:textId="77777777" w:rsidR="007473E7" w:rsidRPr="00E628AA" w:rsidRDefault="007473E7" w:rsidP="00DB77DB">
      <w:pPr>
        <w:pStyle w:val="Titre1"/>
        <w:spacing w:after="120"/>
        <w:rPr>
          <w:lang w:val="en-CA"/>
        </w:rPr>
      </w:pPr>
      <w:r w:rsidRPr="00E628AA">
        <w:rPr>
          <w:lang w:val="en-CA"/>
        </w:rPr>
        <w:t>Staffing Support</w:t>
      </w:r>
    </w:p>
    <w:p w14:paraId="7D5A9917" w14:textId="04DB0577" w:rsidR="007473E7" w:rsidRPr="00E628AA" w:rsidRDefault="00777E1D" w:rsidP="00CB6909">
      <w:pPr>
        <w:pStyle w:val="Titre2"/>
        <w:spacing w:after="120"/>
        <w:rPr>
          <w:u w:val="single"/>
          <w:lang w:val="en-CA"/>
        </w:rPr>
      </w:pPr>
      <w:r>
        <w:rPr>
          <w:lang w:val="en-CA"/>
        </w:rPr>
        <w:t xml:space="preserve">Public Service </w:t>
      </w:r>
      <w:bookmarkStart w:id="0" w:name="_GoBack"/>
      <w:bookmarkEnd w:id="0"/>
      <w:r w:rsidR="007473E7" w:rsidRPr="00E628AA">
        <w:rPr>
          <w:lang w:val="en-CA"/>
        </w:rPr>
        <w:t>Commission Representati</w:t>
      </w:r>
      <w:r w:rsidR="00286237" w:rsidRPr="00E628AA">
        <w:rPr>
          <w:lang w:val="en-CA"/>
        </w:rPr>
        <w:t>ves and Organizational Contacts</w:t>
      </w:r>
    </w:p>
    <w:p w14:paraId="54364C1E" w14:textId="77777777" w:rsidR="00C87939" w:rsidRPr="00E628AA" w:rsidRDefault="007473E7" w:rsidP="007473E7">
      <w:pPr>
        <w:rPr>
          <w:rFonts w:asciiTheme="minorHAnsi" w:hAnsiTheme="minorHAnsi" w:cstheme="minorHAnsi"/>
          <w:b/>
          <w:sz w:val="22"/>
          <w:szCs w:val="22"/>
          <w:lang w:val="en-CA"/>
        </w:rPr>
      </w:pPr>
      <w:r w:rsidRPr="00E628AA">
        <w:rPr>
          <w:rFonts w:asciiTheme="minorHAnsi" w:hAnsiTheme="minorHAnsi" w:cstheme="minorHAnsi"/>
          <w:sz w:val="22"/>
          <w:szCs w:val="22"/>
          <w:lang w:val="en-CA" w:eastAsia="en-CA"/>
        </w:rPr>
        <w:t xml:space="preserve">The Staffing Support Advisor (SSA) assigned to this organization is </w:t>
      </w:r>
      <w:r w:rsidR="008854A8" w:rsidRPr="00E628AA">
        <w:rPr>
          <w:rFonts w:asciiTheme="minorHAnsi" w:hAnsiTheme="minorHAnsi" w:cstheme="minorHAnsi"/>
          <w:sz w:val="22"/>
          <w:szCs w:val="22"/>
          <w:lang w:val="en-CA" w:eastAsia="en-CA"/>
        </w:rPr>
        <w:t xml:space="preserve">Muriel </w:t>
      </w:r>
      <w:proofErr w:type="spellStart"/>
      <w:r w:rsidR="008854A8" w:rsidRPr="00E628AA">
        <w:rPr>
          <w:rFonts w:asciiTheme="minorHAnsi" w:hAnsiTheme="minorHAnsi" w:cstheme="minorHAnsi"/>
          <w:sz w:val="22"/>
          <w:szCs w:val="22"/>
          <w:lang w:val="en-CA" w:eastAsia="en-CA"/>
        </w:rPr>
        <w:t>Ngombo</w:t>
      </w:r>
      <w:proofErr w:type="spellEnd"/>
      <w:r w:rsidRPr="00E628AA">
        <w:rPr>
          <w:rFonts w:asciiTheme="minorHAnsi" w:hAnsiTheme="minorHAnsi" w:cstheme="minorHAnsi"/>
          <w:sz w:val="22"/>
          <w:szCs w:val="22"/>
          <w:lang w:val="en-CA" w:eastAsia="en-CA"/>
        </w:rPr>
        <w:t xml:space="preserve"> and the primary organizational contacts are Isabelle Reid, Executive Assistant, and Céline Desjardins, Administrative Officer, Human Resources.</w:t>
      </w:r>
      <w:r w:rsidRPr="00E628AA">
        <w:rPr>
          <w:rFonts w:asciiTheme="minorHAnsi" w:hAnsiTheme="minorHAnsi" w:cstheme="minorHAnsi"/>
          <w:b/>
          <w:sz w:val="22"/>
          <w:szCs w:val="22"/>
          <w:lang w:val="en-CA"/>
        </w:rPr>
        <w:t xml:space="preserve"> </w:t>
      </w:r>
      <w:r w:rsidR="00C87939" w:rsidRPr="00E628AA">
        <w:rPr>
          <w:rFonts w:asciiTheme="minorHAnsi" w:hAnsiTheme="minorHAnsi" w:cstheme="minorHAnsi"/>
          <w:b/>
          <w:sz w:val="22"/>
          <w:szCs w:val="22"/>
          <w:lang w:val="en-CA"/>
        </w:rPr>
        <w:br w:type="page"/>
      </w:r>
    </w:p>
    <w:p w14:paraId="6AF2CA95" w14:textId="77777777" w:rsidR="00CB6909" w:rsidRPr="00E628AA" w:rsidRDefault="00CB6909" w:rsidP="00CB6909">
      <w:pPr>
        <w:keepLines/>
        <w:numPr>
          <w:ilvl w:val="12"/>
          <w:numId w:val="0"/>
        </w:numPr>
        <w:tabs>
          <w:tab w:val="left" w:pos="-1320"/>
          <w:tab w:val="left" w:pos="-720"/>
          <w:tab w:val="left" w:pos="0"/>
          <w:tab w:val="left" w:pos="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line="259" w:lineRule="auto"/>
        <w:rPr>
          <w:rFonts w:asciiTheme="minorHAnsi" w:eastAsiaTheme="minorHAnsi" w:hAnsiTheme="minorHAnsi" w:cstheme="minorHAnsi"/>
          <w:sz w:val="22"/>
          <w:szCs w:val="22"/>
          <w:lang w:val="en-CA"/>
        </w:rPr>
      </w:pPr>
      <w:r w:rsidRPr="00535B86">
        <w:rPr>
          <w:rStyle w:val="lev"/>
          <w:rFonts w:asciiTheme="minorHAnsi" w:eastAsiaTheme="minorHAnsi" w:hAnsiTheme="minorHAnsi" w:cstheme="minorHAnsi"/>
          <w:sz w:val="22"/>
        </w:rPr>
        <w:lastRenderedPageBreak/>
        <w:t>PREPARED BY</w:t>
      </w:r>
      <w:r w:rsidRPr="00E628AA">
        <w:rPr>
          <w:rFonts w:asciiTheme="minorHAnsi" w:eastAsiaTheme="minorHAnsi" w:hAnsiTheme="minorHAnsi" w:cstheme="minorHAnsi"/>
          <w:b/>
          <w:bCs/>
          <w:sz w:val="22"/>
          <w:szCs w:val="22"/>
          <w:lang w:val="en-CA"/>
        </w:rPr>
        <w:t>:</w:t>
      </w:r>
    </w:p>
    <w:p w14:paraId="7F52A7F1" w14:textId="6146AC17" w:rsidR="00CB6909" w:rsidRPr="00E628AA" w:rsidRDefault="00CB6909" w:rsidP="00D4107E">
      <w:pPr>
        <w:keepLines/>
        <w:numPr>
          <w:ilvl w:val="12"/>
          <w:numId w:val="0"/>
        </w:numPr>
        <w:tabs>
          <w:tab w:val="left" w:pos="-1320"/>
          <w:tab w:val="left" w:pos="-720"/>
          <w:tab w:val="left" w:pos="0"/>
          <w:tab w:val="left" w:pos="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59" w:lineRule="auto"/>
        <w:rPr>
          <w:rFonts w:asciiTheme="minorHAnsi" w:eastAsiaTheme="minorHAnsi" w:hAnsiTheme="minorHAnsi" w:cstheme="minorHAnsi"/>
          <w:sz w:val="22"/>
          <w:szCs w:val="22"/>
          <w:lang w:val="en-CA"/>
        </w:rPr>
      </w:pPr>
      <w:r w:rsidRPr="00E628AA">
        <w:rPr>
          <w:rFonts w:asciiTheme="minorHAnsi" w:eastAsiaTheme="minorHAnsi" w:hAnsiTheme="minorHAnsi" w:cstheme="minorHAnsi"/>
          <w:sz w:val="22"/>
          <w:szCs w:val="22"/>
          <w:lang w:val="en-CA"/>
        </w:rPr>
        <w:t xml:space="preserve">Gaétane Clément, </w:t>
      </w:r>
    </w:p>
    <w:p w14:paraId="2101C575" w14:textId="77777777" w:rsidR="00CB6909" w:rsidRPr="00E628AA" w:rsidRDefault="00CB6909" w:rsidP="00CB6909">
      <w:pPr>
        <w:keepLines/>
        <w:numPr>
          <w:ilvl w:val="12"/>
          <w:numId w:val="0"/>
        </w:numPr>
        <w:tabs>
          <w:tab w:val="left" w:pos="-1320"/>
          <w:tab w:val="left" w:pos="-720"/>
          <w:tab w:val="left" w:pos="0"/>
          <w:tab w:val="left" w:pos="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360" w:line="259" w:lineRule="auto"/>
        <w:rPr>
          <w:rFonts w:asciiTheme="minorHAnsi" w:eastAsiaTheme="minorHAnsi" w:hAnsiTheme="minorHAnsi" w:cstheme="minorHAnsi"/>
          <w:sz w:val="22"/>
          <w:szCs w:val="22"/>
          <w:lang w:val="en-CA"/>
        </w:rPr>
      </w:pPr>
      <w:r w:rsidRPr="00E628AA">
        <w:rPr>
          <w:rFonts w:asciiTheme="minorHAnsi" w:eastAsiaTheme="minorHAnsi" w:hAnsiTheme="minorHAnsi" w:cstheme="minorHAnsi"/>
          <w:sz w:val="22"/>
          <w:szCs w:val="22"/>
          <w:lang w:val="en-CA"/>
        </w:rPr>
        <w:t>Staffing Support Advisor</w:t>
      </w:r>
    </w:p>
    <w:p w14:paraId="3A426BD1" w14:textId="77777777" w:rsidR="007473E7" w:rsidRPr="00E628AA" w:rsidRDefault="007473E7" w:rsidP="00817B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22"/>
          <w:szCs w:val="22"/>
          <w:lang w:val="en-CA"/>
        </w:rPr>
      </w:pPr>
      <w:r w:rsidRPr="00E628AA">
        <w:rPr>
          <w:rFonts w:asciiTheme="minorHAnsi" w:hAnsiTheme="minorHAnsi" w:cstheme="minorHAnsi"/>
          <w:sz w:val="22"/>
          <w:szCs w:val="22"/>
          <w:lang w:val="en-CA"/>
        </w:rPr>
        <w:t>Annexes:</w:t>
      </w:r>
    </w:p>
    <w:p w14:paraId="12D9AAB8" w14:textId="77777777" w:rsidR="005201F9" w:rsidRPr="005201F9" w:rsidRDefault="005201F9" w:rsidP="00817BAF">
      <w:pPr>
        <w:pStyle w:val="Paragraphedeliste"/>
        <w:numPr>
          <w:ilvl w:val="0"/>
          <w:numId w:val="3"/>
        </w:numPr>
        <w:spacing w:before="120" w:after="0"/>
        <w:rPr>
          <w:rStyle w:val="Lienhypertexte"/>
          <w:rFonts w:ascii="Arial" w:hAnsi="Arial" w:cs="Arial"/>
          <w:sz w:val="22"/>
          <w:szCs w:val="22"/>
          <w:lang w:val="en-CA"/>
        </w:rPr>
      </w:pPr>
      <w:r w:rsidRPr="005201F9">
        <w:rPr>
          <w:rStyle w:val="Lienhypertexte"/>
          <w:rFonts w:asciiTheme="minorHAnsi" w:hAnsiTheme="minorHAnsi" w:cstheme="minorHAnsi"/>
          <w:sz w:val="22"/>
          <w:szCs w:val="22"/>
          <w:lang w:val="en-CA"/>
        </w:rPr>
        <w:t xml:space="preserve">Annex A – The New Direction in Staffing (NDS) highlights for DHs </w:t>
      </w:r>
    </w:p>
    <w:p w14:paraId="6AB8671F" w14:textId="43770A31" w:rsidR="007473E7" w:rsidRPr="005201F9" w:rsidRDefault="00777E1D" w:rsidP="005201F9">
      <w:pPr>
        <w:pStyle w:val="Paragraphedeliste"/>
        <w:numPr>
          <w:ilvl w:val="0"/>
          <w:numId w:val="3"/>
        </w:numPr>
        <w:rPr>
          <w:rFonts w:ascii="Arial" w:hAnsi="Arial" w:cs="Arial"/>
          <w:color w:val="0563C1"/>
          <w:sz w:val="22"/>
          <w:szCs w:val="22"/>
          <w:u w:val="single"/>
          <w:lang w:val="en-CA"/>
        </w:rPr>
      </w:pPr>
      <w:hyperlink w:anchor="AnnexB" w:history="1">
        <w:r w:rsidR="005E5636" w:rsidRPr="005201F9">
          <w:rPr>
            <w:rStyle w:val="Lienhypertexte"/>
            <w:rFonts w:asciiTheme="minorHAnsi" w:hAnsiTheme="minorHAnsi" w:cstheme="minorHAnsi"/>
            <w:sz w:val="22"/>
            <w:szCs w:val="22"/>
            <w:lang w:val="en-CA"/>
          </w:rPr>
          <w:t>Annex B</w:t>
        </w:r>
        <w:r w:rsidR="007473E7" w:rsidRPr="005201F9">
          <w:rPr>
            <w:rStyle w:val="Lienhypertexte"/>
            <w:rFonts w:asciiTheme="minorHAnsi" w:hAnsiTheme="minorHAnsi" w:cstheme="minorHAnsi"/>
            <w:sz w:val="22"/>
            <w:szCs w:val="22"/>
            <w:lang w:val="en-CA"/>
          </w:rPr>
          <w:t xml:space="preserve"> - Data on Population and Staffing Activities</w:t>
        </w:r>
      </w:hyperlink>
      <w:r w:rsidR="00213C6B" w:rsidRPr="005201F9">
        <w:rPr>
          <w:rStyle w:val="Lienhypertexte"/>
          <w:rFonts w:ascii="Arial" w:hAnsi="Arial" w:cs="Arial"/>
          <w:sz w:val="22"/>
          <w:szCs w:val="22"/>
          <w:lang w:val="en-CA"/>
        </w:rPr>
        <w:br w:type="page"/>
      </w:r>
    </w:p>
    <w:p w14:paraId="0C58CF2E" w14:textId="29724393" w:rsidR="007473E7" w:rsidRPr="00E628AA" w:rsidRDefault="005E5636" w:rsidP="00985A43">
      <w:pPr>
        <w:pStyle w:val="Titre3"/>
        <w:jc w:val="right"/>
        <w:rPr>
          <w:lang w:val="en-CA"/>
        </w:rPr>
      </w:pPr>
      <w:bookmarkStart w:id="1" w:name="AnnexC"/>
      <w:bookmarkStart w:id="2" w:name="AnnexA"/>
      <w:r>
        <w:rPr>
          <w:lang w:val="en-CA"/>
        </w:rPr>
        <w:lastRenderedPageBreak/>
        <w:t>Annex A</w:t>
      </w:r>
    </w:p>
    <w:p w14:paraId="4610D72D" w14:textId="77777777" w:rsidR="00C87939" w:rsidRPr="0096778C" w:rsidRDefault="00C87939" w:rsidP="00286237">
      <w:pPr>
        <w:pStyle w:val="Titre2"/>
        <w:spacing w:after="240"/>
        <w:jc w:val="center"/>
        <w:rPr>
          <w:lang w:val="en-CA"/>
        </w:rPr>
      </w:pPr>
      <w:bookmarkStart w:id="3" w:name="_A_New_Direction"/>
      <w:bookmarkEnd w:id="1"/>
      <w:bookmarkEnd w:id="2"/>
      <w:bookmarkEnd w:id="3"/>
      <w:r w:rsidRPr="0096778C">
        <w:rPr>
          <w:lang w:val="en-CA"/>
        </w:rPr>
        <w:t>A New Direction in Staffing - A merit-based system that is effective, efficient and fair</w:t>
      </w:r>
    </w:p>
    <w:p w14:paraId="0F1BAD6C" w14:textId="77777777" w:rsidR="00C87939" w:rsidRPr="00E628AA" w:rsidRDefault="00C87939" w:rsidP="00226CE5">
      <w:pPr>
        <w:pStyle w:val="Titre3"/>
        <w:spacing w:after="120"/>
        <w:rPr>
          <w:lang w:val="en-CA"/>
        </w:rPr>
      </w:pPr>
      <w:r w:rsidRPr="00E628AA">
        <w:rPr>
          <w:lang w:val="en-CA"/>
        </w:rPr>
        <w:t>Appointment Policy</w:t>
      </w:r>
    </w:p>
    <w:p w14:paraId="38511BED" w14:textId="56C56FCA" w:rsidR="00C87939" w:rsidRPr="00E628AA" w:rsidRDefault="00C87939" w:rsidP="00C87939">
      <w:pPr>
        <w:rPr>
          <w:rFonts w:asciiTheme="minorHAnsi" w:hAnsiTheme="minorHAnsi" w:cstheme="minorHAnsi"/>
          <w:sz w:val="22"/>
          <w:szCs w:val="22"/>
          <w:lang w:val="en-CA"/>
        </w:rPr>
      </w:pPr>
      <w:r w:rsidRPr="00E628AA">
        <w:rPr>
          <w:rStyle w:val="lev"/>
          <w:rFonts w:asciiTheme="minorHAnsi" w:hAnsiTheme="minorHAnsi" w:cstheme="minorHAnsi"/>
          <w:sz w:val="22"/>
          <w:szCs w:val="22"/>
          <w:lang w:val="en-CA"/>
        </w:rPr>
        <w:t>New focus on core requirements</w:t>
      </w:r>
      <w:r w:rsidRPr="00E628AA">
        <w:rPr>
          <w:rFonts w:asciiTheme="minorHAnsi" w:hAnsiTheme="minorHAnsi" w:cstheme="minorHAnsi"/>
          <w:sz w:val="22"/>
          <w:szCs w:val="22"/>
          <w:lang w:val="en-CA"/>
        </w:rPr>
        <w:t xml:space="preserve"> to provide sub-delegated persons greater discretion in making an appointment</w:t>
      </w:r>
    </w:p>
    <w:p w14:paraId="1AA9217A" w14:textId="77777777" w:rsidR="00C87939" w:rsidRPr="00E628AA" w:rsidRDefault="00C87939" w:rsidP="00226CE5">
      <w:pPr>
        <w:pStyle w:val="Paragraphedeliste"/>
        <w:numPr>
          <w:ilvl w:val="0"/>
          <w:numId w:val="21"/>
        </w:numPr>
        <w:spacing w:after="160" w:line="259" w:lineRule="auto"/>
        <w:rPr>
          <w:rFonts w:asciiTheme="minorHAnsi" w:hAnsiTheme="minorHAnsi" w:cstheme="minorHAnsi"/>
          <w:sz w:val="22"/>
          <w:szCs w:val="22"/>
          <w:lang w:val="en-CA"/>
        </w:rPr>
      </w:pPr>
      <w:r w:rsidRPr="00E628AA">
        <w:rPr>
          <w:rStyle w:val="lev"/>
          <w:rFonts w:asciiTheme="minorHAnsi" w:hAnsiTheme="minorHAnsi" w:cstheme="minorHAnsi"/>
          <w:sz w:val="22"/>
          <w:szCs w:val="22"/>
          <w:lang w:val="en-CA"/>
        </w:rPr>
        <w:t>One Appointment Policy</w:t>
      </w:r>
      <w:r w:rsidRPr="00E628AA">
        <w:rPr>
          <w:rFonts w:asciiTheme="minorHAnsi" w:hAnsiTheme="minorHAnsi" w:cstheme="minorHAnsi"/>
          <w:sz w:val="22"/>
          <w:szCs w:val="22"/>
          <w:lang w:val="en-CA"/>
        </w:rPr>
        <w:t xml:space="preserve">, no duplication with legal requirements </w:t>
      </w:r>
    </w:p>
    <w:p w14:paraId="6575F8A5" w14:textId="77777777" w:rsidR="00C87939" w:rsidRPr="00E628AA" w:rsidRDefault="00C87939" w:rsidP="00226CE5">
      <w:pPr>
        <w:pStyle w:val="Paragraphedeliste"/>
        <w:numPr>
          <w:ilvl w:val="0"/>
          <w:numId w:val="21"/>
        </w:numPr>
        <w:spacing w:after="160" w:line="259" w:lineRule="auto"/>
        <w:rPr>
          <w:rFonts w:asciiTheme="minorHAnsi" w:hAnsiTheme="minorHAnsi" w:cstheme="minorHAnsi"/>
          <w:sz w:val="22"/>
          <w:szCs w:val="22"/>
          <w:lang w:val="en-CA"/>
        </w:rPr>
      </w:pPr>
      <w:r w:rsidRPr="00E628AA">
        <w:rPr>
          <w:rStyle w:val="lev"/>
          <w:rFonts w:asciiTheme="minorHAnsi" w:hAnsiTheme="minorHAnsi" w:cstheme="minorHAnsi"/>
          <w:sz w:val="22"/>
          <w:szCs w:val="22"/>
          <w:lang w:val="en-CA"/>
        </w:rPr>
        <w:t>Broader focus on values-based system</w:t>
      </w:r>
      <w:r w:rsidRPr="00E628AA">
        <w:rPr>
          <w:rFonts w:asciiTheme="minorHAnsi" w:hAnsiTheme="minorHAnsi" w:cstheme="minorHAnsi"/>
          <w:sz w:val="22"/>
          <w:szCs w:val="22"/>
          <w:lang w:val="en-CA"/>
        </w:rPr>
        <w:t>, away from rules-based system</w:t>
      </w:r>
      <w:r w:rsidRPr="00E628AA">
        <w:rPr>
          <w:rFonts w:asciiTheme="minorHAnsi" w:hAnsiTheme="minorHAnsi" w:cstheme="minorHAnsi"/>
          <w:b/>
          <w:sz w:val="22"/>
          <w:szCs w:val="22"/>
          <w:lang w:val="en-CA"/>
        </w:rPr>
        <w:t xml:space="preserve"> </w:t>
      </w:r>
    </w:p>
    <w:p w14:paraId="79D0BC09" w14:textId="77777777" w:rsidR="00C87939" w:rsidRPr="00E628AA" w:rsidRDefault="00C87939" w:rsidP="00226CE5">
      <w:pPr>
        <w:pStyle w:val="Paragraphedeliste"/>
        <w:numPr>
          <w:ilvl w:val="0"/>
          <w:numId w:val="21"/>
        </w:numPr>
        <w:spacing w:after="160" w:line="259" w:lineRule="auto"/>
        <w:rPr>
          <w:rFonts w:asciiTheme="minorHAnsi" w:hAnsiTheme="minorHAnsi" w:cstheme="minorHAnsi"/>
          <w:sz w:val="22"/>
          <w:szCs w:val="22"/>
          <w:lang w:val="en-CA"/>
        </w:rPr>
      </w:pPr>
      <w:r w:rsidRPr="00E628AA">
        <w:rPr>
          <w:rFonts w:asciiTheme="minorHAnsi" w:hAnsiTheme="minorHAnsi" w:cstheme="minorHAnsi"/>
          <w:sz w:val="22"/>
          <w:szCs w:val="22"/>
          <w:lang w:val="en-CA"/>
        </w:rPr>
        <w:t xml:space="preserve">Appointment Policy supported by </w:t>
      </w:r>
      <w:r w:rsidRPr="00E628AA">
        <w:rPr>
          <w:rStyle w:val="lev"/>
          <w:rFonts w:asciiTheme="minorHAnsi" w:hAnsiTheme="minorHAnsi" w:cstheme="minorHAnsi"/>
          <w:sz w:val="22"/>
          <w:szCs w:val="22"/>
          <w:lang w:val="en-CA"/>
        </w:rPr>
        <w:t>streamlined guidance</w:t>
      </w:r>
      <w:r w:rsidRPr="00E628AA">
        <w:rPr>
          <w:rFonts w:asciiTheme="minorHAnsi" w:hAnsiTheme="minorHAnsi" w:cstheme="minorHAnsi"/>
          <w:b/>
          <w:sz w:val="22"/>
          <w:szCs w:val="22"/>
          <w:lang w:val="en-CA"/>
        </w:rPr>
        <w:t>:</w:t>
      </w:r>
      <w:r w:rsidRPr="00E628AA">
        <w:rPr>
          <w:rFonts w:asciiTheme="minorHAnsi" w:hAnsiTheme="minorHAnsi" w:cstheme="minorHAnsi"/>
          <w:sz w:val="22"/>
          <w:szCs w:val="22"/>
          <w:lang w:val="en-CA"/>
        </w:rPr>
        <w:t xml:space="preserve"> </w:t>
      </w:r>
    </w:p>
    <w:p w14:paraId="57CAAD43" w14:textId="77777777" w:rsidR="00C87939" w:rsidRPr="00E628AA" w:rsidRDefault="00C87939" w:rsidP="00226CE5">
      <w:pPr>
        <w:pStyle w:val="Paragraphedeliste"/>
        <w:numPr>
          <w:ilvl w:val="1"/>
          <w:numId w:val="21"/>
        </w:numPr>
        <w:spacing w:after="160" w:line="259" w:lineRule="auto"/>
        <w:rPr>
          <w:rFonts w:asciiTheme="minorHAnsi" w:hAnsiTheme="minorHAnsi" w:cstheme="minorHAnsi"/>
          <w:sz w:val="22"/>
          <w:szCs w:val="22"/>
          <w:lang w:val="en-CA"/>
        </w:rPr>
      </w:pPr>
      <w:r w:rsidRPr="00E628AA">
        <w:rPr>
          <w:rFonts w:asciiTheme="minorHAnsi" w:hAnsiTheme="minorHAnsi" w:cstheme="minorHAnsi"/>
          <w:sz w:val="22"/>
          <w:szCs w:val="22"/>
          <w:lang w:val="en-CA"/>
        </w:rPr>
        <w:t>A roadmap to the requirements in legislation, regulations and policy</w:t>
      </w:r>
    </w:p>
    <w:p w14:paraId="1565D742" w14:textId="77777777" w:rsidR="00C87939" w:rsidRPr="00E628AA" w:rsidRDefault="00C87939" w:rsidP="00226CE5">
      <w:pPr>
        <w:pStyle w:val="Paragraphedeliste"/>
        <w:numPr>
          <w:ilvl w:val="1"/>
          <w:numId w:val="21"/>
        </w:numPr>
        <w:spacing w:after="160" w:line="259" w:lineRule="auto"/>
        <w:rPr>
          <w:rFonts w:asciiTheme="minorHAnsi" w:hAnsiTheme="minorHAnsi" w:cstheme="minorHAnsi"/>
          <w:sz w:val="22"/>
          <w:szCs w:val="22"/>
          <w:lang w:val="en-CA"/>
        </w:rPr>
      </w:pPr>
      <w:r w:rsidRPr="00E628AA">
        <w:rPr>
          <w:rFonts w:asciiTheme="minorHAnsi" w:hAnsiTheme="minorHAnsi" w:cstheme="minorHAnsi"/>
          <w:sz w:val="22"/>
          <w:szCs w:val="22"/>
          <w:lang w:val="en-CA"/>
        </w:rPr>
        <w:t>Options and considerations for decision-making where there is discretion</w:t>
      </w:r>
    </w:p>
    <w:p w14:paraId="7EFFB260" w14:textId="77777777" w:rsidR="00C87939" w:rsidRPr="00E628AA" w:rsidRDefault="00C87939" w:rsidP="00226CE5">
      <w:pPr>
        <w:pStyle w:val="Paragraphedeliste"/>
        <w:numPr>
          <w:ilvl w:val="0"/>
          <w:numId w:val="21"/>
        </w:numPr>
        <w:spacing w:after="160" w:line="259" w:lineRule="auto"/>
        <w:rPr>
          <w:rFonts w:asciiTheme="minorHAnsi" w:hAnsiTheme="minorHAnsi" w:cstheme="minorHAnsi"/>
          <w:sz w:val="22"/>
          <w:szCs w:val="22"/>
          <w:lang w:val="en-CA"/>
        </w:rPr>
      </w:pPr>
      <w:r w:rsidRPr="00E628AA">
        <w:rPr>
          <w:rStyle w:val="lev"/>
          <w:rFonts w:asciiTheme="minorHAnsi" w:hAnsiTheme="minorHAnsi" w:cstheme="minorHAnsi"/>
          <w:sz w:val="22"/>
          <w:szCs w:val="22"/>
          <w:lang w:val="en-CA"/>
        </w:rPr>
        <w:t>Clear expectations</w:t>
      </w:r>
      <w:r w:rsidRPr="00E628AA">
        <w:rPr>
          <w:rFonts w:asciiTheme="minorHAnsi" w:hAnsiTheme="minorHAnsi" w:cstheme="minorHAnsi"/>
          <w:sz w:val="22"/>
          <w:szCs w:val="22"/>
          <w:lang w:val="en-CA"/>
        </w:rPr>
        <w:t xml:space="preserve"> for priority entitlements</w:t>
      </w:r>
    </w:p>
    <w:p w14:paraId="326AFDF1" w14:textId="77777777" w:rsidR="00C87939" w:rsidRPr="00E628AA" w:rsidRDefault="00C87939" w:rsidP="00226CE5">
      <w:pPr>
        <w:pStyle w:val="Paragraphedeliste"/>
        <w:numPr>
          <w:ilvl w:val="0"/>
          <w:numId w:val="21"/>
        </w:numPr>
        <w:spacing w:after="160" w:line="259" w:lineRule="auto"/>
        <w:rPr>
          <w:rFonts w:asciiTheme="minorHAnsi" w:hAnsiTheme="minorHAnsi" w:cstheme="minorHAnsi"/>
          <w:sz w:val="22"/>
          <w:szCs w:val="22"/>
          <w:lang w:val="en-CA"/>
        </w:rPr>
      </w:pPr>
      <w:r w:rsidRPr="00E628AA">
        <w:rPr>
          <w:rFonts w:asciiTheme="minorHAnsi" w:hAnsiTheme="minorHAnsi" w:cstheme="minorHAnsi"/>
          <w:sz w:val="22"/>
          <w:szCs w:val="22"/>
          <w:lang w:val="en-CA"/>
        </w:rPr>
        <w:t>No restrictions to assessment methods for EX appointments</w:t>
      </w:r>
    </w:p>
    <w:p w14:paraId="4D9CE423" w14:textId="77777777" w:rsidR="00C87939" w:rsidRPr="00E628AA" w:rsidRDefault="00C87939" w:rsidP="00226CE5">
      <w:pPr>
        <w:pStyle w:val="Paragraphedeliste"/>
        <w:numPr>
          <w:ilvl w:val="0"/>
          <w:numId w:val="21"/>
        </w:numPr>
        <w:spacing w:after="240" w:line="259" w:lineRule="auto"/>
        <w:rPr>
          <w:rFonts w:asciiTheme="minorHAnsi" w:hAnsiTheme="minorHAnsi" w:cstheme="minorHAnsi"/>
          <w:sz w:val="22"/>
          <w:szCs w:val="22"/>
          <w:lang w:val="en-CA"/>
        </w:rPr>
      </w:pPr>
      <w:r w:rsidRPr="00E628AA">
        <w:rPr>
          <w:rFonts w:asciiTheme="minorHAnsi" w:hAnsiTheme="minorHAnsi" w:cstheme="minorHAnsi"/>
          <w:sz w:val="22"/>
          <w:szCs w:val="22"/>
          <w:lang w:val="en-CA"/>
        </w:rPr>
        <w:t>Exceptions to National Area of Selection approved by deputy head</w:t>
      </w:r>
    </w:p>
    <w:p w14:paraId="30DF67B1" w14:textId="188121A7" w:rsidR="00C87939" w:rsidRPr="00E628AA" w:rsidRDefault="00C87939" w:rsidP="00226CE5">
      <w:pPr>
        <w:pStyle w:val="Titre3"/>
        <w:spacing w:after="120"/>
        <w:rPr>
          <w:rFonts w:ascii="Arial" w:hAnsi="Arial" w:cs="Arial"/>
          <w:sz w:val="16"/>
          <w:szCs w:val="16"/>
          <w:lang w:val="en-CA"/>
        </w:rPr>
      </w:pPr>
      <w:r w:rsidRPr="00E628AA">
        <w:rPr>
          <w:lang w:val="en-CA"/>
        </w:rPr>
        <w:t>Delegation</w:t>
      </w:r>
    </w:p>
    <w:p w14:paraId="0599CCCB" w14:textId="77777777" w:rsidR="00C87939" w:rsidRPr="00E628AA" w:rsidRDefault="00C87939" w:rsidP="00226CE5">
      <w:pPr>
        <w:pStyle w:val="Paragraphedeliste"/>
        <w:numPr>
          <w:ilvl w:val="0"/>
          <w:numId w:val="22"/>
        </w:numPr>
        <w:spacing w:after="240"/>
        <w:rPr>
          <w:rFonts w:asciiTheme="minorHAnsi" w:hAnsiTheme="minorHAnsi" w:cstheme="minorHAnsi"/>
          <w:sz w:val="22"/>
          <w:szCs w:val="22"/>
          <w:lang w:val="en-CA"/>
        </w:rPr>
      </w:pPr>
      <w:r w:rsidRPr="00E628AA">
        <w:rPr>
          <w:rStyle w:val="lev"/>
          <w:rFonts w:asciiTheme="minorHAnsi" w:hAnsiTheme="minorHAnsi" w:cstheme="minorHAnsi"/>
          <w:sz w:val="22"/>
          <w:szCs w:val="22"/>
          <w:lang w:val="en-CA"/>
        </w:rPr>
        <w:t>New ability to customize organizational staffing system</w:t>
      </w:r>
      <w:r w:rsidRPr="00E628AA">
        <w:rPr>
          <w:rFonts w:asciiTheme="minorHAnsi" w:hAnsiTheme="minorHAnsi" w:cstheme="minorHAnsi"/>
          <w:sz w:val="22"/>
          <w:szCs w:val="22"/>
          <w:lang w:val="en-CA"/>
        </w:rPr>
        <w:t xml:space="preserve"> based on unique context and evolving business needs </w:t>
      </w:r>
    </w:p>
    <w:p w14:paraId="7852408A" w14:textId="77777777" w:rsidR="00C87939" w:rsidRPr="00E628AA" w:rsidRDefault="00C87939" w:rsidP="00226CE5">
      <w:pPr>
        <w:pStyle w:val="Paragraphedeliste"/>
        <w:numPr>
          <w:ilvl w:val="0"/>
          <w:numId w:val="22"/>
        </w:numPr>
        <w:spacing w:after="160" w:line="259" w:lineRule="auto"/>
        <w:rPr>
          <w:rFonts w:asciiTheme="minorHAnsi" w:hAnsiTheme="minorHAnsi" w:cstheme="minorHAnsi"/>
          <w:sz w:val="22"/>
          <w:szCs w:val="22"/>
          <w:lang w:val="en-CA"/>
        </w:rPr>
      </w:pPr>
      <w:r w:rsidRPr="00E628AA">
        <w:rPr>
          <w:rFonts w:asciiTheme="minorHAnsi" w:hAnsiTheme="minorHAnsi" w:cstheme="minorHAnsi"/>
          <w:sz w:val="22"/>
          <w:szCs w:val="22"/>
          <w:lang w:val="en-CA"/>
        </w:rPr>
        <w:t xml:space="preserve">Deputy head to establish a direction on the </w:t>
      </w:r>
      <w:r w:rsidRPr="00E628AA">
        <w:rPr>
          <w:rStyle w:val="lev"/>
          <w:rFonts w:asciiTheme="minorHAnsi" w:hAnsiTheme="minorHAnsi" w:cstheme="minorHAnsi"/>
          <w:sz w:val="22"/>
          <w:szCs w:val="22"/>
          <w:lang w:val="en-CA"/>
        </w:rPr>
        <w:t>use of advertised and non-advertised</w:t>
      </w:r>
      <w:r w:rsidRPr="00E628AA">
        <w:rPr>
          <w:rFonts w:asciiTheme="minorHAnsi" w:hAnsiTheme="minorHAnsi" w:cstheme="minorHAnsi"/>
          <w:sz w:val="22"/>
          <w:szCs w:val="22"/>
          <w:lang w:val="en-CA"/>
        </w:rPr>
        <w:t xml:space="preserve"> appointment processes </w:t>
      </w:r>
    </w:p>
    <w:p w14:paraId="0682E233" w14:textId="77777777" w:rsidR="00C87939" w:rsidRPr="00E628AA" w:rsidRDefault="00C87939" w:rsidP="00226CE5">
      <w:pPr>
        <w:pStyle w:val="Paragraphedeliste"/>
        <w:numPr>
          <w:ilvl w:val="0"/>
          <w:numId w:val="22"/>
        </w:numPr>
        <w:spacing w:after="160" w:line="259" w:lineRule="auto"/>
        <w:rPr>
          <w:rStyle w:val="lev"/>
          <w:rFonts w:asciiTheme="minorHAnsi" w:hAnsiTheme="minorHAnsi" w:cstheme="minorHAnsi"/>
          <w:sz w:val="22"/>
          <w:szCs w:val="22"/>
          <w:lang w:val="en-CA"/>
        </w:rPr>
      </w:pPr>
      <w:r w:rsidRPr="00E628AA">
        <w:rPr>
          <w:rFonts w:asciiTheme="minorHAnsi" w:hAnsiTheme="minorHAnsi" w:cstheme="minorHAnsi"/>
          <w:sz w:val="22"/>
          <w:szCs w:val="22"/>
          <w:lang w:val="en-CA"/>
        </w:rPr>
        <w:t xml:space="preserve">Deputy head to establish requirement(s) for sub-delegated persons to </w:t>
      </w:r>
      <w:r w:rsidRPr="00E628AA">
        <w:rPr>
          <w:rStyle w:val="lev"/>
          <w:rFonts w:asciiTheme="minorHAnsi" w:hAnsiTheme="minorHAnsi" w:cstheme="minorHAnsi"/>
          <w:sz w:val="22"/>
          <w:szCs w:val="22"/>
          <w:lang w:val="en-CA"/>
        </w:rPr>
        <w:t xml:space="preserve">articulate, in writing, their selection decision </w:t>
      </w:r>
    </w:p>
    <w:p w14:paraId="662C7FF0" w14:textId="77777777" w:rsidR="00C87939" w:rsidRPr="00E628AA" w:rsidRDefault="00C87939" w:rsidP="00226CE5">
      <w:pPr>
        <w:pStyle w:val="Paragraphedeliste"/>
        <w:numPr>
          <w:ilvl w:val="0"/>
          <w:numId w:val="22"/>
        </w:numPr>
        <w:spacing w:after="160" w:line="259" w:lineRule="auto"/>
        <w:rPr>
          <w:rFonts w:asciiTheme="minorHAnsi" w:hAnsiTheme="minorHAnsi" w:cstheme="minorHAnsi"/>
          <w:sz w:val="22"/>
          <w:szCs w:val="22"/>
          <w:lang w:val="en-CA"/>
        </w:rPr>
      </w:pPr>
      <w:r w:rsidRPr="00E628AA">
        <w:rPr>
          <w:rFonts w:asciiTheme="minorHAnsi" w:hAnsiTheme="minorHAnsi" w:cstheme="minorHAnsi"/>
          <w:sz w:val="22"/>
          <w:szCs w:val="22"/>
          <w:lang w:val="en-CA"/>
        </w:rPr>
        <w:t>Clarity on requirements related to investigations</w:t>
      </w:r>
    </w:p>
    <w:p w14:paraId="543509FB" w14:textId="77777777" w:rsidR="00C87939" w:rsidRPr="00E628AA" w:rsidRDefault="00C87939" w:rsidP="00226CE5">
      <w:pPr>
        <w:pStyle w:val="Paragraphedeliste"/>
        <w:numPr>
          <w:ilvl w:val="0"/>
          <w:numId w:val="22"/>
        </w:numPr>
        <w:spacing w:line="259" w:lineRule="auto"/>
        <w:rPr>
          <w:rFonts w:asciiTheme="minorHAnsi" w:hAnsiTheme="minorHAnsi" w:cstheme="minorHAnsi"/>
          <w:sz w:val="22"/>
          <w:szCs w:val="22"/>
          <w:lang w:val="en-CA"/>
        </w:rPr>
      </w:pPr>
      <w:r w:rsidRPr="00E628AA">
        <w:rPr>
          <w:rStyle w:val="lev"/>
          <w:rFonts w:asciiTheme="minorHAnsi" w:hAnsiTheme="minorHAnsi" w:cstheme="minorHAnsi"/>
          <w:sz w:val="22"/>
          <w:szCs w:val="22"/>
          <w:lang w:val="en-CA"/>
        </w:rPr>
        <w:t>Attestation form</w:t>
      </w:r>
      <w:r w:rsidRPr="00E628AA">
        <w:rPr>
          <w:rFonts w:asciiTheme="minorHAnsi" w:hAnsiTheme="minorHAnsi" w:cstheme="minorHAnsi"/>
          <w:sz w:val="22"/>
          <w:szCs w:val="22"/>
          <w:lang w:val="en-CA"/>
        </w:rPr>
        <w:t xml:space="preserve"> to reinforce the accountabilities of sub-delegated persons </w:t>
      </w:r>
    </w:p>
    <w:p w14:paraId="11CCBC53" w14:textId="77777777" w:rsidR="00C87939" w:rsidRPr="00E628AA" w:rsidRDefault="00C87939" w:rsidP="00226CE5">
      <w:pPr>
        <w:spacing w:after="360"/>
        <w:ind w:right="-202"/>
        <w:rPr>
          <w:rFonts w:asciiTheme="minorHAnsi" w:hAnsiTheme="minorHAnsi" w:cstheme="minorHAnsi"/>
          <w:sz w:val="22"/>
          <w:szCs w:val="22"/>
          <w:lang w:val="en-CA"/>
        </w:rPr>
      </w:pPr>
      <w:r w:rsidRPr="00E628AA">
        <w:rPr>
          <w:rFonts w:asciiTheme="minorHAnsi" w:hAnsiTheme="minorHAnsi" w:cstheme="minorHAnsi"/>
          <w:sz w:val="22"/>
          <w:szCs w:val="22"/>
          <w:lang w:val="en-CA"/>
        </w:rPr>
        <w:t>All PSC monitoring and reporting requirements now found in the Appointment Delegation and Accountability Instrument</w:t>
      </w:r>
    </w:p>
    <w:p w14:paraId="15F84326" w14:textId="77777777" w:rsidR="00C87939" w:rsidRPr="00E628AA" w:rsidRDefault="00C87939" w:rsidP="00226CE5">
      <w:pPr>
        <w:pStyle w:val="Titre3"/>
        <w:spacing w:after="120"/>
        <w:rPr>
          <w:lang w:val="en-CA"/>
        </w:rPr>
      </w:pPr>
      <w:r w:rsidRPr="00E628AA">
        <w:rPr>
          <w:lang w:val="en-CA"/>
        </w:rPr>
        <w:t>Monitoring and Reporting</w:t>
      </w:r>
    </w:p>
    <w:p w14:paraId="13EDE414" w14:textId="5B7F4785" w:rsidR="00C87939" w:rsidRPr="00E628AA" w:rsidRDefault="00C87939" w:rsidP="009E20C4">
      <w:pPr>
        <w:spacing w:after="160"/>
        <w:rPr>
          <w:rFonts w:asciiTheme="minorHAnsi" w:hAnsiTheme="minorHAnsi" w:cstheme="minorHAnsi"/>
          <w:b/>
          <w:sz w:val="22"/>
          <w:szCs w:val="22"/>
          <w:lang w:val="en-CA"/>
        </w:rPr>
      </w:pPr>
      <w:r w:rsidRPr="00E628AA">
        <w:rPr>
          <w:rStyle w:val="lev"/>
          <w:rFonts w:asciiTheme="minorHAnsi" w:hAnsiTheme="minorHAnsi" w:cstheme="minorHAnsi"/>
          <w:sz w:val="22"/>
          <w:szCs w:val="22"/>
          <w:lang w:val="en-CA"/>
        </w:rPr>
        <w:t>Monitoring built by organizations,</w:t>
      </w:r>
      <w:r w:rsidRPr="00E628AA">
        <w:rPr>
          <w:rFonts w:asciiTheme="minorHAnsi" w:hAnsiTheme="minorHAnsi" w:cstheme="minorHAnsi"/>
          <w:sz w:val="22"/>
          <w:szCs w:val="22"/>
          <w:lang w:val="en-CA"/>
        </w:rPr>
        <w:t xml:space="preserve"> targeted to their needs</w:t>
      </w:r>
    </w:p>
    <w:p w14:paraId="285395A7" w14:textId="77777777" w:rsidR="00C87939" w:rsidRPr="00E628AA" w:rsidRDefault="00C87939" w:rsidP="00226CE5">
      <w:pPr>
        <w:pStyle w:val="Paragraphedeliste"/>
        <w:numPr>
          <w:ilvl w:val="0"/>
          <w:numId w:val="23"/>
        </w:numPr>
        <w:spacing w:after="160" w:line="259" w:lineRule="auto"/>
        <w:rPr>
          <w:rFonts w:asciiTheme="minorHAnsi" w:hAnsiTheme="minorHAnsi" w:cstheme="minorHAnsi"/>
          <w:sz w:val="22"/>
          <w:szCs w:val="22"/>
          <w:lang w:val="en-CA"/>
        </w:rPr>
      </w:pPr>
      <w:r w:rsidRPr="00E628AA">
        <w:rPr>
          <w:rFonts w:asciiTheme="minorHAnsi" w:hAnsiTheme="minorHAnsi" w:cstheme="minorHAnsi"/>
          <w:sz w:val="22"/>
          <w:szCs w:val="22"/>
          <w:lang w:val="en-CA"/>
        </w:rPr>
        <w:t>Annual Departmental Staffing  Accountability Report no longer required</w:t>
      </w:r>
    </w:p>
    <w:p w14:paraId="29A0FEF6" w14:textId="77777777" w:rsidR="00C87939" w:rsidRPr="00E628AA" w:rsidRDefault="00C87939" w:rsidP="00226CE5">
      <w:pPr>
        <w:pStyle w:val="Paragraphedeliste"/>
        <w:numPr>
          <w:ilvl w:val="0"/>
          <w:numId w:val="23"/>
        </w:numPr>
        <w:spacing w:after="160" w:line="259" w:lineRule="auto"/>
        <w:rPr>
          <w:rFonts w:asciiTheme="minorHAnsi" w:hAnsiTheme="minorHAnsi" w:cstheme="minorHAnsi"/>
          <w:sz w:val="22"/>
          <w:szCs w:val="22"/>
          <w:lang w:val="en-CA"/>
        </w:rPr>
      </w:pPr>
      <w:r w:rsidRPr="00E628AA">
        <w:rPr>
          <w:rStyle w:val="lev"/>
          <w:rFonts w:asciiTheme="minorHAnsi" w:hAnsiTheme="minorHAnsi" w:cstheme="minorHAnsi"/>
          <w:sz w:val="22"/>
          <w:szCs w:val="22"/>
          <w:lang w:val="en-CA"/>
        </w:rPr>
        <w:t>Annual reporting to the PSC limited</w:t>
      </w:r>
      <w:r w:rsidRPr="00E628AA">
        <w:rPr>
          <w:rFonts w:asciiTheme="minorHAnsi" w:hAnsiTheme="minorHAnsi" w:cstheme="minorHAnsi"/>
          <w:sz w:val="22"/>
          <w:szCs w:val="22"/>
          <w:lang w:val="en-CA"/>
        </w:rPr>
        <w:t xml:space="preserve"> to:</w:t>
      </w:r>
    </w:p>
    <w:p w14:paraId="2061EE4C" w14:textId="77777777" w:rsidR="00C87939" w:rsidRPr="00E628AA" w:rsidRDefault="00C87939" w:rsidP="00226CE5">
      <w:pPr>
        <w:pStyle w:val="Paragraphedeliste"/>
        <w:numPr>
          <w:ilvl w:val="1"/>
          <w:numId w:val="24"/>
        </w:numPr>
        <w:spacing w:after="160" w:line="259" w:lineRule="auto"/>
        <w:rPr>
          <w:rFonts w:asciiTheme="minorHAnsi" w:hAnsiTheme="minorHAnsi" w:cstheme="minorHAnsi"/>
          <w:sz w:val="22"/>
          <w:szCs w:val="22"/>
          <w:lang w:val="en-CA"/>
        </w:rPr>
      </w:pPr>
      <w:r w:rsidRPr="00E628AA">
        <w:rPr>
          <w:rFonts w:asciiTheme="minorHAnsi" w:hAnsiTheme="minorHAnsi" w:cstheme="minorHAnsi"/>
          <w:sz w:val="22"/>
          <w:szCs w:val="22"/>
          <w:lang w:val="en-CA"/>
        </w:rPr>
        <w:t>use of Public Service Official Languages Exclusion Approval Order</w:t>
      </w:r>
    </w:p>
    <w:p w14:paraId="67FFA5A9" w14:textId="77777777" w:rsidR="00C87939" w:rsidRPr="00E628AA" w:rsidRDefault="00C87939" w:rsidP="00226CE5">
      <w:pPr>
        <w:pStyle w:val="Paragraphedeliste"/>
        <w:numPr>
          <w:ilvl w:val="1"/>
          <w:numId w:val="24"/>
        </w:numPr>
        <w:spacing w:after="160" w:line="259" w:lineRule="auto"/>
        <w:rPr>
          <w:rFonts w:asciiTheme="minorHAnsi" w:hAnsiTheme="minorHAnsi" w:cstheme="minorHAnsi"/>
          <w:sz w:val="22"/>
          <w:szCs w:val="22"/>
          <w:lang w:val="en-CA"/>
        </w:rPr>
      </w:pPr>
      <w:r w:rsidRPr="00E628AA">
        <w:rPr>
          <w:rFonts w:asciiTheme="minorHAnsi" w:hAnsiTheme="minorHAnsi" w:cstheme="minorHAnsi"/>
          <w:sz w:val="22"/>
          <w:szCs w:val="22"/>
          <w:lang w:val="en-CA"/>
        </w:rPr>
        <w:t>exceptions to the National Area of Selection approved by the deputy head</w:t>
      </w:r>
    </w:p>
    <w:p w14:paraId="55832C3F" w14:textId="77777777" w:rsidR="00C87939" w:rsidRPr="00E628AA" w:rsidRDefault="00C87939" w:rsidP="00226CE5">
      <w:pPr>
        <w:pStyle w:val="Paragraphedeliste"/>
        <w:numPr>
          <w:ilvl w:val="1"/>
          <w:numId w:val="24"/>
        </w:numPr>
        <w:spacing w:after="160" w:line="259" w:lineRule="auto"/>
        <w:rPr>
          <w:rFonts w:asciiTheme="minorHAnsi" w:hAnsiTheme="minorHAnsi" w:cstheme="minorHAnsi"/>
          <w:sz w:val="22"/>
          <w:szCs w:val="22"/>
          <w:lang w:val="en-CA"/>
        </w:rPr>
      </w:pPr>
      <w:r w:rsidRPr="00E628AA">
        <w:rPr>
          <w:rFonts w:asciiTheme="minorHAnsi" w:hAnsiTheme="minorHAnsi" w:cstheme="minorHAnsi"/>
          <w:sz w:val="22"/>
          <w:szCs w:val="22"/>
          <w:lang w:val="en-CA"/>
        </w:rPr>
        <w:t>results of any internal investigations</w:t>
      </w:r>
    </w:p>
    <w:p w14:paraId="0F4CEF8A" w14:textId="437AAC2D" w:rsidR="00C87939" w:rsidRPr="00E628AA" w:rsidRDefault="00C87939" w:rsidP="00C87939">
      <w:pPr>
        <w:pStyle w:val="Paragraphedeliste"/>
        <w:numPr>
          <w:ilvl w:val="1"/>
          <w:numId w:val="24"/>
        </w:numPr>
        <w:spacing w:after="160" w:line="259" w:lineRule="auto"/>
        <w:rPr>
          <w:rFonts w:asciiTheme="minorHAnsi" w:hAnsiTheme="minorHAnsi" w:cstheme="minorHAnsi"/>
          <w:sz w:val="22"/>
          <w:szCs w:val="22"/>
          <w:lang w:val="en-CA"/>
        </w:rPr>
      </w:pPr>
      <w:r w:rsidRPr="00E628AA">
        <w:rPr>
          <w:rFonts w:asciiTheme="minorHAnsi" w:hAnsiTheme="minorHAnsi" w:cstheme="minorHAnsi"/>
          <w:sz w:val="22"/>
          <w:szCs w:val="22"/>
          <w:lang w:val="en-CA"/>
        </w:rPr>
        <w:t>Actions taken following any PSC investigations or audits.</w:t>
      </w:r>
    </w:p>
    <w:p w14:paraId="158E48B1" w14:textId="77777777" w:rsidR="00C87939" w:rsidRPr="00E628AA" w:rsidRDefault="00C87939" w:rsidP="00226CE5">
      <w:pPr>
        <w:pStyle w:val="Paragraphedeliste"/>
        <w:numPr>
          <w:ilvl w:val="0"/>
          <w:numId w:val="25"/>
        </w:numPr>
        <w:spacing w:after="160" w:line="259" w:lineRule="auto"/>
        <w:rPr>
          <w:rFonts w:asciiTheme="minorHAnsi" w:hAnsiTheme="minorHAnsi" w:cstheme="minorHAnsi"/>
          <w:sz w:val="22"/>
          <w:szCs w:val="22"/>
          <w:lang w:val="en-CA"/>
        </w:rPr>
      </w:pPr>
      <w:r w:rsidRPr="00E628AA">
        <w:rPr>
          <w:rFonts w:asciiTheme="minorHAnsi" w:hAnsiTheme="minorHAnsi" w:cstheme="minorHAnsi"/>
          <w:sz w:val="22"/>
          <w:szCs w:val="22"/>
          <w:lang w:val="en-CA"/>
        </w:rPr>
        <w:t>Deputy head responsible for</w:t>
      </w:r>
      <w:r w:rsidRPr="00E628AA">
        <w:rPr>
          <w:rFonts w:asciiTheme="minorHAnsi" w:hAnsiTheme="minorHAnsi" w:cstheme="minorHAnsi"/>
          <w:b/>
          <w:sz w:val="22"/>
          <w:szCs w:val="22"/>
          <w:lang w:val="en-CA"/>
        </w:rPr>
        <w:t xml:space="preserve"> </w:t>
      </w:r>
      <w:r w:rsidRPr="00E628AA">
        <w:rPr>
          <w:rStyle w:val="lev"/>
          <w:rFonts w:asciiTheme="minorHAnsi" w:hAnsiTheme="minorHAnsi" w:cstheme="minorHAnsi"/>
          <w:sz w:val="22"/>
          <w:szCs w:val="22"/>
          <w:lang w:val="en-CA"/>
        </w:rPr>
        <w:t>ongoing monitoring of organizational staffing system</w:t>
      </w:r>
      <w:r w:rsidRPr="00E628AA">
        <w:rPr>
          <w:rFonts w:asciiTheme="minorHAnsi" w:hAnsiTheme="minorHAnsi" w:cstheme="minorHAnsi"/>
          <w:sz w:val="22"/>
          <w:szCs w:val="22"/>
          <w:lang w:val="en-CA"/>
        </w:rPr>
        <w:t xml:space="preserve"> based on the organization’s unique context </w:t>
      </w:r>
    </w:p>
    <w:p w14:paraId="0E8773B0" w14:textId="39D4A0A5" w:rsidR="00C87939" w:rsidRPr="00E628AA" w:rsidRDefault="00226CE5" w:rsidP="00226CE5">
      <w:pPr>
        <w:pStyle w:val="Paragraphedeliste"/>
        <w:numPr>
          <w:ilvl w:val="1"/>
          <w:numId w:val="26"/>
        </w:numPr>
        <w:spacing w:line="259" w:lineRule="auto"/>
        <w:rPr>
          <w:rFonts w:asciiTheme="minorHAnsi" w:hAnsiTheme="minorHAnsi" w:cstheme="minorHAnsi"/>
          <w:sz w:val="22"/>
          <w:szCs w:val="22"/>
          <w:lang w:val="en-CA"/>
        </w:rPr>
      </w:pPr>
      <w:r w:rsidRPr="00E628AA">
        <w:rPr>
          <w:rStyle w:val="lev"/>
          <w:rFonts w:asciiTheme="minorHAnsi" w:hAnsiTheme="minorHAnsi" w:cstheme="minorHAnsi"/>
          <w:sz w:val="22"/>
          <w:szCs w:val="22"/>
          <w:lang w:val="en-CA"/>
        </w:rPr>
        <w:lastRenderedPageBreak/>
        <w:t>A</w:t>
      </w:r>
      <w:r w:rsidR="00C87939" w:rsidRPr="00E628AA">
        <w:rPr>
          <w:rStyle w:val="lev"/>
          <w:rFonts w:asciiTheme="minorHAnsi" w:hAnsiTheme="minorHAnsi" w:cstheme="minorHAnsi"/>
          <w:sz w:val="22"/>
          <w:szCs w:val="22"/>
          <w:lang w:val="en-CA"/>
        </w:rPr>
        <w:t>ssessment of adherence to requirements,</w:t>
      </w:r>
      <w:r w:rsidR="00C87939" w:rsidRPr="00E628AA">
        <w:rPr>
          <w:rFonts w:asciiTheme="minorHAnsi" w:hAnsiTheme="minorHAnsi" w:cstheme="minorHAnsi"/>
          <w:sz w:val="22"/>
          <w:szCs w:val="22"/>
          <w:lang w:val="en-CA"/>
        </w:rPr>
        <w:t xml:space="preserve"> based on organization’s own risks, at a minimum every five years</w:t>
      </w:r>
    </w:p>
    <w:p w14:paraId="7B8618FC" w14:textId="77777777" w:rsidR="00C87939" w:rsidRPr="00E628AA" w:rsidRDefault="00C87939" w:rsidP="00C87939">
      <w:pPr>
        <w:pStyle w:val="Titre3"/>
        <w:rPr>
          <w:lang w:val="en-CA"/>
        </w:rPr>
      </w:pPr>
      <w:r w:rsidRPr="00E628AA">
        <w:rPr>
          <w:lang w:val="en-CA"/>
        </w:rPr>
        <w:t>PSC Oversight</w:t>
      </w:r>
    </w:p>
    <w:p w14:paraId="62797CF2" w14:textId="77777777" w:rsidR="00C87939" w:rsidRPr="00E628AA" w:rsidRDefault="00C87939" w:rsidP="009E20C4">
      <w:pPr>
        <w:spacing w:after="160"/>
        <w:rPr>
          <w:rFonts w:asciiTheme="minorHAnsi" w:hAnsiTheme="minorHAnsi" w:cstheme="minorHAnsi"/>
          <w:sz w:val="22"/>
          <w:szCs w:val="22"/>
          <w:lang w:val="en-CA"/>
        </w:rPr>
      </w:pPr>
      <w:r w:rsidRPr="00E628AA">
        <w:rPr>
          <w:rFonts w:asciiTheme="minorHAnsi" w:hAnsiTheme="minorHAnsi" w:cstheme="minorHAnsi"/>
          <w:sz w:val="22"/>
          <w:szCs w:val="22"/>
          <w:lang w:val="en-CA"/>
        </w:rPr>
        <w:t xml:space="preserve">System-wide focus </w:t>
      </w:r>
    </w:p>
    <w:p w14:paraId="69BB446D" w14:textId="77777777" w:rsidR="00C87939" w:rsidRPr="00E628AA" w:rsidRDefault="00C87939" w:rsidP="009E20C4">
      <w:pPr>
        <w:pStyle w:val="Paragraphedeliste"/>
        <w:numPr>
          <w:ilvl w:val="1"/>
          <w:numId w:val="28"/>
        </w:numPr>
        <w:spacing w:after="160" w:line="259" w:lineRule="auto"/>
        <w:ind w:left="723"/>
        <w:rPr>
          <w:rStyle w:val="lev"/>
          <w:rFonts w:asciiTheme="minorHAnsi" w:hAnsiTheme="minorHAnsi" w:cstheme="minorHAnsi"/>
          <w:sz w:val="22"/>
          <w:szCs w:val="22"/>
          <w:lang w:val="en-CA"/>
        </w:rPr>
      </w:pPr>
      <w:r w:rsidRPr="00E628AA">
        <w:rPr>
          <w:rStyle w:val="lev"/>
          <w:rFonts w:asciiTheme="minorHAnsi" w:hAnsiTheme="minorHAnsi" w:cstheme="minorHAnsi"/>
          <w:sz w:val="22"/>
          <w:szCs w:val="22"/>
          <w:lang w:val="en-CA"/>
        </w:rPr>
        <w:t xml:space="preserve">Government-wide compliance audit every two years </w:t>
      </w:r>
    </w:p>
    <w:p w14:paraId="503CF4BF" w14:textId="77777777" w:rsidR="00C87939" w:rsidRPr="00E628AA" w:rsidRDefault="00C87939" w:rsidP="009E20C4">
      <w:pPr>
        <w:pStyle w:val="Paragraphedeliste"/>
        <w:numPr>
          <w:ilvl w:val="1"/>
          <w:numId w:val="28"/>
        </w:numPr>
        <w:spacing w:after="160" w:line="259" w:lineRule="auto"/>
        <w:ind w:left="723"/>
        <w:rPr>
          <w:rFonts w:asciiTheme="minorHAnsi" w:hAnsiTheme="minorHAnsi" w:cstheme="minorHAnsi"/>
          <w:sz w:val="22"/>
          <w:szCs w:val="22"/>
          <w:lang w:val="en-CA"/>
        </w:rPr>
      </w:pPr>
      <w:r w:rsidRPr="00E628AA">
        <w:rPr>
          <w:rStyle w:val="lev"/>
          <w:rFonts w:asciiTheme="minorHAnsi" w:hAnsiTheme="minorHAnsi" w:cstheme="minorHAnsi"/>
          <w:sz w:val="22"/>
          <w:szCs w:val="22"/>
          <w:lang w:val="en-CA"/>
        </w:rPr>
        <w:t>Renewed Survey of Staffing</w:t>
      </w:r>
      <w:r w:rsidRPr="00E628AA">
        <w:rPr>
          <w:rFonts w:asciiTheme="minorHAnsi" w:hAnsiTheme="minorHAnsi" w:cstheme="minorHAnsi"/>
          <w:sz w:val="22"/>
          <w:szCs w:val="22"/>
          <w:lang w:val="en-CA"/>
        </w:rPr>
        <w:t xml:space="preserve"> administered in alternating years with government-wide audit</w:t>
      </w:r>
    </w:p>
    <w:p w14:paraId="4D86137C" w14:textId="77777777" w:rsidR="00C87939" w:rsidRPr="00E628AA" w:rsidRDefault="00C87939" w:rsidP="009E20C4">
      <w:pPr>
        <w:pStyle w:val="Paragraphedeliste"/>
        <w:numPr>
          <w:ilvl w:val="1"/>
          <w:numId w:val="28"/>
        </w:numPr>
        <w:spacing w:after="160" w:line="259" w:lineRule="auto"/>
        <w:ind w:left="723"/>
        <w:rPr>
          <w:rFonts w:asciiTheme="minorHAnsi" w:hAnsiTheme="minorHAnsi" w:cstheme="minorHAnsi"/>
          <w:sz w:val="22"/>
          <w:szCs w:val="22"/>
          <w:lang w:val="en-CA"/>
        </w:rPr>
      </w:pPr>
      <w:r w:rsidRPr="00E628AA">
        <w:rPr>
          <w:rStyle w:val="lev"/>
          <w:rFonts w:asciiTheme="minorHAnsi" w:hAnsiTheme="minorHAnsi" w:cstheme="minorHAnsi"/>
          <w:sz w:val="22"/>
          <w:szCs w:val="22"/>
          <w:lang w:val="en-CA"/>
        </w:rPr>
        <w:t>System-wide effectiveness and efficiency reviews</w:t>
      </w:r>
      <w:r w:rsidRPr="00E628AA">
        <w:rPr>
          <w:rFonts w:asciiTheme="minorHAnsi" w:hAnsiTheme="minorHAnsi" w:cstheme="minorHAnsi"/>
          <w:sz w:val="22"/>
          <w:szCs w:val="22"/>
          <w:lang w:val="en-CA"/>
        </w:rPr>
        <w:t xml:space="preserve"> to support continuous improvement</w:t>
      </w:r>
    </w:p>
    <w:p w14:paraId="2BA65C8E" w14:textId="77777777" w:rsidR="00C87939" w:rsidRPr="00E628AA" w:rsidRDefault="00C87939" w:rsidP="009E20C4">
      <w:pPr>
        <w:pStyle w:val="Paragraphedeliste"/>
        <w:numPr>
          <w:ilvl w:val="1"/>
          <w:numId w:val="28"/>
        </w:numPr>
        <w:spacing w:after="160" w:line="259" w:lineRule="auto"/>
        <w:ind w:left="723"/>
        <w:rPr>
          <w:rFonts w:asciiTheme="minorHAnsi" w:hAnsiTheme="minorHAnsi" w:cstheme="minorHAnsi"/>
          <w:sz w:val="22"/>
          <w:szCs w:val="22"/>
          <w:lang w:val="en-CA"/>
        </w:rPr>
      </w:pPr>
      <w:r w:rsidRPr="00E628AA">
        <w:rPr>
          <w:rStyle w:val="lev"/>
          <w:rFonts w:asciiTheme="minorHAnsi" w:hAnsiTheme="minorHAnsi" w:cstheme="minorHAnsi"/>
          <w:sz w:val="22"/>
          <w:szCs w:val="22"/>
          <w:lang w:val="en-CA"/>
        </w:rPr>
        <w:t>Targeted PSC audits</w:t>
      </w:r>
      <w:r w:rsidRPr="00E628AA">
        <w:rPr>
          <w:rFonts w:asciiTheme="minorHAnsi" w:hAnsiTheme="minorHAnsi" w:cstheme="minorHAnsi"/>
          <w:sz w:val="22"/>
          <w:szCs w:val="22"/>
          <w:lang w:val="en-CA"/>
        </w:rPr>
        <w:t xml:space="preserve"> as a result of identified system-wide or organizational risks or at deputy head request</w:t>
      </w:r>
    </w:p>
    <w:p w14:paraId="42AE6360" w14:textId="04E9B58D" w:rsidR="00C87939" w:rsidRPr="00E628AA" w:rsidRDefault="00C87939" w:rsidP="009E20C4">
      <w:pPr>
        <w:pStyle w:val="Paragraphedeliste"/>
        <w:numPr>
          <w:ilvl w:val="1"/>
          <w:numId w:val="28"/>
        </w:numPr>
        <w:spacing w:line="259" w:lineRule="auto"/>
        <w:ind w:left="723"/>
        <w:rPr>
          <w:rFonts w:asciiTheme="minorHAnsi" w:hAnsiTheme="minorHAnsi" w:cstheme="minorHAnsi"/>
          <w:sz w:val="22"/>
          <w:szCs w:val="22"/>
          <w:lang w:val="en-CA"/>
        </w:rPr>
      </w:pPr>
      <w:r w:rsidRPr="00E628AA">
        <w:rPr>
          <w:rStyle w:val="lev"/>
          <w:rFonts w:asciiTheme="minorHAnsi" w:hAnsiTheme="minorHAnsi" w:cstheme="minorHAnsi"/>
          <w:sz w:val="22"/>
          <w:szCs w:val="22"/>
          <w:lang w:val="en-CA"/>
        </w:rPr>
        <w:t>Investigations conducted</w:t>
      </w:r>
      <w:r w:rsidRPr="00E628AA">
        <w:rPr>
          <w:rFonts w:asciiTheme="minorHAnsi" w:hAnsiTheme="minorHAnsi" w:cstheme="minorHAnsi"/>
          <w:sz w:val="22"/>
          <w:szCs w:val="22"/>
          <w:lang w:val="en-CA"/>
        </w:rPr>
        <w:t xml:space="preserve"> when there is reason to believe there was political influence, fraud or improper conduct</w:t>
      </w:r>
      <w:r w:rsidRPr="00E628AA" w:rsidDel="006778B3">
        <w:rPr>
          <w:rFonts w:asciiTheme="minorHAnsi" w:hAnsiTheme="minorHAnsi" w:cstheme="minorHAnsi"/>
          <w:sz w:val="22"/>
          <w:szCs w:val="22"/>
          <w:lang w:val="en-CA"/>
        </w:rPr>
        <w:t xml:space="preserve"> </w:t>
      </w:r>
      <w:r w:rsidRPr="00E628AA">
        <w:rPr>
          <w:rFonts w:asciiTheme="minorHAnsi" w:hAnsiTheme="minorHAnsi" w:cstheme="minorHAnsi"/>
          <w:sz w:val="22"/>
          <w:szCs w:val="22"/>
          <w:lang w:val="en-CA"/>
        </w:rPr>
        <w:t xml:space="preserve">in an appointment process </w:t>
      </w:r>
    </w:p>
    <w:p w14:paraId="46993A75" w14:textId="77777777" w:rsidR="00535B86" w:rsidRPr="006B7774" w:rsidRDefault="00C87939" w:rsidP="006B7774">
      <w:pPr>
        <w:pStyle w:val="Pieddepage"/>
        <w:ind w:left="720"/>
        <w:rPr>
          <w:rStyle w:val="lev"/>
          <w:rFonts w:asciiTheme="minorHAnsi" w:hAnsiTheme="minorHAnsi" w:cstheme="minorHAnsi"/>
          <w:b w:val="0"/>
          <w:sz w:val="22"/>
          <w:szCs w:val="22"/>
          <w:lang w:val="en-CA"/>
        </w:rPr>
        <w:sectPr w:rsidR="00535B86" w:rsidRPr="006B7774" w:rsidSect="004E5A9A">
          <w:pgSz w:w="12240" w:h="15840"/>
          <w:pgMar w:top="1440" w:right="1797" w:bottom="1440" w:left="1797" w:header="709" w:footer="397" w:gutter="0"/>
          <w:cols w:space="708"/>
          <w:titlePg/>
          <w:docGrid w:linePitch="360"/>
        </w:sectPr>
      </w:pPr>
      <w:r w:rsidRPr="006B7774">
        <w:rPr>
          <w:rStyle w:val="lev"/>
          <w:rFonts w:asciiTheme="minorHAnsi" w:hAnsiTheme="minorHAnsi" w:cstheme="minorHAnsi"/>
          <w:b w:val="0"/>
          <w:sz w:val="22"/>
          <w:szCs w:val="22"/>
          <w:lang w:val="en-CA"/>
        </w:rPr>
        <w:t xml:space="preserve">This document should be read in conjunction with the </w:t>
      </w:r>
      <w:r w:rsidRPr="0096778C">
        <w:rPr>
          <w:rStyle w:val="Accentuation"/>
        </w:rPr>
        <w:t>Public Service Employment Act, the Public Service Employment Regulations</w:t>
      </w:r>
      <w:r w:rsidRPr="006B7774">
        <w:rPr>
          <w:rStyle w:val="lev"/>
          <w:rFonts w:asciiTheme="minorHAnsi" w:hAnsiTheme="minorHAnsi" w:cstheme="minorHAnsi"/>
          <w:b w:val="0"/>
          <w:sz w:val="22"/>
          <w:szCs w:val="22"/>
          <w:lang w:val="en-CA"/>
        </w:rPr>
        <w:t xml:space="preserve">, the </w:t>
      </w:r>
      <w:r w:rsidRPr="0096778C">
        <w:rPr>
          <w:rStyle w:val="Accentuation"/>
        </w:rPr>
        <w:t>PSC Appointment Policy</w:t>
      </w:r>
      <w:r w:rsidRPr="006B7774">
        <w:rPr>
          <w:rStyle w:val="lev"/>
          <w:rFonts w:asciiTheme="minorHAnsi" w:hAnsiTheme="minorHAnsi" w:cstheme="minorHAnsi"/>
          <w:b w:val="0"/>
          <w:sz w:val="22"/>
          <w:szCs w:val="22"/>
          <w:lang w:val="en-CA"/>
        </w:rPr>
        <w:t xml:space="preserve"> and the </w:t>
      </w:r>
      <w:r w:rsidRPr="0096778C">
        <w:rPr>
          <w:rStyle w:val="Accentuation"/>
        </w:rPr>
        <w:t>PSC Appointment Delegatio</w:t>
      </w:r>
      <w:r w:rsidR="00535B86" w:rsidRPr="0096778C">
        <w:rPr>
          <w:rStyle w:val="Accentuation"/>
        </w:rPr>
        <w:t>n and Accountability Instrument</w:t>
      </w:r>
      <w:r w:rsidR="00535B86" w:rsidRPr="006B7774">
        <w:rPr>
          <w:rStyle w:val="lev"/>
          <w:rFonts w:asciiTheme="minorHAnsi" w:hAnsiTheme="minorHAnsi" w:cstheme="minorHAnsi"/>
          <w:b w:val="0"/>
          <w:sz w:val="22"/>
          <w:szCs w:val="22"/>
          <w:lang w:val="en-CA"/>
        </w:rPr>
        <w:t>.</w:t>
      </w:r>
    </w:p>
    <w:p w14:paraId="1C436ED5" w14:textId="17F510F1" w:rsidR="007473E7" w:rsidRDefault="005E5636" w:rsidP="00ED2548">
      <w:pPr>
        <w:pStyle w:val="Titre3"/>
        <w:spacing w:after="120"/>
        <w:jc w:val="right"/>
      </w:pPr>
      <w:bookmarkStart w:id="4" w:name="AnnexB"/>
      <w:r>
        <w:lastRenderedPageBreak/>
        <w:t>Annex B</w:t>
      </w:r>
    </w:p>
    <w:p w14:paraId="3391C596" w14:textId="77777777" w:rsidR="008B6090" w:rsidRPr="008B6090" w:rsidRDefault="008B6090" w:rsidP="008B6090">
      <w:pPr>
        <w:pStyle w:val="Titre1"/>
        <w:spacing w:before="120" w:after="120"/>
        <w:rPr>
          <w:sz w:val="40"/>
          <w:szCs w:val="40"/>
          <w:lang w:val="en-CA"/>
        </w:rPr>
      </w:pPr>
      <w:r w:rsidRPr="008B6090">
        <w:rPr>
          <w:rFonts w:eastAsia="Times New Roman"/>
          <w:sz w:val="40"/>
          <w:szCs w:val="40"/>
          <w:lang w:val="en-CA"/>
        </w:rPr>
        <w:t>Population by tenure as of March 31</w:t>
      </w:r>
    </w:p>
    <w:bookmarkEnd w:id="4"/>
    <w:p w14:paraId="078C5267" w14:textId="77777777" w:rsidR="0016520F" w:rsidRDefault="00252389" w:rsidP="0016520F">
      <w:pPr>
        <w:pStyle w:val="Titre3"/>
        <w:jc w:val="center"/>
      </w:pPr>
      <w:r w:rsidRPr="00E628AA">
        <w:rPr>
          <w:rStyle w:val="lev"/>
          <w:noProof/>
          <w:lang w:val="en-CA" w:eastAsia="en-CA"/>
        </w:rPr>
        <w:drawing>
          <wp:inline distT="0" distB="0" distL="0" distR="0" wp14:anchorId="53330D83" wp14:editId="169BD7D1">
            <wp:extent cx="5648400" cy="3049200"/>
            <wp:effectExtent l="0" t="0" r="9525" b="18415"/>
            <wp:docPr id="13" name="Chart 13" descr="Population by tenure as of March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2D41F48A" w14:textId="0C217110" w:rsidR="0016520F" w:rsidRDefault="0016520F" w:rsidP="0016520F">
      <w:pPr>
        <w:pStyle w:val="Lgende"/>
        <w:jc w:val="center"/>
      </w:pPr>
      <w:r>
        <w:t xml:space="preserve">Figure </w:t>
      </w:r>
      <w:r>
        <w:fldChar w:fldCharType="begin"/>
      </w:r>
      <w:r>
        <w:instrText xml:space="preserve"> SEQ Figure \* ARABIC </w:instrText>
      </w:r>
      <w:r>
        <w:fldChar w:fldCharType="separate"/>
      </w:r>
      <w:r>
        <w:rPr>
          <w:noProof/>
        </w:rPr>
        <w:t>1</w:t>
      </w:r>
      <w:r>
        <w:fldChar w:fldCharType="end"/>
      </w:r>
      <w:r>
        <w:t xml:space="preserve"> - Population by tenure as of March 31</w:t>
      </w:r>
    </w:p>
    <w:p w14:paraId="285F319F" w14:textId="3A14B553" w:rsidR="0016520F" w:rsidRDefault="0016520F" w:rsidP="0016520F">
      <w:pPr>
        <w:pStyle w:val="Lgende"/>
        <w:keepNext/>
        <w:spacing w:before="240"/>
        <w:jc w:val="center"/>
      </w:pPr>
      <w:r>
        <w:t xml:space="preserve">Table </w:t>
      </w:r>
      <w:r>
        <w:fldChar w:fldCharType="begin"/>
      </w:r>
      <w:r>
        <w:instrText xml:space="preserve"> SEQ Table \* ARABIC </w:instrText>
      </w:r>
      <w:r>
        <w:fldChar w:fldCharType="separate"/>
      </w:r>
      <w:r>
        <w:rPr>
          <w:noProof/>
        </w:rPr>
        <w:t>1</w:t>
      </w:r>
      <w:r>
        <w:fldChar w:fldCharType="end"/>
      </w:r>
      <w:r>
        <w:t xml:space="preserve"> - </w:t>
      </w:r>
      <w:r w:rsidRPr="000D12AB">
        <w:t>Public Service Employment Act population by tenure as of March 31</w:t>
      </w:r>
    </w:p>
    <w:tbl>
      <w:tblPr>
        <w:tblStyle w:val="Grilledutableau"/>
        <w:tblW w:w="5000" w:type="pct"/>
        <w:jc w:val="center"/>
        <w:tblLook w:val="00A0" w:firstRow="1" w:lastRow="0" w:firstColumn="1" w:lastColumn="0" w:noHBand="0" w:noVBand="0"/>
        <w:tblDescription w:val="Population by tenure as of March 31"/>
      </w:tblPr>
      <w:tblGrid>
        <w:gridCol w:w="3447"/>
        <w:gridCol w:w="2598"/>
        <w:gridCol w:w="2087"/>
        <w:gridCol w:w="2087"/>
        <w:gridCol w:w="2087"/>
        <w:gridCol w:w="2084"/>
      </w:tblGrid>
      <w:tr w:rsidR="0016520F" w:rsidRPr="00E15658" w14:paraId="4EF51E13" w14:textId="77777777" w:rsidTr="00B96152">
        <w:trPr>
          <w:cantSplit/>
          <w:trHeight w:val="290"/>
          <w:tblHeader/>
          <w:jc w:val="center"/>
        </w:trPr>
        <w:tc>
          <w:tcPr>
            <w:tcW w:w="1198" w:type="pct"/>
          </w:tcPr>
          <w:p w14:paraId="33910FB4" w14:textId="77777777" w:rsidR="0016520F" w:rsidRPr="00E15658" w:rsidRDefault="0016520F" w:rsidP="00C830B4">
            <w:pPr>
              <w:pStyle w:val="TableTitle"/>
              <w:tabs>
                <w:tab w:val="center" w:pos="1057"/>
              </w:tabs>
              <w:rPr>
                <w:color w:val="auto"/>
                <w:sz w:val="22"/>
                <w:szCs w:val="22"/>
                <w:lang w:val="en-CA"/>
              </w:rPr>
            </w:pPr>
            <w:r w:rsidRPr="00E15658">
              <w:rPr>
                <w:color w:val="auto"/>
                <w:sz w:val="22"/>
                <w:szCs w:val="22"/>
                <w:lang w:val="en-CA"/>
              </w:rPr>
              <w:t>Year</w:t>
            </w:r>
          </w:p>
        </w:tc>
        <w:tc>
          <w:tcPr>
            <w:tcW w:w="903" w:type="pct"/>
          </w:tcPr>
          <w:p w14:paraId="5F142B41" w14:textId="77777777" w:rsidR="0016520F" w:rsidRPr="00E15658" w:rsidRDefault="0016520F" w:rsidP="00C830B4">
            <w:pPr>
              <w:pStyle w:val="TableTitle"/>
              <w:rPr>
                <w:color w:val="auto"/>
                <w:sz w:val="22"/>
                <w:szCs w:val="22"/>
                <w:lang w:val="en-CA"/>
              </w:rPr>
            </w:pPr>
            <w:r w:rsidRPr="00E15658">
              <w:rPr>
                <w:color w:val="auto"/>
                <w:sz w:val="22"/>
                <w:szCs w:val="22"/>
                <w:lang w:val="en-CA"/>
              </w:rPr>
              <w:t>Indeterminate</w:t>
            </w:r>
          </w:p>
          <w:p w14:paraId="23CC45AA" w14:textId="77777777" w:rsidR="0016520F" w:rsidRPr="00E15658" w:rsidRDefault="0016520F" w:rsidP="00C830B4">
            <w:pPr>
              <w:pStyle w:val="TableTitle"/>
              <w:rPr>
                <w:color w:val="auto"/>
                <w:sz w:val="22"/>
                <w:szCs w:val="22"/>
                <w:lang w:val="en-CA"/>
              </w:rPr>
            </w:pPr>
            <w:r w:rsidRPr="00E15658">
              <w:rPr>
                <w:color w:val="auto"/>
                <w:sz w:val="22"/>
                <w:szCs w:val="22"/>
                <w:lang w:val="en-CA"/>
              </w:rPr>
              <w:t>population</w:t>
            </w:r>
          </w:p>
        </w:tc>
        <w:tc>
          <w:tcPr>
            <w:tcW w:w="725" w:type="pct"/>
          </w:tcPr>
          <w:p w14:paraId="6E99578F" w14:textId="77777777" w:rsidR="0016520F" w:rsidRPr="00E15658" w:rsidRDefault="0016520F" w:rsidP="00C830B4">
            <w:pPr>
              <w:pStyle w:val="TableTitle"/>
              <w:rPr>
                <w:color w:val="auto"/>
                <w:sz w:val="22"/>
                <w:szCs w:val="22"/>
                <w:lang w:val="en-CA"/>
              </w:rPr>
            </w:pPr>
            <w:r w:rsidRPr="00E15658">
              <w:rPr>
                <w:color w:val="auto"/>
                <w:sz w:val="22"/>
                <w:szCs w:val="22"/>
                <w:lang w:val="en-CA"/>
              </w:rPr>
              <w:t>Term</w:t>
            </w:r>
          </w:p>
          <w:p w14:paraId="0BC0E9C3" w14:textId="77777777" w:rsidR="0016520F" w:rsidRPr="00E15658" w:rsidRDefault="0016520F" w:rsidP="00C830B4">
            <w:pPr>
              <w:pStyle w:val="TableTitle"/>
              <w:rPr>
                <w:color w:val="auto"/>
                <w:sz w:val="22"/>
                <w:szCs w:val="22"/>
                <w:lang w:val="en-CA"/>
              </w:rPr>
            </w:pPr>
            <w:r w:rsidRPr="00E15658">
              <w:rPr>
                <w:color w:val="auto"/>
                <w:sz w:val="22"/>
                <w:szCs w:val="22"/>
                <w:lang w:val="en-CA"/>
              </w:rPr>
              <w:t xml:space="preserve">population </w:t>
            </w:r>
          </w:p>
        </w:tc>
        <w:tc>
          <w:tcPr>
            <w:tcW w:w="725" w:type="pct"/>
          </w:tcPr>
          <w:p w14:paraId="02D48508" w14:textId="77777777" w:rsidR="0016520F" w:rsidRPr="00E15658" w:rsidRDefault="0016520F" w:rsidP="00C830B4">
            <w:pPr>
              <w:pStyle w:val="TableTitle"/>
              <w:rPr>
                <w:color w:val="auto"/>
                <w:sz w:val="22"/>
                <w:szCs w:val="22"/>
                <w:lang w:val="en-CA"/>
              </w:rPr>
            </w:pPr>
            <w:r w:rsidRPr="00E15658">
              <w:rPr>
                <w:color w:val="auto"/>
                <w:sz w:val="22"/>
                <w:szCs w:val="22"/>
                <w:lang w:val="en-CA"/>
              </w:rPr>
              <w:t>Casual</w:t>
            </w:r>
          </w:p>
          <w:p w14:paraId="2E00374F" w14:textId="77777777" w:rsidR="0016520F" w:rsidRPr="00E15658" w:rsidRDefault="0016520F" w:rsidP="00C830B4">
            <w:pPr>
              <w:pStyle w:val="TableTitle"/>
              <w:rPr>
                <w:color w:val="auto"/>
                <w:sz w:val="22"/>
                <w:szCs w:val="22"/>
                <w:lang w:val="en-CA"/>
              </w:rPr>
            </w:pPr>
            <w:r w:rsidRPr="00E15658">
              <w:rPr>
                <w:color w:val="auto"/>
                <w:sz w:val="22"/>
                <w:szCs w:val="22"/>
                <w:lang w:val="en-CA"/>
              </w:rPr>
              <w:t>population</w:t>
            </w:r>
          </w:p>
        </w:tc>
        <w:tc>
          <w:tcPr>
            <w:tcW w:w="725" w:type="pct"/>
          </w:tcPr>
          <w:p w14:paraId="59569C67" w14:textId="77777777" w:rsidR="0016520F" w:rsidRPr="00E15658" w:rsidRDefault="0016520F" w:rsidP="00C830B4">
            <w:pPr>
              <w:pStyle w:val="TableTitle"/>
              <w:rPr>
                <w:color w:val="auto"/>
                <w:sz w:val="22"/>
                <w:szCs w:val="22"/>
                <w:lang w:val="en-CA"/>
              </w:rPr>
            </w:pPr>
            <w:r w:rsidRPr="00E15658">
              <w:rPr>
                <w:color w:val="auto"/>
                <w:sz w:val="22"/>
                <w:szCs w:val="22"/>
                <w:lang w:val="en-CA"/>
              </w:rPr>
              <w:t>Student</w:t>
            </w:r>
          </w:p>
          <w:p w14:paraId="6ABB0FEE" w14:textId="77777777" w:rsidR="0016520F" w:rsidRPr="00E15658" w:rsidRDefault="0016520F" w:rsidP="00C830B4">
            <w:pPr>
              <w:pStyle w:val="TableTitle"/>
              <w:rPr>
                <w:color w:val="auto"/>
                <w:sz w:val="22"/>
                <w:szCs w:val="22"/>
                <w:lang w:val="en-CA"/>
              </w:rPr>
            </w:pPr>
            <w:r w:rsidRPr="00E15658">
              <w:rPr>
                <w:color w:val="auto"/>
                <w:sz w:val="22"/>
                <w:szCs w:val="22"/>
                <w:lang w:val="en-CA"/>
              </w:rPr>
              <w:t>population</w:t>
            </w:r>
          </w:p>
        </w:tc>
        <w:tc>
          <w:tcPr>
            <w:tcW w:w="725" w:type="pct"/>
          </w:tcPr>
          <w:p w14:paraId="255F089C" w14:textId="77777777" w:rsidR="0016520F" w:rsidRPr="00E15658" w:rsidRDefault="0016520F" w:rsidP="00C830B4">
            <w:pPr>
              <w:pStyle w:val="TableTitle"/>
              <w:rPr>
                <w:color w:val="auto"/>
                <w:sz w:val="22"/>
                <w:szCs w:val="22"/>
                <w:lang w:val="en-CA"/>
              </w:rPr>
            </w:pPr>
            <w:r w:rsidRPr="00E15658">
              <w:rPr>
                <w:color w:val="auto"/>
                <w:sz w:val="22"/>
                <w:szCs w:val="22"/>
                <w:lang w:val="en-CA"/>
              </w:rPr>
              <w:t>Total</w:t>
            </w:r>
          </w:p>
          <w:p w14:paraId="49DA18C5" w14:textId="77777777" w:rsidR="0016520F" w:rsidRPr="00E15658" w:rsidRDefault="0016520F" w:rsidP="00C830B4">
            <w:pPr>
              <w:pStyle w:val="TableTitle"/>
              <w:rPr>
                <w:color w:val="auto"/>
                <w:sz w:val="22"/>
                <w:szCs w:val="22"/>
                <w:lang w:val="en-CA"/>
              </w:rPr>
            </w:pPr>
            <w:r w:rsidRPr="00E15658">
              <w:rPr>
                <w:color w:val="auto"/>
                <w:sz w:val="22"/>
                <w:szCs w:val="22"/>
                <w:lang w:val="en-CA"/>
              </w:rPr>
              <w:t>population</w:t>
            </w:r>
          </w:p>
        </w:tc>
      </w:tr>
      <w:tr w:rsidR="0016520F" w:rsidRPr="00E15658" w14:paraId="6AB74F3E" w14:textId="77777777" w:rsidTr="00B96152">
        <w:trPr>
          <w:cantSplit/>
          <w:trHeight w:val="290"/>
          <w:tblHeader/>
          <w:jc w:val="center"/>
        </w:trPr>
        <w:tc>
          <w:tcPr>
            <w:tcW w:w="1198" w:type="pct"/>
          </w:tcPr>
          <w:p w14:paraId="2C8F96F2" w14:textId="77777777" w:rsidR="0016520F" w:rsidRPr="00E15658" w:rsidRDefault="0016520F" w:rsidP="00C830B4">
            <w:pPr>
              <w:autoSpaceDE w:val="0"/>
              <w:autoSpaceDN w:val="0"/>
              <w:adjustRightInd w:val="0"/>
              <w:jc w:val="both"/>
              <w:rPr>
                <w:rFonts w:asciiTheme="minorHAnsi" w:hAnsiTheme="minorHAnsi" w:cstheme="minorHAnsi"/>
                <w:color w:val="000000"/>
                <w:sz w:val="22"/>
                <w:szCs w:val="22"/>
                <w:lang w:val="en-CA"/>
              </w:rPr>
            </w:pPr>
            <w:r w:rsidRPr="00E15658">
              <w:rPr>
                <w:rFonts w:asciiTheme="minorHAnsi" w:hAnsiTheme="minorHAnsi" w:cstheme="minorHAnsi"/>
                <w:color w:val="000000"/>
                <w:sz w:val="22"/>
                <w:szCs w:val="22"/>
                <w:lang w:val="en-CA"/>
              </w:rPr>
              <w:t>As of March 31, 2014</w:t>
            </w:r>
          </w:p>
        </w:tc>
        <w:tc>
          <w:tcPr>
            <w:tcW w:w="903" w:type="pct"/>
          </w:tcPr>
          <w:p w14:paraId="1B9E85CD" w14:textId="77777777" w:rsidR="0016520F" w:rsidRPr="00E15658" w:rsidRDefault="0016520F" w:rsidP="00C830B4">
            <w:pPr>
              <w:autoSpaceDE w:val="0"/>
              <w:autoSpaceDN w:val="0"/>
              <w:adjustRightInd w:val="0"/>
              <w:jc w:val="center"/>
              <w:rPr>
                <w:rFonts w:asciiTheme="minorHAnsi" w:hAnsiTheme="minorHAnsi" w:cstheme="minorHAnsi"/>
                <w:color w:val="000000"/>
                <w:sz w:val="22"/>
                <w:szCs w:val="22"/>
                <w:lang w:val="en-CA"/>
              </w:rPr>
            </w:pPr>
            <w:r w:rsidRPr="00E15658">
              <w:rPr>
                <w:rFonts w:asciiTheme="minorHAnsi" w:hAnsiTheme="minorHAnsi" w:cstheme="minorHAnsi"/>
                <w:color w:val="000000"/>
                <w:sz w:val="22"/>
                <w:szCs w:val="22"/>
                <w:lang w:val="en-CA"/>
              </w:rPr>
              <w:t>24</w:t>
            </w:r>
          </w:p>
        </w:tc>
        <w:tc>
          <w:tcPr>
            <w:tcW w:w="725" w:type="pct"/>
          </w:tcPr>
          <w:p w14:paraId="2B7FD2AE" w14:textId="77777777" w:rsidR="0016520F" w:rsidRPr="00E15658" w:rsidRDefault="0016520F" w:rsidP="00C830B4">
            <w:pPr>
              <w:autoSpaceDE w:val="0"/>
              <w:autoSpaceDN w:val="0"/>
              <w:adjustRightInd w:val="0"/>
              <w:jc w:val="center"/>
              <w:rPr>
                <w:rFonts w:asciiTheme="minorHAnsi" w:hAnsiTheme="minorHAnsi" w:cstheme="minorHAnsi"/>
                <w:color w:val="000000"/>
                <w:sz w:val="22"/>
                <w:szCs w:val="22"/>
                <w:lang w:val="en-CA"/>
              </w:rPr>
            </w:pPr>
            <w:r w:rsidRPr="00E15658">
              <w:rPr>
                <w:rFonts w:asciiTheme="minorHAnsi" w:hAnsiTheme="minorHAnsi" w:cstheme="minorHAnsi"/>
                <w:color w:val="000000"/>
                <w:sz w:val="22"/>
                <w:szCs w:val="22"/>
                <w:lang w:val="en-CA"/>
              </w:rPr>
              <w:t>1</w:t>
            </w:r>
          </w:p>
        </w:tc>
        <w:tc>
          <w:tcPr>
            <w:tcW w:w="725" w:type="pct"/>
          </w:tcPr>
          <w:p w14:paraId="61C22271" w14:textId="77777777" w:rsidR="0016520F" w:rsidRPr="00E15658" w:rsidRDefault="0016520F" w:rsidP="00C830B4">
            <w:pPr>
              <w:autoSpaceDE w:val="0"/>
              <w:autoSpaceDN w:val="0"/>
              <w:adjustRightInd w:val="0"/>
              <w:jc w:val="center"/>
              <w:rPr>
                <w:rFonts w:asciiTheme="minorHAnsi" w:hAnsiTheme="minorHAnsi" w:cstheme="minorHAnsi"/>
                <w:color w:val="000000"/>
                <w:sz w:val="22"/>
                <w:szCs w:val="22"/>
                <w:lang w:val="en-CA"/>
              </w:rPr>
            </w:pPr>
            <w:r w:rsidRPr="00E15658">
              <w:rPr>
                <w:rFonts w:asciiTheme="minorHAnsi" w:hAnsiTheme="minorHAnsi" w:cstheme="minorHAnsi"/>
                <w:color w:val="000000"/>
                <w:sz w:val="22"/>
                <w:szCs w:val="22"/>
                <w:lang w:val="en-CA"/>
              </w:rPr>
              <w:t>3</w:t>
            </w:r>
          </w:p>
        </w:tc>
        <w:tc>
          <w:tcPr>
            <w:tcW w:w="725" w:type="pct"/>
          </w:tcPr>
          <w:p w14:paraId="6FB042F5" w14:textId="77777777" w:rsidR="0016520F" w:rsidRPr="00E15658" w:rsidRDefault="0016520F" w:rsidP="00C830B4">
            <w:pPr>
              <w:autoSpaceDE w:val="0"/>
              <w:autoSpaceDN w:val="0"/>
              <w:adjustRightInd w:val="0"/>
              <w:jc w:val="center"/>
              <w:rPr>
                <w:rFonts w:asciiTheme="minorHAnsi" w:hAnsiTheme="minorHAnsi" w:cstheme="minorHAnsi"/>
                <w:color w:val="000000"/>
                <w:sz w:val="22"/>
                <w:szCs w:val="22"/>
                <w:lang w:val="en-CA"/>
              </w:rPr>
            </w:pPr>
            <w:r w:rsidRPr="00E15658">
              <w:rPr>
                <w:rFonts w:asciiTheme="minorHAnsi" w:hAnsiTheme="minorHAnsi" w:cstheme="minorHAnsi"/>
                <w:color w:val="000000"/>
                <w:sz w:val="22"/>
                <w:szCs w:val="22"/>
                <w:lang w:val="en-CA"/>
              </w:rPr>
              <w:t>2</w:t>
            </w:r>
          </w:p>
        </w:tc>
        <w:tc>
          <w:tcPr>
            <w:tcW w:w="725" w:type="pct"/>
          </w:tcPr>
          <w:p w14:paraId="58059F26" w14:textId="77777777" w:rsidR="0016520F" w:rsidRPr="00E15658" w:rsidRDefault="0016520F" w:rsidP="00C830B4">
            <w:pPr>
              <w:autoSpaceDE w:val="0"/>
              <w:autoSpaceDN w:val="0"/>
              <w:adjustRightInd w:val="0"/>
              <w:jc w:val="center"/>
              <w:rPr>
                <w:rFonts w:asciiTheme="minorHAnsi" w:hAnsiTheme="minorHAnsi" w:cstheme="minorHAnsi"/>
                <w:color w:val="000000"/>
                <w:sz w:val="22"/>
                <w:szCs w:val="22"/>
                <w:lang w:val="en-CA"/>
              </w:rPr>
            </w:pPr>
            <w:r w:rsidRPr="00E15658">
              <w:rPr>
                <w:rFonts w:asciiTheme="minorHAnsi" w:hAnsiTheme="minorHAnsi" w:cstheme="minorHAnsi"/>
                <w:color w:val="000000"/>
                <w:sz w:val="22"/>
                <w:szCs w:val="22"/>
                <w:lang w:val="en-CA"/>
              </w:rPr>
              <w:t>30</w:t>
            </w:r>
          </w:p>
        </w:tc>
      </w:tr>
      <w:tr w:rsidR="0016520F" w:rsidRPr="00E15658" w14:paraId="443BF353" w14:textId="77777777" w:rsidTr="00B96152">
        <w:trPr>
          <w:cantSplit/>
          <w:trHeight w:val="290"/>
          <w:tblHeader/>
          <w:jc w:val="center"/>
        </w:trPr>
        <w:tc>
          <w:tcPr>
            <w:tcW w:w="1198" w:type="pct"/>
          </w:tcPr>
          <w:p w14:paraId="1567E095" w14:textId="77777777" w:rsidR="0016520F" w:rsidRPr="00E15658" w:rsidRDefault="0016520F" w:rsidP="00C830B4">
            <w:pPr>
              <w:autoSpaceDE w:val="0"/>
              <w:autoSpaceDN w:val="0"/>
              <w:adjustRightInd w:val="0"/>
              <w:rPr>
                <w:rFonts w:asciiTheme="minorHAnsi" w:hAnsiTheme="minorHAnsi" w:cstheme="minorHAnsi"/>
                <w:color w:val="000000"/>
                <w:sz w:val="22"/>
                <w:szCs w:val="22"/>
                <w:lang w:val="en-CA"/>
              </w:rPr>
            </w:pPr>
            <w:r w:rsidRPr="00E15658">
              <w:rPr>
                <w:rFonts w:asciiTheme="minorHAnsi" w:hAnsiTheme="minorHAnsi" w:cstheme="minorHAnsi"/>
                <w:color w:val="000000"/>
                <w:sz w:val="22"/>
                <w:szCs w:val="22"/>
                <w:lang w:val="en-CA"/>
              </w:rPr>
              <w:t>As of March 31, 2015</w:t>
            </w:r>
          </w:p>
        </w:tc>
        <w:tc>
          <w:tcPr>
            <w:tcW w:w="903" w:type="pct"/>
          </w:tcPr>
          <w:p w14:paraId="4D1F6C8D" w14:textId="77777777" w:rsidR="0016520F" w:rsidRPr="00E15658" w:rsidRDefault="0016520F" w:rsidP="00C830B4">
            <w:pPr>
              <w:autoSpaceDE w:val="0"/>
              <w:autoSpaceDN w:val="0"/>
              <w:adjustRightInd w:val="0"/>
              <w:jc w:val="center"/>
              <w:rPr>
                <w:rFonts w:asciiTheme="minorHAnsi" w:hAnsiTheme="minorHAnsi" w:cstheme="minorHAnsi"/>
                <w:color w:val="000000"/>
                <w:sz w:val="22"/>
                <w:szCs w:val="22"/>
                <w:lang w:val="en-CA"/>
              </w:rPr>
            </w:pPr>
            <w:r w:rsidRPr="00E15658">
              <w:rPr>
                <w:rFonts w:asciiTheme="minorHAnsi" w:hAnsiTheme="minorHAnsi" w:cstheme="minorHAnsi"/>
                <w:color w:val="000000"/>
                <w:sz w:val="22"/>
                <w:szCs w:val="22"/>
                <w:lang w:val="en-CA"/>
              </w:rPr>
              <w:t>24</w:t>
            </w:r>
          </w:p>
        </w:tc>
        <w:tc>
          <w:tcPr>
            <w:tcW w:w="725" w:type="pct"/>
          </w:tcPr>
          <w:p w14:paraId="49942E72" w14:textId="77777777" w:rsidR="0016520F" w:rsidRPr="00E15658" w:rsidRDefault="0016520F" w:rsidP="00C830B4">
            <w:pPr>
              <w:autoSpaceDE w:val="0"/>
              <w:autoSpaceDN w:val="0"/>
              <w:adjustRightInd w:val="0"/>
              <w:jc w:val="center"/>
              <w:rPr>
                <w:rFonts w:asciiTheme="minorHAnsi" w:hAnsiTheme="minorHAnsi" w:cstheme="minorHAnsi"/>
                <w:color w:val="000000"/>
                <w:sz w:val="22"/>
                <w:szCs w:val="22"/>
                <w:lang w:val="en-CA"/>
              </w:rPr>
            </w:pPr>
            <w:r w:rsidRPr="00E15658">
              <w:rPr>
                <w:rFonts w:asciiTheme="minorHAnsi" w:hAnsiTheme="minorHAnsi" w:cstheme="minorHAnsi"/>
                <w:color w:val="000000"/>
                <w:sz w:val="22"/>
                <w:szCs w:val="22"/>
                <w:lang w:val="en-CA"/>
              </w:rPr>
              <w:t>4</w:t>
            </w:r>
          </w:p>
        </w:tc>
        <w:tc>
          <w:tcPr>
            <w:tcW w:w="725" w:type="pct"/>
          </w:tcPr>
          <w:p w14:paraId="54C6A15B" w14:textId="77777777" w:rsidR="0016520F" w:rsidRPr="00E15658" w:rsidRDefault="0016520F" w:rsidP="00C830B4">
            <w:pPr>
              <w:autoSpaceDE w:val="0"/>
              <w:autoSpaceDN w:val="0"/>
              <w:adjustRightInd w:val="0"/>
              <w:jc w:val="center"/>
              <w:rPr>
                <w:rFonts w:asciiTheme="minorHAnsi" w:hAnsiTheme="minorHAnsi" w:cstheme="minorHAnsi"/>
                <w:color w:val="000000"/>
                <w:sz w:val="22"/>
                <w:szCs w:val="22"/>
                <w:lang w:val="en-CA"/>
              </w:rPr>
            </w:pPr>
            <w:r w:rsidRPr="00E15658">
              <w:rPr>
                <w:rFonts w:asciiTheme="minorHAnsi" w:hAnsiTheme="minorHAnsi" w:cstheme="minorHAnsi"/>
                <w:color w:val="000000"/>
                <w:sz w:val="22"/>
                <w:szCs w:val="22"/>
                <w:lang w:val="en-CA"/>
              </w:rPr>
              <w:t>0</w:t>
            </w:r>
          </w:p>
        </w:tc>
        <w:tc>
          <w:tcPr>
            <w:tcW w:w="725" w:type="pct"/>
          </w:tcPr>
          <w:p w14:paraId="63290702" w14:textId="77777777" w:rsidR="0016520F" w:rsidRPr="00E15658" w:rsidRDefault="0016520F" w:rsidP="00C830B4">
            <w:pPr>
              <w:autoSpaceDE w:val="0"/>
              <w:autoSpaceDN w:val="0"/>
              <w:adjustRightInd w:val="0"/>
              <w:jc w:val="center"/>
              <w:rPr>
                <w:rFonts w:asciiTheme="minorHAnsi" w:hAnsiTheme="minorHAnsi" w:cstheme="minorHAnsi"/>
                <w:color w:val="000000"/>
                <w:sz w:val="22"/>
                <w:szCs w:val="22"/>
                <w:lang w:val="en-CA"/>
              </w:rPr>
            </w:pPr>
            <w:r w:rsidRPr="00E15658">
              <w:rPr>
                <w:rFonts w:asciiTheme="minorHAnsi" w:hAnsiTheme="minorHAnsi" w:cstheme="minorHAnsi"/>
                <w:color w:val="000000"/>
                <w:sz w:val="22"/>
                <w:szCs w:val="22"/>
                <w:lang w:val="en-CA"/>
              </w:rPr>
              <w:t>2</w:t>
            </w:r>
          </w:p>
        </w:tc>
        <w:tc>
          <w:tcPr>
            <w:tcW w:w="725" w:type="pct"/>
          </w:tcPr>
          <w:p w14:paraId="37FEC798" w14:textId="77777777" w:rsidR="0016520F" w:rsidRPr="00E15658" w:rsidRDefault="0016520F" w:rsidP="00C830B4">
            <w:pPr>
              <w:autoSpaceDE w:val="0"/>
              <w:autoSpaceDN w:val="0"/>
              <w:adjustRightInd w:val="0"/>
              <w:jc w:val="center"/>
              <w:rPr>
                <w:rFonts w:asciiTheme="minorHAnsi" w:hAnsiTheme="minorHAnsi" w:cstheme="minorHAnsi"/>
                <w:color w:val="000000"/>
                <w:sz w:val="22"/>
                <w:szCs w:val="22"/>
                <w:lang w:val="en-CA"/>
              </w:rPr>
            </w:pPr>
            <w:r w:rsidRPr="00E15658">
              <w:rPr>
                <w:rFonts w:asciiTheme="minorHAnsi" w:hAnsiTheme="minorHAnsi" w:cstheme="minorHAnsi"/>
                <w:color w:val="000000"/>
                <w:sz w:val="22"/>
                <w:szCs w:val="22"/>
                <w:lang w:val="en-CA"/>
              </w:rPr>
              <w:t>30</w:t>
            </w:r>
          </w:p>
        </w:tc>
      </w:tr>
      <w:tr w:rsidR="0016520F" w:rsidRPr="00E15658" w14:paraId="522ED9A4" w14:textId="77777777" w:rsidTr="00B96152">
        <w:trPr>
          <w:cantSplit/>
          <w:trHeight w:val="290"/>
          <w:tblHeader/>
          <w:jc w:val="center"/>
        </w:trPr>
        <w:tc>
          <w:tcPr>
            <w:tcW w:w="1198" w:type="pct"/>
          </w:tcPr>
          <w:p w14:paraId="4AF2A093" w14:textId="77777777" w:rsidR="0016520F" w:rsidRPr="00E15658" w:rsidRDefault="0016520F" w:rsidP="00C830B4">
            <w:pPr>
              <w:autoSpaceDE w:val="0"/>
              <w:autoSpaceDN w:val="0"/>
              <w:adjustRightInd w:val="0"/>
              <w:rPr>
                <w:rFonts w:asciiTheme="minorHAnsi" w:hAnsiTheme="minorHAnsi" w:cstheme="minorHAnsi"/>
                <w:color w:val="000000"/>
                <w:sz w:val="22"/>
                <w:szCs w:val="22"/>
                <w:lang w:val="en-CA"/>
              </w:rPr>
            </w:pPr>
            <w:r w:rsidRPr="00E15658">
              <w:rPr>
                <w:rFonts w:asciiTheme="minorHAnsi" w:hAnsiTheme="minorHAnsi" w:cstheme="minorHAnsi"/>
                <w:color w:val="000000"/>
                <w:sz w:val="22"/>
                <w:szCs w:val="22"/>
                <w:lang w:val="en-CA"/>
              </w:rPr>
              <w:t>As of March 31, 2016</w:t>
            </w:r>
          </w:p>
        </w:tc>
        <w:tc>
          <w:tcPr>
            <w:tcW w:w="903" w:type="pct"/>
          </w:tcPr>
          <w:p w14:paraId="5907170B" w14:textId="77777777" w:rsidR="0016520F" w:rsidRPr="00E15658" w:rsidRDefault="0016520F" w:rsidP="00C830B4">
            <w:pPr>
              <w:autoSpaceDE w:val="0"/>
              <w:autoSpaceDN w:val="0"/>
              <w:adjustRightInd w:val="0"/>
              <w:jc w:val="center"/>
              <w:rPr>
                <w:rFonts w:asciiTheme="minorHAnsi" w:hAnsiTheme="minorHAnsi" w:cstheme="minorHAnsi"/>
                <w:color w:val="000000"/>
                <w:sz w:val="22"/>
                <w:szCs w:val="22"/>
                <w:lang w:val="en-CA"/>
              </w:rPr>
            </w:pPr>
            <w:r w:rsidRPr="00E15658">
              <w:rPr>
                <w:rFonts w:asciiTheme="minorHAnsi" w:hAnsiTheme="minorHAnsi" w:cstheme="minorHAnsi"/>
                <w:color w:val="000000"/>
                <w:sz w:val="22"/>
                <w:szCs w:val="22"/>
                <w:lang w:val="en-CA"/>
              </w:rPr>
              <w:t>25</w:t>
            </w:r>
          </w:p>
        </w:tc>
        <w:tc>
          <w:tcPr>
            <w:tcW w:w="725" w:type="pct"/>
          </w:tcPr>
          <w:p w14:paraId="000BF391" w14:textId="77777777" w:rsidR="0016520F" w:rsidRPr="00E15658" w:rsidRDefault="0016520F" w:rsidP="00C830B4">
            <w:pPr>
              <w:autoSpaceDE w:val="0"/>
              <w:autoSpaceDN w:val="0"/>
              <w:adjustRightInd w:val="0"/>
              <w:jc w:val="center"/>
              <w:rPr>
                <w:rFonts w:asciiTheme="minorHAnsi" w:hAnsiTheme="minorHAnsi" w:cstheme="minorHAnsi"/>
                <w:color w:val="000000"/>
                <w:sz w:val="22"/>
                <w:szCs w:val="22"/>
                <w:lang w:val="en-CA"/>
              </w:rPr>
            </w:pPr>
            <w:r w:rsidRPr="00E15658">
              <w:rPr>
                <w:rFonts w:asciiTheme="minorHAnsi" w:hAnsiTheme="minorHAnsi" w:cstheme="minorHAnsi"/>
                <w:color w:val="000000"/>
                <w:sz w:val="22"/>
                <w:szCs w:val="22"/>
                <w:lang w:val="en-CA"/>
              </w:rPr>
              <w:t>1</w:t>
            </w:r>
          </w:p>
        </w:tc>
        <w:tc>
          <w:tcPr>
            <w:tcW w:w="725" w:type="pct"/>
          </w:tcPr>
          <w:p w14:paraId="658BAABC" w14:textId="77777777" w:rsidR="0016520F" w:rsidRPr="00E15658" w:rsidRDefault="0016520F" w:rsidP="00C830B4">
            <w:pPr>
              <w:autoSpaceDE w:val="0"/>
              <w:autoSpaceDN w:val="0"/>
              <w:adjustRightInd w:val="0"/>
              <w:jc w:val="center"/>
              <w:rPr>
                <w:rFonts w:asciiTheme="minorHAnsi" w:hAnsiTheme="minorHAnsi" w:cstheme="minorHAnsi"/>
                <w:color w:val="000000"/>
                <w:sz w:val="22"/>
                <w:szCs w:val="22"/>
                <w:lang w:val="en-CA"/>
              </w:rPr>
            </w:pPr>
            <w:r w:rsidRPr="00E15658">
              <w:rPr>
                <w:rFonts w:asciiTheme="minorHAnsi" w:hAnsiTheme="minorHAnsi" w:cstheme="minorHAnsi"/>
                <w:color w:val="000000"/>
                <w:sz w:val="22"/>
                <w:szCs w:val="22"/>
                <w:lang w:val="en-CA"/>
              </w:rPr>
              <w:t>2</w:t>
            </w:r>
          </w:p>
        </w:tc>
        <w:tc>
          <w:tcPr>
            <w:tcW w:w="725" w:type="pct"/>
          </w:tcPr>
          <w:p w14:paraId="3A21DCD1" w14:textId="77777777" w:rsidR="0016520F" w:rsidRPr="00E15658" w:rsidRDefault="0016520F" w:rsidP="00C830B4">
            <w:pPr>
              <w:autoSpaceDE w:val="0"/>
              <w:autoSpaceDN w:val="0"/>
              <w:adjustRightInd w:val="0"/>
              <w:jc w:val="center"/>
              <w:rPr>
                <w:rFonts w:asciiTheme="minorHAnsi" w:hAnsiTheme="minorHAnsi" w:cstheme="minorHAnsi"/>
                <w:color w:val="000000"/>
                <w:sz w:val="22"/>
                <w:szCs w:val="22"/>
                <w:lang w:val="en-CA"/>
              </w:rPr>
            </w:pPr>
            <w:r w:rsidRPr="00E15658">
              <w:rPr>
                <w:rFonts w:asciiTheme="minorHAnsi" w:hAnsiTheme="minorHAnsi" w:cstheme="minorHAnsi"/>
                <w:color w:val="000000"/>
                <w:sz w:val="22"/>
                <w:szCs w:val="22"/>
                <w:lang w:val="en-CA"/>
              </w:rPr>
              <w:t>1</w:t>
            </w:r>
          </w:p>
        </w:tc>
        <w:tc>
          <w:tcPr>
            <w:tcW w:w="725" w:type="pct"/>
          </w:tcPr>
          <w:p w14:paraId="40212254" w14:textId="77777777" w:rsidR="0016520F" w:rsidRPr="00E15658" w:rsidRDefault="0016520F" w:rsidP="00C830B4">
            <w:pPr>
              <w:autoSpaceDE w:val="0"/>
              <w:autoSpaceDN w:val="0"/>
              <w:adjustRightInd w:val="0"/>
              <w:jc w:val="center"/>
              <w:rPr>
                <w:rFonts w:asciiTheme="minorHAnsi" w:hAnsiTheme="minorHAnsi" w:cstheme="minorHAnsi"/>
                <w:color w:val="000000"/>
                <w:sz w:val="22"/>
                <w:szCs w:val="22"/>
                <w:lang w:val="en-CA"/>
              </w:rPr>
            </w:pPr>
            <w:r w:rsidRPr="00E15658">
              <w:rPr>
                <w:rFonts w:asciiTheme="minorHAnsi" w:hAnsiTheme="minorHAnsi" w:cstheme="minorHAnsi"/>
                <w:color w:val="000000"/>
                <w:sz w:val="22"/>
                <w:szCs w:val="22"/>
                <w:lang w:val="en-CA"/>
              </w:rPr>
              <w:t>29</w:t>
            </w:r>
          </w:p>
        </w:tc>
      </w:tr>
      <w:tr w:rsidR="0016520F" w:rsidRPr="00E15658" w14:paraId="1936A830" w14:textId="77777777" w:rsidTr="00B96152">
        <w:trPr>
          <w:cantSplit/>
          <w:trHeight w:val="290"/>
          <w:tblHeader/>
          <w:jc w:val="center"/>
        </w:trPr>
        <w:tc>
          <w:tcPr>
            <w:tcW w:w="1198" w:type="pct"/>
          </w:tcPr>
          <w:p w14:paraId="6A603C58" w14:textId="77777777" w:rsidR="0016520F" w:rsidRPr="00E15658" w:rsidRDefault="0016520F" w:rsidP="00C830B4">
            <w:pPr>
              <w:autoSpaceDE w:val="0"/>
              <w:autoSpaceDN w:val="0"/>
              <w:adjustRightInd w:val="0"/>
              <w:rPr>
                <w:rFonts w:asciiTheme="minorHAnsi" w:hAnsiTheme="minorHAnsi" w:cstheme="minorHAnsi"/>
                <w:color w:val="000000"/>
                <w:sz w:val="22"/>
                <w:szCs w:val="22"/>
                <w:lang w:val="en-CA"/>
              </w:rPr>
            </w:pPr>
            <w:r w:rsidRPr="00E15658">
              <w:rPr>
                <w:rFonts w:asciiTheme="minorHAnsi" w:hAnsiTheme="minorHAnsi" w:cstheme="minorHAnsi"/>
                <w:color w:val="000000"/>
                <w:sz w:val="22"/>
                <w:szCs w:val="22"/>
                <w:lang w:val="en-CA"/>
              </w:rPr>
              <w:t>As of March 31, 2017</w:t>
            </w:r>
          </w:p>
        </w:tc>
        <w:tc>
          <w:tcPr>
            <w:tcW w:w="903" w:type="pct"/>
          </w:tcPr>
          <w:p w14:paraId="08F7FF06" w14:textId="77777777" w:rsidR="0016520F" w:rsidRPr="00E15658" w:rsidRDefault="0016520F" w:rsidP="00C830B4">
            <w:pPr>
              <w:autoSpaceDE w:val="0"/>
              <w:autoSpaceDN w:val="0"/>
              <w:adjustRightInd w:val="0"/>
              <w:jc w:val="center"/>
              <w:rPr>
                <w:rFonts w:asciiTheme="minorHAnsi" w:hAnsiTheme="minorHAnsi" w:cstheme="minorHAnsi"/>
                <w:color w:val="000000"/>
                <w:sz w:val="22"/>
                <w:szCs w:val="22"/>
                <w:lang w:val="en-CA"/>
              </w:rPr>
            </w:pPr>
            <w:r w:rsidRPr="00E15658">
              <w:rPr>
                <w:rFonts w:asciiTheme="minorHAnsi" w:hAnsiTheme="minorHAnsi" w:cstheme="minorHAnsi"/>
                <w:color w:val="000000"/>
                <w:sz w:val="22"/>
                <w:szCs w:val="22"/>
                <w:lang w:val="en-CA"/>
              </w:rPr>
              <w:t>24</w:t>
            </w:r>
          </w:p>
        </w:tc>
        <w:tc>
          <w:tcPr>
            <w:tcW w:w="725" w:type="pct"/>
          </w:tcPr>
          <w:p w14:paraId="2CFF30BE" w14:textId="77777777" w:rsidR="0016520F" w:rsidRPr="00E15658" w:rsidRDefault="0016520F" w:rsidP="00C830B4">
            <w:pPr>
              <w:autoSpaceDE w:val="0"/>
              <w:autoSpaceDN w:val="0"/>
              <w:adjustRightInd w:val="0"/>
              <w:jc w:val="center"/>
              <w:rPr>
                <w:rFonts w:asciiTheme="minorHAnsi" w:hAnsiTheme="minorHAnsi" w:cstheme="minorHAnsi"/>
                <w:color w:val="000000"/>
                <w:sz w:val="22"/>
                <w:szCs w:val="22"/>
                <w:lang w:val="en-CA"/>
              </w:rPr>
            </w:pPr>
            <w:r w:rsidRPr="00E15658">
              <w:rPr>
                <w:rFonts w:asciiTheme="minorHAnsi" w:hAnsiTheme="minorHAnsi" w:cstheme="minorHAnsi"/>
                <w:color w:val="000000"/>
                <w:sz w:val="22"/>
                <w:szCs w:val="22"/>
                <w:lang w:val="en-CA"/>
              </w:rPr>
              <w:t>1</w:t>
            </w:r>
          </w:p>
        </w:tc>
        <w:tc>
          <w:tcPr>
            <w:tcW w:w="725" w:type="pct"/>
          </w:tcPr>
          <w:p w14:paraId="54FDBF44" w14:textId="77777777" w:rsidR="0016520F" w:rsidRPr="00E15658" w:rsidRDefault="0016520F" w:rsidP="00C830B4">
            <w:pPr>
              <w:autoSpaceDE w:val="0"/>
              <w:autoSpaceDN w:val="0"/>
              <w:adjustRightInd w:val="0"/>
              <w:jc w:val="center"/>
              <w:rPr>
                <w:rFonts w:asciiTheme="minorHAnsi" w:hAnsiTheme="minorHAnsi" w:cstheme="minorHAnsi"/>
                <w:color w:val="000000"/>
                <w:sz w:val="22"/>
                <w:szCs w:val="22"/>
                <w:lang w:val="en-CA"/>
              </w:rPr>
            </w:pPr>
            <w:r w:rsidRPr="00E15658">
              <w:rPr>
                <w:rFonts w:asciiTheme="minorHAnsi" w:hAnsiTheme="minorHAnsi" w:cstheme="minorHAnsi"/>
                <w:color w:val="000000"/>
                <w:sz w:val="22"/>
                <w:szCs w:val="22"/>
                <w:lang w:val="en-CA"/>
              </w:rPr>
              <w:t>3</w:t>
            </w:r>
          </w:p>
        </w:tc>
        <w:tc>
          <w:tcPr>
            <w:tcW w:w="725" w:type="pct"/>
          </w:tcPr>
          <w:p w14:paraId="259F702B" w14:textId="77777777" w:rsidR="0016520F" w:rsidRPr="00E15658" w:rsidRDefault="0016520F" w:rsidP="00C830B4">
            <w:pPr>
              <w:autoSpaceDE w:val="0"/>
              <w:autoSpaceDN w:val="0"/>
              <w:adjustRightInd w:val="0"/>
              <w:jc w:val="center"/>
              <w:rPr>
                <w:rFonts w:asciiTheme="minorHAnsi" w:hAnsiTheme="minorHAnsi" w:cstheme="minorHAnsi"/>
                <w:color w:val="000000"/>
                <w:sz w:val="22"/>
                <w:szCs w:val="22"/>
                <w:lang w:val="en-CA"/>
              </w:rPr>
            </w:pPr>
            <w:r w:rsidRPr="00E15658">
              <w:rPr>
                <w:rFonts w:asciiTheme="minorHAnsi" w:hAnsiTheme="minorHAnsi" w:cstheme="minorHAnsi"/>
                <w:color w:val="000000"/>
                <w:sz w:val="22"/>
                <w:szCs w:val="22"/>
                <w:lang w:val="en-CA"/>
              </w:rPr>
              <w:t>2</w:t>
            </w:r>
          </w:p>
        </w:tc>
        <w:tc>
          <w:tcPr>
            <w:tcW w:w="725" w:type="pct"/>
          </w:tcPr>
          <w:p w14:paraId="709EDAA4" w14:textId="77777777" w:rsidR="0016520F" w:rsidRPr="00E15658" w:rsidRDefault="0016520F" w:rsidP="00C830B4">
            <w:pPr>
              <w:autoSpaceDE w:val="0"/>
              <w:autoSpaceDN w:val="0"/>
              <w:adjustRightInd w:val="0"/>
              <w:jc w:val="center"/>
              <w:rPr>
                <w:rFonts w:asciiTheme="minorHAnsi" w:hAnsiTheme="minorHAnsi" w:cstheme="minorHAnsi"/>
                <w:color w:val="000000"/>
                <w:sz w:val="22"/>
                <w:szCs w:val="22"/>
                <w:lang w:val="en-CA"/>
              </w:rPr>
            </w:pPr>
            <w:r w:rsidRPr="00E15658">
              <w:rPr>
                <w:rFonts w:asciiTheme="minorHAnsi" w:hAnsiTheme="minorHAnsi" w:cstheme="minorHAnsi"/>
                <w:color w:val="000000"/>
                <w:sz w:val="22"/>
                <w:szCs w:val="22"/>
                <w:lang w:val="en-CA"/>
              </w:rPr>
              <w:t>30</w:t>
            </w:r>
          </w:p>
        </w:tc>
      </w:tr>
      <w:tr w:rsidR="0016520F" w:rsidRPr="00E15658" w14:paraId="6D474E55" w14:textId="77777777" w:rsidTr="00B96152">
        <w:trPr>
          <w:cantSplit/>
          <w:trHeight w:val="290"/>
          <w:tblHeader/>
          <w:jc w:val="center"/>
        </w:trPr>
        <w:tc>
          <w:tcPr>
            <w:tcW w:w="1198" w:type="pct"/>
          </w:tcPr>
          <w:p w14:paraId="60DEEE69" w14:textId="77777777" w:rsidR="0016520F" w:rsidRPr="00E15658" w:rsidRDefault="0016520F" w:rsidP="00C830B4">
            <w:pPr>
              <w:autoSpaceDE w:val="0"/>
              <w:autoSpaceDN w:val="0"/>
              <w:adjustRightInd w:val="0"/>
              <w:rPr>
                <w:rFonts w:asciiTheme="minorHAnsi" w:hAnsiTheme="minorHAnsi" w:cstheme="minorHAnsi"/>
                <w:color w:val="000000"/>
                <w:sz w:val="22"/>
                <w:szCs w:val="22"/>
                <w:lang w:val="en-CA"/>
              </w:rPr>
            </w:pPr>
            <w:r w:rsidRPr="00E15658">
              <w:rPr>
                <w:rFonts w:asciiTheme="minorHAnsi" w:hAnsiTheme="minorHAnsi" w:cstheme="minorHAnsi"/>
                <w:color w:val="000000"/>
                <w:sz w:val="22"/>
                <w:szCs w:val="22"/>
                <w:lang w:val="en-CA"/>
              </w:rPr>
              <w:t>As of March 31, 2018</w:t>
            </w:r>
          </w:p>
        </w:tc>
        <w:tc>
          <w:tcPr>
            <w:tcW w:w="903" w:type="pct"/>
          </w:tcPr>
          <w:p w14:paraId="636D1C17" w14:textId="77777777" w:rsidR="0016520F" w:rsidRPr="00E15658" w:rsidRDefault="0016520F" w:rsidP="00C830B4">
            <w:pPr>
              <w:autoSpaceDE w:val="0"/>
              <w:autoSpaceDN w:val="0"/>
              <w:adjustRightInd w:val="0"/>
              <w:jc w:val="center"/>
              <w:rPr>
                <w:rFonts w:asciiTheme="minorHAnsi" w:hAnsiTheme="minorHAnsi" w:cstheme="minorHAnsi"/>
                <w:color w:val="000000"/>
                <w:sz w:val="22"/>
                <w:szCs w:val="22"/>
                <w:lang w:val="en-CA"/>
              </w:rPr>
            </w:pPr>
            <w:r w:rsidRPr="00E15658">
              <w:rPr>
                <w:rFonts w:asciiTheme="minorHAnsi" w:hAnsiTheme="minorHAnsi" w:cstheme="minorHAnsi"/>
                <w:color w:val="000000"/>
                <w:sz w:val="22"/>
                <w:szCs w:val="22"/>
                <w:lang w:val="en-CA"/>
              </w:rPr>
              <w:t>23</w:t>
            </w:r>
          </w:p>
        </w:tc>
        <w:tc>
          <w:tcPr>
            <w:tcW w:w="725" w:type="pct"/>
          </w:tcPr>
          <w:p w14:paraId="6BDB9869" w14:textId="77777777" w:rsidR="0016520F" w:rsidRPr="00E15658" w:rsidRDefault="0016520F" w:rsidP="00C830B4">
            <w:pPr>
              <w:autoSpaceDE w:val="0"/>
              <w:autoSpaceDN w:val="0"/>
              <w:adjustRightInd w:val="0"/>
              <w:jc w:val="center"/>
              <w:rPr>
                <w:rFonts w:asciiTheme="minorHAnsi" w:hAnsiTheme="minorHAnsi" w:cstheme="minorHAnsi"/>
                <w:color w:val="000000"/>
                <w:sz w:val="22"/>
                <w:szCs w:val="22"/>
                <w:lang w:val="en-CA"/>
              </w:rPr>
            </w:pPr>
            <w:r w:rsidRPr="00E15658">
              <w:rPr>
                <w:rFonts w:asciiTheme="minorHAnsi" w:hAnsiTheme="minorHAnsi" w:cstheme="minorHAnsi"/>
                <w:color w:val="000000"/>
                <w:sz w:val="22"/>
                <w:szCs w:val="22"/>
                <w:lang w:val="en-CA"/>
              </w:rPr>
              <w:t>1</w:t>
            </w:r>
          </w:p>
        </w:tc>
        <w:tc>
          <w:tcPr>
            <w:tcW w:w="725" w:type="pct"/>
          </w:tcPr>
          <w:p w14:paraId="6272F039" w14:textId="77777777" w:rsidR="0016520F" w:rsidRPr="00E15658" w:rsidRDefault="0016520F" w:rsidP="00C830B4">
            <w:pPr>
              <w:autoSpaceDE w:val="0"/>
              <w:autoSpaceDN w:val="0"/>
              <w:adjustRightInd w:val="0"/>
              <w:jc w:val="center"/>
              <w:rPr>
                <w:rFonts w:asciiTheme="minorHAnsi" w:hAnsiTheme="minorHAnsi" w:cstheme="minorHAnsi"/>
                <w:color w:val="000000"/>
                <w:sz w:val="22"/>
                <w:szCs w:val="22"/>
                <w:lang w:val="en-CA"/>
              </w:rPr>
            </w:pPr>
            <w:r w:rsidRPr="00E15658">
              <w:rPr>
                <w:rFonts w:asciiTheme="minorHAnsi" w:hAnsiTheme="minorHAnsi" w:cstheme="minorHAnsi"/>
                <w:color w:val="000000"/>
                <w:sz w:val="22"/>
                <w:szCs w:val="22"/>
                <w:lang w:val="en-CA"/>
              </w:rPr>
              <w:t>1</w:t>
            </w:r>
          </w:p>
        </w:tc>
        <w:tc>
          <w:tcPr>
            <w:tcW w:w="725" w:type="pct"/>
          </w:tcPr>
          <w:p w14:paraId="6E76B31D" w14:textId="77777777" w:rsidR="0016520F" w:rsidRPr="00E15658" w:rsidRDefault="0016520F" w:rsidP="00C830B4">
            <w:pPr>
              <w:autoSpaceDE w:val="0"/>
              <w:autoSpaceDN w:val="0"/>
              <w:adjustRightInd w:val="0"/>
              <w:jc w:val="center"/>
              <w:rPr>
                <w:rFonts w:asciiTheme="minorHAnsi" w:hAnsiTheme="minorHAnsi" w:cstheme="minorHAnsi"/>
                <w:color w:val="000000"/>
                <w:sz w:val="22"/>
                <w:szCs w:val="22"/>
                <w:lang w:val="en-CA"/>
              </w:rPr>
            </w:pPr>
            <w:r w:rsidRPr="00E15658">
              <w:rPr>
                <w:rFonts w:asciiTheme="minorHAnsi" w:hAnsiTheme="minorHAnsi" w:cstheme="minorHAnsi"/>
                <w:color w:val="000000"/>
                <w:sz w:val="22"/>
                <w:szCs w:val="22"/>
                <w:lang w:val="en-CA"/>
              </w:rPr>
              <w:t>5</w:t>
            </w:r>
          </w:p>
        </w:tc>
        <w:tc>
          <w:tcPr>
            <w:tcW w:w="725" w:type="pct"/>
          </w:tcPr>
          <w:p w14:paraId="5AC25BC4" w14:textId="77777777" w:rsidR="0016520F" w:rsidRPr="00E15658" w:rsidRDefault="0016520F" w:rsidP="00C830B4">
            <w:pPr>
              <w:autoSpaceDE w:val="0"/>
              <w:autoSpaceDN w:val="0"/>
              <w:adjustRightInd w:val="0"/>
              <w:jc w:val="center"/>
              <w:rPr>
                <w:rFonts w:asciiTheme="minorHAnsi" w:hAnsiTheme="minorHAnsi" w:cstheme="minorHAnsi"/>
                <w:color w:val="000000"/>
                <w:sz w:val="22"/>
                <w:szCs w:val="22"/>
                <w:lang w:val="en-CA"/>
              </w:rPr>
            </w:pPr>
            <w:r w:rsidRPr="00E15658">
              <w:rPr>
                <w:rFonts w:asciiTheme="minorHAnsi" w:hAnsiTheme="minorHAnsi" w:cstheme="minorHAnsi"/>
                <w:color w:val="000000"/>
                <w:sz w:val="22"/>
                <w:szCs w:val="22"/>
                <w:lang w:val="en-CA"/>
              </w:rPr>
              <w:t>30</w:t>
            </w:r>
          </w:p>
        </w:tc>
      </w:tr>
      <w:tr w:rsidR="0016520F" w:rsidRPr="00E15658" w14:paraId="4A75BEBD" w14:textId="77777777" w:rsidTr="00B96152">
        <w:trPr>
          <w:cantSplit/>
          <w:trHeight w:val="290"/>
          <w:tblHeader/>
          <w:jc w:val="center"/>
        </w:trPr>
        <w:tc>
          <w:tcPr>
            <w:tcW w:w="1198" w:type="pct"/>
          </w:tcPr>
          <w:p w14:paraId="639514CD" w14:textId="77777777" w:rsidR="0016520F" w:rsidRPr="00E15658" w:rsidRDefault="0016520F" w:rsidP="00C830B4">
            <w:pPr>
              <w:autoSpaceDE w:val="0"/>
              <w:autoSpaceDN w:val="0"/>
              <w:adjustRightInd w:val="0"/>
              <w:rPr>
                <w:rFonts w:asciiTheme="minorHAnsi" w:hAnsiTheme="minorHAnsi" w:cstheme="minorHAnsi"/>
                <w:color w:val="000000"/>
                <w:sz w:val="22"/>
                <w:szCs w:val="22"/>
                <w:lang w:val="en-CA"/>
              </w:rPr>
            </w:pPr>
            <w:r w:rsidRPr="00E15658">
              <w:rPr>
                <w:rFonts w:asciiTheme="minorHAnsi" w:hAnsiTheme="minorHAnsi" w:cstheme="minorHAnsi"/>
                <w:color w:val="000000"/>
                <w:sz w:val="22"/>
                <w:szCs w:val="22"/>
                <w:lang w:val="en-CA"/>
              </w:rPr>
              <w:t>As of March 31, 2019</w:t>
            </w:r>
          </w:p>
        </w:tc>
        <w:tc>
          <w:tcPr>
            <w:tcW w:w="903" w:type="pct"/>
          </w:tcPr>
          <w:p w14:paraId="694BFB79" w14:textId="77777777" w:rsidR="0016520F" w:rsidRPr="00E15658" w:rsidRDefault="0016520F" w:rsidP="00C830B4">
            <w:pPr>
              <w:autoSpaceDE w:val="0"/>
              <w:autoSpaceDN w:val="0"/>
              <w:adjustRightInd w:val="0"/>
              <w:jc w:val="center"/>
              <w:rPr>
                <w:rFonts w:asciiTheme="minorHAnsi" w:hAnsiTheme="minorHAnsi" w:cstheme="minorHAnsi"/>
                <w:color w:val="000000"/>
                <w:sz w:val="22"/>
                <w:szCs w:val="22"/>
                <w:lang w:val="en-CA"/>
              </w:rPr>
            </w:pPr>
            <w:r w:rsidRPr="00E15658">
              <w:rPr>
                <w:rFonts w:asciiTheme="minorHAnsi" w:hAnsiTheme="minorHAnsi" w:cstheme="minorHAnsi"/>
                <w:color w:val="000000"/>
                <w:sz w:val="22"/>
                <w:szCs w:val="22"/>
                <w:lang w:val="en-CA"/>
              </w:rPr>
              <w:t>24</w:t>
            </w:r>
          </w:p>
        </w:tc>
        <w:tc>
          <w:tcPr>
            <w:tcW w:w="725" w:type="pct"/>
          </w:tcPr>
          <w:p w14:paraId="22FB4C97" w14:textId="77777777" w:rsidR="0016520F" w:rsidRPr="00E15658" w:rsidRDefault="0016520F" w:rsidP="00C830B4">
            <w:pPr>
              <w:autoSpaceDE w:val="0"/>
              <w:autoSpaceDN w:val="0"/>
              <w:adjustRightInd w:val="0"/>
              <w:jc w:val="center"/>
              <w:rPr>
                <w:rFonts w:asciiTheme="minorHAnsi" w:hAnsiTheme="minorHAnsi" w:cstheme="minorHAnsi"/>
                <w:color w:val="000000"/>
                <w:sz w:val="22"/>
                <w:szCs w:val="22"/>
                <w:lang w:val="en-CA"/>
              </w:rPr>
            </w:pPr>
            <w:r w:rsidRPr="00E15658">
              <w:rPr>
                <w:rFonts w:asciiTheme="minorHAnsi" w:hAnsiTheme="minorHAnsi" w:cstheme="minorHAnsi"/>
                <w:color w:val="000000"/>
                <w:sz w:val="22"/>
                <w:szCs w:val="22"/>
                <w:lang w:val="en-CA"/>
              </w:rPr>
              <w:t>3</w:t>
            </w:r>
          </w:p>
        </w:tc>
        <w:tc>
          <w:tcPr>
            <w:tcW w:w="725" w:type="pct"/>
          </w:tcPr>
          <w:p w14:paraId="1DB60B75" w14:textId="77777777" w:rsidR="0016520F" w:rsidRPr="00E15658" w:rsidRDefault="0016520F" w:rsidP="00C830B4">
            <w:pPr>
              <w:autoSpaceDE w:val="0"/>
              <w:autoSpaceDN w:val="0"/>
              <w:adjustRightInd w:val="0"/>
              <w:jc w:val="center"/>
              <w:rPr>
                <w:rFonts w:asciiTheme="minorHAnsi" w:hAnsiTheme="minorHAnsi" w:cstheme="minorHAnsi"/>
                <w:color w:val="000000"/>
                <w:sz w:val="22"/>
                <w:szCs w:val="22"/>
                <w:lang w:val="en-CA"/>
              </w:rPr>
            </w:pPr>
            <w:r w:rsidRPr="00E15658">
              <w:rPr>
                <w:rFonts w:asciiTheme="minorHAnsi" w:hAnsiTheme="minorHAnsi" w:cstheme="minorHAnsi"/>
                <w:color w:val="000000"/>
                <w:sz w:val="22"/>
                <w:szCs w:val="22"/>
                <w:lang w:val="en-CA"/>
              </w:rPr>
              <w:t>0</w:t>
            </w:r>
          </w:p>
        </w:tc>
        <w:tc>
          <w:tcPr>
            <w:tcW w:w="725" w:type="pct"/>
          </w:tcPr>
          <w:p w14:paraId="6BE24FBC" w14:textId="77777777" w:rsidR="0016520F" w:rsidRPr="00E15658" w:rsidRDefault="0016520F" w:rsidP="00C830B4">
            <w:pPr>
              <w:autoSpaceDE w:val="0"/>
              <w:autoSpaceDN w:val="0"/>
              <w:adjustRightInd w:val="0"/>
              <w:jc w:val="center"/>
              <w:rPr>
                <w:rFonts w:asciiTheme="minorHAnsi" w:hAnsiTheme="minorHAnsi" w:cstheme="minorHAnsi"/>
                <w:color w:val="000000"/>
                <w:sz w:val="22"/>
                <w:szCs w:val="22"/>
                <w:lang w:val="en-CA"/>
              </w:rPr>
            </w:pPr>
            <w:r w:rsidRPr="00E15658">
              <w:rPr>
                <w:rFonts w:asciiTheme="minorHAnsi" w:hAnsiTheme="minorHAnsi" w:cstheme="minorHAnsi"/>
                <w:color w:val="000000"/>
                <w:sz w:val="22"/>
                <w:szCs w:val="22"/>
                <w:lang w:val="en-CA"/>
              </w:rPr>
              <w:t>3</w:t>
            </w:r>
          </w:p>
        </w:tc>
        <w:tc>
          <w:tcPr>
            <w:tcW w:w="725" w:type="pct"/>
          </w:tcPr>
          <w:p w14:paraId="6419BD08" w14:textId="77777777" w:rsidR="0016520F" w:rsidRPr="00E15658" w:rsidRDefault="0016520F" w:rsidP="00C830B4">
            <w:pPr>
              <w:autoSpaceDE w:val="0"/>
              <w:autoSpaceDN w:val="0"/>
              <w:adjustRightInd w:val="0"/>
              <w:jc w:val="center"/>
              <w:rPr>
                <w:rFonts w:asciiTheme="minorHAnsi" w:hAnsiTheme="minorHAnsi" w:cstheme="minorHAnsi"/>
                <w:color w:val="000000"/>
                <w:sz w:val="22"/>
                <w:szCs w:val="22"/>
                <w:lang w:val="en-CA"/>
              </w:rPr>
            </w:pPr>
            <w:r w:rsidRPr="00E15658">
              <w:rPr>
                <w:rFonts w:asciiTheme="minorHAnsi" w:hAnsiTheme="minorHAnsi" w:cstheme="minorHAnsi"/>
                <w:color w:val="000000"/>
                <w:sz w:val="22"/>
                <w:szCs w:val="22"/>
                <w:lang w:val="en-CA"/>
              </w:rPr>
              <w:t>30</w:t>
            </w:r>
          </w:p>
        </w:tc>
      </w:tr>
    </w:tbl>
    <w:p w14:paraId="79FB2A42" w14:textId="2223228B" w:rsidR="0016520F" w:rsidRPr="003222DC" w:rsidRDefault="0016520F" w:rsidP="0016520F">
      <w:pPr>
        <w:spacing w:before="240"/>
        <w:rPr>
          <w:rStyle w:val="lev"/>
          <w:rFonts w:asciiTheme="minorHAnsi" w:hAnsiTheme="minorHAnsi" w:cstheme="minorHAnsi"/>
          <w:b w:val="0"/>
          <w:sz w:val="22"/>
        </w:rPr>
      </w:pPr>
      <w:r w:rsidRPr="003222DC">
        <w:rPr>
          <w:rStyle w:val="lev"/>
          <w:rFonts w:asciiTheme="minorHAnsi" w:hAnsiTheme="minorHAnsi" w:cstheme="minorHAnsi"/>
          <w:b w:val="0"/>
          <w:sz w:val="22"/>
          <w:lang w:val="en-CA"/>
        </w:rPr>
        <w:t>* The Administrative Tribunals Support Service of Canada is the result of an amalgamation of eleven (11) federal administrative tribunals in 2014</w:t>
      </w:r>
    </w:p>
    <w:p w14:paraId="2D88685F" w14:textId="2F5268D4" w:rsidR="0016520F" w:rsidRDefault="00560AF2" w:rsidP="0016520F">
      <w:pPr>
        <w:pStyle w:val="Titre3"/>
        <w:jc w:val="center"/>
        <w:rPr>
          <w:rStyle w:val="lev"/>
          <w:rFonts w:asciiTheme="minorHAnsi" w:hAnsiTheme="minorHAnsi" w:cstheme="minorHAnsi"/>
          <w:sz w:val="22"/>
        </w:rPr>
        <w:sectPr w:rsidR="0016520F" w:rsidSect="00985A43">
          <w:pgSz w:w="15840" w:h="12240" w:orient="landscape"/>
          <w:pgMar w:top="1025" w:right="720" w:bottom="720" w:left="720" w:header="708" w:footer="397" w:gutter="0"/>
          <w:cols w:space="708"/>
          <w:titlePg/>
          <w:docGrid w:linePitch="360"/>
        </w:sectPr>
      </w:pPr>
      <w:r w:rsidRPr="00ED2548">
        <w:rPr>
          <w:rStyle w:val="lev"/>
          <w:rFonts w:asciiTheme="minorHAnsi" w:hAnsiTheme="minorHAnsi" w:cstheme="minorHAnsi"/>
          <w:sz w:val="22"/>
        </w:rPr>
        <w:t>.</w:t>
      </w:r>
    </w:p>
    <w:p w14:paraId="48390C1E" w14:textId="0D39AA46" w:rsidR="008B6090" w:rsidRPr="008B6090" w:rsidRDefault="008B6090" w:rsidP="008B6090">
      <w:pPr>
        <w:pStyle w:val="Titre1"/>
        <w:spacing w:before="120" w:after="120"/>
        <w:rPr>
          <w:sz w:val="40"/>
          <w:szCs w:val="40"/>
        </w:rPr>
      </w:pPr>
      <w:r w:rsidRPr="008B6090">
        <w:rPr>
          <w:sz w:val="40"/>
          <w:szCs w:val="40"/>
        </w:rPr>
        <w:lastRenderedPageBreak/>
        <w:t>Population by language requirements as of March 31, 2019</w:t>
      </w:r>
    </w:p>
    <w:p w14:paraId="374762F0" w14:textId="77777777" w:rsidR="002025C2" w:rsidRDefault="00B1311D" w:rsidP="002025C2">
      <w:pPr>
        <w:keepNext/>
        <w:tabs>
          <w:tab w:val="left" w:pos="7839"/>
        </w:tabs>
        <w:jc w:val="center"/>
      </w:pPr>
      <w:r w:rsidRPr="00E628AA">
        <w:rPr>
          <w:rStyle w:val="lev"/>
          <w:noProof/>
          <w:lang w:val="en-CA" w:eastAsia="en-CA"/>
        </w:rPr>
        <w:drawing>
          <wp:inline distT="0" distB="0" distL="0" distR="0" wp14:anchorId="1A194B30" wp14:editId="73B31921">
            <wp:extent cx="1980000" cy="3020400"/>
            <wp:effectExtent l="0" t="0" r="1270" b="8890"/>
            <wp:docPr id="8" name="Chart 8" descr="Population by language requirements as of March 31, 20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236FEDB1" w14:textId="46DDEBC2" w:rsidR="00B1311D" w:rsidRDefault="002025C2" w:rsidP="002025C2">
      <w:pPr>
        <w:pStyle w:val="Lgende"/>
        <w:spacing w:after="240"/>
        <w:jc w:val="center"/>
        <w:rPr>
          <w:rStyle w:val="Titre3Car"/>
          <w:color w:val="auto"/>
          <w:sz w:val="22"/>
          <w:lang w:val="en-CA"/>
        </w:rPr>
      </w:pPr>
      <w:r>
        <w:t xml:space="preserve">Figure </w:t>
      </w:r>
      <w:r>
        <w:fldChar w:fldCharType="begin"/>
      </w:r>
      <w:r>
        <w:instrText xml:space="preserve"> SEQ Figure \* ARABIC </w:instrText>
      </w:r>
      <w:r>
        <w:fldChar w:fldCharType="separate"/>
      </w:r>
      <w:r w:rsidR="0016520F">
        <w:rPr>
          <w:noProof/>
        </w:rPr>
        <w:t>2</w:t>
      </w:r>
      <w:r>
        <w:fldChar w:fldCharType="end"/>
      </w:r>
      <w:r>
        <w:t xml:space="preserve"> - Population by language requirements as of March 31, 2019</w:t>
      </w:r>
    </w:p>
    <w:p w14:paraId="623A1A36" w14:textId="3EEBC12A" w:rsidR="002025C2" w:rsidRDefault="002025C2" w:rsidP="002025C2">
      <w:pPr>
        <w:pStyle w:val="Lgende"/>
        <w:keepNext/>
        <w:jc w:val="center"/>
      </w:pPr>
      <w:r>
        <w:t xml:space="preserve">Table </w:t>
      </w:r>
      <w:r>
        <w:fldChar w:fldCharType="begin"/>
      </w:r>
      <w:r>
        <w:instrText xml:space="preserve"> SEQ Table \* ARABIC </w:instrText>
      </w:r>
      <w:r>
        <w:fldChar w:fldCharType="separate"/>
      </w:r>
      <w:r w:rsidR="0016520F">
        <w:rPr>
          <w:noProof/>
        </w:rPr>
        <w:t>2</w:t>
      </w:r>
      <w:r>
        <w:fldChar w:fldCharType="end"/>
      </w:r>
      <w:r>
        <w:t xml:space="preserve"> - </w:t>
      </w:r>
      <w:r w:rsidRPr="00624438">
        <w:t>Public Service Employment Act population by language requirements of the position for fiscal year 2018 to 2019</w:t>
      </w:r>
    </w:p>
    <w:tbl>
      <w:tblPr>
        <w:tblStyle w:val="Grilledutableau"/>
        <w:tblW w:w="5000" w:type="pct"/>
        <w:jc w:val="center"/>
        <w:tblLook w:val="00A0" w:firstRow="1" w:lastRow="0" w:firstColumn="1" w:lastColumn="0" w:noHBand="0" w:noVBand="0"/>
        <w:tblDescription w:val="Population by language requirements as of March 31, 2019 "/>
      </w:tblPr>
      <w:tblGrid>
        <w:gridCol w:w="4779"/>
        <w:gridCol w:w="3955"/>
        <w:gridCol w:w="5656"/>
      </w:tblGrid>
      <w:tr w:rsidR="002025C2" w:rsidRPr="002025C2" w14:paraId="078DEC1E" w14:textId="77777777" w:rsidTr="003A2C68">
        <w:trPr>
          <w:cantSplit/>
          <w:trHeight w:val="290"/>
          <w:tblHeader/>
          <w:jc w:val="center"/>
        </w:trPr>
        <w:tc>
          <w:tcPr>
            <w:tcW w:w="1660" w:type="pct"/>
          </w:tcPr>
          <w:p w14:paraId="432F831D" w14:textId="77777777" w:rsidR="002025C2" w:rsidRPr="002025C2" w:rsidRDefault="002025C2" w:rsidP="004842D8">
            <w:pPr>
              <w:pStyle w:val="TableTitle"/>
              <w:rPr>
                <w:color w:val="auto"/>
                <w:sz w:val="22"/>
                <w:lang w:val="en-CA"/>
              </w:rPr>
            </w:pPr>
            <w:r w:rsidRPr="002025C2">
              <w:rPr>
                <w:color w:val="auto"/>
                <w:sz w:val="22"/>
                <w:lang w:val="en-CA"/>
              </w:rPr>
              <w:t>Linguistic requirements of the position</w:t>
            </w:r>
          </w:p>
        </w:tc>
        <w:tc>
          <w:tcPr>
            <w:tcW w:w="1374" w:type="pct"/>
          </w:tcPr>
          <w:p w14:paraId="10C5D67D" w14:textId="77777777" w:rsidR="002025C2" w:rsidRPr="002025C2" w:rsidRDefault="002025C2" w:rsidP="004842D8">
            <w:pPr>
              <w:pStyle w:val="TableTitle"/>
              <w:rPr>
                <w:color w:val="auto"/>
                <w:sz w:val="22"/>
                <w:lang w:val="en-CA"/>
              </w:rPr>
            </w:pPr>
            <w:r w:rsidRPr="002025C2">
              <w:rPr>
                <w:color w:val="auto"/>
                <w:sz w:val="22"/>
                <w:lang w:val="en-CA"/>
              </w:rPr>
              <w:t>Population as of March 31, 2019</w:t>
            </w:r>
          </w:p>
        </w:tc>
        <w:tc>
          <w:tcPr>
            <w:tcW w:w="1965" w:type="pct"/>
          </w:tcPr>
          <w:p w14:paraId="10C242EB" w14:textId="77777777" w:rsidR="002025C2" w:rsidRPr="002025C2" w:rsidRDefault="002025C2" w:rsidP="004842D8">
            <w:pPr>
              <w:pStyle w:val="TableTitle"/>
              <w:rPr>
                <w:color w:val="auto"/>
                <w:sz w:val="22"/>
                <w:lang w:val="en-CA"/>
              </w:rPr>
            </w:pPr>
            <w:r w:rsidRPr="002025C2">
              <w:rPr>
                <w:color w:val="auto"/>
                <w:sz w:val="22"/>
                <w:lang w:val="en-CA"/>
              </w:rPr>
              <w:t>Percentage of population as of March 31, 2019</w:t>
            </w:r>
          </w:p>
        </w:tc>
      </w:tr>
      <w:tr w:rsidR="002025C2" w:rsidRPr="002025C2" w14:paraId="44D10DA7" w14:textId="77777777" w:rsidTr="003A2C68">
        <w:trPr>
          <w:cantSplit/>
          <w:trHeight w:val="290"/>
          <w:tblHeader/>
          <w:jc w:val="center"/>
        </w:trPr>
        <w:tc>
          <w:tcPr>
            <w:tcW w:w="1660" w:type="pct"/>
          </w:tcPr>
          <w:p w14:paraId="6AA7FDF5" w14:textId="77777777" w:rsidR="002025C2" w:rsidRPr="002025C2" w:rsidRDefault="002025C2" w:rsidP="004842D8">
            <w:pPr>
              <w:autoSpaceDE w:val="0"/>
              <w:autoSpaceDN w:val="0"/>
              <w:adjustRightInd w:val="0"/>
              <w:rPr>
                <w:rFonts w:asciiTheme="minorHAnsi" w:hAnsiTheme="minorHAnsi" w:cstheme="minorHAnsi"/>
                <w:color w:val="000000"/>
                <w:sz w:val="22"/>
                <w:szCs w:val="24"/>
                <w:lang w:val="en-CA"/>
              </w:rPr>
            </w:pPr>
            <w:r w:rsidRPr="002025C2">
              <w:rPr>
                <w:rFonts w:asciiTheme="minorHAnsi" w:hAnsiTheme="minorHAnsi" w:cstheme="minorHAnsi"/>
                <w:color w:val="000000"/>
                <w:sz w:val="22"/>
                <w:szCs w:val="24"/>
                <w:lang w:val="en-CA"/>
              </w:rPr>
              <w:t xml:space="preserve">Bilingual </w:t>
            </w:r>
          </w:p>
        </w:tc>
        <w:tc>
          <w:tcPr>
            <w:tcW w:w="1374" w:type="pct"/>
          </w:tcPr>
          <w:p w14:paraId="49C68FA6" w14:textId="77777777" w:rsidR="002025C2" w:rsidRPr="002025C2" w:rsidRDefault="002025C2" w:rsidP="004842D8">
            <w:pPr>
              <w:autoSpaceDE w:val="0"/>
              <w:autoSpaceDN w:val="0"/>
              <w:adjustRightInd w:val="0"/>
              <w:jc w:val="center"/>
              <w:rPr>
                <w:rFonts w:asciiTheme="minorHAnsi" w:hAnsiTheme="minorHAnsi" w:cstheme="minorHAnsi"/>
                <w:color w:val="000000"/>
                <w:sz w:val="22"/>
                <w:szCs w:val="24"/>
                <w:lang w:val="en-CA"/>
              </w:rPr>
            </w:pPr>
            <w:r w:rsidRPr="002025C2">
              <w:rPr>
                <w:rFonts w:asciiTheme="minorHAnsi" w:hAnsiTheme="minorHAnsi" w:cstheme="minorHAnsi"/>
                <w:color w:val="000000"/>
                <w:sz w:val="22"/>
                <w:szCs w:val="24"/>
                <w:lang w:val="en-CA"/>
              </w:rPr>
              <w:t>8</w:t>
            </w:r>
          </w:p>
        </w:tc>
        <w:tc>
          <w:tcPr>
            <w:tcW w:w="1965" w:type="pct"/>
            <w:shd w:val="clear" w:color="auto" w:fill="auto"/>
          </w:tcPr>
          <w:p w14:paraId="61819F81" w14:textId="77777777" w:rsidR="002025C2" w:rsidRPr="002025C2" w:rsidRDefault="002025C2" w:rsidP="004842D8">
            <w:pPr>
              <w:autoSpaceDE w:val="0"/>
              <w:autoSpaceDN w:val="0"/>
              <w:adjustRightInd w:val="0"/>
              <w:jc w:val="center"/>
              <w:rPr>
                <w:rFonts w:asciiTheme="minorHAnsi" w:hAnsiTheme="minorHAnsi" w:cstheme="minorHAnsi"/>
                <w:color w:val="000000"/>
                <w:sz w:val="22"/>
                <w:szCs w:val="24"/>
                <w:lang w:val="en-CA"/>
              </w:rPr>
            </w:pPr>
            <w:r w:rsidRPr="002025C2">
              <w:rPr>
                <w:rFonts w:asciiTheme="minorHAnsi" w:hAnsiTheme="minorHAnsi" w:cstheme="minorHAnsi"/>
                <w:color w:val="000000"/>
                <w:sz w:val="22"/>
                <w:szCs w:val="24"/>
                <w:lang w:val="en-CA"/>
              </w:rPr>
              <w:t>68%</w:t>
            </w:r>
          </w:p>
        </w:tc>
      </w:tr>
      <w:tr w:rsidR="002025C2" w:rsidRPr="002025C2" w14:paraId="7902DB48" w14:textId="77777777" w:rsidTr="003A2C68">
        <w:trPr>
          <w:cantSplit/>
          <w:trHeight w:val="290"/>
          <w:tblHeader/>
          <w:jc w:val="center"/>
        </w:trPr>
        <w:tc>
          <w:tcPr>
            <w:tcW w:w="1660" w:type="pct"/>
          </w:tcPr>
          <w:p w14:paraId="230587D3" w14:textId="77777777" w:rsidR="002025C2" w:rsidRPr="002025C2" w:rsidRDefault="002025C2" w:rsidP="004842D8">
            <w:pPr>
              <w:autoSpaceDE w:val="0"/>
              <w:autoSpaceDN w:val="0"/>
              <w:adjustRightInd w:val="0"/>
              <w:rPr>
                <w:rFonts w:asciiTheme="minorHAnsi" w:hAnsiTheme="minorHAnsi" w:cstheme="minorHAnsi"/>
                <w:color w:val="000000"/>
                <w:sz w:val="22"/>
                <w:szCs w:val="24"/>
                <w:lang w:val="en-CA"/>
              </w:rPr>
            </w:pPr>
            <w:r w:rsidRPr="002025C2">
              <w:rPr>
                <w:rFonts w:asciiTheme="minorHAnsi" w:hAnsiTheme="minorHAnsi" w:cstheme="minorHAnsi"/>
                <w:color w:val="000000"/>
                <w:sz w:val="22"/>
                <w:szCs w:val="24"/>
                <w:lang w:val="en-CA"/>
              </w:rPr>
              <w:t>Unilingual</w:t>
            </w:r>
          </w:p>
        </w:tc>
        <w:tc>
          <w:tcPr>
            <w:tcW w:w="1374" w:type="pct"/>
          </w:tcPr>
          <w:p w14:paraId="2638806C" w14:textId="77777777" w:rsidR="002025C2" w:rsidRPr="002025C2" w:rsidRDefault="002025C2" w:rsidP="004842D8">
            <w:pPr>
              <w:autoSpaceDE w:val="0"/>
              <w:autoSpaceDN w:val="0"/>
              <w:adjustRightInd w:val="0"/>
              <w:jc w:val="center"/>
              <w:rPr>
                <w:rFonts w:asciiTheme="minorHAnsi" w:hAnsiTheme="minorHAnsi" w:cstheme="minorHAnsi"/>
                <w:color w:val="000000"/>
                <w:sz w:val="22"/>
                <w:szCs w:val="24"/>
                <w:lang w:val="en-CA"/>
              </w:rPr>
            </w:pPr>
            <w:r w:rsidRPr="002025C2">
              <w:rPr>
                <w:rFonts w:asciiTheme="minorHAnsi" w:hAnsiTheme="minorHAnsi" w:cstheme="minorHAnsi"/>
                <w:color w:val="000000"/>
                <w:sz w:val="22"/>
                <w:szCs w:val="24"/>
                <w:lang w:val="en-CA"/>
              </w:rPr>
              <w:t>17</w:t>
            </w:r>
          </w:p>
        </w:tc>
        <w:tc>
          <w:tcPr>
            <w:tcW w:w="1965" w:type="pct"/>
            <w:shd w:val="clear" w:color="auto" w:fill="auto"/>
          </w:tcPr>
          <w:p w14:paraId="60A36FBF" w14:textId="77777777" w:rsidR="002025C2" w:rsidRPr="002025C2" w:rsidRDefault="002025C2" w:rsidP="004842D8">
            <w:pPr>
              <w:autoSpaceDE w:val="0"/>
              <w:autoSpaceDN w:val="0"/>
              <w:adjustRightInd w:val="0"/>
              <w:jc w:val="center"/>
              <w:rPr>
                <w:rFonts w:asciiTheme="minorHAnsi" w:hAnsiTheme="minorHAnsi" w:cstheme="minorHAnsi"/>
                <w:color w:val="000000"/>
                <w:sz w:val="22"/>
                <w:szCs w:val="24"/>
                <w:lang w:val="en-CA"/>
              </w:rPr>
            </w:pPr>
            <w:r w:rsidRPr="002025C2">
              <w:rPr>
                <w:rFonts w:asciiTheme="minorHAnsi" w:hAnsiTheme="minorHAnsi" w:cstheme="minorHAnsi"/>
                <w:color w:val="000000"/>
                <w:sz w:val="22"/>
                <w:szCs w:val="24"/>
                <w:lang w:val="en-CA"/>
              </w:rPr>
              <w:t>32%</w:t>
            </w:r>
          </w:p>
        </w:tc>
      </w:tr>
      <w:tr w:rsidR="002025C2" w:rsidRPr="002025C2" w14:paraId="429AC2FB" w14:textId="77777777" w:rsidTr="003A2C68">
        <w:trPr>
          <w:cantSplit/>
          <w:trHeight w:val="290"/>
          <w:tblHeader/>
          <w:jc w:val="center"/>
        </w:trPr>
        <w:tc>
          <w:tcPr>
            <w:tcW w:w="1660" w:type="pct"/>
          </w:tcPr>
          <w:p w14:paraId="7DA364BF" w14:textId="77777777" w:rsidR="002025C2" w:rsidRPr="002025C2" w:rsidRDefault="002025C2" w:rsidP="004842D8">
            <w:pPr>
              <w:autoSpaceDE w:val="0"/>
              <w:autoSpaceDN w:val="0"/>
              <w:adjustRightInd w:val="0"/>
              <w:rPr>
                <w:rFonts w:asciiTheme="minorHAnsi" w:hAnsiTheme="minorHAnsi" w:cstheme="minorHAnsi"/>
                <w:color w:val="000000"/>
                <w:sz w:val="22"/>
                <w:szCs w:val="24"/>
                <w:lang w:val="en-CA"/>
              </w:rPr>
            </w:pPr>
            <w:r w:rsidRPr="002025C2">
              <w:rPr>
                <w:rFonts w:asciiTheme="minorHAnsi" w:hAnsiTheme="minorHAnsi" w:cstheme="minorHAnsi"/>
                <w:color w:val="000000"/>
                <w:sz w:val="22"/>
                <w:szCs w:val="24"/>
                <w:lang w:val="en-CA"/>
              </w:rPr>
              <w:t>Unknown</w:t>
            </w:r>
          </w:p>
        </w:tc>
        <w:tc>
          <w:tcPr>
            <w:tcW w:w="1374" w:type="pct"/>
          </w:tcPr>
          <w:p w14:paraId="005CDC84" w14:textId="77777777" w:rsidR="002025C2" w:rsidRPr="002025C2" w:rsidRDefault="002025C2" w:rsidP="004842D8">
            <w:pPr>
              <w:autoSpaceDE w:val="0"/>
              <w:autoSpaceDN w:val="0"/>
              <w:adjustRightInd w:val="0"/>
              <w:jc w:val="center"/>
              <w:rPr>
                <w:rFonts w:asciiTheme="minorHAnsi" w:hAnsiTheme="minorHAnsi" w:cstheme="minorHAnsi"/>
                <w:color w:val="000000"/>
                <w:sz w:val="22"/>
                <w:szCs w:val="24"/>
                <w:lang w:val="en-CA"/>
              </w:rPr>
            </w:pPr>
            <w:r w:rsidRPr="002025C2">
              <w:rPr>
                <w:rFonts w:asciiTheme="minorHAnsi" w:hAnsiTheme="minorHAnsi" w:cstheme="minorHAnsi"/>
                <w:color w:val="000000"/>
                <w:sz w:val="22"/>
                <w:szCs w:val="24"/>
                <w:lang w:val="en-CA"/>
              </w:rPr>
              <w:t>5</w:t>
            </w:r>
          </w:p>
        </w:tc>
        <w:tc>
          <w:tcPr>
            <w:tcW w:w="1965" w:type="pct"/>
            <w:shd w:val="clear" w:color="auto" w:fill="auto"/>
          </w:tcPr>
          <w:p w14:paraId="05846170" w14:textId="77777777" w:rsidR="002025C2" w:rsidRPr="002025C2" w:rsidRDefault="002025C2" w:rsidP="004842D8">
            <w:pPr>
              <w:autoSpaceDE w:val="0"/>
              <w:autoSpaceDN w:val="0"/>
              <w:adjustRightInd w:val="0"/>
              <w:jc w:val="center"/>
              <w:rPr>
                <w:rFonts w:asciiTheme="minorHAnsi" w:hAnsiTheme="minorHAnsi" w:cstheme="minorHAnsi"/>
                <w:color w:val="000000"/>
                <w:sz w:val="22"/>
                <w:szCs w:val="24"/>
                <w:lang w:val="en-CA"/>
              </w:rPr>
            </w:pPr>
          </w:p>
        </w:tc>
      </w:tr>
    </w:tbl>
    <w:p w14:paraId="2F674A8C" w14:textId="77777777" w:rsidR="00B76D58" w:rsidRPr="00B76D58" w:rsidRDefault="00B76D58" w:rsidP="00B76D58">
      <w:pPr>
        <w:pStyle w:val="Titre1"/>
        <w:spacing w:before="120" w:after="120"/>
        <w:rPr>
          <w:sz w:val="40"/>
          <w:szCs w:val="40"/>
          <w:lang w:val="en-CA"/>
        </w:rPr>
      </w:pPr>
      <w:r w:rsidRPr="00B76D58">
        <w:rPr>
          <w:rFonts w:eastAsia="Times New Roman"/>
          <w:sz w:val="40"/>
          <w:szCs w:val="40"/>
        </w:rPr>
        <w:lastRenderedPageBreak/>
        <w:t>Population by occupational group as of March 31, 2019</w:t>
      </w:r>
    </w:p>
    <w:p w14:paraId="48E02782" w14:textId="77777777" w:rsidR="004F6769" w:rsidRDefault="00B1311D" w:rsidP="004F6769">
      <w:pPr>
        <w:keepNext/>
        <w:tabs>
          <w:tab w:val="left" w:pos="7839"/>
        </w:tabs>
        <w:jc w:val="center"/>
      </w:pPr>
      <w:r w:rsidRPr="00E628AA">
        <w:rPr>
          <w:rStyle w:val="lev"/>
          <w:noProof/>
          <w:lang w:val="en-CA" w:eastAsia="en-CA"/>
        </w:rPr>
        <w:drawing>
          <wp:inline distT="0" distB="0" distL="0" distR="0" wp14:anchorId="1CEE67DE" wp14:editId="38D80DA3">
            <wp:extent cx="1980000" cy="3020400"/>
            <wp:effectExtent l="0" t="0" r="1270" b="8890"/>
            <wp:docPr id="5" name="Chart 5" descr="Population by occupational group as of March 31, 20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1A246761" w14:textId="67CBBE68" w:rsidR="00B1311D" w:rsidRDefault="004F6769" w:rsidP="004F6769">
      <w:pPr>
        <w:pStyle w:val="Lgende"/>
        <w:spacing w:after="240"/>
        <w:jc w:val="center"/>
        <w:rPr>
          <w:rStyle w:val="Titre3Car"/>
          <w:color w:val="auto"/>
          <w:sz w:val="22"/>
          <w:lang w:val="en-CA"/>
        </w:rPr>
      </w:pPr>
      <w:r>
        <w:t xml:space="preserve">Figure </w:t>
      </w:r>
      <w:r>
        <w:fldChar w:fldCharType="begin"/>
      </w:r>
      <w:r>
        <w:instrText xml:space="preserve"> SEQ Figure \* ARABIC </w:instrText>
      </w:r>
      <w:r>
        <w:fldChar w:fldCharType="separate"/>
      </w:r>
      <w:r w:rsidR="0016520F">
        <w:rPr>
          <w:noProof/>
        </w:rPr>
        <w:t>3</w:t>
      </w:r>
      <w:r>
        <w:fldChar w:fldCharType="end"/>
      </w:r>
      <w:r>
        <w:t xml:space="preserve"> - </w:t>
      </w:r>
      <w:r w:rsidRPr="00F33B4E">
        <w:t>Population by occupational group as of March 31, 2019</w:t>
      </w:r>
    </w:p>
    <w:p w14:paraId="6F0529E4" w14:textId="70454B40" w:rsidR="0055269F" w:rsidRDefault="0055269F" w:rsidP="0055269F">
      <w:pPr>
        <w:pStyle w:val="Lgende"/>
        <w:keepNext/>
        <w:jc w:val="center"/>
      </w:pPr>
      <w:r>
        <w:t xml:space="preserve">Table </w:t>
      </w:r>
      <w:r>
        <w:fldChar w:fldCharType="begin"/>
      </w:r>
      <w:r>
        <w:instrText xml:space="preserve"> SEQ Table \* ARABIC </w:instrText>
      </w:r>
      <w:r>
        <w:fldChar w:fldCharType="separate"/>
      </w:r>
      <w:r w:rsidR="0016520F">
        <w:rPr>
          <w:noProof/>
        </w:rPr>
        <w:t>3</w:t>
      </w:r>
      <w:r>
        <w:fldChar w:fldCharType="end"/>
      </w:r>
      <w:r>
        <w:t xml:space="preserve"> - </w:t>
      </w:r>
      <w:r w:rsidRPr="00C1302C">
        <w:t>Top occupational groups, as a percentage of the Public Service Employment Act population for fiscal year 2018 to 2019</w:t>
      </w:r>
    </w:p>
    <w:tbl>
      <w:tblPr>
        <w:tblStyle w:val="Grilledutableau"/>
        <w:tblW w:w="5000" w:type="pct"/>
        <w:jc w:val="center"/>
        <w:tblLook w:val="00A0" w:firstRow="1" w:lastRow="0" w:firstColumn="1" w:lastColumn="0" w:noHBand="0" w:noVBand="0"/>
        <w:tblDescription w:val="Population by occupational group as of March 31, 2019"/>
      </w:tblPr>
      <w:tblGrid>
        <w:gridCol w:w="3724"/>
        <w:gridCol w:w="4389"/>
        <w:gridCol w:w="6277"/>
      </w:tblGrid>
      <w:tr w:rsidR="004F6769" w:rsidRPr="00E15658" w14:paraId="11F4BA17" w14:textId="77777777" w:rsidTr="003A2C68">
        <w:trPr>
          <w:cantSplit/>
          <w:trHeight w:val="290"/>
          <w:tblHeader/>
          <w:jc w:val="center"/>
        </w:trPr>
        <w:tc>
          <w:tcPr>
            <w:tcW w:w="1294" w:type="pct"/>
          </w:tcPr>
          <w:p w14:paraId="7DF386DB" w14:textId="77777777" w:rsidR="004F6769" w:rsidRPr="00E15658" w:rsidRDefault="004F6769" w:rsidP="004842D8">
            <w:pPr>
              <w:pStyle w:val="TableTitle"/>
              <w:rPr>
                <w:color w:val="auto"/>
                <w:sz w:val="22"/>
                <w:lang w:val="en-CA"/>
              </w:rPr>
            </w:pPr>
            <w:r w:rsidRPr="00E15658">
              <w:rPr>
                <w:color w:val="auto"/>
                <w:sz w:val="22"/>
                <w:lang w:val="en-CA"/>
              </w:rPr>
              <w:t>Occupational group</w:t>
            </w:r>
          </w:p>
        </w:tc>
        <w:tc>
          <w:tcPr>
            <w:tcW w:w="1525" w:type="pct"/>
          </w:tcPr>
          <w:p w14:paraId="02898A7B" w14:textId="77777777" w:rsidR="004F6769" w:rsidRPr="00E15658" w:rsidRDefault="004F6769" w:rsidP="004842D8">
            <w:pPr>
              <w:pStyle w:val="TableTitle"/>
              <w:rPr>
                <w:color w:val="auto"/>
                <w:sz w:val="22"/>
                <w:lang w:val="en-CA"/>
              </w:rPr>
            </w:pPr>
            <w:r w:rsidRPr="00E15658">
              <w:rPr>
                <w:color w:val="auto"/>
                <w:sz w:val="22"/>
                <w:lang w:val="en-CA"/>
              </w:rPr>
              <w:t>Population as of March 31, 2019</w:t>
            </w:r>
          </w:p>
        </w:tc>
        <w:tc>
          <w:tcPr>
            <w:tcW w:w="2181" w:type="pct"/>
          </w:tcPr>
          <w:p w14:paraId="71923B2A" w14:textId="77777777" w:rsidR="004F6769" w:rsidRPr="00E15658" w:rsidRDefault="004F6769" w:rsidP="004842D8">
            <w:pPr>
              <w:pStyle w:val="TableTitle"/>
              <w:rPr>
                <w:color w:val="auto"/>
                <w:sz w:val="22"/>
                <w:lang w:val="en-CA"/>
              </w:rPr>
            </w:pPr>
            <w:r w:rsidRPr="00E15658">
              <w:rPr>
                <w:color w:val="auto"/>
                <w:sz w:val="22"/>
                <w:lang w:val="en-CA"/>
              </w:rPr>
              <w:t>Percentage of population as of March 31, 2019</w:t>
            </w:r>
          </w:p>
        </w:tc>
      </w:tr>
      <w:tr w:rsidR="004F6769" w:rsidRPr="00E15658" w14:paraId="30924CA4" w14:textId="77777777" w:rsidTr="003A2C68">
        <w:trPr>
          <w:cantSplit/>
          <w:trHeight w:val="290"/>
          <w:tblHeader/>
          <w:jc w:val="center"/>
        </w:trPr>
        <w:tc>
          <w:tcPr>
            <w:tcW w:w="1294" w:type="pct"/>
          </w:tcPr>
          <w:p w14:paraId="7493CA43" w14:textId="77777777" w:rsidR="004F6769" w:rsidRPr="00E15658" w:rsidRDefault="004F6769" w:rsidP="004842D8">
            <w:pPr>
              <w:autoSpaceDE w:val="0"/>
              <w:autoSpaceDN w:val="0"/>
              <w:adjustRightInd w:val="0"/>
              <w:rPr>
                <w:rFonts w:asciiTheme="minorHAnsi" w:hAnsiTheme="minorHAnsi" w:cstheme="minorHAnsi"/>
                <w:color w:val="000000"/>
                <w:sz w:val="22"/>
                <w:szCs w:val="24"/>
                <w:lang w:val="en-CA"/>
              </w:rPr>
            </w:pPr>
            <w:r w:rsidRPr="00E15658">
              <w:rPr>
                <w:rFonts w:asciiTheme="minorHAnsi" w:hAnsiTheme="minorHAnsi" w:cstheme="minorHAnsi"/>
                <w:color w:val="000000"/>
                <w:sz w:val="22"/>
                <w:szCs w:val="24"/>
                <w:lang w:val="en-CA"/>
              </w:rPr>
              <w:t>AS – Administrative Services</w:t>
            </w:r>
          </w:p>
        </w:tc>
        <w:tc>
          <w:tcPr>
            <w:tcW w:w="1525" w:type="pct"/>
          </w:tcPr>
          <w:p w14:paraId="64C3583C" w14:textId="77777777" w:rsidR="004F6769" w:rsidRPr="00E15658" w:rsidRDefault="004F6769" w:rsidP="004842D8">
            <w:pPr>
              <w:autoSpaceDE w:val="0"/>
              <w:autoSpaceDN w:val="0"/>
              <w:adjustRightInd w:val="0"/>
              <w:jc w:val="center"/>
              <w:rPr>
                <w:rFonts w:asciiTheme="minorHAnsi" w:hAnsiTheme="minorHAnsi" w:cstheme="minorHAnsi"/>
                <w:color w:val="000000"/>
                <w:sz w:val="22"/>
                <w:szCs w:val="24"/>
                <w:lang w:val="en-CA"/>
              </w:rPr>
            </w:pPr>
            <w:r w:rsidRPr="00E15658">
              <w:rPr>
                <w:rFonts w:asciiTheme="minorHAnsi" w:hAnsiTheme="minorHAnsi" w:cstheme="minorHAnsi"/>
                <w:color w:val="000000"/>
                <w:sz w:val="22"/>
                <w:szCs w:val="24"/>
                <w:lang w:val="en-CA"/>
              </w:rPr>
              <w:t>8</w:t>
            </w:r>
          </w:p>
        </w:tc>
        <w:tc>
          <w:tcPr>
            <w:tcW w:w="2181" w:type="pct"/>
          </w:tcPr>
          <w:p w14:paraId="351CE537" w14:textId="77777777" w:rsidR="004F6769" w:rsidRPr="00E15658" w:rsidRDefault="004F6769" w:rsidP="004842D8">
            <w:pPr>
              <w:autoSpaceDE w:val="0"/>
              <w:autoSpaceDN w:val="0"/>
              <w:adjustRightInd w:val="0"/>
              <w:jc w:val="center"/>
              <w:rPr>
                <w:rFonts w:asciiTheme="minorHAnsi" w:hAnsiTheme="minorHAnsi" w:cstheme="minorHAnsi"/>
                <w:color w:val="000000"/>
                <w:sz w:val="22"/>
                <w:szCs w:val="24"/>
                <w:lang w:val="en-CA"/>
              </w:rPr>
            </w:pPr>
            <w:r w:rsidRPr="00E15658">
              <w:rPr>
                <w:rFonts w:asciiTheme="minorHAnsi" w:hAnsiTheme="minorHAnsi" w:cstheme="minorHAnsi"/>
                <w:color w:val="000000"/>
                <w:sz w:val="22"/>
                <w:szCs w:val="24"/>
                <w:lang w:val="en-CA"/>
              </w:rPr>
              <w:t>30%</w:t>
            </w:r>
          </w:p>
        </w:tc>
      </w:tr>
      <w:tr w:rsidR="004F6769" w:rsidRPr="00E15658" w14:paraId="285927F7" w14:textId="77777777" w:rsidTr="003A2C68">
        <w:trPr>
          <w:cantSplit/>
          <w:trHeight w:val="290"/>
          <w:tblHeader/>
          <w:jc w:val="center"/>
        </w:trPr>
        <w:tc>
          <w:tcPr>
            <w:tcW w:w="1294" w:type="pct"/>
          </w:tcPr>
          <w:p w14:paraId="77930B5D" w14:textId="77777777" w:rsidR="004F6769" w:rsidRPr="00E15658" w:rsidRDefault="004F6769" w:rsidP="004842D8">
            <w:pPr>
              <w:autoSpaceDE w:val="0"/>
              <w:autoSpaceDN w:val="0"/>
              <w:adjustRightInd w:val="0"/>
              <w:rPr>
                <w:rFonts w:asciiTheme="minorHAnsi" w:hAnsiTheme="minorHAnsi" w:cstheme="minorHAnsi"/>
                <w:color w:val="000000"/>
                <w:sz w:val="22"/>
                <w:szCs w:val="24"/>
                <w:lang w:val="en-CA"/>
              </w:rPr>
            </w:pPr>
            <w:r w:rsidRPr="00E15658">
              <w:rPr>
                <w:rFonts w:asciiTheme="minorHAnsi" w:hAnsiTheme="minorHAnsi" w:cstheme="minorHAnsi"/>
                <w:color w:val="000000"/>
                <w:sz w:val="22"/>
                <w:szCs w:val="24"/>
                <w:lang w:val="en-CA"/>
              </w:rPr>
              <w:t>PC – Physical Sciences</w:t>
            </w:r>
          </w:p>
        </w:tc>
        <w:tc>
          <w:tcPr>
            <w:tcW w:w="1525" w:type="pct"/>
          </w:tcPr>
          <w:p w14:paraId="5F27DC2E" w14:textId="77777777" w:rsidR="004F6769" w:rsidRPr="00E15658" w:rsidRDefault="004F6769" w:rsidP="004842D8">
            <w:pPr>
              <w:autoSpaceDE w:val="0"/>
              <w:autoSpaceDN w:val="0"/>
              <w:adjustRightInd w:val="0"/>
              <w:jc w:val="center"/>
              <w:rPr>
                <w:rFonts w:asciiTheme="minorHAnsi" w:hAnsiTheme="minorHAnsi" w:cstheme="minorHAnsi"/>
                <w:color w:val="000000"/>
                <w:sz w:val="22"/>
                <w:szCs w:val="24"/>
                <w:lang w:val="en-CA"/>
              </w:rPr>
            </w:pPr>
            <w:r w:rsidRPr="00E15658">
              <w:rPr>
                <w:rFonts w:asciiTheme="minorHAnsi" w:hAnsiTheme="minorHAnsi" w:cstheme="minorHAnsi"/>
                <w:color w:val="000000"/>
                <w:sz w:val="22"/>
                <w:szCs w:val="24"/>
                <w:lang w:val="en-CA"/>
              </w:rPr>
              <w:t>6</w:t>
            </w:r>
          </w:p>
        </w:tc>
        <w:tc>
          <w:tcPr>
            <w:tcW w:w="2181" w:type="pct"/>
          </w:tcPr>
          <w:p w14:paraId="1736B20C" w14:textId="77777777" w:rsidR="004F6769" w:rsidRPr="00E15658" w:rsidRDefault="004F6769" w:rsidP="004842D8">
            <w:pPr>
              <w:autoSpaceDE w:val="0"/>
              <w:autoSpaceDN w:val="0"/>
              <w:adjustRightInd w:val="0"/>
              <w:jc w:val="center"/>
              <w:rPr>
                <w:rFonts w:asciiTheme="minorHAnsi" w:hAnsiTheme="minorHAnsi" w:cstheme="minorHAnsi"/>
                <w:color w:val="000000"/>
                <w:sz w:val="22"/>
                <w:szCs w:val="24"/>
                <w:lang w:val="en-CA"/>
              </w:rPr>
            </w:pPr>
            <w:r w:rsidRPr="00E15658">
              <w:rPr>
                <w:rFonts w:asciiTheme="minorHAnsi" w:hAnsiTheme="minorHAnsi" w:cstheme="minorHAnsi"/>
                <w:color w:val="000000"/>
                <w:sz w:val="22"/>
                <w:szCs w:val="24"/>
                <w:lang w:val="en-CA"/>
              </w:rPr>
              <w:t>22%</w:t>
            </w:r>
          </w:p>
        </w:tc>
      </w:tr>
      <w:tr w:rsidR="004F6769" w:rsidRPr="00E15658" w14:paraId="00FF8843" w14:textId="77777777" w:rsidTr="003A2C68">
        <w:trPr>
          <w:cantSplit/>
          <w:trHeight w:val="290"/>
          <w:tblHeader/>
          <w:jc w:val="center"/>
        </w:trPr>
        <w:tc>
          <w:tcPr>
            <w:tcW w:w="1294" w:type="pct"/>
          </w:tcPr>
          <w:p w14:paraId="7F5EEBA5" w14:textId="77777777" w:rsidR="004F6769" w:rsidRPr="00E15658" w:rsidRDefault="004F6769" w:rsidP="004842D8">
            <w:pPr>
              <w:autoSpaceDE w:val="0"/>
              <w:autoSpaceDN w:val="0"/>
              <w:adjustRightInd w:val="0"/>
              <w:rPr>
                <w:rFonts w:asciiTheme="minorHAnsi" w:hAnsiTheme="minorHAnsi" w:cstheme="minorHAnsi"/>
                <w:color w:val="000000"/>
                <w:sz w:val="22"/>
                <w:szCs w:val="24"/>
                <w:lang w:val="en-CA"/>
              </w:rPr>
            </w:pPr>
            <w:r w:rsidRPr="00E15658">
              <w:rPr>
                <w:rFonts w:asciiTheme="minorHAnsi" w:hAnsiTheme="minorHAnsi" w:cstheme="minorHAnsi"/>
                <w:color w:val="000000"/>
                <w:sz w:val="22"/>
                <w:szCs w:val="24"/>
                <w:lang w:val="en-CA"/>
              </w:rPr>
              <w:t>EX – Executive</w:t>
            </w:r>
          </w:p>
        </w:tc>
        <w:tc>
          <w:tcPr>
            <w:tcW w:w="1525" w:type="pct"/>
          </w:tcPr>
          <w:p w14:paraId="77830CA1" w14:textId="77777777" w:rsidR="004F6769" w:rsidRPr="00E15658" w:rsidRDefault="004F6769" w:rsidP="004842D8">
            <w:pPr>
              <w:autoSpaceDE w:val="0"/>
              <w:autoSpaceDN w:val="0"/>
              <w:adjustRightInd w:val="0"/>
              <w:jc w:val="center"/>
              <w:rPr>
                <w:rFonts w:asciiTheme="minorHAnsi" w:hAnsiTheme="minorHAnsi" w:cstheme="minorHAnsi"/>
                <w:color w:val="000000"/>
                <w:sz w:val="22"/>
                <w:szCs w:val="24"/>
                <w:lang w:val="en-CA"/>
              </w:rPr>
            </w:pPr>
            <w:r w:rsidRPr="00E15658">
              <w:rPr>
                <w:rFonts w:asciiTheme="minorHAnsi" w:hAnsiTheme="minorHAnsi" w:cstheme="minorHAnsi"/>
                <w:color w:val="000000"/>
                <w:sz w:val="22"/>
                <w:szCs w:val="24"/>
                <w:lang w:val="en-CA"/>
              </w:rPr>
              <w:t>3</w:t>
            </w:r>
          </w:p>
        </w:tc>
        <w:tc>
          <w:tcPr>
            <w:tcW w:w="2181" w:type="pct"/>
          </w:tcPr>
          <w:p w14:paraId="798867B5" w14:textId="77777777" w:rsidR="004F6769" w:rsidRPr="00E15658" w:rsidRDefault="004F6769" w:rsidP="004842D8">
            <w:pPr>
              <w:autoSpaceDE w:val="0"/>
              <w:autoSpaceDN w:val="0"/>
              <w:adjustRightInd w:val="0"/>
              <w:jc w:val="center"/>
              <w:rPr>
                <w:rFonts w:asciiTheme="minorHAnsi" w:hAnsiTheme="minorHAnsi" w:cstheme="minorHAnsi"/>
                <w:color w:val="000000"/>
                <w:sz w:val="22"/>
                <w:szCs w:val="24"/>
                <w:lang w:val="en-CA"/>
              </w:rPr>
            </w:pPr>
            <w:r w:rsidRPr="00E15658">
              <w:rPr>
                <w:rFonts w:asciiTheme="minorHAnsi" w:hAnsiTheme="minorHAnsi" w:cstheme="minorHAnsi"/>
                <w:color w:val="000000"/>
                <w:sz w:val="22"/>
                <w:szCs w:val="24"/>
                <w:lang w:val="en-CA"/>
              </w:rPr>
              <w:t>11%</w:t>
            </w:r>
          </w:p>
        </w:tc>
      </w:tr>
      <w:tr w:rsidR="004F6769" w:rsidRPr="00E15658" w14:paraId="296326DA" w14:textId="77777777" w:rsidTr="003A2C68">
        <w:trPr>
          <w:cantSplit/>
          <w:trHeight w:val="290"/>
          <w:tblHeader/>
          <w:jc w:val="center"/>
        </w:trPr>
        <w:tc>
          <w:tcPr>
            <w:tcW w:w="1294" w:type="pct"/>
          </w:tcPr>
          <w:p w14:paraId="661B2F68" w14:textId="77777777" w:rsidR="004F6769" w:rsidRPr="00E15658" w:rsidRDefault="004F6769" w:rsidP="004842D8">
            <w:pPr>
              <w:autoSpaceDE w:val="0"/>
              <w:autoSpaceDN w:val="0"/>
              <w:adjustRightInd w:val="0"/>
              <w:rPr>
                <w:rFonts w:asciiTheme="minorHAnsi" w:hAnsiTheme="minorHAnsi" w:cstheme="minorHAnsi"/>
                <w:color w:val="000000"/>
                <w:sz w:val="22"/>
                <w:szCs w:val="24"/>
                <w:lang w:val="en-CA"/>
              </w:rPr>
            </w:pPr>
            <w:r w:rsidRPr="00E15658">
              <w:rPr>
                <w:rFonts w:asciiTheme="minorHAnsi" w:hAnsiTheme="minorHAnsi" w:cstheme="minorHAnsi"/>
                <w:color w:val="000000"/>
                <w:sz w:val="22"/>
                <w:szCs w:val="24"/>
                <w:lang w:val="en-CA"/>
              </w:rPr>
              <w:t>Other</w:t>
            </w:r>
          </w:p>
        </w:tc>
        <w:tc>
          <w:tcPr>
            <w:tcW w:w="1525" w:type="pct"/>
          </w:tcPr>
          <w:p w14:paraId="3BF6840C" w14:textId="77777777" w:rsidR="004F6769" w:rsidRPr="00E15658" w:rsidRDefault="004F6769" w:rsidP="004842D8">
            <w:pPr>
              <w:autoSpaceDE w:val="0"/>
              <w:autoSpaceDN w:val="0"/>
              <w:adjustRightInd w:val="0"/>
              <w:jc w:val="center"/>
              <w:rPr>
                <w:rFonts w:asciiTheme="minorHAnsi" w:hAnsiTheme="minorHAnsi" w:cstheme="minorHAnsi"/>
                <w:color w:val="000000"/>
                <w:sz w:val="22"/>
                <w:szCs w:val="24"/>
                <w:lang w:val="en-CA"/>
              </w:rPr>
            </w:pPr>
            <w:r w:rsidRPr="00E15658">
              <w:rPr>
                <w:rFonts w:asciiTheme="minorHAnsi" w:hAnsiTheme="minorHAnsi" w:cstheme="minorHAnsi"/>
                <w:color w:val="000000"/>
                <w:sz w:val="22"/>
                <w:szCs w:val="24"/>
                <w:lang w:val="en-CA"/>
              </w:rPr>
              <w:t>10</w:t>
            </w:r>
          </w:p>
        </w:tc>
        <w:tc>
          <w:tcPr>
            <w:tcW w:w="2181" w:type="pct"/>
          </w:tcPr>
          <w:p w14:paraId="7B348870" w14:textId="77777777" w:rsidR="004F6769" w:rsidRPr="00E15658" w:rsidRDefault="004F6769" w:rsidP="004842D8">
            <w:pPr>
              <w:autoSpaceDE w:val="0"/>
              <w:autoSpaceDN w:val="0"/>
              <w:adjustRightInd w:val="0"/>
              <w:jc w:val="center"/>
              <w:rPr>
                <w:rFonts w:asciiTheme="minorHAnsi" w:hAnsiTheme="minorHAnsi" w:cstheme="minorHAnsi"/>
                <w:color w:val="000000"/>
                <w:sz w:val="22"/>
                <w:szCs w:val="24"/>
                <w:lang w:val="en-CA"/>
              </w:rPr>
            </w:pPr>
            <w:r w:rsidRPr="00E15658">
              <w:rPr>
                <w:rFonts w:asciiTheme="minorHAnsi" w:hAnsiTheme="minorHAnsi" w:cstheme="minorHAnsi"/>
                <w:color w:val="000000"/>
                <w:sz w:val="22"/>
                <w:szCs w:val="24"/>
                <w:lang w:val="en-CA"/>
              </w:rPr>
              <w:t>37%</w:t>
            </w:r>
          </w:p>
        </w:tc>
      </w:tr>
    </w:tbl>
    <w:p w14:paraId="2C63C0D6" w14:textId="0662C880" w:rsidR="003A2C68" w:rsidRPr="003A2C68" w:rsidRDefault="003A2C68" w:rsidP="003A2C68">
      <w:pPr>
        <w:pStyle w:val="Titre1"/>
        <w:spacing w:before="120" w:after="120"/>
        <w:rPr>
          <w:sz w:val="40"/>
          <w:szCs w:val="40"/>
        </w:rPr>
      </w:pPr>
      <w:r w:rsidRPr="003A2C68">
        <w:rPr>
          <w:sz w:val="40"/>
          <w:szCs w:val="40"/>
        </w:rPr>
        <w:lastRenderedPageBreak/>
        <w:t>Population by region as of March 31, 2019</w:t>
      </w:r>
    </w:p>
    <w:p w14:paraId="4CFB216F" w14:textId="77777777" w:rsidR="000C6EA0" w:rsidRDefault="00B1311D" w:rsidP="000C6EA0">
      <w:pPr>
        <w:keepNext/>
        <w:tabs>
          <w:tab w:val="left" w:pos="7839"/>
        </w:tabs>
        <w:jc w:val="center"/>
      </w:pPr>
      <w:r w:rsidRPr="00E628AA">
        <w:rPr>
          <w:rStyle w:val="lev"/>
          <w:noProof/>
          <w:lang w:val="en-CA" w:eastAsia="en-CA"/>
        </w:rPr>
        <w:drawing>
          <wp:inline distT="0" distB="0" distL="0" distR="0" wp14:anchorId="0721402D" wp14:editId="52FAD1D0">
            <wp:extent cx="1980000" cy="3020400"/>
            <wp:effectExtent l="0" t="0" r="1270" b="8890"/>
            <wp:docPr id="12" name="Chart 12" descr="Population by region as of March 31, 20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221FD016" w14:textId="42ABABFE" w:rsidR="00B1311D" w:rsidRDefault="000C6EA0" w:rsidP="000C6EA0">
      <w:pPr>
        <w:pStyle w:val="Lgende"/>
        <w:spacing w:after="240"/>
        <w:jc w:val="center"/>
      </w:pPr>
      <w:r>
        <w:t xml:space="preserve">Figure </w:t>
      </w:r>
      <w:r>
        <w:fldChar w:fldCharType="begin"/>
      </w:r>
      <w:r>
        <w:instrText xml:space="preserve"> SEQ Figure \* ARABIC </w:instrText>
      </w:r>
      <w:r>
        <w:fldChar w:fldCharType="separate"/>
      </w:r>
      <w:r w:rsidR="0016520F">
        <w:rPr>
          <w:noProof/>
        </w:rPr>
        <w:t>4</w:t>
      </w:r>
      <w:r>
        <w:fldChar w:fldCharType="end"/>
      </w:r>
      <w:r>
        <w:t xml:space="preserve"> - </w:t>
      </w:r>
      <w:r w:rsidRPr="001D45B2">
        <w:t>Population by region as of March 31, 2019</w:t>
      </w:r>
    </w:p>
    <w:p w14:paraId="6E151C11" w14:textId="57D169A7" w:rsidR="000C6EA0" w:rsidRDefault="000C6EA0" w:rsidP="000C6EA0">
      <w:pPr>
        <w:pStyle w:val="Lgende"/>
        <w:keepNext/>
        <w:jc w:val="center"/>
      </w:pPr>
      <w:r>
        <w:t xml:space="preserve">Table </w:t>
      </w:r>
      <w:r>
        <w:fldChar w:fldCharType="begin"/>
      </w:r>
      <w:r>
        <w:instrText xml:space="preserve"> SEQ Table \* ARABIC </w:instrText>
      </w:r>
      <w:r>
        <w:fldChar w:fldCharType="separate"/>
      </w:r>
      <w:r w:rsidR="0016520F">
        <w:rPr>
          <w:noProof/>
        </w:rPr>
        <w:t>4</w:t>
      </w:r>
      <w:r>
        <w:fldChar w:fldCharType="end"/>
      </w:r>
      <w:r>
        <w:t xml:space="preserve"> - </w:t>
      </w:r>
      <w:r w:rsidRPr="006D119D">
        <w:t>Distribution by region, as a percentage of the Public Service Employment Act population for fiscal year 2018 to 2019</w:t>
      </w:r>
    </w:p>
    <w:tbl>
      <w:tblPr>
        <w:tblStyle w:val="Grilledutableau"/>
        <w:tblW w:w="5000" w:type="pct"/>
        <w:jc w:val="center"/>
        <w:tblLook w:val="00A0" w:firstRow="1" w:lastRow="0" w:firstColumn="1" w:lastColumn="0" w:noHBand="0" w:noVBand="0"/>
        <w:tblDescription w:val="Population by region as of March 31, 2019 "/>
      </w:tblPr>
      <w:tblGrid>
        <w:gridCol w:w="3908"/>
        <w:gridCol w:w="4314"/>
        <w:gridCol w:w="6168"/>
      </w:tblGrid>
      <w:tr w:rsidR="000C6EA0" w:rsidRPr="00E15658" w14:paraId="0B3F5AAB" w14:textId="77777777" w:rsidTr="00083392">
        <w:trPr>
          <w:cantSplit/>
          <w:trHeight w:val="290"/>
          <w:tblHeader/>
          <w:jc w:val="center"/>
        </w:trPr>
        <w:tc>
          <w:tcPr>
            <w:tcW w:w="1358" w:type="pct"/>
          </w:tcPr>
          <w:p w14:paraId="2AC4729F" w14:textId="77777777" w:rsidR="000C6EA0" w:rsidRPr="00E15658" w:rsidRDefault="000C6EA0" w:rsidP="004842D8">
            <w:pPr>
              <w:pStyle w:val="TableTitle"/>
              <w:rPr>
                <w:color w:val="auto"/>
                <w:sz w:val="22"/>
                <w:lang w:val="en-CA"/>
              </w:rPr>
            </w:pPr>
            <w:r w:rsidRPr="00E15658">
              <w:rPr>
                <w:color w:val="auto"/>
                <w:sz w:val="22"/>
                <w:lang w:val="en-CA"/>
              </w:rPr>
              <w:t>Region</w:t>
            </w:r>
          </w:p>
        </w:tc>
        <w:tc>
          <w:tcPr>
            <w:tcW w:w="1499" w:type="pct"/>
          </w:tcPr>
          <w:p w14:paraId="4D6DFAE7" w14:textId="77777777" w:rsidR="000C6EA0" w:rsidRPr="00E15658" w:rsidRDefault="000C6EA0" w:rsidP="004842D8">
            <w:pPr>
              <w:pStyle w:val="TableTitle"/>
              <w:rPr>
                <w:color w:val="auto"/>
                <w:sz w:val="22"/>
                <w:lang w:val="en-CA"/>
              </w:rPr>
            </w:pPr>
            <w:r w:rsidRPr="00E15658">
              <w:rPr>
                <w:color w:val="auto"/>
                <w:sz w:val="22"/>
                <w:lang w:val="en-CA"/>
              </w:rPr>
              <w:t>Population as of March 31, 2019</w:t>
            </w:r>
          </w:p>
        </w:tc>
        <w:tc>
          <w:tcPr>
            <w:tcW w:w="2143" w:type="pct"/>
          </w:tcPr>
          <w:p w14:paraId="0F3F5227" w14:textId="77777777" w:rsidR="000C6EA0" w:rsidRPr="00E15658" w:rsidRDefault="000C6EA0" w:rsidP="004842D8">
            <w:pPr>
              <w:pStyle w:val="TableTitle"/>
              <w:rPr>
                <w:color w:val="auto"/>
                <w:sz w:val="22"/>
                <w:lang w:val="en-CA"/>
              </w:rPr>
            </w:pPr>
            <w:r w:rsidRPr="00E15658">
              <w:rPr>
                <w:color w:val="auto"/>
                <w:sz w:val="22"/>
                <w:lang w:val="en-CA"/>
              </w:rPr>
              <w:t>Percentage of population as of March 31, 2019</w:t>
            </w:r>
          </w:p>
        </w:tc>
      </w:tr>
      <w:tr w:rsidR="000C6EA0" w:rsidRPr="00E15658" w14:paraId="05B6FB22" w14:textId="77777777" w:rsidTr="00083392">
        <w:trPr>
          <w:cantSplit/>
          <w:trHeight w:val="290"/>
          <w:tblHeader/>
          <w:jc w:val="center"/>
        </w:trPr>
        <w:tc>
          <w:tcPr>
            <w:tcW w:w="1358" w:type="pct"/>
          </w:tcPr>
          <w:p w14:paraId="188603F3" w14:textId="77777777" w:rsidR="000C6EA0" w:rsidRPr="00E15658" w:rsidRDefault="000C6EA0" w:rsidP="004842D8">
            <w:pPr>
              <w:autoSpaceDE w:val="0"/>
              <w:autoSpaceDN w:val="0"/>
              <w:adjustRightInd w:val="0"/>
              <w:rPr>
                <w:rFonts w:asciiTheme="minorHAnsi" w:hAnsiTheme="minorHAnsi" w:cstheme="minorHAnsi"/>
                <w:color w:val="000000"/>
                <w:sz w:val="22"/>
                <w:szCs w:val="24"/>
                <w:lang w:val="en-CA"/>
              </w:rPr>
            </w:pPr>
            <w:r w:rsidRPr="00E15658">
              <w:rPr>
                <w:rFonts w:asciiTheme="minorHAnsi" w:hAnsiTheme="minorHAnsi" w:cstheme="minorHAnsi"/>
                <w:color w:val="000000"/>
                <w:sz w:val="22"/>
                <w:szCs w:val="24"/>
                <w:lang w:val="en-CA"/>
              </w:rPr>
              <w:t>National Capital Region (NCR)</w:t>
            </w:r>
          </w:p>
        </w:tc>
        <w:tc>
          <w:tcPr>
            <w:tcW w:w="1499" w:type="pct"/>
          </w:tcPr>
          <w:p w14:paraId="68525319" w14:textId="77777777" w:rsidR="000C6EA0" w:rsidRPr="00E15658" w:rsidRDefault="000C6EA0" w:rsidP="004842D8">
            <w:pPr>
              <w:autoSpaceDE w:val="0"/>
              <w:autoSpaceDN w:val="0"/>
              <w:adjustRightInd w:val="0"/>
              <w:jc w:val="center"/>
              <w:rPr>
                <w:rFonts w:asciiTheme="minorHAnsi" w:hAnsiTheme="minorHAnsi" w:cstheme="minorHAnsi"/>
                <w:color w:val="000000"/>
                <w:sz w:val="22"/>
                <w:szCs w:val="24"/>
                <w:lang w:val="en-CA"/>
              </w:rPr>
            </w:pPr>
            <w:r w:rsidRPr="00E15658">
              <w:rPr>
                <w:rFonts w:asciiTheme="minorHAnsi" w:hAnsiTheme="minorHAnsi" w:cstheme="minorHAnsi"/>
                <w:color w:val="000000"/>
                <w:sz w:val="22"/>
                <w:szCs w:val="24"/>
                <w:lang w:val="en-CA"/>
              </w:rPr>
              <w:t>21</w:t>
            </w:r>
          </w:p>
        </w:tc>
        <w:tc>
          <w:tcPr>
            <w:tcW w:w="2143" w:type="pct"/>
          </w:tcPr>
          <w:p w14:paraId="394ACD69" w14:textId="77777777" w:rsidR="000C6EA0" w:rsidRPr="00E15658" w:rsidRDefault="000C6EA0" w:rsidP="004842D8">
            <w:pPr>
              <w:autoSpaceDE w:val="0"/>
              <w:autoSpaceDN w:val="0"/>
              <w:adjustRightInd w:val="0"/>
              <w:jc w:val="center"/>
              <w:rPr>
                <w:rFonts w:asciiTheme="minorHAnsi" w:hAnsiTheme="minorHAnsi" w:cstheme="minorHAnsi"/>
                <w:color w:val="000000"/>
                <w:sz w:val="22"/>
                <w:szCs w:val="24"/>
                <w:lang w:val="en-CA"/>
              </w:rPr>
            </w:pPr>
            <w:r w:rsidRPr="00E15658">
              <w:rPr>
                <w:rFonts w:asciiTheme="minorHAnsi" w:hAnsiTheme="minorHAnsi" w:cstheme="minorHAnsi"/>
                <w:color w:val="000000"/>
                <w:sz w:val="22"/>
                <w:szCs w:val="24"/>
                <w:lang w:val="en-CA"/>
              </w:rPr>
              <w:t>70%</w:t>
            </w:r>
          </w:p>
        </w:tc>
      </w:tr>
      <w:tr w:rsidR="000C6EA0" w:rsidRPr="00E15658" w14:paraId="12CFFDBA" w14:textId="77777777" w:rsidTr="00083392">
        <w:trPr>
          <w:cantSplit/>
          <w:trHeight w:val="290"/>
          <w:tblHeader/>
          <w:jc w:val="center"/>
        </w:trPr>
        <w:tc>
          <w:tcPr>
            <w:tcW w:w="1358" w:type="pct"/>
          </w:tcPr>
          <w:p w14:paraId="57CCED7D" w14:textId="77777777" w:rsidR="000C6EA0" w:rsidRPr="00E15658" w:rsidRDefault="000C6EA0" w:rsidP="004842D8">
            <w:pPr>
              <w:autoSpaceDE w:val="0"/>
              <w:autoSpaceDN w:val="0"/>
              <w:adjustRightInd w:val="0"/>
              <w:rPr>
                <w:rFonts w:asciiTheme="minorHAnsi" w:hAnsiTheme="minorHAnsi" w:cstheme="minorHAnsi"/>
                <w:color w:val="000000"/>
                <w:sz w:val="22"/>
                <w:szCs w:val="24"/>
                <w:lang w:val="en-CA"/>
              </w:rPr>
            </w:pPr>
            <w:r w:rsidRPr="00E15658">
              <w:rPr>
                <w:rFonts w:asciiTheme="minorHAnsi" w:hAnsiTheme="minorHAnsi" w:cstheme="minorHAnsi"/>
                <w:color w:val="000000"/>
                <w:sz w:val="22"/>
                <w:szCs w:val="24"/>
                <w:lang w:val="en-CA"/>
              </w:rPr>
              <w:t>Non-NCR</w:t>
            </w:r>
          </w:p>
        </w:tc>
        <w:tc>
          <w:tcPr>
            <w:tcW w:w="1499" w:type="pct"/>
          </w:tcPr>
          <w:p w14:paraId="6BBFBFB5" w14:textId="77777777" w:rsidR="000C6EA0" w:rsidRPr="00E15658" w:rsidRDefault="000C6EA0" w:rsidP="004842D8">
            <w:pPr>
              <w:autoSpaceDE w:val="0"/>
              <w:autoSpaceDN w:val="0"/>
              <w:adjustRightInd w:val="0"/>
              <w:jc w:val="center"/>
              <w:rPr>
                <w:rFonts w:asciiTheme="minorHAnsi" w:hAnsiTheme="minorHAnsi" w:cstheme="minorHAnsi"/>
                <w:color w:val="000000"/>
                <w:sz w:val="22"/>
                <w:szCs w:val="24"/>
                <w:lang w:val="en-CA"/>
              </w:rPr>
            </w:pPr>
            <w:r w:rsidRPr="00E15658">
              <w:rPr>
                <w:rFonts w:asciiTheme="minorHAnsi" w:hAnsiTheme="minorHAnsi" w:cstheme="minorHAnsi"/>
                <w:color w:val="000000"/>
                <w:sz w:val="22"/>
                <w:szCs w:val="24"/>
                <w:lang w:val="en-CA"/>
              </w:rPr>
              <w:t>9</w:t>
            </w:r>
          </w:p>
        </w:tc>
        <w:tc>
          <w:tcPr>
            <w:tcW w:w="2143" w:type="pct"/>
          </w:tcPr>
          <w:p w14:paraId="362A60CA" w14:textId="77777777" w:rsidR="000C6EA0" w:rsidRPr="00E15658" w:rsidRDefault="000C6EA0" w:rsidP="004842D8">
            <w:pPr>
              <w:autoSpaceDE w:val="0"/>
              <w:autoSpaceDN w:val="0"/>
              <w:adjustRightInd w:val="0"/>
              <w:jc w:val="center"/>
              <w:rPr>
                <w:rFonts w:asciiTheme="minorHAnsi" w:hAnsiTheme="minorHAnsi" w:cstheme="minorHAnsi"/>
                <w:color w:val="000000"/>
                <w:sz w:val="22"/>
                <w:szCs w:val="24"/>
                <w:lang w:val="en-CA"/>
              </w:rPr>
            </w:pPr>
            <w:r w:rsidRPr="00E15658">
              <w:rPr>
                <w:rFonts w:asciiTheme="minorHAnsi" w:hAnsiTheme="minorHAnsi" w:cstheme="minorHAnsi"/>
                <w:color w:val="000000"/>
                <w:sz w:val="22"/>
                <w:szCs w:val="24"/>
                <w:lang w:val="en-CA"/>
              </w:rPr>
              <w:t>30%</w:t>
            </w:r>
          </w:p>
        </w:tc>
      </w:tr>
      <w:tr w:rsidR="000C6EA0" w:rsidRPr="00E15658" w14:paraId="02E2C7DB" w14:textId="77777777" w:rsidTr="00083392">
        <w:trPr>
          <w:cantSplit/>
          <w:trHeight w:val="290"/>
          <w:tblHeader/>
          <w:jc w:val="center"/>
        </w:trPr>
        <w:tc>
          <w:tcPr>
            <w:tcW w:w="1358" w:type="pct"/>
          </w:tcPr>
          <w:p w14:paraId="504581F7" w14:textId="77777777" w:rsidR="000C6EA0" w:rsidRPr="00E15658" w:rsidRDefault="000C6EA0" w:rsidP="004842D8">
            <w:pPr>
              <w:autoSpaceDE w:val="0"/>
              <w:autoSpaceDN w:val="0"/>
              <w:adjustRightInd w:val="0"/>
              <w:rPr>
                <w:rFonts w:asciiTheme="minorHAnsi" w:hAnsiTheme="minorHAnsi" w:cstheme="minorHAnsi"/>
                <w:color w:val="000000"/>
                <w:sz w:val="22"/>
                <w:szCs w:val="24"/>
                <w:lang w:val="en-CA"/>
              </w:rPr>
            </w:pPr>
            <w:r w:rsidRPr="00E15658">
              <w:rPr>
                <w:rFonts w:asciiTheme="minorHAnsi" w:hAnsiTheme="minorHAnsi" w:cstheme="minorHAnsi"/>
                <w:color w:val="000000"/>
                <w:sz w:val="22"/>
                <w:szCs w:val="24"/>
                <w:lang w:val="en-CA"/>
              </w:rPr>
              <w:t>Unknown</w:t>
            </w:r>
          </w:p>
        </w:tc>
        <w:tc>
          <w:tcPr>
            <w:tcW w:w="1499" w:type="pct"/>
          </w:tcPr>
          <w:p w14:paraId="1597BFD1" w14:textId="77777777" w:rsidR="000C6EA0" w:rsidRPr="00E15658" w:rsidRDefault="000C6EA0" w:rsidP="004842D8">
            <w:pPr>
              <w:autoSpaceDE w:val="0"/>
              <w:autoSpaceDN w:val="0"/>
              <w:adjustRightInd w:val="0"/>
              <w:jc w:val="center"/>
              <w:rPr>
                <w:rFonts w:asciiTheme="minorHAnsi" w:hAnsiTheme="minorHAnsi" w:cstheme="minorHAnsi"/>
                <w:color w:val="000000"/>
                <w:sz w:val="22"/>
                <w:szCs w:val="24"/>
                <w:lang w:val="en-CA"/>
              </w:rPr>
            </w:pPr>
            <w:r w:rsidRPr="00E15658">
              <w:rPr>
                <w:rFonts w:asciiTheme="minorHAnsi" w:hAnsiTheme="minorHAnsi" w:cstheme="minorHAnsi"/>
                <w:color w:val="000000"/>
                <w:sz w:val="22"/>
                <w:szCs w:val="24"/>
                <w:lang w:val="en-CA"/>
              </w:rPr>
              <w:t>0</w:t>
            </w:r>
          </w:p>
        </w:tc>
        <w:tc>
          <w:tcPr>
            <w:tcW w:w="2143" w:type="pct"/>
          </w:tcPr>
          <w:p w14:paraId="79A67BA8" w14:textId="77777777" w:rsidR="000C6EA0" w:rsidRPr="00E15658" w:rsidRDefault="000C6EA0" w:rsidP="004842D8">
            <w:pPr>
              <w:autoSpaceDE w:val="0"/>
              <w:autoSpaceDN w:val="0"/>
              <w:adjustRightInd w:val="0"/>
              <w:jc w:val="center"/>
              <w:rPr>
                <w:rFonts w:asciiTheme="minorHAnsi" w:hAnsiTheme="minorHAnsi" w:cstheme="minorHAnsi"/>
                <w:color w:val="000000"/>
                <w:sz w:val="22"/>
                <w:szCs w:val="24"/>
                <w:lang w:val="en-CA"/>
              </w:rPr>
            </w:pPr>
          </w:p>
        </w:tc>
      </w:tr>
    </w:tbl>
    <w:p w14:paraId="0C56122D" w14:textId="709D663D" w:rsidR="00083392" w:rsidRPr="00083392" w:rsidRDefault="00083392" w:rsidP="00083392">
      <w:pPr>
        <w:pStyle w:val="Titre1"/>
        <w:spacing w:before="120" w:after="120"/>
        <w:rPr>
          <w:sz w:val="40"/>
          <w:szCs w:val="40"/>
        </w:rPr>
      </w:pPr>
      <w:r w:rsidRPr="00083392">
        <w:rPr>
          <w:rFonts w:eastAsia="Times New Roman"/>
          <w:sz w:val="40"/>
          <w:szCs w:val="40"/>
        </w:rPr>
        <w:lastRenderedPageBreak/>
        <w:t>External indeterminate hires by occupational group, 2018-19</w:t>
      </w:r>
    </w:p>
    <w:p w14:paraId="6BFD2D04" w14:textId="77777777" w:rsidR="002A3872" w:rsidRDefault="00252389" w:rsidP="002A3872">
      <w:pPr>
        <w:keepNext/>
        <w:tabs>
          <w:tab w:val="left" w:pos="7839"/>
        </w:tabs>
        <w:jc w:val="center"/>
      </w:pPr>
      <w:r w:rsidRPr="00E628AA">
        <w:rPr>
          <w:rStyle w:val="lev"/>
          <w:noProof/>
          <w:lang w:val="en-CA" w:eastAsia="en-CA"/>
        </w:rPr>
        <w:drawing>
          <wp:inline distT="0" distB="0" distL="0" distR="0" wp14:anchorId="0CA3F77E" wp14:editId="7B5002E2">
            <wp:extent cx="1980000" cy="3020400"/>
            <wp:effectExtent l="0" t="0" r="1270" b="8890"/>
            <wp:docPr id="7" name="Chart 7" descr="External indeterminate hires by occupational group, 2018-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5CAA24A3" w14:textId="0761E273" w:rsidR="002A3872" w:rsidRDefault="002A3872" w:rsidP="002A3872">
      <w:pPr>
        <w:pStyle w:val="Lgende"/>
        <w:spacing w:after="240"/>
        <w:jc w:val="center"/>
      </w:pPr>
      <w:r>
        <w:t xml:space="preserve">Figure </w:t>
      </w:r>
      <w:r>
        <w:fldChar w:fldCharType="begin"/>
      </w:r>
      <w:r>
        <w:instrText xml:space="preserve"> SEQ Figure \* ARABIC </w:instrText>
      </w:r>
      <w:r>
        <w:fldChar w:fldCharType="separate"/>
      </w:r>
      <w:r w:rsidR="0016520F">
        <w:rPr>
          <w:noProof/>
        </w:rPr>
        <w:t>5</w:t>
      </w:r>
      <w:r>
        <w:fldChar w:fldCharType="end"/>
      </w:r>
      <w:r>
        <w:t xml:space="preserve"> - External indeterminate hires by occupational group, 2018-19</w:t>
      </w:r>
    </w:p>
    <w:p w14:paraId="39C58D7B" w14:textId="462AC76E" w:rsidR="002A3872" w:rsidRDefault="002A3872" w:rsidP="002A3872">
      <w:pPr>
        <w:pStyle w:val="Lgende"/>
        <w:keepNext/>
        <w:jc w:val="center"/>
      </w:pPr>
      <w:r>
        <w:t xml:space="preserve">Table </w:t>
      </w:r>
      <w:r>
        <w:fldChar w:fldCharType="begin"/>
      </w:r>
      <w:r>
        <w:instrText xml:space="preserve"> SEQ Table \* ARABIC </w:instrText>
      </w:r>
      <w:r>
        <w:fldChar w:fldCharType="separate"/>
      </w:r>
      <w:r w:rsidR="0016520F">
        <w:rPr>
          <w:noProof/>
        </w:rPr>
        <w:t>5</w:t>
      </w:r>
      <w:r>
        <w:fldChar w:fldCharType="end"/>
      </w:r>
      <w:r>
        <w:t xml:space="preserve"> - </w:t>
      </w:r>
      <w:r w:rsidRPr="00117209">
        <w:t>External indeterminate hires by top occupational groups, for fiscal year 2018 to 2019</w:t>
      </w:r>
    </w:p>
    <w:tbl>
      <w:tblPr>
        <w:tblStyle w:val="Grilledutableau"/>
        <w:tblW w:w="5000" w:type="pct"/>
        <w:jc w:val="center"/>
        <w:tblLook w:val="00A0" w:firstRow="1" w:lastRow="0" w:firstColumn="1" w:lastColumn="0" w:noHBand="0" w:noVBand="0"/>
        <w:tblDescription w:val="External indeterminate hires by occupational group, 2018-19 "/>
      </w:tblPr>
      <w:tblGrid>
        <w:gridCol w:w="4530"/>
        <w:gridCol w:w="4536"/>
        <w:gridCol w:w="5324"/>
      </w:tblGrid>
      <w:tr w:rsidR="002A3872" w:rsidRPr="00EC36BA" w14:paraId="56DE29EE" w14:textId="77777777" w:rsidTr="00083392">
        <w:trPr>
          <w:cantSplit/>
          <w:trHeight w:val="290"/>
          <w:tblHeader/>
          <w:jc w:val="center"/>
        </w:trPr>
        <w:tc>
          <w:tcPr>
            <w:tcW w:w="1574" w:type="pct"/>
          </w:tcPr>
          <w:p w14:paraId="0B75719B" w14:textId="77777777" w:rsidR="002A3872" w:rsidRPr="00EC36BA" w:rsidRDefault="002A3872" w:rsidP="004842D8">
            <w:pPr>
              <w:pStyle w:val="TableTitle"/>
              <w:rPr>
                <w:color w:val="auto"/>
                <w:sz w:val="22"/>
                <w:lang w:val="en-CA"/>
              </w:rPr>
            </w:pPr>
            <w:r w:rsidRPr="00EC36BA">
              <w:rPr>
                <w:color w:val="auto"/>
                <w:sz w:val="22"/>
                <w:lang w:val="en-CA"/>
              </w:rPr>
              <w:t>Occupational group</w:t>
            </w:r>
          </w:p>
        </w:tc>
        <w:tc>
          <w:tcPr>
            <w:tcW w:w="1576" w:type="pct"/>
          </w:tcPr>
          <w:p w14:paraId="339409B2" w14:textId="77777777" w:rsidR="002A3872" w:rsidRPr="00EC36BA" w:rsidRDefault="002A3872" w:rsidP="004842D8">
            <w:pPr>
              <w:pStyle w:val="TableTitle"/>
              <w:rPr>
                <w:color w:val="auto"/>
                <w:sz w:val="22"/>
                <w:lang w:val="en-CA"/>
              </w:rPr>
            </w:pPr>
            <w:r w:rsidRPr="00EC36BA">
              <w:rPr>
                <w:color w:val="auto"/>
                <w:sz w:val="22"/>
                <w:lang w:val="en-CA"/>
              </w:rPr>
              <w:t xml:space="preserve">Number of indeterminate hiring activities </w:t>
            </w:r>
          </w:p>
        </w:tc>
        <w:tc>
          <w:tcPr>
            <w:tcW w:w="1850" w:type="pct"/>
          </w:tcPr>
          <w:p w14:paraId="5144C8F4" w14:textId="77777777" w:rsidR="002A3872" w:rsidRPr="00EC36BA" w:rsidRDefault="002A3872" w:rsidP="004842D8">
            <w:pPr>
              <w:pStyle w:val="TableTitle"/>
              <w:rPr>
                <w:color w:val="auto"/>
                <w:sz w:val="22"/>
                <w:lang w:val="en-CA"/>
              </w:rPr>
            </w:pPr>
            <w:r w:rsidRPr="00EC36BA">
              <w:rPr>
                <w:color w:val="auto"/>
                <w:sz w:val="22"/>
                <w:lang w:val="en-CA"/>
              </w:rPr>
              <w:t>Percentage of all indeterminate hiring activities</w:t>
            </w:r>
          </w:p>
        </w:tc>
      </w:tr>
      <w:tr w:rsidR="002A3872" w:rsidRPr="00EC36BA" w14:paraId="1498349E" w14:textId="77777777" w:rsidTr="00083392">
        <w:trPr>
          <w:cantSplit/>
          <w:trHeight w:val="290"/>
          <w:tblHeader/>
          <w:jc w:val="center"/>
        </w:trPr>
        <w:tc>
          <w:tcPr>
            <w:tcW w:w="1574" w:type="pct"/>
          </w:tcPr>
          <w:p w14:paraId="23FB81E1" w14:textId="77777777" w:rsidR="002A3872" w:rsidRPr="00EC36BA" w:rsidRDefault="002A3872" w:rsidP="004842D8">
            <w:pPr>
              <w:autoSpaceDE w:val="0"/>
              <w:autoSpaceDN w:val="0"/>
              <w:adjustRightInd w:val="0"/>
              <w:rPr>
                <w:rFonts w:asciiTheme="minorHAnsi" w:hAnsiTheme="minorHAnsi" w:cstheme="minorHAnsi"/>
                <w:color w:val="000000"/>
                <w:sz w:val="22"/>
                <w:szCs w:val="24"/>
                <w:highlight w:val="yellow"/>
                <w:lang w:val="en-CA"/>
              </w:rPr>
            </w:pPr>
            <w:r w:rsidRPr="00EC36BA">
              <w:rPr>
                <w:rFonts w:asciiTheme="minorHAnsi" w:hAnsiTheme="minorHAnsi" w:cstheme="minorHAnsi"/>
                <w:color w:val="000000"/>
                <w:sz w:val="22"/>
                <w:szCs w:val="24"/>
                <w:lang w:val="en-CA"/>
              </w:rPr>
              <w:t>AS – Administrative Services</w:t>
            </w:r>
          </w:p>
        </w:tc>
        <w:tc>
          <w:tcPr>
            <w:tcW w:w="1576" w:type="pct"/>
          </w:tcPr>
          <w:p w14:paraId="02B2563B" w14:textId="77777777" w:rsidR="002A3872" w:rsidRPr="00EC36BA" w:rsidRDefault="002A3872" w:rsidP="004842D8">
            <w:pPr>
              <w:autoSpaceDE w:val="0"/>
              <w:autoSpaceDN w:val="0"/>
              <w:adjustRightInd w:val="0"/>
              <w:jc w:val="center"/>
              <w:rPr>
                <w:rFonts w:asciiTheme="minorHAnsi" w:hAnsiTheme="minorHAnsi" w:cstheme="minorHAnsi"/>
                <w:color w:val="000000"/>
                <w:sz w:val="22"/>
                <w:szCs w:val="24"/>
                <w:lang w:val="en-CA"/>
              </w:rPr>
            </w:pPr>
            <w:r w:rsidRPr="00EC36BA">
              <w:rPr>
                <w:rFonts w:asciiTheme="minorHAnsi" w:hAnsiTheme="minorHAnsi" w:cstheme="minorHAnsi"/>
                <w:color w:val="000000"/>
                <w:sz w:val="22"/>
                <w:szCs w:val="24"/>
                <w:lang w:val="en-CA"/>
              </w:rPr>
              <w:t>1</w:t>
            </w:r>
          </w:p>
        </w:tc>
        <w:tc>
          <w:tcPr>
            <w:tcW w:w="1850" w:type="pct"/>
          </w:tcPr>
          <w:p w14:paraId="0EA2BF79" w14:textId="77777777" w:rsidR="002A3872" w:rsidRPr="00EC36BA" w:rsidRDefault="002A3872" w:rsidP="004842D8">
            <w:pPr>
              <w:autoSpaceDE w:val="0"/>
              <w:autoSpaceDN w:val="0"/>
              <w:adjustRightInd w:val="0"/>
              <w:jc w:val="center"/>
              <w:rPr>
                <w:rFonts w:asciiTheme="minorHAnsi" w:hAnsiTheme="minorHAnsi" w:cstheme="minorHAnsi"/>
                <w:color w:val="000000"/>
                <w:sz w:val="22"/>
                <w:szCs w:val="24"/>
                <w:lang w:val="en-CA"/>
              </w:rPr>
            </w:pPr>
            <w:r w:rsidRPr="00EC36BA">
              <w:rPr>
                <w:rFonts w:asciiTheme="minorHAnsi" w:hAnsiTheme="minorHAnsi" w:cstheme="minorHAnsi"/>
                <w:color w:val="000000"/>
                <w:sz w:val="22"/>
                <w:szCs w:val="24"/>
                <w:lang w:val="en-CA"/>
              </w:rPr>
              <w:t>50%</w:t>
            </w:r>
          </w:p>
        </w:tc>
      </w:tr>
      <w:tr w:rsidR="002A3872" w:rsidRPr="00EC36BA" w14:paraId="7F2850BF" w14:textId="77777777" w:rsidTr="00083392">
        <w:trPr>
          <w:cantSplit/>
          <w:trHeight w:val="290"/>
          <w:tblHeader/>
          <w:jc w:val="center"/>
        </w:trPr>
        <w:tc>
          <w:tcPr>
            <w:tcW w:w="1574" w:type="pct"/>
          </w:tcPr>
          <w:p w14:paraId="2E274999" w14:textId="77777777" w:rsidR="002A3872" w:rsidRPr="00EC36BA" w:rsidRDefault="002A3872" w:rsidP="004842D8">
            <w:pPr>
              <w:autoSpaceDE w:val="0"/>
              <w:autoSpaceDN w:val="0"/>
              <w:adjustRightInd w:val="0"/>
              <w:rPr>
                <w:rFonts w:asciiTheme="minorHAnsi" w:hAnsiTheme="minorHAnsi" w:cstheme="minorHAnsi"/>
                <w:color w:val="000000"/>
                <w:sz w:val="22"/>
                <w:szCs w:val="24"/>
                <w:lang w:val="en-CA"/>
              </w:rPr>
            </w:pPr>
            <w:r w:rsidRPr="00EC36BA">
              <w:rPr>
                <w:rFonts w:asciiTheme="minorHAnsi" w:hAnsiTheme="minorHAnsi" w:cstheme="minorHAnsi"/>
                <w:color w:val="000000"/>
                <w:sz w:val="22"/>
                <w:szCs w:val="24"/>
                <w:lang w:val="en-CA"/>
              </w:rPr>
              <w:t>EC – Economics and Social Sciences Services</w:t>
            </w:r>
          </w:p>
        </w:tc>
        <w:tc>
          <w:tcPr>
            <w:tcW w:w="1576" w:type="pct"/>
          </w:tcPr>
          <w:p w14:paraId="343F2EE6" w14:textId="77777777" w:rsidR="002A3872" w:rsidRPr="00EC36BA" w:rsidRDefault="002A3872" w:rsidP="004842D8">
            <w:pPr>
              <w:autoSpaceDE w:val="0"/>
              <w:autoSpaceDN w:val="0"/>
              <w:adjustRightInd w:val="0"/>
              <w:jc w:val="center"/>
              <w:rPr>
                <w:rFonts w:asciiTheme="minorHAnsi" w:hAnsiTheme="minorHAnsi" w:cstheme="minorHAnsi"/>
                <w:color w:val="000000"/>
                <w:sz w:val="22"/>
                <w:szCs w:val="24"/>
                <w:lang w:val="en-CA"/>
              </w:rPr>
            </w:pPr>
            <w:r w:rsidRPr="00EC36BA">
              <w:rPr>
                <w:rFonts w:asciiTheme="minorHAnsi" w:hAnsiTheme="minorHAnsi" w:cstheme="minorHAnsi"/>
                <w:color w:val="000000"/>
                <w:sz w:val="22"/>
                <w:szCs w:val="24"/>
                <w:lang w:val="en-CA"/>
              </w:rPr>
              <w:t>1</w:t>
            </w:r>
          </w:p>
        </w:tc>
        <w:tc>
          <w:tcPr>
            <w:tcW w:w="1850" w:type="pct"/>
          </w:tcPr>
          <w:p w14:paraId="76F70FDC" w14:textId="77777777" w:rsidR="002A3872" w:rsidRPr="00EC36BA" w:rsidRDefault="002A3872" w:rsidP="004842D8">
            <w:pPr>
              <w:autoSpaceDE w:val="0"/>
              <w:autoSpaceDN w:val="0"/>
              <w:adjustRightInd w:val="0"/>
              <w:jc w:val="center"/>
              <w:rPr>
                <w:rFonts w:asciiTheme="minorHAnsi" w:hAnsiTheme="minorHAnsi" w:cstheme="minorHAnsi"/>
                <w:color w:val="000000"/>
                <w:sz w:val="22"/>
                <w:szCs w:val="24"/>
                <w:lang w:val="en-CA"/>
              </w:rPr>
            </w:pPr>
            <w:r w:rsidRPr="00EC36BA">
              <w:rPr>
                <w:rFonts w:asciiTheme="minorHAnsi" w:hAnsiTheme="minorHAnsi" w:cstheme="minorHAnsi"/>
                <w:color w:val="000000"/>
                <w:sz w:val="22"/>
                <w:szCs w:val="24"/>
                <w:lang w:val="en-CA"/>
              </w:rPr>
              <w:t>50%</w:t>
            </w:r>
          </w:p>
        </w:tc>
      </w:tr>
      <w:tr w:rsidR="002A3872" w:rsidRPr="00EC36BA" w14:paraId="7BD83C2D" w14:textId="77777777" w:rsidTr="00083392">
        <w:trPr>
          <w:cantSplit/>
          <w:trHeight w:val="290"/>
          <w:tblHeader/>
          <w:jc w:val="center"/>
        </w:trPr>
        <w:tc>
          <w:tcPr>
            <w:tcW w:w="1574" w:type="pct"/>
          </w:tcPr>
          <w:p w14:paraId="48AEA9E5" w14:textId="77777777" w:rsidR="002A3872" w:rsidRPr="00EC36BA" w:rsidRDefault="002A3872" w:rsidP="004842D8">
            <w:pPr>
              <w:autoSpaceDE w:val="0"/>
              <w:autoSpaceDN w:val="0"/>
              <w:adjustRightInd w:val="0"/>
              <w:rPr>
                <w:rFonts w:asciiTheme="minorHAnsi" w:hAnsiTheme="minorHAnsi" w:cstheme="minorHAnsi"/>
                <w:color w:val="000000"/>
                <w:sz w:val="22"/>
                <w:szCs w:val="24"/>
                <w:lang w:val="en-CA"/>
              </w:rPr>
            </w:pPr>
            <w:r w:rsidRPr="00EC36BA">
              <w:rPr>
                <w:rFonts w:asciiTheme="minorHAnsi" w:hAnsiTheme="minorHAnsi" w:cstheme="minorHAnsi"/>
                <w:color w:val="000000"/>
                <w:sz w:val="22"/>
                <w:szCs w:val="24"/>
                <w:lang w:val="en-CA"/>
              </w:rPr>
              <w:t>Other</w:t>
            </w:r>
          </w:p>
        </w:tc>
        <w:tc>
          <w:tcPr>
            <w:tcW w:w="1576" w:type="pct"/>
          </w:tcPr>
          <w:p w14:paraId="6FB88F6E" w14:textId="77777777" w:rsidR="002A3872" w:rsidRPr="00EC36BA" w:rsidRDefault="002A3872" w:rsidP="004842D8">
            <w:pPr>
              <w:autoSpaceDE w:val="0"/>
              <w:autoSpaceDN w:val="0"/>
              <w:adjustRightInd w:val="0"/>
              <w:jc w:val="center"/>
              <w:rPr>
                <w:rFonts w:asciiTheme="minorHAnsi" w:hAnsiTheme="minorHAnsi" w:cstheme="minorHAnsi"/>
                <w:color w:val="000000"/>
                <w:sz w:val="22"/>
                <w:szCs w:val="24"/>
                <w:lang w:val="en-CA"/>
              </w:rPr>
            </w:pPr>
            <w:r w:rsidRPr="00EC36BA">
              <w:rPr>
                <w:rFonts w:asciiTheme="minorHAnsi" w:hAnsiTheme="minorHAnsi" w:cstheme="minorHAnsi"/>
                <w:color w:val="000000"/>
                <w:sz w:val="22"/>
                <w:szCs w:val="24"/>
                <w:lang w:val="en-CA"/>
              </w:rPr>
              <w:t>0</w:t>
            </w:r>
          </w:p>
        </w:tc>
        <w:tc>
          <w:tcPr>
            <w:tcW w:w="1850" w:type="pct"/>
          </w:tcPr>
          <w:p w14:paraId="1663559E" w14:textId="77777777" w:rsidR="002A3872" w:rsidRPr="00EC36BA" w:rsidRDefault="002A3872" w:rsidP="004842D8">
            <w:pPr>
              <w:autoSpaceDE w:val="0"/>
              <w:autoSpaceDN w:val="0"/>
              <w:adjustRightInd w:val="0"/>
              <w:jc w:val="center"/>
              <w:rPr>
                <w:rFonts w:asciiTheme="minorHAnsi" w:hAnsiTheme="minorHAnsi" w:cstheme="minorHAnsi"/>
                <w:color w:val="000000"/>
                <w:sz w:val="22"/>
                <w:szCs w:val="24"/>
                <w:lang w:val="en-CA"/>
              </w:rPr>
            </w:pPr>
            <w:r w:rsidRPr="00EC36BA">
              <w:rPr>
                <w:rFonts w:asciiTheme="minorHAnsi" w:hAnsiTheme="minorHAnsi" w:cstheme="minorHAnsi"/>
                <w:color w:val="000000"/>
                <w:sz w:val="22"/>
                <w:szCs w:val="24"/>
                <w:lang w:val="en-CA"/>
              </w:rPr>
              <w:t>0%</w:t>
            </w:r>
          </w:p>
        </w:tc>
      </w:tr>
      <w:tr w:rsidR="002A3872" w:rsidRPr="00EC36BA" w14:paraId="4F301A4F" w14:textId="77777777" w:rsidTr="00083392">
        <w:trPr>
          <w:cantSplit/>
          <w:trHeight w:val="290"/>
          <w:tblHeader/>
          <w:jc w:val="center"/>
        </w:trPr>
        <w:tc>
          <w:tcPr>
            <w:tcW w:w="1574" w:type="pct"/>
          </w:tcPr>
          <w:p w14:paraId="318989E0" w14:textId="77777777" w:rsidR="002A3872" w:rsidRPr="00EC36BA" w:rsidRDefault="002A3872" w:rsidP="004842D8">
            <w:pPr>
              <w:autoSpaceDE w:val="0"/>
              <w:autoSpaceDN w:val="0"/>
              <w:adjustRightInd w:val="0"/>
              <w:rPr>
                <w:rFonts w:asciiTheme="minorHAnsi" w:hAnsiTheme="minorHAnsi" w:cstheme="minorHAnsi"/>
                <w:color w:val="000000"/>
                <w:sz w:val="22"/>
                <w:szCs w:val="24"/>
                <w:lang w:val="en-CA"/>
              </w:rPr>
            </w:pPr>
            <w:r w:rsidRPr="00EC36BA">
              <w:rPr>
                <w:rFonts w:asciiTheme="minorHAnsi" w:hAnsiTheme="minorHAnsi" w:cstheme="minorHAnsi"/>
                <w:color w:val="000000"/>
                <w:sz w:val="22"/>
                <w:szCs w:val="24"/>
                <w:lang w:val="en-CA"/>
              </w:rPr>
              <w:t>Total</w:t>
            </w:r>
          </w:p>
        </w:tc>
        <w:tc>
          <w:tcPr>
            <w:tcW w:w="1576" w:type="pct"/>
          </w:tcPr>
          <w:p w14:paraId="047B3636" w14:textId="77777777" w:rsidR="002A3872" w:rsidRPr="00EC36BA" w:rsidRDefault="002A3872" w:rsidP="004842D8">
            <w:pPr>
              <w:autoSpaceDE w:val="0"/>
              <w:autoSpaceDN w:val="0"/>
              <w:adjustRightInd w:val="0"/>
              <w:jc w:val="center"/>
              <w:rPr>
                <w:rFonts w:asciiTheme="minorHAnsi" w:hAnsiTheme="minorHAnsi" w:cstheme="minorHAnsi"/>
                <w:color w:val="000000"/>
                <w:sz w:val="22"/>
                <w:szCs w:val="24"/>
                <w:lang w:val="en-CA"/>
              </w:rPr>
            </w:pPr>
            <w:r w:rsidRPr="00EC36BA">
              <w:rPr>
                <w:rFonts w:asciiTheme="minorHAnsi" w:hAnsiTheme="minorHAnsi" w:cstheme="minorHAnsi"/>
                <w:color w:val="000000"/>
                <w:sz w:val="22"/>
                <w:szCs w:val="24"/>
                <w:lang w:val="en-CA"/>
              </w:rPr>
              <w:t>0</w:t>
            </w:r>
          </w:p>
        </w:tc>
        <w:tc>
          <w:tcPr>
            <w:tcW w:w="1850" w:type="pct"/>
          </w:tcPr>
          <w:p w14:paraId="05DB754F" w14:textId="77777777" w:rsidR="002A3872" w:rsidRPr="00EC36BA" w:rsidRDefault="002A3872" w:rsidP="004842D8">
            <w:pPr>
              <w:autoSpaceDE w:val="0"/>
              <w:autoSpaceDN w:val="0"/>
              <w:adjustRightInd w:val="0"/>
              <w:jc w:val="center"/>
              <w:rPr>
                <w:rFonts w:asciiTheme="minorHAnsi" w:hAnsiTheme="minorHAnsi" w:cstheme="minorHAnsi"/>
                <w:color w:val="000000"/>
                <w:sz w:val="22"/>
                <w:szCs w:val="24"/>
                <w:lang w:val="en-CA"/>
              </w:rPr>
            </w:pPr>
            <w:r w:rsidRPr="00EC36BA">
              <w:rPr>
                <w:rFonts w:asciiTheme="minorHAnsi" w:hAnsiTheme="minorHAnsi" w:cstheme="minorHAnsi"/>
                <w:color w:val="000000"/>
                <w:sz w:val="22"/>
                <w:szCs w:val="24"/>
                <w:lang w:val="en-CA"/>
              </w:rPr>
              <w:t>100%</w:t>
            </w:r>
          </w:p>
        </w:tc>
      </w:tr>
    </w:tbl>
    <w:p w14:paraId="1E114165" w14:textId="71C718E3" w:rsidR="003222DC" w:rsidRPr="003222DC" w:rsidRDefault="003222DC" w:rsidP="003222DC">
      <w:pPr>
        <w:pStyle w:val="Titre1"/>
        <w:spacing w:before="120" w:after="120"/>
        <w:rPr>
          <w:sz w:val="40"/>
          <w:szCs w:val="40"/>
        </w:rPr>
      </w:pPr>
      <w:r w:rsidRPr="003222DC">
        <w:rPr>
          <w:sz w:val="40"/>
          <w:szCs w:val="40"/>
        </w:rPr>
        <w:lastRenderedPageBreak/>
        <w:t>Staffing by region</w:t>
      </w:r>
    </w:p>
    <w:p w14:paraId="752BB077" w14:textId="77777777" w:rsidR="00A9592F" w:rsidRDefault="002A3872" w:rsidP="00A9592F">
      <w:pPr>
        <w:keepNext/>
        <w:tabs>
          <w:tab w:val="left" w:pos="7839"/>
        </w:tabs>
        <w:jc w:val="center"/>
      </w:pPr>
      <w:r w:rsidRPr="00E628AA">
        <w:rPr>
          <w:rStyle w:val="lev"/>
          <w:noProof/>
          <w:lang w:val="en-CA" w:eastAsia="en-CA"/>
        </w:rPr>
        <w:drawing>
          <wp:inline distT="0" distB="0" distL="0" distR="0" wp14:anchorId="75FCF850" wp14:editId="4FEBEAD7">
            <wp:extent cx="5648400" cy="3049200"/>
            <wp:effectExtent l="0" t="0" r="9525" b="18415"/>
            <wp:docPr id="6" name="Chart 6" descr="Staffing by regio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7C3DE1D8" w14:textId="02373791" w:rsidR="002A3872" w:rsidRDefault="00A9592F" w:rsidP="00A9592F">
      <w:pPr>
        <w:pStyle w:val="Lgende"/>
        <w:spacing w:after="240"/>
        <w:jc w:val="center"/>
      </w:pPr>
      <w:r>
        <w:t xml:space="preserve">Figure </w:t>
      </w:r>
      <w:r>
        <w:fldChar w:fldCharType="begin"/>
      </w:r>
      <w:r>
        <w:instrText xml:space="preserve"> SEQ Figure \* ARABIC </w:instrText>
      </w:r>
      <w:r>
        <w:fldChar w:fldCharType="separate"/>
      </w:r>
      <w:r w:rsidR="0016520F">
        <w:rPr>
          <w:noProof/>
        </w:rPr>
        <w:t>6</w:t>
      </w:r>
      <w:r>
        <w:fldChar w:fldCharType="end"/>
      </w:r>
      <w:r>
        <w:t xml:space="preserve"> - Staffing by region</w:t>
      </w:r>
    </w:p>
    <w:p w14:paraId="0B051772" w14:textId="61A4EEC9" w:rsidR="00A9592F" w:rsidRDefault="00A9592F" w:rsidP="00A9592F">
      <w:pPr>
        <w:pStyle w:val="Lgende"/>
        <w:keepNext/>
        <w:jc w:val="center"/>
      </w:pPr>
      <w:r>
        <w:t xml:space="preserve">Table </w:t>
      </w:r>
      <w:r>
        <w:fldChar w:fldCharType="begin"/>
      </w:r>
      <w:r>
        <w:instrText xml:space="preserve"> SEQ Table \* ARABIC </w:instrText>
      </w:r>
      <w:r>
        <w:fldChar w:fldCharType="separate"/>
      </w:r>
      <w:r w:rsidR="0016520F">
        <w:rPr>
          <w:noProof/>
        </w:rPr>
        <w:t>6</w:t>
      </w:r>
      <w:r>
        <w:fldChar w:fldCharType="end"/>
      </w:r>
      <w:r>
        <w:t xml:space="preserve"> - </w:t>
      </w:r>
      <w:r w:rsidRPr="00970E73">
        <w:t>Percentage of staffing activities in the National Capital Region compared with all other regions by fiscal year</w:t>
      </w:r>
    </w:p>
    <w:tbl>
      <w:tblPr>
        <w:tblStyle w:val="Grilledutableau"/>
        <w:tblW w:w="5000" w:type="pct"/>
        <w:jc w:val="center"/>
        <w:tblLook w:val="00A0" w:firstRow="1" w:lastRow="0" w:firstColumn="1" w:lastColumn="0" w:noHBand="0" w:noVBand="0"/>
        <w:tblDescription w:val="Staffing by region "/>
      </w:tblPr>
      <w:tblGrid>
        <w:gridCol w:w="2138"/>
        <w:gridCol w:w="5972"/>
        <w:gridCol w:w="6280"/>
      </w:tblGrid>
      <w:tr w:rsidR="00A9592F" w:rsidRPr="00EC36BA" w14:paraId="5F33097D" w14:textId="77777777" w:rsidTr="003222DC">
        <w:trPr>
          <w:cantSplit/>
          <w:trHeight w:val="290"/>
          <w:tblHeader/>
          <w:jc w:val="center"/>
        </w:trPr>
        <w:tc>
          <w:tcPr>
            <w:tcW w:w="743" w:type="pct"/>
          </w:tcPr>
          <w:p w14:paraId="2140B08E" w14:textId="77777777" w:rsidR="00A9592F" w:rsidRPr="00EC36BA" w:rsidRDefault="00A9592F" w:rsidP="0069270B">
            <w:pPr>
              <w:pStyle w:val="TableTitle"/>
              <w:rPr>
                <w:color w:val="auto"/>
                <w:sz w:val="22"/>
                <w:lang w:val="en-CA"/>
              </w:rPr>
            </w:pPr>
            <w:r w:rsidRPr="00EC36BA">
              <w:rPr>
                <w:color w:val="auto"/>
                <w:sz w:val="22"/>
                <w:lang w:val="en-CA"/>
              </w:rPr>
              <w:t>Fiscal year</w:t>
            </w:r>
          </w:p>
        </w:tc>
        <w:tc>
          <w:tcPr>
            <w:tcW w:w="2075" w:type="pct"/>
          </w:tcPr>
          <w:p w14:paraId="49C1F6AD" w14:textId="77777777" w:rsidR="00A9592F" w:rsidRPr="00EC36BA" w:rsidRDefault="00A9592F" w:rsidP="0069270B">
            <w:pPr>
              <w:pStyle w:val="TableTitle"/>
              <w:rPr>
                <w:color w:val="auto"/>
                <w:sz w:val="22"/>
                <w:lang w:val="en-CA"/>
              </w:rPr>
            </w:pPr>
            <w:r w:rsidRPr="00EC36BA">
              <w:rPr>
                <w:color w:val="auto"/>
                <w:sz w:val="22"/>
                <w:lang w:val="en-CA"/>
              </w:rPr>
              <w:t>Percentage of staffing activities in the National Capital Region (NCR)</w:t>
            </w:r>
          </w:p>
        </w:tc>
        <w:tc>
          <w:tcPr>
            <w:tcW w:w="2182" w:type="pct"/>
          </w:tcPr>
          <w:p w14:paraId="31212271" w14:textId="77777777" w:rsidR="00A9592F" w:rsidRPr="00EC36BA" w:rsidRDefault="00A9592F" w:rsidP="0069270B">
            <w:pPr>
              <w:pStyle w:val="TableTitle"/>
              <w:rPr>
                <w:color w:val="auto"/>
                <w:sz w:val="22"/>
                <w:lang w:val="en-CA"/>
              </w:rPr>
            </w:pPr>
            <w:r w:rsidRPr="00EC36BA">
              <w:rPr>
                <w:color w:val="auto"/>
                <w:sz w:val="22"/>
                <w:lang w:val="en-CA"/>
              </w:rPr>
              <w:t>Percentage of staffing activities in all other regions (Non-NCR)</w:t>
            </w:r>
          </w:p>
        </w:tc>
      </w:tr>
      <w:tr w:rsidR="00A9592F" w:rsidRPr="00EC36BA" w14:paraId="53A054BF" w14:textId="77777777" w:rsidTr="003222DC">
        <w:trPr>
          <w:cantSplit/>
          <w:trHeight w:val="290"/>
          <w:tblHeader/>
          <w:jc w:val="center"/>
        </w:trPr>
        <w:tc>
          <w:tcPr>
            <w:tcW w:w="743" w:type="pct"/>
          </w:tcPr>
          <w:p w14:paraId="43FFE257" w14:textId="77777777" w:rsidR="00A9592F" w:rsidRPr="00EC36BA" w:rsidRDefault="00A9592F" w:rsidP="0069270B">
            <w:pPr>
              <w:autoSpaceDE w:val="0"/>
              <w:autoSpaceDN w:val="0"/>
              <w:adjustRightInd w:val="0"/>
              <w:rPr>
                <w:rFonts w:asciiTheme="minorHAnsi" w:hAnsiTheme="minorHAnsi" w:cstheme="minorHAnsi"/>
                <w:color w:val="000000"/>
                <w:sz w:val="22"/>
                <w:szCs w:val="24"/>
                <w:lang w:val="en-CA"/>
              </w:rPr>
            </w:pPr>
            <w:r w:rsidRPr="00EC36BA">
              <w:rPr>
                <w:rFonts w:asciiTheme="minorHAnsi" w:hAnsiTheme="minorHAnsi" w:cstheme="minorHAnsi"/>
                <w:color w:val="000000"/>
                <w:sz w:val="22"/>
                <w:szCs w:val="24"/>
                <w:lang w:val="en-CA"/>
              </w:rPr>
              <w:t>2014 to 2015</w:t>
            </w:r>
          </w:p>
        </w:tc>
        <w:tc>
          <w:tcPr>
            <w:tcW w:w="2075" w:type="pct"/>
          </w:tcPr>
          <w:p w14:paraId="4A9B0CF4" w14:textId="77777777" w:rsidR="00A9592F" w:rsidRPr="00EC36BA" w:rsidRDefault="00A9592F" w:rsidP="0069270B">
            <w:pPr>
              <w:autoSpaceDE w:val="0"/>
              <w:autoSpaceDN w:val="0"/>
              <w:adjustRightInd w:val="0"/>
              <w:jc w:val="center"/>
              <w:rPr>
                <w:rFonts w:asciiTheme="minorHAnsi" w:hAnsiTheme="minorHAnsi" w:cstheme="minorHAnsi"/>
                <w:color w:val="000000"/>
                <w:sz w:val="22"/>
                <w:szCs w:val="24"/>
                <w:lang w:val="en-CA"/>
              </w:rPr>
            </w:pPr>
            <w:r w:rsidRPr="00EC36BA">
              <w:rPr>
                <w:rFonts w:asciiTheme="minorHAnsi" w:hAnsiTheme="minorHAnsi" w:cstheme="minorHAnsi"/>
                <w:color w:val="000000"/>
                <w:sz w:val="22"/>
                <w:szCs w:val="24"/>
                <w:lang w:val="en-CA"/>
              </w:rPr>
              <w:t>68%</w:t>
            </w:r>
          </w:p>
        </w:tc>
        <w:tc>
          <w:tcPr>
            <w:tcW w:w="2182" w:type="pct"/>
          </w:tcPr>
          <w:p w14:paraId="394CD551" w14:textId="77777777" w:rsidR="00A9592F" w:rsidRPr="00EC36BA" w:rsidRDefault="00A9592F" w:rsidP="0069270B">
            <w:pPr>
              <w:autoSpaceDE w:val="0"/>
              <w:autoSpaceDN w:val="0"/>
              <w:adjustRightInd w:val="0"/>
              <w:jc w:val="center"/>
              <w:rPr>
                <w:rFonts w:asciiTheme="minorHAnsi" w:hAnsiTheme="minorHAnsi" w:cstheme="minorHAnsi"/>
                <w:color w:val="000000"/>
                <w:sz w:val="22"/>
                <w:szCs w:val="24"/>
                <w:lang w:val="en-CA"/>
              </w:rPr>
            </w:pPr>
            <w:r w:rsidRPr="00EC36BA">
              <w:rPr>
                <w:rFonts w:asciiTheme="minorHAnsi" w:hAnsiTheme="minorHAnsi" w:cstheme="minorHAnsi"/>
                <w:color w:val="000000"/>
                <w:sz w:val="22"/>
                <w:szCs w:val="24"/>
                <w:lang w:val="en-CA"/>
              </w:rPr>
              <w:t>32%</w:t>
            </w:r>
          </w:p>
        </w:tc>
      </w:tr>
      <w:tr w:rsidR="00A9592F" w:rsidRPr="00EC36BA" w14:paraId="6CE3C859" w14:textId="77777777" w:rsidTr="003222DC">
        <w:trPr>
          <w:cantSplit/>
          <w:trHeight w:val="290"/>
          <w:tblHeader/>
          <w:jc w:val="center"/>
        </w:trPr>
        <w:tc>
          <w:tcPr>
            <w:tcW w:w="743" w:type="pct"/>
          </w:tcPr>
          <w:p w14:paraId="48E018CD" w14:textId="77777777" w:rsidR="00A9592F" w:rsidRPr="00EC36BA" w:rsidRDefault="00A9592F" w:rsidP="0069270B">
            <w:pPr>
              <w:autoSpaceDE w:val="0"/>
              <w:autoSpaceDN w:val="0"/>
              <w:adjustRightInd w:val="0"/>
              <w:rPr>
                <w:rFonts w:asciiTheme="minorHAnsi" w:hAnsiTheme="minorHAnsi" w:cstheme="minorHAnsi"/>
                <w:color w:val="000000"/>
                <w:sz w:val="22"/>
                <w:szCs w:val="24"/>
                <w:lang w:val="en-CA"/>
              </w:rPr>
            </w:pPr>
            <w:r w:rsidRPr="00EC36BA">
              <w:rPr>
                <w:rFonts w:asciiTheme="minorHAnsi" w:hAnsiTheme="minorHAnsi" w:cstheme="minorHAnsi"/>
                <w:color w:val="000000"/>
                <w:sz w:val="22"/>
                <w:szCs w:val="24"/>
                <w:lang w:val="en-CA"/>
              </w:rPr>
              <w:t>2015 to 2016</w:t>
            </w:r>
          </w:p>
        </w:tc>
        <w:tc>
          <w:tcPr>
            <w:tcW w:w="2075" w:type="pct"/>
          </w:tcPr>
          <w:p w14:paraId="58243C26" w14:textId="77777777" w:rsidR="00A9592F" w:rsidRPr="00EC36BA" w:rsidRDefault="00A9592F" w:rsidP="0069270B">
            <w:pPr>
              <w:autoSpaceDE w:val="0"/>
              <w:autoSpaceDN w:val="0"/>
              <w:adjustRightInd w:val="0"/>
              <w:jc w:val="center"/>
              <w:rPr>
                <w:rFonts w:asciiTheme="minorHAnsi" w:hAnsiTheme="minorHAnsi" w:cstheme="minorHAnsi"/>
                <w:color w:val="000000"/>
                <w:sz w:val="22"/>
                <w:szCs w:val="24"/>
                <w:lang w:val="en-CA"/>
              </w:rPr>
            </w:pPr>
            <w:r w:rsidRPr="00EC36BA">
              <w:rPr>
                <w:rFonts w:asciiTheme="minorHAnsi" w:hAnsiTheme="minorHAnsi" w:cstheme="minorHAnsi"/>
                <w:color w:val="000000"/>
                <w:sz w:val="22"/>
                <w:szCs w:val="24"/>
                <w:lang w:val="en-CA"/>
              </w:rPr>
              <w:t>63%</w:t>
            </w:r>
          </w:p>
        </w:tc>
        <w:tc>
          <w:tcPr>
            <w:tcW w:w="2182" w:type="pct"/>
          </w:tcPr>
          <w:p w14:paraId="0124692E" w14:textId="77777777" w:rsidR="00A9592F" w:rsidRPr="00EC36BA" w:rsidRDefault="00A9592F" w:rsidP="0069270B">
            <w:pPr>
              <w:autoSpaceDE w:val="0"/>
              <w:autoSpaceDN w:val="0"/>
              <w:adjustRightInd w:val="0"/>
              <w:jc w:val="center"/>
              <w:rPr>
                <w:rFonts w:asciiTheme="minorHAnsi" w:hAnsiTheme="minorHAnsi" w:cstheme="minorHAnsi"/>
                <w:color w:val="000000"/>
                <w:sz w:val="22"/>
                <w:szCs w:val="24"/>
                <w:lang w:val="en-CA"/>
              </w:rPr>
            </w:pPr>
            <w:r w:rsidRPr="00EC36BA">
              <w:rPr>
                <w:rFonts w:asciiTheme="minorHAnsi" w:hAnsiTheme="minorHAnsi" w:cstheme="minorHAnsi"/>
                <w:color w:val="000000"/>
                <w:sz w:val="22"/>
                <w:szCs w:val="24"/>
                <w:lang w:val="en-CA"/>
              </w:rPr>
              <w:t>37%</w:t>
            </w:r>
          </w:p>
        </w:tc>
      </w:tr>
      <w:tr w:rsidR="00A9592F" w:rsidRPr="00EC36BA" w14:paraId="05A269CB" w14:textId="77777777" w:rsidTr="003222DC">
        <w:trPr>
          <w:cantSplit/>
          <w:trHeight w:val="290"/>
          <w:tblHeader/>
          <w:jc w:val="center"/>
        </w:trPr>
        <w:tc>
          <w:tcPr>
            <w:tcW w:w="743" w:type="pct"/>
          </w:tcPr>
          <w:p w14:paraId="7989F8D6" w14:textId="77777777" w:rsidR="00A9592F" w:rsidRPr="00EC36BA" w:rsidRDefault="00A9592F" w:rsidP="0069270B">
            <w:pPr>
              <w:autoSpaceDE w:val="0"/>
              <w:autoSpaceDN w:val="0"/>
              <w:adjustRightInd w:val="0"/>
              <w:rPr>
                <w:rFonts w:asciiTheme="minorHAnsi" w:hAnsiTheme="minorHAnsi" w:cstheme="minorHAnsi"/>
                <w:color w:val="000000"/>
                <w:sz w:val="22"/>
                <w:szCs w:val="24"/>
                <w:lang w:val="en-CA"/>
              </w:rPr>
            </w:pPr>
            <w:r w:rsidRPr="00EC36BA">
              <w:rPr>
                <w:rFonts w:asciiTheme="minorHAnsi" w:hAnsiTheme="minorHAnsi" w:cstheme="minorHAnsi"/>
                <w:color w:val="000000"/>
                <w:sz w:val="22"/>
                <w:szCs w:val="24"/>
                <w:lang w:val="en-CA"/>
              </w:rPr>
              <w:t>2016 to 2017</w:t>
            </w:r>
          </w:p>
        </w:tc>
        <w:tc>
          <w:tcPr>
            <w:tcW w:w="2075" w:type="pct"/>
          </w:tcPr>
          <w:p w14:paraId="3D1C34E2" w14:textId="77777777" w:rsidR="00A9592F" w:rsidRPr="00EC36BA" w:rsidRDefault="00A9592F" w:rsidP="0069270B">
            <w:pPr>
              <w:autoSpaceDE w:val="0"/>
              <w:autoSpaceDN w:val="0"/>
              <w:adjustRightInd w:val="0"/>
              <w:jc w:val="center"/>
              <w:rPr>
                <w:rFonts w:asciiTheme="minorHAnsi" w:hAnsiTheme="minorHAnsi" w:cstheme="minorHAnsi"/>
                <w:color w:val="000000"/>
                <w:sz w:val="22"/>
                <w:szCs w:val="24"/>
                <w:lang w:val="en-CA"/>
              </w:rPr>
            </w:pPr>
            <w:r w:rsidRPr="00EC36BA">
              <w:rPr>
                <w:rFonts w:asciiTheme="minorHAnsi" w:hAnsiTheme="minorHAnsi" w:cstheme="minorHAnsi"/>
                <w:color w:val="000000"/>
                <w:sz w:val="22"/>
                <w:szCs w:val="24"/>
                <w:lang w:val="en-CA"/>
              </w:rPr>
              <w:t>95%</w:t>
            </w:r>
          </w:p>
        </w:tc>
        <w:tc>
          <w:tcPr>
            <w:tcW w:w="2182" w:type="pct"/>
          </w:tcPr>
          <w:p w14:paraId="7E25A7C7" w14:textId="77777777" w:rsidR="00A9592F" w:rsidRPr="00EC36BA" w:rsidRDefault="00A9592F" w:rsidP="0069270B">
            <w:pPr>
              <w:autoSpaceDE w:val="0"/>
              <w:autoSpaceDN w:val="0"/>
              <w:adjustRightInd w:val="0"/>
              <w:jc w:val="center"/>
              <w:rPr>
                <w:rFonts w:asciiTheme="minorHAnsi" w:hAnsiTheme="minorHAnsi" w:cstheme="minorHAnsi"/>
                <w:color w:val="000000"/>
                <w:sz w:val="22"/>
                <w:szCs w:val="24"/>
                <w:lang w:val="en-CA"/>
              </w:rPr>
            </w:pPr>
            <w:r w:rsidRPr="00EC36BA">
              <w:rPr>
                <w:rFonts w:asciiTheme="minorHAnsi" w:hAnsiTheme="minorHAnsi" w:cstheme="minorHAnsi"/>
                <w:color w:val="000000"/>
                <w:sz w:val="22"/>
                <w:szCs w:val="24"/>
                <w:lang w:val="en-CA"/>
              </w:rPr>
              <w:t>5%</w:t>
            </w:r>
          </w:p>
        </w:tc>
      </w:tr>
      <w:tr w:rsidR="00A9592F" w:rsidRPr="00EC36BA" w14:paraId="229D9A56" w14:textId="77777777" w:rsidTr="003222DC">
        <w:trPr>
          <w:cantSplit/>
          <w:trHeight w:val="290"/>
          <w:tblHeader/>
          <w:jc w:val="center"/>
        </w:trPr>
        <w:tc>
          <w:tcPr>
            <w:tcW w:w="743" w:type="pct"/>
          </w:tcPr>
          <w:p w14:paraId="42C144D2" w14:textId="77777777" w:rsidR="00A9592F" w:rsidRPr="00EC36BA" w:rsidRDefault="00A9592F" w:rsidP="0069270B">
            <w:pPr>
              <w:autoSpaceDE w:val="0"/>
              <w:autoSpaceDN w:val="0"/>
              <w:adjustRightInd w:val="0"/>
              <w:rPr>
                <w:rFonts w:asciiTheme="minorHAnsi" w:hAnsiTheme="minorHAnsi" w:cstheme="minorHAnsi"/>
                <w:color w:val="000000"/>
                <w:sz w:val="22"/>
                <w:szCs w:val="24"/>
                <w:lang w:val="en-CA"/>
              </w:rPr>
            </w:pPr>
            <w:r w:rsidRPr="00EC36BA">
              <w:rPr>
                <w:rFonts w:asciiTheme="minorHAnsi" w:hAnsiTheme="minorHAnsi" w:cstheme="minorHAnsi"/>
                <w:color w:val="000000"/>
                <w:sz w:val="22"/>
                <w:szCs w:val="24"/>
                <w:lang w:val="en-CA"/>
              </w:rPr>
              <w:t>2017 to 2018</w:t>
            </w:r>
          </w:p>
        </w:tc>
        <w:tc>
          <w:tcPr>
            <w:tcW w:w="2075" w:type="pct"/>
          </w:tcPr>
          <w:p w14:paraId="0B7A0F59" w14:textId="77777777" w:rsidR="00A9592F" w:rsidRPr="00EC36BA" w:rsidRDefault="00A9592F" w:rsidP="0069270B">
            <w:pPr>
              <w:autoSpaceDE w:val="0"/>
              <w:autoSpaceDN w:val="0"/>
              <w:adjustRightInd w:val="0"/>
              <w:jc w:val="center"/>
              <w:rPr>
                <w:rFonts w:asciiTheme="minorHAnsi" w:hAnsiTheme="minorHAnsi" w:cstheme="minorHAnsi"/>
                <w:color w:val="000000"/>
                <w:sz w:val="22"/>
                <w:szCs w:val="24"/>
                <w:lang w:val="en-CA"/>
              </w:rPr>
            </w:pPr>
            <w:r w:rsidRPr="00EC36BA">
              <w:rPr>
                <w:rFonts w:asciiTheme="minorHAnsi" w:hAnsiTheme="minorHAnsi" w:cstheme="minorHAnsi"/>
                <w:color w:val="000000"/>
                <w:sz w:val="22"/>
                <w:szCs w:val="24"/>
                <w:lang w:val="en-CA"/>
              </w:rPr>
              <w:t>94%</w:t>
            </w:r>
          </w:p>
        </w:tc>
        <w:tc>
          <w:tcPr>
            <w:tcW w:w="2182" w:type="pct"/>
          </w:tcPr>
          <w:p w14:paraId="64AB81C0" w14:textId="77777777" w:rsidR="00A9592F" w:rsidRPr="00EC36BA" w:rsidRDefault="00A9592F" w:rsidP="0069270B">
            <w:pPr>
              <w:autoSpaceDE w:val="0"/>
              <w:autoSpaceDN w:val="0"/>
              <w:adjustRightInd w:val="0"/>
              <w:jc w:val="center"/>
              <w:rPr>
                <w:rFonts w:asciiTheme="minorHAnsi" w:hAnsiTheme="minorHAnsi" w:cstheme="minorHAnsi"/>
                <w:color w:val="000000"/>
                <w:sz w:val="22"/>
                <w:szCs w:val="24"/>
                <w:lang w:val="en-CA"/>
              </w:rPr>
            </w:pPr>
            <w:r w:rsidRPr="00EC36BA">
              <w:rPr>
                <w:rFonts w:asciiTheme="minorHAnsi" w:hAnsiTheme="minorHAnsi" w:cstheme="minorHAnsi"/>
                <w:color w:val="000000"/>
                <w:sz w:val="22"/>
                <w:szCs w:val="24"/>
                <w:lang w:val="en-CA"/>
              </w:rPr>
              <w:t>6%</w:t>
            </w:r>
          </w:p>
        </w:tc>
      </w:tr>
      <w:tr w:rsidR="00A9592F" w:rsidRPr="00EC36BA" w14:paraId="0DD5C478" w14:textId="77777777" w:rsidTr="003222DC">
        <w:trPr>
          <w:cantSplit/>
          <w:trHeight w:val="290"/>
          <w:tblHeader/>
          <w:jc w:val="center"/>
        </w:trPr>
        <w:tc>
          <w:tcPr>
            <w:tcW w:w="743" w:type="pct"/>
          </w:tcPr>
          <w:p w14:paraId="1336AB30" w14:textId="77777777" w:rsidR="00A9592F" w:rsidRPr="00EC36BA" w:rsidRDefault="00A9592F" w:rsidP="0069270B">
            <w:pPr>
              <w:autoSpaceDE w:val="0"/>
              <w:autoSpaceDN w:val="0"/>
              <w:adjustRightInd w:val="0"/>
              <w:rPr>
                <w:rFonts w:asciiTheme="minorHAnsi" w:hAnsiTheme="minorHAnsi" w:cstheme="minorHAnsi"/>
                <w:color w:val="000000"/>
                <w:sz w:val="22"/>
                <w:szCs w:val="24"/>
                <w:lang w:val="en-CA"/>
              </w:rPr>
            </w:pPr>
            <w:r w:rsidRPr="00EC36BA">
              <w:rPr>
                <w:rFonts w:asciiTheme="minorHAnsi" w:hAnsiTheme="minorHAnsi" w:cstheme="minorHAnsi"/>
                <w:color w:val="000000"/>
                <w:sz w:val="22"/>
                <w:szCs w:val="24"/>
                <w:lang w:val="en-CA"/>
              </w:rPr>
              <w:t>2018 to 2019</w:t>
            </w:r>
          </w:p>
        </w:tc>
        <w:tc>
          <w:tcPr>
            <w:tcW w:w="2075" w:type="pct"/>
          </w:tcPr>
          <w:p w14:paraId="33521107" w14:textId="77777777" w:rsidR="00A9592F" w:rsidRPr="00EC36BA" w:rsidRDefault="00A9592F" w:rsidP="0069270B">
            <w:pPr>
              <w:autoSpaceDE w:val="0"/>
              <w:autoSpaceDN w:val="0"/>
              <w:adjustRightInd w:val="0"/>
              <w:jc w:val="center"/>
              <w:rPr>
                <w:rFonts w:asciiTheme="minorHAnsi" w:hAnsiTheme="minorHAnsi" w:cstheme="minorHAnsi"/>
                <w:color w:val="000000"/>
                <w:sz w:val="22"/>
                <w:szCs w:val="24"/>
                <w:lang w:val="en-CA"/>
              </w:rPr>
            </w:pPr>
            <w:r w:rsidRPr="00EC36BA">
              <w:rPr>
                <w:rFonts w:asciiTheme="minorHAnsi" w:hAnsiTheme="minorHAnsi" w:cstheme="minorHAnsi"/>
                <w:color w:val="000000"/>
                <w:sz w:val="22"/>
                <w:szCs w:val="24"/>
                <w:lang w:val="en-CA"/>
              </w:rPr>
              <w:t>82%</w:t>
            </w:r>
          </w:p>
        </w:tc>
        <w:tc>
          <w:tcPr>
            <w:tcW w:w="2182" w:type="pct"/>
          </w:tcPr>
          <w:p w14:paraId="6E64030C" w14:textId="77777777" w:rsidR="00A9592F" w:rsidRPr="00EC36BA" w:rsidRDefault="00A9592F" w:rsidP="0069270B">
            <w:pPr>
              <w:autoSpaceDE w:val="0"/>
              <w:autoSpaceDN w:val="0"/>
              <w:adjustRightInd w:val="0"/>
              <w:jc w:val="center"/>
              <w:rPr>
                <w:rFonts w:asciiTheme="minorHAnsi" w:hAnsiTheme="minorHAnsi" w:cstheme="minorHAnsi"/>
                <w:color w:val="000000"/>
                <w:sz w:val="22"/>
                <w:szCs w:val="24"/>
                <w:lang w:val="en-CA"/>
              </w:rPr>
            </w:pPr>
            <w:r w:rsidRPr="00EC36BA">
              <w:rPr>
                <w:rFonts w:asciiTheme="minorHAnsi" w:hAnsiTheme="minorHAnsi" w:cstheme="minorHAnsi"/>
                <w:color w:val="000000"/>
                <w:sz w:val="22"/>
                <w:szCs w:val="24"/>
                <w:lang w:val="en-CA"/>
              </w:rPr>
              <w:t>18%</w:t>
            </w:r>
          </w:p>
        </w:tc>
      </w:tr>
    </w:tbl>
    <w:p w14:paraId="5CE7ACB0" w14:textId="1F6B4F4C" w:rsidR="003222DC" w:rsidRPr="003222DC" w:rsidRDefault="003222DC" w:rsidP="003222DC">
      <w:pPr>
        <w:pStyle w:val="Titre1"/>
        <w:spacing w:before="120" w:after="120"/>
        <w:rPr>
          <w:sz w:val="40"/>
        </w:rPr>
      </w:pPr>
      <w:r w:rsidRPr="003222DC">
        <w:rPr>
          <w:sz w:val="40"/>
        </w:rPr>
        <w:lastRenderedPageBreak/>
        <w:t>Staffing by process type</w:t>
      </w:r>
    </w:p>
    <w:p w14:paraId="17200789" w14:textId="77777777" w:rsidR="00FF1E13" w:rsidRDefault="002A3872" w:rsidP="00FF1E13">
      <w:pPr>
        <w:keepNext/>
        <w:tabs>
          <w:tab w:val="left" w:pos="7839"/>
        </w:tabs>
        <w:jc w:val="center"/>
      </w:pPr>
      <w:r w:rsidRPr="00E628AA">
        <w:rPr>
          <w:rStyle w:val="lev"/>
          <w:noProof/>
          <w:lang w:val="en-CA" w:eastAsia="en-CA"/>
        </w:rPr>
        <w:drawing>
          <wp:inline distT="0" distB="0" distL="0" distR="0" wp14:anchorId="1D0F96D4" wp14:editId="63DF222E">
            <wp:extent cx="5648400" cy="3049200"/>
            <wp:effectExtent l="0" t="0" r="9525" b="18415"/>
            <wp:docPr id="1" name="Chart 1" descr="Staffing by process type"/>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20543355" w14:textId="4C5EE6C7" w:rsidR="002A3872" w:rsidRDefault="00FF1E13" w:rsidP="00FF1E13">
      <w:pPr>
        <w:pStyle w:val="Lgende"/>
        <w:spacing w:after="240"/>
        <w:jc w:val="center"/>
        <w:rPr>
          <w:rStyle w:val="Titre3Car"/>
          <w:color w:val="auto"/>
          <w:sz w:val="22"/>
          <w:lang w:val="en-CA"/>
        </w:rPr>
      </w:pPr>
      <w:r>
        <w:t xml:space="preserve">Figure </w:t>
      </w:r>
      <w:r>
        <w:fldChar w:fldCharType="begin"/>
      </w:r>
      <w:r>
        <w:instrText xml:space="preserve"> SEQ Figure \* ARABIC </w:instrText>
      </w:r>
      <w:r>
        <w:fldChar w:fldCharType="separate"/>
      </w:r>
      <w:r w:rsidR="0016520F">
        <w:rPr>
          <w:noProof/>
        </w:rPr>
        <w:t>7</w:t>
      </w:r>
      <w:r>
        <w:fldChar w:fldCharType="end"/>
      </w:r>
      <w:r>
        <w:t xml:space="preserve"> - </w:t>
      </w:r>
      <w:r w:rsidRPr="003D2E43">
        <w:t>Staffing by process type</w:t>
      </w:r>
    </w:p>
    <w:p w14:paraId="21FAA370" w14:textId="539E6BD3" w:rsidR="00FF1E13" w:rsidRDefault="00FF1E13" w:rsidP="00FF1E13">
      <w:pPr>
        <w:pStyle w:val="Lgende"/>
        <w:keepNext/>
        <w:jc w:val="center"/>
      </w:pPr>
      <w:r>
        <w:t xml:space="preserve">Table </w:t>
      </w:r>
      <w:r>
        <w:fldChar w:fldCharType="begin"/>
      </w:r>
      <w:r>
        <w:instrText xml:space="preserve"> SEQ Table \* ARABIC </w:instrText>
      </w:r>
      <w:r>
        <w:fldChar w:fldCharType="separate"/>
      </w:r>
      <w:r w:rsidR="0016520F">
        <w:rPr>
          <w:noProof/>
        </w:rPr>
        <w:t>7</w:t>
      </w:r>
      <w:r>
        <w:fldChar w:fldCharType="end"/>
      </w:r>
      <w:r>
        <w:t xml:space="preserve"> - </w:t>
      </w:r>
      <w:r w:rsidRPr="00202F2B">
        <w:t>Number and percentage of staffing activities by type of process and fiscal year</w:t>
      </w:r>
    </w:p>
    <w:tbl>
      <w:tblPr>
        <w:tblStyle w:val="Grilledutableau"/>
        <w:tblW w:w="5000" w:type="pct"/>
        <w:jc w:val="center"/>
        <w:tblLook w:val="00A0" w:firstRow="1" w:lastRow="0" w:firstColumn="1" w:lastColumn="0" w:noHBand="0" w:noVBand="0"/>
        <w:tblDescription w:val="Staffing by process type"/>
      </w:tblPr>
      <w:tblGrid>
        <w:gridCol w:w="1672"/>
        <w:gridCol w:w="5411"/>
        <w:gridCol w:w="3275"/>
        <w:gridCol w:w="4032"/>
      </w:tblGrid>
      <w:tr w:rsidR="00FF1E13" w:rsidRPr="00EC36BA" w14:paraId="40BF8D56" w14:textId="77777777" w:rsidTr="003222DC">
        <w:trPr>
          <w:cantSplit/>
          <w:trHeight w:val="290"/>
          <w:tblHeader/>
          <w:jc w:val="center"/>
        </w:trPr>
        <w:tc>
          <w:tcPr>
            <w:tcW w:w="581" w:type="pct"/>
          </w:tcPr>
          <w:p w14:paraId="18FCD241" w14:textId="77777777" w:rsidR="00FF1E13" w:rsidRPr="00EC36BA" w:rsidRDefault="00FF1E13" w:rsidP="0069270B">
            <w:pPr>
              <w:pStyle w:val="TableTitle"/>
              <w:rPr>
                <w:color w:val="auto"/>
                <w:sz w:val="22"/>
                <w:lang w:val="en-CA"/>
              </w:rPr>
            </w:pPr>
            <w:r w:rsidRPr="00EC36BA">
              <w:rPr>
                <w:color w:val="auto"/>
                <w:sz w:val="22"/>
                <w:lang w:val="en-CA"/>
              </w:rPr>
              <w:t>Fiscal year</w:t>
            </w:r>
          </w:p>
        </w:tc>
        <w:tc>
          <w:tcPr>
            <w:tcW w:w="1880" w:type="pct"/>
          </w:tcPr>
          <w:p w14:paraId="361ACDAC" w14:textId="77777777" w:rsidR="00FF1E13" w:rsidRPr="00EC36BA" w:rsidRDefault="00FF1E13" w:rsidP="0069270B">
            <w:pPr>
              <w:pStyle w:val="TableTitle"/>
              <w:rPr>
                <w:color w:val="auto"/>
                <w:sz w:val="22"/>
                <w:lang w:val="en-CA"/>
              </w:rPr>
            </w:pPr>
            <w:r w:rsidRPr="00EC36BA">
              <w:rPr>
                <w:color w:val="auto"/>
                <w:sz w:val="22"/>
                <w:lang w:val="en-CA"/>
              </w:rPr>
              <w:t>Non-advertised processes (excludes unknowns)</w:t>
            </w:r>
          </w:p>
        </w:tc>
        <w:tc>
          <w:tcPr>
            <w:tcW w:w="1138" w:type="pct"/>
          </w:tcPr>
          <w:p w14:paraId="3D5112F4" w14:textId="77777777" w:rsidR="00FF1E13" w:rsidRPr="00EC36BA" w:rsidRDefault="00FF1E13" w:rsidP="0069270B">
            <w:pPr>
              <w:pStyle w:val="TableTitle"/>
              <w:rPr>
                <w:color w:val="auto"/>
                <w:sz w:val="22"/>
                <w:lang w:val="en-CA"/>
              </w:rPr>
            </w:pPr>
            <w:r w:rsidRPr="00EC36BA">
              <w:rPr>
                <w:color w:val="auto"/>
                <w:sz w:val="22"/>
                <w:lang w:val="en-CA"/>
              </w:rPr>
              <w:t>Advertised processes</w:t>
            </w:r>
          </w:p>
        </w:tc>
        <w:tc>
          <w:tcPr>
            <w:tcW w:w="1401" w:type="pct"/>
          </w:tcPr>
          <w:p w14:paraId="6A5101D1" w14:textId="77777777" w:rsidR="00FF1E13" w:rsidRPr="00EC36BA" w:rsidRDefault="00FF1E13" w:rsidP="0069270B">
            <w:pPr>
              <w:pStyle w:val="TableTitle"/>
              <w:rPr>
                <w:color w:val="auto"/>
                <w:sz w:val="22"/>
                <w:lang w:val="en-CA"/>
              </w:rPr>
            </w:pPr>
            <w:r w:rsidRPr="00EC36BA">
              <w:rPr>
                <w:color w:val="auto"/>
                <w:sz w:val="22"/>
                <w:lang w:val="en-CA"/>
              </w:rPr>
              <w:t>% of Non- advertised processes</w:t>
            </w:r>
          </w:p>
        </w:tc>
      </w:tr>
      <w:tr w:rsidR="00FF1E13" w:rsidRPr="00EC36BA" w14:paraId="70B373BF" w14:textId="77777777" w:rsidTr="003222DC">
        <w:trPr>
          <w:cantSplit/>
          <w:trHeight w:val="290"/>
          <w:tblHeader/>
          <w:jc w:val="center"/>
        </w:trPr>
        <w:tc>
          <w:tcPr>
            <w:tcW w:w="581" w:type="pct"/>
          </w:tcPr>
          <w:p w14:paraId="0F9DF0FD" w14:textId="77777777" w:rsidR="00FF1E13" w:rsidRPr="00EC36BA" w:rsidRDefault="00FF1E13" w:rsidP="0069270B">
            <w:pPr>
              <w:autoSpaceDE w:val="0"/>
              <w:autoSpaceDN w:val="0"/>
              <w:adjustRightInd w:val="0"/>
              <w:rPr>
                <w:rFonts w:asciiTheme="minorHAnsi" w:hAnsiTheme="minorHAnsi" w:cstheme="minorHAnsi"/>
                <w:color w:val="000000"/>
                <w:sz w:val="22"/>
                <w:szCs w:val="24"/>
                <w:lang w:val="en-CA"/>
              </w:rPr>
            </w:pPr>
            <w:r w:rsidRPr="00EC36BA">
              <w:rPr>
                <w:rFonts w:asciiTheme="minorHAnsi" w:hAnsiTheme="minorHAnsi" w:cstheme="minorHAnsi"/>
                <w:color w:val="000000"/>
                <w:sz w:val="22"/>
                <w:szCs w:val="24"/>
                <w:lang w:val="en-CA"/>
              </w:rPr>
              <w:t xml:space="preserve">2014 to 2015 </w:t>
            </w:r>
          </w:p>
        </w:tc>
        <w:tc>
          <w:tcPr>
            <w:tcW w:w="1880" w:type="pct"/>
          </w:tcPr>
          <w:p w14:paraId="3932DE18" w14:textId="77777777" w:rsidR="00FF1E13" w:rsidRPr="00EC36BA" w:rsidRDefault="00FF1E13" w:rsidP="0069270B">
            <w:pPr>
              <w:autoSpaceDE w:val="0"/>
              <w:autoSpaceDN w:val="0"/>
              <w:adjustRightInd w:val="0"/>
              <w:jc w:val="center"/>
              <w:rPr>
                <w:rFonts w:asciiTheme="minorHAnsi" w:hAnsiTheme="minorHAnsi" w:cstheme="minorHAnsi"/>
                <w:color w:val="000000"/>
                <w:sz w:val="22"/>
                <w:szCs w:val="24"/>
                <w:lang w:val="en-CA"/>
              </w:rPr>
            </w:pPr>
            <w:r w:rsidRPr="00EC36BA">
              <w:rPr>
                <w:rFonts w:asciiTheme="minorHAnsi" w:hAnsiTheme="minorHAnsi" w:cstheme="minorHAnsi"/>
                <w:color w:val="000000"/>
                <w:sz w:val="22"/>
                <w:szCs w:val="24"/>
                <w:lang w:val="en-CA"/>
              </w:rPr>
              <w:t>2</w:t>
            </w:r>
          </w:p>
        </w:tc>
        <w:tc>
          <w:tcPr>
            <w:tcW w:w="1138" w:type="pct"/>
          </w:tcPr>
          <w:p w14:paraId="6F7F23CB" w14:textId="77777777" w:rsidR="00FF1E13" w:rsidRPr="00EC36BA" w:rsidRDefault="00FF1E13" w:rsidP="0069270B">
            <w:pPr>
              <w:autoSpaceDE w:val="0"/>
              <w:autoSpaceDN w:val="0"/>
              <w:adjustRightInd w:val="0"/>
              <w:jc w:val="center"/>
              <w:rPr>
                <w:rFonts w:asciiTheme="minorHAnsi" w:hAnsiTheme="minorHAnsi" w:cstheme="minorHAnsi"/>
                <w:color w:val="000000"/>
                <w:sz w:val="22"/>
                <w:szCs w:val="24"/>
                <w:lang w:val="en-CA"/>
              </w:rPr>
            </w:pPr>
            <w:r w:rsidRPr="00EC36BA">
              <w:rPr>
                <w:rFonts w:asciiTheme="minorHAnsi" w:hAnsiTheme="minorHAnsi" w:cstheme="minorHAnsi"/>
                <w:color w:val="000000"/>
                <w:sz w:val="22"/>
                <w:szCs w:val="24"/>
                <w:lang w:val="en-CA"/>
              </w:rPr>
              <w:t>5</w:t>
            </w:r>
          </w:p>
        </w:tc>
        <w:tc>
          <w:tcPr>
            <w:tcW w:w="1401" w:type="pct"/>
          </w:tcPr>
          <w:p w14:paraId="7B8D2438" w14:textId="77777777" w:rsidR="00FF1E13" w:rsidRPr="00EC36BA" w:rsidRDefault="00FF1E13" w:rsidP="0069270B">
            <w:pPr>
              <w:autoSpaceDE w:val="0"/>
              <w:autoSpaceDN w:val="0"/>
              <w:adjustRightInd w:val="0"/>
              <w:jc w:val="center"/>
              <w:rPr>
                <w:rFonts w:asciiTheme="minorHAnsi" w:hAnsiTheme="minorHAnsi" w:cstheme="minorHAnsi"/>
                <w:color w:val="000000"/>
                <w:sz w:val="22"/>
                <w:szCs w:val="24"/>
                <w:lang w:val="en-CA"/>
              </w:rPr>
            </w:pPr>
            <w:r w:rsidRPr="00EC36BA">
              <w:rPr>
                <w:rFonts w:asciiTheme="minorHAnsi" w:hAnsiTheme="minorHAnsi" w:cstheme="minorHAnsi"/>
                <w:color w:val="000000"/>
                <w:sz w:val="22"/>
                <w:szCs w:val="24"/>
                <w:lang w:val="en-CA"/>
              </w:rPr>
              <w:t>29%</w:t>
            </w:r>
          </w:p>
        </w:tc>
      </w:tr>
      <w:tr w:rsidR="00FF1E13" w:rsidRPr="00EC36BA" w14:paraId="6B938BEA" w14:textId="77777777" w:rsidTr="003222DC">
        <w:trPr>
          <w:cantSplit/>
          <w:trHeight w:val="290"/>
          <w:tblHeader/>
          <w:jc w:val="center"/>
        </w:trPr>
        <w:tc>
          <w:tcPr>
            <w:tcW w:w="581" w:type="pct"/>
          </w:tcPr>
          <w:p w14:paraId="2F6C6CE2" w14:textId="77777777" w:rsidR="00FF1E13" w:rsidRPr="00EC36BA" w:rsidRDefault="00FF1E13" w:rsidP="0069270B">
            <w:pPr>
              <w:autoSpaceDE w:val="0"/>
              <w:autoSpaceDN w:val="0"/>
              <w:adjustRightInd w:val="0"/>
              <w:rPr>
                <w:rFonts w:asciiTheme="minorHAnsi" w:hAnsiTheme="minorHAnsi" w:cstheme="minorHAnsi"/>
                <w:color w:val="000000"/>
                <w:sz w:val="22"/>
                <w:szCs w:val="24"/>
                <w:lang w:val="en-CA"/>
              </w:rPr>
            </w:pPr>
            <w:r w:rsidRPr="00EC36BA">
              <w:rPr>
                <w:rFonts w:asciiTheme="minorHAnsi" w:hAnsiTheme="minorHAnsi" w:cstheme="minorHAnsi"/>
                <w:color w:val="000000"/>
                <w:sz w:val="22"/>
                <w:szCs w:val="24"/>
                <w:lang w:val="en-CA"/>
              </w:rPr>
              <w:t xml:space="preserve">2015 to 2016 </w:t>
            </w:r>
          </w:p>
        </w:tc>
        <w:tc>
          <w:tcPr>
            <w:tcW w:w="1880" w:type="pct"/>
          </w:tcPr>
          <w:p w14:paraId="6D99F5BD" w14:textId="77777777" w:rsidR="00FF1E13" w:rsidRPr="00EC36BA" w:rsidRDefault="00FF1E13" w:rsidP="0069270B">
            <w:pPr>
              <w:autoSpaceDE w:val="0"/>
              <w:autoSpaceDN w:val="0"/>
              <w:adjustRightInd w:val="0"/>
              <w:jc w:val="center"/>
              <w:rPr>
                <w:rFonts w:asciiTheme="minorHAnsi" w:hAnsiTheme="minorHAnsi" w:cstheme="minorHAnsi"/>
                <w:color w:val="000000"/>
                <w:sz w:val="22"/>
                <w:szCs w:val="24"/>
                <w:lang w:val="en-CA"/>
              </w:rPr>
            </w:pPr>
            <w:r w:rsidRPr="00EC36BA">
              <w:rPr>
                <w:rFonts w:asciiTheme="minorHAnsi" w:hAnsiTheme="minorHAnsi" w:cstheme="minorHAnsi"/>
                <w:color w:val="000000"/>
                <w:sz w:val="22"/>
                <w:szCs w:val="24"/>
                <w:lang w:val="en-CA"/>
              </w:rPr>
              <w:t>0</w:t>
            </w:r>
          </w:p>
        </w:tc>
        <w:tc>
          <w:tcPr>
            <w:tcW w:w="1138" w:type="pct"/>
          </w:tcPr>
          <w:p w14:paraId="4675331E" w14:textId="77777777" w:rsidR="00FF1E13" w:rsidRPr="00EC36BA" w:rsidRDefault="00FF1E13" w:rsidP="0069270B">
            <w:pPr>
              <w:autoSpaceDE w:val="0"/>
              <w:autoSpaceDN w:val="0"/>
              <w:adjustRightInd w:val="0"/>
              <w:jc w:val="center"/>
              <w:rPr>
                <w:rFonts w:asciiTheme="minorHAnsi" w:hAnsiTheme="minorHAnsi" w:cstheme="minorHAnsi"/>
                <w:color w:val="000000"/>
                <w:sz w:val="22"/>
                <w:szCs w:val="24"/>
                <w:lang w:val="en-CA"/>
              </w:rPr>
            </w:pPr>
            <w:r w:rsidRPr="00EC36BA">
              <w:rPr>
                <w:rFonts w:asciiTheme="minorHAnsi" w:hAnsiTheme="minorHAnsi" w:cstheme="minorHAnsi"/>
                <w:color w:val="000000"/>
                <w:sz w:val="22"/>
                <w:szCs w:val="24"/>
                <w:lang w:val="en-CA"/>
              </w:rPr>
              <w:t>0</w:t>
            </w:r>
          </w:p>
        </w:tc>
        <w:tc>
          <w:tcPr>
            <w:tcW w:w="1401" w:type="pct"/>
          </w:tcPr>
          <w:p w14:paraId="1936EFA0" w14:textId="77777777" w:rsidR="00FF1E13" w:rsidRPr="00EC36BA" w:rsidRDefault="00FF1E13" w:rsidP="0069270B">
            <w:pPr>
              <w:autoSpaceDE w:val="0"/>
              <w:autoSpaceDN w:val="0"/>
              <w:adjustRightInd w:val="0"/>
              <w:jc w:val="center"/>
              <w:rPr>
                <w:rFonts w:asciiTheme="minorHAnsi" w:hAnsiTheme="minorHAnsi" w:cstheme="minorHAnsi"/>
                <w:color w:val="000000"/>
                <w:sz w:val="22"/>
                <w:szCs w:val="24"/>
                <w:lang w:val="en-CA"/>
              </w:rPr>
            </w:pPr>
            <w:r w:rsidRPr="00EC36BA">
              <w:rPr>
                <w:rFonts w:asciiTheme="minorHAnsi" w:hAnsiTheme="minorHAnsi" w:cstheme="minorHAnsi"/>
                <w:color w:val="000000"/>
                <w:sz w:val="22"/>
                <w:szCs w:val="24"/>
                <w:lang w:val="en-CA"/>
              </w:rPr>
              <w:t>0%</w:t>
            </w:r>
          </w:p>
        </w:tc>
      </w:tr>
      <w:tr w:rsidR="00FF1E13" w:rsidRPr="00EC36BA" w14:paraId="01A4E2A8" w14:textId="77777777" w:rsidTr="003222DC">
        <w:trPr>
          <w:cantSplit/>
          <w:trHeight w:val="290"/>
          <w:tblHeader/>
          <w:jc w:val="center"/>
        </w:trPr>
        <w:tc>
          <w:tcPr>
            <w:tcW w:w="581" w:type="pct"/>
          </w:tcPr>
          <w:p w14:paraId="166B7218" w14:textId="77777777" w:rsidR="00FF1E13" w:rsidRPr="00EC36BA" w:rsidRDefault="00FF1E13" w:rsidP="0069270B">
            <w:pPr>
              <w:autoSpaceDE w:val="0"/>
              <w:autoSpaceDN w:val="0"/>
              <w:adjustRightInd w:val="0"/>
              <w:rPr>
                <w:rFonts w:asciiTheme="minorHAnsi" w:hAnsiTheme="minorHAnsi" w:cstheme="minorHAnsi"/>
                <w:color w:val="000000"/>
                <w:sz w:val="22"/>
                <w:szCs w:val="24"/>
                <w:lang w:val="en-CA"/>
              </w:rPr>
            </w:pPr>
            <w:r w:rsidRPr="00EC36BA">
              <w:rPr>
                <w:rFonts w:asciiTheme="minorHAnsi" w:hAnsiTheme="minorHAnsi" w:cstheme="minorHAnsi"/>
                <w:color w:val="000000"/>
                <w:sz w:val="22"/>
                <w:szCs w:val="24"/>
                <w:lang w:val="en-CA"/>
              </w:rPr>
              <w:t>2016 to 2017</w:t>
            </w:r>
          </w:p>
        </w:tc>
        <w:tc>
          <w:tcPr>
            <w:tcW w:w="1880" w:type="pct"/>
          </w:tcPr>
          <w:p w14:paraId="3304AD5B" w14:textId="77777777" w:rsidR="00FF1E13" w:rsidRPr="00EC36BA" w:rsidRDefault="00FF1E13" w:rsidP="0069270B">
            <w:pPr>
              <w:autoSpaceDE w:val="0"/>
              <w:autoSpaceDN w:val="0"/>
              <w:adjustRightInd w:val="0"/>
              <w:jc w:val="center"/>
              <w:rPr>
                <w:rFonts w:asciiTheme="minorHAnsi" w:hAnsiTheme="minorHAnsi" w:cstheme="minorHAnsi"/>
                <w:color w:val="000000"/>
                <w:sz w:val="22"/>
                <w:szCs w:val="24"/>
                <w:lang w:val="en-CA"/>
              </w:rPr>
            </w:pPr>
            <w:r w:rsidRPr="00EC36BA">
              <w:rPr>
                <w:rFonts w:asciiTheme="minorHAnsi" w:hAnsiTheme="minorHAnsi" w:cstheme="minorHAnsi"/>
                <w:color w:val="000000"/>
                <w:sz w:val="22"/>
                <w:szCs w:val="24"/>
                <w:lang w:val="en-CA"/>
              </w:rPr>
              <w:t>0</w:t>
            </w:r>
          </w:p>
        </w:tc>
        <w:tc>
          <w:tcPr>
            <w:tcW w:w="1138" w:type="pct"/>
          </w:tcPr>
          <w:p w14:paraId="557B3D18" w14:textId="77777777" w:rsidR="00FF1E13" w:rsidRPr="00EC36BA" w:rsidRDefault="00FF1E13" w:rsidP="0069270B">
            <w:pPr>
              <w:autoSpaceDE w:val="0"/>
              <w:autoSpaceDN w:val="0"/>
              <w:adjustRightInd w:val="0"/>
              <w:jc w:val="center"/>
              <w:rPr>
                <w:rFonts w:asciiTheme="minorHAnsi" w:hAnsiTheme="minorHAnsi" w:cstheme="minorHAnsi"/>
                <w:color w:val="000000"/>
                <w:sz w:val="22"/>
                <w:szCs w:val="24"/>
                <w:lang w:val="en-CA"/>
              </w:rPr>
            </w:pPr>
            <w:r w:rsidRPr="00EC36BA">
              <w:rPr>
                <w:rFonts w:asciiTheme="minorHAnsi" w:hAnsiTheme="minorHAnsi" w:cstheme="minorHAnsi"/>
                <w:color w:val="000000"/>
                <w:sz w:val="22"/>
                <w:szCs w:val="24"/>
                <w:lang w:val="en-CA"/>
              </w:rPr>
              <w:t>0</w:t>
            </w:r>
          </w:p>
        </w:tc>
        <w:tc>
          <w:tcPr>
            <w:tcW w:w="1401" w:type="pct"/>
          </w:tcPr>
          <w:p w14:paraId="73E3B508" w14:textId="77777777" w:rsidR="00FF1E13" w:rsidRPr="00EC36BA" w:rsidRDefault="00FF1E13" w:rsidP="0069270B">
            <w:pPr>
              <w:autoSpaceDE w:val="0"/>
              <w:autoSpaceDN w:val="0"/>
              <w:adjustRightInd w:val="0"/>
              <w:jc w:val="center"/>
              <w:rPr>
                <w:rFonts w:asciiTheme="minorHAnsi" w:hAnsiTheme="minorHAnsi" w:cstheme="minorHAnsi"/>
                <w:color w:val="000000"/>
                <w:sz w:val="22"/>
                <w:szCs w:val="24"/>
                <w:lang w:val="en-CA"/>
              </w:rPr>
            </w:pPr>
            <w:r w:rsidRPr="00EC36BA">
              <w:rPr>
                <w:rFonts w:asciiTheme="minorHAnsi" w:hAnsiTheme="minorHAnsi" w:cstheme="minorHAnsi"/>
                <w:color w:val="000000"/>
                <w:sz w:val="22"/>
                <w:szCs w:val="24"/>
                <w:lang w:val="en-CA"/>
              </w:rPr>
              <w:t>0%</w:t>
            </w:r>
          </w:p>
        </w:tc>
      </w:tr>
      <w:tr w:rsidR="00FF1E13" w:rsidRPr="00EC36BA" w14:paraId="54C73A9D" w14:textId="77777777" w:rsidTr="003222DC">
        <w:trPr>
          <w:cantSplit/>
          <w:trHeight w:val="290"/>
          <w:tblHeader/>
          <w:jc w:val="center"/>
        </w:trPr>
        <w:tc>
          <w:tcPr>
            <w:tcW w:w="581" w:type="pct"/>
          </w:tcPr>
          <w:p w14:paraId="2D97E621" w14:textId="77777777" w:rsidR="00FF1E13" w:rsidRPr="00EC36BA" w:rsidRDefault="00FF1E13" w:rsidP="0069270B">
            <w:pPr>
              <w:autoSpaceDE w:val="0"/>
              <w:autoSpaceDN w:val="0"/>
              <w:adjustRightInd w:val="0"/>
              <w:rPr>
                <w:rFonts w:asciiTheme="minorHAnsi" w:hAnsiTheme="minorHAnsi" w:cstheme="minorHAnsi"/>
                <w:color w:val="000000"/>
                <w:sz w:val="22"/>
                <w:szCs w:val="24"/>
                <w:lang w:val="en-CA"/>
              </w:rPr>
            </w:pPr>
            <w:r w:rsidRPr="00EC36BA">
              <w:rPr>
                <w:rFonts w:asciiTheme="minorHAnsi" w:hAnsiTheme="minorHAnsi" w:cstheme="minorHAnsi"/>
                <w:color w:val="000000"/>
                <w:sz w:val="22"/>
                <w:szCs w:val="24"/>
                <w:lang w:val="en-CA"/>
              </w:rPr>
              <w:t>2017 to 2018</w:t>
            </w:r>
          </w:p>
        </w:tc>
        <w:tc>
          <w:tcPr>
            <w:tcW w:w="1880" w:type="pct"/>
          </w:tcPr>
          <w:p w14:paraId="37644214" w14:textId="77777777" w:rsidR="00FF1E13" w:rsidRPr="00EC36BA" w:rsidRDefault="00FF1E13" w:rsidP="0069270B">
            <w:pPr>
              <w:autoSpaceDE w:val="0"/>
              <w:autoSpaceDN w:val="0"/>
              <w:adjustRightInd w:val="0"/>
              <w:jc w:val="center"/>
              <w:rPr>
                <w:rFonts w:asciiTheme="minorHAnsi" w:hAnsiTheme="minorHAnsi" w:cstheme="minorHAnsi"/>
                <w:color w:val="000000"/>
                <w:sz w:val="22"/>
                <w:szCs w:val="24"/>
                <w:lang w:val="en-CA"/>
              </w:rPr>
            </w:pPr>
            <w:r w:rsidRPr="00EC36BA">
              <w:rPr>
                <w:rFonts w:asciiTheme="minorHAnsi" w:hAnsiTheme="minorHAnsi" w:cstheme="minorHAnsi"/>
                <w:color w:val="000000"/>
                <w:sz w:val="22"/>
                <w:szCs w:val="24"/>
                <w:lang w:val="en-CA"/>
              </w:rPr>
              <w:t>1</w:t>
            </w:r>
          </w:p>
        </w:tc>
        <w:tc>
          <w:tcPr>
            <w:tcW w:w="1138" w:type="pct"/>
          </w:tcPr>
          <w:p w14:paraId="1C47C030" w14:textId="77777777" w:rsidR="00FF1E13" w:rsidRPr="00EC36BA" w:rsidRDefault="00FF1E13" w:rsidP="0069270B">
            <w:pPr>
              <w:autoSpaceDE w:val="0"/>
              <w:autoSpaceDN w:val="0"/>
              <w:adjustRightInd w:val="0"/>
              <w:jc w:val="center"/>
              <w:rPr>
                <w:rFonts w:asciiTheme="minorHAnsi" w:hAnsiTheme="minorHAnsi" w:cstheme="minorHAnsi"/>
                <w:color w:val="000000"/>
                <w:sz w:val="22"/>
                <w:szCs w:val="24"/>
                <w:lang w:val="en-CA"/>
              </w:rPr>
            </w:pPr>
            <w:r w:rsidRPr="00EC36BA">
              <w:rPr>
                <w:rFonts w:asciiTheme="minorHAnsi" w:hAnsiTheme="minorHAnsi" w:cstheme="minorHAnsi"/>
                <w:color w:val="000000"/>
                <w:sz w:val="22"/>
                <w:szCs w:val="24"/>
                <w:lang w:val="en-CA"/>
              </w:rPr>
              <w:t>2</w:t>
            </w:r>
          </w:p>
        </w:tc>
        <w:tc>
          <w:tcPr>
            <w:tcW w:w="1401" w:type="pct"/>
          </w:tcPr>
          <w:p w14:paraId="07A4B52D" w14:textId="77777777" w:rsidR="00FF1E13" w:rsidRPr="00EC36BA" w:rsidRDefault="00FF1E13" w:rsidP="0069270B">
            <w:pPr>
              <w:autoSpaceDE w:val="0"/>
              <w:autoSpaceDN w:val="0"/>
              <w:adjustRightInd w:val="0"/>
              <w:jc w:val="center"/>
              <w:rPr>
                <w:rFonts w:asciiTheme="minorHAnsi" w:hAnsiTheme="minorHAnsi" w:cstheme="minorHAnsi"/>
                <w:color w:val="000000"/>
                <w:sz w:val="22"/>
                <w:szCs w:val="24"/>
                <w:lang w:val="en-CA"/>
              </w:rPr>
            </w:pPr>
            <w:r w:rsidRPr="00EC36BA">
              <w:rPr>
                <w:rFonts w:asciiTheme="minorHAnsi" w:hAnsiTheme="minorHAnsi" w:cstheme="minorHAnsi"/>
                <w:color w:val="000000"/>
                <w:sz w:val="22"/>
                <w:szCs w:val="24"/>
                <w:lang w:val="en-CA"/>
              </w:rPr>
              <w:t>33%</w:t>
            </w:r>
          </w:p>
        </w:tc>
      </w:tr>
      <w:tr w:rsidR="00FF1E13" w:rsidRPr="00EC36BA" w14:paraId="19548E82" w14:textId="77777777" w:rsidTr="003222DC">
        <w:trPr>
          <w:cantSplit/>
          <w:trHeight w:val="290"/>
          <w:tblHeader/>
          <w:jc w:val="center"/>
        </w:trPr>
        <w:tc>
          <w:tcPr>
            <w:tcW w:w="581" w:type="pct"/>
          </w:tcPr>
          <w:p w14:paraId="7A208CDF" w14:textId="77777777" w:rsidR="00FF1E13" w:rsidRPr="00EC36BA" w:rsidRDefault="00FF1E13" w:rsidP="0069270B">
            <w:pPr>
              <w:autoSpaceDE w:val="0"/>
              <w:autoSpaceDN w:val="0"/>
              <w:adjustRightInd w:val="0"/>
              <w:rPr>
                <w:rFonts w:asciiTheme="minorHAnsi" w:hAnsiTheme="minorHAnsi" w:cstheme="minorHAnsi"/>
                <w:color w:val="000000"/>
                <w:sz w:val="22"/>
                <w:szCs w:val="24"/>
                <w:lang w:val="en-CA"/>
              </w:rPr>
            </w:pPr>
            <w:r w:rsidRPr="00EC36BA">
              <w:rPr>
                <w:rFonts w:asciiTheme="minorHAnsi" w:hAnsiTheme="minorHAnsi" w:cstheme="minorHAnsi"/>
                <w:color w:val="000000"/>
                <w:sz w:val="22"/>
                <w:szCs w:val="24"/>
                <w:lang w:val="en-CA"/>
              </w:rPr>
              <w:t>2018 to 2019</w:t>
            </w:r>
          </w:p>
        </w:tc>
        <w:tc>
          <w:tcPr>
            <w:tcW w:w="1880" w:type="pct"/>
          </w:tcPr>
          <w:p w14:paraId="4DC9402C" w14:textId="77777777" w:rsidR="00FF1E13" w:rsidRPr="00EC36BA" w:rsidRDefault="00FF1E13" w:rsidP="0069270B">
            <w:pPr>
              <w:autoSpaceDE w:val="0"/>
              <w:autoSpaceDN w:val="0"/>
              <w:adjustRightInd w:val="0"/>
              <w:jc w:val="center"/>
              <w:rPr>
                <w:rFonts w:asciiTheme="minorHAnsi" w:hAnsiTheme="minorHAnsi" w:cstheme="minorHAnsi"/>
                <w:color w:val="000000"/>
                <w:sz w:val="22"/>
                <w:szCs w:val="24"/>
                <w:lang w:val="en-CA"/>
              </w:rPr>
            </w:pPr>
            <w:r w:rsidRPr="00EC36BA">
              <w:rPr>
                <w:rFonts w:asciiTheme="minorHAnsi" w:hAnsiTheme="minorHAnsi" w:cstheme="minorHAnsi"/>
                <w:color w:val="000000"/>
                <w:sz w:val="22"/>
                <w:szCs w:val="24"/>
                <w:lang w:val="en-CA"/>
              </w:rPr>
              <w:t>2</w:t>
            </w:r>
          </w:p>
        </w:tc>
        <w:tc>
          <w:tcPr>
            <w:tcW w:w="1138" w:type="pct"/>
          </w:tcPr>
          <w:p w14:paraId="3CAFA6E2" w14:textId="77777777" w:rsidR="00FF1E13" w:rsidRPr="00EC36BA" w:rsidRDefault="00FF1E13" w:rsidP="0069270B">
            <w:pPr>
              <w:autoSpaceDE w:val="0"/>
              <w:autoSpaceDN w:val="0"/>
              <w:adjustRightInd w:val="0"/>
              <w:jc w:val="center"/>
              <w:rPr>
                <w:rFonts w:asciiTheme="minorHAnsi" w:hAnsiTheme="minorHAnsi" w:cstheme="minorHAnsi"/>
                <w:color w:val="000000"/>
                <w:sz w:val="22"/>
                <w:szCs w:val="24"/>
                <w:lang w:val="en-CA"/>
              </w:rPr>
            </w:pPr>
            <w:r w:rsidRPr="00EC36BA">
              <w:rPr>
                <w:rFonts w:asciiTheme="minorHAnsi" w:hAnsiTheme="minorHAnsi" w:cstheme="minorHAnsi"/>
                <w:color w:val="000000"/>
                <w:sz w:val="22"/>
                <w:szCs w:val="24"/>
                <w:lang w:val="en-CA"/>
              </w:rPr>
              <w:t>5</w:t>
            </w:r>
          </w:p>
        </w:tc>
        <w:tc>
          <w:tcPr>
            <w:tcW w:w="1401" w:type="pct"/>
          </w:tcPr>
          <w:p w14:paraId="39A21035" w14:textId="77777777" w:rsidR="00FF1E13" w:rsidRPr="00EC36BA" w:rsidRDefault="00FF1E13" w:rsidP="0069270B">
            <w:pPr>
              <w:autoSpaceDE w:val="0"/>
              <w:autoSpaceDN w:val="0"/>
              <w:adjustRightInd w:val="0"/>
              <w:jc w:val="center"/>
              <w:rPr>
                <w:rFonts w:asciiTheme="minorHAnsi" w:hAnsiTheme="minorHAnsi" w:cstheme="minorHAnsi"/>
                <w:color w:val="000000"/>
                <w:sz w:val="22"/>
                <w:szCs w:val="24"/>
                <w:lang w:val="en-CA"/>
              </w:rPr>
            </w:pPr>
            <w:r w:rsidRPr="00EC36BA">
              <w:rPr>
                <w:rFonts w:asciiTheme="minorHAnsi" w:hAnsiTheme="minorHAnsi" w:cstheme="minorHAnsi"/>
                <w:color w:val="000000"/>
                <w:sz w:val="22"/>
                <w:szCs w:val="24"/>
                <w:lang w:val="en-CA"/>
              </w:rPr>
              <w:t>29%</w:t>
            </w:r>
          </w:p>
        </w:tc>
      </w:tr>
    </w:tbl>
    <w:p w14:paraId="72CDD9BE" w14:textId="2380E95F" w:rsidR="003222DC" w:rsidRPr="003222DC" w:rsidRDefault="003222DC" w:rsidP="003222DC">
      <w:pPr>
        <w:pStyle w:val="Titre1"/>
        <w:spacing w:before="120" w:after="120"/>
        <w:rPr>
          <w:sz w:val="40"/>
        </w:rPr>
      </w:pPr>
      <w:r w:rsidRPr="003222DC">
        <w:rPr>
          <w:sz w:val="40"/>
        </w:rPr>
        <w:lastRenderedPageBreak/>
        <w:t>Staffing by appointment type</w:t>
      </w:r>
    </w:p>
    <w:p w14:paraId="0CBF77E9" w14:textId="77777777" w:rsidR="00DF5015" w:rsidRDefault="00252389" w:rsidP="00DF5015">
      <w:pPr>
        <w:keepNext/>
        <w:jc w:val="center"/>
      </w:pPr>
      <w:r w:rsidRPr="00E628AA">
        <w:rPr>
          <w:rStyle w:val="lev"/>
          <w:noProof/>
          <w:lang w:val="en-CA" w:eastAsia="en-CA"/>
        </w:rPr>
        <w:drawing>
          <wp:inline distT="0" distB="0" distL="0" distR="0" wp14:anchorId="494606B8" wp14:editId="022F3507">
            <wp:extent cx="5648400" cy="3049200"/>
            <wp:effectExtent l="0" t="0" r="9525" b="18415"/>
            <wp:docPr id="9" name="Chart 9" descr="Staffing by appointment type"/>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280C440E" w14:textId="3B5E8A8C" w:rsidR="00252389" w:rsidRDefault="00DF5015" w:rsidP="00DF5015">
      <w:pPr>
        <w:pStyle w:val="Lgende"/>
        <w:spacing w:after="240"/>
        <w:jc w:val="center"/>
      </w:pPr>
      <w:r>
        <w:t xml:space="preserve">Figure </w:t>
      </w:r>
      <w:r>
        <w:fldChar w:fldCharType="begin"/>
      </w:r>
      <w:r>
        <w:instrText xml:space="preserve"> SEQ Figure \* ARABIC </w:instrText>
      </w:r>
      <w:r>
        <w:fldChar w:fldCharType="separate"/>
      </w:r>
      <w:r w:rsidR="0016520F">
        <w:rPr>
          <w:noProof/>
        </w:rPr>
        <w:t>8</w:t>
      </w:r>
      <w:r>
        <w:fldChar w:fldCharType="end"/>
      </w:r>
      <w:r>
        <w:t xml:space="preserve"> - </w:t>
      </w:r>
      <w:r w:rsidRPr="00362BC8">
        <w:t>Staffing by appointment type</w:t>
      </w:r>
    </w:p>
    <w:p w14:paraId="7657E0D4" w14:textId="2BD5F25C" w:rsidR="00DF5015" w:rsidRDefault="00DF5015" w:rsidP="00AB429D">
      <w:pPr>
        <w:pStyle w:val="Lgende"/>
        <w:keepNext/>
        <w:jc w:val="center"/>
      </w:pPr>
      <w:r>
        <w:t xml:space="preserve">Table </w:t>
      </w:r>
      <w:r>
        <w:fldChar w:fldCharType="begin"/>
      </w:r>
      <w:r>
        <w:instrText xml:space="preserve"> SEQ Table \* ARABIC </w:instrText>
      </w:r>
      <w:r>
        <w:fldChar w:fldCharType="separate"/>
      </w:r>
      <w:r w:rsidR="0016520F">
        <w:rPr>
          <w:noProof/>
        </w:rPr>
        <w:t>8</w:t>
      </w:r>
      <w:r>
        <w:fldChar w:fldCharType="end"/>
      </w:r>
      <w:r>
        <w:t xml:space="preserve"> - </w:t>
      </w:r>
      <w:r w:rsidRPr="00B25BBC">
        <w:t>Staffing activities by appointment type and fiscal year</w:t>
      </w:r>
    </w:p>
    <w:tbl>
      <w:tblPr>
        <w:tblStyle w:val="Grilledutableau"/>
        <w:tblW w:w="5000" w:type="pct"/>
        <w:jc w:val="center"/>
        <w:tblLook w:val="00A0" w:firstRow="1" w:lastRow="0" w:firstColumn="1" w:lastColumn="0" w:noHBand="0" w:noVBand="0"/>
        <w:tblDescription w:val="Staffing by appointment type"/>
      </w:tblPr>
      <w:tblGrid>
        <w:gridCol w:w="2056"/>
        <w:gridCol w:w="1791"/>
        <w:gridCol w:w="2266"/>
        <w:gridCol w:w="3111"/>
        <w:gridCol w:w="4139"/>
        <w:gridCol w:w="1027"/>
      </w:tblGrid>
      <w:tr w:rsidR="00DF5015" w:rsidRPr="00DF5015" w14:paraId="5FF9B186" w14:textId="77777777" w:rsidTr="003222DC">
        <w:trPr>
          <w:cantSplit/>
          <w:tblHeader/>
          <w:jc w:val="center"/>
        </w:trPr>
        <w:tc>
          <w:tcPr>
            <w:tcW w:w="714" w:type="pct"/>
          </w:tcPr>
          <w:p w14:paraId="656769B4" w14:textId="77777777" w:rsidR="00DF5015" w:rsidRPr="00DF5015" w:rsidRDefault="00DF5015" w:rsidP="0069270B">
            <w:pPr>
              <w:pStyle w:val="TableTitle"/>
              <w:rPr>
                <w:color w:val="auto"/>
                <w:sz w:val="22"/>
                <w:lang w:val="en-CA"/>
              </w:rPr>
            </w:pPr>
            <w:r w:rsidRPr="00DF5015">
              <w:rPr>
                <w:color w:val="auto"/>
                <w:sz w:val="22"/>
                <w:lang w:val="en-CA"/>
              </w:rPr>
              <w:t>Fiscal year</w:t>
            </w:r>
          </w:p>
        </w:tc>
        <w:tc>
          <w:tcPr>
            <w:tcW w:w="622" w:type="pct"/>
          </w:tcPr>
          <w:p w14:paraId="4B4F0471" w14:textId="77777777" w:rsidR="00DF5015" w:rsidRPr="00DF5015" w:rsidRDefault="00DF5015" w:rsidP="0069270B">
            <w:pPr>
              <w:pStyle w:val="TableTitle"/>
              <w:rPr>
                <w:color w:val="auto"/>
                <w:sz w:val="22"/>
                <w:lang w:val="en-CA"/>
              </w:rPr>
            </w:pPr>
            <w:r w:rsidRPr="00DF5015">
              <w:rPr>
                <w:color w:val="auto"/>
                <w:sz w:val="22"/>
                <w:lang w:val="en-CA"/>
              </w:rPr>
              <w:t>Promotions</w:t>
            </w:r>
          </w:p>
        </w:tc>
        <w:tc>
          <w:tcPr>
            <w:tcW w:w="787" w:type="pct"/>
          </w:tcPr>
          <w:p w14:paraId="316A4C07" w14:textId="77777777" w:rsidR="00DF5015" w:rsidRPr="00DF5015" w:rsidRDefault="00DF5015" w:rsidP="0069270B">
            <w:pPr>
              <w:pStyle w:val="TableTitle"/>
              <w:rPr>
                <w:color w:val="auto"/>
                <w:sz w:val="22"/>
                <w:lang w:val="en-CA"/>
              </w:rPr>
            </w:pPr>
            <w:r w:rsidRPr="00DF5015">
              <w:rPr>
                <w:color w:val="auto"/>
                <w:sz w:val="22"/>
                <w:lang w:val="en-CA"/>
              </w:rPr>
              <w:t>Lateral and downward movements</w:t>
            </w:r>
          </w:p>
        </w:tc>
        <w:tc>
          <w:tcPr>
            <w:tcW w:w="1081" w:type="pct"/>
          </w:tcPr>
          <w:p w14:paraId="55F36E60" w14:textId="77777777" w:rsidR="00DF5015" w:rsidRPr="00DF5015" w:rsidRDefault="00DF5015" w:rsidP="0069270B">
            <w:pPr>
              <w:pStyle w:val="TableTitle"/>
              <w:rPr>
                <w:color w:val="auto"/>
                <w:sz w:val="22"/>
                <w:lang w:val="en-CA"/>
              </w:rPr>
            </w:pPr>
            <w:r w:rsidRPr="00DF5015">
              <w:rPr>
                <w:color w:val="auto"/>
                <w:sz w:val="22"/>
                <w:lang w:val="en-CA"/>
              </w:rPr>
              <w:t>Appointments to the public service (includes casuals and students)</w:t>
            </w:r>
          </w:p>
        </w:tc>
        <w:tc>
          <w:tcPr>
            <w:tcW w:w="1438" w:type="pct"/>
          </w:tcPr>
          <w:p w14:paraId="76DE3DCD" w14:textId="77777777" w:rsidR="00DF5015" w:rsidRPr="00DF5015" w:rsidRDefault="00DF5015" w:rsidP="0069270B">
            <w:pPr>
              <w:pStyle w:val="TableTitle"/>
              <w:rPr>
                <w:color w:val="auto"/>
                <w:sz w:val="22"/>
                <w:lang w:val="en-CA"/>
              </w:rPr>
            </w:pPr>
            <w:r w:rsidRPr="00DF5015">
              <w:rPr>
                <w:color w:val="auto"/>
                <w:sz w:val="22"/>
                <w:lang w:val="en-CA"/>
              </w:rPr>
              <w:t>Acting appointments (excludes appointments of less than 4 months)</w:t>
            </w:r>
          </w:p>
        </w:tc>
        <w:tc>
          <w:tcPr>
            <w:tcW w:w="357" w:type="pct"/>
          </w:tcPr>
          <w:p w14:paraId="46F5D503" w14:textId="77777777" w:rsidR="00DF5015" w:rsidRPr="00DF5015" w:rsidRDefault="00DF5015" w:rsidP="0069270B">
            <w:pPr>
              <w:pStyle w:val="TableTitle"/>
              <w:rPr>
                <w:color w:val="auto"/>
                <w:sz w:val="22"/>
                <w:lang w:val="en-CA"/>
              </w:rPr>
            </w:pPr>
            <w:r w:rsidRPr="00DF5015">
              <w:rPr>
                <w:color w:val="auto"/>
                <w:sz w:val="22"/>
                <w:lang w:val="en-CA"/>
              </w:rPr>
              <w:t>Total</w:t>
            </w:r>
          </w:p>
        </w:tc>
      </w:tr>
      <w:tr w:rsidR="00DF5015" w:rsidRPr="00DF5015" w14:paraId="6E08503C" w14:textId="77777777" w:rsidTr="003222DC">
        <w:trPr>
          <w:cantSplit/>
          <w:tblHeader/>
          <w:jc w:val="center"/>
        </w:trPr>
        <w:tc>
          <w:tcPr>
            <w:tcW w:w="714" w:type="pct"/>
          </w:tcPr>
          <w:p w14:paraId="091C4EEE" w14:textId="77777777" w:rsidR="00DF5015" w:rsidRPr="00DF5015" w:rsidRDefault="00DF5015" w:rsidP="0069270B">
            <w:pPr>
              <w:autoSpaceDE w:val="0"/>
              <w:autoSpaceDN w:val="0"/>
              <w:adjustRightInd w:val="0"/>
              <w:rPr>
                <w:rFonts w:asciiTheme="minorHAnsi" w:hAnsiTheme="minorHAnsi" w:cstheme="minorHAnsi"/>
                <w:color w:val="000000"/>
                <w:sz w:val="22"/>
                <w:szCs w:val="24"/>
                <w:lang w:val="en-CA"/>
              </w:rPr>
            </w:pPr>
            <w:r w:rsidRPr="00DF5015">
              <w:rPr>
                <w:rFonts w:asciiTheme="minorHAnsi" w:hAnsiTheme="minorHAnsi" w:cstheme="minorHAnsi"/>
                <w:color w:val="000000"/>
                <w:sz w:val="22"/>
                <w:szCs w:val="24"/>
                <w:lang w:val="en-CA"/>
              </w:rPr>
              <w:t xml:space="preserve">2014 to 2015 </w:t>
            </w:r>
          </w:p>
        </w:tc>
        <w:tc>
          <w:tcPr>
            <w:tcW w:w="622" w:type="pct"/>
          </w:tcPr>
          <w:p w14:paraId="1E0CAD7F" w14:textId="77777777" w:rsidR="00DF5015" w:rsidRPr="00DF5015" w:rsidRDefault="00DF5015" w:rsidP="0069270B">
            <w:pPr>
              <w:autoSpaceDE w:val="0"/>
              <w:autoSpaceDN w:val="0"/>
              <w:adjustRightInd w:val="0"/>
              <w:jc w:val="center"/>
              <w:rPr>
                <w:rFonts w:asciiTheme="minorHAnsi" w:hAnsiTheme="minorHAnsi" w:cstheme="minorHAnsi"/>
                <w:color w:val="000000"/>
                <w:sz w:val="22"/>
                <w:szCs w:val="24"/>
                <w:lang w:val="en-CA"/>
              </w:rPr>
            </w:pPr>
            <w:r w:rsidRPr="00DF5015">
              <w:rPr>
                <w:rFonts w:asciiTheme="minorHAnsi" w:hAnsiTheme="minorHAnsi" w:cstheme="minorHAnsi"/>
                <w:color w:val="000000"/>
                <w:sz w:val="22"/>
                <w:szCs w:val="24"/>
                <w:lang w:val="en-CA"/>
              </w:rPr>
              <w:t>3</w:t>
            </w:r>
          </w:p>
        </w:tc>
        <w:tc>
          <w:tcPr>
            <w:tcW w:w="787" w:type="pct"/>
          </w:tcPr>
          <w:p w14:paraId="67689AFB" w14:textId="77777777" w:rsidR="00DF5015" w:rsidRPr="00DF5015" w:rsidRDefault="00DF5015" w:rsidP="0069270B">
            <w:pPr>
              <w:autoSpaceDE w:val="0"/>
              <w:autoSpaceDN w:val="0"/>
              <w:adjustRightInd w:val="0"/>
              <w:jc w:val="center"/>
              <w:rPr>
                <w:rFonts w:asciiTheme="minorHAnsi" w:hAnsiTheme="minorHAnsi" w:cstheme="minorHAnsi"/>
                <w:color w:val="000000"/>
                <w:sz w:val="22"/>
                <w:szCs w:val="24"/>
                <w:lang w:val="en-CA"/>
              </w:rPr>
            </w:pPr>
            <w:r w:rsidRPr="00DF5015">
              <w:rPr>
                <w:rFonts w:asciiTheme="minorHAnsi" w:hAnsiTheme="minorHAnsi" w:cstheme="minorHAnsi"/>
                <w:color w:val="000000"/>
                <w:sz w:val="22"/>
                <w:szCs w:val="24"/>
                <w:lang w:val="en-CA"/>
              </w:rPr>
              <w:t>1</w:t>
            </w:r>
          </w:p>
        </w:tc>
        <w:tc>
          <w:tcPr>
            <w:tcW w:w="1081" w:type="pct"/>
          </w:tcPr>
          <w:p w14:paraId="330E71B7" w14:textId="77777777" w:rsidR="00DF5015" w:rsidRPr="00DF5015" w:rsidRDefault="00DF5015" w:rsidP="0069270B">
            <w:pPr>
              <w:autoSpaceDE w:val="0"/>
              <w:autoSpaceDN w:val="0"/>
              <w:adjustRightInd w:val="0"/>
              <w:jc w:val="center"/>
              <w:rPr>
                <w:rFonts w:asciiTheme="minorHAnsi" w:hAnsiTheme="minorHAnsi" w:cstheme="minorHAnsi"/>
                <w:color w:val="000000"/>
                <w:sz w:val="22"/>
                <w:szCs w:val="24"/>
                <w:lang w:val="en-CA"/>
              </w:rPr>
            </w:pPr>
            <w:r w:rsidRPr="00DF5015">
              <w:rPr>
                <w:rFonts w:asciiTheme="minorHAnsi" w:hAnsiTheme="minorHAnsi" w:cstheme="minorHAnsi"/>
                <w:color w:val="000000"/>
                <w:sz w:val="22"/>
                <w:szCs w:val="24"/>
                <w:lang w:val="en-CA"/>
              </w:rPr>
              <w:t>17</w:t>
            </w:r>
          </w:p>
        </w:tc>
        <w:tc>
          <w:tcPr>
            <w:tcW w:w="1438" w:type="pct"/>
          </w:tcPr>
          <w:p w14:paraId="4C2D4DD9" w14:textId="77777777" w:rsidR="00DF5015" w:rsidRPr="00DF5015" w:rsidRDefault="00DF5015" w:rsidP="0069270B">
            <w:pPr>
              <w:autoSpaceDE w:val="0"/>
              <w:autoSpaceDN w:val="0"/>
              <w:adjustRightInd w:val="0"/>
              <w:jc w:val="center"/>
              <w:rPr>
                <w:rFonts w:asciiTheme="minorHAnsi" w:hAnsiTheme="minorHAnsi" w:cstheme="minorHAnsi"/>
                <w:color w:val="000000"/>
                <w:sz w:val="22"/>
                <w:szCs w:val="24"/>
                <w:lang w:val="en-CA"/>
              </w:rPr>
            </w:pPr>
            <w:r w:rsidRPr="00DF5015">
              <w:rPr>
                <w:rFonts w:asciiTheme="minorHAnsi" w:hAnsiTheme="minorHAnsi" w:cstheme="minorHAnsi"/>
                <w:color w:val="000000"/>
                <w:sz w:val="22"/>
                <w:szCs w:val="24"/>
                <w:lang w:val="en-CA"/>
              </w:rPr>
              <w:t>1</w:t>
            </w:r>
          </w:p>
        </w:tc>
        <w:tc>
          <w:tcPr>
            <w:tcW w:w="357" w:type="pct"/>
          </w:tcPr>
          <w:p w14:paraId="01106BE8" w14:textId="77777777" w:rsidR="00DF5015" w:rsidRPr="00DF5015" w:rsidRDefault="00DF5015" w:rsidP="0069270B">
            <w:pPr>
              <w:autoSpaceDE w:val="0"/>
              <w:autoSpaceDN w:val="0"/>
              <w:adjustRightInd w:val="0"/>
              <w:jc w:val="center"/>
              <w:rPr>
                <w:rFonts w:asciiTheme="minorHAnsi" w:hAnsiTheme="minorHAnsi" w:cstheme="minorHAnsi"/>
                <w:color w:val="000000"/>
                <w:sz w:val="22"/>
                <w:szCs w:val="24"/>
                <w:lang w:val="en-CA"/>
              </w:rPr>
            </w:pPr>
            <w:r w:rsidRPr="00DF5015">
              <w:rPr>
                <w:rFonts w:asciiTheme="minorHAnsi" w:hAnsiTheme="minorHAnsi" w:cstheme="minorHAnsi"/>
                <w:color w:val="000000"/>
                <w:sz w:val="22"/>
                <w:szCs w:val="24"/>
                <w:lang w:val="en-CA"/>
              </w:rPr>
              <w:t>22</w:t>
            </w:r>
          </w:p>
        </w:tc>
      </w:tr>
      <w:tr w:rsidR="00DF5015" w:rsidRPr="00DF5015" w14:paraId="2842518D" w14:textId="77777777" w:rsidTr="003222DC">
        <w:trPr>
          <w:cantSplit/>
          <w:tblHeader/>
          <w:jc w:val="center"/>
        </w:trPr>
        <w:tc>
          <w:tcPr>
            <w:tcW w:w="714" w:type="pct"/>
          </w:tcPr>
          <w:p w14:paraId="4FFB0D66" w14:textId="77777777" w:rsidR="00DF5015" w:rsidRPr="00DF5015" w:rsidRDefault="00DF5015" w:rsidP="0069270B">
            <w:pPr>
              <w:autoSpaceDE w:val="0"/>
              <w:autoSpaceDN w:val="0"/>
              <w:adjustRightInd w:val="0"/>
              <w:rPr>
                <w:rFonts w:asciiTheme="minorHAnsi" w:hAnsiTheme="minorHAnsi" w:cstheme="minorHAnsi"/>
                <w:color w:val="000000"/>
                <w:sz w:val="22"/>
                <w:szCs w:val="24"/>
                <w:lang w:val="en-CA"/>
              </w:rPr>
            </w:pPr>
            <w:r w:rsidRPr="00DF5015">
              <w:rPr>
                <w:rFonts w:asciiTheme="minorHAnsi" w:hAnsiTheme="minorHAnsi" w:cstheme="minorHAnsi"/>
                <w:color w:val="000000"/>
                <w:sz w:val="22"/>
                <w:szCs w:val="24"/>
                <w:lang w:val="en-CA"/>
              </w:rPr>
              <w:t>2015 to 2016</w:t>
            </w:r>
          </w:p>
        </w:tc>
        <w:tc>
          <w:tcPr>
            <w:tcW w:w="622" w:type="pct"/>
          </w:tcPr>
          <w:p w14:paraId="6D3DF451" w14:textId="77777777" w:rsidR="00DF5015" w:rsidRPr="00DF5015" w:rsidRDefault="00DF5015" w:rsidP="0069270B">
            <w:pPr>
              <w:autoSpaceDE w:val="0"/>
              <w:autoSpaceDN w:val="0"/>
              <w:adjustRightInd w:val="0"/>
              <w:jc w:val="center"/>
              <w:rPr>
                <w:rFonts w:asciiTheme="minorHAnsi" w:hAnsiTheme="minorHAnsi" w:cstheme="minorHAnsi"/>
                <w:color w:val="000000"/>
                <w:sz w:val="22"/>
                <w:szCs w:val="24"/>
                <w:lang w:val="en-CA"/>
              </w:rPr>
            </w:pPr>
            <w:r w:rsidRPr="00DF5015">
              <w:rPr>
                <w:rFonts w:asciiTheme="minorHAnsi" w:hAnsiTheme="minorHAnsi" w:cstheme="minorHAnsi"/>
                <w:color w:val="000000"/>
                <w:sz w:val="22"/>
                <w:szCs w:val="24"/>
                <w:lang w:val="en-CA"/>
              </w:rPr>
              <w:t>0</w:t>
            </w:r>
          </w:p>
        </w:tc>
        <w:tc>
          <w:tcPr>
            <w:tcW w:w="787" w:type="pct"/>
          </w:tcPr>
          <w:p w14:paraId="7CD2C7B3" w14:textId="77777777" w:rsidR="00DF5015" w:rsidRPr="00DF5015" w:rsidRDefault="00DF5015" w:rsidP="0069270B">
            <w:pPr>
              <w:autoSpaceDE w:val="0"/>
              <w:autoSpaceDN w:val="0"/>
              <w:adjustRightInd w:val="0"/>
              <w:jc w:val="center"/>
              <w:rPr>
                <w:rFonts w:asciiTheme="minorHAnsi" w:hAnsiTheme="minorHAnsi" w:cstheme="minorHAnsi"/>
                <w:color w:val="000000"/>
                <w:sz w:val="22"/>
                <w:szCs w:val="24"/>
                <w:lang w:val="en-CA"/>
              </w:rPr>
            </w:pPr>
            <w:r w:rsidRPr="00DF5015">
              <w:rPr>
                <w:rFonts w:asciiTheme="minorHAnsi" w:hAnsiTheme="minorHAnsi" w:cstheme="minorHAnsi"/>
                <w:color w:val="000000"/>
                <w:sz w:val="22"/>
                <w:szCs w:val="24"/>
                <w:lang w:val="en-CA"/>
              </w:rPr>
              <w:t>1</w:t>
            </w:r>
          </w:p>
        </w:tc>
        <w:tc>
          <w:tcPr>
            <w:tcW w:w="1081" w:type="pct"/>
          </w:tcPr>
          <w:p w14:paraId="3D441D08" w14:textId="77777777" w:rsidR="00DF5015" w:rsidRPr="00DF5015" w:rsidRDefault="00DF5015" w:rsidP="0069270B">
            <w:pPr>
              <w:autoSpaceDE w:val="0"/>
              <w:autoSpaceDN w:val="0"/>
              <w:adjustRightInd w:val="0"/>
              <w:jc w:val="center"/>
              <w:rPr>
                <w:rFonts w:asciiTheme="minorHAnsi" w:hAnsiTheme="minorHAnsi" w:cstheme="minorHAnsi"/>
                <w:color w:val="000000"/>
                <w:sz w:val="22"/>
                <w:szCs w:val="24"/>
                <w:lang w:val="en-CA"/>
              </w:rPr>
            </w:pPr>
            <w:r w:rsidRPr="00DF5015">
              <w:rPr>
                <w:rFonts w:asciiTheme="minorHAnsi" w:hAnsiTheme="minorHAnsi" w:cstheme="minorHAnsi"/>
                <w:color w:val="000000"/>
                <w:sz w:val="22"/>
                <w:szCs w:val="24"/>
                <w:lang w:val="en-CA"/>
              </w:rPr>
              <w:t>15</w:t>
            </w:r>
          </w:p>
        </w:tc>
        <w:tc>
          <w:tcPr>
            <w:tcW w:w="1438" w:type="pct"/>
          </w:tcPr>
          <w:p w14:paraId="791A913F" w14:textId="77777777" w:rsidR="00DF5015" w:rsidRPr="00DF5015" w:rsidRDefault="00DF5015" w:rsidP="0069270B">
            <w:pPr>
              <w:autoSpaceDE w:val="0"/>
              <w:autoSpaceDN w:val="0"/>
              <w:adjustRightInd w:val="0"/>
              <w:jc w:val="center"/>
              <w:rPr>
                <w:rFonts w:asciiTheme="minorHAnsi" w:hAnsiTheme="minorHAnsi" w:cstheme="minorHAnsi"/>
                <w:color w:val="000000"/>
                <w:sz w:val="22"/>
                <w:szCs w:val="24"/>
                <w:lang w:val="en-CA"/>
              </w:rPr>
            </w:pPr>
            <w:r w:rsidRPr="00DF5015">
              <w:rPr>
                <w:rFonts w:asciiTheme="minorHAnsi" w:hAnsiTheme="minorHAnsi" w:cstheme="minorHAnsi"/>
                <w:color w:val="000000"/>
                <w:sz w:val="22"/>
                <w:szCs w:val="24"/>
                <w:lang w:val="en-CA"/>
              </w:rPr>
              <w:t>0</w:t>
            </w:r>
          </w:p>
        </w:tc>
        <w:tc>
          <w:tcPr>
            <w:tcW w:w="357" w:type="pct"/>
          </w:tcPr>
          <w:p w14:paraId="0B4319D2" w14:textId="77777777" w:rsidR="00DF5015" w:rsidRPr="00DF5015" w:rsidRDefault="00DF5015" w:rsidP="0069270B">
            <w:pPr>
              <w:autoSpaceDE w:val="0"/>
              <w:autoSpaceDN w:val="0"/>
              <w:adjustRightInd w:val="0"/>
              <w:jc w:val="center"/>
              <w:rPr>
                <w:rFonts w:asciiTheme="minorHAnsi" w:hAnsiTheme="minorHAnsi" w:cstheme="minorHAnsi"/>
                <w:color w:val="000000"/>
                <w:sz w:val="22"/>
                <w:szCs w:val="24"/>
                <w:lang w:val="en-CA"/>
              </w:rPr>
            </w:pPr>
            <w:r w:rsidRPr="00DF5015">
              <w:rPr>
                <w:rFonts w:asciiTheme="minorHAnsi" w:hAnsiTheme="minorHAnsi" w:cstheme="minorHAnsi"/>
                <w:color w:val="000000"/>
                <w:sz w:val="22"/>
                <w:szCs w:val="24"/>
                <w:lang w:val="en-CA"/>
              </w:rPr>
              <w:t>16</w:t>
            </w:r>
          </w:p>
        </w:tc>
      </w:tr>
      <w:tr w:rsidR="00DF5015" w:rsidRPr="00DF5015" w14:paraId="0D134856" w14:textId="77777777" w:rsidTr="003222DC">
        <w:trPr>
          <w:cantSplit/>
          <w:tblHeader/>
          <w:jc w:val="center"/>
        </w:trPr>
        <w:tc>
          <w:tcPr>
            <w:tcW w:w="714" w:type="pct"/>
          </w:tcPr>
          <w:p w14:paraId="133F53E9" w14:textId="77777777" w:rsidR="00DF5015" w:rsidRPr="00DF5015" w:rsidRDefault="00DF5015" w:rsidP="0069270B">
            <w:pPr>
              <w:autoSpaceDE w:val="0"/>
              <w:autoSpaceDN w:val="0"/>
              <w:adjustRightInd w:val="0"/>
              <w:rPr>
                <w:rFonts w:asciiTheme="minorHAnsi" w:hAnsiTheme="minorHAnsi" w:cstheme="minorHAnsi"/>
                <w:color w:val="000000"/>
                <w:sz w:val="22"/>
                <w:szCs w:val="24"/>
                <w:lang w:val="en-CA"/>
              </w:rPr>
            </w:pPr>
            <w:r w:rsidRPr="00DF5015">
              <w:rPr>
                <w:rFonts w:asciiTheme="minorHAnsi" w:hAnsiTheme="minorHAnsi" w:cstheme="minorHAnsi"/>
                <w:color w:val="000000"/>
                <w:sz w:val="22"/>
                <w:szCs w:val="24"/>
                <w:lang w:val="en-CA"/>
              </w:rPr>
              <w:t xml:space="preserve">2016 to 2017 </w:t>
            </w:r>
          </w:p>
        </w:tc>
        <w:tc>
          <w:tcPr>
            <w:tcW w:w="622" w:type="pct"/>
          </w:tcPr>
          <w:p w14:paraId="7F82C245" w14:textId="77777777" w:rsidR="00DF5015" w:rsidRPr="00DF5015" w:rsidRDefault="00DF5015" w:rsidP="0069270B">
            <w:pPr>
              <w:autoSpaceDE w:val="0"/>
              <w:autoSpaceDN w:val="0"/>
              <w:adjustRightInd w:val="0"/>
              <w:jc w:val="center"/>
              <w:rPr>
                <w:rFonts w:asciiTheme="minorHAnsi" w:hAnsiTheme="minorHAnsi" w:cstheme="minorHAnsi"/>
                <w:color w:val="000000"/>
                <w:sz w:val="22"/>
                <w:szCs w:val="24"/>
                <w:lang w:val="en-CA"/>
              </w:rPr>
            </w:pPr>
            <w:r w:rsidRPr="00DF5015">
              <w:rPr>
                <w:rFonts w:asciiTheme="minorHAnsi" w:hAnsiTheme="minorHAnsi" w:cstheme="minorHAnsi"/>
                <w:color w:val="000000"/>
                <w:sz w:val="22"/>
                <w:szCs w:val="24"/>
                <w:lang w:val="en-CA"/>
              </w:rPr>
              <w:t>0</w:t>
            </w:r>
          </w:p>
        </w:tc>
        <w:tc>
          <w:tcPr>
            <w:tcW w:w="787" w:type="pct"/>
          </w:tcPr>
          <w:p w14:paraId="5663CCD9" w14:textId="77777777" w:rsidR="00DF5015" w:rsidRPr="00DF5015" w:rsidRDefault="00DF5015" w:rsidP="0069270B">
            <w:pPr>
              <w:autoSpaceDE w:val="0"/>
              <w:autoSpaceDN w:val="0"/>
              <w:adjustRightInd w:val="0"/>
              <w:jc w:val="center"/>
              <w:rPr>
                <w:rFonts w:asciiTheme="minorHAnsi" w:hAnsiTheme="minorHAnsi" w:cstheme="minorHAnsi"/>
                <w:color w:val="000000"/>
                <w:sz w:val="22"/>
                <w:szCs w:val="24"/>
                <w:lang w:val="en-CA"/>
              </w:rPr>
            </w:pPr>
            <w:r w:rsidRPr="00DF5015">
              <w:rPr>
                <w:rFonts w:asciiTheme="minorHAnsi" w:hAnsiTheme="minorHAnsi" w:cstheme="minorHAnsi"/>
                <w:color w:val="000000"/>
                <w:sz w:val="22"/>
                <w:szCs w:val="24"/>
                <w:lang w:val="en-CA"/>
              </w:rPr>
              <w:t>4</w:t>
            </w:r>
          </w:p>
        </w:tc>
        <w:tc>
          <w:tcPr>
            <w:tcW w:w="1081" w:type="pct"/>
          </w:tcPr>
          <w:p w14:paraId="4DB67D5E" w14:textId="77777777" w:rsidR="00DF5015" w:rsidRPr="00DF5015" w:rsidRDefault="00DF5015" w:rsidP="0069270B">
            <w:pPr>
              <w:autoSpaceDE w:val="0"/>
              <w:autoSpaceDN w:val="0"/>
              <w:adjustRightInd w:val="0"/>
              <w:jc w:val="center"/>
              <w:rPr>
                <w:rFonts w:asciiTheme="minorHAnsi" w:hAnsiTheme="minorHAnsi" w:cstheme="minorHAnsi"/>
                <w:color w:val="000000"/>
                <w:sz w:val="22"/>
                <w:szCs w:val="24"/>
                <w:lang w:val="en-CA"/>
              </w:rPr>
            </w:pPr>
            <w:r w:rsidRPr="00DF5015">
              <w:rPr>
                <w:rFonts w:asciiTheme="minorHAnsi" w:hAnsiTheme="minorHAnsi" w:cstheme="minorHAnsi"/>
                <w:color w:val="000000"/>
                <w:sz w:val="22"/>
                <w:szCs w:val="24"/>
                <w:lang w:val="en-CA"/>
              </w:rPr>
              <w:t>15</w:t>
            </w:r>
          </w:p>
        </w:tc>
        <w:tc>
          <w:tcPr>
            <w:tcW w:w="1438" w:type="pct"/>
          </w:tcPr>
          <w:p w14:paraId="6CF46580" w14:textId="77777777" w:rsidR="00DF5015" w:rsidRPr="00DF5015" w:rsidRDefault="00DF5015" w:rsidP="0069270B">
            <w:pPr>
              <w:autoSpaceDE w:val="0"/>
              <w:autoSpaceDN w:val="0"/>
              <w:adjustRightInd w:val="0"/>
              <w:jc w:val="center"/>
              <w:rPr>
                <w:rFonts w:asciiTheme="minorHAnsi" w:hAnsiTheme="minorHAnsi" w:cstheme="minorHAnsi"/>
                <w:color w:val="000000"/>
                <w:sz w:val="22"/>
                <w:szCs w:val="24"/>
                <w:lang w:val="en-CA"/>
              </w:rPr>
            </w:pPr>
            <w:r w:rsidRPr="00DF5015">
              <w:rPr>
                <w:rFonts w:asciiTheme="minorHAnsi" w:hAnsiTheme="minorHAnsi" w:cstheme="minorHAnsi"/>
                <w:color w:val="000000"/>
                <w:sz w:val="22"/>
                <w:szCs w:val="24"/>
                <w:lang w:val="en-CA"/>
              </w:rPr>
              <w:t>0</w:t>
            </w:r>
          </w:p>
        </w:tc>
        <w:tc>
          <w:tcPr>
            <w:tcW w:w="357" w:type="pct"/>
          </w:tcPr>
          <w:p w14:paraId="76E6BDFB" w14:textId="77777777" w:rsidR="00DF5015" w:rsidRPr="00DF5015" w:rsidRDefault="00DF5015" w:rsidP="0069270B">
            <w:pPr>
              <w:autoSpaceDE w:val="0"/>
              <w:autoSpaceDN w:val="0"/>
              <w:adjustRightInd w:val="0"/>
              <w:jc w:val="center"/>
              <w:rPr>
                <w:rFonts w:asciiTheme="minorHAnsi" w:hAnsiTheme="minorHAnsi" w:cstheme="minorHAnsi"/>
                <w:color w:val="000000"/>
                <w:sz w:val="22"/>
                <w:szCs w:val="24"/>
                <w:lang w:val="en-CA"/>
              </w:rPr>
            </w:pPr>
            <w:r w:rsidRPr="00DF5015">
              <w:rPr>
                <w:rFonts w:asciiTheme="minorHAnsi" w:hAnsiTheme="minorHAnsi" w:cstheme="minorHAnsi"/>
                <w:color w:val="000000"/>
                <w:sz w:val="22"/>
                <w:szCs w:val="24"/>
                <w:lang w:val="en-CA"/>
              </w:rPr>
              <w:t>19</w:t>
            </w:r>
          </w:p>
        </w:tc>
      </w:tr>
      <w:tr w:rsidR="00DF5015" w:rsidRPr="00DF5015" w14:paraId="09B620F7" w14:textId="77777777" w:rsidTr="003222DC">
        <w:trPr>
          <w:cantSplit/>
          <w:tblHeader/>
          <w:jc w:val="center"/>
        </w:trPr>
        <w:tc>
          <w:tcPr>
            <w:tcW w:w="714" w:type="pct"/>
          </w:tcPr>
          <w:p w14:paraId="37CAD25A" w14:textId="77777777" w:rsidR="00DF5015" w:rsidRPr="00DF5015" w:rsidRDefault="00DF5015" w:rsidP="0069270B">
            <w:pPr>
              <w:autoSpaceDE w:val="0"/>
              <w:autoSpaceDN w:val="0"/>
              <w:adjustRightInd w:val="0"/>
              <w:rPr>
                <w:rFonts w:asciiTheme="minorHAnsi" w:hAnsiTheme="minorHAnsi" w:cstheme="minorHAnsi"/>
                <w:color w:val="000000"/>
                <w:sz w:val="22"/>
                <w:szCs w:val="24"/>
                <w:lang w:val="en-CA"/>
              </w:rPr>
            </w:pPr>
            <w:r w:rsidRPr="00DF5015">
              <w:rPr>
                <w:rFonts w:asciiTheme="minorHAnsi" w:hAnsiTheme="minorHAnsi" w:cstheme="minorHAnsi"/>
                <w:color w:val="000000"/>
                <w:sz w:val="22"/>
                <w:szCs w:val="24"/>
                <w:lang w:val="en-CA"/>
              </w:rPr>
              <w:t>2017 to 2018</w:t>
            </w:r>
          </w:p>
        </w:tc>
        <w:tc>
          <w:tcPr>
            <w:tcW w:w="622" w:type="pct"/>
          </w:tcPr>
          <w:p w14:paraId="7AF488A1" w14:textId="77777777" w:rsidR="00DF5015" w:rsidRPr="00DF5015" w:rsidRDefault="00DF5015" w:rsidP="0069270B">
            <w:pPr>
              <w:autoSpaceDE w:val="0"/>
              <w:autoSpaceDN w:val="0"/>
              <w:adjustRightInd w:val="0"/>
              <w:jc w:val="center"/>
              <w:rPr>
                <w:rFonts w:asciiTheme="minorHAnsi" w:hAnsiTheme="minorHAnsi" w:cstheme="minorHAnsi"/>
                <w:color w:val="000000"/>
                <w:sz w:val="22"/>
                <w:szCs w:val="24"/>
                <w:lang w:val="en-CA"/>
              </w:rPr>
            </w:pPr>
            <w:r w:rsidRPr="00DF5015">
              <w:rPr>
                <w:rFonts w:asciiTheme="minorHAnsi" w:hAnsiTheme="minorHAnsi" w:cstheme="minorHAnsi"/>
                <w:color w:val="000000"/>
                <w:sz w:val="22"/>
                <w:szCs w:val="24"/>
                <w:lang w:val="en-CA"/>
              </w:rPr>
              <w:t>1</w:t>
            </w:r>
          </w:p>
        </w:tc>
        <w:tc>
          <w:tcPr>
            <w:tcW w:w="787" w:type="pct"/>
          </w:tcPr>
          <w:p w14:paraId="122A82B3" w14:textId="77777777" w:rsidR="00DF5015" w:rsidRPr="00DF5015" w:rsidRDefault="00DF5015" w:rsidP="0069270B">
            <w:pPr>
              <w:autoSpaceDE w:val="0"/>
              <w:autoSpaceDN w:val="0"/>
              <w:adjustRightInd w:val="0"/>
              <w:jc w:val="center"/>
              <w:rPr>
                <w:rFonts w:asciiTheme="minorHAnsi" w:hAnsiTheme="minorHAnsi" w:cstheme="minorHAnsi"/>
                <w:color w:val="000000"/>
                <w:sz w:val="22"/>
                <w:szCs w:val="24"/>
                <w:lang w:val="en-CA"/>
              </w:rPr>
            </w:pPr>
            <w:r w:rsidRPr="00DF5015">
              <w:rPr>
                <w:rFonts w:asciiTheme="minorHAnsi" w:hAnsiTheme="minorHAnsi" w:cstheme="minorHAnsi"/>
                <w:color w:val="000000"/>
                <w:sz w:val="22"/>
                <w:szCs w:val="24"/>
                <w:lang w:val="en-CA"/>
              </w:rPr>
              <w:t>1</w:t>
            </w:r>
          </w:p>
        </w:tc>
        <w:tc>
          <w:tcPr>
            <w:tcW w:w="1081" w:type="pct"/>
          </w:tcPr>
          <w:p w14:paraId="03E4CA66" w14:textId="77777777" w:rsidR="00DF5015" w:rsidRPr="00DF5015" w:rsidRDefault="00DF5015" w:rsidP="0069270B">
            <w:pPr>
              <w:autoSpaceDE w:val="0"/>
              <w:autoSpaceDN w:val="0"/>
              <w:adjustRightInd w:val="0"/>
              <w:jc w:val="center"/>
              <w:rPr>
                <w:rFonts w:asciiTheme="minorHAnsi" w:hAnsiTheme="minorHAnsi" w:cstheme="minorHAnsi"/>
                <w:color w:val="000000"/>
                <w:sz w:val="22"/>
                <w:szCs w:val="24"/>
                <w:lang w:val="en-CA"/>
              </w:rPr>
            </w:pPr>
            <w:r w:rsidRPr="00DF5015">
              <w:rPr>
                <w:rFonts w:asciiTheme="minorHAnsi" w:hAnsiTheme="minorHAnsi" w:cstheme="minorHAnsi"/>
                <w:color w:val="000000"/>
                <w:sz w:val="22"/>
                <w:szCs w:val="24"/>
                <w:lang w:val="en-CA"/>
              </w:rPr>
              <w:t>14</w:t>
            </w:r>
          </w:p>
        </w:tc>
        <w:tc>
          <w:tcPr>
            <w:tcW w:w="1438" w:type="pct"/>
          </w:tcPr>
          <w:p w14:paraId="7B355576" w14:textId="77777777" w:rsidR="00DF5015" w:rsidRPr="00DF5015" w:rsidRDefault="00DF5015" w:rsidP="0069270B">
            <w:pPr>
              <w:autoSpaceDE w:val="0"/>
              <w:autoSpaceDN w:val="0"/>
              <w:adjustRightInd w:val="0"/>
              <w:jc w:val="center"/>
              <w:rPr>
                <w:rFonts w:asciiTheme="minorHAnsi" w:hAnsiTheme="minorHAnsi" w:cstheme="minorHAnsi"/>
                <w:color w:val="000000"/>
                <w:sz w:val="22"/>
                <w:szCs w:val="24"/>
                <w:lang w:val="en-CA"/>
              </w:rPr>
            </w:pPr>
            <w:r w:rsidRPr="00DF5015">
              <w:rPr>
                <w:rFonts w:asciiTheme="minorHAnsi" w:hAnsiTheme="minorHAnsi" w:cstheme="minorHAnsi"/>
                <w:color w:val="000000"/>
                <w:sz w:val="22"/>
                <w:szCs w:val="24"/>
                <w:lang w:val="en-CA"/>
              </w:rPr>
              <w:t>1</w:t>
            </w:r>
          </w:p>
        </w:tc>
        <w:tc>
          <w:tcPr>
            <w:tcW w:w="357" w:type="pct"/>
          </w:tcPr>
          <w:p w14:paraId="481C88BA" w14:textId="77777777" w:rsidR="00DF5015" w:rsidRPr="00DF5015" w:rsidRDefault="00DF5015" w:rsidP="0069270B">
            <w:pPr>
              <w:autoSpaceDE w:val="0"/>
              <w:autoSpaceDN w:val="0"/>
              <w:adjustRightInd w:val="0"/>
              <w:jc w:val="center"/>
              <w:rPr>
                <w:rFonts w:asciiTheme="minorHAnsi" w:hAnsiTheme="minorHAnsi" w:cstheme="minorHAnsi"/>
                <w:color w:val="000000"/>
                <w:sz w:val="22"/>
                <w:szCs w:val="24"/>
                <w:lang w:val="en-CA"/>
              </w:rPr>
            </w:pPr>
            <w:r w:rsidRPr="00DF5015">
              <w:rPr>
                <w:rFonts w:asciiTheme="minorHAnsi" w:hAnsiTheme="minorHAnsi" w:cstheme="minorHAnsi"/>
                <w:color w:val="000000"/>
                <w:sz w:val="22"/>
                <w:szCs w:val="24"/>
                <w:lang w:val="en-CA"/>
              </w:rPr>
              <w:t>17</w:t>
            </w:r>
          </w:p>
        </w:tc>
      </w:tr>
      <w:tr w:rsidR="00DF5015" w:rsidRPr="00DF5015" w14:paraId="1D52447C" w14:textId="77777777" w:rsidTr="003222DC">
        <w:trPr>
          <w:cantSplit/>
          <w:tblHeader/>
          <w:jc w:val="center"/>
        </w:trPr>
        <w:tc>
          <w:tcPr>
            <w:tcW w:w="714" w:type="pct"/>
          </w:tcPr>
          <w:p w14:paraId="2B1B4B98" w14:textId="77777777" w:rsidR="00DF5015" w:rsidRPr="00DF5015" w:rsidRDefault="00DF5015" w:rsidP="0069270B">
            <w:pPr>
              <w:autoSpaceDE w:val="0"/>
              <w:autoSpaceDN w:val="0"/>
              <w:adjustRightInd w:val="0"/>
              <w:rPr>
                <w:rFonts w:asciiTheme="minorHAnsi" w:hAnsiTheme="minorHAnsi" w:cstheme="minorHAnsi"/>
                <w:color w:val="000000"/>
                <w:sz w:val="22"/>
                <w:szCs w:val="24"/>
                <w:lang w:val="en-CA"/>
              </w:rPr>
            </w:pPr>
            <w:r w:rsidRPr="00DF5015">
              <w:rPr>
                <w:rFonts w:asciiTheme="minorHAnsi" w:hAnsiTheme="minorHAnsi" w:cstheme="minorHAnsi"/>
                <w:color w:val="000000"/>
                <w:sz w:val="22"/>
                <w:szCs w:val="24"/>
                <w:lang w:val="en-CA"/>
              </w:rPr>
              <w:t>2018 to 2019</w:t>
            </w:r>
          </w:p>
        </w:tc>
        <w:tc>
          <w:tcPr>
            <w:tcW w:w="622" w:type="pct"/>
          </w:tcPr>
          <w:p w14:paraId="512FD1F8" w14:textId="77777777" w:rsidR="00DF5015" w:rsidRPr="00DF5015" w:rsidRDefault="00DF5015" w:rsidP="0069270B">
            <w:pPr>
              <w:autoSpaceDE w:val="0"/>
              <w:autoSpaceDN w:val="0"/>
              <w:adjustRightInd w:val="0"/>
              <w:jc w:val="center"/>
              <w:rPr>
                <w:rFonts w:asciiTheme="minorHAnsi" w:hAnsiTheme="minorHAnsi" w:cstheme="minorHAnsi"/>
                <w:color w:val="000000"/>
                <w:sz w:val="22"/>
                <w:szCs w:val="24"/>
                <w:lang w:val="en-CA"/>
              </w:rPr>
            </w:pPr>
            <w:r w:rsidRPr="00DF5015">
              <w:rPr>
                <w:rFonts w:asciiTheme="minorHAnsi" w:hAnsiTheme="minorHAnsi" w:cstheme="minorHAnsi"/>
                <w:color w:val="000000"/>
                <w:sz w:val="22"/>
                <w:szCs w:val="24"/>
                <w:lang w:val="en-CA"/>
              </w:rPr>
              <w:t>4</w:t>
            </w:r>
          </w:p>
        </w:tc>
        <w:tc>
          <w:tcPr>
            <w:tcW w:w="787" w:type="pct"/>
          </w:tcPr>
          <w:p w14:paraId="3297096F" w14:textId="77777777" w:rsidR="00DF5015" w:rsidRPr="00DF5015" w:rsidRDefault="00DF5015" w:rsidP="0069270B">
            <w:pPr>
              <w:autoSpaceDE w:val="0"/>
              <w:autoSpaceDN w:val="0"/>
              <w:adjustRightInd w:val="0"/>
              <w:jc w:val="center"/>
              <w:rPr>
                <w:rFonts w:asciiTheme="minorHAnsi" w:hAnsiTheme="minorHAnsi" w:cstheme="minorHAnsi"/>
                <w:color w:val="000000"/>
                <w:sz w:val="22"/>
                <w:szCs w:val="24"/>
                <w:lang w:val="en-CA"/>
              </w:rPr>
            </w:pPr>
            <w:r w:rsidRPr="00DF5015">
              <w:rPr>
                <w:rFonts w:asciiTheme="minorHAnsi" w:hAnsiTheme="minorHAnsi" w:cstheme="minorHAnsi"/>
                <w:color w:val="000000"/>
                <w:sz w:val="22"/>
                <w:szCs w:val="24"/>
                <w:lang w:val="en-CA"/>
              </w:rPr>
              <w:t>1</w:t>
            </w:r>
          </w:p>
        </w:tc>
        <w:tc>
          <w:tcPr>
            <w:tcW w:w="1081" w:type="pct"/>
          </w:tcPr>
          <w:p w14:paraId="6751C834" w14:textId="77777777" w:rsidR="00DF5015" w:rsidRPr="00DF5015" w:rsidRDefault="00DF5015" w:rsidP="0069270B">
            <w:pPr>
              <w:autoSpaceDE w:val="0"/>
              <w:autoSpaceDN w:val="0"/>
              <w:adjustRightInd w:val="0"/>
              <w:jc w:val="center"/>
              <w:rPr>
                <w:rFonts w:asciiTheme="minorHAnsi" w:hAnsiTheme="minorHAnsi" w:cstheme="minorHAnsi"/>
                <w:color w:val="000000"/>
                <w:sz w:val="22"/>
                <w:szCs w:val="24"/>
                <w:lang w:val="en-CA"/>
              </w:rPr>
            </w:pPr>
            <w:r w:rsidRPr="00DF5015">
              <w:rPr>
                <w:rFonts w:asciiTheme="minorHAnsi" w:hAnsiTheme="minorHAnsi" w:cstheme="minorHAnsi"/>
                <w:color w:val="000000"/>
                <w:sz w:val="22"/>
                <w:szCs w:val="24"/>
                <w:lang w:val="en-CA"/>
              </w:rPr>
              <w:t>12</w:t>
            </w:r>
          </w:p>
        </w:tc>
        <w:tc>
          <w:tcPr>
            <w:tcW w:w="1438" w:type="pct"/>
          </w:tcPr>
          <w:p w14:paraId="477A6DC6" w14:textId="77777777" w:rsidR="00DF5015" w:rsidRPr="00DF5015" w:rsidRDefault="00DF5015" w:rsidP="0069270B">
            <w:pPr>
              <w:autoSpaceDE w:val="0"/>
              <w:autoSpaceDN w:val="0"/>
              <w:adjustRightInd w:val="0"/>
              <w:jc w:val="center"/>
              <w:rPr>
                <w:rFonts w:asciiTheme="minorHAnsi" w:hAnsiTheme="minorHAnsi" w:cstheme="minorHAnsi"/>
                <w:color w:val="000000"/>
                <w:sz w:val="22"/>
                <w:szCs w:val="24"/>
                <w:lang w:val="en-CA"/>
              </w:rPr>
            </w:pPr>
            <w:r w:rsidRPr="00DF5015">
              <w:rPr>
                <w:rFonts w:asciiTheme="minorHAnsi" w:hAnsiTheme="minorHAnsi" w:cstheme="minorHAnsi"/>
                <w:color w:val="000000"/>
                <w:sz w:val="22"/>
                <w:szCs w:val="24"/>
                <w:lang w:val="en-CA"/>
              </w:rPr>
              <w:t>0</w:t>
            </w:r>
          </w:p>
        </w:tc>
        <w:tc>
          <w:tcPr>
            <w:tcW w:w="357" w:type="pct"/>
          </w:tcPr>
          <w:p w14:paraId="3ED21A93" w14:textId="77777777" w:rsidR="00DF5015" w:rsidRPr="00DF5015" w:rsidRDefault="00DF5015" w:rsidP="0069270B">
            <w:pPr>
              <w:autoSpaceDE w:val="0"/>
              <w:autoSpaceDN w:val="0"/>
              <w:adjustRightInd w:val="0"/>
              <w:jc w:val="center"/>
              <w:rPr>
                <w:rFonts w:asciiTheme="minorHAnsi" w:hAnsiTheme="minorHAnsi" w:cstheme="minorHAnsi"/>
                <w:color w:val="000000"/>
                <w:sz w:val="22"/>
                <w:szCs w:val="24"/>
                <w:lang w:val="en-CA"/>
              </w:rPr>
            </w:pPr>
            <w:r w:rsidRPr="00DF5015">
              <w:rPr>
                <w:rFonts w:asciiTheme="minorHAnsi" w:hAnsiTheme="minorHAnsi" w:cstheme="minorHAnsi"/>
                <w:color w:val="000000"/>
                <w:sz w:val="22"/>
                <w:szCs w:val="24"/>
                <w:lang w:val="en-CA"/>
              </w:rPr>
              <w:t>17</w:t>
            </w:r>
          </w:p>
        </w:tc>
      </w:tr>
    </w:tbl>
    <w:p w14:paraId="6F06F3C4" w14:textId="5D294487" w:rsidR="003222DC" w:rsidRPr="003222DC" w:rsidRDefault="003222DC" w:rsidP="003222DC">
      <w:pPr>
        <w:pStyle w:val="Titre1"/>
        <w:spacing w:before="120" w:after="120"/>
        <w:rPr>
          <w:sz w:val="40"/>
        </w:rPr>
      </w:pPr>
      <w:r w:rsidRPr="003222DC">
        <w:rPr>
          <w:sz w:val="40"/>
        </w:rPr>
        <w:lastRenderedPageBreak/>
        <w:t>Staffing by tenure</w:t>
      </w:r>
    </w:p>
    <w:p w14:paraId="329439CD" w14:textId="77777777" w:rsidR="00536DE1" w:rsidRDefault="00DF5015" w:rsidP="00536DE1">
      <w:pPr>
        <w:keepNext/>
        <w:jc w:val="center"/>
      </w:pPr>
      <w:r w:rsidRPr="00E628AA">
        <w:rPr>
          <w:rStyle w:val="lev"/>
          <w:noProof/>
          <w:lang w:val="en-CA" w:eastAsia="en-CA"/>
        </w:rPr>
        <w:drawing>
          <wp:inline distT="0" distB="0" distL="0" distR="0" wp14:anchorId="726785EF" wp14:editId="6811F9C0">
            <wp:extent cx="5648400" cy="3049200"/>
            <wp:effectExtent l="0" t="0" r="9525" b="18415"/>
            <wp:docPr id="3" name="Chart 3" descr="Staffing by tenure"/>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00D6FFC8" w14:textId="287A83C9" w:rsidR="00DF5015" w:rsidRDefault="00536DE1" w:rsidP="00536DE1">
      <w:pPr>
        <w:pStyle w:val="Lgende"/>
        <w:spacing w:after="240"/>
        <w:jc w:val="center"/>
        <w:rPr>
          <w:lang w:val="en-CA"/>
        </w:rPr>
      </w:pPr>
      <w:r>
        <w:t xml:space="preserve">Figure </w:t>
      </w:r>
      <w:r>
        <w:fldChar w:fldCharType="begin"/>
      </w:r>
      <w:r>
        <w:instrText xml:space="preserve"> SEQ Figure \* ARABIC </w:instrText>
      </w:r>
      <w:r>
        <w:fldChar w:fldCharType="separate"/>
      </w:r>
      <w:r w:rsidR="0016520F">
        <w:rPr>
          <w:noProof/>
        </w:rPr>
        <w:t>9</w:t>
      </w:r>
      <w:r>
        <w:fldChar w:fldCharType="end"/>
      </w:r>
      <w:r>
        <w:t xml:space="preserve"> - Staffing by tenure</w:t>
      </w:r>
    </w:p>
    <w:p w14:paraId="3AE427C7" w14:textId="23F73387" w:rsidR="00536DE1" w:rsidRDefault="00536DE1" w:rsidP="00536DE1">
      <w:pPr>
        <w:pStyle w:val="Lgende"/>
        <w:keepNext/>
        <w:jc w:val="center"/>
      </w:pPr>
      <w:r>
        <w:t xml:space="preserve">Table </w:t>
      </w:r>
      <w:r>
        <w:fldChar w:fldCharType="begin"/>
      </w:r>
      <w:r>
        <w:instrText xml:space="preserve"> SEQ Table \* ARABIC </w:instrText>
      </w:r>
      <w:r>
        <w:fldChar w:fldCharType="separate"/>
      </w:r>
      <w:r w:rsidR="0016520F">
        <w:rPr>
          <w:noProof/>
        </w:rPr>
        <w:t>9</w:t>
      </w:r>
      <w:r>
        <w:fldChar w:fldCharType="end"/>
      </w:r>
      <w:r>
        <w:t xml:space="preserve"> - </w:t>
      </w:r>
      <w:r w:rsidRPr="00904B6B">
        <w:t>Staffing activities by tenure and fiscal year</w:t>
      </w:r>
    </w:p>
    <w:tbl>
      <w:tblPr>
        <w:tblStyle w:val="Grilledutableau"/>
        <w:tblW w:w="5000" w:type="pct"/>
        <w:jc w:val="center"/>
        <w:tblLook w:val="00A0" w:firstRow="1" w:lastRow="0" w:firstColumn="1" w:lastColumn="0" w:noHBand="0" w:noVBand="0"/>
        <w:tblDescription w:val="Staffing by tenure "/>
      </w:tblPr>
      <w:tblGrid>
        <w:gridCol w:w="2208"/>
        <w:gridCol w:w="2769"/>
        <w:gridCol w:w="2216"/>
        <w:gridCol w:w="2397"/>
        <w:gridCol w:w="2584"/>
        <w:gridCol w:w="2216"/>
      </w:tblGrid>
      <w:tr w:rsidR="00536DE1" w:rsidRPr="00536DE1" w14:paraId="448A0E4E" w14:textId="77777777" w:rsidTr="003222DC">
        <w:trPr>
          <w:cantSplit/>
          <w:tblHeader/>
          <w:jc w:val="center"/>
        </w:trPr>
        <w:tc>
          <w:tcPr>
            <w:tcW w:w="767" w:type="pct"/>
          </w:tcPr>
          <w:p w14:paraId="2EC4397A" w14:textId="77777777" w:rsidR="00536DE1" w:rsidRPr="00536DE1" w:rsidRDefault="00536DE1" w:rsidP="0069270B">
            <w:pPr>
              <w:pStyle w:val="TableTitle"/>
              <w:rPr>
                <w:color w:val="auto"/>
                <w:sz w:val="22"/>
                <w:lang w:val="en-CA"/>
              </w:rPr>
            </w:pPr>
            <w:r w:rsidRPr="00536DE1">
              <w:rPr>
                <w:color w:val="auto"/>
                <w:sz w:val="22"/>
                <w:lang w:val="en-CA"/>
              </w:rPr>
              <w:t>Fiscal year</w:t>
            </w:r>
          </w:p>
        </w:tc>
        <w:tc>
          <w:tcPr>
            <w:tcW w:w="962" w:type="pct"/>
          </w:tcPr>
          <w:p w14:paraId="38DDC554" w14:textId="77777777" w:rsidR="00536DE1" w:rsidRPr="00536DE1" w:rsidRDefault="00536DE1" w:rsidP="0069270B">
            <w:pPr>
              <w:pStyle w:val="TableTitle"/>
              <w:rPr>
                <w:color w:val="auto"/>
                <w:sz w:val="22"/>
                <w:lang w:val="en-CA"/>
              </w:rPr>
            </w:pPr>
            <w:r w:rsidRPr="00536DE1">
              <w:rPr>
                <w:color w:val="auto"/>
                <w:sz w:val="22"/>
                <w:lang w:val="en-CA"/>
              </w:rPr>
              <w:t>Indeterminate staffing activities</w:t>
            </w:r>
          </w:p>
        </w:tc>
        <w:tc>
          <w:tcPr>
            <w:tcW w:w="770" w:type="pct"/>
          </w:tcPr>
          <w:p w14:paraId="2EE7F059" w14:textId="77777777" w:rsidR="00536DE1" w:rsidRPr="00536DE1" w:rsidRDefault="00536DE1" w:rsidP="0069270B">
            <w:pPr>
              <w:pStyle w:val="TableTitle"/>
              <w:rPr>
                <w:color w:val="auto"/>
                <w:sz w:val="22"/>
                <w:lang w:val="en-CA"/>
              </w:rPr>
            </w:pPr>
            <w:r w:rsidRPr="00536DE1">
              <w:rPr>
                <w:color w:val="auto"/>
                <w:sz w:val="22"/>
                <w:lang w:val="en-CA"/>
              </w:rPr>
              <w:t>Term staffing activities</w:t>
            </w:r>
          </w:p>
        </w:tc>
        <w:tc>
          <w:tcPr>
            <w:tcW w:w="833" w:type="pct"/>
          </w:tcPr>
          <w:p w14:paraId="12FC4F17" w14:textId="77777777" w:rsidR="00536DE1" w:rsidRPr="00536DE1" w:rsidRDefault="00536DE1" w:rsidP="0069270B">
            <w:pPr>
              <w:pStyle w:val="TableTitle"/>
              <w:rPr>
                <w:color w:val="auto"/>
                <w:sz w:val="22"/>
                <w:lang w:val="en-CA"/>
              </w:rPr>
            </w:pPr>
            <w:r w:rsidRPr="00536DE1">
              <w:rPr>
                <w:color w:val="auto"/>
                <w:sz w:val="22"/>
                <w:lang w:val="en-CA"/>
              </w:rPr>
              <w:t>Casual staffing activities</w:t>
            </w:r>
          </w:p>
        </w:tc>
        <w:tc>
          <w:tcPr>
            <w:tcW w:w="898" w:type="pct"/>
          </w:tcPr>
          <w:p w14:paraId="7472E724" w14:textId="77777777" w:rsidR="00536DE1" w:rsidRPr="00536DE1" w:rsidRDefault="00536DE1" w:rsidP="0069270B">
            <w:pPr>
              <w:pStyle w:val="TableTitle"/>
              <w:rPr>
                <w:color w:val="auto"/>
                <w:sz w:val="22"/>
                <w:lang w:val="en-CA"/>
              </w:rPr>
            </w:pPr>
            <w:r w:rsidRPr="00536DE1">
              <w:rPr>
                <w:color w:val="auto"/>
                <w:sz w:val="22"/>
                <w:lang w:val="en-CA"/>
              </w:rPr>
              <w:t>Student staffing activities</w:t>
            </w:r>
          </w:p>
        </w:tc>
        <w:tc>
          <w:tcPr>
            <w:tcW w:w="770" w:type="pct"/>
          </w:tcPr>
          <w:p w14:paraId="771A3C59" w14:textId="77777777" w:rsidR="00536DE1" w:rsidRPr="00536DE1" w:rsidRDefault="00536DE1" w:rsidP="0069270B">
            <w:pPr>
              <w:pStyle w:val="TableTitle"/>
              <w:rPr>
                <w:color w:val="auto"/>
                <w:sz w:val="22"/>
                <w:lang w:val="en-CA"/>
              </w:rPr>
            </w:pPr>
            <w:r w:rsidRPr="00536DE1">
              <w:rPr>
                <w:color w:val="auto"/>
                <w:sz w:val="22"/>
                <w:lang w:val="en-CA"/>
              </w:rPr>
              <w:t>Total staffing activities</w:t>
            </w:r>
          </w:p>
        </w:tc>
      </w:tr>
      <w:tr w:rsidR="00536DE1" w:rsidRPr="00536DE1" w14:paraId="7C867C57" w14:textId="77777777" w:rsidTr="003222DC">
        <w:trPr>
          <w:cantSplit/>
          <w:tblHeader/>
          <w:jc w:val="center"/>
        </w:trPr>
        <w:tc>
          <w:tcPr>
            <w:tcW w:w="767" w:type="pct"/>
          </w:tcPr>
          <w:p w14:paraId="7F53966E" w14:textId="77777777" w:rsidR="00536DE1" w:rsidRPr="00536DE1" w:rsidRDefault="00536DE1" w:rsidP="0069270B">
            <w:pPr>
              <w:autoSpaceDE w:val="0"/>
              <w:autoSpaceDN w:val="0"/>
              <w:adjustRightInd w:val="0"/>
              <w:rPr>
                <w:rFonts w:asciiTheme="minorHAnsi" w:hAnsiTheme="minorHAnsi" w:cstheme="minorHAnsi"/>
                <w:color w:val="000000"/>
                <w:sz w:val="22"/>
                <w:szCs w:val="24"/>
                <w:lang w:val="en-CA"/>
              </w:rPr>
            </w:pPr>
            <w:r w:rsidRPr="00536DE1">
              <w:rPr>
                <w:rFonts w:asciiTheme="minorHAnsi" w:hAnsiTheme="minorHAnsi" w:cstheme="minorHAnsi"/>
                <w:color w:val="000000"/>
                <w:sz w:val="22"/>
                <w:szCs w:val="24"/>
                <w:lang w:val="en-CA"/>
              </w:rPr>
              <w:t>2014 to 2015</w:t>
            </w:r>
          </w:p>
        </w:tc>
        <w:tc>
          <w:tcPr>
            <w:tcW w:w="962" w:type="pct"/>
          </w:tcPr>
          <w:p w14:paraId="44BF00D5" w14:textId="77777777" w:rsidR="00536DE1" w:rsidRPr="00536DE1" w:rsidRDefault="00536DE1" w:rsidP="0069270B">
            <w:pPr>
              <w:autoSpaceDE w:val="0"/>
              <w:autoSpaceDN w:val="0"/>
              <w:adjustRightInd w:val="0"/>
              <w:jc w:val="center"/>
              <w:rPr>
                <w:rFonts w:asciiTheme="minorHAnsi" w:hAnsiTheme="minorHAnsi" w:cstheme="minorHAnsi"/>
                <w:color w:val="000000"/>
                <w:sz w:val="22"/>
                <w:szCs w:val="24"/>
                <w:lang w:val="en-CA"/>
              </w:rPr>
            </w:pPr>
            <w:r w:rsidRPr="00536DE1">
              <w:rPr>
                <w:rFonts w:asciiTheme="minorHAnsi" w:hAnsiTheme="minorHAnsi" w:cstheme="minorHAnsi"/>
                <w:color w:val="000000"/>
                <w:sz w:val="22"/>
                <w:szCs w:val="24"/>
                <w:lang w:val="en-CA"/>
              </w:rPr>
              <w:t>6</w:t>
            </w:r>
          </w:p>
        </w:tc>
        <w:tc>
          <w:tcPr>
            <w:tcW w:w="770" w:type="pct"/>
          </w:tcPr>
          <w:p w14:paraId="6E8FC36B" w14:textId="77777777" w:rsidR="00536DE1" w:rsidRPr="00536DE1" w:rsidRDefault="00536DE1" w:rsidP="0069270B">
            <w:pPr>
              <w:autoSpaceDE w:val="0"/>
              <w:autoSpaceDN w:val="0"/>
              <w:adjustRightInd w:val="0"/>
              <w:jc w:val="center"/>
              <w:rPr>
                <w:rFonts w:asciiTheme="minorHAnsi" w:hAnsiTheme="minorHAnsi" w:cstheme="minorHAnsi"/>
                <w:color w:val="000000"/>
                <w:sz w:val="22"/>
                <w:szCs w:val="24"/>
                <w:lang w:val="en-CA"/>
              </w:rPr>
            </w:pPr>
            <w:r w:rsidRPr="00536DE1">
              <w:rPr>
                <w:rFonts w:asciiTheme="minorHAnsi" w:hAnsiTheme="minorHAnsi" w:cstheme="minorHAnsi"/>
                <w:color w:val="000000"/>
                <w:sz w:val="22"/>
                <w:szCs w:val="24"/>
                <w:lang w:val="en-CA"/>
              </w:rPr>
              <w:t>4</w:t>
            </w:r>
          </w:p>
        </w:tc>
        <w:tc>
          <w:tcPr>
            <w:tcW w:w="833" w:type="pct"/>
          </w:tcPr>
          <w:p w14:paraId="1C48CA1F" w14:textId="77777777" w:rsidR="00536DE1" w:rsidRPr="00536DE1" w:rsidRDefault="00536DE1" w:rsidP="0069270B">
            <w:pPr>
              <w:autoSpaceDE w:val="0"/>
              <w:autoSpaceDN w:val="0"/>
              <w:adjustRightInd w:val="0"/>
              <w:jc w:val="center"/>
              <w:rPr>
                <w:rFonts w:asciiTheme="minorHAnsi" w:hAnsiTheme="minorHAnsi" w:cstheme="minorHAnsi"/>
                <w:color w:val="000000"/>
                <w:sz w:val="22"/>
                <w:szCs w:val="24"/>
                <w:lang w:val="en-CA"/>
              </w:rPr>
            </w:pPr>
            <w:r w:rsidRPr="00536DE1">
              <w:rPr>
                <w:rFonts w:asciiTheme="minorHAnsi" w:hAnsiTheme="minorHAnsi" w:cstheme="minorHAnsi"/>
                <w:color w:val="000000"/>
                <w:sz w:val="22"/>
                <w:szCs w:val="24"/>
                <w:lang w:val="en-CA"/>
              </w:rPr>
              <w:t>6</w:t>
            </w:r>
          </w:p>
        </w:tc>
        <w:tc>
          <w:tcPr>
            <w:tcW w:w="898" w:type="pct"/>
          </w:tcPr>
          <w:p w14:paraId="2F7ED09E" w14:textId="77777777" w:rsidR="00536DE1" w:rsidRPr="00536DE1" w:rsidRDefault="00536DE1" w:rsidP="0069270B">
            <w:pPr>
              <w:autoSpaceDE w:val="0"/>
              <w:autoSpaceDN w:val="0"/>
              <w:adjustRightInd w:val="0"/>
              <w:jc w:val="center"/>
              <w:rPr>
                <w:rFonts w:asciiTheme="minorHAnsi" w:hAnsiTheme="minorHAnsi" w:cstheme="minorHAnsi"/>
                <w:color w:val="000000"/>
                <w:sz w:val="22"/>
                <w:szCs w:val="24"/>
                <w:lang w:val="en-CA"/>
              </w:rPr>
            </w:pPr>
            <w:r w:rsidRPr="00536DE1">
              <w:rPr>
                <w:rFonts w:asciiTheme="minorHAnsi" w:hAnsiTheme="minorHAnsi" w:cstheme="minorHAnsi"/>
                <w:color w:val="000000"/>
                <w:sz w:val="22"/>
                <w:szCs w:val="24"/>
                <w:lang w:val="en-CA"/>
              </w:rPr>
              <w:t>6</w:t>
            </w:r>
          </w:p>
        </w:tc>
        <w:tc>
          <w:tcPr>
            <w:tcW w:w="770" w:type="pct"/>
          </w:tcPr>
          <w:p w14:paraId="2F161092" w14:textId="77777777" w:rsidR="00536DE1" w:rsidRPr="00536DE1" w:rsidRDefault="00536DE1" w:rsidP="0069270B">
            <w:pPr>
              <w:autoSpaceDE w:val="0"/>
              <w:autoSpaceDN w:val="0"/>
              <w:adjustRightInd w:val="0"/>
              <w:jc w:val="center"/>
              <w:rPr>
                <w:rFonts w:asciiTheme="minorHAnsi" w:hAnsiTheme="minorHAnsi" w:cstheme="minorHAnsi"/>
                <w:color w:val="000000"/>
                <w:sz w:val="22"/>
                <w:szCs w:val="24"/>
                <w:lang w:val="en-CA"/>
              </w:rPr>
            </w:pPr>
            <w:r w:rsidRPr="00536DE1">
              <w:rPr>
                <w:rFonts w:asciiTheme="minorHAnsi" w:hAnsiTheme="minorHAnsi" w:cstheme="minorHAnsi"/>
                <w:color w:val="000000"/>
                <w:sz w:val="22"/>
                <w:szCs w:val="24"/>
                <w:lang w:val="en-CA"/>
              </w:rPr>
              <w:t>22</w:t>
            </w:r>
          </w:p>
        </w:tc>
      </w:tr>
      <w:tr w:rsidR="00536DE1" w:rsidRPr="00536DE1" w14:paraId="2D73F5C8" w14:textId="77777777" w:rsidTr="003222DC">
        <w:trPr>
          <w:cantSplit/>
          <w:tblHeader/>
          <w:jc w:val="center"/>
        </w:trPr>
        <w:tc>
          <w:tcPr>
            <w:tcW w:w="767" w:type="pct"/>
          </w:tcPr>
          <w:p w14:paraId="4E5D0480" w14:textId="77777777" w:rsidR="00536DE1" w:rsidRPr="00536DE1" w:rsidRDefault="00536DE1" w:rsidP="0069270B">
            <w:pPr>
              <w:autoSpaceDE w:val="0"/>
              <w:autoSpaceDN w:val="0"/>
              <w:adjustRightInd w:val="0"/>
              <w:rPr>
                <w:rFonts w:asciiTheme="minorHAnsi" w:hAnsiTheme="minorHAnsi" w:cstheme="minorHAnsi"/>
                <w:color w:val="000000"/>
                <w:sz w:val="22"/>
                <w:szCs w:val="24"/>
                <w:lang w:val="en-CA"/>
              </w:rPr>
            </w:pPr>
            <w:r w:rsidRPr="00536DE1">
              <w:rPr>
                <w:rFonts w:asciiTheme="minorHAnsi" w:hAnsiTheme="minorHAnsi" w:cstheme="minorHAnsi"/>
                <w:color w:val="000000"/>
                <w:sz w:val="22"/>
                <w:szCs w:val="24"/>
                <w:lang w:val="en-CA"/>
              </w:rPr>
              <w:t>2015 to 2016</w:t>
            </w:r>
          </w:p>
        </w:tc>
        <w:tc>
          <w:tcPr>
            <w:tcW w:w="962" w:type="pct"/>
          </w:tcPr>
          <w:p w14:paraId="618275BE" w14:textId="77777777" w:rsidR="00536DE1" w:rsidRPr="00536DE1" w:rsidRDefault="00536DE1" w:rsidP="0069270B">
            <w:pPr>
              <w:autoSpaceDE w:val="0"/>
              <w:autoSpaceDN w:val="0"/>
              <w:adjustRightInd w:val="0"/>
              <w:jc w:val="center"/>
              <w:rPr>
                <w:rFonts w:asciiTheme="minorHAnsi" w:hAnsiTheme="minorHAnsi" w:cstheme="minorHAnsi"/>
                <w:color w:val="000000"/>
                <w:sz w:val="22"/>
                <w:szCs w:val="24"/>
                <w:lang w:val="en-CA"/>
              </w:rPr>
            </w:pPr>
            <w:r w:rsidRPr="00536DE1">
              <w:rPr>
                <w:rFonts w:asciiTheme="minorHAnsi" w:hAnsiTheme="minorHAnsi" w:cstheme="minorHAnsi"/>
                <w:color w:val="000000"/>
                <w:sz w:val="22"/>
                <w:szCs w:val="24"/>
                <w:lang w:val="en-CA"/>
              </w:rPr>
              <w:t>1</w:t>
            </w:r>
          </w:p>
        </w:tc>
        <w:tc>
          <w:tcPr>
            <w:tcW w:w="770" w:type="pct"/>
          </w:tcPr>
          <w:p w14:paraId="64EBF2A8" w14:textId="77777777" w:rsidR="00536DE1" w:rsidRPr="00536DE1" w:rsidRDefault="00536DE1" w:rsidP="0069270B">
            <w:pPr>
              <w:autoSpaceDE w:val="0"/>
              <w:autoSpaceDN w:val="0"/>
              <w:adjustRightInd w:val="0"/>
              <w:jc w:val="center"/>
              <w:rPr>
                <w:rFonts w:asciiTheme="minorHAnsi" w:hAnsiTheme="minorHAnsi" w:cstheme="minorHAnsi"/>
                <w:color w:val="000000"/>
                <w:sz w:val="22"/>
                <w:szCs w:val="24"/>
                <w:lang w:val="en-CA"/>
              </w:rPr>
            </w:pPr>
            <w:r w:rsidRPr="00536DE1">
              <w:rPr>
                <w:rFonts w:asciiTheme="minorHAnsi" w:hAnsiTheme="minorHAnsi" w:cstheme="minorHAnsi"/>
                <w:color w:val="000000"/>
                <w:sz w:val="22"/>
                <w:szCs w:val="24"/>
                <w:lang w:val="en-CA"/>
              </w:rPr>
              <w:t>2</w:t>
            </w:r>
          </w:p>
        </w:tc>
        <w:tc>
          <w:tcPr>
            <w:tcW w:w="833" w:type="pct"/>
          </w:tcPr>
          <w:p w14:paraId="4AC901CE" w14:textId="77777777" w:rsidR="00536DE1" w:rsidRPr="00536DE1" w:rsidRDefault="00536DE1" w:rsidP="0069270B">
            <w:pPr>
              <w:autoSpaceDE w:val="0"/>
              <w:autoSpaceDN w:val="0"/>
              <w:adjustRightInd w:val="0"/>
              <w:jc w:val="center"/>
              <w:rPr>
                <w:rFonts w:asciiTheme="minorHAnsi" w:hAnsiTheme="minorHAnsi" w:cstheme="minorHAnsi"/>
                <w:color w:val="000000"/>
                <w:sz w:val="22"/>
                <w:szCs w:val="24"/>
                <w:lang w:val="en-CA"/>
              </w:rPr>
            </w:pPr>
            <w:r w:rsidRPr="00536DE1">
              <w:rPr>
                <w:rFonts w:asciiTheme="minorHAnsi" w:hAnsiTheme="minorHAnsi" w:cstheme="minorHAnsi"/>
                <w:color w:val="000000"/>
                <w:sz w:val="22"/>
                <w:szCs w:val="24"/>
                <w:lang w:val="en-CA"/>
              </w:rPr>
              <w:t>6</w:t>
            </w:r>
          </w:p>
        </w:tc>
        <w:tc>
          <w:tcPr>
            <w:tcW w:w="898" w:type="pct"/>
          </w:tcPr>
          <w:p w14:paraId="1C570F75" w14:textId="77777777" w:rsidR="00536DE1" w:rsidRPr="00536DE1" w:rsidRDefault="00536DE1" w:rsidP="0069270B">
            <w:pPr>
              <w:autoSpaceDE w:val="0"/>
              <w:autoSpaceDN w:val="0"/>
              <w:adjustRightInd w:val="0"/>
              <w:jc w:val="center"/>
              <w:rPr>
                <w:rFonts w:asciiTheme="minorHAnsi" w:hAnsiTheme="minorHAnsi" w:cstheme="minorHAnsi"/>
                <w:color w:val="000000"/>
                <w:sz w:val="22"/>
                <w:szCs w:val="24"/>
                <w:lang w:val="en-CA"/>
              </w:rPr>
            </w:pPr>
            <w:r w:rsidRPr="00536DE1">
              <w:rPr>
                <w:rFonts w:asciiTheme="minorHAnsi" w:hAnsiTheme="minorHAnsi" w:cstheme="minorHAnsi"/>
                <w:color w:val="000000"/>
                <w:sz w:val="22"/>
                <w:szCs w:val="24"/>
                <w:lang w:val="en-CA"/>
              </w:rPr>
              <w:t>7</w:t>
            </w:r>
          </w:p>
        </w:tc>
        <w:tc>
          <w:tcPr>
            <w:tcW w:w="770" w:type="pct"/>
          </w:tcPr>
          <w:p w14:paraId="52F8CA41" w14:textId="77777777" w:rsidR="00536DE1" w:rsidRPr="00536DE1" w:rsidRDefault="00536DE1" w:rsidP="0069270B">
            <w:pPr>
              <w:autoSpaceDE w:val="0"/>
              <w:autoSpaceDN w:val="0"/>
              <w:adjustRightInd w:val="0"/>
              <w:jc w:val="center"/>
              <w:rPr>
                <w:rFonts w:asciiTheme="minorHAnsi" w:hAnsiTheme="minorHAnsi" w:cstheme="minorHAnsi"/>
                <w:color w:val="000000"/>
                <w:sz w:val="22"/>
                <w:szCs w:val="24"/>
                <w:lang w:val="en-CA"/>
              </w:rPr>
            </w:pPr>
            <w:r w:rsidRPr="00536DE1">
              <w:rPr>
                <w:rFonts w:asciiTheme="minorHAnsi" w:hAnsiTheme="minorHAnsi" w:cstheme="minorHAnsi"/>
                <w:color w:val="000000"/>
                <w:sz w:val="22"/>
                <w:szCs w:val="24"/>
                <w:lang w:val="en-CA"/>
              </w:rPr>
              <w:t>16</w:t>
            </w:r>
          </w:p>
        </w:tc>
      </w:tr>
      <w:tr w:rsidR="00536DE1" w:rsidRPr="00536DE1" w14:paraId="51BAA6E4" w14:textId="77777777" w:rsidTr="003222DC">
        <w:trPr>
          <w:cantSplit/>
          <w:tblHeader/>
          <w:jc w:val="center"/>
        </w:trPr>
        <w:tc>
          <w:tcPr>
            <w:tcW w:w="767" w:type="pct"/>
          </w:tcPr>
          <w:p w14:paraId="54A8CF26" w14:textId="77777777" w:rsidR="00536DE1" w:rsidRPr="00536DE1" w:rsidRDefault="00536DE1" w:rsidP="0069270B">
            <w:pPr>
              <w:autoSpaceDE w:val="0"/>
              <w:autoSpaceDN w:val="0"/>
              <w:adjustRightInd w:val="0"/>
              <w:rPr>
                <w:rFonts w:asciiTheme="minorHAnsi" w:hAnsiTheme="minorHAnsi" w:cstheme="minorHAnsi"/>
                <w:color w:val="000000"/>
                <w:sz w:val="22"/>
                <w:szCs w:val="24"/>
                <w:lang w:val="en-CA"/>
              </w:rPr>
            </w:pPr>
            <w:r w:rsidRPr="00536DE1">
              <w:rPr>
                <w:rFonts w:asciiTheme="minorHAnsi" w:hAnsiTheme="minorHAnsi" w:cstheme="minorHAnsi"/>
                <w:color w:val="000000"/>
                <w:sz w:val="22"/>
                <w:szCs w:val="24"/>
                <w:lang w:val="en-CA"/>
              </w:rPr>
              <w:t>2016 to 2017</w:t>
            </w:r>
          </w:p>
        </w:tc>
        <w:tc>
          <w:tcPr>
            <w:tcW w:w="962" w:type="pct"/>
          </w:tcPr>
          <w:p w14:paraId="6B1FC84F" w14:textId="77777777" w:rsidR="00536DE1" w:rsidRPr="00536DE1" w:rsidRDefault="00536DE1" w:rsidP="0069270B">
            <w:pPr>
              <w:autoSpaceDE w:val="0"/>
              <w:autoSpaceDN w:val="0"/>
              <w:adjustRightInd w:val="0"/>
              <w:jc w:val="center"/>
              <w:rPr>
                <w:rFonts w:asciiTheme="minorHAnsi" w:hAnsiTheme="minorHAnsi" w:cstheme="minorHAnsi"/>
                <w:color w:val="000000"/>
                <w:sz w:val="22"/>
                <w:szCs w:val="24"/>
                <w:lang w:val="en-CA"/>
              </w:rPr>
            </w:pPr>
            <w:r w:rsidRPr="00536DE1">
              <w:rPr>
                <w:rFonts w:asciiTheme="minorHAnsi" w:hAnsiTheme="minorHAnsi" w:cstheme="minorHAnsi"/>
                <w:color w:val="000000"/>
                <w:sz w:val="22"/>
                <w:szCs w:val="24"/>
                <w:lang w:val="en-CA"/>
              </w:rPr>
              <w:t>4</w:t>
            </w:r>
          </w:p>
        </w:tc>
        <w:tc>
          <w:tcPr>
            <w:tcW w:w="770" w:type="pct"/>
          </w:tcPr>
          <w:p w14:paraId="3D5460EE" w14:textId="77777777" w:rsidR="00536DE1" w:rsidRPr="00536DE1" w:rsidRDefault="00536DE1" w:rsidP="0069270B">
            <w:pPr>
              <w:autoSpaceDE w:val="0"/>
              <w:autoSpaceDN w:val="0"/>
              <w:adjustRightInd w:val="0"/>
              <w:jc w:val="center"/>
              <w:rPr>
                <w:rFonts w:asciiTheme="minorHAnsi" w:hAnsiTheme="minorHAnsi" w:cstheme="minorHAnsi"/>
                <w:color w:val="000000"/>
                <w:sz w:val="22"/>
                <w:szCs w:val="24"/>
                <w:lang w:val="en-CA"/>
              </w:rPr>
            </w:pPr>
            <w:r w:rsidRPr="00536DE1">
              <w:rPr>
                <w:rFonts w:asciiTheme="minorHAnsi" w:hAnsiTheme="minorHAnsi" w:cstheme="minorHAnsi"/>
                <w:color w:val="000000"/>
                <w:sz w:val="22"/>
                <w:szCs w:val="24"/>
                <w:lang w:val="en-CA"/>
              </w:rPr>
              <w:t>2</w:t>
            </w:r>
          </w:p>
        </w:tc>
        <w:tc>
          <w:tcPr>
            <w:tcW w:w="833" w:type="pct"/>
          </w:tcPr>
          <w:p w14:paraId="69176965" w14:textId="77777777" w:rsidR="00536DE1" w:rsidRPr="00536DE1" w:rsidRDefault="00536DE1" w:rsidP="0069270B">
            <w:pPr>
              <w:autoSpaceDE w:val="0"/>
              <w:autoSpaceDN w:val="0"/>
              <w:adjustRightInd w:val="0"/>
              <w:jc w:val="center"/>
              <w:rPr>
                <w:rFonts w:asciiTheme="minorHAnsi" w:hAnsiTheme="minorHAnsi" w:cstheme="minorHAnsi"/>
                <w:color w:val="000000"/>
                <w:sz w:val="22"/>
                <w:szCs w:val="24"/>
                <w:lang w:val="en-CA"/>
              </w:rPr>
            </w:pPr>
            <w:r w:rsidRPr="00536DE1">
              <w:rPr>
                <w:rFonts w:asciiTheme="minorHAnsi" w:hAnsiTheme="minorHAnsi" w:cstheme="minorHAnsi"/>
                <w:color w:val="000000"/>
                <w:sz w:val="22"/>
                <w:szCs w:val="24"/>
                <w:lang w:val="en-CA"/>
              </w:rPr>
              <w:t>6</w:t>
            </w:r>
          </w:p>
        </w:tc>
        <w:tc>
          <w:tcPr>
            <w:tcW w:w="898" w:type="pct"/>
          </w:tcPr>
          <w:p w14:paraId="423326DA" w14:textId="77777777" w:rsidR="00536DE1" w:rsidRPr="00536DE1" w:rsidRDefault="00536DE1" w:rsidP="0069270B">
            <w:pPr>
              <w:autoSpaceDE w:val="0"/>
              <w:autoSpaceDN w:val="0"/>
              <w:adjustRightInd w:val="0"/>
              <w:jc w:val="center"/>
              <w:rPr>
                <w:rFonts w:asciiTheme="minorHAnsi" w:hAnsiTheme="minorHAnsi" w:cstheme="minorHAnsi"/>
                <w:color w:val="000000"/>
                <w:sz w:val="22"/>
                <w:szCs w:val="24"/>
                <w:lang w:val="en-CA"/>
              </w:rPr>
            </w:pPr>
            <w:r w:rsidRPr="00536DE1">
              <w:rPr>
                <w:rFonts w:asciiTheme="minorHAnsi" w:hAnsiTheme="minorHAnsi" w:cstheme="minorHAnsi"/>
                <w:color w:val="000000"/>
                <w:sz w:val="22"/>
                <w:szCs w:val="24"/>
                <w:lang w:val="en-CA"/>
              </w:rPr>
              <w:t>7</w:t>
            </w:r>
          </w:p>
        </w:tc>
        <w:tc>
          <w:tcPr>
            <w:tcW w:w="770" w:type="pct"/>
          </w:tcPr>
          <w:p w14:paraId="3F6646E5" w14:textId="77777777" w:rsidR="00536DE1" w:rsidRPr="00536DE1" w:rsidRDefault="00536DE1" w:rsidP="0069270B">
            <w:pPr>
              <w:autoSpaceDE w:val="0"/>
              <w:autoSpaceDN w:val="0"/>
              <w:adjustRightInd w:val="0"/>
              <w:jc w:val="center"/>
              <w:rPr>
                <w:rFonts w:asciiTheme="minorHAnsi" w:hAnsiTheme="minorHAnsi" w:cstheme="minorHAnsi"/>
                <w:color w:val="000000"/>
                <w:sz w:val="22"/>
                <w:szCs w:val="24"/>
                <w:lang w:val="en-CA"/>
              </w:rPr>
            </w:pPr>
            <w:r w:rsidRPr="00536DE1">
              <w:rPr>
                <w:rFonts w:asciiTheme="minorHAnsi" w:hAnsiTheme="minorHAnsi" w:cstheme="minorHAnsi"/>
                <w:color w:val="000000"/>
                <w:sz w:val="22"/>
                <w:szCs w:val="24"/>
                <w:lang w:val="en-CA"/>
              </w:rPr>
              <w:t>19</w:t>
            </w:r>
          </w:p>
        </w:tc>
      </w:tr>
      <w:tr w:rsidR="00536DE1" w:rsidRPr="00536DE1" w14:paraId="266818F0" w14:textId="77777777" w:rsidTr="003222DC">
        <w:trPr>
          <w:cantSplit/>
          <w:tblHeader/>
          <w:jc w:val="center"/>
        </w:trPr>
        <w:tc>
          <w:tcPr>
            <w:tcW w:w="767" w:type="pct"/>
          </w:tcPr>
          <w:p w14:paraId="00A161A8" w14:textId="77777777" w:rsidR="00536DE1" w:rsidRPr="00536DE1" w:rsidRDefault="00536DE1" w:rsidP="0069270B">
            <w:pPr>
              <w:autoSpaceDE w:val="0"/>
              <w:autoSpaceDN w:val="0"/>
              <w:adjustRightInd w:val="0"/>
              <w:rPr>
                <w:rFonts w:asciiTheme="minorHAnsi" w:hAnsiTheme="minorHAnsi" w:cstheme="minorHAnsi"/>
                <w:color w:val="000000"/>
                <w:sz w:val="22"/>
                <w:szCs w:val="24"/>
                <w:lang w:val="en-CA"/>
              </w:rPr>
            </w:pPr>
            <w:r w:rsidRPr="00536DE1">
              <w:rPr>
                <w:rFonts w:asciiTheme="minorHAnsi" w:hAnsiTheme="minorHAnsi" w:cstheme="minorHAnsi"/>
                <w:color w:val="000000"/>
                <w:sz w:val="22"/>
                <w:szCs w:val="24"/>
                <w:lang w:val="en-CA"/>
              </w:rPr>
              <w:t>2017 to 2018</w:t>
            </w:r>
          </w:p>
        </w:tc>
        <w:tc>
          <w:tcPr>
            <w:tcW w:w="962" w:type="pct"/>
          </w:tcPr>
          <w:p w14:paraId="4A2C21ED" w14:textId="77777777" w:rsidR="00536DE1" w:rsidRPr="00536DE1" w:rsidRDefault="00536DE1" w:rsidP="0069270B">
            <w:pPr>
              <w:autoSpaceDE w:val="0"/>
              <w:autoSpaceDN w:val="0"/>
              <w:adjustRightInd w:val="0"/>
              <w:jc w:val="center"/>
              <w:rPr>
                <w:rFonts w:asciiTheme="minorHAnsi" w:hAnsiTheme="minorHAnsi" w:cstheme="minorHAnsi"/>
                <w:color w:val="000000"/>
                <w:sz w:val="22"/>
                <w:szCs w:val="24"/>
                <w:lang w:val="en-CA"/>
              </w:rPr>
            </w:pPr>
            <w:r w:rsidRPr="00536DE1">
              <w:rPr>
                <w:rFonts w:asciiTheme="minorHAnsi" w:hAnsiTheme="minorHAnsi" w:cstheme="minorHAnsi"/>
                <w:color w:val="000000"/>
                <w:sz w:val="22"/>
                <w:szCs w:val="24"/>
                <w:lang w:val="en-CA"/>
              </w:rPr>
              <w:t>3</w:t>
            </w:r>
          </w:p>
        </w:tc>
        <w:tc>
          <w:tcPr>
            <w:tcW w:w="770" w:type="pct"/>
          </w:tcPr>
          <w:p w14:paraId="1A1E6E46" w14:textId="77777777" w:rsidR="00536DE1" w:rsidRPr="00536DE1" w:rsidRDefault="00536DE1" w:rsidP="0069270B">
            <w:pPr>
              <w:autoSpaceDE w:val="0"/>
              <w:autoSpaceDN w:val="0"/>
              <w:adjustRightInd w:val="0"/>
              <w:jc w:val="center"/>
              <w:rPr>
                <w:rFonts w:asciiTheme="minorHAnsi" w:hAnsiTheme="minorHAnsi" w:cstheme="minorHAnsi"/>
                <w:color w:val="000000"/>
                <w:sz w:val="22"/>
                <w:szCs w:val="24"/>
                <w:lang w:val="en-CA"/>
              </w:rPr>
            </w:pPr>
            <w:r w:rsidRPr="00536DE1">
              <w:rPr>
                <w:rFonts w:asciiTheme="minorHAnsi" w:hAnsiTheme="minorHAnsi" w:cstheme="minorHAnsi"/>
                <w:color w:val="000000"/>
                <w:sz w:val="22"/>
                <w:szCs w:val="24"/>
                <w:lang w:val="en-CA"/>
              </w:rPr>
              <w:t>2</w:t>
            </w:r>
          </w:p>
        </w:tc>
        <w:tc>
          <w:tcPr>
            <w:tcW w:w="833" w:type="pct"/>
          </w:tcPr>
          <w:p w14:paraId="1C7924F6" w14:textId="77777777" w:rsidR="00536DE1" w:rsidRPr="00536DE1" w:rsidRDefault="00536DE1" w:rsidP="0069270B">
            <w:pPr>
              <w:autoSpaceDE w:val="0"/>
              <w:autoSpaceDN w:val="0"/>
              <w:adjustRightInd w:val="0"/>
              <w:jc w:val="center"/>
              <w:rPr>
                <w:rFonts w:asciiTheme="minorHAnsi" w:hAnsiTheme="minorHAnsi" w:cstheme="minorHAnsi"/>
                <w:color w:val="000000"/>
                <w:sz w:val="22"/>
                <w:szCs w:val="24"/>
                <w:lang w:val="en-CA"/>
              </w:rPr>
            </w:pPr>
            <w:r w:rsidRPr="00536DE1">
              <w:rPr>
                <w:rFonts w:asciiTheme="minorHAnsi" w:hAnsiTheme="minorHAnsi" w:cstheme="minorHAnsi"/>
                <w:color w:val="000000"/>
                <w:sz w:val="22"/>
                <w:szCs w:val="24"/>
                <w:lang w:val="en-CA"/>
              </w:rPr>
              <w:t>2</w:t>
            </w:r>
          </w:p>
        </w:tc>
        <w:tc>
          <w:tcPr>
            <w:tcW w:w="898" w:type="pct"/>
          </w:tcPr>
          <w:p w14:paraId="6E8BA750" w14:textId="77777777" w:rsidR="00536DE1" w:rsidRPr="00536DE1" w:rsidRDefault="00536DE1" w:rsidP="0069270B">
            <w:pPr>
              <w:autoSpaceDE w:val="0"/>
              <w:autoSpaceDN w:val="0"/>
              <w:adjustRightInd w:val="0"/>
              <w:jc w:val="center"/>
              <w:rPr>
                <w:rFonts w:asciiTheme="minorHAnsi" w:hAnsiTheme="minorHAnsi" w:cstheme="minorHAnsi"/>
                <w:color w:val="000000"/>
                <w:sz w:val="22"/>
                <w:szCs w:val="24"/>
                <w:lang w:val="en-CA"/>
              </w:rPr>
            </w:pPr>
            <w:r w:rsidRPr="00536DE1">
              <w:rPr>
                <w:rFonts w:asciiTheme="minorHAnsi" w:hAnsiTheme="minorHAnsi" w:cstheme="minorHAnsi"/>
                <w:color w:val="000000"/>
                <w:sz w:val="22"/>
                <w:szCs w:val="24"/>
                <w:lang w:val="en-CA"/>
              </w:rPr>
              <w:t>10</w:t>
            </w:r>
          </w:p>
        </w:tc>
        <w:tc>
          <w:tcPr>
            <w:tcW w:w="770" w:type="pct"/>
          </w:tcPr>
          <w:p w14:paraId="7E9E9FDF" w14:textId="77777777" w:rsidR="00536DE1" w:rsidRPr="00536DE1" w:rsidRDefault="00536DE1" w:rsidP="0069270B">
            <w:pPr>
              <w:autoSpaceDE w:val="0"/>
              <w:autoSpaceDN w:val="0"/>
              <w:adjustRightInd w:val="0"/>
              <w:jc w:val="center"/>
              <w:rPr>
                <w:rFonts w:asciiTheme="minorHAnsi" w:hAnsiTheme="minorHAnsi" w:cstheme="minorHAnsi"/>
                <w:color w:val="000000"/>
                <w:sz w:val="22"/>
                <w:szCs w:val="24"/>
                <w:lang w:val="en-CA"/>
              </w:rPr>
            </w:pPr>
            <w:r w:rsidRPr="00536DE1">
              <w:rPr>
                <w:rFonts w:asciiTheme="minorHAnsi" w:hAnsiTheme="minorHAnsi" w:cstheme="minorHAnsi"/>
                <w:color w:val="000000"/>
                <w:sz w:val="22"/>
                <w:szCs w:val="24"/>
                <w:lang w:val="en-CA"/>
              </w:rPr>
              <w:t>17</w:t>
            </w:r>
          </w:p>
        </w:tc>
      </w:tr>
      <w:tr w:rsidR="00536DE1" w:rsidRPr="00536DE1" w14:paraId="29BA730D" w14:textId="77777777" w:rsidTr="003222DC">
        <w:trPr>
          <w:cantSplit/>
          <w:tblHeader/>
          <w:jc w:val="center"/>
        </w:trPr>
        <w:tc>
          <w:tcPr>
            <w:tcW w:w="767" w:type="pct"/>
          </w:tcPr>
          <w:p w14:paraId="02916A76" w14:textId="77777777" w:rsidR="00536DE1" w:rsidRPr="00536DE1" w:rsidRDefault="00536DE1" w:rsidP="0069270B">
            <w:pPr>
              <w:autoSpaceDE w:val="0"/>
              <w:autoSpaceDN w:val="0"/>
              <w:adjustRightInd w:val="0"/>
              <w:rPr>
                <w:rFonts w:asciiTheme="minorHAnsi" w:hAnsiTheme="minorHAnsi" w:cstheme="minorHAnsi"/>
                <w:color w:val="000000"/>
                <w:sz w:val="22"/>
                <w:szCs w:val="24"/>
                <w:lang w:val="en-CA"/>
              </w:rPr>
            </w:pPr>
            <w:r w:rsidRPr="00536DE1">
              <w:rPr>
                <w:rFonts w:asciiTheme="minorHAnsi" w:hAnsiTheme="minorHAnsi" w:cstheme="minorHAnsi"/>
                <w:color w:val="000000"/>
                <w:sz w:val="22"/>
                <w:szCs w:val="24"/>
                <w:lang w:val="en-CA"/>
              </w:rPr>
              <w:t>2018 to 2019</w:t>
            </w:r>
          </w:p>
        </w:tc>
        <w:tc>
          <w:tcPr>
            <w:tcW w:w="962" w:type="pct"/>
          </w:tcPr>
          <w:p w14:paraId="1FADD7FB" w14:textId="77777777" w:rsidR="00536DE1" w:rsidRPr="00536DE1" w:rsidRDefault="00536DE1" w:rsidP="0069270B">
            <w:pPr>
              <w:autoSpaceDE w:val="0"/>
              <w:autoSpaceDN w:val="0"/>
              <w:adjustRightInd w:val="0"/>
              <w:jc w:val="center"/>
              <w:rPr>
                <w:rFonts w:asciiTheme="minorHAnsi" w:hAnsiTheme="minorHAnsi" w:cstheme="minorHAnsi"/>
                <w:color w:val="000000"/>
                <w:sz w:val="22"/>
                <w:szCs w:val="24"/>
                <w:lang w:val="en-CA"/>
              </w:rPr>
            </w:pPr>
            <w:r w:rsidRPr="00536DE1">
              <w:rPr>
                <w:rFonts w:asciiTheme="minorHAnsi" w:hAnsiTheme="minorHAnsi" w:cstheme="minorHAnsi"/>
                <w:color w:val="000000"/>
                <w:sz w:val="22"/>
                <w:szCs w:val="24"/>
                <w:lang w:val="en-CA"/>
              </w:rPr>
              <w:t>7</w:t>
            </w:r>
          </w:p>
        </w:tc>
        <w:tc>
          <w:tcPr>
            <w:tcW w:w="770" w:type="pct"/>
          </w:tcPr>
          <w:p w14:paraId="6B438AFB" w14:textId="77777777" w:rsidR="00536DE1" w:rsidRPr="00536DE1" w:rsidRDefault="00536DE1" w:rsidP="0069270B">
            <w:pPr>
              <w:autoSpaceDE w:val="0"/>
              <w:autoSpaceDN w:val="0"/>
              <w:adjustRightInd w:val="0"/>
              <w:jc w:val="center"/>
              <w:rPr>
                <w:rFonts w:asciiTheme="minorHAnsi" w:hAnsiTheme="minorHAnsi" w:cstheme="minorHAnsi"/>
                <w:color w:val="000000"/>
                <w:sz w:val="22"/>
                <w:szCs w:val="24"/>
                <w:lang w:val="en-CA"/>
              </w:rPr>
            </w:pPr>
            <w:r w:rsidRPr="00536DE1">
              <w:rPr>
                <w:rFonts w:asciiTheme="minorHAnsi" w:hAnsiTheme="minorHAnsi" w:cstheme="minorHAnsi"/>
                <w:color w:val="000000"/>
                <w:sz w:val="22"/>
                <w:szCs w:val="24"/>
                <w:lang w:val="en-CA"/>
              </w:rPr>
              <w:t>2</w:t>
            </w:r>
          </w:p>
        </w:tc>
        <w:tc>
          <w:tcPr>
            <w:tcW w:w="833" w:type="pct"/>
          </w:tcPr>
          <w:p w14:paraId="1937A504" w14:textId="77777777" w:rsidR="00536DE1" w:rsidRPr="00536DE1" w:rsidRDefault="00536DE1" w:rsidP="0069270B">
            <w:pPr>
              <w:autoSpaceDE w:val="0"/>
              <w:autoSpaceDN w:val="0"/>
              <w:adjustRightInd w:val="0"/>
              <w:jc w:val="center"/>
              <w:rPr>
                <w:rFonts w:asciiTheme="minorHAnsi" w:hAnsiTheme="minorHAnsi" w:cstheme="minorHAnsi"/>
                <w:color w:val="000000"/>
                <w:sz w:val="22"/>
                <w:szCs w:val="24"/>
                <w:lang w:val="en-CA"/>
              </w:rPr>
            </w:pPr>
            <w:r w:rsidRPr="00536DE1">
              <w:rPr>
                <w:rFonts w:asciiTheme="minorHAnsi" w:hAnsiTheme="minorHAnsi" w:cstheme="minorHAnsi"/>
                <w:color w:val="000000"/>
                <w:sz w:val="22"/>
                <w:szCs w:val="24"/>
                <w:lang w:val="en-CA"/>
              </w:rPr>
              <w:t>1</w:t>
            </w:r>
          </w:p>
        </w:tc>
        <w:tc>
          <w:tcPr>
            <w:tcW w:w="898" w:type="pct"/>
          </w:tcPr>
          <w:p w14:paraId="06C2383D" w14:textId="77777777" w:rsidR="00536DE1" w:rsidRPr="00536DE1" w:rsidRDefault="00536DE1" w:rsidP="0069270B">
            <w:pPr>
              <w:autoSpaceDE w:val="0"/>
              <w:autoSpaceDN w:val="0"/>
              <w:adjustRightInd w:val="0"/>
              <w:jc w:val="center"/>
              <w:rPr>
                <w:rFonts w:asciiTheme="minorHAnsi" w:hAnsiTheme="minorHAnsi" w:cstheme="minorHAnsi"/>
                <w:color w:val="000000"/>
                <w:sz w:val="22"/>
                <w:szCs w:val="24"/>
                <w:lang w:val="en-CA"/>
              </w:rPr>
            </w:pPr>
            <w:r w:rsidRPr="00536DE1">
              <w:rPr>
                <w:rFonts w:asciiTheme="minorHAnsi" w:hAnsiTheme="minorHAnsi" w:cstheme="minorHAnsi"/>
                <w:color w:val="000000"/>
                <w:sz w:val="22"/>
                <w:szCs w:val="24"/>
                <w:lang w:val="en-CA"/>
              </w:rPr>
              <w:t>7</w:t>
            </w:r>
          </w:p>
        </w:tc>
        <w:tc>
          <w:tcPr>
            <w:tcW w:w="770" w:type="pct"/>
          </w:tcPr>
          <w:p w14:paraId="63F42EF6" w14:textId="77777777" w:rsidR="00536DE1" w:rsidRPr="00536DE1" w:rsidRDefault="00536DE1" w:rsidP="0069270B">
            <w:pPr>
              <w:autoSpaceDE w:val="0"/>
              <w:autoSpaceDN w:val="0"/>
              <w:adjustRightInd w:val="0"/>
              <w:jc w:val="center"/>
              <w:rPr>
                <w:rFonts w:asciiTheme="minorHAnsi" w:hAnsiTheme="minorHAnsi" w:cstheme="minorHAnsi"/>
                <w:color w:val="000000"/>
                <w:sz w:val="22"/>
                <w:szCs w:val="24"/>
                <w:lang w:val="en-CA"/>
              </w:rPr>
            </w:pPr>
            <w:r w:rsidRPr="00536DE1">
              <w:rPr>
                <w:rFonts w:asciiTheme="minorHAnsi" w:hAnsiTheme="minorHAnsi" w:cstheme="minorHAnsi"/>
                <w:color w:val="000000"/>
                <w:sz w:val="22"/>
                <w:szCs w:val="24"/>
                <w:lang w:val="en-CA"/>
              </w:rPr>
              <w:t>17</w:t>
            </w:r>
          </w:p>
        </w:tc>
      </w:tr>
    </w:tbl>
    <w:p w14:paraId="70DC91D6" w14:textId="77777777" w:rsidR="00536DE1" w:rsidRPr="00536DE1" w:rsidRDefault="00536DE1" w:rsidP="00536DE1">
      <w:pPr>
        <w:spacing w:before="240"/>
        <w:rPr>
          <w:rStyle w:val="lev"/>
          <w:rFonts w:asciiTheme="minorHAnsi" w:hAnsiTheme="minorHAnsi" w:cstheme="minorHAnsi"/>
          <w:sz w:val="22"/>
          <w:lang w:val="en-CA"/>
        </w:rPr>
      </w:pPr>
      <w:r w:rsidRPr="00536DE1">
        <w:rPr>
          <w:rStyle w:val="lev"/>
          <w:rFonts w:asciiTheme="minorHAnsi" w:hAnsiTheme="minorHAnsi" w:cstheme="minorHAnsi"/>
          <w:sz w:val="22"/>
          <w:lang w:val="en-CA"/>
        </w:rPr>
        <w:t>Key findings - Staffing and non-partisanship survey (2018)</w:t>
      </w:r>
    </w:p>
    <w:p w14:paraId="58D3AFF5" w14:textId="77777777" w:rsidR="00536DE1" w:rsidRPr="00536DE1" w:rsidRDefault="00536DE1" w:rsidP="00536DE1">
      <w:pPr>
        <w:pStyle w:val="Paragraphedeliste"/>
        <w:numPr>
          <w:ilvl w:val="0"/>
          <w:numId w:val="12"/>
        </w:numPr>
        <w:spacing w:after="100" w:afterAutospacing="1"/>
        <w:contextualSpacing w:val="0"/>
        <w:rPr>
          <w:rFonts w:asciiTheme="minorHAnsi" w:hAnsiTheme="minorHAnsi" w:cstheme="minorHAnsi"/>
          <w:sz w:val="22"/>
          <w:szCs w:val="24"/>
          <w:lang w:val="en-CA"/>
        </w:rPr>
      </w:pPr>
      <w:r w:rsidRPr="00536DE1">
        <w:rPr>
          <w:rFonts w:asciiTheme="minorHAnsi" w:hAnsiTheme="minorHAnsi" w:cstheme="minorHAnsi"/>
          <w:sz w:val="22"/>
          <w:szCs w:val="24"/>
          <w:lang w:val="en-CA"/>
        </w:rPr>
        <w:t xml:space="preserve">93.4% of </w:t>
      </w:r>
      <w:r w:rsidRPr="00536DE1">
        <w:rPr>
          <w:rStyle w:val="lev"/>
          <w:rFonts w:asciiTheme="minorHAnsi" w:hAnsiTheme="minorHAnsi" w:cstheme="minorHAnsi"/>
          <w:sz w:val="22"/>
          <w:lang w:val="en-CA"/>
        </w:rPr>
        <w:t>employees</w:t>
      </w:r>
      <w:r w:rsidRPr="00536DE1">
        <w:rPr>
          <w:rFonts w:asciiTheme="minorHAnsi" w:hAnsiTheme="minorHAnsi" w:cstheme="minorHAnsi"/>
          <w:sz w:val="22"/>
          <w:szCs w:val="24"/>
          <w:lang w:val="en-CA"/>
        </w:rPr>
        <w:t xml:space="preserve"> agreed that people hired can do the job, compared to 69.8% in organizations of similar size, and 53.8% in the federal public service</w:t>
      </w:r>
    </w:p>
    <w:p w14:paraId="1128D26C" w14:textId="4C123587" w:rsidR="00536DE1" w:rsidRPr="00536DE1" w:rsidRDefault="00536DE1" w:rsidP="00536DE1">
      <w:pPr>
        <w:rPr>
          <w:sz w:val="22"/>
          <w:lang w:val="en-CA"/>
        </w:rPr>
      </w:pPr>
      <w:r w:rsidRPr="00536DE1">
        <w:rPr>
          <w:rFonts w:asciiTheme="minorHAnsi" w:hAnsiTheme="minorHAnsi" w:cstheme="minorHAnsi"/>
          <w:sz w:val="22"/>
          <w:szCs w:val="24"/>
          <w:lang w:val="en-CA"/>
        </w:rPr>
        <w:t>For additional questions, there is no sufficient survey data available for the International Joint Commission</w:t>
      </w:r>
    </w:p>
    <w:p w14:paraId="1336E129" w14:textId="39E324E5" w:rsidR="003222DC" w:rsidRPr="003222DC" w:rsidRDefault="003222DC" w:rsidP="003222DC">
      <w:pPr>
        <w:pStyle w:val="Titre1"/>
        <w:spacing w:before="120" w:after="120"/>
        <w:rPr>
          <w:sz w:val="40"/>
        </w:rPr>
      </w:pPr>
      <w:r w:rsidRPr="003222DC">
        <w:rPr>
          <w:sz w:val="40"/>
        </w:rPr>
        <w:lastRenderedPageBreak/>
        <w:t>Student program hires</w:t>
      </w:r>
    </w:p>
    <w:p w14:paraId="72E87179" w14:textId="77777777" w:rsidR="0069270B" w:rsidRDefault="00252389" w:rsidP="0069270B">
      <w:pPr>
        <w:keepNext/>
        <w:jc w:val="center"/>
      </w:pPr>
      <w:r w:rsidRPr="00E628AA">
        <w:rPr>
          <w:rStyle w:val="lev"/>
          <w:noProof/>
          <w:lang w:val="en-CA" w:eastAsia="en-CA"/>
        </w:rPr>
        <w:drawing>
          <wp:inline distT="0" distB="0" distL="0" distR="0" wp14:anchorId="2F63CE8C" wp14:editId="14A71B0A">
            <wp:extent cx="5648400" cy="3049200"/>
            <wp:effectExtent l="0" t="0" r="9525" b="18415"/>
            <wp:docPr id="17" name="Chart 17" descr="Student program hires"/>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12A5C6DC" w14:textId="5A40B84A" w:rsidR="008854A8" w:rsidRDefault="0069270B" w:rsidP="0069270B">
      <w:pPr>
        <w:pStyle w:val="Lgende"/>
        <w:spacing w:after="240"/>
        <w:jc w:val="center"/>
        <w:rPr>
          <w:lang w:val="en-CA"/>
        </w:rPr>
      </w:pPr>
      <w:r>
        <w:t xml:space="preserve">Figure </w:t>
      </w:r>
      <w:r>
        <w:fldChar w:fldCharType="begin"/>
      </w:r>
      <w:r>
        <w:instrText xml:space="preserve"> SEQ Figure \* ARABIC </w:instrText>
      </w:r>
      <w:r>
        <w:fldChar w:fldCharType="separate"/>
      </w:r>
      <w:r w:rsidR="0016520F">
        <w:rPr>
          <w:noProof/>
        </w:rPr>
        <w:t>10</w:t>
      </w:r>
      <w:r>
        <w:fldChar w:fldCharType="end"/>
      </w:r>
      <w:r>
        <w:t xml:space="preserve"> - Student program hires</w:t>
      </w:r>
    </w:p>
    <w:p w14:paraId="69A7EA63" w14:textId="40FB359B" w:rsidR="0069270B" w:rsidRDefault="0069270B" w:rsidP="00137FAC">
      <w:pPr>
        <w:pStyle w:val="Lgende"/>
        <w:keepNext/>
        <w:jc w:val="center"/>
      </w:pPr>
      <w:r>
        <w:t xml:space="preserve">Table </w:t>
      </w:r>
      <w:r>
        <w:fldChar w:fldCharType="begin"/>
      </w:r>
      <w:r>
        <w:instrText xml:space="preserve"> SEQ Table \* ARABIC </w:instrText>
      </w:r>
      <w:r>
        <w:fldChar w:fldCharType="separate"/>
      </w:r>
      <w:r w:rsidR="0016520F">
        <w:rPr>
          <w:noProof/>
        </w:rPr>
        <w:t>10</w:t>
      </w:r>
      <w:r>
        <w:fldChar w:fldCharType="end"/>
      </w:r>
      <w:r>
        <w:t xml:space="preserve"> - </w:t>
      </w:r>
      <w:r w:rsidRPr="00196A83">
        <w:t>Student staffing activities by recruitment program and fiscal year</w:t>
      </w:r>
    </w:p>
    <w:tbl>
      <w:tblPr>
        <w:tblStyle w:val="Grilledutableau"/>
        <w:tblW w:w="5000" w:type="pct"/>
        <w:jc w:val="center"/>
        <w:tblLook w:val="00A0" w:firstRow="1" w:lastRow="0" w:firstColumn="1" w:lastColumn="0" w:noHBand="0" w:noVBand="0"/>
        <w:tblDescription w:val="Student program hires"/>
      </w:tblPr>
      <w:tblGrid>
        <w:gridCol w:w="2075"/>
        <w:gridCol w:w="3592"/>
        <w:gridCol w:w="4855"/>
        <w:gridCol w:w="2780"/>
        <w:gridCol w:w="1088"/>
      </w:tblGrid>
      <w:tr w:rsidR="0069270B" w:rsidRPr="00C16A08" w14:paraId="5D687292" w14:textId="77777777" w:rsidTr="003222DC">
        <w:trPr>
          <w:cantSplit/>
          <w:tblHeader/>
          <w:jc w:val="center"/>
        </w:trPr>
        <w:tc>
          <w:tcPr>
            <w:tcW w:w="721" w:type="pct"/>
          </w:tcPr>
          <w:p w14:paraId="12E2E309" w14:textId="77777777" w:rsidR="0069270B" w:rsidRPr="00C16A08" w:rsidRDefault="0069270B" w:rsidP="0069270B">
            <w:pPr>
              <w:pStyle w:val="TableTitle"/>
              <w:rPr>
                <w:color w:val="auto"/>
                <w:sz w:val="22"/>
                <w:szCs w:val="24"/>
                <w:lang w:val="en-CA"/>
              </w:rPr>
            </w:pPr>
            <w:r w:rsidRPr="00C16A08">
              <w:rPr>
                <w:color w:val="auto"/>
                <w:sz w:val="22"/>
                <w:szCs w:val="24"/>
                <w:lang w:val="en-CA"/>
              </w:rPr>
              <w:t>Fiscal year</w:t>
            </w:r>
          </w:p>
        </w:tc>
        <w:tc>
          <w:tcPr>
            <w:tcW w:w="1248" w:type="pct"/>
          </w:tcPr>
          <w:p w14:paraId="252C973B" w14:textId="77777777" w:rsidR="0069270B" w:rsidRPr="00C16A08" w:rsidRDefault="0069270B" w:rsidP="0069270B">
            <w:pPr>
              <w:pStyle w:val="TableTitle"/>
              <w:rPr>
                <w:color w:val="auto"/>
                <w:sz w:val="22"/>
                <w:szCs w:val="24"/>
                <w:lang w:val="en-CA"/>
              </w:rPr>
            </w:pPr>
            <w:r w:rsidRPr="00C16A08">
              <w:rPr>
                <w:color w:val="auto"/>
                <w:sz w:val="22"/>
                <w:szCs w:val="24"/>
                <w:lang w:val="en-CA"/>
              </w:rPr>
              <w:t>Federal Student Work Experience Program</w:t>
            </w:r>
          </w:p>
        </w:tc>
        <w:tc>
          <w:tcPr>
            <w:tcW w:w="1687" w:type="pct"/>
          </w:tcPr>
          <w:p w14:paraId="3AB2666F" w14:textId="77777777" w:rsidR="0069270B" w:rsidRPr="00C16A08" w:rsidRDefault="0069270B" w:rsidP="0069270B">
            <w:pPr>
              <w:pStyle w:val="TableTitle"/>
              <w:rPr>
                <w:color w:val="auto"/>
                <w:sz w:val="22"/>
                <w:szCs w:val="24"/>
                <w:lang w:val="en-CA"/>
              </w:rPr>
            </w:pPr>
            <w:r w:rsidRPr="00C16A08">
              <w:rPr>
                <w:color w:val="auto"/>
                <w:sz w:val="22"/>
                <w:szCs w:val="24"/>
                <w:lang w:val="en-CA"/>
              </w:rPr>
              <w:t>Post-Secondary Co-op/Internship Program</w:t>
            </w:r>
          </w:p>
        </w:tc>
        <w:tc>
          <w:tcPr>
            <w:tcW w:w="966" w:type="pct"/>
          </w:tcPr>
          <w:p w14:paraId="69108C69" w14:textId="77777777" w:rsidR="0069270B" w:rsidRPr="00C16A08" w:rsidRDefault="0069270B" w:rsidP="0069270B">
            <w:pPr>
              <w:pStyle w:val="TableTitle"/>
              <w:rPr>
                <w:color w:val="auto"/>
                <w:sz w:val="22"/>
                <w:szCs w:val="24"/>
                <w:lang w:val="en-CA"/>
              </w:rPr>
            </w:pPr>
            <w:r w:rsidRPr="00C16A08">
              <w:rPr>
                <w:color w:val="auto"/>
                <w:sz w:val="22"/>
                <w:szCs w:val="24"/>
                <w:lang w:val="en-CA"/>
              </w:rPr>
              <w:t>Research Affiliate Program</w:t>
            </w:r>
          </w:p>
        </w:tc>
        <w:tc>
          <w:tcPr>
            <w:tcW w:w="378" w:type="pct"/>
          </w:tcPr>
          <w:p w14:paraId="3AE77B0D" w14:textId="77777777" w:rsidR="0069270B" w:rsidRPr="00C16A08" w:rsidRDefault="0069270B" w:rsidP="0069270B">
            <w:pPr>
              <w:pStyle w:val="TableTitle"/>
              <w:rPr>
                <w:color w:val="auto"/>
                <w:sz w:val="22"/>
                <w:szCs w:val="24"/>
                <w:lang w:val="en-CA"/>
              </w:rPr>
            </w:pPr>
            <w:r w:rsidRPr="00C16A08">
              <w:rPr>
                <w:color w:val="auto"/>
                <w:sz w:val="22"/>
                <w:szCs w:val="24"/>
                <w:lang w:val="en-CA"/>
              </w:rPr>
              <w:t>Total</w:t>
            </w:r>
          </w:p>
        </w:tc>
      </w:tr>
      <w:tr w:rsidR="0069270B" w:rsidRPr="00C16A08" w14:paraId="6F8206C5" w14:textId="77777777" w:rsidTr="003222DC">
        <w:trPr>
          <w:cantSplit/>
          <w:tblHeader/>
          <w:jc w:val="center"/>
        </w:trPr>
        <w:tc>
          <w:tcPr>
            <w:tcW w:w="721" w:type="pct"/>
          </w:tcPr>
          <w:p w14:paraId="0B002482" w14:textId="77777777" w:rsidR="0069270B" w:rsidRPr="00C16A08" w:rsidRDefault="0069270B" w:rsidP="0069270B">
            <w:pPr>
              <w:autoSpaceDE w:val="0"/>
              <w:autoSpaceDN w:val="0"/>
              <w:adjustRightInd w:val="0"/>
              <w:rPr>
                <w:rFonts w:asciiTheme="minorHAnsi" w:hAnsiTheme="minorHAnsi" w:cstheme="minorHAnsi"/>
                <w:color w:val="000000"/>
                <w:sz w:val="22"/>
                <w:szCs w:val="24"/>
                <w:lang w:val="en-CA"/>
              </w:rPr>
            </w:pPr>
            <w:r w:rsidRPr="00C16A08">
              <w:rPr>
                <w:rFonts w:asciiTheme="minorHAnsi" w:hAnsiTheme="minorHAnsi" w:cstheme="minorHAnsi"/>
                <w:color w:val="000000"/>
                <w:sz w:val="22"/>
                <w:szCs w:val="24"/>
                <w:lang w:val="en-CA"/>
              </w:rPr>
              <w:t>2014 to 2015</w:t>
            </w:r>
          </w:p>
        </w:tc>
        <w:tc>
          <w:tcPr>
            <w:tcW w:w="1248" w:type="pct"/>
          </w:tcPr>
          <w:p w14:paraId="1F853E0F" w14:textId="77777777" w:rsidR="0069270B" w:rsidRPr="00C16A08" w:rsidRDefault="0069270B" w:rsidP="0069270B">
            <w:pPr>
              <w:autoSpaceDE w:val="0"/>
              <w:autoSpaceDN w:val="0"/>
              <w:adjustRightInd w:val="0"/>
              <w:jc w:val="center"/>
              <w:rPr>
                <w:rFonts w:asciiTheme="minorHAnsi" w:hAnsiTheme="minorHAnsi" w:cstheme="minorHAnsi"/>
                <w:color w:val="000000"/>
                <w:sz w:val="22"/>
                <w:szCs w:val="24"/>
                <w:lang w:val="en-CA"/>
              </w:rPr>
            </w:pPr>
            <w:r w:rsidRPr="00C16A08">
              <w:rPr>
                <w:rFonts w:asciiTheme="minorHAnsi" w:hAnsiTheme="minorHAnsi" w:cstheme="minorHAnsi"/>
                <w:color w:val="000000"/>
                <w:sz w:val="22"/>
                <w:szCs w:val="24"/>
                <w:lang w:val="en-CA"/>
              </w:rPr>
              <w:t>0</w:t>
            </w:r>
          </w:p>
        </w:tc>
        <w:tc>
          <w:tcPr>
            <w:tcW w:w="1687" w:type="pct"/>
          </w:tcPr>
          <w:p w14:paraId="55AA8D14" w14:textId="77777777" w:rsidR="0069270B" w:rsidRPr="00C16A08" w:rsidRDefault="0069270B" w:rsidP="0069270B">
            <w:pPr>
              <w:autoSpaceDE w:val="0"/>
              <w:autoSpaceDN w:val="0"/>
              <w:adjustRightInd w:val="0"/>
              <w:jc w:val="center"/>
              <w:rPr>
                <w:rFonts w:asciiTheme="minorHAnsi" w:hAnsiTheme="minorHAnsi" w:cstheme="minorHAnsi"/>
                <w:color w:val="000000"/>
                <w:sz w:val="22"/>
                <w:szCs w:val="24"/>
                <w:lang w:val="en-CA"/>
              </w:rPr>
            </w:pPr>
            <w:r w:rsidRPr="00C16A08">
              <w:rPr>
                <w:rFonts w:asciiTheme="minorHAnsi" w:hAnsiTheme="minorHAnsi" w:cstheme="minorHAnsi"/>
                <w:color w:val="000000"/>
                <w:sz w:val="22"/>
                <w:szCs w:val="24"/>
                <w:lang w:val="en-CA"/>
              </w:rPr>
              <w:t>6</w:t>
            </w:r>
          </w:p>
        </w:tc>
        <w:tc>
          <w:tcPr>
            <w:tcW w:w="966" w:type="pct"/>
          </w:tcPr>
          <w:p w14:paraId="0AF32AFC" w14:textId="77777777" w:rsidR="0069270B" w:rsidRPr="00C16A08" w:rsidRDefault="0069270B" w:rsidP="0069270B">
            <w:pPr>
              <w:autoSpaceDE w:val="0"/>
              <w:autoSpaceDN w:val="0"/>
              <w:adjustRightInd w:val="0"/>
              <w:jc w:val="center"/>
              <w:rPr>
                <w:rFonts w:asciiTheme="minorHAnsi" w:hAnsiTheme="minorHAnsi" w:cstheme="minorHAnsi"/>
                <w:color w:val="000000"/>
                <w:sz w:val="22"/>
                <w:szCs w:val="24"/>
                <w:lang w:val="en-CA"/>
              </w:rPr>
            </w:pPr>
            <w:r w:rsidRPr="00C16A08">
              <w:rPr>
                <w:rFonts w:asciiTheme="minorHAnsi" w:hAnsiTheme="minorHAnsi" w:cstheme="minorHAnsi"/>
                <w:color w:val="000000"/>
                <w:sz w:val="22"/>
                <w:szCs w:val="24"/>
                <w:lang w:val="en-CA"/>
              </w:rPr>
              <w:t>0</w:t>
            </w:r>
          </w:p>
        </w:tc>
        <w:tc>
          <w:tcPr>
            <w:tcW w:w="378" w:type="pct"/>
          </w:tcPr>
          <w:p w14:paraId="2DC4BC8C" w14:textId="77777777" w:rsidR="0069270B" w:rsidRPr="00C16A08" w:rsidRDefault="0069270B" w:rsidP="0069270B">
            <w:pPr>
              <w:autoSpaceDE w:val="0"/>
              <w:autoSpaceDN w:val="0"/>
              <w:adjustRightInd w:val="0"/>
              <w:jc w:val="center"/>
              <w:rPr>
                <w:rFonts w:asciiTheme="minorHAnsi" w:hAnsiTheme="minorHAnsi" w:cstheme="minorHAnsi"/>
                <w:color w:val="000000"/>
                <w:sz w:val="22"/>
                <w:szCs w:val="24"/>
                <w:lang w:val="en-CA"/>
              </w:rPr>
            </w:pPr>
            <w:r w:rsidRPr="00C16A08">
              <w:rPr>
                <w:rFonts w:asciiTheme="minorHAnsi" w:hAnsiTheme="minorHAnsi" w:cstheme="minorHAnsi"/>
                <w:color w:val="000000"/>
                <w:sz w:val="22"/>
                <w:szCs w:val="24"/>
                <w:lang w:val="en-CA"/>
              </w:rPr>
              <w:t>6</w:t>
            </w:r>
          </w:p>
        </w:tc>
      </w:tr>
      <w:tr w:rsidR="0069270B" w:rsidRPr="00C16A08" w14:paraId="110CF449" w14:textId="77777777" w:rsidTr="003222DC">
        <w:trPr>
          <w:cantSplit/>
          <w:tblHeader/>
          <w:jc w:val="center"/>
        </w:trPr>
        <w:tc>
          <w:tcPr>
            <w:tcW w:w="721" w:type="pct"/>
          </w:tcPr>
          <w:p w14:paraId="6A4AB172" w14:textId="77777777" w:rsidR="0069270B" w:rsidRPr="00C16A08" w:rsidRDefault="0069270B" w:rsidP="0069270B">
            <w:pPr>
              <w:autoSpaceDE w:val="0"/>
              <w:autoSpaceDN w:val="0"/>
              <w:adjustRightInd w:val="0"/>
              <w:rPr>
                <w:rFonts w:asciiTheme="minorHAnsi" w:hAnsiTheme="minorHAnsi" w:cstheme="minorHAnsi"/>
                <w:color w:val="000000"/>
                <w:sz w:val="22"/>
                <w:szCs w:val="24"/>
                <w:lang w:val="en-CA"/>
              </w:rPr>
            </w:pPr>
            <w:r w:rsidRPr="00C16A08">
              <w:rPr>
                <w:rFonts w:asciiTheme="minorHAnsi" w:hAnsiTheme="minorHAnsi" w:cstheme="minorHAnsi"/>
                <w:color w:val="000000"/>
                <w:sz w:val="22"/>
                <w:szCs w:val="24"/>
                <w:lang w:val="en-CA"/>
              </w:rPr>
              <w:t>2015 to 2016</w:t>
            </w:r>
          </w:p>
        </w:tc>
        <w:tc>
          <w:tcPr>
            <w:tcW w:w="1248" w:type="pct"/>
          </w:tcPr>
          <w:p w14:paraId="4E86423F" w14:textId="77777777" w:rsidR="0069270B" w:rsidRPr="00C16A08" w:rsidRDefault="0069270B" w:rsidP="0069270B">
            <w:pPr>
              <w:autoSpaceDE w:val="0"/>
              <w:autoSpaceDN w:val="0"/>
              <w:adjustRightInd w:val="0"/>
              <w:jc w:val="center"/>
              <w:rPr>
                <w:rFonts w:asciiTheme="minorHAnsi" w:hAnsiTheme="minorHAnsi" w:cstheme="minorHAnsi"/>
                <w:color w:val="000000"/>
                <w:sz w:val="22"/>
                <w:szCs w:val="24"/>
                <w:lang w:val="en-CA"/>
              </w:rPr>
            </w:pPr>
            <w:r w:rsidRPr="00C16A08">
              <w:rPr>
                <w:rFonts w:asciiTheme="minorHAnsi" w:hAnsiTheme="minorHAnsi" w:cstheme="minorHAnsi"/>
                <w:color w:val="000000"/>
                <w:sz w:val="22"/>
                <w:szCs w:val="24"/>
                <w:lang w:val="en-CA"/>
              </w:rPr>
              <w:t>2</w:t>
            </w:r>
          </w:p>
        </w:tc>
        <w:tc>
          <w:tcPr>
            <w:tcW w:w="1687" w:type="pct"/>
          </w:tcPr>
          <w:p w14:paraId="0FA850F1" w14:textId="77777777" w:rsidR="0069270B" w:rsidRPr="00C16A08" w:rsidRDefault="0069270B" w:rsidP="0069270B">
            <w:pPr>
              <w:autoSpaceDE w:val="0"/>
              <w:autoSpaceDN w:val="0"/>
              <w:adjustRightInd w:val="0"/>
              <w:jc w:val="center"/>
              <w:rPr>
                <w:rFonts w:asciiTheme="minorHAnsi" w:hAnsiTheme="minorHAnsi" w:cstheme="minorHAnsi"/>
                <w:color w:val="000000"/>
                <w:sz w:val="22"/>
                <w:szCs w:val="24"/>
                <w:lang w:val="en-CA"/>
              </w:rPr>
            </w:pPr>
            <w:r w:rsidRPr="00C16A08">
              <w:rPr>
                <w:rFonts w:asciiTheme="minorHAnsi" w:hAnsiTheme="minorHAnsi" w:cstheme="minorHAnsi"/>
                <w:color w:val="000000"/>
                <w:sz w:val="22"/>
                <w:szCs w:val="24"/>
                <w:lang w:val="en-CA"/>
              </w:rPr>
              <w:t>5</w:t>
            </w:r>
          </w:p>
        </w:tc>
        <w:tc>
          <w:tcPr>
            <w:tcW w:w="966" w:type="pct"/>
          </w:tcPr>
          <w:p w14:paraId="4735F029" w14:textId="77777777" w:rsidR="0069270B" w:rsidRPr="00C16A08" w:rsidRDefault="0069270B" w:rsidP="0069270B">
            <w:pPr>
              <w:autoSpaceDE w:val="0"/>
              <w:autoSpaceDN w:val="0"/>
              <w:adjustRightInd w:val="0"/>
              <w:jc w:val="center"/>
              <w:rPr>
                <w:rFonts w:asciiTheme="minorHAnsi" w:hAnsiTheme="minorHAnsi" w:cstheme="minorHAnsi"/>
                <w:color w:val="000000"/>
                <w:sz w:val="22"/>
                <w:szCs w:val="24"/>
                <w:lang w:val="en-CA"/>
              </w:rPr>
            </w:pPr>
            <w:r w:rsidRPr="00C16A08">
              <w:rPr>
                <w:rFonts w:asciiTheme="minorHAnsi" w:hAnsiTheme="minorHAnsi" w:cstheme="minorHAnsi"/>
                <w:color w:val="000000"/>
                <w:sz w:val="22"/>
                <w:szCs w:val="24"/>
                <w:lang w:val="en-CA"/>
              </w:rPr>
              <w:t>0</w:t>
            </w:r>
          </w:p>
        </w:tc>
        <w:tc>
          <w:tcPr>
            <w:tcW w:w="378" w:type="pct"/>
          </w:tcPr>
          <w:p w14:paraId="7B4B4116" w14:textId="77777777" w:rsidR="0069270B" w:rsidRPr="00C16A08" w:rsidRDefault="0069270B" w:rsidP="0069270B">
            <w:pPr>
              <w:autoSpaceDE w:val="0"/>
              <w:autoSpaceDN w:val="0"/>
              <w:adjustRightInd w:val="0"/>
              <w:jc w:val="center"/>
              <w:rPr>
                <w:rFonts w:asciiTheme="minorHAnsi" w:hAnsiTheme="minorHAnsi" w:cstheme="minorHAnsi"/>
                <w:color w:val="000000"/>
                <w:sz w:val="22"/>
                <w:szCs w:val="24"/>
                <w:lang w:val="en-CA"/>
              </w:rPr>
            </w:pPr>
            <w:r w:rsidRPr="00C16A08">
              <w:rPr>
                <w:rFonts w:asciiTheme="minorHAnsi" w:hAnsiTheme="minorHAnsi" w:cstheme="minorHAnsi"/>
                <w:color w:val="000000"/>
                <w:sz w:val="22"/>
                <w:szCs w:val="24"/>
                <w:lang w:val="en-CA"/>
              </w:rPr>
              <w:t>7</w:t>
            </w:r>
          </w:p>
        </w:tc>
      </w:tr>
      <w:tr w:rsidR="0069270B" w:rsidRPr="00C16A08" w14:paraId="313431C9" w14:textId="77777777" w:rsidTr="003222DC">
        <w:trPr>
          <w:cantSplit/>
          <w:tblHeader/>
          <w:jc w:val="center"/>
        </w:trPr>
        <w:tc>
          <w:tcPr>
            <w:tcW w:w="721" w:type="pct"/>
          </w:tcPr>
          <w:p w14:paraId="390461C5" w14:textId="77777777" w:rsidR="0069270B" w:rsidRPr="00C16A08" w:rsidRDefault="0069270B" w:rsidP="0069270B">
            <w:pPr>
              <w:autoSpaceDE w:val="0"/>
              <w:autoSpaceDN w:val="0"/>
              <w:adjustRightInd w:val="0"/>
              <w:rPr>
                <w:rFonts w:asciiTheme="minorHAnsi" w:hAnsiTheme="minorHAnsi" w:cstheme="minorHAnsi"/>
                <w:color w:val="000000"/>
                <w:sz w:val="22"/>
                <w:szCs w:val="24"/>
                <w:lang w:val="en-CA"/>
              </w:rPr>
            </w:pPr>
            <w:r w:rsidRPr="00C16A08">
              <w:rPr>
                <w:rFonts w:asciiTheme="minorHAnsi" w:hAnsiTheme="minorHAnsi" w:cstheme="minorHAnsi"/>
                <w:color w:val="000000"/>
                <w:sz w:val="22"/>
                <w:szCs w:val="24"/>
                <w:lang w:val="en-CA"/>
              </w:rPr>
              <w:t>2016 to 2017</w:t>
            </w:r>
          </w:p>
        </w:tc>
        <w:tc>
          <w:tcPr>
            <w:tcW w:w="1248" w:type="pct"/>
          </w:tcPr>
          <w:p w14:paraId="7827A6D1" w14:textId="77777777" w:rsidR="0069270B" w:rsidRPr="00C16A08" w:rsidRDefault="0069270B" w:rsidP="0069270B">
            <w:pPr>
              <w:autoSpaceDE w:val="0"/>
              <w:autoSpaceDN w:val="0"/>
              <w:adjustRightInd w:val="0"/>
              <w:jc w:val="center"/>
              <w:rPr>
                <w:rFonts w:asciiTheme="minorHAnsi" w:hAnsiTheme="minorHAnsi" w:cstheme="minorHAnsi"/>
                <w:color w:val="000000"/>
                <w:sz w:val="22"/>
                <w:szCs w:val="24"/>
                <w:lang w:val="en-CA"/>
              </w:rPr>
            </w:pPr>
            <w:r w:rsidRPr="00C16A08">
              <w:rPr>
                <w:rFonts w:asciiTheme="minorHAnsi" w:hAnsiTheme="minorHAnsi" w:cstheme="minorHAnsi"/>
                <w:color w:val="000000"/>
                <w:sz w:val="22"/>
                <w:szCs w:val="24"/>
                <w:lang w:val="en-CA"/>
              </w:rPr>
              <w:t>5</w:t>
            </w:r>
          </w:p>
        </w:tc>
        <w:tc>
          <w:tcPr>
            <w:tcW w:w="1687" w:type="pct"/>
          </w:tcPr>
          <w:p w14:paraId="2437A17B" w14:textId="77777777" w:rsidR="0069270B" w:rsidRPr="00C16A08" w:rsidRDefault="0069270B" w:rsidP="0069270B">
            <w:pPr>
              <w:autoSpaceDE w:val="0"/>
              <w:autoSpaceDN w:val="0"/>
              <w:adjustRightInd w:val="0"/>
              <w:jc w:val="center"/>
              <w:rPr>
                <w:rFonts w:asciiTheme="minorHAnsi" w:hAnsiTheme="minorHAnsi" w:cstheme="minorHAnsi"/>
                <w:color w:val="000000"/>
                <w:sz w:val="22"/>
                <w:szCs w:val="24"/>
                <w:lang w:val="en-CA"/>
              </w:rPr>
            </w:pPr>
            <w:r w:rsidRPr="00C16A08">
              <w:rPr>
                <w:rFonts w:asciiTheme="minorHAnsi" w:hAnsiTheme="minorHAnsi" w:cstheme="minorHAnsi"/>
                <w:color w:val="000000"/>
                <w:sz w:val="22"/>
                <w:szCs w:val="24"/>
                <w:lang w:val="en-CA"/>
              </w:rPr>
              <w:t>2</w:t>
            </w:r>
          </w:p>
        </w:tc>
        <w:tc>
          <w:tcPr>
            <w:tcW w:w="966" w:type="pct"/>
          </w:tcPr>
          <w:p w14:paraId="053AA169" w14:textId="77777777" w:rsidR="0069270B" w:rsidRPr="00C16A08" w:rsidRDefault="0069270B" w:rsidP="0069270B">
            <w:pPr>
              <w:autoSpaceDE w:val="0"/>
              <w:autoSpaceDN w:val="0"/>
              <w:adjustRightInd w:val="0"/>
              <w:jc w:val="center"/>
              <w:rPr>
                <w:rFonts w:asciiTheme="minorHAnsi" w:hAnsiTheme="minorHAnsi" w:cstheme="minorHAnsi"/>
                <w:color w:val="000000"/>
                <w:sz w:val="22"/>
                <w:szCs w:val="24"/>
                <w:lang w:val="en-CA"/>
              </w:rPr>
            </w:pPr>
            <w:r w:rsidRPr="00C16A08">
              <w:rPr>
                <w:rFonts w:asciiTheme="minorHAnsi" w:hAnsiTheme="minorHAnsi" w:cstheme="minorHAnsi"/>
                <w:color w:val="000000"/>
                <w:sz w:val="22"/>
                <w:szCs w:val="24"/>
                <w:lang w:val="en-CA"/>
              </w:rPr>
              <w:t>0</w:t>
            </w:r>
          </w:p>
        </w:tc>
        <w:tc>
          <w:tcPr>
            <w:tcW w:w="378" w:type="pct"/>
          </w:tcPr>
          <w:p w14:paraId="354EF5B0" w14:textId="77777777" w:rsidR="0069270B" w:rsidRPr="00C16A08" w:rsidRDefault="0069270B" w:rsidP="0069270B">
            <w:pPr>
              <w:autoSpaceDE w:val="0"/>
              <w:autoSpaceDN w:val="0"/>
              <w:adjustRightInd w:val="0"/>
              <w:jc w:val="center"/>
              <w:rPr>
                <w:rFonts w:asciiTheme="minorHAnsi" w:hAnsiTheme="minorHAnsi" w:cstheme="minorHAnsi"/>
                <w:color w:val="000000"/>
                <w:sz w:val="22"/>
                <w:szCs w:val="24"/>
                <w:lang w:val="en-CA"/>
              </w:rPr>
            </w:pPr>
            <w:r w:rsidRPr="00C16A08">
              <w:rPr>
                <w:rFonts w:asciiTheme="minorHAnsi" w:hAnsiTheme="minorHAnsi" w:cstheme="minorHAnsi"/>
                <w:color w:val="000000"/>
                <w:sz w:val="22"/>
                <w:szCs w:val="24"/>
                <w:lang w:val="en-CA"/>
              </w:rPr>
              <w:t>7</w:t>
            </w:r>
          </w:p>
        </w:tc>
      </w:tr>
      <w:tr w:rsidR="0069270B" w:rsidRPr="00C16A08" w14:paraId="55576325" w14:textId="77777777" w:rsidTr="003222DC">
        <w:trPr>
          <w:cantSplit/>
          <w:tblHeader/>
          <w:jc w:val="center"/>
        </w:trPr>
        <w:tc>
          <w:tcPr>
            <w:tcW w:w="721" w:type="pct"/>
          </w:tcPr>
          <w:p w14:paraId="3A66C57C" w14:textId="77777777" w:rsidR="0069270B" w:rsidRPr="00C16A08" w:rsidRDefault="0069270B" w:rsidP="0069270B">
            <w:pPr>
              <w:autoSpaceDE w:val="0"/>
              <w:autoSpaceDN w:val="0"/>
              <w:adjustRightInd w:val="0"/>
              <w:rPr>
                <w:rFonts w:asciiTheme="minorHAnsi" w:hAnsiTheme="minorHAnsi" w:cstheme="minorHAnsi"/>
                <w:color w:val="000000"/>
                <w:sz w:val="22"/>
                <w:szCs w:val="24"/>
                <w:lang w:val="en-CA"/>
              </w:rPr>
            </w:pPr>
            <w:r w:rsidRPr="00C16A08">
              <w:rPr>
                <w:rFonts w:asciiTheme="minorHAnsi" w:hAnsiTheme="minorHAnsi" w:cstheme="minorHAnsi"/>
                <w:color w:val="000000"/>
                <w:sz w:val="22"/>
                <w:szCs w:val="24"/>
                <w:lang w:val="en-CA"/>
              </w:rPr>
              <w:t>2017 to 2018</w:t>
            </w:r>
          </w:p>
        </w:tc>
        <w:tc>
          <w:tcPr>
            <w:tcW w:w="1248" w:type="pct"/>
          </w:tcPr>
          <w:p w14:paraId="13B2FB3E" w14:textId="77777777" w:rsidR="0069270B" w:rsidRPr="00C16A08" w:rsidRDefault="0069270B" w:rsidP="0069270B">
            <w:pPr>
              <w:autoSpaceDE w:val="0"/>
              <w:autoSpaceDN w:val="0"/>
              <w:adjustRightInd w:val="0"/>
              <w:jc w:val="center"/>
              <w:rPr>
                <w:rFonts w:asciiTheme="minorHAnsi" w:hAnsiTheme="minorHAnsi" w:cstheme="minorHAnsi"/>
                <w:color w:val="000000"/>
                <w:sz w:val="22"/>
                <w:szCs w:val="24"/>
                <w:lang w:val="en-CA"/>
              </w:rPr>
            </w:pPr>
            <w:r w:rsidRPr="00C16A08">
              <w:rPr>
                <w:rFonts w:asciiTheme="minorHAnsi" w:hAnsiTheme="minorHAnsi" w:cstheme="minorHAnsi"/>
                <w:color w:val="000000"/>
                <w:sz w:val="22"/>
                <w:szCs w:val="24"/>
                <w:lang w:val="en-CA"/>
              </w:rPr>
              <w:t>6</w:t>
            </w:r>
          </w:p>
        </w:tc>
        <w:tc>
          <w:tcPr>
            <w:tcW w:w="1687" w:type="pct"/>
          </w:tcPr>
          <w:p w14:paraId="545D4127" w14:textId="77777777" w:rsidR="0069270B" w:rsidRPr="00C16A08" w:rsidRDefault="0069270B" w:rsidP="0069270B">
            <w:pPr>
              <w:autoSpaceDE w:val="0"/>
              <w:autoSpaceDN w:val="0"/>
              <w:adjustRightInd w:val="0"/>
              <w:jc w:val="center"/>
              <w:rPr>
                <w:rFonts w:asciiTheme="minorHAnsi" w:hAnsiTheme="minorHAnsi" w:cstheme="minorHAnsi"/>
                <w:color w:val="000000"/>
                <w:sz w:val="22"/>
                <w:szCs w:val="24"/>
                <w:lang w:val="en-CA"/>
              </w:rPr>
            </w:pPr>
            <w:r w:rsidRPr="00C16A08">
              <w:rPr>
                <w:rFonts w:asciiTheme="minorHAnsi" w:hAnsiTheme="minorHAnsi" w:cstheme="minorHAnsi"/>
                <w:color w:val="000000"/>
                <w:sz w:val="22"/>
                <w:szCs w:val="24"/>
                <w:lang w:val="en-CA"/>
              </w:rPr>
              <w:t>4</w:t>
            </w:r>
          </w:p>
        </w:tc>
        <w:tc>
          <w:tcPr>
            <w:tcW w:w="966" w:type="pct"/>
          </w:tcPr>
          <w:p w14:paraId="189967E3" w14:textId="77777777" w:rsidR="0069270B" w:rsidRPr="00C16A08" w:rsidRDefault="0069270B" w:rsidP="0069270B">
            <w:pPr>
              <w:autoSpaceDE w:val="0"/>
              <w:autoSpaceDN w:val="0"/>
              <w:adjustRightInd w:val="0"/>
              <w:jc w:val="center"/>
              <w:rPr>
                <w:rFonts w:asciiTheme="minorHAnsi" w:hAnsiTheme="minorHAnsi" w:cstheme="minorHAnsi"/>
                <w:color w:val="000000"/>
                <w:sz w:val="22"/>
                <w:szCs w:val="24"/>
                <w:lang w:val="en-CA"/>
              </w:rPr>
            </w:pPr>
            <w:r w:rsidRPr="00C16A08">
              <w:rPr>
                <w:rFonts w:asciiTheme="minorHAnsi" w:hAnsiTheme="minorHAnsi" w:cstheme="minorHAnsi"/>
                <w:color w:val="000000"/>
                <w:sz w:val="22"/>
                <w:szCs w:val="24"/>
                <w:lang w:val="en-CA"/>
              </w:rPr>
              <w:t>0</w:t>
            </w:r>
          </w:p>
        </w:tc>
        <w:tc>
          <w:tcPr>
            <w:tcW w:w="378" w:type="pct"/>
          </w:tcPr>
          <w:p w14:paraId="50332676" w14:textId="77777777" w:rsidR="0069270B" w:rsidRPr="00C16A08" w:rsidRDefault="0069270B" w:rsidP="0069270B">
            <w:pPr>
              <w:autoSpaceDE w:val="0"/>
              <w:autoSpaceDN w:val="0"/>
              <w:adjustRightInd w:val="0"/>
              <w:jc w:val="center"/>
              <w:rPr>
                <w:rFonts w:asciiTheme="minorHAnsi" w:hAnsiTheme="minorHAnsi" w:cstheme="minorHAnsi"/>
                <w:color w:val="000000"/>
                <w:sz w:val="22"/>
                <w:szCs w:val="24"/>
                <w:lang w:val="en-CA"/>
              </w:rPr>
            </w:pPr>
            <w:r w:rsidRPr="00C16A08">
              <w:rPr>
                <w:rFonts w:asciiTheme="minorHAnsi" w:hAnsiTheme="minorHAnsi" w:cstheme="minorHAnsi"/>
                <w:color w:val="000000"/>
                <w:sz w:val="22"/>
                <w:szCs w:val="24"/>
                <w:lang w:val="en-CA"/>
              </w:rPr>
              <w:t>10</w:t>
            </w:r>
          </w:p>
        </w:tc>
      </w:tr>
      <w:tr w:rsidR="0069270B" w:rsidRPr="00C16A08" w14:paraId="0F4B2991" w14:textId="77777777" w:rsidTr="003222DC">
        <w:trPr>
          <w:cantSplit/>
          <w:tblHeader/>
          <w:jc w:val="center"/>
        </w:trPr>
        <w:tc>
          <w:tcPr>
            <w:tcW w:w="721" w:type="pct"/>
          </w:tcPr>
          <w:p w14:paraId="148359F6" w14:textId="77777777" w:rsidR="0069270B" w:rsidRPr="00C16A08" w:rsidRDefault="0069270B" w:rsidP="0069270B">
            <w:pPr>
              <w:autoSpaceDE w:val="0"/>
              <w:autoSpaceDN w:val="0"/>
              <w:adjustRightInd w:val="0"/>
              <w:rPr>
                <w:rFonts w:asciiTheme="minorHAnsi" w:hAnsiTheme="minorHAnsi" w:cstheme="minorHAnsi"/>
                <w:color w:val="000000"/>
                <w:sz w:val="22"/>
                <w:szCs w:val="24"/>
                <w:lang w:val="en-CA"/>
              </w:rPr>
            </w:pPr>
            <w:r w:rsidRPr="00C16A08">
              <w:rPr>
                <w:rFonts w:asciiTheme="minorHAnsi" w:hAnsiTheme="minorHAnsi" w:cstheme="minorHAnsi"/>
                <w:color w:val="000000"/>
                <w:sz w:val="22"/>
                <w:szCs w:val="24"/>
                <w:lang w:val="en-CA"/>
              </w:rPr>
              <w:t>2018 to 2019</w:t>
            </w:r>
          </w:p>
        </w:tc>
        <w:tc>
          <w:tcPr>
            <w:tcW w:w="1248" w:type="pct"/>
          </w:tcPr>
          <w:p w14:paraId="0E1EEBD7" w14:textId="77777777" w:rsidR="0069270B" w:rsidRPr="00C16A08" w:rsidRDefault="0069270B" w:rsidP="0069270B">
            <w:pPr>
              <w:autoSpaceDE w:val="0"/>
              <w:autoSpaceDN w:val="0"/>
              <w:adjustRightInd w:val="0"/>
              <w:jc w:val="center"/>
              <w:rPr>
                <w:rFonts w:asciiTheme="minorHAnsi" w:hAnsiTheme="minorHAnsi" w:cstheme="minorHAnsi"/>
                <w:color w:val="000000"/>
                <w:sz w:val="22"/>
                <w:szCs w:val="24"/>
                <w:lang w:val="en-CA"/>
              </w:rPr>
            </w:pPr>
            <w:r w:rsidRPr="00C16A08">
              <w:rPr>
                <w:rFonts w:asciiTheme="minorHAnsi" w:hAnsiTheme="minorHAnsi" w:cstheme="minorHAnsi"/>
                <w:color w:val="000000"/>
                <w:sz w:val="22"/>
                <w:szCs w:val="24"/>
                <w:lang w:val="en-CA"/>
              </w:rPr>
              <w:t>2</w:t>
            </w:r>
          </w:p>
        </w:tc>
        <w:tc>
          <w:tcPr>
            <w:tcW w:w="1687" w:type="pct"/>
          </w:tcPr>
          <w:p w14:paraId="534A56CB" w14:textId="77777777" w:rsidR="0069270B" w:rsidRPr="00C16A08" w:rsidRDefault="0069270B" w:rsidP="0069270B">
            <w:pPr>
              <w:autoSpaceDE w:val="0"/>
              <w:autoSpaceDN w:val="0"/>
              <w:adjustRightInd w:val="0"/>
              <w:jc w:val="center"/>
              <w:rPr>
                <w:rFonts w:asciiTheme="minorHAnsi" w:hAnsiTheme="minorHAnsi" w:cstheme="minorHAnsi"/>
                <w:color w:val="000000"/>
                <w:sz w:val="22"/>
                <w:szCs w:val="24"/>
                <w:lang w:val="en-CA"/>
              </w:rPr>
            </w:pPr>
            <w:r w:rsidRPr="00C16A08">
              <w:rPr>
                <w:rFonts w:asciiTheme="minorHAnsi" w:hAnsiTheme="minorHAnsi" w:cstheme="minorHAnsi"/>
                <w:color w:val="000000"/>
                <w:sz w:val="22"/>
                <w:szCs w:val="24"/>
                <w:lang w:val="en-CA"/>
              </w:rPr>
              <w:t>5</w:t>
            </w:r>
          </w:p>
        </w:tc>
        <w:tc>
          <w:tcPr>
            <w:tcW w:w="966" w:type="pct"/>
          </w:tcPr>
          <w:p w14:paraId="65F092B8" w14:textId="77777777" w:rsidR="0069270B" w:rsidRPr="00C16A08" w:rsidRDefault="0069270B" w:rsidP="0069270B">
            <w:pPr>
              <w:autoSpaceDE w:val="0"/>
              <w:autoSpaceDN w:val="0"/>
              <w:adjustRightInd w:val="0"/>
              <w:jc w:val="center"/>
              <w:rPr>
                <w:rFonts w:asciiTheme="minorHAnsi" w:hAnsiTheme="minorHAnsi" w:cstheme="minorHAnsi"/>
                <w:color w:val="000000"/>
                <w:sz w:val="22"/>
                <w:szCs w:val="24"/>
                <w:lang w:val="en-CA"/>
              </w:rPr>
            </w:pPr>
            <w:r w:rsidRPr="00C16A08">
              <w:rPr>
                <w:rFonts w:asciiTheme="minorHAnsi" w:hAnsiTheme="minorHAnsi" w:cstheme="minorHAnsi"/>
                <w:color w:val="000000"/>
                <w:sz w:val="22"/>
                <w:szCs w:val="24"/>
                <w:lang w:val="en-CA"/>
              </w:rPr>
              <w:t>0</w:t>
            </w:r>
          </w:p>
        </w:tc>
        <w:tc>
          <w:tcPr>
            <w:tcW w:w="378" w:type="pct"/>
          </w:tcPr>
          <w:p w14:paraId="5939890A" w14:textId="77777777" w:rsidR="0069270B" w:rsidRPr="00C16A08" w:rsidRDefault="0069270B" w:rsidP="0069270B">
            <w:pPr>
              <w:autoSpaceDE w:val="0"/>
              <w:autoSpaceDN w:val="0"/>
              <w:adjustRightInd w:val="0"/>
              <w:jc w:val="center"/>
              <w:rPr>
                <w:rFonts w:asciiTheme="minorHAnsi" w:hAnsiTheme="minorHAnsi" w:cstheme="minorHAnsi"/>
                <w:color w:val="000000"/>
                <w:sz w:val="22"/>
                <w:szCs w:val="24"/>
                <w:lang w:val="en-CA"/>
              </w:rPr>
            </w:pPr>
            <w:r w:rsidRPr="00C16A08">
              <w:rPr>
                <w:rFonts w:asciiTheme="minorHAnsi" w:hAnsiTheme="minorHAnsi" w:cstheme="minorHAnsi"/>
                <w:color w:val="000000"/>
                <w:sz w:val="22"/>
                <w:szCs w:val="24"/>
                <w:lang w:val="en-CA"/>
              </w:rPr>
              <w:t>7</w:t>
            </w:r>
          </w:p>
        </w:tc>
      </w:tr>
    </w:tbl>
    <w:p w14:paraId="69938972" w14:textId="77777777" w:rsidR="003222DC" w:rsidRPr="003222DC" w:rsidRDefault="003222DC" w:rsidP="003222DC">
      <w:pPr>
        <w:pStyle w:val="Titre1"/>
        <w:spacing w:before="120" w:after="120"/>
        <w:rPr>
          <w:sz w:val="40"/>
          <w:lang w:val="en-CA"/>
        </w:rPr>
      </w:pPr>
      <w:r w:rsidRPr="003222DC">
        <w:rPr>
          <w:rFonts w:eastAsia="Times New Roman"/>
          <w:sz w:val="40"/>
          <w:lang w:val="en-CA"/>
        </w:rPr>
        <w:lastRenderedPageBreak/>
        <w:t>Staffing by recruitment programs and hiring of former students</w:t>
      </w:r>
    </w:p>
    <w:p w14:paraId="538BAD4F" w14:textId="77777777" w:rsidR="00C16A08" w:rsidRDefault="00AD6F6A" w:rsidP="00C16A08">
      <w:pPr>
        <w:keepNext/>
        <w:jc w:val="center"/>
      </w:pPr>
      <w:r w:rsidRPr="00E628AA">
        <w:rPr>
          <w:rStyle w:val="lev"/>
          <w:noProof/>
          <w:lang w:val="en-CA" w:eastAsia="en-CA"/>
        </w:rPr>
        <w:drawing>
          <wp:inline distT="0" distB="0" distL="0" distR="0" wp14:anchorId="57A1D7F1" wp14:editId="7BB1D0C2">
            <wp:extent cx="5648400" cy="3049200"/>
            <wp:effectExtent l="0" t="0" r="9525" b="18415"/>
            <wp:docPr id="2" name="Chart 2" descr="Staffing by recruitment programs and hiring of former students"/>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460D2E81" w14:textId="1DADF4FB" w:rsidR="00AD6F6A" w:rsidRDefault="00C16A08" w:rsidP="00C16A08">
      <w:pPr>
        <w:pStyle w:val="Lgende"/>
        <w:spacing w:after="240"/>
        <w:jc w:val="center"/>
        <w:rPr>
          <w:lang w:val="en-CA"/>
        </w:rPr>
      </w:pPr>
      <w:r>
        <w:t xml:space="preserve">Figure </w:t>
      </w:r>
      <w:r>
        <w:fldChar w:fldCharType="begin"/>
      </w:r>
      <w:r>
        <w:instrText xml:space="preserve"> SEQ Figure \* ARABIC </w:instrText>
      </w:r>
      <w:r>
        <w:fldChar w:fldCharType="separate"/>
      </w:r>
      <w:r w:rsidR="0016520F">
        <w:rPr>
          <w:noProof/>
        </w:rPr>
        <w:t>11</w:t>
      </w:r>
      <w:r>
        <w:fldChar w:fldCharType="end"/>
      </w:r>
      <w:r>
        <w:t xml:space="preserve"> - </w:t>
      </w:r>
      <w:r w:rsidRPr="00983B5F">
        <w:t>Staffing by recruitment programs and hiring of former students</w:t>
      </w:r>
    </w:p>
    <w:p w14:paraId="4AB57AD7" w14:textId="7E8D3CF2" w:rsidR="00C16A08" w:rsidRDefault="00C16A08" w:rsidP="006125BD">
      <w:pPr>
        <w:pStyle w:val="Lgende"/>
        <w:keepNext/>
        <w:jc w:val="center"/>
      </w:pPr>
      <w:r>
        <w:t xml:space="preserve">Table </w:t>
      </w:r>
      <w:r>
        <w:fldChar w:fldCharType="begin"/>
      </w:r>
      <w:r>
        <w:instrText xml:space="preserve"> SEQ Table \* ARABIC </w:instrText>
      </w:r>
      <w:r>
        <w:fldChar w:fldCharType="separate"/>
      </w:r>
      <w:r w:rsidR="0016520F">
        <w:rPr>
          <w:noProof/>
        </w:rPr>
        <w:t>11</w:t>
      </w:r>
      <w:r>
        <w:fldChar w:fldCharType="end"/>
      </w:r>
      <w:r>
        <w:t xml:space="preserve"> - </w:t>
      </w:r>
      <w:r w:rsidRPr="00DF06B4">
        <w:t>Graduate recruitment program hires and hiring of former students by fiscal year</w:t>
      </w:r>
    </w:p>
    <w:tbl>
      <w:tblPr>
        <w:tblStyle w:val="Grilledutableau"/>
        <w:tblW w:w="5000" w:type="pct"/>
        <w:jc w:val="center"/>
        <w:tblLook w:val="00A0" w:firstRow="1" w:lastRow="0" w:firstColumn="1" w:lastColumn="0" w:noHBand="0" w:noVBand="0"/>
        <w:tblDescription w:val="Staffing by recruitment of former students&#10;"/>
      </w:tblPr>
      <w:tblGrid>
        <w:gridCol w:w="2317"/>
        <w:gridCol w:w="7500"/>
        <w:gridCol w:w="4573"/>
      </w:tblGrid>
      <w:tr w:rsidR="00C16A08" w:rsidRPr="00C16A08" w14:paraId="302336C3" w14:textId="77777777" w:rsidTr="003222DC">
        <w:trPr>
          <w:cantSplit/>
          <w:tblHeader/>
          <w:jc w:val="center"/>
        </w:trPr>
        <w:tc>
          <w:tcPr>
            <w:tcW w:w="805" w:type="pct"/>
          </w:tcPr>
          <w:p w14:paraId="62687548" w14:textId="77777777" w:rsidR="00C16A08" w:rsidRPr="00C16A08" w:rsidRDefault="00C16A08" w:rsidP="00C830B4">
            <w:pPr>
              <w:pStyle w:val="TableTitle"/>
              <w:rPr>
                <w:color w:val="auto"/>
                <w:sz w:val="22"/>
                <w:lang w:val="en-CA"/>
              </w:rPr>
            </w:pPr>
            <w:r w:rsidRPr="00C16A08">
              <w:rPr>
                <w:color w:val="auto"/>
                <w:sz w:val="22"/>
                <w:lang w:val="en-CA"/>
              </w:rPr>
              <w:t>Fiscal year</w:t>
            </w:r>
          </w:p>
        </w:tc>
        <w:tc>
          <w:tcPr>
            <w:tcW w:w="2606" w:type="pct"/>
          </w:tcPr>
          <w:p w14:paraId="5C684151" w14:textId="77777777" w:rsidR="00C16A08" w:rsidRPr="00C16A08" w:rsidRDefault="00C16A08" w:rsidP="00C830B4">
            <w:pPr>
              <w:pStyle w:val="TableTitle"/>
              <w:rPr>
                <w:color w:val="auto"/>
                <w:sz w:val="22"/>
                <w:lang w:val="en-CA"/>
              </w:rPr>
            </w:pPr>
            <w:r w:rsidRPr="00C16A08">
              <w:rPr>
                <w:color w:val="auto"/>
                <w:sz w:val="22"/>
                <w:lang w:val="en-CA"/>
              </w:rPr>
              <w:t>Post-Secondary Recruitment Program hires</w:t>
            </w:r>
          </w:p>
        </w:tc>
        <w:tc>
          <w:tcPr>
            <w:tcW w:w="1589" w:type="pct"/>
          </w:tcPr>
          <w:p w14:paraId="269EAB6D" w14:textId="77777777" w:rsidR="00C16A08" w:rsidRPr="00C16A08" w:rsidRDefault="00C16A08" w:rsidP="00C830B4">
            <w:pPr>
              <w:pStyle w:val="TableTitle"/>
              <w:rPr>
                <w:color w:val="auto"/>
                <w:sz w:val="22"/>
                <w:lang w:val="en-CA"/>
              </w:rPr>
            </w:pPr>
            <w:r w:rsidRPr="00C16A08">
              <w:rPr>
                <w:color w:val="auto"/>
                <w:sz w:val="22"/>
                <w:lang w:val="en-CA"/>
              </w:rPr>
              <w:t>Hiring of former students</w:t>
            </w:r>
          </w:p>
        </w:tc>
      </w:tr>
      <w:tr w:rsidR="00C16A08" w:rsidRPr="00C16A08" w14:paraId="792C8F88" w14:textId="77777777" w:rsidTr="003222DC">
        <w:trPr>
          <w:cantSplit/>
          <w:tblHeader/>
          <w:jc w:val="center"/>
        </w:trPr>
        <w:tc>
          <w:tcPr>
            <w:tcW w:w="805" w:type="pct"/>
          </w:tcPr>
          <w:p w14:paraId="51F8993A" w14:textId="77777777" w:rsidR="00C16A08" w:rsidRPr="00C16A08" w:rsidRDefault="00C16A08" w:rsidP="00C830B4">
            <w:pPr>
              <w:autoSpaceDE w:val="0"/>
              <w:autoSpaceDN w:val="0"/>
              <w:adjustRightInd w:val="0"/>
              <w:rPr>
                <w:rFonts w:asciiTheme="minorHAnsi" w:hAnsiTheme="minorHAnsi" w:cstheme="minorHAnsi"/>
                <w:color w:val="000000"/>
                <w:sz w:val="22"/>
                <w:szCs w:val="24"/>
                <w:lang w:val="en-CA"/>
              </w:rPr>
            </w:pPr>
            <w:r w:rsidRPr="00C16A08">
              <w:rPr>
                <w:rFonts w:asciiTheme="minorHAnsi" w:hAnsiTheme="minorHAnsi" w:cstheme="minorHAnsi"/>
                <w:color w:val="000000"/>
                <w:sz w:val="22"/>
                <w:szCs w:val="24"/>
                <w:lang w:val="en-CA"/>
              </w:rPr>
              <w:t>2014 to 2015</w:t>
            </w:r>
          </w:p>
        </w:tc>
        <w:tc>
          <w:tcPr>
            <w:tcW w:w="2606" w:type="pct"/>
          </w:tcPr>
          <w:p w14:paraId="491B1D5D" w14:textId="77777777" w:rsidR="00C16A08" w:rsidRPr="00C16A08" w:rsidRDefault="00C16A08" w:rsidP="00C830B4">
            <w:pPr>
              <w:autoSpaceDE w:val="0"/>
              <w:autoSpaceDN w:val="0"/>
              <w:adjustRightInd w:val="0"/>
              <w:jc w:val="center"/>
              <w:rPr>
                <w:rFonts w:asciiTheme="minorHAnsi" w:hAnsiTheme="minorHAnsi" w:cstheme="minorHAnsi"/>
                <w:color w:val="000000"/>
                <w:sz w:val="22"/>
                <w:szCs w:val="24"/>
                <w:lang w:val="en-CA"/>
              </w:rPr>
            </w:pPr>
            <w:r w:rsidRPr="00C16A08">
              <w:rPr>
                <w:rFonts w:asciiTheme="minorHAnsi" w:hAnsiTheme="minorHAnsi" w:cstheme="minorHAnsi"/>
                <w:color w:val="000000"/>
                <w:sz w:val="22"/>
                <w:szCs w:val="24"/>
                <w:lang w:val="en-CA"/>
              </w:rPr>
              <w:t>0</w:t>
            </w:r>
          </w:p>
        </w:tc>
        <w:tc>
          <w:tcPr>
            <w:tcW w:w="1589" w:type="pct"/>
          </w:tcPr>
          <w:p w14:paraId="304243B7" w14:textId="77777777" w:rsidR="00C16A08" w:rsidRPr="00C16A08" w:rsidRDefault="00C16A08" w:rsidP="00C830B4">
            <w:pPr>
              <w:autoSpaceDE w:val="0"/>
              <w:autoSpaceDN w:val="0"/>
              <w:adjustRightInd w:val="0"/>
              <w:jc w:val="center"/>
              <w:rPr>
                <w:rFonts w:asciiTheme="minorHAnsi" w:hAnsiTheme="minorHAnsi" w:cstheme="minorHAnsi"/>
                <w:color w:val="000000"/>
                <w:sz w:val="22"/>
                <w:szCs w:val="24"/>
                <w:lang w:val="en-CA"/>
              </w:rPr>
            </w:pPr>
            <w:r w:rsidRPr="00C16A08">
              <w:rPr>
                <w:rFonts w:asciiTheme="minorHAnsi" w:hAnsiTheme="minorHAnsi" w:cstheme="minorHAnsi"/>
                <w:color w:val="000000"/>
                <w:sz w:val="22"/>
                <w:szCs w:val="24"/>
                <w:lang w:val="en-CA"/>
              </w:rPr>
              <w:t>1</w:t>
            </w:r>
          </w:p>
        </w:tc>
      </w:tr>
      <w:tr w:rsidR="00C16A08" w:rsidRPr="00C16A08" w14:paraId="1D3EC488" w14:textId="77777777" w:rsidTr="003222DC">
        <w:trPr>
          <w:cantSplit/>
          <w:tblHeader/>
          <w:jc w:val="center"/>
        </w:trPr>
        <w:tc>
          <w:tcPr>
            <w:tcW w:w="805" w:type="pct"/>
          </w:tcPr>
          <w:p w14:paraId="3D8B3C42" w14:textId="77777777" w:rsidR="00C16A08" w:rsidRPr="00C16A08" w:rsidRDefault="00C16A08" w:rsidP="00C830B4">
            <w:pPr>
              <w:autoSpaceDE w:val="0"/>
              <w:autoSpaceDN w:val="0"/>
              <w:adjustRightInd w:val="0"/>
              <w:rPr>
                <w:rFonts w:asciiTheme="minorHAnsi" w:hAnsiTheme="minorHAnsi" w:cstheme="minorHAnsi"/>
                <w:color w:val="000000"/>
                <w:sz w:val="22"/>
                <w:szCs w:val="24"/>
                <w:lang w:val="en-CA"/>
              </w:rPr>
            </w:pPr>
            <w:r w:rsidRPr="00C16A08">
              <w:rPr>
                <w:rFonts w:asciiTheme="minorHAnsi" w:hAnsiTheme="minorHAnsi" w:cstheme="minorHAnsi"/>
                <w:color w:val="000000"/>
                <w:sz w:val="22"/>
                <w:szCs w:val="24"/>
                <w:lang w:val="en-CA"/>
              </w:rPr>
              <w:t>2015 to 2016</w:t>
            </w:r>
          </w:p>
        </w:tc>
        <w:tc>
          <w:tcPr>
            <w:tcW w:w="2606" w:type="pct"/>
          </w:tcPr>
          <w:p w14:paraId="21938087" w14:textId="77777777" w:rsidR="00C16A08" w:rsidRPr="00C16A08" w:rsidRDefault="00C16A08" w:rsidP="00C830B4">
            <w:pPr>
              <w:autoSpaceDE w:val="0"/>
              <w:autoSpaceDN w:val="0"/>
              <w:adjustRightInd w:val="0"/>
              <w:jc w:val="center"/>
              <w:rPr>
                <w:rFonts w:asciiTheme="minorHAnsi" w:hAnsiTheme="minorHAnsi" w:cstheme="minorHAnsi"/>
                <w:color w:val="000000"/>
                <w:sz w:val="22"/>
                <w:szCs w:val="24"/>
                <w:lang w:val="en-CA"/>
              </w:rPr>
            </w:pPr>
            <w:r w:rsidRPr="00C16A08">
              <w:rPr>
                <w:rFonts w:asciiTheme="minorHAnsi" w:hAnsiTheme="minorHAnsi" w:cstheme="minorHAnsi"/>
                <w:color w:val="000000"/>
                <w:sz w:val="22"/>
                <w:szCs w:val="24"/>
                <w:lang w:val="en-CA"/>
              </w:rPr>
              <w:t>0</w:t>
            </w:r>
          </w:p>
        </w:tc>
        <w:tc>
          <w:tcPr>
            <w:tcW w:w="1589" w:type="pct"/>
          </w:tcPr>
          <w:p w14:paraId="32B678A3" w14:textId="77777777" w:rsidR="00C16A08" w:rsidRPr="00C16A08" w:rsidRDefault="00C16A08" w:rsidP="00C830B4">
            <w:pPr>
              <w:autoSpaceDE w:val="0"/>
              <w:autoSpaceDN w:val="0"/>
              <w:adjustRightInd w:val="0"/>
              <w:jc w:val="center"/>
              <w:rPr>
                <w:rFonts w:asciiTheme="minorHAnsi" w:hAnsiTheme="minorHAnsi" w:cstheme="minorHAnsi"/>
                <w:color w:val="000000"/>
                <w:sz w:val="22"/>
                <w:szCs w:val="24"/>
                <w:lang w:val="en-CA"/>
              </w:rPr>
            </w:pPr>
            <w:r w:rsidRPr="00C16A08">
              <w:rPr>
                <w:rFonts w:asciiTheme="minorHAnsi" w:hAnsiTheme="minorHAnsi" w:cstheme="minorHAnsi"/>
                <w:color w:val="000000"/>
                <w:sz w:val="22"/>
                <w:szCs w:val="24"/>
                <w:lang w:val="en-CA"/>
              </w:rPr>
              <w:t>1</w:t>
            </w:r>
          </w:p>
        </w:tc>
      </w:tr>
      <w:tr w:rsidR="00C16A08" w:rsidRPr="00C16A08" w14:paraId="5ABD3AA7" w14:textId="77777777" w:rsidTr="003222DC">
        <w:trPr>
          <w:cantSplit/>
          <w:tblHeader/>
          <w:jc w:val="center"/>
        </w:trPr>
        <w:tc>
          <w:tcPr>
            <w:tcW w:w="805" w:type="pct"/>
          </w:tcPr>
          <w:p w14:paraId="0C065B8B" w14:textId="77777777" w:rsidR="00C16A08" w:rsidRPr="00C16A08" w:rsidRDefault="00C16A08" w:rsidP="00C830B4">
            <w:pPr>
              <w:autoSpaceDE w:val="0"/>
              <w:autoSpaceDN w:val="0"/>
              <w:adjustRightInd w:val="0"/>
              <w:rPr>
                <w:rFonts w:asciiTheme="minorHAnsi" w:hAnsiTheme="minorHAnsi" w:cstheme="minorHAnsi"/>
                <w:color w:val="000000"/>
                <w:sz w:val="22"/>
                <w:szCs w:val="24"/>
                <w:lang w:val="en-CA"/>
              </w:rPr>
            </w:pPr>
            <w:r w:rsidRPr="00C16A08">
              <w:rPr>
                <w:rFonts w:asciiTheme="minorHAnsi" w:hAnsiTheme="minorHAnsi" w:cstheme="minorHAnsi"/>
                <w:color w:val="000000"/>
                <w:sz w:val="22"/>
                <w:szCs w:val="24"/>
                <w:lang w:val="en-CA"/>
              </w:rPr>
              <w:t>2016 to 2017</w:t>
            </w:r>
          </w:p>
        </w:tc>
        <w:tc>
          <w:tcPr>
            <w:tcW w:w="2606" w:type="pct"/>
          </w:tcPr>
          <w:p w14:paraId="6AF29792" w14:textId="77777777" w:rsidR="00C16A08" w:rsidRPr="00C16A08" w:rsidRDefault="00C16A08" w:rsidP="00C830B4">
            <w:pPr>
              <w:autoSpaceDE w:val="0"/>
              <w:autoSpaceDN w:val="0"/>
              <w:adjustRightInd w:val="0"/>
              <w:jc w:val="center"/>
              <w:rPr>
                <w:rFonts w:asciiTheme="minorHAnsi" w:hAnsiTheme="minorHAnsi" w:cstheme="minorHAnsi"/>
                <w:color w:val="000000"/>
                <w:sz w:val="22"/>
                <w:szCs w:val="24"/>
                <w:lang w:val="en-CA"/>
              </w:rPr>
            </w:pPr>
            <w:r w:rsidRPr="00C16A08">
              <w:rPr>
                <w:rFonts w:asciiTheme="minorHAnsi" w:hAnsiTheme="minorHAnsi" w:cstheme="minorHAnsi"/>
                <w:color w:val="000000"/>
                <w:sz w:val="22"/>
                <w:szCs w:val="24"/>
                <w:lang w:val="en-CA"/>
              </w:rPr>
              <w:t>0</w:t>
            </w:r>
          </w:p>
        </w:tc>
        <w:tc>
          <w:tcPr>
            <w:tcW w:w="1589" w:type="pct"/>
          </w:tcPr>
          <w:p w14:paraId="77AD9F17" w14:textId="77777777" w:rsidR="00C16A08" w:rsidRPr="00C16A08" w:rsidRDefault="00C16A08" w:rsidP="00C830B4">
            <w:pPr>
              <w:autoSpaceDE w:val="0"/>
              <w:autoSpaceDN w:val="0"/>
              <w:adjustRightInd w:val="0"/>
              <w:jc w:val="center"/>
              <w:rPr>
                <w:rFonts w:asciiTheme="minorHAnsi" w:hAnsiTheme="minorHAnsi" w:cstheme="minorHAnsi"/>
                <w:color w:val="000000"/>
                <w:sz w:val="22"/>
                <w:szCs w:val="24"/>
                <w:lang w:val="en-CA"/>
              </w:rPr>
            </w:pPr>
            <w:r w:rsidRPr="00C16A08">
              <w:rPr>
                <w:rFonts w:asciiTheme="minorHAnsi" w:hAnsiTheme="minorHAnsi" w:cstheme="minorHAnsi"/>
                <w:color w:val="000000"/>
                <w:sz w:val="22"/>
                <w:szCs w:val="24"/>
                <w:lang w:val="en-CA"/>
              </w:rPr>
              <w:t>0</w:t>
            </w:r>
          </w:p>
        </w:tc>
      </w:tr>
      <w:tr w:rsidR="00C16A08" w:rsidRPr="00C16A08" w14:paraId="7CBF16BC" w14:textId="77777777" w:rsidTr="003222DC">
        <w:trPr>
          <w:cantSplit/>
          <w:tblHeader/>
          <w:jc w:val="center"/>
        </w:trPr>
        <w:tc>
          <w:tcPr>
            <w:tcW w:w="805" w:type="pct"/>
          </w:tcPr>
          <w:p w14:paraId="287FF7E7" w14:textId="77777777" w:rsidR="00C16A08" w:rsidRPr="00C16A08" w:rsidRDefault="00C16A08" w:rsidP="00C830B4">
            <w:pPr>
              <w:autoSpaceDE w:val="0"/>
              <w:autoSpaceDN w:val="0"/>
              <w:adjustRightInd w:val="0"/>
              <w:rPr>
                <w:rFonts w:asciiTheme="minorHAnsi" w:hAnsiTheme="minorHAnsi" w:cstheme="minorHAnsi"/>
                <w:color w:val="000000"/>
                <w:sz w:val="22"/>
                <w:szCs w:val="24"/>
                <w:lang w:val="en-CA"/>
              </w:rPr>
            </w:pPr>
            <w:r w:rsidRPr="00C16A08">
              <w:rPr>
                <w:rFonts w:asciiTheme="minorHAnsi" w:hAnsiTheme="minorHAnsi" w:cstheme="minorHAnsi"/>
                <w:color w:val="000000"/>
                <w:sz w:val="22"/>
                <w:szCs w:val="24"/>
                <w:lang w:val="en-CA"/>
              </w:rPr>
              <w:t>2017 to 2018</w:t>
            </w:r>
          </w:p>
        </w:tc>
        <w:tc>
          <w:tcPr>
            <w:tcW w:w="2606" w:type="pct"/>
          </w:tcPr>
          <w:p w14:paraId="50562D96" w14:textId="77777777" w:rsidR="00C16A08" w:rsidRPr="00C16A08" w:rsidRDefault="00C16A08" w:rsidP="00C830B4">
            <w:pPr>
              <w:autoSpaceDE w:val="0"/>
              <w:autoSpaceDN w:val="0"/>
              <w:adjustRightInd w:val="0"/>
              <w:jc w:val="center"/>
              <w:rPr>
                <w:rFonts w:asciiTheme="minorHAnsi" w:hAnsiTheme="minorHAnsi" w:cstheme="minorHAnsi"/>
                <w:color w:val="000000"/>
                <w:sz w:val="22"/>
                <w:szCs w:val="24"/>
                <w:lang w:val="en-CA"/>
              </w:rPr>
            </w:pPr>
            <w:r w:rsidRPr="00C16A08">
              <w:rPr>
                <w:rFonts w:asciiTheme="minorHAnsi" w:hAnsiTheme="minorHAnsi" w:cstheme="minorHAnsi"/>
                <w:color w:val="000000"/>
                <w:sz w:val="22"/>
                <w:szCs w:val="24"/>
                <w:lang w:val="en-CA"/>
              </w:rPr>
              <w:t>0</w:t>
            </w:r>
          </w:p>
        </w:tc>
        <w:tc>
          <w:tcPr>
            <w:tcW w:w="1589" w:type="pct"/>
          </w:tcPr>
          <w:p w14:paraId="151FB713" w14:textId="77777777" w:rsidR="00C16A08" w:rsidRPr="00C16A08" w:rsidRDefault="00C16A08" w:rsidP="00C830B4">
            <w:pPr>
              <w:autoSpaceDE w:val="0"/>
              <w:autoSpaceDN w:val="0"/>
              <w:adjustRightInd w:val="0"/>
              <w:jc w:val="center"/>
              <w:rPr>
                <w:rFonts w:asciiTheme="minorHAnsi" w:hAnsiTheme="minorHAnsi" w:cstheme="minorHAnsi"/>
                <w:color w:val="000000"/>
                <w:sz w:val="22"/>
                <w:szCs w:val="24"/>
                <w:lang w:val="en-CA"/>
              </w:rPr>
            </w:pPr>
            <w:r w:rsidRPr="00C16A08">
              <w:rPr>
                <w:rFonts w:asciiTheme="minorHAnsi" w:hAnsiTheme="minorHAnsi" w:cstheme="minorHAnsi"/>
                <w:color w:val="000000"/>
                <w:sz w:val="22"/>
                <w:szCs w:val="24"/>
                <w:lang w:val="en-CA"/>
              </w:rPr>
              <w:t>1</w:t>
            </w:r>
          </w:p>
        </w:tc>
      </w:tr>
      <w:tr w:rsidR="00C16A08" w:rsidRPr="00C16A08" w14:paraId="45F43C6D" w14:textId="77777777" w:rsidTr="003222DC">
        <w:trPr>
          <w:cantSplit/>
          <w:tblHeader/>
          <w:jc w:val="center"/>
        </w:trPr>
        <w:tc>
          <w:tcPr>
            <w:tcW w:w="805" w:type="pct"/>
          </w:tcPr>
          <w:p w14:paraId="49D82B66" w14:textId="77777777" w:rsidR="00C16A08" w:rsidRPr="00C16A08" w:rsidRDefault="00C16A08" w:rsidP="00C830B4">
            <w:pPr>
              <w:autoSpaceDE w:val="0"/>
              <w:autoSpaceDN w:val="0"/>
              <w:adjustRightInd w:val="0"/>
              <w:rPr>
                <w:rFonts w:asciiTheme="minorHAnsi" w:hAnsiTheme="minorHAnsi" w:cstheme="minorHAnsi"/>
                <w:color w:val="000000"/>
                <w:sz w:val="22"/>
                <w:szCs w:val="24"/>
                <w:lang w:val="en-CA"/>
              </w:rPr>
            </w:pPr>
            <w:r w:rsidRPr="00C16A08">
              <w:rPr>
                <w:rFonts w:asciiTheme="minorHAnsi" w:hAnsiTheme="minorHAnsi" w:cstheme="minorHAnsi"/>
                <w:color w:val="000000"/>
                <w:sz w:val="22"/>
                <w:szCs w:val="24"/>
                <w:lang w:val="en-CA"/>
              </w:rPr>
              <w:t>2018 to 2019</w:t>
            </w:r>
          </w:p>
        </w:tc>
        <w:tc>
          <w:tcPr>
            <w:tcW w:w="2606" w:type="pct"/>
          </w:tcPr>
          <w:p w14:paraId="0505C0B3" w14:textId="77777777" w:rsidR="00C16A08" w:rsidRPr="00C16A08" w:rsidRDefault="00C16A08" w:rsidP="00C830B4">
            <w:pPr>
              <w:autoSpaceDE w:val="0"/>
              <w:autoSpaceDN w:val="0"/>
              <w:adjustRightInd w:val="0"/>
              <w:jc w:val="center"/>
              <w:rPr>
                <w:rFonts w:asciiTheme="minorHAnsi" w:hAnsiTheme="minorHAnsi" w:cstheme="minorHAnsi"/>
                <w:color w:val="000000"/>
                <w:sz w:val="22"/>
                <w:szCs w:val="24"/>
                <w:lang w:val="en-CA"/>
              </w:rPr>
            </w:pPr>
            <w:r w:rsidRPr="00C16A08">
              <w:rPr>
                <w:rFonts w:asciiTheme="minorHAnsi" w:hAnsiTheme="minorHAnsi" w:cstheme="minorHAnsi"/>
                <w:color w:val="000000"/>
                <w:sz w:val="22"/>
                <w:szCs w:val="24"/>
                <w:lang w:val="en-CA"/>
              </w:rPr>
              <w:t>0</w:t>
            </w:r>
          </w:p>
        </w:tc>
        <w:tc>
          <w:tcPr>
            <w:tcW w:w="1589" w:type="pct"/>
          </w:tcPr>
          <w:p w14:paraId="48BE41EF" w14:textId="77777777" w:rsidR="00C16A08" w:rsidRPr="00C16A08" w:rsidRDefault="00C16A08" w:rsidP="00C830B4">
            <w:pPr>
              <w:autoSpaceDE w:val="0"/>
              <w:autoSpaceDN w:val="0"/>
              <w:adjustRightInd w:val="0"/>
              <w:jc w:val="center"/>
              <w:rPr>
                <w:rFonts w:asciiTheme="minorHAnsi" w:hAnsiTheme="minorHAnsi" w:cstheme="minorHAnsi"/>
                <w:color w:val="000000"/>
                <w:sz w:val="22"/>
                <w:szCs w:val="24"/>
                <w:lang w:val="en-CA"/>
              </w:rPr>
            </w:pPr>
            <w:r w:rsidRPr="00C16A08">
              <w:rPr>
                <w:rFonts w:asciiTheme="minorHAnsi" w:hAnsiTheme="minorHAnsi" w:cstheme="minorHAnsi"/>
                <w:color w:val="000000"/>
                <w:sz w:val="22"/>
                <w:szCs w:val="24"/>
                <w:lang w:val="en-CA"/>
              </w:rPr>
              <w:t>1</w:t>
            </w:r>
          </w:p>
        </w:tc>
      </w:tr>
    </w:tbl>
    <w:p w14:paraId="0CC16569" w14:textId="531A2868" w:rsidR="003222DC" w:rsidRPr="003222DC" w:rsidRDefault="003222DC" w:rsidP="003222DC">
      <w:pPr>
        <w:pStyle w:val="Titre1"/>
        <w:spacing w:before="120" w:after="120"/>
        <w:rPr>
          <w:sz w:val="40"/>
        </w:rPr>
      </w:pPr>
      <w:r w:rsidRPr="003222DC">
        <w:rPr>
          <w:sz w:val="40"/>
        </w:rPr>
        <w:lastRenderedPageBreak/>
        <w:t>Internal time to staff</w:t>
      </w:r>
    </w:p>
    <w:p w14:paraId="4D698D39" w14:textId="77777777" w:rsidR="004E3F2A" w:rsidRDefault="00252389" w:rsidP="004E3F2A">
      <w:pPr>
        <w:keepNext/>
        <w:jc w:val="center"/>
      </w:pPr>
      <w:r w:rsidRPr="00E628AA">
        <w:rPr>
          <w:rStyle w:val="lev"/>
          <w:noProof/>
          <w:lang w:val="en-CA" w:eastAsia="en-CA"/>
        </w:rPr>
        <w:drawing>
          <wp:inline distT="0" distB="0" distL="0" distR="0" wp14:anchorId="78F92774" wp14:editId="2C0F886C">
            <wp:extent cx="5648400" cy="3049200"/>
            <wp:effectExtent l="0" t="0" r="9525" b="18415"/>
            <wp:docPr id="22" name="Chart 22" descr="Internal time to staff Public service median = 176 days 2018-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7CCAAE4D" w14:textId="0B94CA9B" w:rsidR="00252389" w:rsidRDefault="004E3F2A" w:rsidP="004E3F2A">
      <w:pPr>
        <w:pStyle w:val="Lgende"/>
        <w:spacing w:after="240"/>
        <w:jc w:val="center"/>
        <w:rPr>
          <w:lang w:val="en-CA"/>
        </w:rPr>
      </w:pPr>
      <w:r>
        <w:t xml:space="preserve">Figure </w:t>
      </w:r>
      <w:r>
        <w:fldChar w:fldCharType="begin"/>
      </w:r>
      <w:r>
        <w:instrText xml:space="preserve"> SEQ Figure \* ARABIC </w:instrText>
      </w:r>
      <w:r>
        <w:fldChar w:fldCharType="separate"/>
      </w:r>
      <w:r w:rsidR="0016520F">
        <w:rPr>
          <w:noProof/>
        </w:rPr>
        <w:t>12</w:t>
      </w:r>
      <w:r>
        <w:fldChar w:fldCharType="end"/>
      </w:r>
      <w:r>
        <w:t xml:space="preserve"> - Internal time to staff Public service median = 176 days 2018-19</w:t>
      </w:r>
    </w:p>
    <w:p w14:paraId="1456A1B6" w14:textId="586722B0" w:rsidR="004E3F2A" w:rsidRPr="004E3F2A" w:rsidRDefault="003222DC" w:rsidP="004E3F2A">
      <w:pPr>
        <w:rPr>
          <w:rFonts w:asciiTheme="minorHAnsi" w:hAnsiTheme="minorHAnsi" w:cstheme="minorHAnsi"/>
          <w:sz w:val="22"/>
        </w:rPr>
      </w:pPr>
      <w:r w:rsidRPr="003222DC">
        <w:rPr>
          <w:rFonts w:asciiTheme="minorHAnsi" w:hAnsiTheme="minorHAnsi" w:cstheme="minorHAnsi"/>
          <w:sz w:val="22"/>
        </w:rPr>
        <w:t xml:space="preserve"> </w:t>
      </w:r>
      <w:hyperlink w:anchor="Internal_time_to_staff" w:history="1">
        <w:r w:rsidRPr="003222DC">
          <w:rPr>
            <w:rStyle w:val="Lienhypertexte"/>
            <w:rFonts w:asciiTheme="minorHAnsi" w:hAnsiTheme="minorHAnsi" w:cstheme="minorHAnsi"/>
            <w:sz w:val="22"/>
          </w:rPr>
          <w:t>I</w:t>
        </w:r>
        <w:r>
          <w:rPr>
            <w:rStyle w:val="Lienhypertexte"/>
            <w:rFonts w:asciiTheme="minorHAnsi" w:hAnsiTheme="minorHAnsi" w:cstheme="minorHAnsi"/>
            <w:sz w:val="22"/>
          </w:rPr>
          <w:t>nternal ti</w:t>
        </w:r>
        <w:r w:rsidRPr="003222DC">
          <w:rPr>
            <w:rStyle w:val="Lienhypertexte"/>
            <w:rFonts w:asciiTheme="minorHAnsi" w:hAnsiTheme="minorHAnsi" w:cstheme="minorHAnsi"/>
            <w:sz w:val="22"/>
          </w:rPr>
          <w:t>me to staff data table available here</w:t>
        </w:r>
      </w:hyperlink>
      <w:r>
        <w:rPr>
          <w:rFonts w:asciiTheme="minorHAnsi" w:hAnsiTheme="minorHAnsi" w:cstheme="minorHAnsi"/>
          <w:sz w:val="22"/>
        </w:rPr>
        <w:t>.</w:t>
      </w:r>
    </w:p>
    <w:p w14:paraId="21776283" w14:textId="5A86802F" w:rsidR="004E3F2A" w:rsidRPr="004E3F2A" w:rsidRDefault="004E3F2A" w:rsidP="004E3F2A">
      <w:pPr>
        <w:spacing w:before="240"/>
        <w:rPr>
          <w:rStyle w:val="lev"/>
          <w:rFonts w:asciiTheme="minorHAnsi" w:hAnsiTheme="minorHAnsi" w:cstheme="minorHAnsi"/>
          <w:sz w:val="22"/>
        </w:rPr>
      </w:pPr>
      <w:r w:rsidRPr="004E3F2A">
        <w:rPr>
          <w:rStyle w:val="lev"/>
          <w:rFonts w:asciiTheme="minorHAnsi" w:hAnsiTheme="minorHAnsi" w:cstheme="minorHAnsi"/>
          <w:sz w:val="22"/>
        </w:rPr>
        <w:t>Internal Time to Staff</w:t>
      </w:r>
    </w:p>
    <w:p w14:paraId="7C0AFA27" w14:textId="77777777" w:rsidR="004E3F2A" w:rsidRPr="004E3F2A" w:rsidRDefault="004E3F2A" w:rsidP="00F8478B">
      <w:pPr>
        <w:pStyle w:val="Paragraphedeliste"/>
        <w:spacing w:after="120"/>
        <w:rPr>
          <w:rFonts w:asciiTheme="minorHAnsi" w:hAnsiTheme="minorHAnsi" w:cstheme="minorHAnsi"/>
          <w:sz w:val="22"/>
          <w:lang w:val="en-CA"/>
        </w:rPr>
      </w:pPr>
      <w:r w:rsidRPr="004E3F2A">
        <w:rPr>
          <w:rFonts w:asciiTheme="minorHAnsi" w:hAnsiTheme="minorHAnsi" w:cstheme="minorHAnsi"/>
          <w:sz w:val="22"/>
          <w:lang w:val="en-CA"/>
        </w:rPr>
        <w:t>The data is insufficient for providing results on internal process times for the International Joint Commission.</w:t>
      </w:r>
    </w:p>
    <w:p w14:paraId="295C5E8B" w14:textId="4C2B9DB5" w:rsidR="004E3F2A" w:rsidRPr="004E3F2A" w:rsidRDefault="004E3F2A" w:rsidP="00F8478B">
      <w:pPr>
        <w:spacing w:after="240"/>
        <w:rPr>
          <w:rFonts w:asciiTheme="minorHAnsi" w:hAnsiTheme="minorHAnsi" w:cstheme="minorHAnsi"/>
          <w:sz w:val="22"/>
          <w:lang w:val="en-CA" w:eastAsia="en-CA"/>
        </w:rPr>
      </w:pPr>
      <w:r w:rsidRPr="004E3F2A">
        <w:rPr>
          <w:rFonts w:asciiTheme="minorHAnsi" w:hAnsiTheme="minorHAnsi" w:cstheme="minorHAnsi"/>
          <w:sz w:val="22"/>
          <w:lang w:val="en-CA" w:eastAsia="en-CA"/>
        </w:rPr>
        <w:t>Internal time to staff is calculated as the number of calendar days between the opening date of the advertisement and the date of the first notification.</w:t>
      </w:r>
    </w:p>
    <w:p w14:paraId="2037F681" w14:textId="77777777" w:rsidR="004E3F2A" w:rsidRPr="004E3F2A" w:rsidRDefault="004E3F2A" w:rsidP="004E3F2A">
      <w:pPr>
        <w:tabs>
          <w:tab w:val="left" w:pos="4788"/>
        </w:tabs>
        <w:rPr>
          <w:rStyle w:val="lev"/>
          <w:rFonts w:asciiTheme="minorHAnsi" w:hAnsiTheme="minorHAnsi" w:cstheme="minorHAnsi"/>
          <w:sz w:val="22"/>
          <w:szCs w:val="24"/>
          <w:lang w:val="en-CA"/>
        </w:rPr>
      </w:pPr>
      <w:r w:rsidRPr="004E3F2A">
        <w:rPr>
          <w:rStyle w:val="lev"/>
          <w:rFonts w:asciiTheme="minorHAnsi" w:hAnsiTheme="minorHAnsi" w:cstheme="minorHAnsi"/>
          <w:sz w:val="22"/>
          <w:szCs w:val="24"/>
          <w:lang w:val="en-CA"/>
        </w:rPr>
        <w:t>Internal time to staff for fiscal year 2018 to 2019</w:t>
      </w:r>
    </w:p>
    <w:p w14:paraId="78081D66" w14:textId="261145F0" w:rsidR="004E3F2A" w:rsidRDefault="004E3F2A" w:rsidP="004E3F2A">
      <w:pPr>
        <w:tabs>
          <w:tab w:val="left" w:pos="4788"/>
        </w:tabs>
        <w:rPr>
          <w:rFonts w:asciiTheme="minorHAnsi" w:hAnsiTheme="minorHAnsi" w:cstheme="minorHAnsi"/>
          <w:sz w:val="22"/>
          <w:szCs w:val="24"/>
          <w:lang w:val="en-CA"/>
        </w:rPr>
        <w:sectPr w:rsidR="004E3F2A" w:rsidSect="00985A43">
          <w:pgSz w:w="15840" w:h="12240" w:orient="landscape"/>
          <w:pgMar w:top="1025" w:right="720" w:bottom="720" w:left="720" w:header="708" w:footer="397" w:gutter="0"/>
          <w:cols w:space="708"/>
          <w:titlePg/>
          <w:docGrid w:linePitch="360"/>
        </w:sectPr>
      </w:pPr>
      <w:r w:rsidRPr="004E3F2A">
        <w:rPr>
          <w:rFonts w:asciiTheme="minorHAnsi" w:hAnsiTheme="minorHAnsi" w:cstheme="minorHAnsi"/>
          <w:sz w:val="22"/>
          <w:szCs w:val="24"/>
          <w:lang w:val="en-CA"/>
        </w:rPr>
        <w:t>The median internal time to staff for the public service (organizations subject to the Public Service Employment Act) for fiscal year 2018 to 2019 is 176 days. The data is insufficient for providing results on internal process times for the</w:t>
      </w:r>
      <w:r w:rsidR="003222DC">
        <w:rPr>
          <w:rFonts w:asciiTheme="minorHAnsi" w:hAnsiTheme="minorHAnsi" w:cstheme="minorHAnsi"/>
          <w:sz w:val="22"/>
          <w:szCs w:val="24"/>
          <w:lang w:val="en-CA"/>
        </w:rPr>
        <w:t xml:space="preserve"> International Joint Commission</w:t>
      </w:r>
    </w:p>
    <w:p w14:paraId="10D3AEBD" w14:textId="2FB51CBE" w:rsidR="003222DC" w:rsidRPr="003222DC" w:rsidRDefault="003222DC" w:rsidP="003222DC">
      <w:pPr>
        <w:pStyle w:val="Titre1"/>
        <w:spacing w:before="120" w:after="120"/>
        <w:rPr>
          <w:sz w:val="40"/>
        </w:rPr>
      </w:pPr>
      <w:r w:rsidRPr="003222DC">
        <w:rPr>
          <w:sz w:val="40"/>
        </w:rPr>
        <w:lastRenderedPageBreak/>
        <w:t>Internal Time to Staff</w:t>
      </w:r>
    </w:p>
    <w:p w14:paraId="689994C0" w14:textId="2C053BD3" w:rsidR="00F8478B" w:rsidRDefault="00F8478B" w:rsidP="00F8478B">
      <w:pPr>
        <w:pStyle w:val="Lgende"/>
        <w:keepNext/>
      </w:pPr>
      <w:r>
        <w:t xml:space="preserve">Table </w:t>
      </w:r>
      <w:r>
        <w:fldChar w:fldCharType="begin"/>
      </w:r>
      <w:r>
        <w:instrText xml:space="preserve"> SEQ Table \* ARABIC </w:instrText>
      </w:r>
      <w:r>
        <w:fldChar w:fldCharType="separate"/>
      </w:r>
      <w:r w:rsidR="0016520F">
        <w:rPr>
          <w:noProof/>
        </w:rPr>
        <w:t>12</w:t>
      </w:r>
      <w:r>
        <w:fldChar w:fldCharType="end"/>
      </w:r>
      <w:r>
        <w:t xml:space="preserve"> - </w:t>
      </w:r>
      <w:r w:rsidRPr="00256C13">
        <w:t>Internal Time to Staff</w:t>
      </w:r>
    </w:p>
    <w:tbl>
      <w:tblPr>
        <w:tblStyle w:val="Grilledutableau"/>
        <w:tblpPr w:leftFromText="180" w:rightFromText="180" w:vertAnchor="text" w:tblpY="1"/>
        <w:tblOverlap w:val="never"/>
        <w:tblW w:w="0" w:type="auto"/>
        <w:tblLook w:val="00A0" w:firstRow="1" w:lastRow="0" w:firstColumn="1" w:lastColumn="0" w:noHBand="0" w:noVBand="0"/>
        <w:tblDescription w:val="Internal time to staff"/>
      </w:tblPr>
      <w:tblGrid>
        <w:gridCol w:w="2965"/>
        <w:gridCol w:w="17458"/>
      </w:tblGrid>
      <w:tr w:rsidR="00F8478B" w:rsidRPr="00E628AA" w14:paraId="302A3FE0" w14:textId="77777777" w:rsidTr="00535B86">
        <w:trPr>
          <w:cantSplit/>
          <w:trHeight w:val="290"/>
          <w:tblHeader/>
        </w:trPr>
        <w:tc>
          <w:tcPr>
            <w:tcW w:w="0" w:type="auto"/>
          </w:tcPr>
          <w:p w14:paraId="60062AB5" w14:textId="77777777" w:rsidR="00F8478B" w:rsidRPr="004B1219" w:rsidRDefault="00F8478B" w:rsidP="00C830B4">
            <w:pPr>
              <w:pStyle w:val="TableTitle"/>
              <w:rPr>
                <w:color w:val="auto"/>
                <w:sz w:val="22"/>
                <w:szCs w:val="22"/>
                <w:lang w:val="en-CA"/>
              </w:rPr>
            </w:pPr>
            <w:r w:rsidRPr="004B1219">
              <w:rPr>
                <w:color w:val="auto"/>
                <w:sz w:val="22"/>
                <w:szCs w:val="22"/>
                <w:lang w:val="en-CA"/>
              </w:rPr>
              <w:br w:type="page"/>
            </w:r>
            <w:bookmarkStart w:id="5" w:name="Internal_time_to_staff"/>
            <w:r w:rsidRPr="004B1219">
              <w:rPr>
                <w:color w:val="auto"/>
                <w:sz w:val="22"/>
                <w:szCs w:val="22"/>
                <w:lang w:val="en-CA"/>
              </w:rPr>
              <w:t>Number of calendar days</w:t>
            </w:r>
            <w:bookmarkEnd w:id="5"/>
          </w:p>
        </w:tc>
        <w:tc>
          <w:tcPr>
            <w:tcW w:w="0" w:type="auto"/>
          </w:tcPr>
          <w:p w14:paraId="67A1403D" w14:textId="77777777" w:rsidR="00F8478B" w:rsidRPr="004B1219" w:rsidRDefault="00F8478B" w:rsidP="00C830B4">
            <w:pPr>
              <w:pStyle w:val="TableTitle"/>
              <w:rPr>
                <w:color w:val="auto"/>
                <w:sz w:val="22"/>
                <w:szCs w:val="22"/>
                <w:lang w:val="en-CA"/>
              </w:rPr>
            </w:pPr>
            <w:r w:rsidRPr="004B1219">
              <w:rPr>
                <w:color w:val="auto"/>
                <w:sz w:val="22"/>
                <w:szCs w:val="22"/>
                <w:lang w:val="en-CA"/>
              </w:rPr>
              <w:t>The number of internal appointments for which the TTS-IA was within the specified number of calendar days  for organizations subject to the Public Service Employment Act</w:t>
            </w:r>
          </w:p>
        </w:tc>
      </w:tr>
      <w:tr w:rsidR="00F8478B" w:rsidRPr="00E628AA" w14:paraId="33E446AC" w14:textId="77777777" w:rsidTr="00535B86">
        <w:trPr>
          <w:cantSplit/>
          <w:trHeight w:val="290"/>
          <w:tblHeader/>
        </w:trPr>
        <w:tc>
          <w:tcPr>
            <w:tcW w:w="0" w:type="auto"/>
          </w:tcPr>
          <w:p w14:paraId="5FE13470" w14:textId="77777777" w:rsidR="00F8478B" w:rsidRPr="004B1219" w:rsidRDefault="00F8478B" w:rsidP="00C830B4">
            <w:pPr>
              <w:autoSpaceDE w:val="0"/>
              <w:autoSpaceDN w:val="0"/>
              <w:adjustRightInd w:val="0"/>
              <w:rPr>
                <w:rFonts w:asciiTheme="minorHAnsi" w:hAnsiTheme="minorHAnsi" w:cstheme="minorHAnsi"/>
                <w:color w:val="000000"/>
                <w:sz w:val="22"/>
                <w:szCs w:val="22"/>
                <w:lang w:val="en-CA"/>
              </w:rPr>
            </w:pPr>
            <w:r w:rsidRPr="004B1219">
              <w:rPr>
                <w:rFonts w:asciiTheme="minorHAnsi" w:hAnsiTheme="minorHAnsi" w:cstheme="minorHAnsi"/>
                <w:color w:val="000000"/>
                <w:sz w:val="22"/>
                <w:szCs w:val="22"/>
                <w:lang w:val="en-CA"/>
              </w:rPr>
              <w:t>0 calendar days</w:t>
            </w:r>
          </w:p>
        </w:tc>
        <w:tc>
          <w:tcPr>
            <w:tcW w:w="0" w:type="auto"/>
          </w:tcPr>
          <w:p w14:paraId="5DA59224" w14:textId="77777777" w:rsidR="00F8478B" w:rsidRPr="004B1219" w:rsidRDefault="00F8478B" w:rsidP="00C830B4">
            <w:pPr>
              <w:autoSpaceDE w:val="0"/>
              <w:autoSpaceDN w:val="0"/>
              <w:adjustRightInd w:val="0"/>
              <w:jc w:val="center"/>
              <w:rPr>
                <w:rFonts w:asciiTheme="minorHAnsi" w:hAnsiTheme="minorHAnsi" w:cstheme="minorHAnsi"/>
                <w:color w:val="000000"/>
                <w:sz w:val="22"/>
                <w:szCs w:val="22"/>
                <w:lang w:val="en-CA"/>
              </w:rPr>
            </w:pPr>
            <w:r w:rsidRPr="004B1219">
              <w:rPr>
                <w:rFonts w:asciiTheme="minorHAnsi" w:hAnsiTheme="minorHAnsi" w:cstheme="minorHAnsi"/>
                <w:color w:val="000000"/>
                <w:sz w:val="22"/>
                <w:szCs w:val="22"/>
                <w:lang w:val="en-CA"/>
              </w:rPr>
              <w:t>0</w:t>
            </w:r>
          </w:p>
        </w:tc>
      </w:tr>
      <w:tr w:rsidR="00F8478B" w:rsidRPr="00E628AA" w14:paraId="6D59DA1B" w14:textId="77777777" w:rsidTr="00535B86">
        <w:trPr>
          <w:cantSplit/>
          <w:trHeight w:val="290"/>
          <w:tblHeader/>
        </w:trPr>
        <w:tc>
          <w:tcPr>
            <w:tcW w:w="0" w:type="auto"/>
          </w:tcPr>
          <w:p w14:paraId="5777F4EC" w14:textId="77777777" w:rsidR="00F8478B" w:rsidRPr="004B1219" w:rsidRDefault="00F8478B" w:rsidP="00C830B4">
            <w:pPr>
              <w:autoSpaceDE w:val="0"/>
              <w:autoSpaceDN w:val="0"/>
              <w:adjustRightInd w:val="0"/>
              <w:rPr>
                <w:rFonts w:asciiTheme="minorHAnsi" w:hAnsiTheme="minorHAnsi" w:cstheme="minorHAnsi"/>
                <w:color w:val="000000"/>
                <w:sz w:val="22"/>
                <w:szCs w:val="22"/>
                <w:lang w:val="en-CA"/>
              </w:rPr>
            </w:pPr>
            <w:r w:rsidRPr="004B1219">
              <w:rPr>
                <w:rFonts w:asciiTheme="minorHAnsi" w:hAnsiTheme="minorHAnsi" w:cstheme="minorHAnsi"/>
                <w:color w:val="000000"/>
                <w:sz w:val="22"/>
                <w:szCs w:val="22"/>
                <w:lang w:val="en-CA"/>
              </w:rPr>
              <w:t>0 to 29 calendar days</w:t>
            </w:r>
          </w:p>
        </w:tc>
        <w:tc>
          <w:tcPr>
            <w:tcW w:w="0" w:type="auto"/>
          </w:tcPr>
          <w:p w14:paraId="2FFBE3AB" w14:textId="77777777" w:rsidR="00F8478B" w:rsidRPr="004B1219" w:rsidRDefault="00F8478B" w:rsidP="00C830B4">
            <w:pPr>
              <w:autoSpaceDE w:val="0"/>
              <w:autoSpaceDN w:val="0"/>
              <w:adjustRightInd w:val="0"/>
              <w:jc w:val="center"/>
              <w:rPr>
                <w:rFonts w:asciiTheme="minorHAnsi" w:hAnsiTheme="minorHAnsi" w:cstheme="minorHAnsi"/>
                <w:color w:val="000000"/>
                <w:sz w:val="22"/>
                <w:szCs w:val="22"/>
                <w:lang w:val="en-CA"/>
              </w:rPr>
            </w:pPr>
            <w:r w:rsidRPr="004B1219">
              <w:rPr>
                <w:rFonts w:asciiTheme="minorHAnsi" w:hAnsiTheme="minorHAnsi" w:cstheme="minorHAnsi"/>
                <w:color w:val="000000"/>
                <w:sz w:val="22"/>
                <w:szCs w:val="22"/>
                <w:lang w:val="en-CA"/>
              </w:rPr>
              <w:t>15</w:t>
            </w:r>
          </w:p>
        </w:tc>
      </w:tr>
      <w:tr w:rsidR="00F8478B" w:rsidRPr="00E628AA" w14:paraId="7208726E" w14:textId="77777777" w:rsidTr="00535B86">
        <w:trPr>
          <w:cantSplit/>
          <w:trHeight w:val="290"/>
          <w:tblHeader/>
        </w:trPr>
        <w:tc>
          <w:tcPr>
            <w:tcW w:w="0" w:type="auto"/>
          </w:tcPr>
          <w:p w14:paraId="2B11267C" w14:textId="77777777" w:rsidR="00F8478B" w:rsidRPr="004B1219" w:rsidRDefault="00F8478B" w:rsidP="00C830B4">
            <w:pPr>
              <w:autoSpaceDE w:val="0"/>
              <w:autoSpaceDN w:val="0"/>
              <w:adjustRightInd w:val="0"/>
              <w:rPr>
                <w:rFonts w:asciiTheme="minorHAnsi" w:hAnsiTheme="minorHAnsi" w:cstheme="minorHAnsi"/>
                <w:color w:val="000000"/>
                <w:sz w:val="22"/>
                <w:szCs w:val="22"/>
                <w:lang w:val="en-CA"/>
              </w:rPr>
            </w:pPr>
            <w:r w:rsidRPr="004B1219">
              <w:rPr>
                <w:rFonts w:asciiTheme="minorHAnsi" w:hAnsiTheme="minorHAnsi" w:cstheme="minorHAnsi"/>
                <w:color w:val="000000"/>
                <w:sz w:val="22"/>
                <w:szCs w:val="22"/>
                <w:lang w:val="en-CA"/>
              </w:rPr>
              <w:t>30 to 59 calendar days</w:t>
            </w:r>
          </w:p>
        </w:tc>
        <w:tc>
          <w:tcPr>
            <w:tcW w:w="0" w:type="auto"/>
          </w:tcPr>
          <w:p w14:paraId="4BFE3372" w14:textId="77777777" w:rsidR="00F8478B" w:rsidRPr="004B1219" w:rsidRDefault="00F8478B" w:rsidP="00C830B4">
            <w:pPr>
              <w:autoSpaceDE w:val="0"/>
              <w:autoSpaceDN w:val="0"/>
              <w:adjustRightInd w:val="0"/>
              <w:jc w:val="center"/>
              <w:rPr>
                <w:rFonts w:asciiTheme="minorHAnsi" w:hAnsiTheme="minorHAnsi" w:cstheme="minorHAnsi"/>
                <w:color w:val="000000"/>
                <w:sz w:val="22"/>
                <w:szCs w:val="22"/>
                <w:lang w:val="en-CA"/>
              </w:rPr>
            </w:pPr>
            <w:r w:rsidRPr="004B1219">
              <w:rPr>
                <w:rFonts w:asciiTheme="minorHAnsi" w:hAnsiTheme="minorHAnsi" w:cstheme="minorHAnsi"/>
                <w:color w:val="000000"/>
                <w:sz w:val="22"/>
                <w:szCs w:val="22"/>
                <w:lang w:val="en-CA"/>
              </w:rPr>
              <w:t>124</w:t>
            </w:r>
          </w:p>
        </w:tc>
      </w:tr>
      <w:tr w:rsidR="00F8478B" w:rsidRPr="00E628AA" w14:paraId="081C3867" w14:textId="77777777" w:rsidTr="00535B86">
        <w:trPr>
          <w:cantSplit/>
          <w:trHeight w:val="290"/>
          <w:tblHeader/>
        </w:trPr>
        <w:tc>
          <w:tcPr>
            <w:tcW w:w="0" w:type="auto"/>
          </w:tcPr>
          <w:p w14:paraId="491AD3E1" w14:textId="77777777" w:rsidR="00F8478B" w:rsidRPr="004B1219" w:rsidRDefault="00F8478B" w:rsidP="00C830B4">
            <w:pPr>
              <w:autoSpaceDE w:val="0"/>
              <w:autoSpaceDN w:val="0"/>
              <w:adjustRightInd w:val="0"/>
              <w:rPr>
                <w:rFonts w:asciiTheme="minorHAnsi" w:hAnsiTheme="minorHAnsi" w:cstheme="minorHAnsi"/>
                <w:color w:val="000000"/>
                <w:sz w:val="22"/>
                <w:szCs w:val="22"/>
                <w:lang w:val="en-CA"/>
              </w:rPr>
            </w:pPr>
            <w:r w:rsidRPr="004B1219">
              <w:rPr>
                <w:rFonts w:asciiTheme="minorHAnsi" w:hAnsiTheme="minorHAnsi" w:cstheme="minorHAnsi"/>
                <w:color w:val="000000"/>
                <w:sz w:val="22"/>
                <w:szCs w:val="22"/>
                <w:lang w:val="en-CA"/>
              </w:rPr>
              <w:t>60 to 89 calendar days</w:t>
            </w:r>
          </w:p>
        </w:tc>
        <w:tc>
          <w:tcPr>
            <w:tcW w:w="0" w:type="auto"/>
          </w:tcPr>
          <w:p w14:paraId="253F4A90" w14:textId="77777777" w:rsidR="00F8478B" w:rsidRPr="004B1219" w:rsidRDefault="00F8478B" w:rsidP="00C830B4">
            <w:pPr>
              <w:autoSpaceDE w:val="0"/>
              <w:autoSpaceDN w:val="0"/>
              <w:adjustRightInd w:val="0"/>
              <w:jc w:val="center"/>
              <w:rPr>
                <w:rFonts w:asciiTheme="minorHAnsi" w:hAnsiTheme="minorHAnsi" w:cstheme="minorHAnsi"/>
                <w:color w:val="000000"/>
                <w:sz w:val="22"/>
                <w:szCs w:val="22"/>
                <w:lang w:val="en-CA"/>
              </w:rPr>
            </w:pPr>
            <w:r w:rsidRPr="004B1219">
              <w:rPr>
                <w:rFonts w:asciiTheme="minorHAnsi" w:hAnsiTheme="minorHAnsi" w:cstheme="minorHAnsi"/>
                <w:color w:val="000000"/>
                <w:sz w:val="22"/>
                <w:szCs w:val="22"/>
                <w:lang w:val="en-CA"/>
              </w:rPr>
              <w:t>265</w:t>
            </w:r>
          </w:p>
        </w:tc>
      </w:tr>
      <w:tr w:rsidR="00F8478B" w:rsidRPr="00E628AA" w14:paraId="6BFEF415" w14:textId="77777777" w:rsidTr="00535B86">
        <w:trPr>
          <w:cantSplit/>
          <w:trHeight w:val="290"/>
          <w:tblHeader/>
        </w:trPr>
        <w:tc>
          <w:tcPr>
            <w:tcW w:w="0" w:type="auto"/>
          </w:tcPr>
          <w:p w14:paraId="3DAC82D6" w14:textId="77777777" w:rsidR="00F8478B" w:rsidRPr="004B1219" w:rsidRDefault="00F8478B" w:rsidP="00C830B4">
            <w:pPr>
              <w:autoSpaceDE w:val="0"/>
              <w:autoSpaceDN w:val="0"/>
              <w:adjustRightInd w:val="0"/>
              <w:rPr>
                <w:rFonts w:asciiTheme="minorHAnsi" w:hAnsiTheme="minorHAnsi" w:cstheme="minorHAnsi"/>
                <w:color w:val="000000"/>
                <w:sz w:val="22"/>
                <w:szCs w:val="22"/>
                <w:lang w:val="en-CA"/>
              </w:rPr>
            </w:pPr>
            <w:r w:rsidRPr="004B1219">
              <w:rPr>
                <w:rFonts w:asciiTheme="minorHAnsi" w:hAnsiTheme="minorHAnsi" w:cstheme="minorHAnsi"/>
                <w:color w:val="000000"/>
                <w:sz w:val="22"/>
                <w:szCs w:val="22"/>
                <w:lang w:val="en-CA"/>
              </w:rPr>
              <w:t>90 to 119 calendar days</w:t>
            </w:r>
          </w:p>
        </w:tc>
        <w:tc>
          <w:tcPr>
            <w:tcW w:w="0" w:type="auto"/>
          </w:tcPr>
          <w:p w14:paraId="1E242728" w14:textId="77777777" w:rsidR="00F8478B" w:rsidRPr="004B1219" w:rsidRDefault="00F8478B" w:rsidP="00C830B4">
            <w:pPr>
              <w:autoSpaceDE w:val="0"/>
              <w:autoSpaceDN w:val="0"/>
              <w:adjustRightInd w:val="0"/>
              <w:jc w:val="center"/>
              <w:rPr>
                <w:rFonts w:asciiTheme="minorHAnsi" w:hAnsiTheme="minorHAnsi" w:cstheme="minorHAnsi"/>
                <w:color w:val="000000"/>
                <w:sz w:val="22"/>
                <w:szCs w:val="22"/>
                <w:lang w:val="en-CA"/>
              </w:rPr>
            </w:pPr>
            <w:r w:rsidRPr="004B1219">
              <w:rPr>
                <w:rFonts w:asciiTheme="minorHAnsi" w:hAnsiTheme="minorHAnsi" w:cstheme="minorHAnsi"/>
                <w:color w:val="000000"/>
                <w:sz w:val="22"/>
                <w:szCs w:val="22"/>
                <w:lang w:val="en-CA"/>
              </w:rPr>
              <w:t>384</w:t>
            </w:r>
          </w:p>
        </w:tc>
      </w:tr>
      <w:tr w:rsidR="00F8478B" w:rsidRPr="00E628AA" w14:paraId="474D5AD5" w14:textId="77777777" w:rsidTr="00535B86">
        <w:trPr>
          <w:cantSplit/>
          <w:trHeight w:val="290"/>
          <w:tblHeader/>
        </w:trPr>
        <w:tc>
          <w:tcPr>
            <w:tcW w:w="0" w:type="auto"/>
          </w:tcPr>
          <w:p w14:paraId="2EE6BF91" w14:textId="77777777" w:rsidR="00F8478B" w:rsidRPr="004B1219" w:rsidRDefault="00F8478B" w:rsidP="00C830B4">
            <w:pPr>
              <w:autoSpaceDE w:val="0"/>
              <w:autoSpaceDN w:val="0"/>
              <w:adjustRightInd w:val="0"/>
              <w:rPr>
                <w:rFonts w:asciiTheme="minorHAnsi" w:hAnsiTheme="minorHAnsi" w:cstheme="minorHAnsi"/>
                <w:color w:val="000000"/>
                <w:sz w:val="22"/>
                <w:szCs w:val="22"/>
                <w:lang w:val="en-CA"/>
              </w:rPr>
            </w:pPr>
            <w:r w:rsidRPr="004B1219">
              <w:rPr>
                <w:rFonts w:asciiTheme="minorHAnsi" w:hAnsiTheme="minorHAnsi" w:cstheme="minorHAnsi"/>
                <w:color w:val="000000"/>
                <w:sz w:val="22"/>
                <w:szCs w:val="22"/>
                <w:lang w:val="en-CA"/>
              </w:rPr>
              <w:t>120 to 149 calendar days</w:t>
            </w:r>
          </w:p>
        </w:tc>
        <w:tc>
          <w:tcPr>
            <w:tcW w:w="0" w:type="auto"/>
          </w:tcPr>
          <w:p w14:paraId="654FF3EB" w14:textId="77777777" w:rsidR="00F8478B" w:rsidRPr="004B1219" w:rsidRDefault="00F8478B" w:rsidP="00C830B4">
            <w:pPr>
              <w:autoSpaceDE w:val="0"/>
              <w:autoSpaceDN w:val="0"/>
              <w:adjustRightInd w:val="0"/>
              <w:jc w:val="center"/>
              <w:rPr>
                <w:rFonts w:asciiTheme="minorHAnsi" w:hAnsiTheme="minorHAnsi" w:cstheme="minorHAnsi"/>
                <w:color w:val="000000"/>
                <w:sz w:val="22"/>
                <w:szCs w:val="22"/>
                <w:lang w:val="en-CA"/>
              </w:rPr>
            </w:pPr>
            <w:r w:rsidRPr="004B1219">
              <w:rPr>
                <w:rFonts w:asciiTheme="minorHAnsi" w:hAnsiTheme="minorHAnsi" w:cstheme="minorHAnsi"/>
                <w:color w:val="000000"/>
                <w:sz w:val="22"/>
                <w:szCs w:val="22"/>
                <w:lang w:val="en-CA"/>
              </w:rPr>
              <w:t>354</w:t>
            </w:r>
          </w:p>
        </w:tc>
      </w:tr>
      <w:tr w:rsidR="00F8478B" w:rsidRPr="00E628AA" w14:paraId="578B1BC0" w14:textId="77777777" w:rsidTr="00535B86">
        <w:trPr>
          <w:cantSplit/>
          <w:trHeight w:val="290"/>
          <w:tblHeader/>
        </w:trPr>
        <w:tc>
          <w:tcPr>
            <w:tcW w:w="0" w:type="auto"/>
          </w:tcPr>
          <w:p w14:paraId="7DA27CC2" w14:textId="77777777" w:rsidR="00F8478B" w:rsidRPr="004B1219" w:rsidRDefault="00F8478B" w:rsidP="00C830B4">
            <w:pPr>
              <w:autoSpaceDE w:val="0"/>
              <w:autoSpaceDN w:val="0"/>
              <w:adjustRightInd w:val="0"/>
              <w:rPr>
                <w:rFonts w:asciiTheme="minorHAnsi" w:hAnsiTheme="minorHAnsi" w:cstheme="minorHAnsi"/>
                <w:color w:val="000000"/>
                <w:sz w:val="22"/>
                <w:szCs w:val="22"/>
                <w:lang w:val="en-CA"/>
              </w:rPr>
            </w:pPr>
            <w:r w:rsidRPr="004B1219">
              <w:rPr>
                <w:rFonts w:asciiTheme="minorHAnsi" w:hAnsiTheme="minorHAnsi" w:cstheme="minorHAnsi"/>
                <w:color w:val="000000"/>
                <w:sz w:val="22"/>
                <w:szCs w:val="22"/>
                <w:lang w:val="en-CA"/>
              </w:rPr>
              <w:t>150 to 179 calendar days</w:t>
            </w:r>
          </w:p>
        </w:tc>
        <w:tc>
          <w:tcPr>
            <w:tcW w:w="0" w:type="auto"/>
          </w:tcPr>
          <w:p w14:paraId="5D992772" w14:textId="77777777" w:rsidR="00F8478B" w:rsidRPr="004B1219" w:rsidRDefault="00F8478B" w:rsidP="00C830B4">
            <w:pPr>
              <w:autoSpaceDE w:val="0"/>
              <w:autoSpaceDN w:val="0"/>
              <w:adjustRightInd w:val="0"/>
              <w:jc w:val="center"/>
              <w:rPr>
                <w:rFonts w:asciiTheme="minorHAnsi" w:hAnsiTheme="minorHAnsi" w:cstheme="minorHAnsi"/>
                <w:color w:val="000000"/>
                <w:sz w:val="22"/>
                <w:szCs w:val="22"/>
                <w:lang w:val="en-CA"/>
              </w:rPr>
            </w:pPr>
            <w:r w:rsidRPr="004B1219">
              <w:rPr>
                <w:rFonts w:asciiTheme="minorHAnsi" w:hAnsiTheme="minorHAnsi" w:cstheme="minorHAnsi"/>
                <w:color w:val="000000"/>
                <w:sz w:val="22"/>
                <w:szCs w:val="22"/>
                <w:lang w:val="en-CA"/>
              </w:rPr>
              <w:t>311</w:t>
            </w:r>
          </w:p>
        </w:tc>
      </w:tr>
      <w:tr w:rsidR="00F8478B" w:rsidRPr="00E628AA" w14:paraId="29F0CAED" w14:textId="77777777" w:rsidTr="00535B86">
        <w:trPr>
          <w:cantSplit/>
          <w:trHeight w:val="290"/>
          <w:tblHeader/>
        </w:trPr>
        <w:tc>
          <w:tcPr>
            <w:tcW w:w="0" w:type="auto"/>
          </w:tcPr>
          <w:p w14:paraId="0EB47EB4" w14:textId="77777777" w:rsidR="00F8478B" w:rsidRPr="004B1219" w:rsidRDefault="00F8478B" w:rsidP="00C830B4">
            <w:pPr>
              <w:autoSpaceDE w:val="0"/>
              <w:autoSpaceDN w:val="0"/>
              <w:adjustRightInd w:val="0"/>
              <w:rPr>
                <w:rFonts w:asciiTheme="minorHAnsi" w:hAnsiTheme="minorHAnsi" w:cstheme="minorHAnsi"/>
                <w:color w:val="000000"/>
                <w:sz w:val="22"/>
                <w:szCs w:val="22"/>
                <w:lang w:val="en-CA"/>
              </w:rPr>
            </w:pPr>
            <w:r w:rsidRPr="004B1219">
              <w:rPr>
                <w:rFonts w:asciiTheme="minorHAnsi" w:hAnsiTheme="minorHAnsi" w:cstheme="minorHAnsi"/>
                <w:color w:val="000000"/>
                <w:sz w:val="22"/>
                <w:szCs w:val="22"/>
                <w:lang w:val="en-CA"/>
              </w:rPr>
              <w:t>180 to 209 calendar days</w:t>
            </w:r>
          </w:p>
        </w:tc>
        <w:tc>
          <w:tcPr>
            <w:tcW w:w="0" w:type="auto"/>
          </w:tcPr>
          <w:p w14:paraId="3D6D6CB9" w14:textId="77777777" w:rsidR="00F8478B" w:rsidRPr="004B1219" w:rsidRDefault="00F8478B" w:rsidP="00C830B4">
            <w:pPr>
              <w:autoSpaceDE w:val="0"/>
              <w:autoSpaceDN w:val="0"/>
              <w:adjustRightInd w:val="0"/>
              <w:jc w:val="center"/>
              <w:rPr>
                <w:rFonts w:asciiTheme="minorHAnsi" w:hAnsiTheme="minorHAnsi" w:cstheme="minorHAnsi"/>
                <w:color w:val="000000"/>
                <w:sz w:val="22"/>
                <w:szCs w:val="22"/>
                <w:lang w:val="en-CA"/>
              </w:rPr>
            </w:pPr>
            <w:r w:rsidRPr="004B1219">
              <w:rPr>
                <w:rFonts w:asciiTheme="minorHAnsi" w:hAnsiTheme="minorHAnsi" w:cstheme="minorHAnsi"/>
                <w:color w:val="000000"/>
                <w:sz w:val="22"/>
                <w:szCs w:val="22"/>
                <w:lang w:val="en-CA"/>
              </w:rPr>
              <w:t>269</w:t>
            </w:r>
          </w:p>
        </w:tc>
      </w:tr>
      <w:tr w:rsidR="00F8478B" w:rsidRPr="00E628AA" w14:paraId="4B216BAF" w14:textId="77777777" w:rsidTr="00535B86">
        <w:trPr>
          <w:cantSplit/>
          <w:trHeight w:val="290"/>
          <w:tblHeader/>
        </w:trPr>
        <w:tc>
          <w:tcPr>
            <w:tcW w:w="0" w:type="auto"/>
          </w:tcPr>
          <w:p w14:paraId="15A5B826" w14:textId="77777777" w:rsidR="00F8478B" w:rsidRPr="004B1219" w:rsidRDefault="00F8478B" w:rsidP="00C830B4">
            <w:pPr>
              <w:autoSpaceDE w:val="0"/>
              <w:autoSpaceDN w:val="0"/>
              <w:adjustRightInd w:val="0"/>
              <w:rPr>
                <w:rFonts w:asciiTheme="minorHAnsi" w:hAnsiTheme="minorHAnsi" w:cstheme="minorHAnsi"/>
                <w:color w:val="000000"/>
                <w:sz w:val="22"/>
                <w:szCs w:val="22"/>
                <w:lang w:val="en-CA"/>
              </w:rPr>
            </w:pPr>
            <w:r w:rsidRPr="004B1219">
              <w:rPr>
                <w:rFonts w:asciiTheme="minorHAnsi" w:hAnsiTheme="minorHAnsi" w:cstheme="minorHAnsi"/>
                <w:color w:val="000000"/>
                <w:sz w:val="22"/>
                <w:szCs w:val="22"/>
                <w:lang w:val="en-CA"/>
              </w:rPr>
              <w:t>210 to 239 calendar days</w:t>
            </w:r>
          </w:p>
        </w:tc>
        <w:tc>
          <w:tcPr>
            <w:tcW w:w="0" w:type="auto"/>
          </w:tcPr>
          <w:p w14:paraId="11963950" w14:textId="77777777" w:rsidR="00F8478B" w:rsidRPr="004B1219" w:rsidRDefault="00F8478B" w:rsidP="00C830B4">
            <w:pPr>
              <w:autoSpaceDE w:val="0"/>
              <w:autoSpaceDN w:val="0"/>
              <w:adjustRightInd w:val="0"/>
              <w:jc w:val="center"/>
              <w:rPr>
                <w:rFonts w:asciiTheme="minorHAnsi" w:hAnsiTheme="minorHAnsi" w:cstheme="minorHAnsi"/>
                <w:color w:val="000000"/>
                <w:sz w:val="22"/>
                <w:szCs w:val="22"/>
                <w:lang w:val="en-CA"/>
              </w:rPr>
            </w:pPr>
            <w:r w:rsidRPr="004B1219">
              <w:rPr>
                <w:rFonts w:asciiTheme="minorHAnsi" w:hAnsiTheme="minorHAnsi" w:cstheme="minorHAnsi"/>
                <w:color w:val="000000"/>
                <w:sz w:val="22"/>
                <w:szCs w:val="22"/>
                <w:lang w:val="en-CA"/>
              </w:rPr>
              <w:t>234</w:t>
            </w:r>
          </w:p>
        </w:tc>
      </w:tr>
      <w:tr w:rsidR="00F8478B" w:rsidRPr="00E628AA" w14:paraId="1C57B7ED" w14:textId="77777777" w:rsidTr="00535B86">
        <w:trPr>
          <w:cantSplit/>
          <w:trHeight w:val="290"/>
          <w:tblHeader/>
        </w:trPr>
        <w:tc>
          <w:tcPr>
            <w:tcW w:w="0" w:type="auto"/>
          </w:tcPr>
          <w:p w14:paraId="5C2CE633" w14:textId="77777777" w:rsidR="00F8478B" w:rsidRPr="004B1219" w:rsidRDefault="00F8478B" w:rsidP="00C830B4">
            <w:pPr>
              <w:autoSpaceDE w:val="0"/>
              <w:autoSpaceDN w:val="0"/>
              <w:adjustRightInd w:val="0"/>
              <w:rPr>
                <w:rFonts w:asciiTheme="minorHAnsi" w:hAnsiTheme="minorHAnsi" w:cstheme="minorHAnsi"/>
                <w:color w:val="000000"/>
                <w:sz w:val="22"/>
                <w:szCs w:val="22"/>
                <w:lang w:val="en-CA"/>
              </w:rPr>
            </w:pPr>
            <w:r w:rsidRPr="004B1219">
              <w:rPr>
                <w:rFonts w:asciiTheme="minorHAnsi" w:hAnsiTheme="minorHAnsi" w:cstheme="minorHAnsi"/>
                <w:color w:val="000000"/>
                <w:sz w:val="22"/>
                <w:szCs w:val="22"/>
                <w:lang w:val="en-CA"/>
              </w:rPr>
              <w:t>240 to 269 calendar days</w:t>
            </w:r>
          </w:p>
        </w:tc>
        <w:tc>
          <w:tcPr>
            <w:tcW w:w="0" w:type="auto"/>
          </w:tcPr>
          <w:p w14:paraId="41881343" w14:textId="77777777" w:rsidR="00F8478B" w:rsidRPr="004B1219" w:rsidRDefault="00F8478B" w:rsidP="00C830B4">
            <w:pPr>
              <w:autoSpaceDE w:val="0"/>
              <w:autoSpaceDN w:val="0"/>
              <w:adjustRightInd w:val="0"/>
              <w:jc w:val="center"/>
              <w:rPr>
                <w:rFonts w:asciiTheme="minorHAnsi" w:hAnsiTheme="minorHAnsi" w:cstheme="minorHAnsi"/>
                <w:color w:val="000000"/>
                <w:sz w:val="22"/>
                <w:szCs w:val="22"/>
                <w:lang w:val="en-CA"/>
              </w:rPr>
            </w:pPr>
            <w:r w:rsidRPr="004B1219">
              <w:rPr>
                <w:rFonts w:asciiTheme="minorHAnsi" w:hAnsiTheme="minorHAnsi" w:cstheme="minorHAnsi"/>
                <w:color w:val="000000"/>
                <w:sz w:val="22"/>
                <w:szCs w:val="22"/>
                <w:lang w:val="en-CA"/>
              </w:rPr>
              <w:t>159</w:t>
            </w:r>
          </w:p>
        </w:tc>
      </w:tr>
      <w:tr w:rsidR="00F8478B" w:rsidRPr="00E628AA" w14:paraId="49ED9F63" w14:textId="77777777" w:rsidTr="00535B86">
        <w:trPr>
          <w:cantSplit/>
          <w:trHeight w:val="290"/>
          <w:tblHeader/>
        </w:trPr>
        <w:tc>
          <w:tcPr>
            <w:tcW w:w="0" w:type="auto"/>
          </w:tcPr>
          <w:p w14:paraId="6C37B69E" w14:textId="77777777" w:rsidR="00F8478B" w:rsidRPr="004B1219" w:rsidRDefault="00F8478B" w:rsidP="00C830B4">
            <w:pPr>
              <w:autoSpaceDE w:val="0"/>
              <w:autoSpaceDN w:val="0"/>
              <w:adjustRightInd w:val="0"/>
              <w:rPr>
                <w:rFonts w:asciiTheme="minorHAnsi" w:hAnsiTheme="minorHAnsi" w:cstheme="minorHAnsi"/>
                <w:color w:val="000000"/>
                <w:sz w:val="22"/>
                <w:szCs w:val="22"/>
                <w:lang w:val="en-CA"/>
              </w:rPr>
            </w:pPr>
            <w:r w:rsidRPr="004B1219">
              <w:rPr>
                <w:rFonts w:asciiTheme="minorHAnsi" w:hAnsiTheme="minorHAnsi" w:cstheme="minorHAnsi"/>
                <w:color w:val="000000"/>
                <w:sz w:val="22"/>
                <w:szCs w:val="22"/>
                <w:lang w:val="en-CA"/>
              </w:rPr>
              <w:t>270 to 299 calendar days</w:t>
            </w:r>
          </w:p>
        </w:tc>
        <w:tc>
          <w:tcPr>
            <w:tcW w:w="0" w:type="auto"/>
          </w:tcPr>
          <w:p w14:paraId="3065BC18" w14:textId="77777777" w:rsidR="00F8478B" w:rsidRPr="004B1219" w:rsidRDefault="00F8478B" w:rsidP="00C830B4">
            <w:pPr>
              <w:autoSpaceDE w:val="0"/>
              <w:autoSpaceDN w:val="0"/>
              <w:adjustRightInd w:val="0"/>
              <w:jc w:val="center"/>
              <w:rPr>
                <w:rFonts w:asciiTheme="minorHAnsi" w:hAnsiTheme="minorHAnsi" w:cstheme="minorHAnsi"/>
                <w:color w:val="000000"/>
                <w:sz w:val="22"/>
                <w:szCs w:val="22"/>
                <w:lang w:val="en-CA"/>
              </w:rPr>
            </w:pPr>
            <w:r w:rsidRPr="004B1219">
              <w:rPr>
                <w:rFonts w:asciiTheme="minorHAnsi" w:hAnsiTheme="minorHAnsi" w:cstheme="minorHAnsi"/>
                <w:color w:val="000000"/>
                <w:sz w:val="22"/>
                <w:szCs w:val="22"/>
                <w:lang w:val="en-CA"/>
              </w:rPr>
              <w:t>128</w:t>
            </w:r>
          </w:p>
        </w:tc>
      </w:tr>
      <w:tr w:rsidR="00F8478B" w:rsidRPr="00E628AA" w14:paraId="6C8C580A" w14:textId="77777777" w:rsidTr="00535B86">
        <w:trPr>
          <w:cantSplit/>
          <w:trHeight w:val="290"/>
          <w:tblHeader/>
        </w:trPr>
        <w:tc>
          <w:tcPr>
            <w:tcW w:w="0" w:type="auto"/>
          </w:tcPr>
          <w:p w14:paraId="3C087B6C" w14:textId="77777777" w:rsidR="00F8478B" w:rsidRPr="004B1219" w:rsidRDefault="00F8478B" w:rsidP="00C830B4">
            <w:pPr>
              <w:autoSpaceDE w:val="0"/>
              <w:autoSpaceDN w:val="0"/>
              <w:adjustRightInd w:val="0"/>
              <w:rPr>
                <w:rFonts w:asciiTheme="minorHAnsi" w:hAnsiTheme="minorHAnsi" w:cstheme="minorHAnsi"/>
                <w:color w:val="000000"/>
                <w:sz w:val="22"/>
                <w:szCs w:val="22"/>
                <w:lang w:val="en-CA"/>
              </w:rPr>
            </w:pPr>
            <w:r w:rsidRPr="004B1219">
              <w:rPr>
                <w:rFonts w:asciiTheme="minorHAnsi" w:hAnsiTheme="minorHAnsi" w:cstheme="minorHAnsi"/>
                <w:color w:val="000000"/>
                <w:sz w:val="22"/>
                <w:szCs w:val="22"/>
                <w:lang w:val="en-CA"/>
              </w:rPr>
              <w:t>300 to 329 calendar days</w:t>
            </w:r>
          </w:p>
        </w:tc>
        <w:tc>
          <w:tcPr>
            <w:tcW w:w="0" w:type="auto"/>
          </w:tcPr>
          <w:p w14:paraId="2C73ABA3" w14:textId="77777777" w:rsidR="00F8478B" w:rsidRPr="004B1219" w:rsidRDefault="00F8478B" w:rsidP="00C830B4">
            <w:pPr>
              <w:autoSpaceDE w:val="0"/>
              <w:autoSpaceDN w:val="0"/>
              <w:adjustRightInd w:val="0"/>
              <w:jc w:val="center"/>
              <w:rPr>
                <w:rFonts w:asciiTheme="minorHAnsi" w:hAnsiTheme="minorHAnsi" w:cstheme="minorHAnsi"/>
                <w:color w:val="000000"/>
                <w:sz w:val="22"/>
                <w:szCs w:val="22"/>
                <w:lang w:val="en-CA"/>
              </w:rPr>
            </w:pPr>
            <w:r w:rsidRPr="004B1219">
              <w:rPr>
                <w:rFonts w:asciiTheme="minorHAnsi" w:hAnsiTheme="minorHAnsi" w:cstheme="minorHAnsi"/>
                <w:color w:val="000000"/>
                <w:sz w:val="22"/>
                <w:szCs w:val="22"/>
                <w:lang w:val="en-CA"/>
              </w:rPr>
              <w:t>102</w:t>
            </w:r>
          </w:p>
        </w:tc>
      </w:tr>
      <w:tr w:rsidR="00F8478B" w:rsidRPr="00E628AA" w14:paraId="017473D5" w14:textId="77777777" w:rsidTr="00535B86">
        <w:trPr>
          <w:cantSplit/>
          <w:trHeight w:val="290"/>
          <w:tblHeader/>
        </w:trPr>
        <w:tc>
          <w:tcPr>
            <w:tcW w:w="0" w:type="auto"/>
          </w:tcPr>
          <w:p w14:paraId="5F1A70F1" w14:textId="77777777" w:rsidR="00F8478B" w:rsidRPr="004B1219" w:rsidRDefault="00F8478B" w:rsidP="00C830B4">
            <w:pPr>
              <w:autoSpaceDE w:val="0"/>
              <w:autoSpaceDN w:val="0"/>
              <w:adjustRightInd w:val="0"/>
              <w:rPr>
                <w:rFonts w:asciiTheme="minorHAnsi" w:hAnsiTheme="minorHAnsi" w:cstheme="minorHAnsi"/>
                <w:color w:val="000000"/>
                <w:sz w:val="22"/>
                <w:szCs w:val="22"/>
                <w:lang w:val="en-CA"/>
              </w:rPr>
            </w:pPr>
            <w:r w:rsidRPr="004B1219">
              <w:rPr>
                <w:rFonts w:asciiTheme="minorHAnsi" w:hAnsiTheme="minorHAnsi" w:cstheme="minorHAnsi"/>
                <w:color w:val="000000"/>
                <w:sz w:val="22"/>
                <w:szCs w:val="22"/>
                <w:lang w:val="en-CA"/>
              </w:rPr>
              <w:t>330 to 359 calendar days</w:t>
            </w:r>
          </w:p>
        </w:tc>
        <w:tc>
          <w:tcPr>
            <w:tcW w:w="0" w:type="auto"/>
          </w:tcPr>
          <w:p w14:paraId="146BAA64" w14:textId="77777777" w:rsidR="00F8478B" w:rsidRPr="004B1219" w:rsidRDefault="00F8478B" w:rsidP="00C830B4">
            <w:pPr>
              <w:autoSpaceDE w:val="0"/>
              <w:autoSpaceDN w:val="0"/>
              <w:adjustRightInd w:val="0"/>
              <w:jc w:val="center"/>
              <w:rPr>
                <w:rFonts w:asciiTheme="minorHAnsi" w:hAnsiTheme="minorHAnsi" w:cstheme="minorHAnsi"/>
                <w:color w:val="000000"/>
                <w:sz w:val="22"/>
                <w:szCs w:val="22"/>
                <w:lang w:val="en-CA"/>
              </w:rPr>
            </w:pPr>
            <w:r w:rsidRPr="004B1219">
              <w:rPr>
                <w:rFonts w:asciiTheme="minorHAnsi" w:hAnsiTheme="minorHAnsi" w:cstheme="minorHAnsi"/>
                <w:color w:val="000000"/>
                <w:sz w:val="22"/>
                <w:szCs w:val="22"/>
                <w:lang w:val="en-CA"/>
              </w:rPr>
              <w:t>77</w:t>
            </w:r>
          </w:p>
        </w:tc>
      </w:tr>
      <w:tr w:rsidR="00F8478B" w:rsidRPr="00E628AA" w14:paraId="2432E5A4" w14:textId="77777777" w:rsidTr="00535B86">
        <w:trPr>
          <w:cantSplit/>
          <w:trHeight w:val="290"/>
          <w:tblHeader/>
        </w:trPr>
        <w:tc>
          <w:tcPr>
            <w:tcW w:w="0" w:type="auto"/>
          </w:tcPr>
          <w:p w14:paraId="6B8C5A03" w14:textId="77777777" w:rsidR="00F8478B" w:rsidRPr="004B1219" w:rsidRDefault="00F8478B" w:rsidP="00C830B4">
            <w:pPr>
              <w:autoSpaceDE w:val="0"/>
              <w:autoSpaceDN w:val="0"/>
              <w:adjustRightInd w:val="0"/>
              <w:rPr>
                <w:rFonts w:asciiTheme="minorHAnsi" w:hAnsiTheme="minorHAnsi" w:cstheme="minorHAnsi"/>
                <w:color w:val="000000"/>
                <w:sz w:val="22"/>
                <w:szCs w:val="22"/>
                <w:lang w:val="en-CA"/>
              </w:rPr>
            </w:pPr>
            <w:r w:rsidRPr="004B1219">
              <w:rPr>
                <w:rFonts w:asciiTheme="minorHAnsi" w:hAnsiTheme="minorHAnsi" w:cstheme="minorHAnsi"/>
                <w:color w:val="000000"/>
                <w:sz w:val="22"/>
                <w:szCs w:val="22"/>
                <w:lang w:val="en-CA"/>
              </w:rPr>
              <w:t>360 to 389 calendar days</w:t>
            </w:r>
          </w:p>
        </w:tc>
        <w:tc>
          <w:tcPr>
            <w:tcW w:w="0" w:type="auto"/>
          </w:tcPr>
          <w:p w14:paraId="026628AB" w14:textId="77777777" w:rsidR="00F8478B" w:rsidRPr="004B1219" w:rsidRDefault="00F8478B" w:rsidP="00C830B4">
            <w:pPr>
              <w:autoSpaceDE w:val="0"/>
              <w:autoSpaceDN w:val="0"/>
              <w:adjustRightInd w:val="0"/>
              <w:jc w:val="center"/>
              <w:rPr>
                <w:rFonts w:asciiTheme="minorHAnsi" w:hAnsiTheme="minorHAnsi" w:cstheme="minorHAnsi"/>
                <w:color w:val="000000"/>
                <w:sz w:val="22"/>
                <w:szCs w:val="22"/>
                <w:lang w:val="en-CA"/>
              </w:rPr>
            </w:pPr>
            <w:r w:rsidRPr="004B1219">
              <w:rPr>
                <w:rFonts w:asciiTheme="minorHAnsi" w:hAnsiTheme="minorHAnsi" w:cstheme="minorHAnsi"/>
                <w:color w:val="000000"/>
                <w:sz w:val="22"/>
                <w:szCs w:val="22"/>
                <w:lang w:val="en-CA"/>
              </w:rPr>
              <w:t>58</w:t>
            </w:r>
          </w:p>
        </w:tc>
      </w:tr>
      <w:tr w:rsidR="00F8478B" w:rsidRPr="00E628AA" w14:paraId="2F3A810F" w14:textId="77777777" w:rsidTr="00535B86">
        <w:trPr>
          <w:cantSplit/>
          <w:trHeight w:val="290"/>
          <w:tblHeader/>
        </w:trPr>
        <w:tc>
          <w:tcPr>
            <w:tcW w:w="0" w:type="auto"/>
          </w:tcPr>
          <w:p w14:paraId="4FA07CED" w14:textId="77777777" w:rsidR="00F8478B" w:rsidRPr="004B1219" w:rsidRDefault="00F8478B" w:rsidP="00C830B4">
            <w:pPr>
              <w:autoSpaceDE w:val="0"/>
              <w:autoSpaceDN w:val="0"/>
              <w:adjustRightInd w:val="0"/>
              <w:rPr>
                <w:rFonts w:asciiTheme="minorHAnsi" w:hAnsiTheme="minorHAnsi" w:cstheme="minorHAnsi"/>
                <w:color w:val="000000"/>
                <w:sz w:val="22"/>
                <w:szCs w:val="22"/>
                <w:lang w:val="en-CA"/>
              </w:rPr>
            </w:pPr>
            <w:r w:rsidRPr="004B1219">
              <w:rPr>
                <w:rFonts w:asciiTheme="minorHAnsi" w:hAnsiTheme="minorHAnsi" w:cstheme="minorHAnsi"/>
                <w:color w:val="000000"/>
                <w:sz w:val="22"/>
                <w:szCs w:val="22"/>
                <w:lang w:val="en-CA"/>
              </w:rPr>
              <w:t>390 to 419 calendar days</w:t>
            </w:r>
          </w:p>
        </w:tc>
        <w:tc>
          <w:tcPr>
            <w:tcW w:w="0" w:type="auto"/>
          </w:tcPr>
          <w:p w14:paraId="5AE5715A" w14:textId="77777777" w:rsidR="00F8478B" w:rsidRPr="004B1219" w:rsidRDefault="00F8478B" w:rsidP="00C830B4">
            <w:pPr>
              <w:autoSpaceDE w:val="0"/>
              <w:autoSpaceDN w:val="0"/>
              <w:adjustRightInd w:val="0"/>
              <w:jc w:val="center"/>
              <w:rPr>
                <w:rFonts w:asciiTheme="minorHAnsi" w:hAnsiTheme="minorHAnsi" w:cstheme="minorHAnsi"/>
                <w:color w:val="000000"/>
                <w:sz w:val="22"/>
                <w:szCs w:val="22"/>
                <w:lang w:val="en-CA"/>
              </w:rPr>
            </w:pPr>
            <w:r w:rsidRPr="004B1219">
              <w:rPr>
                <w:rFonts w:asciiTheme="minorHAnsi" w:hAnsiTheme="minorHAnsi" w:cstheme="minorHAnsi"/>
                <w:color w:val="000000"/>
                <w:sz w:val="22"/>
                <w:szCs w:val="22"/>
                <w:lang w:val="en-CA"/>
              </w:rPr>
              <w:t>51</w:t>
            </w:r>
          </w:p>
        </w:tc>
      </w:tr>
      <w:tr w:rsidR="00F8478B" w:rsidRPr="00E628AA" w14:paraId="6972A53D" w14:textId="77777777" w:rsidTr="00535B86">
        <w:trPr>
          <w:cantSplit/>
          <w:trHeight w:val="290"/>
          <w:tblHeader/>
        </w:trPr>
        <w:tc>
          <w:tcPr>
            <w:tcW w:w="0" w:type="auto"/>
          </w:tcPr>
          <w:p w14:paraId="7275DD7C" w14:textId="77777777" w:rsidR="00F8478B" w:rsidRPr="004B1219" w:rsidRDefault="00F8478B" w:rsidP="00C830B4">
            <w:pPr>
              <w:autoSpaceDE w:val="0"/>
              <w:autoSpaceDN w:val="0"/>
              <w:adjustRightInd w:val="0"/>
              <w:rPr>
                <w:rFonts w:asciiTheme="minorHAnsi" w:hAnsiTheme="minorHAnsi" w:cstheme="minorHAnsi"/>
                <w:color w:val="000000"/>
                <w:sz w:val="22"/>
                <w:szCs w:val="22"/>
                <w:lang w:val="en-CA"/>
              </w:rPr>
            </w:pPr>
            <w:r w:rsidRPr="004B1219">
              <w:rPr>
                <w:rFonts w:asciiTheme="minorHAnsi" w:hAnsiTheme="minorHAnsi" w:cstheme="minorHAnsi"/>
                <w:color w:val="000000"/>
                <w:sz w:val="22"/>
                <w:szCs w:val="22"/>
                <w:lang w:val="en-CA"/>
              </w:rPr>
              <w:t>420 to 449 calendar days</w:t>
            </w:r>
          </w:p>
        </w:tc>
        <w:tc>
          <w:tcPr>
            <w:tcW w:w="0" w:type="auto"/>
          </w:tcPr>
          <w:p w14:paraId="2EBED15D" w14:textId="77777777" w:rsidR="00F8478B" w:rsidRPr="004B1219" w:rsidRDefault="00F8478B" w:rsidP="00C830B4">
            <w:pPr>
              <w:autoSpaceDE w:val="0"/>
              <w:autoSpaceDN w:val="0"/>
              <w:adjustRightInd w:val="0"/>
              <w:jc w:val="center"/>
              <w:rPr>
                <w:rFonts w:asciiTheme="minorHAnsi" w:hAnsiTheme="minorHAnsi" w:cstheme="minorHAnsi"/>
                <w:color w:val="000000"/>
                <w:sz w:val="22"/>
                <w:szCs w:val="22"/>
                <w:lang w:val="en-CA"/>
              </w:rPr>
            </w:pPr>
            <w:r w:rsidRPr="004B1219">
              <w:rPr>
                <w:rFonts w:asciiTheme="minorHAnsi" w:hAnsiTheme="minorHAnsi" w:cstheme="minorHAnsi"/>
                <w:color w:val="000000"/>
                <w:sz w:val="22"/>
                <w:szCs w:val="22"/>
                <w:lang w:val="en-CA"/>
              </w:rPr>
              <w:t>49</w:t>
            </w:r>
          </w:p>
        </w:tc>
      </w:tr>
      <w:tr w:rsidR="00F8478B" w:rsidRPr="00E628AA" w14:paraId="0CCF1DC3" w14:textId="77777777" w:rsidTr="00535B86">
        <w:trPr>
          <w:cantSplit/>
          <w:trHeight w:val="290"/>
          <w:tblHeader/>
        </w:trPr>
        <w:tc>
          <w:tcPr>
            <w:tcW w:w="0" w:type="auto"/>
          </w:tcPr>
          <w:p w14:paraId="6E3A07CC" w14:textId="77777777" w:rsidR="00F8478B" w:rsidRPr="004B1219" w:rsidRDefault="00F8478B" w:rsidP="00C830B4">
            <w:pPr>
              <w:autoSpaceDE w:val="0"/>
              <w:autoSpaceDN w:val="0"/>
              <w:adjustRightInd w:val="0"/>
              <w:rPr>
                <w:rFonts w:asciiTheme="minorHAnsi" w:hAnsiTheme="minorHAnsi" w:cstheme="minorHAnsi"/>
                <w:color w:val="000000"/>
                <w:sz w:val="22"/>
                <w:szCs w:val="22"/>
                <w:lang w:val="en-CA"/>
              </w:rPr>
            </w:pPr>
            <w:r w:rsidRPr="004B1219">
              <w:rPr>
                <w:rFonts w:asciiTheme="minorHAnsi" w:hAnsiTheme="minorHAnsi" w:cstheme="minorHAnsi"/>
                <w:color w:val="000000"/>
                <w:sz w:val="22"/>
                <w:szCs w:val="22"/>
                <w:lang w:val="en-CA"/>
              </w:rPr>
              <w:t>450 to 479 calendar days</w:t>
            </w:r>
          </w:p>
        </w:tc>
        <w:tc>
          <w:tcPr>
            <w:tcW w:w="0" w:type="auto"/>
          </w:tcPr>
          <w:p w14:paraId="434A19DD" w14:textId="77777777" w:rsidR="00F8478B" w:rsidRPr="004B1219" w:rsidRDefault="00F8478B" w:rsidP="00C830B4">
            <w:pPr>
              <w:autoSpaceDE w:val="0"/>
              <w:autoSpaceDN w:val="0"/>
              <w:adjustRightInd w:val="0"/>
              <w:jc w:val="center"/>
              <w:rPr>
                <w:rFonts w:asciiTheme="minorHAnsi" w:hAnsiTheme="minorHAnsi" w:cstheme="minorHAnsi"/>
                <w:color w:val="000000"/>
                <w:sz w:val="22"/>
                <w:szCs w:val="22"/>
                <w:lang w:val="en-CA"/>
              </w:rPr>
            </w:pPr>
            <w:r w:rsidRPr="004B1219">
              <w:rPr>
                <w:rFonts w:asciiTheme="minorHAnsi" w:hAnsiTheme="minorHAnsi" w:cstheme="minorHAnsi"/>
                <w:color w:val="000000"/>
                <w:sz w:val="22"/>
                <w:szCs w:val="22"/>
                <w:lang w:val="en-CA"/>
              </w:rPr>
              <w:t>40</w:t>
            </w:r>
          </w:p>
        </w:tc>
      </w:tr>
      <w:tr w:rsidR="00F8478B" w:rsidRPr="00E628AA" w14:paraId="06070A3F" w14:textId="77777777" w:rsidTr="00535B86">
        <w:trPr>
          <w:cantSplit/>
          <w:trHeight w:val="290"/>
          <w:tblHeader/>
        </w:trPr>
        <w:tc>
          <w:tcPr>
            <w:tcW w:w="0" w:type="auto"/>
          </w:tcPr>
          <w:p w14:paraId="00B57997" w14:textId="77777777" w:rsidR="00F8478B" w:rsidRPr="004B1219" w:rsidRDefault="00F8478B" w:rsidP="00C830B4">
            <w:pPr>
              <w:autoSpaceDE w:val="0"/>
              <w:autoSpaceDN w:val="0"/>
              <w:adjustRightInd w:val="0"/>
              <w:rPr>
                <w:rFonts w:asciiTheme="minorHAnsi" w:hAnsiTheme="minorHAnsi" w:cstheme="minorHAnsi"/>
                <w:color w:val="000000"/>
                <w:sz w:val="22"/>
                <w:szCs w:val="22"/>
                <w:lang w:val="en-CA"/>
              </w:rPr>
            </w:pPr>
            <w:r w:rsidRPr="004B1219">
              <w:rPr>
                <w:rFonts w:asciiTheme="minorHAnsi" w:hAnsiTheme="minorHAnsi" w:cstheme="minorHAnsi"/>
                <w:color w:val="000000"/>
                <w:sz w:val="22"/>
                <w:szCs w:val="22"/>
                <w:lang w:val="en-CA"/>
              </w:rPr>
              <w:t>480 to 509 calendar days</w:t>
            </w:r>
          </w:p>
        </w:tc>
        <w:tc>
          <w:tcPr>
            <w:tcW w:w="0" w:type="auto"/>
          </w:tcPr>
          <w:p w14:paraId="4D064EBA" w14:textId="77777777" w:rsidR="00F8478B" w:rsidRPr="004B1219" w:rsidRDefault="00F8478B" w:rsidP="00C830B4">
            <w:pPr>
              <w:autoSpaceDE w:val="0"/>
              <w:autoSpaceDN w:val="0"/>
              <w:adjustRightInd w:val="0"/>
              <w:jc w:val="center"/>
              <w:rPr>
                <w:rFonts w:asciiTheme="minorHAnsi" w:hAnsiTheme="minorHAnsi" w:cstheme="minorHAnsi"/>
                <w:color w:val="000000"/>
                <w:sz w:val="22"/>
                <w:szCs w:val="22"/>
                <w:lang w:val="en-CA"/>
              </w:rPr>
            </w:pPr>
            <w:r w:rsidRPr="004B1219">
              <w:rPr>
                <w:rFonts w:asciiTheme="minorHAnsi" w:hAnsiTheme="minorHAnsi" w:cstheme="minorHAnsi"/>
                <w:color w:val="000000"/>
                <w:sz w:val="22"/>
                <w:szCs w:val="22"/>
                <w:lang w:val="en-CA"/>
              </w:rPr>
              <w:t>38</w:t>
            </w:r>
          </w:p>
        </w:tc>
      </w:tr>
      <w:tr w:rsidR="00F8478B" w:rsidRPr="00E628AA" w14:paraId="1C693BEF" w14:textId="77777777" w:rsidTr="00535B86">
        <w:trPr>
          <w:cantSplit/>
          <w:trHeight w:val="290"/>
          <w:tblHeader/>
        </w:trPr>
        <w:tc>
          <w:tcPr>
            <w:tcW w:w="0" w:type="auto"/>
          </w:tcPr>
          <w:p w14:paraId="5720B534" w14:textId="77777777" w:rsidR="00F8478B" w:rsidRPr="004B1219" w:rsidRDefault="00F8478B" w:rsidP="00C830B4">
            <w:pPr>
              <w:autoSpaceDE w:val="0"/>
              <w:autoSpaceDN w:val="0"/>
              <w:adjustRightInd w:val="0"/>
              <w:rPr>
                <w:rFonts w:asciiTheme="minorHAnsi" w:hAnsiTheme="minorHAnsi" w:cstheme="minorHAnsi"/>
                <w:color w:val="000000"/>
                <w:sz w:val="22"/>
                <w:szCs w:val="22"/>
                <w:lang w:val="en-CA"/>
              </w:rPr>
            </w:pPr>
            <w:r w:rsidRPr="004B1219">
              <w:rPr>
                <w:rFonts w:asciiTheme="minorHAnsi" w:hAnsiTheme="minorHAnsi" w:cstheme="minorHAnsi"/>
                <w:color w:val="000000"/>
                <w:sz w:val="22"/>
                <w:szCs w:val="22"/>
                <w:lang w:val="en-CA"/>
              </w:rPr>
              <w:t>510 to 539 calendar days</w:t>
            </w:r>
          </w:p>
        </w:tc>
        <w:tc>
          <w:tcPr>
            <w:tcW w:w="0" w:type="auto"/>
          </w:tcPr>
          <w:p w14:paraId="1CD46D13" w14:textId="77777777" w:rsidR="00F8478B" w:rsidRPr="004B1219" w:rsidRDefault="00F8478B" w:rsidP="00C830B4">
            <w:pPr>
              <w:autoSpaceDE w:val="0"/>
              <w:autoSpaceDN w:val="0"/>
              <w:adjustRightInd w:val="0"/>
              <w:jc w:val="center"/>
              <w:rPr>
                <w:rFonts w:asciiTheme="minorHAnsi" w:hAnsiTheme="minorHAnsi" w:cstheme="minorHAnsi"/>
                <w:color w:val="000000"/>
                <w:sz w:val="22"/>
                <w:szCs w:val="22"/>
                <w:lang w:val="en-CA"/>
              </w:rPr>
            </w:pPr>
            <w:r w:rsidRPr="004B1219">
              <w:rPr>
                <w:rFonts w:asciiTheme="minorHAnsi" w:hAnsiTheme="minorHAnsi" w:cstheme="minorHAnsi"/>
                <w:color w:val="000000"/>
                <w:sz w:val="22"/>
                <w:szCs w:val="22"/>
                <w:lang w:val="en-CA"/>
              </w:rPr>
              <w:t>31</w:t>
            </w:r>
          </w:p>
        </w:tc>
      </w:tr>
      <w:tr w:rsidR="00F8478B" w:rsidRPr="00E628AA" w14:paraId="451C0B87" w14:textId="77777777" w:rsidTr="00535B86">
        <w:trPr>
          <w:cantSplit/>
          <w:trHeight w:val="290"/>
          <w:tblHeader/>
        </w:trPr>
        <w:tc>
          <w:tcPr>
            <w:tcW w:w="0" w:type="auto"/>
          </w:tcPr>
          <w:p w14:paraId="0C2D04FD" w14:textId="77777777" w:rsidR="00F8478B" w:rsidRPr="004B1219" w:rsidRDefault="00F8478B" w:rsidP="00C830B4">
            <w:pPr>
              <w:autoSpaceDE w:val="0"/>
              <w:autoSpaceDN w:val="0"/>
              <w:adjustRightInd w:val="0"/>
              <w:rPr>
                <w:rFonts w:asciiTheme="minorHAnsi" w:hAnsiTheme="minorHAnsi" w:cstheme="minorHAnsi"/>
                <w:color w:val="000000"/>
                <w:sz w:val="22"/>
                <w:szCs w:val="22"/>
                <w:lang w:val="en-CA"/>
              </w:rPr>
            </w:pPr>
            <w:r w:rsidRPr="004B1219">
              <w:rPr>
                <w:rFonts w:asciiTheme="minorHAnsi" w:hAnsiTheme="minorHAnsi" w:cstheme="minorHAnsi"/>
                <w:color w:val="000000"/>
                <w:sz w:val="22"/>
                <w:szCs w:val="22"/>
                <w:lang w:val="en-CA"/>
              </w:rPr>
              <w:t>540 to 569 calendar days</w:t>
            </w:r>
          </w:p>
        </w:tc>
        <w:tc>
          <w:tcPr>
            <w:tcW w:w="0" w:type="auto"/>
          </w:tcPr>
          <w:p w14:paraId="36250420" w14:textId="77777777" w:rsidR="00F8478B" w:rsidRPr="004B1219" w:rsidRDefault="00F8478B" w:rsidP="00C830B4">
            <w:pPr>
              <w:autoSpaceDE w:val="0"/>
              <w:autoSpaceDN w:val="0"/>
              <w:adjustRightInd w:val="0"/>
              <w:jc w:val="center"/>
              <w:rPr>
                <w:rFonts w:asciiTheme="minorHAnsi" w:hAnsiTheme="minorHAnsi" w:cstheme="minorHAnsi"/>
                <w:color w:val="000000"/>
                <w:sz w:val="22"/>
                <w:szCs w:val="22"/>
                <w:lang w:val="en-CA"/>
              </w:rPr>
            </w:pPr>
            <w:r w:rsidRPr="004B1219">
              <w:rPr>
                <w:rFonts w:asciiTheme="minorHAnsi" w:hAnsiTheme="minorHAnsi" w:cstheme="minorHAnsi"/>
                <w:color w:val="000000"/>
                <w:sz w:val="22"/>
                <w:szCs w:val="22"/>
                <w:lang w:val="en-CA"/>
              </w:rPr>
              <w:t>23</w:t>
            </w:r>
          </w:p>
        </w:tc>
      </w:tr>
      <w:tr w:rsidR="00F8478B" w:rsidRPr="00E628AA" w14:paraId="4F416D36" w14:textId="77777777" w:rsidTr="00535B86">
        <w:trPr>
          <w:cantSplit/>
          <w:trHeight w:val="290"/>
          <w:tblHeader/>
        </w:trPr>
        <w:tc>
          <w:tcPr>
            <w:tcW w:w="0" w:type="auto"/>
          </w:tcPr>
          <w:p w14:paraId="5FF313F5" w14:textId="77777777" w:rsidR="00F8478B" w:rsidRPr="004B1219" w:rsidRDefault="00F8478B" w:rsidP="00C830B4">
            <w:pPr>
              <w:autoSpaceDE w:val="0"/>
              <w:autoSpaceDN w:val="0"/>
              <w:adjustRightInd w:val="0"/>
              <w:rPr>
                <w:rFonts w:asciiTheme="minorHAnsi" w:hAnsiTheme="minorHAnsi" w:cstheme="minorHAnsi"/>
                <w:color w:val="000000"/>
                <w:sz w:val="22"/>
                <w:szCs w:val="22"/>
                <w:lang w:val="en-CA"/>
              </w:rPr>
            </w:pPr>
            <w:r w:rsidRPr="004B1219">
              <w:rPr>
                <w:rFonts w:asciiTheme="minorHAnsi" w:hAnsiTheme="minorHAnsi" w:cstheme="minorHAnsi"/>
                <w:color w:val="000000"/>
                <w:sz w:val="22"/>
                <w:szCs w:val="22"/>
                <w:lang w:val="en-CA"/>
              </w:rPr>
              <w:t>570 to 599 calendar days</w:t>
            </w:r>
          </w:p>
        </w:tc>
        <w:tc>
          <w:tcPr>
            <w:tcW w:w="0" w:type="auto"/>
          </w:tcPr>
          <w:p w14:paraId="0B5176A6" w14:textId="77777777" w:rsidR="00F8478B" w:rsidRPr="004B1219" w:rsidRDefault="00F8478B" w:rsidP="00C830B4">
            <w:pPr>
              <w:autoSpaceDE w:val="0"/>
              <w:autoSpaceDN w:val="0"/>
              <w:adjustRightInd w:val="0"/>
              <w:jc w:val="center"/>
              <w:rPr>
                <w:rFonts w:asciiTheme="minorHAnsi" w:hAnsiTheme="minorHAnsi" w:cstheme="minorHAnsi"/>
                <w:color w:val="000000"/>
                <w:sz w:val="22"/>
                <w:szCs w:val="22"/>
                <w:lang w:val="en-CA"/>
              </w:rPr>
            </w:pPr>
            <w:r w:rsidRPr="004B1219">
              <w:rPr>
                <w:rFonts w:asciiTheme="minorHAnsi" w:hAnsiTheme="minorHAnsi" w:cstheme="minorHAnsi"/>
                <w:color w:val="000000"/>
                <w:sz w:val="22"/>
                <w:szCs w:val="22"/>
                <w:lang w:val="en-CA"/>
              </w:rPr>
              <w:t>21</w:t>
            </w:r>
          </w:p>
        </w:tc>
      </w:tr>
      <w:tr w:rsidR="00F8478B" w:rsidRPr="00E628AA" w14:paraId="62019823" w14:textId="77777777" w:rsidTr="00535B86">
        <w:trPr>
          <w:cantSplit/>
          <w:trHeight w:val="290"/>
          <w:tblHeader/>
        </w:trPr>
        <w:tc>
          <w:tcPr>
            <w:tcW w:w="0" w:type="auto"/>
          </w:tcPr>
          <w:p w14:paraId="1C077F38" w14:textId="77777777" w:rsidR="00F8478B" w:rsidRPr="004B1219" w:rsidRDefault="00F8478B" w:rsidP="00C830B4">
            <w:pPr>
              <w:autoSpaceDE w:val="0"/>
              <w:autoSpaceDN w:val="0"/>
              <w:adjustRightInd w:val="0"/>
              <w:rPr>
                <w:rFonts w:asciiTheme="minorHAnsi" w:hAnsiTheme="minorHAnsi" w:cstheme="minorHAnsi"/>
                <w:color w:val="000000"/>
                <w:sz w:val="22"/>
                <w:szCs w:val="22"/>
                <w:lang w:val="en-CA"/>
              </w:rPr>
            </w:pPr>
            <w:r w:rsidRPr="004B1219">
              <w:rPr>
                <w:rFonts w:asciiTheme="minorHAnsi" w:hAnsiTheme="minorHAnsi" w:cstheme="minorHAnsi"/>
                <w:color w:val="000000"/>
                <w:sz w:val="22"/>
                <w:szCs w:val="22"/>
                <w:lang w:val="en-CA"/>
              </w:rPr>
              <w:t>600 to 629 calendar days</w:t>
            </w:r>
          </w:p>
        </w:tc>
        <w:tc>
          <w:tcPr>
            <w:tcW w:w="0" w:type="auto"/>
          </w:tcPr>
          <w:p w14:paraId="66A84F93" w14:textId="77777777" w:rsidR="00F8478B" w:rsidRPr="004B1219" w:rsidRDefault="00F8478B" w:rsidP="00C830B4">
            <w:pPr>
              <w:autoSpaceDE w:val="0"/>
              <w:autoSpaceDN w:val="0"/>
              <w:adjustRightInd w:val="0"/>
              <w:jc w:val="center"/>
              <w:rPr>
                <w:rFonts w:asciiTheme="minorHAnsi" w:hAnsiTheme="minorHAnsi" w:cstheme="minorHAnsi"/>
                <w:color w:val="000000"/>
                <w:sz w:val="22"/>
                <w:szCs w:val="22"/>
                <w:lang w:val="en-CA"/>
              </w:rPr>
            </w:pPr>
            <w:r w:rsidRPr="004B1219">
              <w:rPr>
                <w:rFonts w:asciiTheme="minorHAnsi" w:hAnsiTheme="minorHAnsi" w:cstheme="minorHAnsi"/>
                <w:color w:val="000000"/>
                <w:sz w:val="22"/>
                <w:szCs w:val="22"/>
                <w:lang w:val="en-CA"/>
              </w:rPr>
              <w:t>10</w:t>
            </w:r>
          </w:p>
        </w:tc>
      </w:tr>
      <w:tr w:rsidR="00F8478B" w:rsidRPr="00E628AA" w14:paraId="3E9FDB6E" w14:textId="77777777" w:rsidTr="00535B86">
        <w:trPr>
          <w:cantSplit/>
          <w:trHeight w:val="290"/>
          <w:tblHeader/>
        </w:trPr>
        <w:tc>
          <w:tcPr>
            <w:tcW w:w="0" w:type="auto"/>
          </w:tcPr>
          <w:p w14:paraId="72365978" w14:textId="77777777" w:rsidR="00F8478B" w:rsidRPr="004B1219" w:rsidRDefault="00F8478B" w:rsidP="00C830B4">
            <w:pPr>
              <w:autoSpaceDE w:val="0"/>
              <w:autoSpaceDN w:val="0"/>
              <w:adjustRightInd w:val="0"/>
              <w:rPr>
                <w:rFonts w:asciiTheme="minorHAnsi" w:hAnsiTheme="minorHAnsi" w:cstheme="minorHAnsi"/>
                <w:color w:val="000000"/>
                <w:sz w:val="22"/>
                <w:szCs w:val="22"/>
                <w:lang w:val="en-CA"/>
              </w:rPr>
            </w:pPr>
            <w:r w:rsidRPr="004B1219">
              <w:rPr>
                <w:rFonts w:asciiTheme="minorHAnsi" w:hAnsiTheme="minorHAnsi" w:cstheme="minorHAnsi"/>
                <w:color w:val="000000"/>
                <w:sz w:val="22"/>
                <w:szCs w:val="22"/>
                <w:lang w:val="en-CA"/>
              </w:rPr>
              <w:t>630 to 659 calendar days</w:t>
            </w:r>
          </w:p>
        </w:tc>
        <w:tc>
          <w:tcPr>
            <w:tcW w:w="0" w:type="auto"/>
          </w:tcPr>
          <w:p w14:paraId="2A1339DF" w14:textId="77777777" w:rsidR="00F8478B" w:rsidRPr="004B1219" w:rsidRDefault="00F8478B" w:rsidP="00C830B4">
            <w:pPr>
              <w:autoSpaceDE w:val="0"/>
              <w:autoSpaceDN w:val="0"/>
              <w:adjustRightInd w:val="0"/>
              <w:jc w:val="center"/>
              <w:rPr>
                <w:rFonts w:asciiTheme="minorHAnsi" w:hAnsiTheme="minorHAnsi" w:cstheme="minorHAnsi"/>
                <w:color w:val="000000"/>
                <w:sz w:val="22"/>
                <w:szCs w:val="22"/>
                <w:lang w:val="en-CA"/>
              </w:rPr>
            </w:pPr>
            <w:r w:rsidRPr="004B1219">
              <w:rPr>
                <w:rFonts w:asciiTheme="minorHAnsi" w:hAnsiTheme="minorHAnsi" w:cstheme="minorHAnsi"/>
                <w:color w:val="000000"/>
                <w:sz w:val="22"/>
                <w:szCs w:val="22"/>
                <w:lang w:val="en-CA"/>
              </w:rPr>
              <w:t>19</w:t>
            </w:r>
          </w:p>
        </w:tc>
      </w:tr>
      <w:tr w:rsidR="00F8478B" w:rsidRPr="00E628AA" w14:paraId="76263A88" w14:textId="77777777" w:rsidTr="00535B86">
        <w:trPr>
          <w:cantSplit/>
          <w:trHeight w:val="290"/>
          <w:tblHeader/>
        </w:trPr>
        <w:tc>
          <w:tcPr>
            <w:tcW w:w="0" w:type="auto"/>
          </w:tcPr>
          <w:p w14:paraId="15B1E660" w14:textId="77777777" w:rsidR="00F8478B" w:rsidRPr="004B1219" w:rsidRDefault="00F8478B" w:rsidP="00C830B4">
            <w:pPr>
              <w:autoSpaceDE w:val="0"/>
              <w:autoSpaceDN w:val="0"/>
              <w:adjustRightInd w:val="0"/>
              <w:rPr>
                <w:rFonts w:asciiTheme="minorHAnsi" w:hAnsiTheme="minorHAnsi" w:cstheme="minorHAnsi"/>
                <w:color w:val="000000"/>
                <w:sz w:val="22"/>
                <w:szCs w:val="22"/>
                <w:lang w:val="en-CA"/>
              </w:rPr>
            </w:pPr>
            <w:r w:rsidRPr="004B1219">
              <w:rPr>
                <w:rFonts w:asciiTheme="minorHAnsi" w:hAnsiTheme="minorHAnsi" w:cstheme="minorHAnsi"/>
                <w:color w:val="000000"/>
                <w:sz w:val="22"/>
                <w:szCs w:val="22"/>
                <w:lang w:val="en-CA"/>
              </w:rPr>
              <w:t>660 to 689 calendar days</w:t>
            </w:r>
          </w:p>
        </w:tc>
        <w:tc>
          <w:tcPr>
            <w:tcW w:w="0" w:type="auto"/>
          </w:tcPr>
          <w:p w14:paraId="64DFBB6D" w14:textId="77777777" w:rsidR="00F8478B" w:rsidRPr="004B1219" w:rsidRDefault="00F8478B" w:rsidP="00C830B4">
            <w:pPr>
              <w:autoSpaceDE w:val="0"/>
              <w:autoSpaceDN w:val="0"/>
              <w:adjustRightInd w:val="0"/>
              <w:jc w:val="center"/>
              <w:rPr>
                <w:rFonts w:asciiTheme="minorHAnsi" w:hAnsiTheme="minorHAnsi" w:cstheme="minorHAnsi"/>
                <w:color w:val="000000"/>
                <w:sz w:val="22"/>
                <w:szCs w:val="22"/>
                <w:lang w:val="en-CA"/>
              </w:rPr>
            </w:pPr>
            <w:r w:rsidRPr="004B1219">
              <w:rPr>
                <w:rFonts w:asciiTheme="minorHAnsi" w:hAnsiTheme="minorHAnsi" w:cstheme="minorHAnsi"/>
                <w:color w:val="000000"/>
                <w:sz w:val="22"/>
                <w:szCs w:val="22"/>
                <w:lang w:val="en-CA"/>
              </w:rPr>
              <w:t>3</w:t>
            </w:r>
          </w:p>
        </w:tc>
      </w:tr>
      <w:tr w:rsidR="00F8478B" w:rsidRPr="00E628AA" w14:paraId="17CFAFB3" w14:textId="77777777" w:rsidTr="00535B86">
        <w:trPr>
          <w:cantSplit/>
          <w:trHeight w:val="290"/>
          <w:tblHeader/>
        </w:trPr>
        <w:tc>
          <w:tcPr>
            <w:tcW w:w="0" w:type="auto"/>
          </w:tcPr>
          <w:p w14:paraId="33A06FDD" w14:textId="77777777" w:rsidR="00F8478B" w:rsidRPr="004B1219" w:rsidRDefault="00F8478B" w:rsidP="00C830B4">
            <w:pPr>
              <w:autoSpaceDE w:val="0"/>
              <w:autoSpaceDN w:val="0"/>
              <w:adjustRightInd w:val="0"/>
              <w:rPr>
                <w:rFonts w:asciiTheme="minorHAnsi" w:hAnsiTheme="minorHAnsi" w:cstheme="minorHAnsi"/>
                <w:color w:val="000000"/>
                <w:sz w:val="22"/>
                <w:szCs w:val="22"/>
                <w:lang w:val="en-CA"/>
              </w:rPr>
            </w:pPr>
            <w:r w:rsidRPr="004B1219">
              <w:rPr>
                <w:rFonts w:asciiTheme="minorHAnsi" w:hAnsiTheme="minorHAnsi" w:cstheme="minorHAnsi"/>
                <w:color w:val="000000"/>
                <w:sz w:val="22"/>
                <w:szCs w:val="22"/>
                <w:lang w:val="en-CA"/>
              </w:rPr>
              <w:t>690 to 719 calendar days</w:t>
            </w:r>
          </w:p>
        </w:tc>
        <w:tc>
          <w:tcPr>
            <w:tcW w:w="0" w:type="auto"/>
          </w:tcPr>
          <w:p w14:paraId="2CF03FE3" w14:textId="77777777" w:rsidR="00F8478B" w:rsidRPr="004B1219" w:rsidRDefault="00F8478B" w:rsidP="00C830B4">
            <w:pPr>
              <w:autoSpaceDE w:val="0"/>
              <w:autoSpaceDN w:val="0"/>
              <w:adjustRightInd w:val="0"/>
              <w:jc w:val="center"/>
              <w:rPr>
                <w:rFonts w:asciiTheme="minorHAnsi" w:hAnsiTheme="minorHAnsi" w:cstheme="minorHAnsi"/>
                <w:color w:val="000000"/>
                <w:sz w:val="22"/>
                <w:szCs w:val="22"/>
                <w:lang w:val="en-CA"/>
              </w:rPr>
            </w:pPr>
            <w:r w:rsidRPr="004B1219">
              <w:rPr>
                <w:rFonts w:asciiTheme="minorHAnsi" w:hAnsiTheme="minorHAnsi" w:cstheme="minorHAnsi"/>
                <w:color w:val="000000"/>
                <w:sz w:val="22"/>
                <w:szCs w:val="22"/>
                <w:lang w:val="en-CA"/>
              </w:rPr>
              <w:t>12</w:t>
            </w:r>
          </w:p>
        </w:tc>
      </w:tr>
      <w:tr w:rsidR="00F8478B" w:rsidRPr="00E628AA" w14:paraId="107D527A" w14:textId="77777777" w:rsidTr="00535B86">
        <w:trPr>
          <w:cantSplit/>
          <w:trHeight w:val="302"/>
          <w:tblHeader/>
        </w:trPr>
        <w:tc>
          <w:tcPr>
            <w:tcW w:w="0" w:type="auto"/>
          </w:tcPr>
          <w:p w14:paraId="15941D67" w14:textId="77777777" w:rsidR="00F8478B" w:rsidRPr="004B1219" w:rsidRDefault="00F8478B" w:rsidP="00C830B4">
            <w:pPr>
              <w:autoSpaceDE w:val="0"/>
              <w:autoSpaceDN w:val="0"/>
              <w:adjustRightInd w:val="0"/>
              <w:rPr>
                <w:rFonts w:asciiTheme="minorHAnsi" w:hAnsiTheme="minorHAnsi" w:cstheme="minorHAnsi"/>
                <w:color w:val="000000"/>
                <w:sz w:val="22"/>
                <w:szCs w:val="22"/>
                <w:lang w:val="en-CA"/>
              </w:rPr>
            </w:pPr>
            <w:r w:rsidRPr="004B1219">
              <w:rPr>
                <w:rFonts w:asciiTheme="minorHAnsi" w:hAnsiTheme="minorHAnsi" w:cstheme="minorHAnsi"/>
                <w:color w:val="000000"/>
                <w:sz w:val="22"/>
                <w:szCs w:val="22"/>
                <w:lang w:val="en-CA"/>
              </w:rPr>
              <w:t>720 to 749 calendar days</w:t>
            </w:r>
          </w:p>
        </w:tc>
        <w:tc>
          <w:tcPr>
            <w:tcW w:w="0" w:type="auto"/>
          </w:tcPr>
          <w:p w14:paraId="6E38B4CF" w14:textId="77777777" w:rsidR="00F8478B" w:rsidRPr="004B1219" w:rsidRDefault="00F8478B" w:rsidP="00C830B4">
            <w:pPr>
              <w:autoSpaceDE w:val="0"/>
              <w:autoSpaceDN w:val="0"/>
              <w:adjustRightInd w:val="0"/>
              <w:jc w:val="center"/>
              <w:rPr>
                <w:rFonts w:asciiTheme="minorHAnsi" w:hAnsiTheme="minorHAnsi" w:cstheme="minorHAnsi"/>
                <w:color w:val="000000"/>
                <w:sz w:val="22"/>
                <w:szCs w:val="22"/>
                <w:lang w:val="en-CA"/>
              </w:rPr>
            </w:pPr>
            <w:r w:rsidRPr="004B1219">
              <w:rPr>
                <w:rFonts w:asciiTheme="minorHAnsi" w:hAnsiTheme="minorHAnsi" w:cstheme="minorHAnsi"/>
                <w:color w:val="000000"/>
                <w:sz w:val="22"/>
                <w:szCs w:val="22"/>
                <w:lang w:val="en-CA"/>
              </w:rPr>
              <w:t>6</w:t>
            </w:r>
          </w:p>
        </w:tc>
      </w:tr>
      <w:tr w:rsidR="00F8478B" w:rsidRPr="00E628AA" w14:paraId="53EC4E75" w14:textId="77777777" w:rsidTr="00535B86">
        <w:trPr>
          <w:cantSplit/>
          <w:trHeight w:val="290"/>
          <w:tblHeader/>
        </w:trPr>
        <w:tc>
          <w:tcPr>
            <w:tcW w:w="0" w:type="auto"/>
          </w:tcPr>
          <w:p w14:paraId="32D1CDBD" w14:textId="77777777" w:rsidR="00F8478B" w:rsidRPr="004B1219" w:rsidRDefault="00F8478B" w:rsidP="00C830B4">
            <w:pPr>
              <w:autoSpaceDE w:val="0"/>
              <w:autoSpaceDN w:val="0"/>
              <w:adjustRightInd w:val="0"/>
              <w:rPr>
                <w:rFonts w:asciiTheme="minorHAnsi" w:hAnsiTheme="minorHAnsi" w:cstheme="minorHAnsi"/>
                <w:color w:val="000000"/>
                <w:sz w:val="22"/>
                <w:szCs w:val="22"/>
                <w:lang w:val="en-CA"/>
              </w:rPr>
            </w:pPr>
            <w:r w:rsidRPr="004B1219">
              <w:rPr>
                <w:rFonts w:asciiTheme="minorHAnsi" w:hAnsiTheme="minorHAnsi" w:cstheme="minorHAnsi"/>
                <w:color w:val="000000"/>
                <w:sz w:val="22"/>
                <w:szCs w:val="22"/>
                <w:lang w:val="en-CA"/>
              </w:rPr>
              <w:t>750 to 779 calendar days</w:t>
            </w:r>
          </w:p>
        </w:tc>
        <w:tc>
          <w:tcPr>
            <w:tcW w:w="0" w:type="auto"/>
          </w:tcPr>
          <w:p w14:paraId="35CEA713" w14:textId="77777777" w:rsidR="00F8478B" w:rsidRPr="004B1219" w:rsidRDefault="00F8478B" w:rsidP="00C830B4">
            <w:pPr>
              <w:autoSpaceDE w:val="0"/>
              <w:autoSpaceDN w:val="0"/>
              <w:adjustRightInd w:val="0"/>
              <w:jc w:val="center"/>
              <w:rPr>
                <w:rFonts w:asciiTheme="minorHAnsi" w:hAnsiTheme="minorHAnsi" w:cstheme="minorHAnsi"/>
                <w:color w:val="000000"/>
                <w:sz w:val="22"/>
                <w:szCs w:val="22"/>
                <w:lang w:val="en-CA"/>
              </w:rPr>
            </w:pPr>
            <w:r w:rsidRPr="004B1219">
              <w:rPr>
                <w:rFonts w:asciiTheme="minorHAnsi" w:hAnsiTheme="minorHAnsi" w:cstheme="minorHAnsi"/>
                <w:color w:val="000000"/>
                <w:sz w:val="22"/>
                <w:szCs w:val="22"/>
                <w:lang w:val="en-CA"/>
              </w:rPr>
              <w:t>5</w:t>
            </w:r>
          </w:p>
        </w:tc>
      </w:tr>
      <w:tr w:rsidR="00F8478B" w:rsidRPr="00E628AA" w14:paraId="2DD196F3" w14:textId="77777777" w:rsidTr="00535B86">
        <w:trPr>
          <w:cantSplit/>
          <w:trHeight w:val="290"/>
          <w:tblHeader/>
        </w:trPr>
        <w:tc>
          <w:tcPr>
            <w:tcW w:w="0" w:type="auto"/>
          </w:tcPr>
          <w:p w14:paraId="2B8AAE14" w14:textId="77777777" w:rsidR="00F8478B" w:rsidRPr="004B1219" w:rsidRDefault="00F8478B" w:rsidP="00C830B4">
            <w:pPr>
              <w:autoSpaceDE w:val="0"/>
              <w:autoSpaceDN w:val="0"/>
              <w:adjustRightInd w:val="0"/>
              <w:rPr>
                <w:rFonts w:asciiTheme="minorHAnsi" w:hAnsiTheme="minorHAnsi" w:cstheme="minorHAnsi"/>
                <w:color w:val="000000"/>
                <w:sz w:val="22"/>
                <w:szCs w:val="22"/>
                <w:lang w:val="en-CA"/>
              </w:rPr>
            </w:pPr>
            <w:r w:rsidRPr="004B1219">
              <w:rPr>
                <w:rFonts w:asciiTheme="minorHAnsi" w:hAnsiTheme="minorHAnsi" w:cstheme="minorHAnsi"/>
                <w:color w:val="000000"/>
                <w:sz w:val="22"/>
                <w:szCs w:val="22"/>
                <w:lang w:val="en-CA"/>
              </w:rPr>
              <w:t>780 to 809 calendar days</w:t>
            </w:r>
          </w:p>
        </w:tc>
        <w:tc>
          <w:tcPr>
            <w:tcW w:w="0" w:type="auto"/>
          </w:tcPr>
          <w:p w14:paraId="02450B5D" w14:textId="77777777" w:rsidR="00F8478B" w:rsidRPr="004B1219" w:rsidRDefault="00F8478B" w:rsidP="00C830B4">
            <w:pPr>
              <w:autoSpaceDE w:val="0"/>
              <w:autoSpaceDN w:val="0"/>
              <w:adjustRightInd w:val="0"/>
              <w:jc w:val="center"/>
              <w:rPr>
                <w:rFonts w:asciiTheme="minorHAnsi" w:hAnsiTheme="minorHAnsi" w:cstheme="minorHAnsi"/>
                <w:color w:val="000000"/>
                <w:sz w:val="22"/>
                <w:szCs w:val="22"/>
                <w:lang w:val="en-CA"/>
              </w:rPr>
            </w:pPr>
            <w:r w:rsidRPr="004B1219">
              <w:rPr>
                <w:rFonts w:asciiTheme="minorHAnsi" w:hAnsiTheme="minorHAnsi" w:cstheme="minorHAnsi"/>
                <w:color w:val="000000"/>
                <w:sz w:val="22"/>
                <w:szCs w:val="22"/>
                <w:lang w:val="en-CA"/>
              </w:rPr>
              <w:t>8</w:t>
            </w:r>
          </w:p>
        </w:tc>
      </w:tr>
      <w:tr w:rsidR="00F8478B" w:rsidRPr="00E628AA" w14:paraId="74B1E896" w14:textId="77777777" w:rsidTr="00535B86">
        <w:trPr>
          <w:cantSplit/>
          <w:trHeight w:val="290"/>
          <w:tblHeader/>
        </w:trPr>
        <w:tc>
          <w:tcPr>
            <w:tcW w:w="0" w:type="auto"/>
          </w:tcPr>
          <w:p w14:paraId="5C98A98A" w14:textId="77777777" w:rsidR="00F8478B" w:rsidRPr="004B1219" w:rsidRDefault="00F8478B" w:rsidP="00C830B4">
            <w:pPr>
              <w:autoSpaceDE w:val="0"/>
              <w:autoSpaceDN w:val="0"/>
              <w:adjustRightInd w:val="0"/>
              <w:rPr>
                <w:rFonts w:asciiTheme="minorHAnsi" w:hAnsiTheme="minorHAnsi" w:cstheme="minorHAnsi"/>
                <w:color w:val="000000"/>
                <w:sz w:val="22"/>
                <w:szCs w:val="22"/>
                <w:lang w:val="en-CA"/>
              </w:rPr>
            </w:pPr>
            <w:r w:rsidRPr="004B1219">
              <w:rPr>
                <w:rFonts w:asciiTheme="minorHAnsi" w:hAnsiTheme="minorHAnsi" w:cstheme="minorHAnsi"/>
                <w:color w:val="000000"/>
                <w:sz w:val="22"/>
                <w:szCs w:val="22"/>
                <w:lang w:val="en-CA"/>
              </w:rPr>
              <w:t>810 to 839 calendar days</w:t>
            </w:r>
          </w:p>
        </w:tc>
        <w:tc>
          <w:tcPr>
            <w:tcW w:w="0" w:type="auto"/>
          </w:tcPr>
          <w:p w14:paraId="67AD0BFD" w14:textId="77777777" w:rsidR="00F8478B" w:rsidRPr="004B1219" w:rsidRDefault="00F8478B" w:rsidP="00C830B4">
            <w:pPr>
              <w:autoSpaceDE w:val="0"/>
              <w:autoSpaceDN w:val="0"/>
              <w:adjustRightInd w:val="0"/>
              <w:jc w:val="center"/>
              <w:rPr>
                <w:rFonts w:asciiTheme="minorHAnsi" w:hAnsiTheme="minorHAnsi" w:cstheme="minorHAnsi"/>
                <w:color w:val="000000"/>
                <w:sz w:val="22"/>
                <w:szCs w:val="22"/>
                <w:lang w:val="en-CA"/>
              </w:rPr>
            </w:pPr>
            <w:r w:rsidRPr="004B1219">
              <w:rPr>
                <w:rFonts w:asciiTheme="minorHAnsi" w:hAnsiTheme="minorHAnsi" w:cstheme="minorHAnsi"/>
                <w:color w:val="000000"/>
                <w:sz w:val="22"/>
                <w:szCs w:val="22"/>
                <w:lang w:val="en-CA"/>
              </w:rPr>
              <w:t>3</w:t>
            </w:r>
          </w:p>
        </w:tc>
      </w:tr>
      <w:tr w:rsidR="00F8478B" w:rsidRPr="00E628AA" w14:paraId="03991F9F" w14:textId="77777777" w:rsidTr="00535B86">
        <w:trPr>
          <w:cantSplit/>
          <w:trHeight w:val="290"/>
          <w:tblHeader/>
        </w:trPr>
        <w:tc>
          <w:tcPr>
            <w:tcW w:w="0" w:type="auto"/>
          </w:tcPr>
          <w:p w14:paraId="6834B01C" w14:textId="77777777" w:rsidR="00F8478B" w:rsidRPr="004B1219" w:rsidRDefault="00F8478B" w:rsidP="00C830B4">
            <w:pPr>
              <w:autoSpaceDE w:val="0"/>
              <w:autoSpaceDN w:val="0"/>
              <w:adjustRightInd w:val="0"/>
              <w:rPr>
                <w:rFonts w:asciiTheme="minorHAnsi" w:hAnsiTheme="minorHAnsi" w:cstheme="minorHAnsi"/>
                <w:color w:val="000000"/>
                <w:sz w:val="22"/>
                <w:szCs w:val="22"/>
                <w:lang w:val="en-CA"/>
              </w:rPr>
            </w:pPr>
            <w:r w:rsidRPr="004B1219">
              <w:rPr>
                <w:rFonts w:asciiTheme="minorHAnsi" w:hAnsiTheme="minorHAnsi" w:cstheme="minorHAnsi"/>
                <w:color w:val="000000"/>
                <w:sz w:val="22"/>
                <w:szCs w:val="22"/>
                <w:lang w:val="en-CA"/>
              </w:rPr>
              <w:t>840 to 869 calendar days</w:t>
            </w:r>
          </w:p>
        </w:tc>
        <w:tc>
          <w:tcPr>
            <w:tcW w:w="0" w:type="auto"/>
          </w:tcPr>
          <w:p w14:paraId="4855187C" w14:textId="77777777" w:rsidR="00F8478B" w:rsidRPr="004B1219" w:rsidRDefault="00F8478B" w:rsidP="00C830B4">
            <w:pPr>
              <w:autoSpaceDE w:val="0"/>
              <w:autoSpaceDN w:val="0"/>
              <w:adjustRightInd w:val="0"/>
              <w:jc w:val="center"/>
              <w:rPr>
                <w:rFonts w:asciiTheme="minorHAnsi" w:hAnsiTheme="minorHAnsi" w:cstheme="minorHAnsi"/>
                <w:color w:val="000000"/>
                <w:sz w:val="22"/>
                <w:szCs w:val="22"/>
                <w:lang w:val="en-CA"/>
              </w:rPr>
            </w:pPr>
            <w:r w:rsidRPr="004B1219">
              <w:rPr>
                <w:rFonts w:asciiTheme="minorHAnsi" w:hAnsiTheme="minorHAnsi" w:cstheme="minorHAnsi"/>
                <w:color w:val="000000"/>
                <w:sz w:val="22"/>
                <w:szCs w:val="22"/>
                <w:lang w:val="en-CA"/>
              </w:rPr>
              <w:t>10</w:t>
            </w:r>
          </w:p>
        </w:tc>
      </w:tr>
      <w:tr w:rsidR="00F8478B" w:rsidRPr="00E628AA" w14:paraId="7FBAF25D" w14:textId="77777777" w:rsidTr="00535B86">
        <w:trPr>
          <w:cantSplit/>
          <w:trHeight w:val="290"/>
          <w:tblHeader/>
        </w:trPr>
        <w:tc>
          <w:tcPr>
            <w:tcW w:w="0" w:type="auto"/>
          </w:tcPr>
          <w:p w14:paraId="245ED0AF" w14:textId="77777777" w:rsidR="00F8478B" w:rsidRPr="004B1219" w:rsidRDefault="00F8478B" w:rsidP="00C830B4">
            <w:pPr>
              <w:autoSpaceDE w:val="0"/>
              <w:autoSpaceDN w:val="0"/>
              <w:adjustRightInd w:val="0"/>
              <w:rPr>
                <w:rFonts w:asciiTheme="minorHAnsi" w:hAnsiTheme="minorHAnsi" w:cstheme="minorHAnsi"/>
                <w:color w:val="000000"/>
                <w:sz w:val="22"/>
                <w:szCs w:val="22"/>
                <w:lang w:val="en-CA"/>
              </w:rPr>
            </w:pPr>
            <w:r w:rsidRPr="004B1219">
              <w:rPr>
                <w:rFonts w:asciiTheme="minorHAnsi" w:hAnsiTheme="minorHAnsi" w:cstheme="minorHAnsi"/>
                <w:color w:val="000000"/>
                <w:sz w:val="22"/>
                <w:szCs w:val="22"/>
                <w:lang w:val="en-CA"/>
              </w:rPr>
              <w:t>870 to 899 calendar days</w:t>
            </w:r>
          </w:p>
        </w:tc>
        <w:tc>
          <w:tcPr>
            <w:tcW w:w="0" w:type="auto"/>
          </w:tcPr>
          <w:p w14:paraId="64788CB5" w14:textId="77777777" w:rsidR="00F8478B" w:rsidRPr="004B1219" w:rsidRDefault="00F8478B" w:rsidP="00C830B4">
            <w:pPr>
              <w:autoSpaceDE w:val="0"/>
              <w:autoSpaceDN w:val="0"/>
              <w:adjustRightInd w:val="0"/>
              <w:jc w:val="center"/>
              <w:rPr>
                <w:rFonts w:asciiTheme="minorHAnsi" w:hAnsiTheme="minorHAnsi" w:cstheme="minorHAnsi"/>
                <w:color w:val="000000"/>
                <w:sz w:val="22"/>
                <w:szCs w:val="22"/>
                <w:lang w:val="en-CA"/>
              </w:rPr>
            </w:pPr>
            <w:r w:rsidRPr="004B1219">
              <w:rPr>
                <w:rFonts w:asciiTheme="minorHAnsi" w:hAnsiTheme="minorHAnsi" w:cstheme="minorHAnsi"/>
                <w:color w:val="000000"/>
                <w:sz w:val="22"/>
                <w:szCs w:val="22"/>
                <w:lang w:val="en-CA"/>
              </w:rPr>
              <w:t>4</w:t>
            </w:r>
          </w:p>
        </w:tc>
      </w:tr>
      <w:tr w:rsidR="00F8478B" w:rsidRPr="00E628AA" w14:paraId="6A78352C" w14:textId="77777777" w:rsidTr="00535B86">
        <w:trPr>
          <w:cantSplit/>
          <w:trHeight w:val="290"/>
          <w:tblHeader/>
        </w:trPr>
        <w:tc>
          <w:tcPr>
            <w:tcW w:w="0" w:type="auto"/>
          </w:tcPr>
          <w:p w14:paraId="41F0C83B" w14:textId="77777777" w:rsidR="00F8478B" w:rsidRPr="004B1219" w:rsidRDefault="00F8478B" w:rsidP="00C830B4">
            <w:pPr>
              <w:autoSpaceDE w:val="0"/>
              <w:autoSpaceDN w:val="0"/>
              <w:adjustRightInd w:val="0"/>
              <w:rPr>
                <w:rFonts w:asciiTheme="minorHAnsi" w:hAnsiTheme="minorHAnsi" w:cstheme="minorHAnsi"/>
                <w:color w:val="000000"/>
                <w:sz w:val="22"/>
                <w:szCs w:val="22"/>
                <w:lang w:val="en-CA"/>
              </w:rPr>
            </w:pPr>
            <w:r w:rsidRPr="004B1219">
              <w:rPr>
                <w:rFonts w:asciiTheme="minorHAnsi" w:hAnsiTheme="minorHAnsi" w:cstheme="minorHAnsi"/>
                <w:color w:val="000000"/>
                <w:sz w:val="22"/>
                <w:szCs w:val="22"/>
                <w:lang w:val="en-CA"/>
              </w:rPr>
              <w:t>900 to 929 calendar days</w:t>
            </w:r>
          </w:p>
        </w:tc>
        <w:tc>
          <w:tcPr>
            <w:tcW w:w="0" w:type="auto"/>
          </w:tcPr>
          <w:p w14:paraId="4D3E4F62" w14:textId="77777777" w:rsidR="00F8478B" w:rsidRPr="004B1219" w:rsidRDefault="00F8478B" w:rsidP="00C830B4">
            <w:pPr>
              <w:autoSpaceDE w:val="0"/>
              <w:autoSpaceDN w:val="0"/>
              <w:adjustRightInd w:val="0"/>
              <w:jc w:val="center"/>
              <w:rPr>
                <w:rFonts w:asciiTheme="minorHAnsi" w:hAnsiTheme="minorHAnsi" w:cstheme="minorHAnsi"/>
                <w:color w:val="000000"/>
                <w:sz w:val="22"/>
                <w:szCs w:val="22"/>
                <w:lang w:val="en-CA"/>
              </w:rPr>
            </w:pPr>
            <w:r w:rsidRPr="004B1219">
              <w:rPr>
                <w:rFonts w:asciiTheme="minorHAnsi" w:hAnsiTheme="minorHAnsi" w:cstheme="minorHAnsi"/>
                <w:color w:val="000000"/>
                <w:sz w:val="22"/>
                <w:szCs w:val="22"/>
                <w:lang w:val="en-CA"/>
              </w:rPr>
              <w:t>5</w:t>
            </w:r>
          </w:p>
        </w:tc>
      </w:tr>
      <w:tr w:rsidR="00F8478B" w:rsidRPr="00E628AA" w14:paraId="36F74E24" w14:textId="77777777" w:rsidTr="00535B86">
        <w:trPr>
          <w:cantSplit/>
          <w:trHeight w:val="290"/>
          <w:tblHeader/>
        </w:trPr>
        <w:tc>
          <w:tcPr>
            <w:tcW w:w="0" w:type="auto"/>
          </w:tcPr>
          <w:p w14:paraId="209CB945" w14:textId="77777777" w:rsidR="00F8478B" w:rsidRPr="004B1219" w:rsidRDefault="00F8478B" w:rsidP="00C830B4">
            <w:pPr>
              <w:autoSpaceDE w:val="0"/>
              <w:autoSpaceDN w:val="0"/>
              <w:adjustRightInd w:val="0"/>
              <w:rPr>
                <w:rFonts w:asciiTheme="minorHAnsi" w:hAnsiTheme="minorHAnsi" w:cstheme="minorHAnsi"/>
                <w:color w:val="000000"/>
                <w:sz w:val="22"/>
                <w:szCs w:val="22"/>
                <w:lang w:val="en-CA"/>
              </w:rPr>
            </w:pPr>
            <w:r w:rsidRPr="004B1219">
              <w:rPr>
                <w:rFonts w:asciiTheme="minorHAnsi" w:hAnsiTheme="minorHAnsi" w:cstheme="minorHAnsi"/>
                <w:color w:val="000000"/>
                <w:sz w:val="22"/>
                <w:szCs w:val="22"/>
                <w:lang w:val="en-CA"/>
              </w:rPr>
              <w:t>930 to 959 calendar days</w:t>
            </w:r>
          </w:p>
        </w:tc>
        <w:tc>
          <w:tcPr>
            <w:tcW w:w="0" w:type="auto"/>
          </w:tcPr>
          <w:p w14:paraId="377C4F34" w14:textId="77777777" w:rsidR="00F8478B" w:rsidRPr="004B1219" w:rsidRDefault="00F8478B" w:rsidP="00C830B4">
            <w:pPr>
              <w:autoSpaceDE w:val="0"/>
              <w:autoSpaceDN w:val="0"/>
              <w:adjustRightInd w:val="0"/>
              <w:jc w:val="center"/>
              <w:rPr>
                <w:rFonts w:asciiTheme="minorHAnsi" w:hAnsiTheme="minorHAnsi" w:cstheme="minorHAnsi"/>
                <w:color w:val="000000"/>
                <w:sz w:val="22"/>
                <w:szCs w:val="22"/>
                <w:lang w:val="en-CA"/>
              </w:rPr>
            </w:pPr>
            <w:r w:rsidRPr="004B1219">
              <w:rPr>
                <w:rFonts w:asciiTheme="minorHAnsi" w:hAnsiTheme="minorHAnsi" w:cstheme="minorHAnsi"/>
                <w:color w:val="000000"/>
                <w:sz w:val="22"/>
                <w:szCs w:val="22"/>
                <w:lang w:val="en-CA"/>
              </w:rPr>
              <w:t>4</w:t>
            </w:r>
          </w:p>
        </w:tc>
      </w:tr>
      <w:tr w:rsidR="00F8478B" w:rsidRPr="00E628AA" w14:paraId="1284F04D" w14:textId="77777777" w:rsidTr="00535B86">
        <w:trPr>
          <w:cantSplit/>
          <w:trHeight w:val="290"/>
          <w:tblHeader/>
        </w:trPr>
        <w:tc>
          <w:tcPr>
            <w:tcW w:w="0" w:type="auto"/>
          </w:tcPr>
          <w:p w14:paraId="487D8329" w14:textId="77777777" w:rsidR="00F8478B" w:rsidRPr="004B1219" w:rsidRDefault="00F8478B" w:rsidP="00C830B4">
            <w:pPr>
              <w:autoSpaceDE w:val="0"/>
              <w:autoSpaceDN w:val="0"/>
              <w:adjustRightInd w:val="0"/>
              <w:rPr>
                <w:rFonts w:asciiTheme="minorHAnsi" w:hAnsiTheme="minorHAnsi" w:cstheme="minorHAnsi"/>
                <w:color w:val="000000"/>
                <w:sz w:val="22"/>
                <w:szCs w:val="22"/>
                <w:lang w:val="en-CA"/>
              </w:rPr>
            </w:pPr>
            <w:r w:rsidRPr="004B1219">
              <w:rPr>
                <w:rFonts w:asciiTheme="minorHAnsi" w:hAnsiTheme="minorHAnsi" w:cstheme="minorHAnsi"/>
                <w:color w:val="000000"/>
                <w:sz w:val="22"/>
                <w:szCs w:val="22"/>
                <w:lang w:val="en-CA"/>
              </w:rPr>
              <w:t>960 to 989 calendar days</w:t>
            </w:r>
          </w:p>
        </w:tc>
        <w:tc>
          <w:tcPr>
            <w:tcW w:w="0" w:type="auto"/>
          </w:tcPr>
          <w:p w14:paraId="121D8BB2" w14:textId="77777777" w:rsidR="00F8478B" w:rsidRPr="004B1219" w:rsidRDefault="00F8478B" w:rsidP="00C830B4">
            <w:pPr>
              <w:autoSpaceDE w:val="0"/>
              <w:autoSpaceDN w:val="0"/>
              <w:adjustRightInd w:val="0"/>
              <w:jc w:val="center"/>
              <w:rPr>
                <w:rFonts w:asciiTheme="minorHAnsi" w:hAnsiTheme="minorHAnsi" w:cstheme="minorHAnsi"/>
                <w:color w:val="000000"/>
                <w:sz w:val="22"/>
                <w:szCs w:val="22"/>
                <w:lang w:val="en-CA"/>
              </w:rPr>
            </w:pPr>
            <w:r w:rsidRPr="004B1219">
              <w:rPr>
                <w:rFonts w:asciiTheme="minorHAnsi" w:hAnsiTheme="minorHAnsi" w:cstheme="minorHAnsi"/>
                <w:color w:val="000000"/>
                <w:sz w:val="22"/>
                <w:szCs w:val="22"/>
                <w:lang w:val="en-CA"/>
              </w:rPr>
              <w:t>3</w:t>
            </w:r>
          </w:p>
        </w:tc>
      </w:tr>
      <w:tr w:rsidR="00F8478B" w:rsidRPr="00E628AA" w14:paraId="0F0975BD" w14:textId="77777777" w:rsidTr="00535B86">
        <w:trPr>
          <w:cantSplit/>
          <w:trHeight w:val="290"/>
          <w:tblHeader/>
        </w:trPr>
        <w:tc>
          <w:tcPr>
            <w:tcW w:w="0" w:type="auto"/>
          </w:tcPr>
          <w:p w14:paraId="11037C23" w14:textId="77777777" w:rsidR="00F8478B" w:rsidRPr="004B1219" w:rsidRDefault="00F8478B" w:rsidP="00C830B4">
            <w:pPr>
              <w:autoSpaceDE w:val="0"/>
              <w:autoSpaceDN w:val="0"/>
              <w:adjustRightInd w:val="0"/>
              <w:rPr>
                <w:rFonts w:asciiTheme="minorHAnsi" w:hAnsiTheme="minorHAnsi" w:cstheme="minorHAnsi"/>
                <w:color w:val="000000"/>
                <w:sz w:val="22"/>
                <w:szCs w:val="22"/>
                <w:lang w:val="en-CA"/>
              </w:rPr>
            </w:pPr>
            <w:r w:rsidRPr="004B1219">
              <w:rPr>
                <w:rFonts w:asciiTheme="minorHAnsi" w:hAnsiTheme="minorHAnsi" w:cstheme="minorHAnsi"/>
                <w:color w:val="000000"/>
                <w:sz w:val="22"/>
                <w:szCs w:val="22"/>
                <w:lang w:val="en-CA"/>
              </w:rPr>
              <w:t>More than 990 calendar days</w:t>
            </w:r>
          </w:p>
        </w:tc>
        <w:tc>
          <w:tcPr>
            <w:tcW w:w="0" w:type="auto"/>
          </w:tcPr>
          <w:p w14:paraId="4DBE0D1A" w14:textId="77777777" w:rsidR="00F8478B" w:rsidRPr="004B1219" w:rsidRDefault="00F8478B" w:rsidP="00C830B4">
            <w:pPr>
              <w:autoSpaceDE w:val="0"/>
              <w:autoSpaceDN w:val="0"/>
              <w:adjustRightInd w:val="0"/>
              <w:jc w:val="center"/>
              <w:rPr>
                <w:rFonts w:asciiTheme="minorHAnsi" w:hAnsiTheme="minorHAnsi" w:cstheme="minorHAnsi"/>
                <w:color w:val="000000"/>
                <w:sz w:val="22"/>
                <w:szCs w:val="22"/>
                <w:lang w:val="en-CA"/>
              </w:rPr>
            </w:pPr>
            <w:r w:rsidRPr="004B1219">
              <w:rPr>
                <w:rFonts w:asciiTheme="minorHAnsi" w:hAnsiTheme="minorHAnsi" w:cstheme="minorHAnsi"/>
                <w:color w:val="000000"/>
                <w:sz w:val="22"/>
                <w:szCs w:val="22"/>
                <w:lang w:val="en-CA"/>
              </w:rPr>
              <w:t>23</w:t>
            </w:r>
          </w:p>
        </w:tc>
      </w:tr>
    </w:tbl>
    <w:p w14:paraId="43F3A9EA" w14:textId="77777777" w:rsidR="00F8478B" w:rsidRDefault="00F8478B" w:rsidP="00252389">
      <w:pPr>
        <w:rPr>
          <w:lang w:val="en-CA"/>
        </w:rPr>
        <w:sectPr w:rsidR="00F8478B" w:rsidSect="00F8478B">
          <w:pgSz w:w="24480" w:h="15840" w:orient="landscape" w:code="3"/>
          <w:pgMar w:top="1025" w:right="720" w:bottom="720" w:left="720" w:header="708" w:footer="397" w:gutter="0"/>
          <w:cols w:space="708"/>
          <w:titlePg/>
          <w:docGrid w:linePitch="360"/>
        </w:sectPr>
      </w:pPr>
    </w:p>
    <w:p w14:paraId="07AAAE4E" w14:textId="2D36441E" w:rsidR="003222DC" w:rsidRPr="003222DC" w:rsidRDefault="003222DC" w:rsidP="003222DC">
      <w:pPr>
        <w:pStyle w:val="Titre1"/>
        <w:spacing w:before="120" w:after="120"/>
        <w:rPr>
          <w:sz w:val="40"/>
        </w:rPr>
      </w:pPr>
      <w:r w:rsidRPr="003222DC">
        <w:rPr>
          <w:sz w:val="40"/>
        </w:rPr>
        <w:lastRenderedPageBreak/>
        <w:t>E</w:t>
      </w:r>
      <w:r>
        <w:rPr>
          <w:sz w:val="40"/>
        </w:rPr>
        <w:t>xternal Time to S</w:t>
      </w:r>
      <w:r w:rsidRPr="003222DC">
        <w:rPr>
          <w:sz w:val="40"/>
        </w:rPr>
        <w:t>taff</w:t>
      </w:r>
    </w:p>
    <w:p w14:paraId="4628E08F" w14:textId="77777777" w:rsidR="00F8478B" w:rsidRDefault="004E3F2A" w:rsidP="00F8478B">
      <w:pPr>
        <w:keepNext/>
        <w:jc w:val="center"/>
      </w:pPr>
      <w:r w:rsidRPr="00E628AA">
        <w:rPr>
          <w:rStyle w:val="lev"/>
          <w:noProof/>
          <w:lang w:val="en-CA" w:eastAsia="en-CA"/>
        </w:rPr>
        <w:drawing>
          <wp:inline distT="0" distB="0" distL="0" distR="0" wp14:anchorId="52A3D3BE" wp14:editId="6AF166F5">
            <wp:extent cx="5648400" cy="3049200"/>
            <wp:effectExtent l="0" t="0" r="9525" b="18415"/>
            <wp:docPr id="21" name="Chart 21" descr="External time to staff Public service median = 186 days 2018-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79075C39" w14:textId="33D93BFA" w:rsidR="004E3F2A" w:rsidRPr="00E628AA" w:rsidRDefault="00F8478B" w:rsidP="00F8478B">
      <w:pPr>
        <w:pStyle w:val="Lgende"/>
        <w:spacing w:after="240"/>
        <w:jc w:val="center"/>
        <w:rPr>
          <w:lang w:val="en-CA"/>
        </w:rPr>
      </w:pPr>
      <w:r>
        <w:t xml:space="preserve">Figure </w:t>
      </w:r>
      <w:r>
        <w:fldChar w:fldCharType="begin"/>
      </w:r>
      <w:r>
        <w:instrText xml:space="preserve"> SEQ Figure \* ARABIC </w:instrText>
      </w:r>
      <w:r>
        <w:fldChar w:fldCharType="separate"/>
      </w:r>
      <w:r w:rsidR="0016520F">
        <w:rPr>
          <w:noProof/>
        </w:rPr>
        <w:t>13</w:t>
      </w:r>
      <w:r>
        <w:fldChar w:fldCharType="end"/>
      </w:r>
      <w:r>
        <w:t xml:space="preserve"> - External time to staff Public service median = 186 days 2018-19</w:t>
      </w:r>
    </w:p>
    <w:p w14:paraId="01B0B993" w14:textId="4F9C5994" w:rsidR="00F8478B" w:rsidRDefault="00777E1D" w:rsidP="00F8478B">
      <w:pPr>
        <w:rPr>
          <w:rFonts w:asciiTheme="minorHAnsi" w:hAnsiTheme="minorHAnsi" w:cstheme="minorHAnsi"/>
          <w:sz w:val="22"/>
        </w:rPr>
      </w:pPr>
      <w:hyperlink w:anchor="External_time_to_staff" w:history="1">
        <w:r w:rsidR="003222DC" w:rsidRPr="003222DC">
          <w:rPr>
            <w:rStyle w:val="Lienhypertexte"/>
            <w:rFonts w:asciiTheme="minorHAnsi" w:hAnsiTheme="minorHAnsi" w:cstheme="minorHAnsi"/>
            <w:sz w:val="22"/>
          </w:rPr>
          <w:t>I</w:t>
        </w:r>
        <w:r w:rsidR="003222DC">
          <w:rPr>
            <w:rStyle w:val="Lienhypertexte"/>
            <w:rFonts w:asciiTheme="minorHAnsi" w:hAnsiTheme="minorHAnsi" w:cstheme="minorHAnsi"/>
            <w:sz w:val="22"/>
          </w:rPr>
          <w:t>nternal ti</w:t>
        </w:r>
        <w:r w:rsidR="003222DC" w:rsidRPr="003222DC">
          <w:rPr>
            <w:rStyle w:val="Lienhypertexte"/>
            <w:rFonts w:asciiTheme="minorHAnsi" w:hAnsiTheme="minorHAnsi" w:cstheme="minorHAnsi"/>
            <w:sz w:val="22"/>
          </w:rPr>
          <w:t>me to staff data table available here</w:t>
        </w:r>
      </w:hyperlink>
    </w:p>
    <w:p w14:paraId="6770F140" w14:textId="73CBEB14" w:rsidR="00894CDB" w:rsidRPr="00F8478B" w:rsidRDefault="00894CDB" w:rsidP="00F8478B">
      <w:pPr>
        <w:spacing w:before="240"/>
        <w:rPr>
          <w:rStyle w:val="lev"/>
          <w:rFonts w:asciiTheme="minorHAnsi" w:hAnsiTheme="minorHAnsi" w:cstheme="minorHAnsi"/>
          <w:sz w:val="22"/>
        </w:rPr>
      </w:pPr>
      <w:r w:rsidRPr="00F8478B">
        <w:rPr>
          <w:rStyle w:val="lev"/>
          <w:rFonts w:asciiTheme="minorHAnsi" w:hAnsiTheme="minorHAnsi" w:cstheme="minorHAnsi"/>
          <w:sz w:val="22"/>
        </w:rPr>
        <w:t>External Time to Staff</w:t>
      </w:r>
    </w:p>
    <w:p w14:paraId="631AD0F7" w14:textId="69E092E9" w:rsidR="00894CDB" w:rsidRPr="00F8478B" w:rsidRDefault="00894CDB" w:rsidP="00F8478B">
      <w:pPr>
        <w:pStyle w:val="Paragraphedeliste"/>
        <w:spacing w:after="120"/>
        <w:rPr>
          <w:rFonts w:asciiTheme="minorHAnsi" w:hAnsiTheme="minorHAnsi" w:cstheme="minorHAnsi"/>
          <w:sz w:val="22"/>
          <w:lang w:val="en-CA"/>
        </w:rPr>
      </w:pPr>
      <w:r w:rsidRPr="00F8478B">
        <w:rPr>
          <w:rFonts w:asciiTheme="minorHAnsi" w:hAnsiTheme="minorHAnsi" w:cstheme="minorHAnsi"/>
          <w:sz w:val="22"/>
          <w:lang w:val="en-CA"/>
        </w:rPr>
        <w:t>The data is insufficient for providing results on external process times for the International Joint Commission.</w:t>
      </w:r>
    </w:p>
    <w:p w14:paraId="3CEEFEEE" w14:textId="585648C5" w:rsidR="00894CDB" w:rsidRPr="00F8478B" w:rsidRDefault="00894CDB" w:rsidP="00F8478B">
      <w:pPr>
        <w:spacing w:after="240"/>
        <w:rPr>
          <w:rFonts w:asciiTheme="minorHAnsi" w:hAnsiTheme="minorHAnsi" w:cstheme="minorHAnsi"/>
          <w:sz w:val="22"/>
          <w:lang w:val="en-CA" w:eastAsia="en-CA"/>
        </w:rPr>
      </w:pPr>
      <w:r w:rsidRPr="00F8478B">
        <w:rPr>
          <w:rFonts w:asciiTheme="minorHAnsi" w:hAnsiTheme="minorHAnsi" w:cstheme="minorHAnsi"/>
          <w:sz w:val="22"/>
          <w:lang w:val="en-CA" w:eastAsia="en-CA"/>
        </w:rPr>
        <w:t>External time to staff is calculated as the number of calendar days between the opening date of the advertisement and the date of the first estimated external hire</w:t>
      </w:r>
      <w:r w:rsidR="005912FA" w:rsidRPr="00F8478B">
        <w:rPr>
          <w:rFonts w:asciiTheme="minorHAnsi" w:hAnsiTheme="minorHAnsi" w:cstheme="minorHAnsi"/>
          <w:sz w:val="22"/>
          <w:lang w:val="en-CA" w:eastAsia="en-CA"/>
        </w:rPr>
        <w:t>.</w:t>
      </w:r>
    </w:p>
    <w:p w14:paraId="5128A930" w14:textId="77777777" w:rsidR="00F8478B" w:rsidRPr="00F8478B" w:rsidRDefault="00F8478B" w:rsidP="00F8478B">
      <w:pPr>
        <w:tabs>
          <w:tab w:val="left" w:pos="4788"/>
        </w:tabs>
        <w:rPr>
          <w:rStyle w:val="lev"/>
          <w:rFonts w:asciiTheme="minorHAnsi" w:hAnsiTheme="minorHAnsi" w:cstheme="minorHAnsi"/>
          <w:sz w:val="22"/>
          <w:szCs w:val="24"/>
          <w:lang w:val="en-CA"/>
        </w:rPr>
      </w:pPr>
      <w:r w:rsidRPr="00F8478B">
        <w:rPr>
          <w:rStyle w:val="lev"/>
          <w:rFonts w:asciiTheme="minorHAnsi" w:hAnsiTheme="minorHAnsi" w:cstheme="minorHAnsi"/>
          <w:sz w:val="22"/>
          <w:szCs w:val="24"/>
          <w:lang w:val="en-CA"/>
        </w:rPr>
        <w:t>External time to staff for fiscal year 2018 to 2019</w:t>
      </w:r>
    </w:p>
    <w:p w14:paraId="4DC672A3" w14:textId="7288BB95" w:rsidR="00F8478B" w:rsidRDefault="00F8478B" w:rsidP="00F8478B">
      <w:pPr>
        <w:tabs>
          <w:tab w:val="left" w:pos="4788"/>
        </w:tabs>
        <w:rPr>
          <w:rFonts w:asciiTheme="minorHAnsi" w:hAnsiTheme="minorHAnsi" w:cstheme="minorHAnsi"/>
          <w:lang w:val="en-CA" w:eastAsia="en-CA"/>
        </w:rPr>
      </w:pPr>
      <w:r w:rsidRPr="00F8478B">
        <w:rPr>
          <w:rFonts w:asciiTheme="minorHAnsi" w:hAnsiTheme="minorHAnsi" w:cstheme="minorHAnsi"/>
          <w:sz w:val="22"/>
          <w:szCs w:val="24"/>
          <w:lang w:val="en-CA"/>
        </w:rPr>
        <w:t>The median external time to staff for the public service (organizations subject to the Public Service Employment Act) for fiscal year 2018 to 2019 is 186 days. The data is insufficient for providing results on external process times for the International Joint Commission</w:t>
      </w:r>
      <w:r>
        <w:rPr>
          <w:rFonts w:asciiTheme="minorHAnsi" w:hAnsiTheme="minorHAnsi" w:cstheme="minorHAnsi"/>
          <w:sz w:val="22"/>
          <w:szCs w:val="24"/>
          <w:lang w:val="en-CA"/>
        </w:rPr>
        <w:t>.</w:t>
      </w:r>
    </w:p>
    <w:p w14:paraId="47B31731" w14:textId="77777777" w:rsidR="00F8478B" w:rsidRDefault="00F8478B" w:rsidP="00F8478B">
      <w:pPr>
        <w:rPr>
          <w:rFonts w:asciiTheme="minorHAnsi" w:hAnsiTheme="minorHAnsi" w:cstheme="minorHAnsi"/>
          <w:lang w:val="en-CA" w:eastAsia="en-CA"/>
        </w:rPr>
        <w:sectPr w:rsidR="00F8478B" w:rsidSect="00D636C9">
          <w:footerReference w:type="first" r:id="rId25"/>
          <w:pgSz w:w="15840" w:h="12240" w:orient="landscape"/>
          <w:pgMar w:top="720" w:right="720" w:bottom="720" w:left="720" w:header="708" w:footer="283" w:gutter="0"/>
          <w:cols w:space="708"/>
          <w:titlePg/>
          <w:docGrid w:linePitch="360"/>
        </w:sectPr>
      </w:pPr>
    </w:p>
    <w:p w14:paraId="488AB618" w14:textId="354FE05D" w:rsidR="003222DC" w:rsidRPr="003222DC" w:rsidRDefault="003222DC" w:rsidP="003222DC">
      <w:pPr>
        <w:pStyle w:val="Titre1"/>
        <w:spacing w:before="120" w:after="120"/>
        <w:rPr>
          <w:sz w:val="40"/>
        </w:rPr>
      </w:pPr>
      <w:r w:rsidRPr="003222DC">
        <w:rPr>
          <w:sz w:val="40"/>
        </w:rPr>
        <w:lastRenderedPageBreak/>
        <w:t>External Time to Staff</w:t>
      </w:r>
    </w:p>
    <w:p w14:paraId="4728747A" w14:textId="5C8AA19C" w:rsidR="004B1219" w:rsidRDefault="004B1219" w:rsidP="004B1219">
      <w:pPr>
        <w:pStyle w:val="Lgende"/>
        <w:keepNext/>
      </w:pPr>
      <w:r>
        <w:t xml:space="preserve">Table </w:t>
      </w:r>
      <w:r>
        <w:fldChar w:fldCharType="begin"/>
      </w:r>
      <w:r>
        <w:instrText xml:space="preserve"> SEQ Table \* ARABIC </w:instrText>
      </w:r>
      <w:r>
        <w:fldChar w:fldCharType="separate"/>
      </w:r>
      <w:r w:rsidR="0016520F">
        <w:rPr>
          <w:noProof/>
        </w:rPr>
        <w:t>13</w:t>
      </w:r>
      <w:r>
        <w:fldChar w:fldCharType="end"/>
      </w:r>
      <w:r>
        <w:t xml:space="preserve"> - </w:t>
      </w:r>
      <w:r w:rsidRPr="004677AA">
        <w:t>External Time to Staff</w:t>
      </w:r>
    </w:p>
    <w:tbl>
      <w:tblPr>
        <w:tblStyle w:val="Grilledutableau"/>
        <w:tblpPr w:leftFromText="180" w:rightFromText="180" w:vertAnchor="text" w:tblpY="1"/>
        <w:tblOverlap w:val="never"/>
        <w:tblW w:w="0" w:type="auto"/>
        <w:tblLook w:val="00A0" w:firstRow="1" w:lastRow="0" w:firstColumn="1" w:lastColumn="0" w:noHBand="0" w:noVBand="0"/>
        <w:tblDescription w:val="External Time to Staff"/>
      </w:tblPr>
      <w:tblGrid>
        <w:gridCol w:w="2965"/>
        <w:gridCol w:w="18421"/>
      </w:tblGrid>
      <w:tr w:rsidR="00C869C6" w:rsidRPr="00E628AA" w14:paraId="4AA97219" w14:textId="77777777" w:rsidTr="004B1219">
        <w:trPr>
          <w:cantSplit/>
          <w:trHeight w:val="290"/>
          <w:tblHeader/>
        </w:trPr>
        <w:tc>
          <w:tcPr>
            <w:tcW w:w="0" w:type="auto"/>
          </w:tcPr>
          <w:p w14:paraId="32AC1E63" w14:textId="77777777" w:rsidR="00C869C6" w:rsidRPr="004B1219" w:rsidRDefault="00C869C6" w:rsidP="004B1219">
            <w:pPr>
              <w:pStyle w:val="TableTitle"/>
              <w:rPr>
                <w:color w:val="auto"/>
                <w:sz w:val="22"/>
                <w:szCs w:val="22"/>
                <w:lang w:val="en-CA"/>
              </w:rPr>
            </w:pPr>
            <w:r w:rsidRPr="004B1219">
              <w:rPr>
                <w:color w:val="auto"/>
                <w:sz w:val="22"/>
                <w:szCs w:val="22"/>
                <w:lang w:val="en-CA"/>
              </w:rPr>
              <w:br w:type="page"/>
            </w:r>
            <w:bookmarkStart w:id="6" w:name="External_time_to_staff"/>
            <w:r w:rsidRPr="004B1219">
              <w:rPr>
                <w:color w:val="auto"/>
                <w:sz w:val="22"/>
                <w:szCs w:val="22"/>
                <w:lang w:val="en-CA"/>
              </w:rPr>
              <w:t>Number of calendar days</w:t>
            </w:r>
            <w:bookmarkEnd w:id="6"/>
          </w:p>
        </w:tc>
        <w:tc>
          <w:tcPr>
            <w:tcW w:w="0" w:type="auto"/>
          </w:tcPr>
          <w:p w14:paraId="101682ED" w14:textId="77777777" w:rsidR="00C869C6" w:rsidRPr="004B1219" w:rsidRDefault="00C869C6" w:rsidP="004B1219">
            <w:pPr>
              <w:pStyle w:val="TableTitle"/>
              <w:rPr>
                <w:color w:val="auto"/>
                <w:sz w:val="22"/>
                <w:szCs w:val="22"/>
                <w:lang w:val="en-CA"/>
              </w:rPr>
            </w:pPr>
            <w:r w:rsidRPr="004B1219">
              <w:rPr>
                <w:color w:val="auto"/>
                <w:sz w:val="22"/>
                <w:szCs w:val="22"/>
                <w:lang w:val="en-CA"/>
              </w:rPr>
              <w:t>The number of external appointment processes for which the TTS-EA was within the specified number of calendar days for organizations subject to the Public Service Employment Act</w:t>
            </w:r>
          </w:p>
        </w:tc>
      </w:tr>
      <w:tr w:rsidR="00C869C6" w:rsidRPr="00E628AA" w14:paraId="43767CE4" w14:textId="77777777" w:rsidTr="004B1219">
        <w:trPr>
          <w:cantSplit/>
          <w:trHeight w:val="290"/>
          <w:tblHeader/>
        </w:trPr>
        <w:tc>
          <w:tcPr>
            <w:tcW w:w="0" w:type="auto"/>
          </w:tcPr>
          <w:p w14:paraId="618B052B" w14:textId="77777777" w:rsidR="00C869C6" w:rsidRPr="004B1219" w:rsidRDefault="00C869C6" w:rsidP="004B1219">
            <w:pPr>
              <w:autoSpaceDE w:val="0"/>
              <w:autoSpaceDN w:val="0"/>
              <w:adjustRightInd w:val="0"/>
              <w:rPr>
                <w:rFonts w:asciiTheme="minorHAnsi" w:hAnsiTheme="minorHAnsi" w:cstheme="minorHAnsi"/>
                <w:color w:val="000000"/>
                <w:sz w:val="22"/>
                <w:szCs w:val="22"/>
                <w:lang w:val="en-CA"/>
              </w:rPr>
            </w:pPr>
            <w:r w:rsidRPr="004B1219">
              <w:rPr>
                <w:rFonts w:asciiTheme="minorHAnsi" w:hAnsiTheme="minorHAnsi" w:cstheme="minorHAnsi"/>
                <w:color w:val="000000"/>
                <w:sz w:val="22"/>
                <w:szCs w:val="22"/>
                <w:lang w:val="en-CA"/>
              </w:rPr>
              <w:t>0 calendar days</w:t>
            </w:r>
          </w:p>
        </w:tc>
        <w:tc>
          <w:tcPr>
            <w:tcW w:w="0" w:type="auto"/>
          </w:tcPr>
          <w:p w14:paraId="2D522587" w14:textId="77777777" w:rsidR="00C869C6" w:rsidRPr="004B1219" w:rsidRDefault="00C869C6" w:rsidP="004B1219">
            <w:pPr>
              <w:autoSpaceDE w:val="0"/>
              <w:autoSpaceDN w:val="0"/>
              <w:adjustRightInd w:val="0"/>
              <w:jc w:val="center"/>
              <w:rPr>
                <w:rFonts w:asciiTheme="minorHAnsi" w:hAnsiTheme="minorHAnsi" w:cstheme="minorHAnsi"/>
                <w:color w:val="000000"/>
                <w:sz w:val="22"/>
                <w:szCs w:val="22"/>
                <w:lang w:val="en-CA"/>
              </w:rPr>
            </w:pPr>
            <w:r w:rsidRPr="004B1219">
              <w:rPr>
                <w:rFonts w:asciiTheme="minorHAnsi" w:hAnsiTheme="minorHAnsi" w:cstheme="minorHAnsi"/>
                <w:color w:val="000000"/>
                <w:sz w:val="22"/>
                <w:szCs w:val="22"/>
                <w:lang w:val="en-CA"/>
              </w:rPr>
              <w:t>0</w:t>
            </w:r>
          </w:p>
        </w:tc>
      </w:tr>
      <w:tr w:rsidR="00C869C6" w:rsidRPr="00E628AA" w14:paraId="2596D0AF" w14:textId="77777777" w:rsidTr="004B1219">
        <w:trPr>
          <w:cantSplit/>
          <w:trHeight w:val="290"/>
          <w:tblHeader/>
        </w:trPr>
        <w:tc>
          <w:tcPr>
            <w:tcW w:w="0" w:type="auto"/>
          </w:tcPr>
          <w:p w14:paraId="33A2104B" w14:textId="77777777" w:rsidR="00C869C6" w:rsidRPr="004B1219" w:rsidRDefault="00C869C6" w:rsidP="004B1219">
            <w:pPr>
              <w:autoSpaceDE w:val="0"/>
              <w:autoSpaceDN w:val="0"/>
              <w:adjustRightInd w:val="0"/>
              <w:rPr>
                <w:rFonts w:asciiTheme="minorHAnsi" w:hAnsiTheme="minorHAnsi" w:cstheme="minorHAnsi"/>
                <w:color w:val="000000"/>
                <w:sz w:val="22"/>
                <w:szCs w:val="22"/>
                <w:lang w:val="en-CA"/>
              </w:rPr>
            </w:pPr>
            <w:r w:rsidRPr="004B1219">
              <w:rPr>
                <w:rFonts w:asciiTheme="minorHAnsi" w:hAnsiTheme="minorHAnsi" w:cstheme="minorHAnsi"/>
                <w:color w:val="000000"/>
                <w:sz w:val="22"/>
                <w:szCs w:val="22"/>
                <w:lang w:val="en-CA"/>
              </w:rPr>
              <w:t>0 to 29 calendar days</w:t>
            </w:r>
          </w:p>
        </w:tc>
        <w:tc>
          <w:tcPr>
            <w:tcW w:w="0" w:type="auto"/>
          </w:tcPr>
          <w:p w14:paraId="6B57E270" w14:textId="77777777" w:rsidR="00C869C6" w:rsidRPr="004B1219" w:rsidRDefault="00C869C6" w:rsidP="004B1219">
            <w:pPr>
              <w:autoSpaceDE w:val="0"/>
              <w:autoSpaceDN w:val="0"/>
              <w:adjustRightInd w:val="0"/>
              <w:jc w:val="center"/>
              <w:rPr>
                <w:rFonts w:asciiTheme="minorHAnsi" w:hAnsiTheme="minorHAnsi" w:cstheme="minorHAnsi"/>
                <w:color w:val="000000"/>
                <w:sz w:val="22"/>
                <w:szCs w:val="22"/>
                <w:lang w:val="en-CA"/>
              </w:rPr>
            </w:pPr>
            <w:r w:rsidRPr="004B1219">
              <w:rPr>
                <w:rFonts w:asciiTheme="minorHAnsi" w:hAnsiTheme="minorHAnsi" w:cstheme="minorHAnsi"/>
                <w:color w:val="000000"/>
                <w:sz w:val="22"/>
                <w:szCs w:val="22"/>
                <w:lang w:val="en-CA"/>
              </w:rPr>
              <w:t>49</w:t>
            </w:r>
          </w:p>
        </w:tc>
      </w:tr>
      <w:tr w:rsidR="00C869C6" w:rsidRPr="00E628AA" w14:paraId="03DDA8C9" w14:textId="77777777" w:rsidTr="004B1219">
        <w:trPr>
          <w:cantSplit/>
          <w:trHeight w:val="290"/>
          <w:tblHeader/>
        </w:trPr>
        <w:tc>
          <w:tcPr>
            <w:tcW w:w="0" w:type="auto"/>
          </w:tcPr>
          <w:p w14:paraId="25D095EE" w14:textId="77777777" w:rsidR="00C869C6" w:rsidRPr="004B1219" w:rsidRDefault="00C869C6" w:rsidP="004B1219">
            <w:pPr>
              <w:autoSpaceDE w:val="0"/>
              <w:autoSpaceDN w:val="0"/>
              <w:adjustRightInd w:val="0"/>
              <w:rPr>
                <w:rFonts w:asciiTheme="minorHAnsi" w:hAnsiTheme="minorHAnsi" w:cstheme="minorHAnsi"/>
                <w:color w:val="000000"/>
                <w:sz w:val="22"/>
                <w:szCs w:val="22"/>
                <w:lang w:val="en-CA"/>
              </w:rPr>
            </w:pPr>
            <w:r w:rsidRPr="004B1219">
              <w:rPr>
                <w:rFonts w:asciiTheme="minorHAnsi" w:hAnsiTheme="minorHAnsi" w:cstheme="minorHAnsi"/>
                <w:color w:val="000000"/>
                <w:sz w:val="22"/>
                <w:szCs w:val="22"/>
                <w:lang w:val="en-CA"/>
              </w:rPr>
              <w:t>30 to 59 calendar days</w:t>
            </w:r>
          </w:p>
        </w:tc>
        <w:tc>
          <w:tcPr>
            <w:tcW w:w="0" w:type="auto"/>
          </w:tcPr>
          <w:p w14:paraId="4E148275" w14:textId="77777777" w:rsidR="00C869C6" w:rsidRPr="004B1219" w:rsidRDefault="00C869C6" w:rsidP="004B1219">
            <w:pPr>
              <w:autoSpaceDE w:val="0"/>
              <w:autoSpaceDN w:val="0"/>
              <w:adjustRightInd w:val="0"/>
              <w:jc w:val="center"/>
              <w:rPr>
                <w:rFonts w:asciiTheme="minorHAnsi" w:hAnsiTheme="minorHAnsi" w:cstheme="minorHAnsi"/>
                <w:color w:val="000000"/>
                <w:sz w:val="22"/>
                <w:szCs w:val="22"/>
                <w:lang w:val="en-CA"/>
              </w:rPr>
            </w:pPr>
            <w:r w:rsidRPr="004B1219">
              <w:rPr>
                <w:rFonts w:asciiTheme="minorHAnsi" w:hAnsiTheme="minorHAnsi" w:cstheme="minorHAnsi"/>
                <w:color w:val="000000"/>
                <w:sz w:val="22"/>
                <w:szCs w:val="22"/>
                <w:lang w:val="en-CA"/>
              </w:rPr>
              <w:t>82</w:t>
            </w:r>
          </w:p>
        </w:tc>
      </w:tr>
      <w:tr w:rsidR="00C869C6" w:rsidRPr="00E628AA" w14:paraId="2BAA0AFB" w14:textId="77777777" w:rsidTr="004B1219">
        <w:trPr>
          <w:cantSplit/>
          <w:trHeight w:val="290"/>
          <w:tblHeader/>
        </w:trPr>
        <w:tc>
          <w:tcPr>
            <w:tcW w:w="0" w:type="auto"/>
          </w:tcPr>
          <w:p w14:paraId="69A0D82C" w14:textId="77777777" w:rsidR="00C869C6" w:rsidRPr="004B1219" w:rsidRDefault="00C869C6" w:rsidP="004B1219">
            <w:pPr>
              <w:autoSpaceDE w:val="0"/>
              <w:autoSpaceDN w:val="0"/>
              <w:adjustRightInd w:val="0"/>
              <w:rPr>
                <w:rFonts w:asciiTheme="minorHAnsi" w:hAnsiTheme="minorHAnsi" w:cstheme="minorHAnsi"/>
                <w:color w:val="000000"/>
                <w:sz w:val="22"/>
                <w:szCs w:val="22"/>
                <w:lang w:val="en-CA"/>
              </w:rPr>
            </w:pPr>
            <w:r w:rsidRPr="004B1219">
              <w:rPr>
                <w:rFonts w:asciiTheme="minorHAnsi" w:hAnsiTheme="minorHAnsi" w:cstheme="minorHAnsi"/>
                <w:color w:val="000000"/>
                <w:sz w:val="22"/>
                <w:szCs w:val="22"/>
                <w:lang w:val="en-CA"/>
              </w:rPr>
              <w:t>60 to 89 calendar days</w:t>
            </w:r>
          </w:p>
        </w:tc>
        <w:tc>
          <w:tcPr>
            <w:tcW w:w="0" w:type="auto"/>
          </w:tcPr>
          <w:p w14:paraId="5A91EFD1" w14:textId="77777777" w:rsidR="00C869C6" w:rsidRPr="004B1219" w:rsidRDefault="00C869C6" w:rsidP="004B1219">
            <w:pPr>
              <w:autoSpaceDE w:val="0"/>
              <w:autoSpaceDN w:val="0"/>
              <w:adjustRightInd w:val="0"/>
              <w:jc w:val="center"/>
              <w:rPr>
                <w:rFonts w:asciiTheme="minorHAnsi" w:hAnsiTheme="minorHAnsi" w:cstheme="minorHAnsi"/>
                <w:color w:val="000000"/>
                <w:sz w:val="22"/>
                <w:szCs w:val="22"/>
                <w:lang w:val="en-CA"/>
              </w:rPr>
            </w:pPr>
            <w:r w:rsidRPr="004B1219">
              <w:rPr>
                <w:rFonts w:asciiTheme="minorHAnsi" w:hAnsiTheme="minorHAnsi" w:cstheme="minorHAnsi"/>
                <w:color w:val="000000"/>
                <w:sz w:val="22"/>
                <w:szCs w:val="22"/>
                <w:lang w:val="en-CA"/>
              </w:rPr>
              <w:t>124</w:t>
            </w:r>
          </w:p>
        </w:tc>
      </w:tr>
      <w:tr w:rsidR="00C869C6" w:rsidRPr="00E628AA" w14:paraId="44AB667B" w14:textId="77777777" w:rsidTr="004B1219">
        <w:trPr>
          <w:cantSplit/>
          <w:trHeight w:val="290"/>
          <w:tblHeader/>
        </w:trPr>
        <w:tc>
          <w:tcPr>
            <w:tcW w:w="0" w:type="auto"/>
          </w:tcPr>
          <w:p w14:paraId="357401CC" w14:textId="77777777" w:rsidR="00C869C6" w:rsidRPr="004B1219" w:rsidRDefault="00C869C6" w:rsidP="004B1219">
            <w:pPr>
              <w:autoSpaceDE w:val="0"/>
              <w:autoSpaceDN w:val="0"/>
              <w:adjustRightInd w:val="0"/>
              <w:rPr>
                <w:rFonts w:asciiTheme="minorHAnsi" w:hAnsiTheme="minorHAnsi" w:cstheme="minorHAnsi"/>
                <w:color w:val="000000"/>
                <w:sz w:val="22"/>
                <w:szCs w:val="22"/>
                <w:lang w:val="en-CA"/>
              </w:rPr>
            </w:pPr>
            <w:r w:rsidRPr="004B1219">
              <w:rPr>
                <w:rFonts w:asciiTheme="minorHAnsi" w:hAnsiTheme="minorHAnsi" w:cstheme="minorHAnsi"/>
                <w:color w:val="000000"/>
                <w:sz w:val="22"/>
                <w:szCs w:val="22"/>
                <w:lang w:val="en-CA"/>
              </w:rPr>
              <w:t>90 to 119 calendar days</w:t>
            </w:r>
          </w:p>
        </w:tc>
        <w:tc>
          <w:tcPr>
            <w:tcW w:w="0" w:type="auto"/>
          </w:tcPr>
          <w:p w14:paraId="3E75B4F1" w14:textId="77777777" w:rsidR="00C869C6" w:rsidRPr="004B1219" w:rsidRDefault="00C869C6" w:rsidP="004B1219">
            <w:pPr>
              <w:autoSpaceDE w:val="0"/>
              <w:autoSpaceDN w:val="0"/>
              <w:adjustRightInd w:val="0"/>
              <w:jc w:val="center"/>
              <w:rPr>
                <w:rFonts w:asciiTheme="minorHAnsi" w:hAnsiTheme="minorHAnsi" w:cstheme="minorHAnsi"/>
                <w:color w:val="000000"/>
                <w:sz w:val="22"/>
                <w:szCs w:val="22"/>
                <w:lang w:val="en-CA"/>
              </w:rPr>
            </w:pPr>
            <w:r w:rsidRPr="004B1219">
              <w:rPr>
                <w:rFonts w:asciiTheme="minorHAnsi" w:hAnsiTheme="minorHAnsi" w:cstheme="minorHAnsi"/>
                <w:color w:val="000000"/>
                <w:sz w:val="22"/>
                <w:szCs w:val="22"/>
                <w:lang w:val="en-CA"/>
              </w:rPr>
              <w:t>160</w:t>
            </w:r>
          </w:p>
        </w:tc>
      </w:tr>
      <w:tr w:rsidR="00C869C6" w:rsidRPr="00E628AA" w14:paraId="787682A2" w14:textId="77777777" w:rsidTr="004B1219">
        <w:trPr>
          <w:cantSplit/>
          <w:trHeight w:val="290"/>
          <w:tblHeader/>
        </w:trPr>
        <w:tc>
          <w:tcPr>
            <w:tcW w:w="0" w:type="auto"/>
          </w:tcPr>
          <w:p w14:paraId="7E8749DB" w14:textId="77777777" w:rsidR="00C869C6" w:rsidRPr="004B1219" w:rsidRDefault="00C869C6" w:rsidP="004B1219">
            <w:pPr>
              <w:autoSpaceDE w:val="0"/>
              <w:autoSpaceDN w:val="0"/>
              <w:adjustRightInd w:val="0"/>
              <w:rPr>
                <w:rFonts w:asciiTheme="minorHAnsi" w:hAnsiTheme="minorHAnsi" w:cstheme="minorHAnsi"/>
                <w:color w:val="000000"/>
                <w:sz w:val="22"/>
                <w:szCs w:val="22"/>
                <w:lang w:val="en-CA"/>
              </w:rPr>
            </w:pPr>
            <w:r w:rsidRPr="004B1219">
              <w:rPr>
                <w:rFonts w:asciiTheme="minorHAnsi" w:hAnsiTheme="minorHAnsi" w:cstheme="minorHAnsi"/>
                <w:color w:val="000000"/>
                <w:sz w:val="22"/>
                <w:szCs w:val="22"/>
                <w:lang w:val="en-CA"/>
              </w:rPr>
              <w:t>120 to 149 calendar days</w:t>
            </w:r>
          </w:p>
        </w:tc>
        <w:tc>
          <w:tcPr>
            <w:tcW w:w="0" w:type="auto"/>
          </w:tcPr>
          <w:p w14:paraId="27295A36" w14:textId="77777777" w:rsidR="00C869C6" w:rsidRPr="004B1219" w:rsidRDefault="00C869C6" w:rsidP="004B1219">
            <w:pPr>
              <w:autoSpaceDE w:val="0"/>
              <w:autoSpaceDN w:val="0"/>
              <w:adjustRightInd w:val="0"/>
              <w:jc w:val="center"/>
              <w:rPr>
                <w:rFonts w:asciiTheme="minorHAnsi" w:hAnsiTheme="minorHAnsi" w:cstheme="minorHAnsi"/>
                <w:color w:val="000000"/>
                <w:sz w:val="22"/>
                <w:szCs w:val="22"/>
                <w:lang w:val="en-CA"/>
              </w:rPr>
            </w:pPr>
            <w:r w:rsidRPr="004B1219">
              <w:rPr>
                <w:rFonts w:asciiTheme="minorHAnsi" w:hAnsiTheme="minorHAnsi" w:cstheme="minorHAnsi"/>
                <w:color w:val="000000"/>
                <w:sz w:val="22"/>
                <w:szCs w:val="22"/>
                <w:lang w:val="en-CA"/>
              </w:rPr>
              <w:t>181</w:t>
            </w:r>
          </w:p>
        </w:tc>
      </w:tr>
      <w:tr w:rsidR="00C869C6" w:rsidRPr="00E628AA" w14:paraId="710F9C25" w14:textId="77777777" w:rsidTr="004B1219">
        <w:trPr>
          <w:cantSplit/>
          <w:trHeight w:val="290"/>
          <w:tblHeader/>
        </w:trPr>
        <w:tc>
          <w:tcPr>
            <w:tcW w:w="0" w:type="auto"/>
          </w:tcPr>
          <w:p w14:paraId="757E89D1" w14:textId="77777777" w:rsidR="00C869C6" w:rsidRPr="004B1219" w:rsidRDefault="00C869C6" w:rsidP="004B1219">
            <w:pPr>
              <w:autoSpaceDE w:val="0"/>
              <w:autoSpaceDN w:val="0"/>
              <w:adjustRightInd w:val="0"/>
              <w:rPr>
                <w:rFonts w:asciiTheme="minorHAnsi" w:hAnsiTheme="minorHAnsi" w:cstheme="minorHAnsi"/>
                <w:color w:val="000000"/>
                <w:sz w:val="22"/>
                <w:szCs w:val="22"/>
                <w:lang w:val="en-CA"/>
              </w:rPr>
            </w:pPr>
            <w:r w:rsidRPr="004B1219">
              <w:rPr>
                <w:rFonts w:asciiTheme="minorHAnsi" w:hAnsiTheme="minorHAnsi" w:cstheme="minorHAnsi"/>
                <w:color w:val="000000"/>
                <w:sz w:val="22"/>
                <w:szCs w:val="22"/>
                <w:lang w:val="en-CA"/>
              </w:rPr>
              <w:t>150 to 179 calendar days</w:t>
            </w:r>
          </w:p>
        </w:tc>
        <w:tc>
          <w:tcPr>
            <w:tcW w:w="0" w:type="auto"/>
          </w:tcPr>
          <w:p w14:paraId="127A18A1" w14:textId="77777777" w:rsidR="00C869C6" w:rsidRPr="004B1219" w:rsidRDefault="00C869C6" w:rsidP="004B1219">
            <w:pPr>
              <w:autoSpaceDE w:val="0"/>
              <w:autoSpaceDN w:val="0"/>
              <w:adjustRightInd w:val="0"/>
              <w:jc w:val="center"/>
              <w:rPr>
                <w:rFonts w:asciiTheme="minorHAnsi" w:hAnsiTheme="minorHAnsi" w:cstheme="minorHAnsi"/>
                <w:color w:val="000000"/>
                <w:sz w:val="22"/>
                <w:szCs w:val="22"/>
                <w:lang w:val="en-CA"/>
              </w:rPr>
            </w:pPr>
            <w:r w:rsidRPr="004B1219">
              <w:rPr>
                <w:rFonts w:asciiTheme="minorHAnsi" w:hAnsiTheme="minorHAnsi" w:cstheme="minorHAnsi"/>
                <w:color w:val="000000"/>
                <w:sz w:val="22"/>
                <w:szCs w:val="22"/>
                <w:lang w:val="en-CA"/>
              </w:rPr>
              <w:t>179</w:t>
            </w:r>
          </w:p>
        </w:tc>
      </w:tr>
      <w:tr w:rsidR="00C869C6" w:rsidRPr="00E628AA" w14:paraId="69D25B09" w14:textId="77777777" w:rsidTr="004B1219">
        <w:trPr>
          <w:cantSplit/>
          <w:trHeight w:val="290"/>
          <w:tblHeader/>
        </w:trPr>
        <w:tc>
          <w:tcPr>
            <w:tcW w:w="0" w:type="auto"/>
          </w:tcPr>
          <w:p w14:paraId="7EE63877" w14:textId="77777777" w:rsidR="00C869C6" w:rsidRPr="004B1219" w:rsidRDefault="00C869C6" w:rsidP="004B1219">
            <w:pPr>
              <w:autoSpaceDE w:val="0"/>
              <w:autoSpaceDN w:val="0"/>
              <w:adjustRightInd w:val="0"/>
              <w:rPr>
                <w:rFonts w:asciiTheme="minorHAnsi" w:hAnsiTheme="minorHAnsi" w:cstheme="minorHAnsi"/>
                <w:color w:val="000000"/>
                <w:sz w:val="22"/>
                <w:szCs w:val="22"/>
                <w:lang w:val="en-CA"/>
              </w:rPr>
            </w:pPr>
            <w:r w:rsidRPr="004B1219">
              <w:rPr>
                <w:rFonts w:asciiTheme="minorHAnsi" w:hAnsiTheme="minorHAnsi" w:cstheme="minorHAnsi"/>
                <w:color w:val="000000"/>
                <w:sz w:val="22"/>
                <w:szCs w:val="22"/>
                <w:lang w:val="en-CA"/>
              </w:rPr>
              <w:t>180 to 209 calendar days</w:t>
            </w:r>
          </w:p>
        </w:tc>
        <w:tc>
          <w:tcPr>
            <w:tcW w:w="0" w:type="auto"/>
          </w:tcPr>
          <w:p w14:paraId="61112557" w14:textId="77777777" w:rsidR="00C869C6" w:rsidRPr="004B1219" w:rsidRDefault="00C869C6" w:rsidP="004B1219">
            <w:pPr>
              <w:autoSpaceDE w:val="0"/>
              <w:autoSpaceDN w:val="0"/>
              <w:adjustRightInd w:val="0"/>
              <w:jc w:val="center"/>
              <w:rPr>
                <w:rFonts w:asciiTheme="minorHAnsi" w:hAnsiTheme="minorHAnsi" w:cstheme="minorHAnsi"/>
                <w:color w:val="000000"/>
                <w:sz w:val="22"/>
                <w:szCs w:val="22"/>
                <w:lang w:val="en-CA"/>
              </w:rPr>
            </w:pPr>
            <w:r w:rsidRPr="004B1219">
              <w:rPr>
                <w:rFonts w:asciiTheme="minorHAnsi" w:hAnsiTheme="minorHAnsi" w:cstheme="minorHAnsi"/>
                <w:color w:val="000000"/>
                <w:sz w:val="22"/>
                <w:szCs w:val="22"/>
                <w:lang w:val="en-CA"/>
              </w:rPr>
              <w:t>160</w:t>
            </w:r>
          </w:p>
        </w:tc>
      </w:tr>
      <w:tr w:rsidR="00C869C6" w:rsidRPr="00E628AA" w14:paraId="4D7383AB" w14:textId="77777777" w:rsidTr="004B1219">
        <w:trPr>
          <w:cantSplit/>
          <w:trHeight w:val="290"/>
          <w:tblHeader/>
        </w:trPr>
        <w:tc>
          <w:tcPr>
            <w:tcW w:w="0" w:type="auto"/>
          </w:tcPr>
          <w:p w14:paraId="45FB5FB5" w14:textId="77777777" w:rsidR="00C869C6" w:rsidRPr="004B1219" w:rsidRDefault="00C869C6" w:rsidP="004B1219">
            <w:pPr>
              <w:autoSpaceDE w:val="0"/>
              <w:autoSpaceDN w:val="0"/>
              <w:adjustRightInd w:val="0"/>
              <w:rPr>
                <w:rFonts w:asciiTheme="minorHAnsi" w:hAnsiTheme="minorHAnsi" w:cstheme="minorHAnsi"/>
                <w:color w:val="000000"/>
                <w:sz w:val="22"/>
                <w:szCs w:val="22"/>
                <w:lang w:val="en-CA"/>
              </w:rPr>
            </w:pPr>
            <w:r w:rsidRPr="004B1219">
              <w:rPr>
                <w:rFonts w:asciiTheme="minorHAnsi" w:hAnsiTheme="minorHAnsi" w:cstheme="minorHAnsi"/>
                <w:color w:val="000000"/>
                <w:sz w:val="22"/>
                <w:szCs w:val="22"/>
                <w:lang w:val="en-CA"/>
              </w:rPr>
              <w:t>210 to 239 calendar days</w:t>
            </w:r>
          </w:p>
        </w:tc>
        <w:tc>
          <w:tcPr>
            <w:tcW w:w="0" w:type="auto"/>
          </w:tcPr>
          <w:p w14:paraId="57936AC2" w14:textId="77777777" w:rsidR="00C869C6" w:rsidRPr="004B1219" w:rsidRDefault="00C869C6" w:rsidP="004B1219">
            <w:pPr>
              <w:autoSpaceDE w:val="0"/>
              <w:autoSpaceDN w:val="0"/>
              <w:adjustRightInd w:val="0"/>
              <w:jc w:val="center"/>
              <w:rPr>
                <w:rFonts w:asciiTheme="minorHAnsi" w:hAnsiTheme="minorHAnsi" w:cstheme="minorHAnsi"/>
                <w:color w:val="000000"/>
                <w:sz w:val="22"/>
                <w:szCs w:val="22"/>
                <w:lang w:val="en-CA"/>
              </w:rPr>
            </w:pPr>
            <w:r w:rsidRPr="004B1219">
              <w:rPr>
                <w:rFonts w:asciiTheme="minorHAnsi" w:hAnsiTheme="minorHAnsi" w:cstheme="minorHAnsi"/>
                <w:color w:val="000000"/>
                <w:sz w:val="22"/>
                <w:szCs w:val="22"/>
                <w:lang w:val="en-CA"/>
              </w:rPr>
              <w:t>139</w:t>
            </w:r>
          </w:p>
        </w:tc>
      </w:tr>
      <w:tr w:rsidR="00C869C6" w:rsidRPr="00E628AA" w14:paraId="6C55F4F8" w14:textId="77777777" w:rsidTr="004B1219">
        <w:trPr>
          <w:cantSplit/>
          <w:trHeight w:val="290"/>
          <w:tblHeader/>
        </w:trPr>
        <w:tc>
          <w:tcPr>
            <w:tcW w:w="0" w:type="auto"/>
          </w:tcPr>
          <w:p w14:paraId="638F263D" w14:textId="77777777" w:rsidR="00C869C6" w:rsidRPr="004B1219" w:rsidRDefault="00C869C6" w:rsidP="004B1219">
            <w:pPr>
              <w:autoSpaceDE w:val="0"/>
              <w:autoSpaceDN w:val="0"/>
              <w:adjustRightInd w:val="0"/>
              <w:rPr>
                <w:rFonts w:asciiTheme="minorHAnsi" w:hAnsiTheme="minorHAnsi" w:cstheme="minorHAnsi"/>
                <w:color w:val="000000"/>
                <w:sz w:val="22"/>
                <w:szCs w:val="22"/>
                <w:lang w:val="en-CA"/>
              </w:rPr>
            </w:pPr>
            <w:r w:rsidRPr="004B1219">
              <w:rPr>
                <w:rFonts w:asciiTheme="minorHAnsi" w:hAnsiTheme="minorHAnsi" w:cstheme="minorHAnsi"/>
                <w:color w:val="000000"/>
                <w:sz w:val="22"/>
                <w:szCs w:val="22"/>
                <w:lang w:val="en-CA"/>
              </w:rPr>
              <w:t>240 to 269 calendar days</w:t>
            </w:r>
          </w:p>
        </w:tc>
        <w:tc>
          <w:tcPr>
            <w:tcW w:w="0" w:type="auto"/>
          </w:tcPr>
          <w:p w14:paraId="05BADA50" w14:textId="77777777" w:rsidR="00C869C6" w:rsidRPr="004B1219" w:rsidRDefault="00C869C6" w:rsidP="004B1219">
            <w:pPr>
              <w:autoSpaceDE w:val="0"/>
              <w:autoSpaceDN w:val="0"/>
              <w:adjustRightInd w:val="0"/>
              <w:jc w:val="center"/>
              <w:rPr>
                <w:rFonts w:asciiTheme="minorHAnsi" w:hAnsiTheme="minorHAnsi" w:cstheme="minorHAnsi"/>
                <w:color w:val="000000"/>
                <w:sz w:val="22"/>
                <w:szCs w:val="22"/>
                <w:lang w:val="en-CA"/>
              </w:rPr>
            </w:pPr>
            <w:r w:rsidRPr="004B1219">
              <w:rPr>
                <w:rFonts w:asciiTheme="minorHAnsi" w:hAnsiTheme="minorHAnsi" w:cstheme="minorHAnsi"/>
                <w:color w:val="000000"/>
                <w:sz w:val="22"/>
                <w:szCs w:val="22"/>
                <w:lang w:val="en-CA"/>
              </w:rPr>
              <w:t>84</w:t>
            </w:r>
          </w:p>
        </w:tc>
      </w:tr>
      <w:tr w:rsidR="00C869C6" w:rsidRPr="00E628AA" w14:paraId="67E98A2D" w14:textId="77777777" w:rsidTr="004B1219">
        <w:trPr>
          <w:cantSplit/>
          <w:trHeight w:val="290"/>
          <w:tblHeader/>
        </w:trPr>
        <w:tc>
          <w:tcPr>
            <w:tcW w:w="0" w:type="auto"/>
          </w:tcPr>
          <w:p w14:paraId="38A3B9FE" w14:textId="77777777" w:rsidR="00C869C6" w:rsidRPr="004B1219" w:rsidRDefault="00C869C6" w:rsidP="004B1219">
            <w:pPr>
              <w:autoSpaceDE w:val="0"/>
              <w:autoSpaceDN w:val="0"/>
              <w:adjustRightInd w:val="0"/>
              <w:rPr>
                <w:rFonts w:asciiTheme="minorHAnsi" w:hAnsiTheme="minorHAnsi" w:cstheme="minorHAnsi"/>
                <w:color w:val="000000"/>
                <w:sz w:val="22"/>
                <w:szCs w:val="22"/>
                <w:lang w:val="en-CA"/>
              </w:rPr>
            </w:pPr>
            <w:r w:rsidRPr="004B1219">
              <w:rPr>
                <w:rFonts w:asciiTheme="minorHAnsi" w:hAnsiTheme="minorHAnsi" w:cstheme="minorHAnsi"/>
                <w:color w:val="000000"/>
                <w:sz w:val="22"/>
                <w:szCs w:val="22"/>
                <w:lang w:val="en-CA"/>
              </w:rPr>
              <w:t>270 to 299 calendar days</w:t>
            </w:r>
          </w:p>
        </w:tc>
        <w:tc>
          <w:tcPr>
            <w:tcW w:w="0" w:type="auto"/>
          </w:tcPr>
          <w:p w14:paraId="7C230E53" w14:textId="77777777" w:rsidR="00C869C6" w:rsidRPr="004B1219" w:rsidRDefault="00C869C6" w:rsidP="004B1219">
            <w:pPr>
              <w:autoSpaceDE w:val="0"/>
              <w:autoSpaceDN w:val="0"/>
              <w:adjustRightInd w:val="0"/>
              <w:jc w:val="center"/>
              <w:rPr>
                <w:rFonts w:asciiTheme="minorHAnsi" w:hAnsiTheme="minorHAnsi" w:cstheme="minorHAnsi"/>
                <w:color w:val="000000"/>
                <w:sz w:val="22"/>
                <w:szCs w:val="22"/>
                <w:lang w:val="en-CA"/>
              </w:rPr>
            </w:pPr>
            <w:r w:rsidRPr="004B1219">
              <w:rPr>
                <w:rFonts w:asciiTheme="minorHAnsi" w:hAnsiTheme="minorHAnsi" w:cstheme="minorHAnsi"/>
                <w:color w:val="000000"/>
                <w:sz w:val="22"/>
                <w:szCs w:val="22"/>
                <w:lang w:val="en-CA"/>
              </w:rPr>
              <w:t>73</w:t>
            </w:r>
          </w:p>
        </w:tc>
      </w:tr>
      <w:tr w:rsidR="00C869C6" w:rsidRPr="00E628AA" w14:paraId="5475C180" w14:textId="77777777" w:rsidTr="004B1219">
        <w:trPr>
          <w:cantSplit/>
          <w:trHeight w:val="290"/>
          <w:tblHeader/>
        </w:trPr>
        <w:tc>
          <w:tcPr>
            <w:tcW w:w="0" w:type="auto"/>
          </w:tcPr>
          <w:p w14:paraId="0566BC4A" w14:textId="77777777" w:rsidR="00C869C6" w:rsidRPr="004B1219" w:rsidRDefault="00C869C6" w:rsidP="004B1219">
            <w:pPr>
              <w:autoSpaceDE w:val="0"/>
              <w:autoSpaceDN w:val="0"/>
              <w:adjustRightInd w:val="0"/>
              <w:rPr>
                <w:rFonts w:asciiTheme="minorHAnsi" w:hAnsiTheme="minorHAnsi" w:cstheme="minorHAnsi"/>
                <w:color w:val="000000"/>
                <w:sz w:val="22"/>
                <w:szCs w:val="22"/>
                <w:lang w:val="en-CA"/>
              </w:rPr>
            </w:pPr>
            <w:r w:rsidRPr="004B1219">
              <w:rPr>
                <w:rFonts w:asciiTheme="minorHAnsi" w:hAnsiTheme="minorHAnsi" w:cstheme="minorHAnsi"/>
                <w:color w:val="000000"/>
                <w:sz w:val="22"/>
                <w:szCs w:val="22"/>
                <w:lang w:val="en-CA"/>
              </w:rPr>
              <w:t>300 to 329 calendar days</w:t>
            </w:r>
          </w:p>
        </w:tc>
        <w:tc>
          <w:tcPr>
            <w:tcW w:w="0" w:type="auto"/>
          </w:tcPr>
          <w:p w14:paraId="5152117D" w14:textId="77777777" w:rsidR="00C869C6" w:rsidRPr="004B1219" w:rsidRDefault="00C869C6" w:rsidP="004B1219">
            <w:pPr>
              <w:autoSpaceDE w:val="0"/>
              <w:autoSpaceDN w:val="0"/>
              <w:adjustRightInd w:val="0"/>
              <w:jc w:val="center"/>
              <w:rPr>
                <w:rFonts w:asciiTheme="minorHAnsi" w:hAnsiTheme="minorHAnsi" w:cstheme="minorHAnsi"/>
                <w:color w:val="000000"/>
                <w:sz w:val="22"/>
                <w:szCs w:val="22"/>
                <w:lang w:val="en-CA"/>
              </w:rPr>
            </w:pPr>
            <w:r w:rsidRPr="004B1219">
              <w:rPr>
                <w:rFonts w:asciiTheme="minorHAnsi" w:hAnsiTheme="minorHAnsi" w:cstheme="minorHAnsi"/>
                <w:color w:val="000000"/>
                <w:sz w:val="22"/>
                <w:szCs w:val="22"/>
                <w:lang w:val="en-CA"/>
              </w:rPr>
              <w:t>61</w:t>
            </w:r>
          </w:p>
        </w:tc>
      </w:tr>
      <w:tr w:rsidR="00C869C6" w:rsidRPr="00E628AA" w14:paraId="7600E4D2" w14:textId="77777777" w:rsidTr="004B1219">
        <w:trPr>
          <w:cantSplit/>
          <w:trHeight w:val="290"/>
          <w:tblHeader/>
        </w:trPr>
        <w:tc>
          <w:tcPr>
            <w:tcW w:w="0" w:type="auto"/>
          </w:tcPr>
          <w:p w14:paraId="448D2437" w14:textId="77777777" w:rsidR="00C869C6" w:rsidRPr="004B1219" w:rsidRDefault="00C869C6" w:rsidP="004B1219">
            <w:pPr>
              <w:autoSpaceDE w:val="0"/>
              <w:autoSpaceDN w:val="0"/>
              <w:adjustRightInd w:val="0"/>
              <w:rPr>
                <w:rFonts w:asciiTheme="minorHAnsi" w:hAnsiTheme="minorHAnsi" w:cstheme="minorHAnsi"/>
                <w:color w:val="000000"/>
                <w:sz w:val="22"/>
                <w:szCs w:val="22"/>
                <w:lang w:val="en-CA"/>
              </w:rPr>
            </w:pPr>
            <w:r w:rsidRPr="004B1219">
              <w:rPr>
                <w:rFonts w:asciiTheme="minorHAnsi" w:hAnsiTheme="minorHAnsi" w:cstheme="minorHAnsi"/>
                <w:color w:val="000000"/>
                <w:sz w:val="22"/>
                <w:szCs w:val="22"/>
                <w:lang w:val="en-CA"/>
              </w:rPr>
              <w:t>330 to 359 calendar days</w:t>
            </w:r>
          </w:p>
        </w:tc>
        <w:tc>
          <w:tcPr>
            <w:tcW w:w="0" w:type="auto"/>
          </w:tcPr>
          <w:p w14:paraId="75B32E37" w14:textId="77777777" w:rsidR="00C869C6" w:rsidRPr="004B1219" w:rsidRDefault="00C869C6" w:rsidP="004B1219">
            <w:pPr>
              <w:autoSpaceDE w:val="0"/>
              <w:autoSpaceDN w:val="0"/>
              <w:adjustRightInd w:val="0"/>
              <w:jc w:val="center"/>
              <w:rPr>
                <w:rFonts w:asciiTheme="minorHAnsi" w:hAnsiTheme="minorHAnsi" w:cstheme="minorHAnsi"/>
                <w:color w:val="000000"/>
                <w:sz w:val="22"/>
                <w:szCs w:val="22"/>
                <w:lang w:val="en-CA"/>
              </w:rPr>
            </w:pPr>
            <w:r w:rsidRPr="004B1219">
              <w:rPr>
                <w:rFonts w:asciiTheme="minorHAnsi" w:hAnsiTheme="minorHAnsi" w:cstheme="minorHAnsi"/>
                <w:color w:val="000000"/>
                <w:sz w:val="22"/>
                <w:szCs w:val="22"/>
                <w:lang w:val="en-CA"/>
              </w:rPr>
              <w:t>41</w:t>
            </w:r>
          </w:p>
        </w:tc>
      </w:tr>
      <w:tr w:rsidR="00C869C6" w:rsidRPr="00E628AA" w14:paraId="1227329B" w14:textId="77777777" w:rsidTr="004B1219">
        <w:trPr>
          <w:cantSplit/>
          <w:trHeight w:val="290"/>
          <w:tblHeader/>
        </w:trPr>
        <w:tc>
          <w:tcPr>
            <w:tcW w:w="0" w:type="auto"/>
          </w:tcPr>
          <w:p w14:paraId="1B573B69" w14:textId="77777777" w:rsidR="00C869C6" w:rsidRPr="004B1219" w:rsidRDefault="00C869C6" w:rsidP="004B1219">
            <w:pPr>
              <w:autoSpaceDE w:val="0"/>
              <w:autoSpaceDN w:val="0"/>
              <w:adjustRightInd w:val="0"/>
              <w:rPr>
                <w:rFonts w:asciiTheme="minorHAnsi" w:hAnsiTheme="minorHAnsi" w:cstheme="minorHAnsi"/>
                <w:color w:val="000000"/>
                <w:sz w:val="22"/>
                <w:szCs w:val="22"/>
                <w:lang w:val="en-CA"/>
              </w:rPr>
            </w:pPr>
            <w:r w:rsidRPr="004B1219">
              <w:rPr>
                <w:rFonts w:asciiTheme="minorHAnsi" w:hAnsiTheme="minorHAnsi" w:cstheme="minorHAnsi"/>
                <w:color w:val="000000"/>
                <w:sz w:val="22"/>
                <w:szCs w:val="22"/>
                <w:lang w:val="en-CA"/>
              </w:rPr>
              <w:t>360 to 389 calendar days</w:t>
            </w:r>
          </w:p>
        </w:tc>
        <w:tc>
          <w:tcPr>
            <w:tcW w:w="0" w:type="auto"/>
          </w:tcPr>
          <w:p w14:paraId="7C8EED01" w14:textId="77777777" w:rsidR="00C869C6" w:rsidRPr="004B1219" w:rsidRDefault="00C869C6" w:rsidP="004B1219">
            <w:pPr>
              <w:autoSpaceDE w:val="0"/>
              <w:autoSpaceDN w:val="0"/>
              <w:adjustRightInd w:val="0"/>
              <w:jc w:val="center"/>
              <w:rPr>
                <w:rFonts w:asciiTheme="minorHAnsi" w:hAnsiTheme="minorHAnsi" w:cstheme="minorHAnsi"/>
                <w:color w:val="000000"/>
                <w:sz w:val="22"/>
                <w:szCs w:val="22"/>
                <w:lang w:val="en-CA"/>
              </w:rPr>
            </w:pPr>
            <w:r w:rsidRPr="004B1219">
              <w:rPr>
                <w:rFonts w:asciiTheme="minorHAnsi" w:hAnsiTheme="minorHAnsi" w:cstheme="minorHAnsi"/>
                <w:color w:val="000000"/>
                <w:sz w:val="22"/>
                <w:szCs w:val="22"/>
                <w:lang w:val="en-CA"/>
              </w:rPr>
              <w:t>43</w:t>
            </w:r>
          </w:p>
        </w:tc>
      </w:tr>
      <w:tr w:rsidR="00C869C6" w:rsidRPr="00E628AA" w14:paraId="2D186223" w14:textId="77777777" w:rsidTr="004B1219">
        <w:trPr>
          <w:cantSplit/>
          <w:trHeight w:val="290"/>
          <w:tblHeader/>
        </w:trPr>
        <w:tc>
          <w:tcPr>
            <w:tcW w:w="0" w:type="auto"/>
          </w:tcPr>
          <w:p w14:paraId="04CD25E0" w14:textId="77777777" w:rsidR="00C869C6" w:rsidRPr="004B1219" w:rsidRDefault="00C869C6" w:rsidP="004B1219">
            <w:pPr>
              <w:autoSpaceDE w:val="0"/>
              <w:autoSpaceDN w:val="0"/>
              <w:adjustRightInd w:val="0"/>
              <w:rPr>
                <w:rFonts w:asciiTheme="minorHAnsi" w:hAnsiTheme="minorHAnsi" w:cstheme="minorHAnsi"/>
                <w:color w:val="000000"/>
                <w:sz w:val="22"/>
                <w:szCs w:val="22"/>
                <w:lang w:val="en-CA"/>
              </w:rPr>
            </w:pPr>
            <w:r w:rsidRPr="004B1219">
              <w:rPr>
                <w:rFonts w:asciiTheme="minorHAnsi" w:hAnsiTheme="minorHAnsi" w:cstheme="minorHAnsi"/>
                <w:color w:val="000000"/>
                <w:sz w:val="22"/>
                <w:szCs w:val="22"/>
                <w:lang w:val="en-CA"/>
              </w:rPr>
              <w:t>390 to 419 calendar days</w:t>
            </w:r>
          </w:p>
        </w:tc>
        <w:tc>
          <w:tcPr>
            <w:tcW w:w="0" w:type="auto"/>
          </w:tcPr>
          <w:p w14:paraId="4D32B361" w14:textId="77777777" w:rsidR="00C869C6" w:rsidRPr="004B1219" w:rsidRDefault="00C869C6" w:rsidP="004B1219">
            <w:pPr>
              <w:autoSpaceDE w:val="0"/>
              <w:autoSpaceDN w:val="0"/>
              <w:adjustRightInd w:val="0"/>
              <w:jc w:val="center"/>
              <w:rPr>
                <w:rFonts w:asciiTheme="minorHAnsi" w:hAnsiTheme="minorHAnsi" w:cstheme="minorHAnsi"/>
                <w:color w:val="000000"/>
                <w:sz w:val="22"/>
                <w:szCs w:val="22"/>
                <w:lang w:val="en-CA"/>
              </w:rPr>
            </w:pPr>
            <w:r w:rsidRPr="004B1219">
              <w:rPr>
                <w:rFonts w:asciiTheme="minorHAnsi" w:hAnsiTheme="minorHAnsi" w:cstheme="minorHAnsi"/>
                <w:color w:val="000000"/>
                <w:sz w:val="22"/>
                <w:szCs w:val="22"/>
                <w:lang w:val="en-CA"/>
              </w:rPr>
              <w:t>49</w:t>
            </w:r>
          </w:p>
        </w:tc>
      </w:tr>
      <w:tr w:rsidR="00C869C6" w:rsidRPr="00E628AA" w14:paraId="4B69B87F" w14:textId="77777777" w:rsidTr="004B1219">
        <w:trPr>
          <w:cantSplit/>
          <w:trHeight w:val="290"/>
          <w:tblHeader/>
        </w:trPr>
        <w:tc>
          <w:tcPr>
            <w:tcW w:w="0" w:type="auto"/>
          </w:tcPr>
          <w:p w14:paraId="1B79A0A6" w14:textId="77777777" w:rsidR="00C869C6" w:rsidRPr="004B1219" w:rsidRDefault="00C869C6" w:rsidP="004B1219">
            <w:pPr>
              <w:autoSpaceDE w:val="0"/>
              <w:autoSpaceDN w:val="0"/>
              <w:adjustRightInd w:val="0"/>
              <w:rPr>
                <w:rFonts w:asciiTheme="minorHAnsi" w:hAnsiTheme="minorHAnsi" w:cstheme="minorHAnsi"/>
                <w:color w:val="000000"/>
                <w:sz w:val="22"/>
                <w:szCs w:val="22"/>
                <w:lang w:val="en-CA"/>
              </w:rPr>
            </w:pPr>
            <w:r w:rsidRPr="004B1219">
              <w:rPr>
                <w:rFonts w:asciiTheme="minorHAnsi" w:hAnsiTheme="minorHAnsi" w:cstheme="minorHAnsi"/>
                <w:color w:val="000000"/>
                <w:sz w:val="22"/>
                <w:szCs w:val="22"/>
                <w:lang w:val="en-CA"/>
              </w:rPr>
              <w:t>420 to 449 calendar days</w:t>
            </w:r>
          </w:p>
        </w:tc>
        <w:tc>
          <w:tcPr>
            <w:tcW w:w="0" w:type="auto"/>
          </w:tcPr>
          <w:p w14:paraId="2414C22B" w14:textId="77777777" w:rsidR="00C869C6" w:rsidRPr="004B1219" w:rsidRDefault="00C869C6" w:rsidP="004B1219">
            <w:pPr>
              <w:autoSpaceDE w:val="0"/>
              <w:autoSpaceDN w:val="0"/>
              <w:adjustRightInd w:val="0"/>
              <w:jc w:val="center"/>
              <w:rPr>
                <w:rFonts w:asciiTheme="minorHAnsi" w:hAnsiTheme="minorHAnsi" w:cstheme="minorHAnsi"/>
                <w:color w:val="000000"/>
                <w:sz w:val="22"/>
                <w:szCs w:val="22"/>
                <w:lang w:val="en-CA"/>
              </w:rPr>
            </w:pPr>
            <w:r w:rsidRPr="004B1219">
              <w:rPr>
                <w:rFonts w:asciiTheme="minorHAnsi" w:hAnsiTheme="minorHAnsi" w:cstheme="minorHAnsi"/>
                <w:color w:val="000000"/>
                <w:sz w:val="22"/>
                <w:szCs w:val="22"/>
                <w:lang w:val="en-CA"/>
              </w:rPr>
              <w:t>35</w:t>
            </w:r>
          </w:p>
        </w:tc>
      </w:tr>
      <w:tr w:rsidR="00C869C6" w:rsidRPr="00E628AA" w14:paraId="7F3213D3" w14:textId="77777777" w:rsidTr="004B1219">
        <w:trPr>
          <w:cantSplit/>
          <w:trHeight w:val="290"/>
          <w:tblHeader/>
        </w:trPr>
        <w:tc>
          <w:tcPr>
            <w:tcW w:w="0" w:type="auto"/>
          </w:tcPr>
          <w:p w14:paraId="31D7C7EA" w14:textId="77777777" w:rsidR="00C869C6" w:rsidRPr="004B1219" w:rsidRDefault="00C869C6" w:rsidP="004B1219">
            <w:pPr>
              <w:autoSpaceDE w:val="0"/>
              <w:autoSpaceDN w:val="0"/>
              <w:adjustRightInd w:val="0"/>
              <w:rPr>
                <w:rFonts w:asciiTheme="minorHAnsi" w:hAnsiTheme="minorHAnsi" w:cstheme="minorHAnsi"/>
                <w:color w:val="000000"/>
                <w:sz w:val="22"/>
                <w:szCs w:val="22"/>
                <w:lang w:val="en-CA"/>
              </w:rPr>
            </w:pPr>
            <w:r w:rsidRPr="004B1219">
              <w:rPr>
                <w:rFonts w:asciiTheme="minorHAnsi" w:hAnsiTheme="minorHAnsi" w:cstheme="minorHAnsi"/>
                <w:color w:val="000000"/>
                <w:sz w:val="22"/>
                <w:szCs w:val="22"/>
                <w:lang w:val="en-CA"/>
              </w:rPr>
              <w:t>450 to 479 calendar days</w:t>
            </w:r>
          </w:p>
        </w:tc>
        <w:tc>
          <w:tcPr>
            <w:tcW w:w="0" w:type="auto"/>
          </w:tcPr>
          <w:p w14:paraId="3E1D2570" w14:textId="77777777" w:rsidR="00C869C6" w:rsidRPr="004B1219" w:rsidRDefault="00C869C6" w:rsidP="004B1219">
            <w:pPr>
              <w:autoSpaceDE w:val="0"/>
              <w:autoSpaceDN w:val="0"/>
              <w:adjustRightInd w:val="0"/>
              <w:jc w:val="center"/>
              <w:rPr>
                <w:rFonts w:asciiTheme="minorHAnsi" w:hAnsiTheme="minorHAnsi" w:cstheme="minorHAnsi"/>
                <w:color w:val="000000"/>
                <w:sz w:val="22"/>
                <w:szCs w:val="22"/>
                <w:lang w:val="en-CA"/>
              </w:rPr>
            </w:pPr>
            <w:r w:rsidRPr="004B1219">
              <w:rPr>
                <w:rFonts w:asciiTheme="minorHAnsi" w:hAnsiTheme="minorHAnsi" w:cstheme="minorHAnsi"/>
                <w:color w:val="000000"/>
                <w:sz w:val="22"/>
                <w:szCs w:val="22"/>
                <w:lang w:val="en-CA"/>
              </w:rPr>
              <w:t>22</w:t>
            </w:r>
          </w:p>
        </w:tc>
      </w:tr>
      <w:tr w:rsidR="00C869C6" w:rsidRPr="00E628AA" w14:paraId="6AE515C9" w14:textId="77777777" w:rsidTr="004B1219">
        <w:trPr>
          <w:cantSplit/>
          <w:trHeight w:val="290"/>
          <w:tblHeader/>
        </w:trPr>
        <w:tc>
          <w:tcPr>
            <w:tcW w:w="0" w:type="auto"/>
          </w:tcPr>
          <w:p w14:paraId="3F2F7333" w14:textId="77777777" w:rsidR="00C869C6" w:rsidRPr="004B1219" w:rsidRDefault="00C869C6" w:rsidP="004B1219">
            <w:pPr>
              <w:autoSpaceDE w:val="0"/>
              <w:autoSpaceDN w:val="0"/>
              <w:adjustRightInd w:val="0"/>
              <w:rPr>
                <w:rFonts w:asciiTheme="minorHAnsi" w:hAnsiTheme="minorHAnsi" w:cstheme="minorHAnsi"/>
                <w:color w:val="000000"/>
                <w:sz w:val="22"/>
                <w:szCs w:val="22"/>
                <w:lang w:val="en-CA"/>
              </w:rPr>
            </w:pPr>
            <w:r w:rsidRPr="004B1219">
              <w:rPr>
                <w:rFonts w:asciiTheme="minorHAnsi" w:hAnsiTheme="minorHAnsi" w:cstheme="minorHAnsi"/>
                <w:color w:val="000000"/>
                <w:sz w:val="22"/>
                <w:szCs w:val="22"/>
                <w:lang w:val="en-CA"/>
              </w:rPr>
              <w:t>480 to 509 calendar days</w:t>
            </w:r>
          </w:p>
        </w:tc>
        <w:tc>
          <w:tcPr>
            <w:tcW w:w="0" w:type="auto"/>
          </w:tcPr>
          <w:p w14:paraId="1A633496" w14:textId="77777777" w:rsidR="00C869C6" w:rsidRPr="004B1219" w:rsidRDefault="00C869C6" w:rsidP="004B1219">
            <w:pPr>
              <w:autoSpaceDE w:val="0"/>
              <w:autoSpaceDN w:val="0"/>
              <w:adjustRightInd w:val="0"/>
              <w:jc w:val="center"/>
              <w:rPr>
                <w:rFonts w:asciiTheme="minorHAnsi" w:hAnsiTheme="minorHAnsi" w:cstheme="minorHAnsi"/>
                <w:color w:val="000000"/>
                <w:sz w:val="22"/>
                <w:szCs w:val="22"/>
                <w:lang w:val="en-CA"/>
              </w:rPr>
            </w:pPr>
            <w:r w:rsidRPr="004B1219">
              <w:rPr>
                <w:rFonts w:asciiTheme="minorHAnsi" w:hAnsiTheme="minorHAnsi" w:cstheme="minorHAnsi"/>
                <w:color w:val="000000"/>
                <w:sz w:val="22"/>
                <w:szCs w:val="22"/>
                <w:lang w:val="en-CA"/>
              </w:rPr>
              <w:t>27</w:t>
            </w:r>
          </w:p>
        </w:tc>
      </w:tr>
      <w:tr w:rsidR="00C869C6" w:rsidRPr="00E628AA" w14:paraId="7A4F2FBA" w14:textId="77777777" w:rsidTr="004B1219">
        <w:trPr>
          <w:cantSplit/>
          <w:trHeight w:val="290"/>
          <w:tblHeader/>
        </w:trPr>
        <w:tc>
          <w:tcPr>
            <w:tcW w:w="0" w:type="auto"/>
          </w:tcPr>
          <w:p w14:paraId="7181C22B" w14:textId="77777777" w:rsidR="00C869C6" w:rsidRPr="004B1219" w:rsidRDefault="00C869C6" w:rsidP="004B1219">
            <w:pPr>
              <w:autoSpaceDE w:val="0"/>
              <w:autoSpaceDN w:val="0"/>
              <w:adjustRightInd w:val="0"/>
              <w:rPr>
                <w:rFonts w:asciiTheme="minorHAnsi" w:hAnsiTheme="minorHAnsi" w:cstheme="minorHAnsi"/>
                <w:color w:val="000000"/>
                <w:sz w:val="22"/>
                <w:szCs w:val="22"/>
                <w:lang w:val="en-CA"/>
              </w:rPr>
            </w:pPr>
            <w:r w:rsidRPr="004B1219">
              <w:rPr>
                <w:rFonts w:asciiTheme="minorHAnsi" w:hAnsiTheme="minorHAnsi" w:cstheme="minorHAnsi"/>
                <w:color w:val="000000"/>
                <w:sz w:val="22"/>
                <w:szCs w:val="22"/>
                <w:lang w:val="en-CA"/>
              </w:rPr>
              <w:t>510 to 539 calendar days</w:t>
            </w:r>
          </w:p>
        </w:tc>
        <w:tc>
          <w:tcPr>
            <w:tcW w:w="0" w:type="auto"/>
          </w:tcPr>
          <w:p w14:paraId="1A02D918" w14:textId="77777777" w:rsidR="00C869C6" w:rsidRPr="004B1219" w:rsidRDefault="00C869C6" w:rsidP="004B1219">
            <w:pPr>
              <w:autoSpaceDE w:val="0"/>
              <w:autoSpaceDN w:val="0"/>
              <w:adjustRightInd w:val="0"/>
              <w:jc w:val="center"/>
              <w:rPr>
                <w:rFonts w:asciiTheme="minorHAnsi" w:hAnsiTheme="minorHAnsi" w:cstheme="minorHAnsi"/>
                <w:color w:val="000000"/>
                <w:sz w:val="22"/>
                <w:szCs w:val="22"/>
                <w:lang w:val="en-CA"/>
              </w:rPr>
            </w:pPr>
            <w:r w:rsidRPr="004B1219">
              <w:rPr>
                <w:rFonts w:asciiTheme="minorHAnsi" w:hAnsiTheme="minorHAnsi" w:cstheme="minorHAnsi"/>
                <w:color w:val="000000"/>
                <w:sz w:val="22"/>
                <w:szCs w:val="22"/>
                <w:lang w:val="en-CA"/>
              </w:rPr>
              <w:t>17</w:t>
            </w:r>
          </w:p>
        </w:tc>
      </w:tr>
      <w:tr w:rsidR="00C869C6" w:rsidRPr="00E628AA" w14:paraId="3FB2B8EA" w14:textId="77777777" w:rsidTr="004B1219">
        <w:trPr>
          <w:cantSplit/>
          <w:trHeight w:val="290"/>
          <w:tblHeader/>
        </w:trPr>
        <w:tc>
          <w:tcPr>
            <w:tcW w:w="0" w:type="auto"/>
          </w:tcPr>
          <w:p w14:paraId="4AE6F3BF" w14:textId="77777777" w:rsidR="00C869C6" w:rsidRPr="004B1219" w:rsidRDefault="00C869C6" w:rsidP="004B1219">
            <w:pPr>
              <w:autoSpaceDE w:val="0"/>
              <w:autoSpaceDN w:val="0"/>
              <w:adjustRightInd w:val="0"/>
              <w:rPr>
                <w:rFonts w:asciiTheme="minorHAnsi" w:hAnsiTheme="minorHAnsi" w:cstheme="minorHAnsi"/>
                <w:color w:val="000000"/>
                <w:sz w:val="22"/>
                <w:szCs w:val="22"/>
                <w:lang w:val="en-CA"/>
              </w:rPr>
            </w:pPr>
            <w:r w:rsidRPr="004B1219">
              <w:rPr>
                <w:rFonts w:asciiTheme="minorHAnsi" w:hAnsiTheme="minorHAnsi" w:cstheme="minorHAnsi"/>
                <w:color w:val="000000"/>
                <w:sz w:val="22"/>
                <w:szCs w:val="22"/>
                <w:lang w:val="en-CA"/>
              </w:rPr>
              <w:t>540 to 569 calendar days</w:t>
            </w:r>
          </w:p>
        </w:tc>
        <w:tc>
          <w:tcPr>
            <w:tcW w:w="0" w:type="auto"/>
          </w:tcPr>
          <w:p w14:paraId="1921C5EC" w14:textId="77777777" w:rsidR="00C869C6" w:rsidRPr="004B1219" w:rsidRDefault="00C869C6" w:rsidP="004B1219">
            <w:pPr>
              <w:autoSpaceDE w:val="0"/>
              <w:autoSpaceDN w:val="0"/>
              <w:adjustRightInd w:val="0"/>
              <w:jc w:val="center"/>
              <w:rPr>
                <w:rFonts w:asciiTheme="minorHAnsi" w:hAnsiTheme="minorHAnsi" w:cstheme="minorHAnsi"/>
                <w:color w:val="000000"/>
                <w:sz w:val="22"/>
                <w:szCs w:val="22"/>
                <w:lang w:val="en-CA"/>
              </w:rPr>
            </w:pPr>
            <w:r w:rsidRPr="004B1219">
              <w:rPr>
                <w:rFonts w:asciiTheme="minorHAnsi" w:hAnsiTheme="minorHAnsi" w:cstheme="minorHAnsi"/>
                <w:color w:val="000000"/>
                <w:sz w:val="22"/>
                <w:szCs w:val="22"/>
                <w:lang w:val="en-CA"/>
              </w:rPr>
              <w:t>15</w:t>
            </w:r>
          </w:p>
        </w:tc>
      </w:tr>
      <w:tr w:rsidR="00C869C6" w:rsidRPr="00E628AA" w14:paraId="45398418" w14:textId="77777777" w:rsidTr="004B1219">
        <w:trPr>
          <w:cantSplit/>
          <w:trHeight w:val="290"/>
          <w:tblHeader/>
        </w:trPr>
        <w:tc>
          <w:tcPr>
            <w:tcW w:w="0" w:type="auto"/>
          </w:tcPr>
          <w:p w14:paraId="466CBC1A" w14:textId="77777777" w:rsidR="00C869C6" w:rsidRPr="004B1219" w:rsidRDefault="00C869C6" w:rsidP="004B1219">
            <w:pPr>
              <w:autoSpaceDE w:val="0"/>
              <w:autoSpaceDN w:val="0"/>
              <w:adjustRightInd w:val="0"/>
              <w:rPr>
                <w:rFonts w:asciiTheme="minorHAnsi" w:hAnsiTheme="minorHAnsi" w:cstheme="minorHAnsi"/>
                <w:color w:val="000000"/>
                <w:sz w:val="22"/>
                <w:szCs w:val="22"/>
                <w:lang w:val="en-CA"/>
              </w:rPr>
            </w:pPr>
            <w:r w:rsidRPr="004B1219">
              <w:rPr>
                <w:rFonts w:asciiTheme="minorHAnsi" w:hAnsiTheme="minorHAnsi" w:cstheme="minorHAnsi"/>
                <w:color w:val="000000"/>
                <w:sz w:val="22"/>
                <w:szCs w:val="22"/>
                <w:lang w:val="en-CA"/>
              </w:rPr>
              <w:t>570 to 599 calendar days</w:t>
            </w:r>
          </w:p>
        </w:tc>
        <w:tc>
          <w:tcPr>
            <w:tcW w:w="0" w:type="auto"/>
          </w:tcPr>
          <w:p w14:paraId="54791C24" w14:textId="77777777" w:rsidR="00C869C6" w:rsidRPr="004B1219" w:rsidRDefault="00C869C6" w:rsidP="004B1219">
            <w:pPr>
              <w:autoSpaceDE w:val="0"/>
              <w:autoSpaceDN w:val="0"/>
              <w:adjustRightInd w:val="0"/>
              <w:jc w:val="center"/>
              <w:rPr>
                <w:rFonts w:asciiTheme="minorHAnsi" w:hAnsiTheme="minorHAnsi" w:cstheme="minorHAnsi"/>
                <w:color w:val="000000"/>
                <w:sz w:val="22"/>
                <w:szCs w:val="22"/>
                <w:lang w:val="en-CA"/>
              </w:rPr>
            </w:pPr>
            <w:r w:rsidRPr="004B1219">
              <w:rPr>
                <w:rFonts w:asciiTheme="minorHAnsi" w:hAnsiTheme="minorHAnsi" w:cstheme="minorHAnsi"/>
                <w:color w:val="000000"/>
                <w:sz w:val="22"/>
                <w:szCs w:val="22"/>
                <w:lang w:val="en-CA"/>
              </w:rPr>
              <w:t>14</w:t>
            </w:r>
          </w:p>
        </w:tc>
      </w:tr>
      <w:tr w:rsidR="00C869C6" w:rsidRPr="00E628AA" w14:paraId="03AE2E53" w14:textId="77777777" w:rsidTr="004B1219">
        <w:trPr>
          <w:cantSplit/>
          <w:trHeight w:val="290"/>
          <w:tblHeader/>
        </w:trPr>
        <w:tc>
          <w:tcPr>
            <w:tcW w:w="0" w:type="auto"/>
          </w:tcPr>
          <w:p w14:paraId="4A8D5F97" w14:textId="77777777" w:rsidR="00C869C6" w:rsidRPr="004B1219" w:rsidRDefault="00C869C6" w:rsidP="004B1219">
            <w:pPr>
              <w:autoSpaceDE w:val="0"/>
              <w:autoSpaceDN w:val="0"/>
              <w:adjustRightInd w:val="0"/>
              <w:rPr>
                <w:rFonts w:asciiTheme="minorHAnsi" w:hAnsiTheme="minorHAnsi" w:cstheme="minorHAnsi"/>
                <w:color w:val="000000"/>
                <w:sz w:val="22"/>
                <w:szCs w:val="22"/>
                <w:lang w:val="en-CA"/>
              </w:rPr>
            </w:pPr>
            <w:r w:rsidRPr="004B1219">
              <w:rPr>
                <w:rFonts w:asciiTheme="minorHAnsi" w:hAnsiTheme="minorHAnsi" w:cstheme="minorHAnsi"/>
                <w:color w:val="000000"/>
                <w:sz w:val="22"/>
                <w:szCs w:val="22"/>
                <w:lang w:val="en-CA"/>
              </w:rPr>
              <w:t>600 to 629 calendar days</w:t>
            </w:r>
          </w:p>
        </w:tc>
        <w:tc>
          <w:tcPr>
            <w:tcW w:w="0" w:type="auto"/>
          </w:tcPr>
          <w:p w14:paraId="2C98F9A6" w14:textId="77777777" w:rsidR="00C869C6" w:rsidRPr="004B1219" w:rsidRDefault="00C869C6" w:rsidP="004B1219">
            <w:pPr>
              <w:autoSpaceDE w:val="0"/>
              <w:autoSpaceDN w:val="0"/>
              <w:adjustRightInd w:val="0"/>
              <w:jc w:val="center"/>
              <w:rPr>
                <w:rFonts w:asciiTheme="minorHAnsi" w:hAnsiTheme="minorHAnsi" w:cstheme="minorHAnsi"/>
                <w:color w:val="000000"/>
                <w:sz w:val="22"/>
                <w:szCs w:val="22"/>
                <w:lang w:val="en-CA"/>
              </w:rPr>
            </w:pPr>
            <w:r w:rsidRPr="004B1219">
              <w:rPr>
                <w:rFonts w:asciiTheme="minorHAnsi" w:hAnsiTheme="minorHAnsi" w:cstheme="minorHAnsi"/>
                <w:color w:val="000000"/>
                <w:sz w:val="22"/>
                <w:szCs w:val="22"/>
                <w:lang w:val="en-CA"/>
              </w:rPr>
              <w:t>12</w:t>
            </w:r>
          </w:p>
        </w:tc>
      </w:tr>
      <w:tr w:rsidR="00C869C6" w:rsidRPr="00E628AA" w14:paraId="70A09D17" w14:textId="77777777" w:rsidTr="004B1219">
        <w:trPr>
          <w:cantSplit/>
          <w:trHeight w:val="290"/>
          <w:tblHeader/>
        </w:trPr>
        <w:tc>
          <w:tcPr>
            <w:tcW w:w="0" w:type="auto"/>
          </w:tcPr>
          <w:p w14:paraId="4C33D189" w14:textId="77777777" w:rsidR="00C869C6" w:rsidRPr="004B1219" w:rsidRDefault="00C869C6" w:rsidP="004B1219">
            <w:pPr>
              <w:autoSpaceDE w:val="0"/>
              <w:autoSpaceDN w:val="0"/>
              <w:adjustRightInd w:val="0"/>
              <w:rPr>
                <w:rFonts w:asciiTheme="minorHAnsi" w:hAnsiTheme="minorHAnsi" w:cstheme="minorHAnsi"/>
                <w:color w:val="000000"/>
                <w:sz w:val="22"/>
                <w:szCs w:val="22"/>
                <w:lang w:val="en-CA"/>
              </w:rPr>
            </w:pPr>
            <w:r w:rsidRPr="004B1219">
              <w:rPr>
                <w:rFonts w:asciiTheme="minorHAnsi" w:hAnsiTheme="minorHAnsi" w:cstheme="minorHAnsi"/>
                <w:color w:val="000000"/>
                <w:sz w:val="22"/>
                <w:szCs w:val="22"/>
                <w:lang w:val="en-CA"/>
              </w:rPr>
              <w:t>630 to 659 calendar days</w:t>
            </w:r>
          </w:p>
        </w:tc>
        <w:tc>
          <w:tcPr>
            <w:tcW w:w="0" w:type="auto"/>
          </w:tcPr>
          <w:p w14:paraId="7AFA5520" w14:textId="77777777" w:rsidR="00C869C6" w:rsidRPr="004B1219" w:rsidRDefault="00C869C6" w:rsidP="004B1219">
            <w:pPr>
              <w:autoSpaceDE w:val="0"/>
              <w:autoSpaceDN w:val="0"/>
              <w:adjustRightInd w:val="0"/>
              <w:jc w:val="center"/>
              <w:rPr>
                <w:rFonts w:asciiTheme="minorHAnsi" w:hAnsiTheme="minorHAnsi" w:cstheme="minorHAnsi"/>
                <w:color w:val="000000"/>
                <w:sz w:val="22"/>
                <w:szCs w:val="22"/>
                <w:lang w:val="en-CA"/>
              </w:rPr>
            </w:pPr>
            <w:r w:rsidRPr="004B1219">
              <w:rPr>
                <w:rFonts w:asciiTheme="minorHAnsi" w:hAnsiTheme="minorHAnsi" w:cstheme="minorHAnsi"/>
                <w:color w:val="000000"/>
                <w:sz w:val="22"/>
                <w:szCs w:val="22"/>
                <w:lang w:val="en-CA"/>
              </w:rPr>
              <w:t>7</w:t>
            </w:r>
          </w:p>
        </w:tc>
      </w:tr>
      <w:tr w:rsidR="00C869C6" w:rsidRPr="00E628AA" w14:paraId="2CC1BAEC" w14:textId="77777777" w:rsidTr="004B1219">
        <w:trPr>
          <w:cantSplit/>
          <w:trHeight w:val="290"/>
          <w:tblHeader/>
        </w:trPr>
        <w:tc>
          <w:tcPr>
            <w:tcW w:w="0" w:type="auto"/>
          </w:tcPr>
          <w:p w14:paraId="5CB76DEB" w14:textId="77777777" w:rsidR="00C869C6" w:rsidRPr="004B1219" w:rsidRDefault="00C869C6" w:rsidP="004B1219">
            <w:pPr>
              <w:autoSpaceDE w:val="0"/>
              <w:autoSpaceDN w:val="0"/>
              <w:adjustRightInd w:val="0"/>
              <w:rPr>
                <w:rFonts w:asciiTheme="minorHAnsi" w:hAnsiTheme="minorHAnsi" w:cstheme="minorHAnsi"/>
                <w:color w:val="000000"/>
                <w:sz w:val="22"/>
                <w:szCs w:val="22"/>
                <w:lang w:val="en-CA"/>
              </w:rPr>
            </w:pPr>
            <w:r w:rsidRPr="004B1219">
              <w:rPr>
                <w:rFonts w:asciiTheme="minorHAnsi" w:hAnsiTheme="minorHAnsi" w:cstheme="minorHAnsi"/>
                <w:color w:val="000000"/>
                <w:sz w:val="22"/>
                <w:szCs w:val="22"/>
                <w:lang w:val="en-CA"/>
              </w:rPr>
              <w:t>660 to 689 calendar days</w:t>
            </w:r>
          </w:p>
        </w:tc>
        <w:tc>
          <w:tcPr>
            <w:tcW w:w="0" w:type="auto"/>
          </w:tcPr>
          <w:p w14:paraId="0400C63D" w14:textId="77777777" w:rsidR="00C869C6" w:rsidRPr="004B1219" w:rsidRDefault="00C869C6" w:rsidP="004B1219">
            <w:pPr>
              <w:autoSpaceDE w:val="0"/>
              <w:autoSpaceDN w:val="0"/>
              <w:adjustRightInd w:val="0"/>
              <w:jc w:val="center"/>
              <w:rPr>
                <w:rFonts w:asciiTheme="minorHAnsi" w:hAnsiTheme="minorHAnsi" w:cstheme="minorHAnsi"/>
                <w:color w:val="000000"/>
                <w:sz w:val="22"/>
                <w:szCs w:val="22"/>
                <w:lang w:val="en-CA"/>
              </w:rPr>
            </w:pPr>
            <w:r w:rsidRPr="004B1219">
              <w:rPr>
                <w:rFonts w:asciiTheme="minorHAnsi" w:hAnsiTheme="minorHAnsi" w:cstheme="minorHAnsi"/>
                <w:color w:val="000000"/>
                <w:sz w:val="22"/>
                <w:szCs w:val="22"/>
                <w:lang w:val="en-CA"/>
              </w:rPr>
              <w:t>5</w:t>
            </w:r>
          </w:p>
        </w:tc>
      </w:tr>
      <w:tr w:rsidR="00C869C6" w:rsidRPr="00E628AA" w14:paraId="4A15A2CA" w14:textId="77777777" w:rsidTr="004B1219">
        <w:trPr>
          <w:cantSplit/>
          <w:trHeight w:val="290"/>
          <w:tblHeader/>
        </w:trPr>
        <w:tc>
          <w:tcPr>
            <w:tcW w:w="0" w:type="auto"/>
          </w:tcPr>
          <w:p w14:paraId="1F2CC262" w14:textId="77777777" w:rsidR="00C869C6" w:rsidRPr="004B1219" w:rsidRDefault="00C869C6" w:rsidP="004B1219">
            <w:pPr>
              <w:autoSpaceDE w:val="0"/>
              <w:autoSpaceDN w:val="0"/>
              <w:adjustRightInd w:val="0"/>
              <w:rPr>
                <w:rFonts w:asciiTheme="minorHAnsi" w:hAnsiTheme="minorHAnsi" w:cstheme="minorHAnsi"/>
                <w:color w:val="000000"/>
                <w:sz w:val="22"/>
                <w:szCs w:val="22"/>
                <w:lang w:val="en-CA"/>
              </w:rPr>
            </w:pPr>
            <w:r w:rsidRPr="004B1219">
              <w:rPr>
                <w:rFonts w:asciiTheme="minorHAnsi" w:hAnsiTheme="minorHAnsi" w:cstheme="minorHAnsi"/>
                <w:color w:val="000000"/>
                <w:sz w:val="22"/>
                <w:szCs w:val="22"/>
                <w:lang w:val="en-CA"/>
              </w:rPr>
              <w:t>690 to 719 calendar days</w:t>
            </w:r>
          </w:p>
        </w:tc>
        <w:tc>
          <w:tcPr>
            <w:tcW w:w="0" w:type="auto"/>
          </w:tcPr>
          <w:p w14:paraId="1329EA7E" w14:textId="77777777" w:rsidR="00C869C6" w:rsidRPr="004B1219" w:rsidRDefault="00C869C6" w:rsidP="004B1219">
            <w:pPr>
              <w:autoSpaceDE w:val="0"/>
              <w:autoSpaceDN w:val="0"/>
              <w:adjustRightInd w:val="0"/>
              <w:jc w:val="center"/>
              <w:rPr>
                <w:rFonts w:asciiTheme="minorHAnsi" w:hAnsiTheme="minorHAnsi" w:cstheme="minorHAnsi"/>
                <w:color w:val="000000"/>
                <w:sz w:val="22"/>
                <w:szCs w:val="22"/>
                <w:lang w:val="en-CA"/>
              </w:rPr>
            </w:pPr>
            <w:r w:rsidRPr="004B1219">
              <w:rPr>
                <w:rFonts w:asciiTheme="minorHAnsi" w:hAnsiTheme="minorHAnsi" w:cstheme="minorHAnsi"/>
                <w:color w:val="000000"/>
                <w:sz w:val="22"/>
                <w:szCs w:val="22"/>
                <w:lang w:val="en-CA"/>
              </w:rPr>
              <w:t>7</w:t>
            </w:r>
          </w:p>
        </w:tc>
      </w:tr>
      <w:tr w:rsidR="00C869C6" w:rsidRPr="00E628AA" w14:paraId="4C6B6F13" w14:textId="77777777" w:rsidTr="004B1219">
        <w:trPr>
          <w:cantSplit/>
          <w:trHeight w:val="302"/>
          <w:tblHeader/>
        </w:trPr>
        <w:tc>
          <w:tcPr>
            <w:tcW w:w="0" w:type="auto"/>
          </w:tcPr>
          <w:p w14:paraId="3B12F002" w14:textId="77777777" w:rsidR="00C869C6" w:rsidRPr="004B1219" w:rsidRDefault="00C869C6" w:rsidP="004B1219">
            <w:pPr>
              <w:autoSpaceDE w:val="0"/>
              <w:autoSpaceDN w:val="0"/>
              <w:adjustRightInd w:val="0"/>
              <w:rPr>
                <w:rFonts w:asciiTheme="minorHAnsi" w:hAnsiTheme="minorHAnsi" w:cstheme="minorHAnsi"/>
                <w:color w:val="000000"/>
                <w:sz w:val="22"/>
                <w:szCs w:val="22"/>
                <w:lang w:val="en-CA"/>
              </w:rPr>
            </w:pPr>
            <w:r w:rsidRPr="004B1219">
              <w:rPr>
                <w:rFonts w:asciiTheme="minorHAnsi" w:hAnsiTheme="minorHAnsi" w:cstheme="minorHAnsi"/>
                <w:color w:val="000000"/>
                <w:sz w:val="22"/>
                <w:szCs w:val="22"/>
                <w:lang w:val="en-CA"/>
              </w:rPr>
              <w:t>720 to 749 calendar days</w:t>
            </w:r>
          </w:p>
        </w:tc>
        <w:tc>
          <w:tcPr>
            <w:tcW w:w="0" w:type="auto"/>
          </w:tcPr>
          <w:p w14:paraId="608E4149" w14:textId="77777777" w:rsidR="00C869C6" w:rsidRPr="004B1219" w:rsidRDefault="00C869C6" w:rsidP="004B1219">
            <w:pPr>
              <w:autoSpaceDE w:val="0"/>
              <w:autoSpaceDN w:val="0"/>
              <w:adjustRightInd w:val="0"/>
              <w:jc w:val="center"/>
              <w:rPr>
                <w:rFonts w:asciiTheme="minorHAnsi" w:hAnsiTheme="minorHAnsi" w:cstheme="minorHAnsi"/>
                <w:color w:val="000000"/>
                <w:sz w:val="22"/>
                <w:szCs w:val="22"/>
                <w:lang w:val="en-CA"/>
              </w:rPr>
            </w:pPr>
            <w:r w:rsidRPr="004B1219">
              <w:rPr>
                <w:rFonts w:asciiTheme="minorHAnsi" w:hAnsiTheme="minorHAnsi" w:cstheme="minorHAnsi"/>
                <w:color w:val="000000"/>
                <w:sz w:val="22"/>
                <w:szCs w:val="22"/>
                <w:lang w:val="en-CA"/>
              </w:rPr>
              <w:t>11</w:t>
            </w:r>
          </w:p>
        </w:tc>
      </w:tr>
      <w:tr w:rsidR="00C869C6" w:rsidRPr="00E628AA" w14:paraId="118E6549" w14:textId="77777777" w:rsidTr="004B1219">
        <w:trPr>
          <w:cantSplit/>
          <w:trHeight w:val="290"/>
          <w:tblHeader/>
        </w:trPr>
        <w:tc>
          <w:tcPr>
            <w:tcW w:w="0" w:type="auto"/>
          </w:tcPr>
          <w:p w14:paraId="509118C6" w14:textId="77777777" w:rsidR="00C869C6" w:rsidRPr="004B1219" w:rsidRDefault="00C869C6" w:rsidP="004B1219">
            <w:pPr>
              <w:autoSpaceDE w:val="0"/>
              <w:autoSpaceDN w:val="0"/>
              <w:adjustRightInd w:val="0"/>
              <w:rPr>
                <w:rFonts w:asciiTheme="minorHAnsi" w:hAnsiTheme="minorHAnsi" w:cstheme="minorHAnsi"/>
                <w:color w:val="000000"/>
                <w:sz w:val="22"/>
                <w:szCs w:val="22"/>
                <w:lang w:val="en-CA"/>
              </w:rPr>
            </w:pPr>
            <w:r w:rsidRPr="004B1219">
              <w:rPr>
                <w:rFonts w:asciiTheme="minorHAnsi" w:hAnsiTheme="minorHAnsi" w:cstheme="minorHAnsi"/>
                <w:color w:val="000000"/>
                <w:sz w:val="22"/>
                <w:szCs w:val="22"/>
                <w:lang w:val="en-CA"/>
              </w:rPr>
              <w:t>750 to 779 calendar days</w:t>
            </w:r>
          </w:p>
        </w:tc>
        <w:tc>
          <w:tcPr>
            <w:tcW w:w="0" w:type="auto"/>
          </w:tcPr>
          <w:p w14:paraId="69703AD8" w14:textId="77777777" w:rsidR="00C869C6" w:rsidRPr="004B1219" w:rsidRDefault="00C869C6" w:rsidP="004B1219">
            <w:pPr>
              <w:autoSpaceDE w:val="0"/>
              <w:autoSpaceDN w:val="0"/>
              <w:adjustRightInd w:val="0"/>
              <w:jc w:val="center"/>
              <w:rPr>
                <w:rFonts w:asciiTheme="minorHAnsi" w:hAnsiTheme="minorHAnsi" w:cstheme="minorHAnsi"/>
                <w:color w:val="000000"/>
                <w:sz w:val="22"/>
                <w:szCs w:val="22"/>
                <w:lang w:val="en-CA"/>
              </w:rPr>
            </w:pPr>
            <w:r w:rsidRPr="004B1219">
              <w:rPr>
                <w:rFonts w:asciiTheme="minorHAnsi" w:hAnsiTheme="minorHAnsi" w:cstheme="minorHAnsi"/>
                <w:color w:val="000000"/>
                <w:sz w:val="22"/>
                <w:szCs w:val="22"/>
                <w:lang w:val="en-CA"/>
              </w:rPr>
              <w:t>3</w:t>
            </w:r>
          </w:p>
        </w:tc>
      </w:tr>
      <w:tr w:rsidR="00C869C6" w:rsidRPr="00E628AA" w14:paraId="6E703023" w14:textId="77777777" w:rsidTr="004B1219">
        <w:trPr>
          <w:cantSplit/>
          <w:trHeight w:val="290"/>
          <w:tblHeader/>
        </w:trPr>
        <w:tc>
          <w:tcPr>
            <w:tcW w:w="0" w:type="auto"/>
          </w:tcPr>
          <w:p w14:paraId="1ED05BD1" w14:textId="77777777" w:rsidR="00C869C6" w:rsidRPr="004B1219" w:rsidRDefault="00C869C6" w:rsidP="004B1219">
            <w:pPr>
              <w:autoSpaceDE w:val="0"/>
              <w:autoSpaceDN w:val="0"/>
              <w:adjustRightInd w:val="0"/>
              <w:rPr>
                <w:rFonts w:asciiTheme="minorHAnsi" w:hAnsiTheme="minorHAnsi" w:cstheme="minorHAnsi"/>
                <w:color w:val="000000"/>
                <w:sz w:val="22"/>
                <w:szCs w:val="22"/>
                <w:lang w:val="en-CA"/>
              </w:rPr>
            </w:pPr>
            <w:r w:rsidRPr="004B1219">
              <w:rPr>
                <w:rFonts w:asciiTheme="minorHAnsi" w:hAnsiTheme="minorHAnsi" w:cstheme="minorHAnsi"/>
                <w:color w:val="000000"/>
                <w:sz w:val="22"/>
                <w:szCs w:val="22"/>
                <w:lang w:val="en-CA"/>
              </w:rPr>
              <w:t>780 to 809 calendar days</w:t>
            </w:r>
          </w:p>
        </w:tc>
        <w:tc>
          <w:tcPr>
            <w:tcW w:w="0" w:type="auto"/>
          </w:tcPr>
          <w:p w14:paraId="3A5F208A" w14:textId="77777777" w:rsidR="00C869C6" w:rsidRPr="004B1219" w:rsidRDefault="00C869C6" w:rsidP="004B1219">
            <w:pPr>
              <w:autoSpaceDE w:val="0"/>
              <w:autoSpaceDN w:val="0"/>
              <w:adjustRightInd w:val="0"/>
              <w:jc w:val="center"/>
              <w:rPr>
                <w:rFonts w:asciiTheme="minorHAnsi" w:hAnsiTheme="minorHAnsi" w:cstheme="minorHAnsi"/>
                <w:color w:val="000000"/>
                <w:sz w:val="22"/>
                <w:szCs w:val="22"/>
                <w:lang w:val="en-CA"/>
              </w:rPr>
            </w:pPr>
            <w:r w:rsidRPr="004B1219">
              <w:rPr>
                <w:rFonts w:asciiTheme="minorHAnsi" w:hAnsiTheme="minorHAnsi" w:cstheme="minorHAnsi"/>
                <w:color w:val="000000"/>
                <w:sz w:val="22"/>
                <w:szCs w:val="22"/>
                <w:lang w:val="en-CA"/>
              </w:rPr>
              <w:t>7</w:t>
            </w:r>
          </w:p>
        </w:tc>
      </w:tr>
      <w:tr w:rsidR="00C869C6" w:rsidRPr="00E628AA" w14:paraId="23549170" w14:textId="77777777" w:rsidTr="004B1219">
        <w:trPr>
          <w:cantSplit/>
          <w:trHeight w:val="290"/>
          <w:tblHeader/>
        </w:trPr>
        <w:tc>
          <w:tcPr>
            <w:tcW w:w="0" w:type="auto"/>
          </w:tcPr>
          <w:p w14:paraId="60F39F08" w14:textId="77777777" w:rsidR="00C869C6" w:rsidRPr="004B1219" w:rsidRDefault="00C869C6" w:rsidP="004B1219">
            <w:pPr>
              <w:autoSpaceDE w:val="0"/>
              <w:autoSpaceDN w:val="0"/>
              <w:adjustRightInd w:val="0"/>
              <w:rPr>
                <w:rFonts w:asciiTheme="minorHAnsi" w:hAnsiTheme="minorHAnsi" w:cstheme="minorHAnsi"/>
                <w:color w:val="000000"/>
                <w:sz w:val="22"/>
                <w:szCs w:val="22"/>
                <w:lang w:val="en-CA"/>
              </w:rPr>
            </w:pPr>
            <w:r w:rsidRPr="004B1219">
              <w:rPr>
                <w:rFonts w:asciiTheme="minorHAnsi" w:hAnsiTheme="minorHAnsi" w:cstheme="minorHAnsi"/>
                <w:color w:val="000000"/>
                <w:sz w:val="22"/>
                <w:szCs w:val="22"/>
                <w:lang w:val="en-CA"/>
              </w:rPr>
              <w:t>810 to 839 calendar days</w:t>
            </w:r>
          </w:p>
        </w:tc>
        <w:tc>
          <w:tcPr>
            <w:tcW w:w="0" w:type="auto"/>
          </w:tcPr>
          <w:p w14:paraId="7D28DA88" w14:textId="77777777" w:rsidR="00C869C6" w:rsidRPr="004B1219" w:rsidRDefault="00C869C6" w:rsidP="004B1219">
            <w:pPr>
              <w:autoSpaceDE w:val="0"/>
              <w:autoSpaceDN w:val="0"/>
              <w:adjustRightInd w:val="0"/>
              <w:jc w:val="center"/>
              <w:rPr>
                <w:rFonts w:asciiTheme="minorHAnsi" w:hAnsiTheme="minorHAnsi" w:cstheme="minorHAnsi"/>
                <w:color w:val="000000"/>
                <w:sz w:val="22"/>
                <w:szCs w:val="22"/>
                <w:lang w:val="en-CA"/>
              </w:rPr>
            </w:pPr>
            <w:r w:rsidRPr="004B1219">
              <w:rPr>
                <w:rFonts w:asciiTheme="minorHAnsi" w:hAnsiTheme="minorHAnsi" w:cstheme="minorHAnsi"/>
                <w:color w:val="000000"/>
                <w:sz w:val="22"/>
                <w:szCs w:val="22"/>
                <w:lang w:val="en-CA"/>
              </w:rPr>
              <w:t>2</w:t>
            </w:r>
          </w:p>
        </w:tc>
      </w:tr>
      <w:tr w:rsidR="00C869C6" w:rsidRPr="00E628AA" w14:paraId="10A1BBB4" w14:textId="77777777" w:rsidTr="004B1219">
        <w:trPr>
          <w:cantSplit/>
          <w:trHeight w:val="290"/>
          <w:tblHeader/>
        </w:trPr>
        <w:tc>
          <w:tcPr>
            <w:tcW w:w="0" w:type="auto"/>
          </w:tcPr>
          <w:p w14:paraId="7E5C3D3E" w14:textId="77777777" w:rsidR="00C869C6" w:rsidRPr="004B1219" w:rsidRDefault="00C869C6" w:rsidP="004B1219">
            <w:pPr>
              <w:autoSpaceDE w:val="0"/>
              <w:autoSpaceDN w:val="0"/>
              <w:adjustRightInd w:val="0"/>
              <w:rPr>
                <w:rFonts w:asciiTheme="minorHAnsi" w:hAnsiTheme="minorHAnsi" w:cstheme="minorHAnsi"/>
                <w:color w:val="000000"/>
                <w:sz w:val="22"/>
                <w:szCs w:val="22"/>
                <w:lang w:val="en-CA"/>
              </w:rPr>
            </w:pPr>
            <w:r w:rsidRPr="004B1219">
              <w:rPr>
                <w:rFonts w:asciiTheme="minorHAnsi" w:hAnsiTheme="minorHAnsi" w:cstheme="minorHAnsi"/>
                <w:color w:val="000000"/>
                <w:sz w:val="22"/>
                <w:szCs w:val="22"/>
                <w:lang w:val="en-CA"/>
              </w:rPr>
              <w:t>840 to 869 calendar days</w:t>
            </w:r>
          </w:p>
        </w:tc>
        <w:tc>
          <w:tcPr>
            <w:tcW w:w="0" w:type="auto"/>
          </w:tcPr>
          <w:p w14:paraId="33A65F45" w14:textId="77777777" w:rsidR="00C869C6" w:rsidRPr="004B1219" w:rsidRDefault="00C869C6" w:rsidP="004B1219">
            <w:pPr>
              <w:autoSpaceDE w:val="0"/>
              <w:autoSpaceDN w:val="0"/>
              <w:adjustRightInd w:val="0"/>
              <w:jc w:val="center"/>
              <w:rPr>
                <w:rFonts w:asciiTheme="minorHAnsi" w:hAnsiTheme="minorHAnsi" w:cstheme="minorHAnsi"/>
                <w:color w:val="000000"/>
                <w:sz w:val="22"/>
                <w:szCs w:val="22"/>
                <w:lang w:val="en-CA"/>
              </w:rPr>
            </w:pPr>
            <w:r w:rsidRPr="004B1219">
              <w:rPr>
                <w:rFonts w:asciiTheme="minorHAnsi" w:hAnsiTheme="minorHAnsi" w:cstheme="minorHAnsi"/>
                <w:color w:val="000000"/>
                <w:sz w:val="22"/>
                <w:szCs w:val="22"/>
                <w:lang w:val="en-CA"/>
              </w:rPr>
              <w:t>2</w:t>
            </w:r>
          </w:p>
        </w:tc>
      </w:tr>
      <w:tr w:rsidR="00C869C6" w:rsidRPr="00E628AA" w14:paraId="7D1B9437" w14:textId="77777777" w:rsidTr="004B1219">
        <w:trPr>
          <w:cantSplit/>
          <w:trHeight w:val="290"/>
          <w:tblHeader/>
        </w:trPr>
        <w:tc>
          <w:tcPr>
            <w:tcW w:w="0" w:type="auto"/>
          </w:tcPr>
          <w:p w14:paraId="27AA8F81" w14:textId="77777777" w:rsidR="00C869C6" w:rsidRPr="004B1219" w:rsidRDefault="00C869C6" w:rsidP="004B1219">
            <w:pPr>
              <w:autoSpaceDE w:val="0"/>
              <w:autoSpaceDN w:val="0"/>
              <w:adjustRightInd w:val="0"/>
              <w:rPr>
                <w:rFonts w:asciiTheme="minorHAnsi" w:hAnsiTheme="minorHAnsi" w:cstheme="minorHAnsi"/>
                <w:color w:val="000000"/>
                <w:sz w:val="22"/>
                <w:szCs w:val="22"/>
                <w:lang w:val="en-CA"/>
              </w:rPr>
            </w:pPr>
            <w:r w:rsidRPr="004B1219">
              <w:rPr>
                <w:rFonts w:asciiTheme="minorHAnsi" w:hAnsiTheme="minorHAnsi" w:cstheme="minorHAnsi"/>
                <w:color w:val="000000"/>
                <w:sz w:val="22"/>
                <w:szCs w:val="22"/>
                <w:lang w:val="en-CA"/>
              </w:rPr>
              <w:t>870 to 899 calendar days</w:t>
            </w:r>
          </w:p>
        </w:tc>
        <w:tc>
          <w:tcPr>
            <w:tcW w:w="0" w:type="auto"/>
          </w:tcPr>
          <w:p w14:paraId="55501AA8" w14:textId="77777777" w:rsidR="00C869C6" w:rsidRPr="004B1219" w:rsidRDefault="00C869C6" w:rsidP="004B1219">
            <w:pPr>
              <w:autoSpaceDE w:val="0"/>
              <w:autoSpaceDN w:val="0"/>
              <w:adjustRightInd w:val="0"/>
              <w:jc w:val="center"/>
              <w:rPr>
                <w:rFonts w:asciiTheme="minorHAnsi" w:hAnsiTheme="minorHAnsi" w:cstheme="minorHAnsi"/>
                <w:color w:val="000000"/>
                <w:sz w:val="22"/>
                <w:szCs w:val="22"/>
                <w:lang w:val="en-CA"/>
              </w:rPr>
            </w:pPr>
            <w:r w:rsidRPr="004B1219">
              <w:rPr>
                <w:rFonts w:asciiTheme="minorHAnsi" w:hAnsiTheme="minorHAnsi" w:cstheme="minorHAnsi"/>
                <w:color w:val="000000"/>
                <w:sz w:val="22"/>
                <w:szCs w:val="22"/>
                <w:lang w:val="en-CA"/>
              </w:rPr>
              <w:t>0</w:t>
            </w:r>
          </w:p>
        </w:tc>
      </w:tr>
      <w:tr w:rsidR="00C869C6" w:rsidRPr="00E628AA" w14:paraId="05C309D7" w14:textId="77777777" w:rsidTr="004B1219">
        <w:trPr>
          <w:cantSplit/>
          <w:trHeight w:val="290"/>
          <w:tblHeader/>
        </w:trPr>
        <w:tc>
          <w:tcPr>
            <w:tcW w:w="0" w:type="auto"/>
          </w:tcPr>
          <w:p w14:paraId="2612057B" w14:textId="77777777" w:rsidR="00C869C6" w:rsidRPr="004B1219" w:rsidRDefault="00C869C6" w:rsidP="004B1219">
            <w:pPr>
              <w:autoSpaceDE w:val="0"/>
              <w:autoSpaceDN w:val="0"/>
              <w:adjustRightInd w:val="0"/>
              <w:rPr>
                <w:rFonts w:asciiTheme="minorHAnsi" w:hAnsiTheme="minorHAnsi" w:cstheme="minorHAnsi"/>
                <w:color w:val="000000"/>
                <w:sz w:val="22"/>
                <w:szCs w:val="22"/>
                <w:lang w:val="en-CA"/>
              </w:rPr>
            </w:pPr>
            <w:r w:rsidRPr="004B1219">
              <w:rPr>
                <w:rFonts w:asciiTheme="minorHAnsi" w:hAnsiTheme="minorHAnsi" w:cstheme="minorHAnsi"/>
                <w:color w:val="000000"/>
                <w:sz w:val="22"/>
                <w:szCs w:val="22"/>
                <w:lang w:val="en-CA"/>
              </w:rPr>
              <w:t>900 to 929 calendar days</w:t>
            </w:r>
          </w:p>
        </w:tc>
        <w:tc>
          <w:tcPr>
            <w:tcW w:w="0" w:type="auto"/>
          </w:tcPr>
          <w:p w14:paraId="1C691122" w14:textId="77777777" w:rsidR="00C869C6" w:rsidRPr="004B1219" w:rsidRDefault="00C869C6" w:rsidP="004B1219">
            <w:pPr>
              <w:autoSpaceDE w:val="0"/>
              <w:autoSpaceDN w:val="0"/>
              <w:adjustRightInd w:val="0"/>
              <w:jc w:val="center"/>
              <w:rPr>
                <w:rFonts w:asciiTheme="minorHAnsi" w:hAnsiTheme="minorHAnsi" w:cstheme="minorHAnsi"/>
                <w:color w:val="000000"/>
                <w:sz w:val="22"/>
                <w:szCs w:val="22"/>
                <w:lang w:val="en-CA"/>
              </w:rPr>
            </w:pPr>
            <w:r w:rsidRPr="004B1219">
              <w:rPr>
                <w:rFonts w:asciiTheme="minorHAnsi" w:hAnsiTheme="minorHAnsi" w:cstheme="minorHAnsi"/>
                <w:color w:val="000000"/>
                <w:sz w:val="22"/>
                <w:szCs w:val="22"/>
                <w:lang w:val="en-CA"/>
              </w:rPr>
              <w:t>3</w:t>
            </w:r>
          </w:p>
        </w:tc>
      </w:tr>
      <w:tr w:rsidR="00C869C6" w:rsidRPr="00E628AA" w14:paraId="38C8D5C5" w14:textId="77777777" w:rsidTr="004B1219">
        <w:trPr>
          <w:cantSplit/>
          <w:trHeight w:val="290"/>
          <w:tblHeader/>
        </w:trPr>
        <w:tc>
          <w:tcPr>
            <w:tcW w:w="0" w:type="auto"/>
          </w:tcPr>
          <w:p w14:paraId="265D3155" w14:textId="77777777" w:rsidR="00C869C6" w:rsidRPr="004B1219" w:rsidRDefault="00C869C6" w:rsidP="004B1219">
            <w:pPr>
              <w:autoSpaceDE w:val="0"/>
              <w:autoSpaceDN w:val="0"/>
              <w:adjustRightInd w:val="0"/>
              <w:rPr>
                <w:rFonts w:asciiTheme="minorHAnsi" w:hAnsiTheme="minorHAnsi" w:cstheme="minorHAnsi"/>
                <w:color w:val="000000"/>
                <w:sz w:val="22"/>
                <w:szCs w:val="22"/>
                <w:lang w:val="en-CA"/>
              </w:rPr>
            </w:pPr>
            <w:r w:rsidRPr="004B1219">
              <w:rPr>
                <w:rFonts w:asciiTheme="minorHAnsi" w:hAnsiTheme="minorHAnsi" w:cstheme="minorHAnsi"/>
                <w:color w:val="000000"/>
                <w:sz w:val="22"/>
                <w:szCs w:val="22"/>
                <w:lang w:val="en-CA"/>
              </w:rPr>
              <w:t>930 to 959 calendar days</w:t>
            </w:r>
          </w:p>
        </w:tc>
        <w:tc>
          <w:tcPr>
            <w:tcW w:w="0" w:type="auto"/>
          </w:tcPr>
          <w:p w14:paraId="603A5481" w14:textId="77777777" w:rsidR="00C869C6" w:rsidRPr="004B1219" w:rsidRDefault="00C869C6" w:rsidP="004B1219">
            <w:pPr>
              <w:autoSpaceDE w:val="0"/>
              <w:autoSpaceDN w:val="0"/>
              <w:adjustRightInd w:val="0"/>
              <w:jc w:val="center"/>
              <w:rPr>
                <w:rFonts w:asciiTheme="minorHAnsi" w:hAnsiTheme="minorHAnsi" w:cstheme="minorHAnsi"/>
                <w:color w:val="000000"/>
                <w:sz w:val="22"/>
                <w:szCs w:val="22"/>
                <w:lang w:val="en-CA"/>
              </w:rPr>
            </w:pPr>
            <w:r w:rsidRPr="004B1219">
              <w:rPr>
                <w:rFonts w:asciiTheme="minorHAnsi" w:hAnsiTheme="minorHAnsi" w:cstheme="minorHAnsi"/>
                <w:color w:val="000000"/>
                <w:sz w:val="22"/>
                <w:szCs w:val="22"/>
                <w:lang w:val="en-CA"/>
              </w:rPr>
              <w:t>1</w:t>
            </w:r>
          </w:p>
        </w:tc>
      </w:tr>
      <w:tr w:rsidR="00C869C6" w:rsidRPr="00E628AA" w14:paraId="7F93F802" w14:textId="77777777" w:rsidTr="004B1219">
        <w:trPr>
          <w:cantSplit/>
          <w:trHeight w:val="290"/>
          <w:tblHeader/>
        </w:trPr>
        <w:tc>
          <w:tcPr>
            <w:tcW w:w="0" w:type="auto"/>
          </w:tcPr>
          <w:p w14:paraId="0BBDB88B" w14:textId="77777777" w:rsidR="00C869C6" w:rsidRPr="004B1219" w:rsidRDefault="00C869C6" w:rsidP="004B1219">
            <w:pPr>
              <w:autoSpaceDE w:val="0"/>
              <w:autoSpaceDN w:val="0"/>
              <w:adjustRightInd w:val="0"/>
              <w:rPr>
                <w:rFonts w:asciiTheme="minorHAnsi" w:hAnsiTheme="minorHAnsi" w:cstheme="minorHAnsi"/>
                <w:color w:val="000000"/>
                <w:sz w:val="22"/>
                <w:szCs w:val="22"/>
                <w:lang w:val="en-CA"/>
              </w:rPr>
            </w:pPr>
            <w:r w:rsidRPr="004B1219">
              <w:rPr>
                <w:rFonts w:asciiTheme="minorHAnsi" w:hAnsiTheme="minorHAnsi" w:cstheme="minorHAnsi"/>
                <w:color w:val="000000"/>
                <w:sz w:val="22"/>
                <w:szCs w:val="22"/>
                <w:lang w:val="en-CA"/>
              </w:rPr>
              <w:t>960 to 989 calendar days</w:t>
            </w:r>
          </w:p>
        </w:tc>
        <w:tc>
          <w:tcPr>
            <w:tcW w:w="0" w:type="auto"/>
          </w:tcPr>
          <w:p w14:paraId="085D5509" w14:textId="77777777" w:rsidR="00C869C6" w:rsidRPr="004B1219" w:rsidRDefault="00C869C6" w:rsidP="004B1219">
            <w:pPr>
              <w:autoSpaceDE w:val="0"/>
              <w:autoSpaceDN w:val="0"/>
              <w:adjustRightInd w:val="0"/>
              <w:jc w:val="center"/>
              <w:rPr>
                <w:rFonts w:asciiTheme="minorHAnsi" w:hAnsiTheme="minorHAnsi" w:cstheme="minorHAnsi"/>
                <w:color w:val="000000"/>
                <w:sz w:val="22"/>
                <w:szCs w:val="22"/>
                <w:lang w:val="en-CA"/>
              </w:rPr>
            </w:pPr>
            <w:r w:rsidRPr="004B1219">
              <w:rPr>
                <w:rFonts w:asciiTheme="minorHAnsi" w:hAnsiTheme="minorHAnsi" w:cstheme="minorHAnsi"/>
                <w:color w:val="000000"/>
                <w:sz w:val="22"/>
                <w:szCs w:val="22"/>
                <w:lang w:val="en-CA"/>
              </w:rPr>
              <w:t>0</w:t>
            </w:r>
          </w:p>
        </w:tc>
      </w:tr>
      <w:tr w:rsidR="00C869C6" w:rsidRPr="00E628AA" w14:paraId="1214E3FC" w14:textId="77777777" w:rsidTr="004B1219">
        <w:trPr>
          <w:cantSplit/>
          <w:trHeight w:val="290"/>
          <w:tblHeader/>
        </w:trPr>
        <w:tc>
          <w:tcPr>
            <w:tcW w:w="0" w:type="auto"/>
          </w:tcPr>
          <w:p w14:paraId="6A9E5857" w14:textId="77777777" w:rsidR="00C869C6" w:rsidRPr="004B1219" w:rsidRDefault="00C869C6" w:rsidP="004B1219">
            <w:pPr>
              <w:autoSpaceDE w:val="0"/>
              <w:autoSpaceDN w:val="0"/>
              <w:adjustRightInd w:val="0"/>
              <w:rPr>
                <w:rFonts w:asciiTheme="minorHAnsi" w:hAnsiTheme="minorHAnsi" w:cstheme="minorHAnsi"/>
                <w:color w:val="000000"/>
                <w:sz w:val="22"/>
                <w:szCs w:val="22"/>
                <w:lang w:val="en-CA"/>
              </w:rPr>
            </w:pPr>
            <w:r w:rsidRPr="004B1219">
              <w:rPr>
                <w:rFonts w:asciiTheme="minorHAnsi" w:hAnsiTheme="minorHAnsi" w:cstheme="minorHAnsi"/>
                <w:color w:val="000000"/>
                <w:sz w:val="22"/>
                <w:szCs w:val="22"/>
                <w:lang w:val="en-CA"/>
              </w:rPr>
              <w:t>More than 990 calendar days</w:t>
            </w:r>
          </w:p>
        </w:tc>
        <w:tc>
          <w:tcPr>
            <w:tcW w:w="0" w:type="auto"/>
          </w:tcPr>
          <w:p w14:paraId="57AFE5EF" w14:textId="77777777" w:rsidR="00C869C6" w:rsidRPr="004B1219" w:rsidRDefault="00C869C6" w:rsidP="004B1219">
            <w:pPr>
              <w:autoSpaceDE w:val="0"/>
              <w:autoSpaceDN w:val="0"/>
              <w:adjustRightInd w:val="0"/>
              <w:jc w:val="center"/>
              <w:rPr>
                <w:rFonts w:asciiTheme="minorHAnsi" w:hAnsiTheme="minorHAnsi" w:cstheme="minorHAnsi"/>
                <w:color w:val="000000"/>
                <w:sz w:val="22"/>
                <w:szCs w:val="22"/>
                <w:lang w:val="en-CA"/>
              </w:rPr>
            </w:pPr>
            <w:r w:rsidRPr="004B1219">
              <w:rPr>
                <w:rFonts w:asciiTheme="minorHAnsi" w:hAnsiTheme="minorHAnsi" w:cstheme="minorHAnsi"/>
                <w:color w:val="000000"/>
                <w:sz w:val="22"/>
                <w:szCs w:val="22"/>
                <w:lang w:val="en-CA"/>
              </w:rPr>
              <w:t>0</w:t>
            </w:r>
          </w:p>
        </w:tc>
      </w:tr>
    </w:tbl>
    <w:p w14:paraId="12C2E5C5" w14:textId="77777777" w:rsidR="00F8478B" w:rsidRDefault="00F8478B" w:rsidP="00F8478B">
      <w:pPr>
        <w:rPr>
          <w:rFonts w:asciiTheme="minorHAnsi" w:hAnsiTheme="minorHAnsi" w:cstheme="minorHAnsi"/>
          <w:lang w:val="en-CA" w:eastAsia="en-CA"/>
        </w:rPr>
        <w:sectPr w:rsidR="00F8478B" w:rsidSect="00C869C6">
          <w:pgSz w:w="24480" w:h="15840" w:orient="landscape" w:code="3"/>
          <w:pgMar w:top="720" w:right="720" w:bottom="720" w:left="720" w:header="708" w:footer="283" w:gutter="0"/>
          <w:cols w:space="708"/>
          <w:titlePg/>
          <w:docGrid w:linePitch="360"/>
        </w:sectPr>
      </w:pPr>
    </w:p>
    <w:p w14:paraId="0A697EFE" w14:textId="7FAD5B55" w:rsidR="00DF4FAB" w:rsidRPr="00DF4FAB" w:rsidRDefault="00DF4FAB" w:rsidP="00DF4FAB">
      <w:pPr>
        <w:pStyle w:val="Titre1"/>
        <w:rPr>
          <w:sz w:val="40"/>
          <w:lang w:val="en-CA"/>
        </w:rPr>
      </w:pPr>
      <w:r w:rsidRPr="00DF4FAB">
        <w:rPr>
          <w:sz w:val="40"/>
          <w:lang w:val="en-CA"/>
        </w:rPr>
        <w:lastRenderedPageBreak/>
        <w:t>Technical Notes</w:t>
      </w:r>
    </w:p>
    <w:p w14:paraId="68D9C5E6" w14:textId="6C51C351" w:rsidR="0023752A" w:rsidRPr="00F8478B" w:rsidRDefault="0023752A" w:rsidP="00C869C6">
      <w:pPr>
        <w:pStyle w:val="Paragraphedeliste"/>
        <w:numPr>
          <w:ilvl w:val="0"/>
          <w:numId w:val="14"/>
        </w:numPr>
        <w:tabs>
          <w:tab w:val="left" w:pos="4788"/>
        </w:tabs>
        <w:spacing w:before="100" w:beforeAutospacing="1" w:after="100" w:afterAutospacing="1"/>
        <w:ind w:left="360"/>
        <w:rPr>
          <w:rFonts w:asciiTheme="minorHAnsi" w:hAnsiTheme="minorHAnsi" w:cstheme="minorHAnsi"/>
          <w:szCs w:val="24"/>
          <w:lang w:val="en-CA"/>
        </w:rPr>
      </w:pPr>
      <w:r w:rsidRPr="00F8478B">
        <w:rPr>
          <w:rFonts w:asciiTheme="minorHAnsi" w:hAnsiTheme="minorHAnsi" w:cstheme="minorHAnsi"/>
          <w:szCs w:val="24"/>
          <w:lang w:val="en-CA"/>
        </w:rPr>
        <w:t>The Time to Staff - Internal Appointments (TTS-IA) is the median number of calendar days between the opening date of an internal advertisement and the date of the first Notice of Appointment or Proposal of Appointment (NAPA) from the Public Service Resourcing System for internal term and indeterminate positions. As NAPAs are not required for all internal staffing actions, this measure is limited to reporting on internal promotional appointments</w:t>
      </w:r>
    </w:p>
    <w:p w14:paraId="058A09BC" w14:textId="77777777" w:rsidR="0023752A" w:rsidRPr="00E628AA" w:rsidRDefault="0023752A" w:rsidP="0023752A">
      <w:pPr>
        <w:pStyle w:val="Paragraphedeliste"/>
        <w:numPr>
          <w:ilvl w:val="0"/>
          <w:numId w:val="14"/>
        </w:numPr>
        <w:spacing w:after="0"/>
        <w:ind w:left="360"/>
        <w:rPr>
          <w:rFonts w:asciiTheme="minorHAnsi" w:hAnsiTheme="minorHAnsi" w:cstheme="minorHAnsi"/>
          <w:szCs w:val="24"/>
          <w:lang w:val="en-CA"/>
        </w:rPr>
      </w:pPr>
      <w:r w:rsidRPr="00E628AA">
        <w:rPr>
          <w:rFonts w:asciiTheme="minorHAnsi" w:hAnsiTheme="minorHAnsi" w:cstheme="minorHAnsi"/>
          <w:szCs w:val="24"/>
          <w:lang w:val="en-CA"/>
        </w:rPr>
        <w:t>Only estimated term and indeterminate appointments/notifications are included (deployments, casual and acting appointments are excluded)</w:t>
      </w:r>
    </w:p>
    <w:p w14:paraId="1BA42A78" w14:textId="77777777" w:rsidR="0023752A" w:rsidRPr="00E628AA" w:rsidRDefault="0023752A" w:rsidP="0023752A">
      <w:pPr>
        <w:pStyle w:val="Paragraphedeliste"/>
        <w:numPr>
          <w:ilvl w:val="0"/>
          <w:numId w:val="14"/>
        </w:numPr>
        <w:spacing w:after="0"/>
        <w:ind w:left="360"/>
        <w:rPr>
          <w:rFonts w:asciiTheme="minorHAnsi" w:hAnsiTheme="minorHAnsi" w:cstheme="minorHAnsi"/>
          <w:szCs w:val="24"/>
          <w:lang w:val="en-CA"/>
        </w:rPr>
      </w:pPr>
      <w:r w:rsidRPr="00E628AA">
        <w:rPr>
          <w:rFonts w:asciiTheme="minorHAnsi" w:hAnsiTheme="minorHAnsi" w:cstheme="minorHAnsi"/>
          <w:szCs w:val="24"/>
          <w:lang w:val="en-CA"/>
        </w:rPr>
        <w:t>The Time to Staff - External Appointments (TTS-EA) is the median number of calendar days between the opening date of an external advertisement and the date of the first estimated appointment of an individual from outside an organization subject to the Public Service Employment Act for term and indeterminate positions. Only estimated term and indeterminate appointments/notifications are included (deployments, casual and acting appointments are excluded)</w:t>
      </w:r>
    </w:p>
    <w:p w14:paraId="03FE07C7" w14:textId="77777777" w:rsidR="0023752A" w:rsidRPr="00E628AA" w:rsidRDefault="0023752A" w:rsidP="0023752A">
      <w:pPr>
        <w:pStyle w:val="Paragraphedeliste"/>
        <w:numPr>
          <w:ilvl w:val="0"/>
          <w:numId w:val="14"/>
        </w:numPr>
        <w:spacing w:after="0"/>
        <w:ind w:left="360"/>
        <w:rPr>
          <w:rFonts w:asciiTheme="minorHAnsi" w:hAnsiTheme="minorHAnsi" w:cstheme="minorHAnsi"/>
          <w:szCs w:val="24"/>
          <w:lang w:val="en-CA"/>
        </w:rPr>
      </w:pPr>
      <w:r w:rsidRPr="00E628AA">
        <w:rPr>
          <w:rFonts w:asciiTheme="minorHAnsi" w:hAnsiTheme="minorHAnsi" w:cstheme="minorHAnsi"/>
          <w:szCs w:val="24"/>
          <w:lang w:val="en-CA"/>
        </w:rPr>
        <w:t>Because data between systems is linked using a probabilistic match, errors in data linkage are a potential source of measurement error</w:t>
      </w:r>
    </w:p>
    <w:p w14:paraId="437D0A06" w14:textId="77777777" w:rsidR="0023752A" w:rsidRPr="00E628AA" w:rsidRDefault="0023752A" w:rsidP="0023752A">
      <w:pPr>
        <w:pStyle w:val="Paragraphedeliste"/>
        <w:numPr>
          <w:ilvl w:val="0"/>
          <w:numId w:val="14"/>
        </w:numPr>
        <w:spacing w:after="0"/>
        <w:ind w:left="360"/>
        <w:rPr>
          <w:rFonts w:asciiTheme="minorHAnsi" w:hAnsiTheme="minorHAnsi" w:cstheme="minorHAnsi"/>
          <w:szCs w:val="24"/>
          <w:lang w:val="en-CA"/>
        </w:rPr>
      </w:pPr>
      <w:r w:rsidRPr="00E628AA">
        <w:rPr>
          <w:rFonts w:asciiTheme="minorHAnsi" w:hAnsiTheme="minorHAnsi" w:cstheme="minorHAnsi"/>
          <w:szCs w:val="24"/>
          <w:lang w:val="en-CA"/>
        </w:rPr>
        <w:t>Hiring and staffing activities data are derived from information received from the Treasury Board of Canada Secretariat Incumbent File.  The Incumbent File is extracted from the Public Services and Procurement Canada’s pay system.  The data constitutes an estimate of hiring and staffing activities to and within organizations.</w:t>
      </w:r>
    </w:p>
    <w:p w14:paraId="2EF672E1" w14:textId="77777777" w:rsidR="0023752A" w:rsidRPr="00E628AA" w:rsidRDefault="0023752A" w:rsidP="0023752A">
      <w:pPr>
        <w:pStyle w:val="Paragraphedeliste"/>
        <w:numPr>
          <w:ilvl w:val="0"/>
          <w:numId w:val="14"/>
        </w:numPr>
        <w:spacing w:after="0"/>
        <w:ind w:left="360"/>
        <w:rPr>
          <w:rFonts w:asciiTheme="minorHAnsi" w:hAnsiTheme="minorHAnsi" w:cstheme="minorHAnsi"/>
          <w:szCs w:val="24"/>
          <w:lang w:val="en-CA"/>
        </w:rPr>
      </w:pPr>
      <w:r w:rsidRPr="00E628AA">
        <w:rPr>
          <w:rFonts w:asciiTheme="minorHAnsi" w:hAnsiTheme="minorHAnsi" w:cstheme="minorHAnsi"/>
          <w:szCs w:val="24"/>
          <w:lang w:val="en-CA"/>
        </w:rPr>
        <w:t>Information from the Priority Information Management System and the Public Services Resourcing System is also used to determine if staffing actions are advertised or non-advertised as well as for calculating time to staff.</w:t>
      </w:r>
    </w:p>
    <w:p w14:paraId="5CCBB682" w14:textId="750DEF8E" w:rsidR="0023752A" w:rsidRPr="00E628AA" w:rsidRDefault="0023752A" w:rsidP="0051354F">
      <w:pPr>
        <w:pStyle w:val="Paragraphedeliste"/>
        <w:numPr>
          <w:ilvl w:val="0"/>
          <w:numId w:val="14"/>
        </w:numPr>
        <w:spacing w:after="0"/>
        <w:ind w:left="360"/>
        <w:rPr>
          <w:rFonts w:asciiTheme="minorHAnsi" w:hAnsiTheme="minorHAnsi" w:cstheme="minorHAnsi"/>
          <w:szCs w:val="24"/>
          <w:lang w:val="en-CA"/>
        </w:rPr>
      </w:pPr>
      <w:r w:rsidRPr="00E628AA">
        <w:rPr>
          <w:rFonts w:asciiTheme="minorHAnsi" w:hAnsiTheme="minorHAnsi" w:cstheme="minorHAnsi"/>
          <w:szCs w:val="24"/>
          <w:lang w:val="en-CA"/>
        </w:rPr>
        <w:t>The data are not expected to match an organization’s human resources data, due to met</w:t>
      </w:r>
      <w:r w:rsidR="0051354F" w:rsidRPr="00E628AA">
        <w:rPr>
          <w:rFonts w:asciiTheme="minorHAnsi" w:hAnsiTheme="minorHAnsi" w:cstheme="minorHAnsi"/>
          <w:szCs w:val="24"/>
          <w:lang w:val="en-CA"/>
        </w:rPr>
        <w:t>hodology and timing differences.</w:t>
      </w:r>
    </w:p>
    <w:sectPr w:rsidR="0023752A" w:rsidRPr="00E628AA" w:rsidSect="00C869C6">
      <w:pgSz w:w="12240" w:h="15840"/>
      <w:pgMar w:top="720" w:right="720" w:bottom="720" w:left="720" w:header="708"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E603AB" w14:textId="77777777" w:rsidR="003222DC" w:rsidRDefault="003222DC" w:rsidP="0051557E">
      <w:r>
        <w:separator/>
      </w:r>
    </w:p>
  </w:endnote>
  <w:endnote w:type="continuationSeparator" w:id="0">
    <w:p w14:paraId="0E1EFCF9" w14:textId="77777777" w:rsidR="003222DC" w:rsidRDefault="003222DC" w:rsidP="005155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Semilight">
    <w:panose1 w:val="020B04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8CAB33" w14:textId="77777777" w:rsidR="003222DC" w:rsidRDefault="003222DC" w:rsidP="0034722F">
    <w:pPr>
      <w:pStyle w:val="Pieddepage"/>
      <w:jc w:val="center"/>
    </w:pPr>
    <w:r>
      <w:t xml:space="preserve"> Produced by Data Services and Analysis Directorate (PSC) – Updated on July 12, 2019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FDC19B" w14:textId="10268748" w:rsidR="003222DC" w:rsidRPr="009928F4" w:rsidRDefault="003222DC" w:rsidP="009928F4">
    <w:pPr>
      <w:pBdr>
        <w:top w:val="single" w:sz="4" w:space="1" w:color="D9D9D9"/>
      </w:pBdr>
      <w:tabs>
        <w:tab w:val="center" w:pos="4680"/>
        <w:tab w:val="center" w:pos="6804"/>
        <w:tab w:val="right" w:pos="9360"/>
        <w:tab w:val="center" w:pos="10773"/>
      </w:tabs>
      <w:jc w:val="center"/>
    </w:pPr>
    <w:r w:rsidRPr="006B2FDC">
      <w:rPr>
        <w:rFonts w:ascii="Calibri" w:eastAsia="Calibri" w:hAnsi="Calibri" w:cs="Arial"/>
        <w:sz w:val="16"/>
      </w:rPr>
      <w:fldChar w:fldCharType="begin"/>
    </w:r>
    <w:r w:rsidRPr="006B2FDC">
      <w:rPr>
        <w:rFonts w:ascii="Calibri" w:eastAsia="Calibri" w:hAnsi="Calibri" w:cs="Arial"/>
        <w:sz w:val="16"/>
        <w:lang w:val="en-CA"/>
      </w:rPr>
      <w:instrText xml:space="preserve"> PAGE   \* MERGEFORMAT </w:instrText>
    </w:r>
    <w:r w:rsidRPr="006B2FDC">
      <w:rPr>
        <w:rFonts w:ascii="Calibri" w:eastAsia="Calibri" w:hAnsi="Calibri" w:cs="Arial"/>
        <w:sz w:val="16"/>
      </w:rPr>
      <w:fldChar w:fldCharType="separate"/>
    </w:r>
    <w:r w:rsidR="00777E1D" w:rsidRPr="00777E1D">
      <w:rPr>
        <w:rFonts w:ascii="Calibri" w:eastAsia="Calibri" w:hAnsi="Calibri" w:cs="Arial"/>
        <w:b/>
        <w:bCs/>
        <w:noProof/>
        <w:sz w:val="16"/>
        <w:lang w:val="en-CA"/>
      </w:rPr>
      <w:t>21</w:t>
    </w:r>
    <w:r w:rsidRPr="006B2FDC">
      <w:rPr>
        <w:rFonts w:ascii="Calibri" w:eastAsia="Calibri" w:hAnsi="Calibri" w:cs="Arial"/>
        <w:b/>
        <w:bCs/>
        <w:noProof/>
        <w:sz w:val="16"/>
      </w:rPr>
      <w:fldChar w:fldCharType="end"/>
    </w:r>
    <w:r>
      <w:rPr>
        <w:rFonts w:ascii="Calibri" w:eastAsia="Calibri" w:hAnsi="Calibri" w:cs="Arial"/>
        <w:b/>
        <w:bCs/>
        <w:sz w:val="16"/>
        <w:lang w:val="en-CA"/>
      </w:rPr>
      <w:tab/>
    </w:r>
    <w:r>
      <w:rPr>
        <w:rFonts w:ascii="Calibri" w:eastAsia="Calibri" w:hAnsi="Calibri" w:cs="Arial"/>
        <w:b/>
        <w:bCs/>
        <w:sz w:val="16"/>
        <w:lang w:val="en-CA"/>
      </w:rPr>
      <w:tab/>
    </w:r>
    <w:r>
      <w:rPr>
        <w:rFonts w:ascii="Calibri" w:eastAsia="Calibri" w:hAnsi="Calibri" w:cs="Arial"/>
        <w:b/>
        <w:bCs/>
        <w:sz w:val="16"/>
        <w:lang w:val="en-CA"/>
      </w:rPr>
      <w:tab/>
    </w:r>
    <w:r w:rsidRPr="006B2FDC">
      <w:rPr>
        <w:rFonts w:ascii="Calibri" w:eastAsia="Calibri" w:hAnsi="Calibri" w:cs="Arial"/>
        <w:sz w:val="16"/>
        <w:lang w:val="en-CA"/>
      </w:rPr>
      <w:t xml:space="preserve">GCDOCS </w:t>
    </w:r>
    <w:r>
      <w:rPr>
        <w:rFonts w:ascii="Calibri" w:eastAsia="Calibri" w:hAnsi="Calibri" w:cs="Arial"/>
        <w:sz w:val="16"/>
        <w:lang w:val="en-CA"/>
      </w:rPr>
      <w:t>9406194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207BE5" w14:textId="77777777" w:rsidR="003222DC" w:rsidRPr="000A5B54" w:rsidRDefault="003222DC" w:rsidP="009928F4">
    <w:pPr>
      <w:pBdr>
        <w:top w:val="single" w:sz="4" w:space="1" w:color="D9D9D9"/>
      </w:pBdr>
      <w:tabs>
        <w:tab w:val="center" w:pos="4680"/>
        <w:tab w:val="center" w:pos="6804"/>
        <w:tab w:val="right" w:pos="9360"/>
        <w:tab w:val="center" w:pos="10773"/>
      </w:tabs>
      <w:jc w:val="center"/>
    </w:pPr>
    <w:r w:rsidRPr="006B2FDC">
      <w:rPr>
        <w:rFonts w:ascii="Calibri" w:eastAsia="Calibri" w:hAnsi="Calibri" w:cs="Arial"/>
        <w:sz w:val="16"/>
      </w:rPr>
      <w:fldChar w:fldCharType="begin"/>
    </w:r>
    <w:r w:rsidRPr="006B2FDC">
      <w:rPr>
        <w:rFonts w:ascii="Calibri" w:eastAsia="Calibri" w:hAnsi="Calibri" w:cs="Arial"/>
        <w:sz w:val="16"/>
        <w:lang w:val="en-CA"/>
      </w:rPr>
      <w:instrText xml:space="preserve"> PAGE   \* MERGEFORMAT </w:instrText>
    </w:r>
    <w:r w:rsidRPr="006B2FDC">
      <w:rPr>
        <w:rFonts w:ascii="Calibri" w:eastAsia="Calibri" w:hAnsi="Calibri" w:cs="Arial"/>
        <w:sz w:val="16"/>
      </w:rPr>
      <w:fldChar w:fldCharType="separate"/>
    </w:r>
    <w:r w:rsidR="00777E1D" w:rsidRPr="00777E1D">
      <w:rPr>
        <w:rFonts w:ascii="Calibri" w:eastAsia="Calibri" w:hAnsi="Calibri" w:cs="Arial"/>
        <w:b/>
        <w:bCs/>
        <w:noProof/>
        <w:sz w:val="16"/>
        <w:lang w:val="en-CA"/>
      </w:rPr>
      <w:t>24</w:t>
    </w:r>
    <w:r w:rsidRPr="006B2FDC">
      <w:rPr>
        <w:rFonts w:ascii="Calibri" w:eastAsia="Calibri" w:hAnsi="Calibri" w:cs="Arial"/>
        <w:b/>
        <w:bCs/>
        <w:noProof/>
        <w:sz w:val="16"/>
      </w:rPr>
      <w:fldChar w:fldCharType="end"/>
    </w:r>
    <w:r>
      <w:rPr>
        <w:rFonts w:ascii="Calibri" w:eastAsia="Calibri" w:hAnsi="Calibri" w:cs="Arial"/>
        <w:b/>
        <w:bCs/>
        <w:sz w:val="16"/>
        <w:lang w:val="en-CA"/>
      </w:rPr>
      <w:tab/>
    </w:r>
    <w:r>
      <w:rPr>
        <w:rFonts w:ascii="Calibri" w:eastAsia="Calibri" w:hAnsi="Calibri" w:cs="Arial"/>
        <w:b/>
        <w:bCs/>
        <w:sz w:val="16"/>
        <w:lang w:val="en-CA"/>
      </w:rPr>
      <w:tab/>
    </w:r>
    <w:r>
      <w:rPr>
        <w:rFonts w:ascii="Calibri" w:eastAsia="Calibri" w:hAnsi="Calibri" w:cs="Arial"/>
        <w:b/>
        <w:bCs/>
        <w:sz w:val="16"/>
        <w:lang w:val="en-CA"/>
      </w:rPr>
      <w:tab/>
    </w:r>
    <w:r w:rsidRPr="006B2FDC">
      <w:rPr>
        <w:rFonts w:ascii="Calibri" w:eastAsia="Calibri" w:hAnsi="Calibri" w:cs="Arial"/>
        <w:sz w:val="16"/>
        <w:lang w:val="en-CA"/>
      </w:rPr>
      <w:t xml:space="preserve">GCDOCS </w:t>
    </w:r>
    <w:r>
      <w:rPr>
        <w:rFonts w:ascii="Calibri" w:eastAsia="Calibri" w:hAnsi="Calibri" w:cs="Arial"/>
        <w:sz w:val="16"/>
        <w:lang w:val="en-CA"/>
      </w:rPr>
      <w:t>9406194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F3E8D8" w14:textId="77777777" w:rsidR="003222DC" w:rsidRDefault="003222DC" w:rsidP="0051557E">
      <w:r>
        <w:separator/>
      </w:r>
    </w:p>
  </w:footnote>
  <w:footnote w:type="continuationSeparator" w:id="0">
    <w:p w14:paraId="5AE1C7ED" w14:textId="77777777" w:rsidR="003222DC" w:rsidRDefault="003222DC" w:rsidP="005155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A22BCB" w14:textId="77777777" w:rsidR="003222DC" w:rsidRPr="008728F3" w:rsidRDefault="003222DC" w:rsidP="008728F3">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93979E" w14:textId="77777777" w:rsidR="003222DC" w:rsidRPr="008728F3" w:rsidRDefault="003222DC" w:rsidP="008728F3">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32685"/>
    <w:multiLevelType w:val="hybridMultilevel"/>
    <w:tmpl w:val="F230B7E4"/>
    <w:lvl w:ilvl="0" w:tplc="10090005">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7DE104F"/>
    <w:multiLevelType w:val="hybridMultilevel"/>
    <w:tmpl w:val="CA44168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BE710FF"/>
    <w:multiLevelType w:val="hybridMultilevel"/>
    <w:tmpl w:val="6F5211AC"/>
    <w:lvl w:ilvl="0" w:tplc="309E786C">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BF115F7"/>
    <w:multiLevelType w:val="hybridMultilevel"/>
    <w:tmpl w:val="9EFA599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C2C6BF6"/>
    <w:multiLevelType w:val="hybridMultilevel"/>
    <w:tmpl w:val="56FA14D2"/>
    <w:lvl w:ilvl="0" w:tplc="3FAE77F8">
      <w:numFmt w:val="bullet"/>
      <w:lvlText w:val="•"/>
      <w:lvlJc w:val="left"/>
      <w:pPr>
        <w:ind w:left="720" w:hanging="360"/>
      </w:pPr>
      <w:rPr>
        <w:rFonts w:ascii="Segoe UI Semilight" w:eastAsiaTheme="minorHAnsi" w:hAnsi="Segoe UI Semilight" w:cs="Segoe UI Semilight"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2AB2405"/>
    <w:multiLevelType w:val="hybridMultilevel"/>
    <w:tmpl w:val="269238D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47966E7"/>
    <w:multiLevelType w:val="hybridMultilevel"/>
    <w:tmpl w:val="F76C962E"/>
    <w:lvl w:ilvl="0" w:tplc="CE5C5B68">
      <w:start w:val="1"/>
      <w:numFmt w:val="bullet"/>
      <w:lvlText w:val="•"/>
      <w:lvlJc w:val="left"/>
      <w:pPr>
        <w:tabs>
          <w:tab w:val="num" w:pos="720"/>
        </w:tabs>
        <w:ind w:left="720" w:hanging="360"/>
      </w:pPr>
      <w:rPr>
        <w:rFonts w:ascii="Arial" w:hAnsi="Arial" w:hint="default"/>
      </w:rPr>
    </w:lvl>
    <w:lvl w:ilvl="1" w:tplc="F7F66436">
      <w:start w:val="76"/>
      <w:numFmt w:val="bullet"/>
      <w:lvlText w:val="•"/>
      <w:lvlJc w:val="left"/>
      <w:pPr>
        <w:tabs>
          <w:tab w:val="num" w:pos="1440"/>
        </w:tabs>
        <w:ind w:left="1440" w:hanging="360"/>
      </w:pPr>
      <w:rPr>
        <w:rFonts w:ascii="Arial" w:hAnsi="Arial" w:hint="default"/>
      </w:rPr>
    </w:lvl>
    <w:lvl w:ilvl="2" w:tplc="CEF41514">
      <w:start w:val="1"/>
      <w:numFmt w:val="bullet"/>
      <w:lvlText w:val="•"/>
      <w:lvlJc w:val="left"/>
      <w:pPr>
        <w:tabs>
          <w:tab w:val="num" w:pos="2160"/>
        </w:tabs>
        <w:ind w:left="2160" w:hanging="360"/>
      </w:pPr>
      <w:rPr>
        <w:rFonts w:ascii="Arial" w:hAnsi="Arial" w:hint="default"/>
      </w:rPr>
    </w:lvl>
    <w:lvl w:ilvl="3" w:tplc="F482A62E">
      <w:start w:val="1"/>
      <w:numFmt w:val="bullet"/>
      <w:lvlText w:val="•"/>
      <w:lvlJc w:val="left"/>
      <w:pPr>
        <w:tabs>
          <w:tab w:val="num" w:pos="2880"/>
        </w:tabs>
        <w:ind w:left="2880" w:hanging="360"/>
      </w:pPr>
      <w:rPr>
        <w:rFonts w:ascii="Arial" w:hAnsi="Arial" w:hint="default"/>
      </w:rPr>
    </w:lvl>
    <w:lvl w:ilvl="4" w:tplc="9AFC614C">
      <w:start w:val="1"/>
      <w:numFmt w:val="bullet"/>
      <w:lvlText w:val="•"/>
      <w:lvlJc w:val="left"/>
      <w:pPr>
        <w:tabs>
          <w:tab w:val="num" w:pos="3600"/>
        </w:tabs>
        <w:ind w:left="3600" w:hanging="360"/>
      </w:pPr>
      <w:rPr>
        <w:rFonts w:ascii="Arial" w:hAnsi="Arial" w:hint="default"/>
      </w:rPr>
    </w:lvl>
    <w:lvl w:ilvl="5" w:tplc="2CF65ECC">
      <w:start w:val="1"/>
      <w:numFmt w:val="bullet"/>
      <w:lvlText w:val="•"/>
      <w:lvlJc w:val="left"/>
      <w:pPr>
        <w:tabs>
          <w:tab w:val="num" w:pos="4320"/>
        </w:tabs>
        <w:ind w:left="4320" w:hanging="360"/>
      </w:pPr>
      <w:rPr>
        <w:rFonts w:ascii="Arial" w:hAnsi="Arial" w:hint="default"/>
      </w:rPr>
    </w:lvl>
    <w:lvl w:ilvl="6" w:tplc="41D4D958">
      <w:start w:val="1"/>
      <w:numFmt w:val="bullet"/>
      <w:lvlText w:val="•"/>
      <w:lvlJc w:val="left"/>
      <w:pPr>
        <w:tabs>
          <w:tab w:val="num" w:pos="5040"/>
        </w:tabs>
        <w:ind w:left="5040" w:hanging="360"/>
      </w:pPr>
      <w:rPr>
        <w:rFonts w:ascii="Arial" w:hAnsi="Arial" w:hint="default"/>
      </w:rPr>
    </w:lvl>
    <w:lvl w:ilvl="7" w:tplc="C680DA1A">
      <w:start w:val="1"/>
      <w:numFmt w:val="bullet"/>
      <w:lvlText w:val="•"/>
      <w:lvlJc w:val="left"/>
      <w:pPr>
        <w:tabs>
          <w:tab w:val="num" w:pos="5760"/>
        </w:tabs>
        <w:ind w:left="5760" w:hanging="360"/>
      </w:pPr>
      <w:rPr>
        <w:rFonts w:ascii="Arial" w:hAnsi="Arial" w:hint="default"/>
      </w:rPr>
    </w:lvl>
    <w:lvl w:ilvl="8" w:tplc="BED0E666">
      <w:start w:val="1"/>
      <w:numFmt w:val="bullet"/>
      <w:lvlText w:val="•"/>
      <w:lvlJc w:val="left"/>
      <w:pPr>
        <w:tabs>
          <w:tab w:val="num" w:pos="6480"/>
        </w:tabs>
        <w:ind w:left="6480" w:hanging="360"/>
      </w:pPr>
      <w:rPr>
        <w:rFonts w:ascii="Arial" w:hAnsi="Arial" w:hint="default"/>
      </w:rPr>
    </w:lvl>
  </w:abstractNum>
  <w:abstractNum w:abstractNumId="7" w15:restartNumberingAfterBreak="0">
    <w:nsid w:val="29196DC4"/>
    <w:multiLevelType w:val="hybridMultilevel"/>
    <w:tmpl w:val="9FE6A65A"/>
    <w:lvl w:ilvl="0" w:tplc="10090005">
      <w:start w:val="1"/>
      <w:numFmt w:val="bullet"/>
      <w:lvlText w:val=""/>
      <w:lvlJc w:val="left"/>
      <w:pPr>
        <w:ind w:left="720" w:hanging="360"/>
      </w:pPr>
      <w:rPr>
        <w:rFonts w:ascii="Wingdings" w:hAnsi="Wingdings" w:hint="default"/>
      </w:rPr>
    </w:lvl>
    <w:lvl w:ilvl="1" w:tplc="1009000F">
      <w:start w:val="1"/>
      <w:numFmt w:val="decimal"/>
      <w:lvlText w:val="%2."/>
      <w:lvlJc w:val="left"/>
      <w:pPr>
        <w:ind w:left="1440" w:hanging="360"/>
      </w:pPr>
      <w:rPr>
        <w:rFont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05B4CB3"/>
    <w:multiLevelType w:val="hybridMultilevel"/>
    <w:tmpl w:val="4B3837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13B5FCF"/>
    <w:multiLevelType w:val="hybridMultilevel"/>
    <w:tmpl w:val="4EC0AF72"/>
    <w:lvl w:ilvl="0" w:tplc="10090001">
      <w:start w:val="1"/>
      <w:numFmt w:val="bullet"/>
      <w:lvlText w:val=""/>
      <w:lvlJc w:val="left"/>
      <w:pPr>
        <w:ind w:left="360" w:hanging="360"/>
      </w:pPr>
      <w:rPr>
        <w:rFonts w:ascii="Symbol" w:hAnsi="Symbol" w:hint="default"/>
      </w:rPr>
    </w:lvl>
    <w:lvl w:ilvl="1" w:tplc="169E289C">
      <w:numFmt w:val="bullet"/>
      <w:lvlText w:val="-"/>
      <w:lvlJc w:val="left"/>
      <w:pPr>
        <w:ind w:left="1080" w:hanging="360"/>
      </w:pPr>
      <w:rPr>
        <w:rFonts w:ascii="Arial" w:eastAsiaTheme="minorHAnsi" w:hAnsi="Arial" w:cs="Arial"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15:restartNumberingAfterBreak="0">
    <w:nsid w:val="33161F26"/>
    <w:multiLevelType w:val="hybridMultilevel"/>
    <w:tmpl w:val="63A29838"/>
    <w:lvl w:ilvl="0" w:tplc="10090005">
      <w:start w:val="1"/>
      <w:numFmt w:val="bullet"/>
      <w:lvlText w:val=""/>
      <w:lvlJc w:val="left"/>
      <w:pPr>
        <w:ind w:left="720" w:hanging="360"/>
      </w:pPr>
      <w:rPr>
        <w:rFonts w:ascii="Wingdings" w:hAnsi="Wingdings" w:hint="default"/>
      </w:rPr>
    </w:lvl>
    <w:lvl w:ilvl="1" w:tplc="7C82211A">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7A16451"/>
    <w:multiLevelType w:val="hybridMultilevel"/>
    <w:tmpl w:val="98E0347C"/>
    <w:lvl w:ilvl="0" w:tplc="10090005">
      <w:start w:val="1"/>
      <w:numFmt w:val="bullet"/>
      <w:lvlText w:val=""/>
      <w:lvlJc w:val="left"/>
      <w:pPr>
        <w:ind w:left="720" w:hanging="360"/>
      </w:pPr>
      <w:rPr>
        <w:rFonts w:ascii="Wingdings" w:hAnsi="Wingdings" w:hint="default"/>
      </w:rPr>
    </w:lvl>
    <w:lvl w:ilvl="1" w:tplc="7C82211A">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90D5788"/>
    <w:multiLevelType w:val="hybridMultilevel"/>
    <w:tmpl w:val="AF2A80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91A4F9F"/>
    <w:multiLevelType w:val="hybridMultilevel"/>
    <w:tmpl w:val="8ECA81E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4" w15:restartNumberingAfterBreak="0">
    <w:nsid w:val="3A5A50EF"/>
    <w:multiLevelType w:val="hybridMultilevel"/>
    <w:tmpl w:val="36CEDA0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15:restartNumberingAfterBreak="0">
    <w:nsid w:val="3DBD2DBF"/>
    <w:multiLevelType w:val="hybridMultilevel"/>
    <w:tmpl w:val="657CDC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3E44718C"/>
    <w:multiLevelType w:val="hybridMultilevel"/>
    <w:tmpl w:val="2ED86E16"/>
    <w:lvl w:ilvl="0" w:tplc="E084BEB6">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9667F5F"/>
    <w:multiLevelType w:val="hybridMultilevel"/>
    <w:tmpl w:val="4316F0EE"/>
    <w:lvl w:ilvl="0" w:tplc="10090005">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4A1D776C"/>
    <w:multiLevelType w:val="hybridMultilevel"/>
    <w:tmpl w:val="71A68132"/>
    <w:lvl w:ilvl="0" w:tplc="CE5C5B68">
      <w:start w:val="1"/>
      <w:numFmt w:val="bullet"/>
      <w:lvlText w:val="•"/>
      <w:lvlJc w:val="left"/>
      <w:pPr>
        <w:ind w:left="720" w:hanging="360"/>
      </w:pPr>
      <w:rPr>
        <w:rFonts w:ascii="Arial" w:hAnsi="Aria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4F541E8E"/>
    <w:multiLevelType w:val="hybridMultilevel"/>
    <w:tmpl w:val="D688C13C"/>
    <w:lvl w:ilvl="0" w:tplc="10090005">
      <w:start w:val="1"/>
      <w:numFmt w:val="bullet"/>
      <w:lvlText w:val=""/>
      <w:lvlJc w:val="left"/>
      <w:pPr>
        <w:ind w:left="720" w:hanging="360"/>
      </w:pPr>
      <w:rPr>
        <w:rFonts w:ascii="Wingdings" w:hAnsi="Wingdings" w:hint="default"/>
      </w:rPr>
    </w:lvl>
    <w:lvl w:ilvl="1" w:tplc="10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5BD25E2C"/>
    <w:multiLevelType w:val="hybridMultilevel"/>
    <w:tmpl w:val="F67EC2D8"/>
    <w:lvl w:ilvl="0" w:tplc="10090005">
      <w:start w:val="1"/>
      <w:numFmt w:val="bullet"/>
      <w:lvlText w:val=""/>
      <w:lvlJc w:val="left"/>
      <w:pPr>
        <w:ind w:left="720" w:hanging="360"/>
      </w:pPr>
      <w:rPr>
        <w:rFonts w:ascii="Wingdings" w:hAnsi="Wingdings" w:hint="default"/>
      </w:rPr>
    </w:lvl>
    <w:lvl w:ilvl="1" w:tplc="7C82211A">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5C9C26DB"/>
    <w:multiLevelType w:val="hybridMultilevel"/>
    <w:tmpl w:val="A7B07C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62A35D80"/>
    <w:multiLevelType w:val="hybridMultilevel"/>
    <w:tmpl w:val="184C97F4"/>
    <w:lvl w:ilvl="0" w:tplc="CF2C8502">
      <w:start w:val="14"/>
      <w:numFmt w:val="bullet"/>
      <w:lvlText w:val="-"/>
      <w:lvlJc w:val="left"/>
      <w:pPr>
        <w:ind w:left="720" w:hanging="360"/>
      </w:pPr>
      <w:rPr>
        <w:rFonts w:ascii="Arial" w:eastAsia="Times New Roman" w:hAnsi="Arial" w:cs="Aria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66D84427"/>
    <w:multiLevelType w:val="hybridMultilevel"/>
    <w:tmpl w:val="807CBB5A"/>
    <w:lvl w:ilvl="0" w:tplc="3FAE77F8">
      <w:numFmt w:val="bullet"/>
      <w:lvlText w:val="•"/>
      <w:lvlJc w:val="left"/>
      <w:pPr>
        <w:ind w:left="720" w:hanging="360"/>
      </w:pPr>
      <w:rPr>
        <w:rFonts w:ascii="Segoe UI Semilight" w:eastAsiaTheme="minorHAnsi" w:hAnsi="Segoe UI Semilight" w:cs="Segoe UI Semilight"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6CBA6217"/>
    <w:multiLevelType w:val="hybridMultilevel"/>
    <w:tmpl w:val="EAC4FDE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25" w15:restartNumberingAfterBreak="0">
    <w:nsid w:val="6F53229E"/>
    <w:multiLevelType w:val="hybridMultilevel"/>
    <w:tmpl w:val="8320D2C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7276730E"/>
    <w:multiLevelType w:val="hybridMultilevel"/>
    <w:tmpl w:val="97562B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7B7A5927"/>
    <w:multiLevelType w:val="hybridMultilevel"/>
    <w:tmpl w:val="0B760E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7BB234F2"/>
    <w:multiLevelType w:val="hybridMultilevel"/>
    <w:tmpl w:val="C3B6B462"/>
    <w:lvl w:ilvl="0" w:tplc="CE5C5B68">
      <w:start w:val="1"/>
      <w:numFmt w:val="bullet"/>
      <w:lvlText w:val="•"/>
      <w:lvlJc w:val="left"/>
      <w:pPr>
        <w:ind w:left="720" w:hanging="360"/>
      </w:pPr>
      <w:rPr>
        <w:rFonts w:ascii="Arial" w:hAnsi="Aria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6"/>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12"/>
  </w:num>
  <w:num w:numId="7">
    <w:abstractNumId w:val="22"/>
  </w:num>
  <w:num w:numId="8">
    <w:abstractNumId w:val="17"/>
  </w:num>
  <w:num w:numId="9">
    <w:abstractNumId w:val="20"/>
  </w:num>
  <w:num w:numId="10">
    <w:abstractNumId w:val="0"/>
  </w:num>
  <w:num w:numId="11">
    <w:abstractNumId w:val="9"/>
  </w:num>
  <w:num w:numId="12">
    <w:abstractNumId w:val="21"/>
  </w:num>
  <w:num w:numId="13">
    <w:abstractNumId w:val="14"/>
  </w:num>
  <w:num w:numId="14">
    <w:abstractNumId w:val="8"/>
  </w:num>
  <w:num w:numId="15">
    <w:abstractNumId w:val="26"/>
  </w:num>
  <w:num w:numId="16">
    <w:abstractNumId w:val="6"/>
  </w:num>
  <w:num w:numId="17">
    <w:abstractNumId w:val="24"/>
  </w:num>
  <w:num w:numId="18">
    <w:abstractNumId w:val="25"/>
  </w:num>
  <w:num w:numId="19">
    <w:abstractNumId w:val="28"/>
  </w:num>
  <w:num w:numId="20">
    <w:abstractNumId w:val="18"/>
  </w:num>
  <w:num w:numId="21">
    <w:abstractNumId w:val="3"/>
  </w:num>
  <w:num w:numId="22">
    <w:abstractNumId w:val="27"/>
  </w:num>
  <w:num w:numId="23">
    <w:abstractNumId w:val="1"/>
  </w:num>
  <w:num w:numId="24">
    <w:abstractNumId w:val="11"/>
  </w:num>
  <w:num w:numId="25">
    <w:abstractNumId w:val="5"/>
  </w:num>
  <w:num w:numId="26">
    <w:abstractNumId w:val="10"/>
  </w:num>
  <w:num w:numId="27">
    <w:abstractNumId w:val="7"/>
  </w:num>
  <w:num w:numId="28">
    <w:abstractNumId w:val="19"/>
  </w:num>
  <w:num w:numId="29">
    <w:abstractNumId w:val="13"/>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3E7"/>
    <w:rsid w:val="00083392"/>
    <w:rsid w:val="00096C27"/>
    <w:rsid w:val="000A5CF9"/>
    <w:rsid w:val="000C6EA0"/>
    <w:rsid w:val="000E7BBB"/>
    <w:rsid w:val="00121FBB"/>
    <w:rsid w:val="00137FAC"/>
    <w:rsid w:val="0016520F"/>
    <w:rsid w:val="0018165A"/>
    <w:rsid w:val="001B2A9E"/>
    <w:rsid w:val="001D5C61"/>
    <w:rsid w:val="002025C2"/>
    <w:rsid w:val="00202D7A"/>
    <w:rsid w:val="00210749"/>
    <w:rsid w:val="00213C6B"/>
    <w:rsid w:val="00226CE5"/>
    <w:rsid w:val="002332A4"/>
    <w:rsid w:val="0023752A"/>
    <w:rsid w:val="00244CD0"/>
    <w:rsid w:val="00252389"/>
    <w:rsid w:val="002572F7"/>
    <w:rsid w:val="0028181A"/>
    <w:rsid w:val="00286237"/>
    <w:rsid w:val="002A0B4C"/>
    <w:rsid w:val="002A31E8"/>
    <w:rsid w:val="002A3872"/>
    <w:rsid w:val="002E1662"/>
    <w:rsid w:val="003222DC"/>
    <w:rsid w:val="00341DF4"/>
    <w:rsid w:val="0034722F"/>
    <w:rsid w:val="003A2C68"/>
    <w:rsid w:val="003B4548"/>
    <w:rsid w:val="003D27B7"/>
    <w:rsid w:val="003E52C8"/>
    <w:rsid w:val="003F05A9"/>
    <w:rsid w:val="00417F7B"/>
    <w:rsid w:val="00432BFE"/>
    <w:rsid w:val="00445ACF"/>
    <w:rsid w:val="00470075"/>
    <w:rsid w:val="004842D8"/>
    <w:rsid w:val="004A2301"/>
    <w:rsid w:val="004B1219"/>
    <w:rsid w:val="004C041B"/>
    <w:rsid w:val="004D1E63"/>
    <w:rsid w:val="004D3B3C"/>
    <w:rsid w:val="004E3F2A"/>
    <w:rsid w:val="004E5A9A"/>
    <w:rsid w:val="004F08F8"/>
    <w:rsid w:val="004F1CA9"/>
    <w:rsid w:val="004F6769"/>
    <w:rsid w:val="005059BA"/>
    <w:rsid w:val="0051354F"/>
    <w:rsid w:val="005147D9"/>
    <w:rsid w:val="0051557E"/>
    <w:rsid w:val="005201F9"/>
    <w:rsid w:val="00535B86"/>
    <w:rsid w:val="00536DE1"/>
    <w:rsid w:val="0055269F"/>
    <w:rsid w:val="00560AF2"/>
    <w:rsid w:val="005912FA"/>
    <w:rsid w:val="005A5B2E"/>
    <w:rsid w:val="005B3CCF"/>
    <w:rsid w:val="005C5A12"/>
    <w:rsid w:val="005E5636"/>
    <w:rsid w:val="006000FA"/>
    <w:rsid w:val="006125BD"/>
    <w:rsid w:val="00615A46"/>
    <w:rsid w:val="006410CF"/>
    <w:rsid w:val="0069270B"/>
    <w:rsid w:val="006A35E5"/>
    <w:rsid w:val="006B295F"/>
    <w:rsid w:val="006B7774"/>
    <w:rsid w:val="006D48CA"/>
    <w:rsid w:val="006F2F26"/>
    <w:rsid w:val="00724D09"/>
    <w:rsid w:val="007473E7"/>
    <w:rsid w:val="00777E1D"/>
    <w:rsid w:val="007A3337"/>
    <w:rsid w:val="007C64B6"/>
    <w:rsid w:val="007C6931"/>
    <w:rsid w:val="007E17D1"/>
    <w:rsid w:val="00805183"/>
    <w:rsid w:val="00814CDB"/>
    <w:rsid w:val="00817BAF"/>
    <w:rsid w:val="008224C5"/>
    <w:rsid w:val="00826856"/>
    <w:rsid w:val="008728F3"/>
    <w:rsid w:val="008854A8"/>
    <w:rsid w:val="00894CDB"/>
    <w:rsid w:val="008B6090"/>
    <w:rsid w:val="008E2C2C"/>
    <w:rsid w:val="00944E9A"/>
    <w:rsid w:val="009622D1"/>
    <w:rsid w:val="0096778C"/>
    <w:rsid w:val="0097115F"/>
    <w:rsid w:val="009766CE"/>
    <w:rsid w:val="00985A43"/>
    <w:rsid w:val="009928F4"/>
    <w:rsid w:val="00997D3F"/>
    <w:rsid w:val="009E20C4"/>
    <w:rsid w:val="00A3677B"/>
    <w:rsid w:val="00A77330"/>
    <w:rsid w:val="00A9592F"/>
    <w:rsid w:val="00AB429D"/>
    <w:rsid w:val="00AD6F6A"/>
    <w:rsid w:val="00B10B26"/>
    <w:rsid w:val="00B1311D"/>
    <w:rsid w:val="00B41DDE"/>
    <w:rsid w:val="00B45910"/>
    <w:rsid w:val="00B678EC"/>
    <w:rsid w:val="00B76D58"/>
    <w:rsid w:val="00B91BB6"/>
    <w:rsid w:val="00B96152"/>
    <w:rsid w:val="00BA22C9"/>
    <w:rsid w:val="00BA3ED5"/>
    <w:rsid w:val="00BA73F1"/>
    <w:rsid w:val="00BB2879"/>
    <w:rsid w:val="00BE3A12"/>
    <w:rsid w:val="00BF26F9"/>
    <w:rsid w:val="00C16A08"/>
    <w:rsid w:val="00C558E2"/>
    <w:rsid w:val="00C562F1"/>
    <w:rsid w:val="00C731E3"/>
    <w:rsid w:val="00C830B4"/>
    <w:rsid w:val="00C869C6"/>
    <w:rsid w:val="00C87939"/>
    <w:rsid w:val="00CB6909"/>
    <w:rsid w:val="00CB79AD"/>
    <w:rsid w:val="00CE34D8"/>
    <w:rsid w:val="00CE638C"/>
    <w:rsid w:val="00D06B21"/>
    <w:rsid w:val="00D23700"/>
    <w:rsid w:val="00D3600A"/>
    <w:rsid w:val="00D375D0"/>
    <w:rsid w:val="00D4107E"/>
    <w:rsid w:val="00D636C9"/>
    <w:rsid w:val="00D81E08"/>
    <w:rsid w:val="00DB77DB"/>
    <w:rsid w:val="00DE6AF4"/>
    <w:rsid w:val="00DF4FAB"/>
    <w:rsid w:val="00DF5015"/>
    <w:rsid w:val="00E15658"/>
    <w:rsid w:val="00E26BA2"/>
    <w:rsid w:val="00E508E2"/>
    <w:rsid w:val="00E628AA"/>
    <w:rsid w:val="00E64FF2"/>
    <w:rsid w:val="00E92521"/>
    <w:rsid w:val="00EC36BA"/>
    <w:rsid w:val="00ED2548"/>
    <w:rsid w:val="00ED7F0A"/>
    <w:rsid w:val="00F31B0F"/>
    <w:rsid w:val="00F526A2"/>
    <w:rsid w:val="00F60B33"/>
    <w:rsid w:val="00F8478B"/>
    <w:rsid w:val="00FF1E1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AEB906A"/>
  <w15:chartTrackingRefBased/>
  <w15:docId w15:val="{B0A01D3A-5835-419F-9216-BE3AC9E4D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73E7"/>
    <w:pPr>
      <w:spacing w:after="0" w:line="240" w:lineRule="auto"/>
    </w:pPr>
    <w:rPr>
      <w:rFonts w:ascii="Times New Roman" w:eastAsia="Times New Roman" w:hAnsi="Times New Roman" w:cs="Times New Roman"/>
      <w:sz w:val="24"/>
      <w:szCs w:val="20"/>
      <w:lang w:val="en-US"/>
    </w:rPr>
  </w:style>
  <w:style w:type="paragraph" w:styleId="Titre1">
    <w:name w:val="heading 1"/>
    <w:basedOn w:val="Normal"/>
    <w:next w:val="Normal"/>
    <w:link w:val="Titre1Car"/>
    <w:uiPriority w:val="9"/>
    <w:qFormat/>
    <w:rsid w:val="00210749"/>
    <w:pPr>
      <w:keepNext/>
      <w:spacing w:before="240"/>
      <w:outlineLvl w:val="0"/>
    </w:pPr>
    <w:rPr>
      <w:rFonts w:asciiTheme="majorHAnsi" w:eastAsiaTheme="majorEastAsia" w:hAnsiTheme="majorHAnsi" w:cstheme="majorBidi"/>
      <w:sz w:val="48"/>
      <w:szCs w:val="48"/>
    </w:rPr>
  </w:style>
  <w:style w:type="paragraph" w:styleId="Titre2">
    <w:name w:val="heading 2"/>
    <w:basedOn w:val="Normal"/>
    <w:next w:val="Normal"/>
    <w:link w:val="Titre2Car"/>
    <w:uiPriority w:val="9"/>
    <w:unhideWhenUsed/>
    <w:qFormat/>
    <w:rsid w:val="00210749"/>
    <w:pPr>
      <w:keepNext/>
      <w:spacing w:before="40"/>
      <w:outlineLvl w:val="1"/>
    </w:pPr>
    <w:rPr>
      <w:rFonts w:ascii="Segoe UI" w:eastAsiaTheme="majorEastAsia" w:hAnsi="Segoe UI" w:cs="Segoe UI"/>
      <w:b/>
      <w:color w:val="5B315E" w:themeColor="accent2"/>
      <w:sz w:val="32"/>
      <w:szCs w:val="32"/>
    </w:rPr>
  </w:style>
  <w:style w:type="paragraph" w:styleId="Titre3">
    <w:name w:val="heading 3"/>
    <w:basedOn w:val="Normal"/>
    <w:next w:val="Normal"/>
    <w:link w:val="Titre3Car"/>
    <w:uiPriority w:val="9"/>
    <w:unhideWhenUsed/>
    <w:qFormat/>
    <w:rsid w:val="00210749"/>
    <w:pPr>
      <w:keepNext/>
      <w:spacing w:before="40"/>
      <w:outlineLvl w:val="2"/>
    </w:pPr>
    <w:rPr>
      <w:rFonts w:ascii="Segoe UI Semibold" w:eastAsiaTheme="majorEastAsia" w:hAnsi="Segoe UI Semibold" w:cs="Segoe UI Semibold"/>
      <w:szCs w:val="24"/>
    </w:rPr>
  </w:style>
  <w:style w:type="paragraph" w:styleId="Titre4">
    <w:name w:val="heading 4"/>
    <w:basedOn w:val="Normal"/>
    <w:next w:val="Normal"/>
    <w:link w:val="Titre4Car"/>
    <w:uiPriority w:val="9"/>
    <w:unhideWhenUsed/>
    <w:qFormat/>
    <w:rsid w:val="00210749"/>
    <w:pPr>
      <w:keepNext/>
      <w:spacing w:before="40"/>
      <w:outlineLvl w:val="3"/>
    </w:pPr>
    <w:rPr>
      <w:rFonts w:asciiTheme="majorHAnsi" w:eastAsiaTheme="majorEastAsia" w:hAnsiTheme="majorHAnsi" w:cstheme="majorBidi"/>
      <w:iCs/>
      <w:color w:val="54575A" w:themeColor="text2"/>
    </w:rPr>
  </w:style>
  <w:style w:type="paragraph" w:styleId="Titre5">
    <w:name w:val="heading 5"/>
    <w:basedOn w:val="Normal"/>
    <w:next w:val="Normal"/>
    <w:link w:val="Titre5Car"/>
    <w:uiPriority w:val="9"/>
    <w:unhideWhenUsed/>
    <w:qFormat/>
    <w:rsid w:val="00210749"/>
    <w:pPr>
      <w:keepNext/>
      <w:spacing w:before="40"/>
      <w:outlineLvl w:val="4"/>
    </w:pPr>
    <w:rPr>
      <w:rFonts w:asciiTheme="majorHAnsi" w:eastAsiaTheme="majorEastAsia" w:hAnsiTheme="majorHAnsi" w:cstheme="majorBidi"/>
      <w:color w:val="9F0040"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10749"/>
    <w:pPr>
      <w:tabs>
        <w:tab w:val="center" w:pos="4680"/>
        <w:tab w:val="right" w:pos="9360"/>
      </w:tabs>
    </w:pPr>
  </w:style>
  <w:style w:type="character" w:customStyle="1" w:styleId="En-tteCar">
    <w:name w:val="En-tête Car"/>
    <w:basedOn w:val="Policepardfaut"/>
    <w:link w:val="En-tte"/>
    <w:uiPriority w:val="99"/>
    <w:rsid w:val="00210749"/>
    <w:rPr>
      <w:color w:val="54575A" w:themeColor="text1"/>
      <w:lang w:val="fr-CA"/>
    </w:rPr>
  </w:style>
  <w:style w:type="paragraph" w:styleId="Pieddepage">
    <w:name w:val="footer"/>
    <w:basedOn w:val="Normal"/>
    <w:link w:val="PieddepageCar"/>
    <w:uiPriority w:val="99"/>
    <w:unhideWhenUsed/>
    <w:rsid w:val="00210749"/>
    <w:pPr>
      <w:tabs>
        <w:tab w:val="center" w:pos="4680"/>
        <w:tab w:val="right" w:pos="9360"/>
      </w:tabs>
    </w:pPr>
  </w:style>
  <w:style w:type="character" w:customStyle="1" w:styleId="PieddepageCar">
    <w:name w:val="Pied de page Car"/>
    <w:basedOn w:val="Policepardfaut"/>
    <w:link w:val="Pieddepage"/>
    <w:uiPriority w:val="99"/>
    <w:rsid w:val="00210749"/>
    <w:rPr>
      <w:color w:val="54575A" w:themeColor="text1"/>
      <w:lang w:val="fr-CA"/>
    </w:rPr>
  </w:style>
  <w:style w:type="paragraph" w:styleId="Textedebulles">
    <w:name w:val="Balloon Text"/>
    <w:basedOn w:val="Normal"/>
    <w:link w:val="TextedebullesCar"/>
    <w:uiPriority w:val="99"/>
    <w:semiHidden/>
    <w:unhideWhenUsed/>
    <w:rsid w:val="00210749"/>
    <w:rPr>
      <w:rFonts w:ascii="Segoe UI" w:hAnsi="Segoe UI" w:cs="Segoe UI"/>
      <w:sz w:val="18"/>
      <w:szCs w:val="18"/>
    </w:rPr>
  </w:style>
  <w:style w:type="character" w:customStyle="1" w:styleId="TextedebullesCar">
    <w:name w:val="Texte de bulles Car"/>
    <w:basedOn w:val="Policepardfaut"/>
    <w:link w:val="Textedebulles"/>
    <w:uiPriority w:val="99"/>
    <w:semiHidden/>
    <w:rsid w:val="00210749"/>
    <w:rPr>
      <w:rFonts w:ascii="Segoe UI" w:hAnsi="Segoe UI" w:cs="Segoe UI"/>
      <w:color w:val="54575A" w:themeColor="text1"/>
      <w:sz w:val="18"/>
      <w:szCs w:val="18"/>
      <w:lang w:val="fr-CA"/>
    </w:rPr>
  </w:style>
  <w:style w:type="paragraph" w:customStyle="1" w:styleId="ColumnTitle">
    <w:name w:val="Column Title"/>
    <w:basedOn w:val="Normal"/>
    <w:qFormat/>
    <w:rsid w:val="00210749"/>
    <w:rPr>
      <w:rFonts w:ascii="Segoe UI Semibold" w:hAnsi="Segoe UI Semibold" w:cs="Segoe UI Semibold"/>
      <w:color w:val="F2F2F2" w:themeColor="background2"/>
      <w:szCs w:val="24"/>
    </w:rPr>
  </w:style>
  <w:style w:type="paragraph" w:customStyle="1" w:styleId="DataText">
    <w:name w:val="Data Text"/>
    <w:basedOn w:val="Normal"/>
    <w:qFormat/>
    <w:rsid w:val="00210749"/>
  </w:style>
  <w:style w:type="character" w:styleId="Appelnotedebasdep">
    <w:name w:val="footnote reference"/>
    <w:basedOn w:val="Policepardfaut"/>
    <w:uiPriority w:val="99"/>
    <w:semiHidden/>
    <w:unhideWhenUsed/>
    <w:rsid w:val="00210749"/>
    <w:rPr>
      <w:vertAlign w:val="superscript"/>
    </w:rPr>
  </w:style>
  <w:style w:type="paragraph" w:styleId="Notedebasdepage">
    <w:name w:val="footnote text"/>
    <w:basedOn w:val="Normal"/>
    <w:link w:val="NotedebasdepageCar"/>
    <w:uiPriority w:val="99"/>
    <w:unhideWhenUsed/>
    <w:rsid w:val="00210749"/>
    <w:rPr>
      <w:sz w:val="20"/>
    </w:rPr>
  </w:style>
  <w:style w:type="character" w:customStyle="1" w:styleId="NotedebasdepageCar">
    <w:name w:val="Note de bas de page Car"/>
    <w:basedOn w:val="Policepardfaut"/>
    <w:link w:val="Notedebasdepage"/>
    <w:uiPriority w:val="99"/>
    <w:rsid w:val="00210749"/>
    <w:rPr>
      <w:color w:val="54575A" w:themeColor="text1"/>
      <w:sz w:val="20"/>
      <w:szCs w:val="20"/>
      <w:lang w:val="fr-CA"/>
    </w:rPr>
  </w:style>
  <w:style w:type="character" w:customStyle="1" w:styleId="Titre1Car">
    <w:name w:val="Titre 1 Car"/>
    <w:basedOn w:val="Policepardfaut"/>
    <w:link w:val="Titre1"/>
    <w:uiPriority w:val="9"/>
    <w:rsid w:val="00210749"/>
    <w:rPr>
      <w:rFonts w:asciiTheme="majorHAnsi" w:eastAsiaTheme="majorEastAsia" w:hAnsiTheme="majorHAnsi" w:cstheme="majorBidi"/>
      <w:color w:val="54575A" w:themeColor="text1"/>
      <w:sz w:val="48"/>
      <w:szCs w:val="48"/>
      <w:lang w:val="fr-CA"/>
    </w:rPr>
  </w:style>
  <w:style w:type="character" w:customStyle="1" w:styleId="Titre2Car">
    <w:name w:val="Titre 2 Car"/>
    <w:basedOn w:val="Policepardfaut"/>
    <w:link w:val="Titre2"/>
    <w:uiPriority w:val="9"/>
    <w:rsid w:val="00210749"/>
    <w:rPr>
      <w:rFonts w:ascii="Segoe UI" w:eastAsiaTheme="majorEastAsia" w:hAnsi="Segoe UI" w:cs="Segoe UI"/>
      <w:b/>
      <w:color w:val="5B315E" w:themeColor="accent2"/>
      <w:sz w:val="32"/>
      <w:szCs w:val="32"/>
      <w:lang w:val="fr-CA"/>
    </w:rPr>
  </w:style>
  <w:style w:type="character" w:customStyle="1" w:styleId="Titre3Car">
    <w:name w:val="Titre 3 Car"/>
    <w:basedOn w:val="Policepardfaut"/>
    <w:link w:val="Titre3"/>
    <w:uiPriority w:val="9"/>
    <w:rsid w:val="00210749"/>
    <w:rPr>
      <w:rFonts w:ascii="Segoe UI Semibold" w:eastAsiaTheme="majorEastAsia" w:hAnsi="Segoe UI Semibold" w:cs="Segoe UI Semibold"/>
      <w:color w:val="54575A" w:themeColor="text1"/>
      <w:sz w:val="24"/>
      <w:szCs w:val="24"/>
      <w:lang w:val="fr-CA"/>
    </w:rPr>
  </w:style>
  <w:style w:type="paragraph" w:customStyle="1" w:styleId="Heading3forBox">
    <w:name w:val="Heading 3 for Box"/>
    <w:basedOn w:val="Normal"/>
    <w:qFormat/>
    <w:rsid w:val="00210749"/>
    <w:rPr>
      <w:rFonts w:ascii="Segoe UI Semibold" w:eastAsiaTheme="majorEastAsia" w:hAnsi="Segoe UI Semibold" w:cs="Segoe UI Semibold"/>
      <w:color w:val="FFFFFF" w:themeColor="background1"/>
      <w:szCs w:val="24"/>
    </w:rPr>
  </w:style>
  <w:style w:type="character" w:customStyle="1" w:styleId="Titre4Car">
    <w:name w:val="Titre 4 Car"/>
    <w:basedOn w:val="Policepardfaut"/>
    <w:link w:val="Titre4"/>
    <w:uiPriority w:val="9"/>
    <w:rsid w:val="00210749"/>
    <w:rPr>
      <w:rFonts w:asciiTheme="majorHAnsi" w:eastAsiaTheme="majorEastAsia" w:hAnsiTheme="majorHAnsi" w:cstheme="majorBidi"/>
      <w:iCs/>
      <w:color w:val="54575A" w:themeColor="text2"/>
      <w:lang w:val="fr-CA"/>
    </w:rPr>
  </w:style>
  <w:style w:type="character" w:customStyle="1" w:styleId="Titre5Car">
    <w:name w:val="Titre 5 Car"/>
    <w:basedOn w:val="Policepardfaut"/>
    <w:link w:val="Titre5"/>
    <w:uiPriority w:val="9"/>
    <w:rsid w:val="00210749"/>
    <w:rPr>
      <w:rFonts w:asciiTheme="majorHAnsi" w:eastAsiaTheme="majorEastAsia" w:hAnsiTheme="majorHAnsi" w:cstheme="majorBidi"/>
      <w:color w:val="9F0040" w:themeColor="accent1" w:themeShade="BF"/>
      <w:lang w:val="fr-CA"/>
    </w:rPr>
  </w:style>
  <w:style w:type="paragraph" w:styleId="Paragraphedeliste">
    <w:name w:val="List Paragraph"/>
    <w:basedOn w:val="Normal"/>
    <w:uiPriority w:val="34"/>
    <w:qFormat/>
    <w:rsid w:val="00210749"/>
    <w:pPr>
      <w:spacing w:after="320"/>
      <w:contextualSpacing/>
    </w:pPr>
  </w:style>
  <w:style w:type="paragraph" w:customStyle="1" w:styleId="NormalWhiteforBox">
    <w:name w:val="Normal White for Box"/>
    <w:basedOn w:val="Normal"/>
    <w:qFormat/>
    <w:rsid w:val="00210749"/>
  </w:style>
  <w:style w:type="paragraph" w:customStyle="1" w:styleId="Numberedlist">
    <w:name w:val="Numbered list"/>
    <w:basedOn w:val="Paragraphedeliste"/>
    <w:qFormat/>
    <w:rsid w:val="00210749"/>
  </w:style>
  <w:style w:type="paragraph" w:styleId="Sous-titre">
    <w:name w:val="Subtitle"/>
    <w:basedOn w:val="Normal"/>
    <w:next w:val="Normal"/>
    <w:link w:val="Sous-titreCar"/>
    <w:uiPriority w:val="11"/>
    <w:qFormat/>
    <w:rsid w:val="00210749"/>
    <w:rPr>
      <w:rFonts w:ascii="Segoe UI Light" w:hAnsi="Segoe UI Light" w:cs="Segoe UI Light"/>
      <w:sz w:val="36"/>
      <w:szCs w:val="36"/>
    </w:rPr>
  </w:style>
  <w:style w:type="character" w:customStyle="1" w:styleId="Sous-titreCar">
    <w:name w:val="Sous-titre Car"/>
    <w:basedOn w:val="Policepardfaut"/>
    <w:link w:val="Sous-titre"/>
    <w:uiPriority w:val="11"/>
    <w:rsid w:val="00210749"/>
    <w:rPr>
      <w:rFonts w:ascii="Segoe UI Light" w:hAnsi="Segoe UI Light" w:cs="Segoe UI Light"/>
      <w:color w:val="54575A" w:themeColor="text1"/>
      <w:sz w:val="36"/>
      <w:szCs w:val="36"/>
      <w:lang w:val="fr-CA"/>
    </w:rPr>
  </w:style>
  <w:style w:type="table" w:styleId="Grilledutableau">
    <w:name w:val="Table Grid"/>
    <w:basedOn w:val="TableauNormal"/>
    <w:uiPriority w:val="39"/>
    <w:rsid w:val="002107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Titre2"/>
    <w:qFormat/>
    <w:rsid w:val="00210749"/>
    <w:rPr>
      <w:rFonts w:ascii="Segoe UI Semibold" w:hAnsi="Segoe UI Semibold"/>
      <w:b w:val="0"/>
      <w:color w:val="54575A" w:themeColor="text1"/>
    </w:rPr>
  </w:style>
  <w:style w:type="paragraph" w:styleId="Titre">
    <w:name w:val="Title"/>
    <w:basedOn w:val="Normal"/>
    <w:next w:val="Normal"/>
    <w:link w:val="TitreCar"/>
    <w:autoRedefine/>
    <w:uiPriority w:val="10"/>
    <w:qFormat/>
    <w:rsid w:val="007473E7"/>
    <w:pPr>
      <w:contextualSpacing/>
      <w:jc w:val="center"/>
    </w:pPr>
    <w:rPr>
      <w:rFonts w:ascii="Segoe UI Light" w:eastAsiaTheme="majorEastAsia" w:hAnsi="Segoe UI Light" w:cs="Segoe UI Light"/>
      <w:spacing w:val="-10"/>
      <w:kern w:val="28"/>
      <w:sz w:val="52"/>
      <w:szCs w:val="52"/>
    </w:rPr>
  </w:style>
  <w:style w:type="character" w:customStyle="1" w:styleId="TitreCar">
    <w:name w:val="Titre Car"/>
    <w:basedOn w:val="Policepardfaut"/>
    <w:link w:val="Titre"/>
    <w:uiPriority w:val="10"/>
    <w:rsid w:val="007473E7"/>
    <w:rPr>
      <w:rFonts w:ascii="Segoe UI Light" w:eastAsiaTheme="majorEastAsia" w:hAnsi="Segoe UI Light" w:cs="Segoe UI Light"/>
      <w:spacing w:val="-10"/>
      <w:kern w:val="28"/>
      <w:sz w:val="52"/>
      <w:szCs w:val="52"/>
      <w:lang w:val="en-US"/>
    </w:rPr>
  </w:style>
  <w:style w:type="paragraph" w:styleId="NormalWeb">
    <w:name w:val="Normal (Web)"/>
    <w:basedOn w:val="Normal"/>
    <w:uiPriority w:val="99"/>
    <w:unhideWhenUsed/>
    <w:rsid w:val="007473E7"/>
    <w:pPr>
      <w:spacing w:before="100" w:beforeAutospacing="1" w:after="100" w:afterAutospacing="1"/>
    </w:pPr>
    <w:rPr>
      <w:rFonts w:ascii="Verdana" w:hAnsi="Verdana"/>
      <w:szCs w:val="24"/>
    </w:rPr>
  </w:style>
  <w:style w:type="paragraph" w:customStyle="1" w:styleId="Level1">
    <w:name w:val="Level 1"/>
    <w:basedOn w:val="Normal"/>
    <w:uiPriority w:val="99"/>
    <w:rsid w:val="007473E7"/>
    <w:pPr>
      <w:widowControl w:val="0"/>
    </w:pPr>
  </w:style>
  <w:style w:type="character" w:styleId="Lienhypertexte">
    <w:name w:val="Hyperlink"/>
    <w:uiPriority w:val="99"/>
    <w:unhideWhenUsed/>
    <w:rsid w:val="007473E7"/>
    <w:rPr>
      <w:color w:val="0563C1"/>
      <w:u w:val="single"/>
    </w:rPr>
  </w:style>
  <w:style w:type="paragraph" w:styleId="Sansinterligne">
    <w:name w:val="No Spacing"/>
    <w:uiPriority w:val="1"/>
    <w:qFormat/>
    <w:rsid w:val="007473E7"/>
    <w:pPr>
      <w:spacing w:after="0" w:line="240" w:lineRule="auto"/>
    </w:pPr>
    <w:rPr>
      <w:rFonts w:ascii="Times New Roman" w:eastAsia="Times New Roman" w:hAnsi="Times New Roman" w:cs="Times New Roman"/>
      <w:sz w:val="24"/>
      <w:szCs w:val="20"/>
      <w:lang w:val="en-US"/>
    </w:rPr>
  </w:style>
  <w:style w:type="paragraph" w:customStyle="1" w:styleId="Style1">
    <w:name w:val="Style1"/>
    <w:basedOn w:val="Normal"/>
    <w:link w:val="Style1Char"/>
    <w:qFormat/>
    <w:rsid w:val="007473E7"/>
    <w:pPr>
      <w:pBdr>
        <w:bottom w:val="single" w:sz="4" w:space="1" w:color="92D050"/>
      </w:pBdr>
      <w:autoSpaceDE w:val="0"/>
      <w:autoSpaceDN w:val="0"/>
      <w:adjustRightInd w:val="0"/>
      <w:ind w:right="50"/>
    </w:pPr>
    <w:rPr>
      <w:rFonts w:ascii="Arial" w:hAnsi="Arial" w:cs="Arial"/>
      <w:b/>
      <w:caps/>
      <w:color w:val="92D050"/>
      <w:sz w:val="22"/>
      <w:szCs w:val="22"/>
      <w:lang w:val="en-CA"/>
    </w:rPr>
  </w:style>
  <w:style w:type="character" w:customStyle="1" w:styleId="Style1Char">
    <w:name w:val="Style1 Char"/>
    <w:basedOn w:val="Policepardfaut"/>
    <w:link w:val="Style1"/>
    <w:rsid w:val="007473E7"/>
    <w:rPr>
      <w:rFonts w:ascii="Arial" w:eastAsia="Times New Roman" w:hAnsi="Arial" w:cs="Arial"/>
      <w:b/>
      <w:caps/>
      <w:color w:val="92D050"/>
    </w:rPr>
  </w:style>
  <w:style w:type="paragraph" w:customStyle="1" w:styleId="Style6">
    <w:name w:val="Style6"/>
    <w:basedOn w:val="Normal"/>
    <w:link w:val="Style6Char"/>
    <w:qFormat/>
    <w:rsid w:val="007473E7"/>
    <w:pPr>
      <w:jc w:val="center"/>
    </w:pPr>
    <w:rPr>
      <w:rFonts w:ascii="Arial" w:hAnsi="Arial" w:cs="Arial"/>
      <w:b/>
      <w:color w:val="009999"/>
      <w:szCs w:val="24"/>
    </w:rPr>
  </w:style>
  <w:style w:type="paragraph" w:customStyle="1" w:styleId="Style7">
    <w:name w:val="Style7"/>
    <w:basedOn w:val="Normal"/>
    <w:link w:val="Style7Char"/>
    <w:qFormat/>
    <w:rsid w:val="007473E7"/>
    <w:pPr>
      <w:jc w:val="center"/>
    </w:pPr>
    <w:rPr>
      <w:rFonts w:ascii="Arial" w:hAnsi="Arial" w:cs="Arial"/>
      <w:color w:val="009999"/>
      <w:sz w:val="22"/>
      <w:szCs w:val="32"/>
    </w:rPr>
  </w:style>
  <w:style w:type="character" w:customStyle="1" w:styleId="Style6Char">
    <w:name w:val="Style6 Char"/>
    <w:basedOn w:val="Policepardfaut"/>
    <w:link w:val="Style6"/>
    <w:rsid w:val="007473E7"/>
    <w:rPr>
      <w:rFonts w:ascii="Arial" w:eastAsia="Times New Roman" w:hAnsi="Arial" w:cs="Arial"/>
      <w:b/>
      <w:color w:val="009999"/>
      <w:sz w:val="24"/>
      <w:szCs w:val="24"/>
      <w:lang w:val="en-US"/>
    </w:rPr>
  </w:style>
  <w:style w:type="paragraph" w:customStyle="1" w:styleId="Style8">
    <w:name w:val="Style8"/>
    <w:basedOn w:val="Normal"/>
    <w:link w:val="Style8Char"/>
    <w:qFormat/>
    <w:rsid w:val="007473E7"/>
    <w:rPr>
      <w:rFonts w:ascii="Arial" w:hAnsi="Arial" w:cs="Arial"/>
      <w:color w:val="767171"/>
      <w:sz w:val="16"/>
      <w:szCs w:val="22"/>
      <w:lang w:val="en-CA"/>
    </w:rPr>
  </w:style>
  <w:style w:type="character" w:customStyle="1" w:styleId="Style7Char">
    <w:name w:val="Style7 Char"/>
    <w:basedOn w:val="Policepardfaut"/>
    <w:link w:val="Style7"/>
    <w:rsid w:val="007473E7"/>
    <w:rPr>
      <w:rFonts w:ascii="Arial" w:eastAsia="Times New Roman" w:hAnsi="Arial" w:cs="Arial"/>
      <w:color w:val="009999"/>
      <w:szCs w:val="32"/>
      <w:lang w:val="en-US"/>
    </w:rPr>
  </w:style>
  <w:style w:type="character" w:customStyle="1" w:styleId="Style8Char">
    <w:name w:val="Style8 Char"/>
    <w:basedOn w:val="Policepardfaut"/>
    <w:link w:val="Style8"/>
    <w:rsid w:val="007473E7"/>
    <w:rPr>
      <w:rFonts w:ascii="Arial" w:eastAsia="Times New Roman" w:hAnsi="Arial" w:cs="Arial"/>
      <w:color w:val="767171"/>
      <w:sz w:val="16"/>
    </w:rPr>
  </w:style>
  <w:style w:type="character" w:styleId="lev">
    <w:name w:val="Strong"/>
    <w:basedOn w:val="Policepardfaut"/>
    <w:uiPriority w:val="22"/>
    <w:qFormat/>
    <w:rsid w:val="00C87939"/>
    <w:rPr>
      <w:b/>
      <w:bCs/>
    </w:rPr>
  </w:style>
  <w:style w:type="character" w:styleId="Lienhypertextesuivivisit">
    <w:name w:val="FollowedHyperlink"/>
    <w:basedOn w:val="Policepardfaut"/>
    <w:uiPriority w:val="99"/>
    <w:semiHidden/>
    <w:unhideWhenUsed/>
    <w:rsid w:val="0034722F"/>
    <w:rPr>
      <w:color w:val="A5A5A5" w:themeColor="followedHyperlink"/>
      <w:u w:val="single"/>
    </w:rPr>
  </w:style>
  <w:style w:type="table" w:styleId="TableauGrille1Clair">
    <w:name w:val="Grid Table 1 Light"/>
    <w:basedOn w:val="TableauNormal"/>
    <w:uiPriority w:val="46"/>
    <w:rsid w:val="00BF26F9"/>
    <w:pPr>
      <w:spacing w:after="0" w:line="240" w:lineRule="auto"/>
    </w:pPr>
    <w:tblPr>
      <w:tblStyleRowBandSize w:val="1"/>
      <w:tblStyleColBandSize w:val="1"/>
      <w:tblBorders>
        <w:top w:val="single" w:sz="4" w:space="0" w:color="B9BBBE" w:themeColor="text1" w:themeTint="66"/>
        <w:left w:val="single" w:sz="4" w:space="0" w:color="B9BBBE" w:themeColor="text1" w:themeTint="66"/>
        <w:bottom w:val="single" w:sz="4" w:space="0" w:color="B9BBBE" w:themeColor="text1" w:themeTint="66"/>
        <w:right w:val="single" w:sz="4" w:space="0" w:color="B9BBBE" w:themeColor="text1" w:themeTint="66"/>
        <w:insideH w:val="single" w:sz="4" w:space="0" w:color="B9BBBE" w:themeColor="text1" w:themeTint="66"/>
        <w:insideV w:val="single" w:sz="4" w:space="0" w:color="B9BBBE" w:themeColor="text1" w:themeTint="66"/>
      </w:tblBorders>
    </w:tblPr>
    <w:tblStylePr w:type="firstRow">
      <w:rPr>
        <w:b/>
        <w:bCs/>
      </w:rPr>
      <w:tblPr/>
      <w:tcPr>
        <w:tcBorders>
          <w:bottom w:val="single" w:sz="12" w:space="0" w:color="969A9D" w:themeColor="text1" w:themeTint="99"/>
        </w:tcBorders>
      </w:tcPr>
    </w:tblStylePr>
    <w:tblStylePr w:type="lastRow">
      <w:rPr>
        <w:b/>
        <w:bCs/>
      </w:rPr>
      <w:tblPr/>
      <w:tcPr>
        <w:tcBorders>
          <w:top w:val="double" w:sz="2" w:space="0" w:color="969A9D" w:themeColor="text1" w:themeTint="99"/>
        </w:tcBorders>
      </w:tcPr>
    </w:tblStylePr>
    <w:tblStylePr w:type="firstCol">
      <w:rPr>
        <w:b/>
        <w:bCs/>
      </w:rPr>
    </w:tblStylePr>
    <w:tblStylePr w:type="lastCol">
      <w:rPr>
        <w:b/>
        <w:bCs/>
      </w:rPr>
    </w:tblStylePr>
  </w:style>
  <w:style w:type="character" w:styleId="Marquedecommentaire">
    <w:name w:val="annotation reference"/>
    <w:basedOn w:val="Policepardfaut"/>
    <w:uiPriority w:val="99"/>
    <w:semiHidden/>
    <w:unhideWhenUsed/>
    <w:rsid w:val="006F2F26"/>
    <w:rPr>
      <w:sz w:val="16"/>
      <w:szCs w:val="16"/>
    </w:rPr>
  </w:style>
  <w:style w:type="paragraph" w:styleId="Commentaire">
    <w:name w:val="annotation text"/>
    <w:basedOn w:val="Normal"/>
    <w:link w:val="CommentaireCar"/>
    <w:uiPriority w:val="99"/>
    <w:semiHidden/>
    <w:unhideWhenUsed/>
    <w:rsid w:val="006F2F26"/>
    <w:rPr>
      <w:sz w:val="20"/>
    </w:rPr>
  </w:style>
  <w:style w:type="character" w:customStyle="1" w:styleId="CommentaireCar">
    <w:name w:val="Commentaire Car"/>
    <w:basedOn w:val="Policepardfaut"/>
    <w:link w:val="Commentaire"/>
    <w:uiPriority w:val="99"/>
    <w:semiHidden/>
    <w:rsid w:val="006F2F26"/>
    <w:rPr>
      <w:rFonts w:ascii="Times New Roman" w:eastAsia="Times New Roman" w:hAnsi="Times New Roman" w:cs="Times New Roman"/>
      <w:sz w:val="20"/>
      <w:szCs w:val="20"/>
      <w:lang w:val="en-US"/>
    </w:rPr>
  </w:style>
  <w:style w:type="paragraph" w:styleId="Objetducommentaire">
    <w:name w:val="annotation subject"/>
    <w:basedOn w:val="Commentaire"/>
    <w:next w:val="Commentaire"/>
    <w:link w:val="ObjetducommentaireCar"/>
    <w:uiPriority w:val="99"/>
    <w:semiHidden/>
    <w:unhideWhenUsed/>
    <w:rsid w:val="006F2F26"/>
    <w:rPr>
      <w:b/>
      <w:bCs/>
    </w:rPr>
  </w:style>
  <w:style w:type="character" w:customStyle="1" w:styleId="ObjetducommentaireCar">
    <w:name w:val="Objet du commentaire Car"/>
    <w:basedOn w:val="CommentaireCar"/>
    <w:link w:val="Objetducommentaire"/>
    <w:uiPriority w:val="99"/>
    <w:semiHidden/>
    <w:rsid w:val="006F2F26"/>
    <w:rPr>
      <w:rFonts w:ascii="Times New Roman" w:eastAsia="Times New Roman" w:hAnsi="Times New Roman" w:cs="Times New Roman"/>
      <w:b/>
      <w:bCs/>
      <w:sz w:val="20"/>
      <w:szCs w:val="20"/>
      <w:lang w:val="en-US"/>
    </w:rPr>
  </w:style>
  <w:style w:type="paragraph" w:styleId="Lgende">
    <w:name w:val="caption"/>
    <w:basedOn w:val="Normal"/>
    <w:next w:val="Normal"/>
    <w:uiPriority w:val="35"/>
    <w:unhideWhenUsed/>
    <w:qFormat/>
    <w:rsid w:val="00560AF2"/>
    <w:rPr>
      <w:rFonts w:asciiTheme="minorHAnsi" w:hAnsiTheme="minorHAnsi"/>
      <w:iCs/>
      <w:sz w:val="18"/>
      <w:szCs w:val="18"/>
    </w:rPr>
  </w:style>
  <w:style w:type="character" w:styleId="Accentuation">
    <w:name w:val="Emphasis"/>
    <w:basedOn w:val="Policepardfaut"/>
    <w:uiPriority w:val="20"/>
    <w:qFormat/>
    <w:rsid w:val="00DB77DB"/>
    <w:rPr>
      <w:rFonts w:asciiTheme="minorHAnsi" w:hAnsiTheme="minorHAnsi"/>
      <w:i/>
      <w:i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641831">
      <w:bodyDiv w:val="1"/>
      <w:marLeft w:val="0"/>
      <w:marRight w:val="0"/>
      <w:marTop w:val="0"/>
      <w:marBottom w:val="0"/>
      <w:divBdr>
        <w:top w:val="none" w:sz="0" w:space="0" w:color="auto"/>
        <w:left w:val="none" w:sz="0" w:space="0" w:color="auto"/>
        <w:bottom w:val="none" w:sz="0" w:space="0" w:color="auto"/>
        <w:right w:val="none" w:sz="0" w:space="0" w:color="auto"/>
      </w:divBdr>
    </w:div>
    <w:div w:id="191381643">
      <w:bodyDiv w:val="1"/>
      <w:marLeft w:val="0"/>
      <w:marRight w:val="0"/>
      <w:marTop w:val="0"/>
      <w:marBottom w:val="0"/>
      <w:divBdr>
        <w:top w:val="none" w:sz="0" w:space="0" w:color="auto"/>
        <w:left w:val="none" w:sz="0" w:space="0" w:color="auto"/>
        <w:bottom w:val="none" w:sz="0" w:space="0" w:color="auto"/>
        <w:right w:val="none" w:sz="0" w:space="0" w:color="auto"/>
      </w:divBdr>
    </w:div>
    <w:div w:id="558708936">
      <w:bodyDiv w:val="1"/>
      <w:marLeft w:val="0"/>
      <w:marRight w:val="0"/>
      <w:marTop w:val="0"/>
      <w:marBottom w:val="0"/>
      <w:divBdr>
        <w:top w:val="none" w:sz="0" w:space="0" w:color="auto"/>
        <w:left w:val="none" w:sz="0" w:space="0" w:color="auto"/>
        <w:bottom w:val="none" w:sz="0" w:space="0" w:color="auto"/>
        <w:right w:val="none" w:sz="0" w:space="0" w:color="auto"/>
      </w:divBdr>
    </w:div>
    <w:div w:id="1804076356">
      <w:bodyDiv w:val="1"/>
      <w:marLeft w:val="0"/>
      <w:marRight w:val="0"/>
      <w:marTop w:val="0"/>
      <w:marBottom w:val="0"/>
      <w:divBdr>
        <w:top w:val="none" w:sz="0" w:space="0" w:color="auto"/>
        <w:left w:val="none" w:sz="0" w:space="0" w:color="auto"/>
        <w:bottom w:val="none" w:sz="0" w:space="0" w:color="auto"/>
        <w:right w:val="none" w:sz="0" w:space="0" w:color="auto"/>
      </w:divBdr>
    </w:div>
    <w:div w:id="1866214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hart" Target="charts/chart2.xml"/><Relationship Id="rId18" Type="http://schemas.openxmlformats.org/officeDocument/2006/relationships/chart" Target="charts/chart7.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hart" Target="charts/chart10.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chart" Target="charts/chart6.xm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chart" Target="charts/chart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chart" Target="charts/chart13.xml"/><Relationship Id="rId5" Type="http://schemas.openxmlformats.org/officeDocument/2006/relationships/webSettings" Target="webSettings.xml"/><Relationship Id="rId15" Type="http://schemas.openxmlformats.org/officeDocument/2006/relationships/chart" Target="charts/chart4.xml"/><Relationship Id="rId23" Type="http://schemas.openxmlformats.org/officeDocument/2006/relationships/chart" Target="charts/chart12.xml"/><Relationship Id="rId10" Type="http://schemas.openxmlformats.org/officeDocument/2006/relationships/header" Target="header2.xml"/><Relationship Id="rId19" Type="http://schemas.openxmlformats.org/officeDocument/2006/relationships/chart" Target="charts/chart8.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hart" Target="charts/chart3.xml"/><Relationship Id="rId22" Type="http://schemas.openxmlformats.org/officeDocument/2006/relationships/chart" Target="charts/chart11.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PSC-CFP\Templates\CFP-Entete-Corpo2019.dotx"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package" Target="../embeddings/Microsoft_Excel_Worksheet10.xlsx"/><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package" Target="../embeddings/Microsoft_Excel_Worksheet11.xlsx"/><Relationship Id="rId2" Type="http://schemas.microsoft.com/office/2011/relationships/chartColorStyle" Target="colors11.xml"/><Relationship Id="rId1" Type="http://schemas.microsoft.com/office/2011/relationships/chartStyle" Target="style11.xml"/><Relationship Id="rId4" Type="http://schemas.openxmlformats.org/officeDocument/2006/relationships/chartUserShapes" Target="../drawings/drawing5.xml"/></Relationships>
</file>

<file path=word/charts/_rels/chart12.xml.rels><?xml version="1.0" encoding="UTF-8" standalone="yes"?>
<Relationships xmlns="http://schemas.openxmlformats.org/package/2006/relationships"><Relationship Id="rId3" Type="http://schemas.openxmlformats.org/officeDocument/2006/relationships/package" Target="../embeddings/Microsoft_Excel_Worksheet12.xlsx"/><Relationship Id="rId2" Type="http://schemas.microsoft.com/office/2011/relationships/chartColorStyle" Target="colors12.xml"/><Relationship Id="rId1" Type="http://schemas.microsoft.com/office/2011/relationships/chartStyle" Target="style12.xml"/><Relationship Id="rId4" Type="http://schemas.openxmlformats.org/officeDocument/2006/relationships/chartUserShapes" Target="../drawings/drawing6.xml"/></Relationships>
</file>

<file path=word/charts/_rels/chart13.xml.rels><?xml version="1.0" encoding="UTF-8" standalone="yes"?>
<Relationships xmlns="http://schemas.openxmlformats.org/package/2006/relationships"><Relationship Id="rId3" Type="http://schemas.openxmlformats.org/officeDocument/2006/relationships/package" Target="../embeddings/Microsoft_Excel_Worksheet13.xlsx"/><Relationship Id="rId2" Type="http://schemas.microsoft.com/office/2011/relationships/chartColorStyle" Target="colors13.xml"/><Relationship Id="rId1" Type="http://schemas.microsoft.com/office/2011/relationships/chartStyle" Target="style13.xml"/><Relationship Id="rId4" Type="http://schemas.openxmlformats.org/officeDocument/2006/relationships/chartUserShapes" Target="../drawings/drawing7.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chartUserShapes" Target="../drawings/drawing1.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chartUserShapes" Target="../drawings/drawing2.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chartUserShapes" Target="../drawings/drawing3.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7.xlsx"/><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chartUserShapes" Target="../drawings/drawing4.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8.xlsx"/><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package" Target="../embeddings/Microsoft_Excel_Worksheet9.xlsx"/><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baseline="0">
                <a:solidFill>
                  <a:sysClr val="windowText" lastClr="000000"/>
                </a:solidFill>
                <a:latin typeface="+mn-lt"/>
                <a:ea typeface="+mn-ea"/>
                <a:cs typeface="+mn-cs"/>
              </a:defRPr>
            </a:pPr>
            <a:r>
              <a:rPr lang="en-CA" sz="1200" b="1"/>
              <a:t>Population by tenure as of March 31</a:t>
            </a:r>
          </a:p>
        </c:rich>
      </c:tx>
      <c:layout/>
      <c:overlay val="1"/>
      <c:spPr>
        <a:noFill/>
        <a:ln>
          <a:noFill/>
        </a:ln>
        <a:effectLst/>
      </c:spPr>
      <c:txPr>
        <a:bodyPr rot="0" spcFirstLastPara="1" vertOverflow="ellipsis" vert="horz" wrap="square" anchor="ctr" anchorCtr="1"/>
        <a:lstStyle/>
        <a:p>
          <a:pPr>
            <a:defRPr sz="1200" b="1" i="0" u="none" strike="noStrike" kern="1200" spc="0" baseline="0">
              <a:solidFill>
                <a:sysClr val="windowText" lastClr="000000"/>
              </a:solidFill>
              <a:latin typeface="+mn-lt"/>
              <a:ea typeface="+mn-ea"/>
              <a:cs typeface="+mn-cs"/>
            </a:defRPr>
          </a:pPr>
          <a:endParaRPr lang="en-US"/>
        </a:p>
      </c:txPr>
    </c:title>
    <c:autoTitleDeleted val="0"/>
    <c:plotArea>
      <c:layout>
        <c:manualLayout>
          <c:layoutTarget val="inner"/>
          <c:xMode val="edge"/>
          <c:yMode val="edge"/>
          <c:x val="0.10820755769669271"/>
          <c:y val="0.1038961038961039"/>
          <c:w val="0.85790458031932704"/>
          <c:h val="0.63086532365272519"/>
        </c:manualLayout>
      </c:layout>
      <c:barChart>
        <c:barDir val="col"/>
        <c:grouping val="stacked"/>
        <c:varyColors val="0"/>
        <c:ser>
          <c:idx val="0"/>
          <c:order val="0"/>
          <c:tx>
            <c:strRef>
              <c:f>Sheet1!$B$1</c:f>
              <c:strCache>
                <c:ptCount val="1"/>
                <c:pt idx="0">
                  <c:v> Indeterminate </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 2014 
(N=30) </c:v>
                </c:pt>
                <c:pt idx="1">
                  <c:v> 2015 
(N=30) </c:v>
                </c:pt>
                <c:pt idx="2">
                  <c:v> 2016 
(N=29) </c:v>
                </c:pt>
                <c:pt idx="3">
                  <c:v> 2017 
(N=30) </c:v>
                </c:pt>
                <c:pt idx="4">
                  <c:v> 2018 
(N=30) </c:v>
                </c:pt>
                <c:pt idx="5">
                  <c:v> 2019
(N=30) </c:v>
                </c:pt>
              </c:strCache>
            </c:strRef>
          </c:cat>
          <c:val>
            <c:numRef>
              <c:f>Sheet1!$B$2:$B$7</c:f>
              <c:numCache>
                <c:formatCode>#\ ###</c:formatCode>
                <c:ptCount val="6"/>
                <c:pt idx="0">
                  <c:v>24</c:v>
                </c:pt>
                <c:pt idx="1">
                  <c:v>24</c:v>
                </c:pt>
                <c:pt idx="2">
                  <c:v>25</c:v>
                </c:pt>
                <c:pt idx="3">
                  <c:v>24</c:v>
                </c:pt>
                <c:pt idx="4">
                  <c:v>23</c:v>
                </c:pt>
                <c:pt idx="5">
                  <c:v>24</c:v>
                </c:pt>
              </c:numCache>
            </c:numRef>
          </c:val>
        </c:ser>
        <c:ser>
          <c:idx val="1"/>
          <c:order val="1"/>
          <c:tx>
            <c:strRef>
              <c:f>Sheet1!$C$1</c:f>
              <c:strCache>
                <c:ptCount val="1"/>
                <c:pt idx="0">
                  <c:v> Term </c:v>
                </c:pt>
              </c:strCache>
            </c:strRef>
          </c:tx>
          <c:spPr>
            <a:solidFill>
              <a:schemeClr val="accent2"/>
            </a:solidFill>
            <a:ln>
              <a:noFill/>
            </a:ln>
            <a:effectLst/>
          </c:spPr>
          <c:invertIfNegative val="0"/>
          <c:dLbls>
            <c:dLbl>
              <c:idx val="0"/>
              <c:layout>
                <c:manualLayout>
                  <c:x val="-2.8239558760857657E-17"/>
                  <c:y val="4.6753246753246706E-2"/>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3.0807147258163892E-3"/>
                  <c:y val="2.8091083209193446E-4"/>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
                  <c:y val="3.1168831168831169E-2"/>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
                  <c:y val="3.1168831168831169E-2"/>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
                  <c:y val="3.6363636363636362E-2"/>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anchor="ctr" anchorCtr="1"/>
              <a:lstStyle/>
              <a:p>
                <a:pPr>
                  <a:defRPr sz="900"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 2014 
(N=30) </c:v>
                </c:pt>
                <c:pt idx="1">
                  <c:v> 2015 
(N=30) </c:v>
                </c:pt>
                <c:pt idx="2">
                  <c:v> 2016 
(N=29) </c:v>
                </c:pt>
                <c:pt idx="3">
                  <c:v> 2017 
(N=30) </c:v>
                </c:pt>
                <c:pt idx="4">
                  <c:v> 2018 
(N=30) </c:v>
                </c:pt>
                <c:pt idx="5">
                  <c:v> 2019
(N=30) </c:v>
                </c:pt>
              </c:strCache>
            </c:strRef>
          </c:cat>
          <c:val>
            <c:numRef>
              <c:f>Sheet1!$C$2:$C$7</c:f>
              <c:numCache>
                <c:formatCode>#\ ###</c:formatCode>
                <c:ptCount val="6"/>
                <c:pt idx="0">
                  <c:v>1</c:v>
                </c:pt>
                <c:pt idx="1">
                  <c:v>4</c:v>
                </c:pt>
                <c:pt idx="2">
                  <c:v>1</c:v>
                </c:pt>
                <c:pt idx="3">
                  <c:v>1</c:v>
                </c:pt>
                <c:pt idx="4">
                  <c:v>1</c:v>
                </c:pt>
                <c:pt idx="5">
                  <c:v>3</c:v>
                </c:pt>
              </c:numCache>
            </c:numRef>
          </c:val>
        </c:ser>
        <c:ser>
          <c:idx val="2"/>
          <c:order val="2"/>
          <c:tx>
            <c:strRef>
              <c:f>Sheet1!$D$1</c:f>
              <c:strCache>
                <c:ptCount val="1"/>
                <c:pt idx="0">
                  <c:v> Casual </c:v>
                </c:pt>
              </c:strCache>
            </c:strRef>
          </c:tx>
          <c:spPr>
            <a:solidFill>
              <a:schemeClr val="accent3"/>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 2014 
(N=30) </c:v>
                </c:pt>
                <c:pt idx="1">
                  <c:v> 2015 
(N=30) </c:v>
                </c:pt>
                <c:pt idx="2">
                  <c:v> 2016 
(N=29) </c:v>
                </c:pt>
                <c:pt idx="3">
                  <c:v> 2017 
(N=30) </c:v>
                </c:pt>
                <c:pt idx="4">
                  <c:v> 2018 
(N=30) </c:v>
                </c:pt>
                <c:pt idx="5">
                  <c:v> 2019
(N=30) </c:v>
                </c:pt>
              </c:strCache>
            </c:strRef>
          </c:cat>
          <c:val>
            <c:numRef>
              <c:f>Sheet1!$D$2:$D$7</c:f>
              <c:numCache>
                <c:formatCode>#\ ###</c:formatCode>
                <c:ptCount val="6"/>
                <c:pt idx="0">
                  <c:v>3</c:v>
                </c:pt>
                <c:pt idx="1">
                  <c:v>0</c:v>
                </c:pt>
                <c:pt idx="2">
                  <c:v>2</c:v>
                </c:pt>
                <c:pt idx="3">
                  <c:v>3</c:v>
                </c:pt>
                <c:pt idx="4">
                  <c:v>1</c:v>
                </c:pt>
                <c:pt idx="5">
                  <c:v>0</c:v>
                </c:pt>
              </c:numCache>
            </c:numRef>
          </c:val>
        </c:ser>
        <c:ser>
          <c:idx val="3"/>
          <c:order val="3"/>
          <c:tx>
            <c:strRef>
              <c:f>Sheet1!$E$1</c:f>
              <c:strCache>
                <c:ptCount val="1"/>
                <c:pt idx="0">
                  <c:v> Student </c:v>
                </c:pt>
              </c:strCache>
            </c:strRef>
          </c:tx>
          <c:spPr>
            <a:solidFill>
              <a:schemeClr val="accent4"/>
            </a:solidFill>
            <a:ln>
              <a:noFill/>
            </a:ln>
            <a:effectLst/>
          </c:spPr>
          <c:invertIfNegative val="0"/>
          <c:dLbls>
            <c:dLbl>
              <c:idx val="0"/>
              <c:layout>
                <c:manualLayout>
                  <c:x val="0"/>
                  <c:y val="-4.6659572958785554E-2"/>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
                  <c:y val="-4.661295716413829E-2"/>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5.6479117521715313E-17"/>
                  <c:y val="-4.1558441558441579E-2"/>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
                  <c:y val="-4.6659572958785554E-2"/>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1.1295823504343063E-16"/>
                  <c:y val="-8.2695608994821576E-2"/>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0"/>
                  <c:y val="-6.6924066924066924E-2"/>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 2014 
(N=30) </c:v>
                </c:pt>
                <c:pt idx="1">
                  <c:v> 2015 
(N=30) </c:v>
                </c:pt>
                <c:pt idx="2">
                  <c:v> 2016 
(N=29) </c:v>
                </c:pt>
                <c:pt idx="3">
                  <c:v> 2017 
(N=30) </c:v>
                </c:pt>
                <c:pt idx="4">
                  <c:v> 2018 
(N=30) </c:v>
                </c:pt>
                <c:pt idx="5">
                  <c:v> 2019
(N=30) </c:v>
                </c:pt>
              </c:strCache>
            </c:strRef>
          </c:cat>
          <c:val>
            <c:numRef>
              <c:f>Sheet1!$E$2:$E$7</c:f>
              <c:numCache>
                <c:formatCode>#\ ###</c:formatCode>
                <c:ptCount val="6"/>
                <c:pt idx="0">
                  <c:v>2</c:v>
                </c:pt>
                <c:pt idx="1">
                  <c:v>2</c:v>
                </c:pt>
                <c:pt idx="2">
                  <c:v>1</c:v>
                </c:pt>
                <c:pt idx="3">
                  <c:v>2</c:v>
                </c:pt>
                <c:pt idx="4">
                  <c:v>5</c:v>
                </c:pt>
                <c:pt idx="5">
                  <c:v>3</c:v>
                </c:pt>
              </c:numCache>
            </c:numRef>
          </c:val>
        </c:ser>
        <c:dLbls>
          <c:dLblPos val="ctr"/>
          <c:showLegendKey val="0"/>
          <c:showVal val="1"/>
          <c:showCatName val="0"/>
          <c:showSerName val="0"/>
          <c:showPercent val="0"/>
          <c:showBubbleSize val="0"/>
        </c:dLbls>
        <c:gapWidth val="150"/>
        <c:overlap val="100"/>
        <c:axId val="362499096"/>
        <c:axId val="362501840"/>
      </c:barChart>
      <c:catAx>
        <c:axId val="3624990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362501840"/>
        <c:crosses val="autoZero"/>
        <c:auto val="1"/>
        <c:lblAlgn val="ctr"/>
        <c:lblOffset val="100"/>
        <c:noMultiLvlLbl val="0"/>
      </c:catAx>
      <c:valAx>
        <c:axId val="362501840"/>
        <c:scaling>
          <c:orientation val="minMax"/>
        </c:scaling>
        <c:delete val="0"/>
        <c:axPos val="l"/>
        <c:numFmt formatCode="#\ ###"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36249909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ysClr val="windowText" lastClr="000000"/>
                </a:solidFill>
                <a:latin typeface="+mn-lt"/>
                <a:ea typeface="+mn-ea"/>
                <a:cs typeface="+mn-cs"/>
              </a:defRPr>
            </a:pPr>
            <a:r>
              <a:rPr lang="en-CA" sz="1200" b="1">
                <a:solidFill>
                  <a:sysClr val="windowText" lastClr="000000"/>
                </a:solidFill>
              </a:rPr>
              <a:t>Student program hires</a:t>
            </a:r>
          </a:p>
        </c:rich>
      </c:tx>
      <c:layout/>
      <c:overlay val="0"/>
      <c:spPr>
        <a:noFill/>
        <a:ln>
          <a:noFill/>
        </a:ln>
        <a:effectLst/>
      </c:spPr>
      <c:txPr>
        <a:bodyPr rot="0" spcFirstLastPara="1" vertOverflow="ellipsis" vert="horz" wrap="square" anchor="ctr" anchorCtr="1"/>
        <a:lstStyle/>
        <a:p>
          <a:pPr>
            <a:defRPr sz="1200" b="0" i="0" u="none" strike="noStrike" kern="1200" spc="0" baseline="0">
              <a:solidFill>
                <a:sysClr val="windowText" lastClr="000000"/>
              </a:solidFill>
              <a:latin typeface="+mn-lt"/>
              <a:ea typeface="+mn-ea"/>
              <a:cs typeface="+mn-cs"/>
            </a:defRPr>
          </a:pPr>
          <a:endParaRPr lang="en-US"/>
        </a:p>
      </c:txPr>
    </c:title>
    <c:autoTitleDeleted val="0"/>
    <c:plotArea>
      <c:layout>
        <c:manualLayout>
          <c:layoutTarget val="inner"/>
          <c:xMode val="edge"/>
          <c:yMode val="edge"/>
          <c:x val="0.13588966676906661"/>
          <c:y val="0.12358035061426992"/>
          <c:w val="0.81893579524325377"/>
          <c:h val="0.59127513128395404"/>
        </c:manualLayout>
      </c:layout>
      <c:barChart>
        <c:barDir val="col"/>
        <c:grouping val="stacked"/>
        <c:varyColors val="0"/>
        <c:ser>
          <c:idx val="0"/>
          <c:order val="0"/>
          <c:tx>
            <c:strRef>
              <c:f>Sheet1!$B$1</c:f>
              <c:strCache>
                <c:ptCount val="1"/>
                <c:pt idx="0">
                  <c:v>Federal Student Work Experience Program (FSWEP)</c:v>
                </c:pt>
              </c:strCache>
            </c:strRef>
          </c:tx>
          <c:spPr>
            <a:solidFill>
              <a:schemeClr val="accent1"/>
            </a:solidFill>
            <a:ln>
              <a:noFill/>
            </a:ln>
            <a:effectLst/>
          </c:spPr>
          <c:invertIfNegative val="0"/>
          <c:dLbls>
            <c:dLbl>
              <c:idx val="0"/>
              <c:delete val="1"/>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2014-15
 (N=6)</c:v>
                </c:pt>
                <c:pt idx="1">
                  <c:v>2015-16
 (N=7)</c:v>
                </c:pt>
                <c:pt idx="2">
                  <c:v>2016-17
 (N=7)</c:v>
                </c:pt>
                <c:pt idx="3">
                  <c:v>2017-18
 (N=10)</c:v>
                </c:pt>
                <c:pt idx="4">
                  <c:v>2018-19
 (N=7)</c:v>
                </c:pt>
              </c:strCache>
            </c:strRef>
          </c:cat>
          <c:val>
            <c:numRef>
              <c:f>Sheet1!$B$2:$B$6</c:f>
              <c:numCache>
                <c:formatCode>General</c:formatCode>
                <c:ptCount val="5"/>
                <c:pt idx="0">
                  <c:v>0</c:v>
                </c:pt>
                <c:pt idx="1">
                  <c:v>2</c:v>
                </c:pt>
                <c:pt idx="2">
                  <c:v>5</c:v>
                </c:pt>
                <c:pt idx="3">
                  <c:v>6</c:v>
                </c:pt>
                <c:pt idx="4">
                  <c:v>2</c:v>
                </c:pt>
              </c:numCache>
            </c:numRef>
          </c:val>
        </c:ser>
        <c:ser>
          <c:idx val="1"/>
          <c:order val="1"/>
          <c:tx>
            <c:strRef>
              <c:f>Sheet1!$C$1</c:f>
              <c:strCache>
                <c:ptCount val="1"/>
                <c:pt idx="0">
                  <c:v>Post-Secondary CO-OP/Internship Program (COOP)</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2014-15
 (N=6)</c:v>
                </c:pt>
                <c:pt idx="1">
                  <c:v>2015-16
 (N=7)</c:v>
                </c:pt>
                <c:pt idx="2">
                  <c:v>2016-17
 (N=7)</c:v>
                </c:pt>
                <c:pt idx="3">
                  <c:v>2017-18
 (N=10)</c:v>
                </c:pt>
                <c:pt idx="4">
                  <c:v>2018-19
 (N=7)</c:v>
                </c:pt>
              </c:strCache>
            </c:strRef>
          </c:cat>
          <c:val>
            <c:numRef>
              <c:f>Sheet1!$C$2:$C$6</c:f>
              <c:numCache>
                <c:formatCode>General</c:formatCode>
                <c:ptCount val="5"/>
                <c:pt idx="0">
                  <c:v>6</c:v>
                </c:pt>
                <c:pt idx="1">
                  <c:v>5</c:v>
                </c:pt>
                <c:pt idx="2">
                  <c:v>2</c:v>
                </c:pt>
                <c:pt idx="3">
                  <c:v>4</c:v>
                </c:pt>
                <c:pt idx="4">
                  <c:v>5</c:v>
                </c:pt>
              </c:numCache>
            </c:numRef>
          </c:val>
        </c:ser>
        <c:dLbls>
          <c:dLblPos val="ctr"/>
          <c:showLegendKey val="0"/>
          <c:showVal val="1"/>
          <c:showCatName val="0"/>
          <c:showSerName val="0"/>
          <c:showPercent val="0"/>
          <c:showBubbleSize val="0"/>
        </c:dLbls>
        <c:gapWidth val="150"/>
        <c:overlap val="100"/>
        <c:axId val="365604624"/>
        <c:axId val="365600704"/>
      </c:barChart>
      <c:catAx>
        <c:axId val="3656046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365600704"/>
        <c:crosses val="autoZero"/>
        <c:auto val="1"/>
        <c:lblAlgn val="ctr"/>
        <c:lblOffset val="100"/>
        <c:noMultiLvlLbl val="0"/>
      </c:catAx>
      <c:valAx>
        <c:axId val="365600704"/>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365604624"/>
        <c:crosses val="autoZero"/>
        <c:crossBetween val="between"/>
      </c:valAx>
      <c:spPr>
        <a:noFill/>
        <a:ln>
          <a:noFill/>
        </a:ln>
        <a:effectLst/>
      </c:spPr>
    </c:plotArea>
    <c:legend>
      <c:legendPos val="b"/>
      <c:layout>
        <c:manualLayout>
          <c:xMode val="edge"/>
          <c:yMode val="edge"/>
          <c:x val="4.2890265000242525E-2"/>
          <c:y val="0.83451514071101818"/>
          <c:w val="0.86904460864363209"/>
          <c:h val="0.13862376949619593"/>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baseline="0">
                <a:solidFill>
                  <a:sysClr val="windowText" lastClr="000000"/>
                </a:solidFill>
                <a:latin typeface="+mn-lt"/>
                <a:ea typeface="+mn-ea"/>
                <a:cs typeface="+mn-cs"/>
              </a:defRPr>
            </a:pPr>
            <a:r>
              <a:rPr lang="en-CA" sz="1200">
                <a:solidFill>
                  <a:sysClr val="windowText" lastClr="000000"/>
                </a:solidFill>
              </a:rPr>
              <a:t>Staffing by</a:t>
            </a:r>
            <a:r>
              <a:rPr lang="en-CA" sz="1200" baseline="0">
                <a:solidFill>
                  <a:sysClr val="windowText" lastClr="000000"/>
                </a:solidFill>
              </a:rPr>
              <a:t> recruitment programs and hiring of former students</a:t>
            </a:r>
            <a:endParaRPr lang="en-CA" sz="1200">
              <a:solidFill>
                <a:sysClr val="windowText" lastClr="000000"/>
              </a:solidFill>
            </a:endParaRPr>
          </a:p>
        </c:rich>
      </c:tx>
      <c:layout/>
      <c:overlay val="0"/>
      <c:spPr>
        <a:noFill/>
        <a:ln>
          <a:noFill/>
        </a:ln>
        <a:effectLst/>
      </c:spPr>
      <c:txPr>
        <a:bodyPr rot="0" spcFirstLastPara="1" vertOverflow="ellipsis" vert="horz" wrap="square" anchor="ctr" anchorCtr="1"/>
        <a:lstStyle/>
        <a:p>
          <a:pPr>
            <a:defRPr sz="1200" b="1" i="0" u="none" strike="noStrike" kern="1200" baseline="0">
              <a:solidFill>
                <a:sysClr val="windowText" lastClr="000000"/>
              </a:solidFill>
              <a:latin typeface="+mn-lt"/>
              <a:ea typeface="+mn-ea"/>
              <a:cs typeface="+mn-cs"/>
            </a:defRPr>
          </a:pPr>
          <a:endParaRPr lang="en-US"/>
        </a:p>
      </c:txPr>
    </c:title>
    <c:autoTitleDeleted val="0"/>
    <c:view3D>
      <c:rotX val="0"/>
      <c:rotY val="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8.7963032789915352E-2"/>
          <c:y val="0.26063656854865508"/>
          <c:w val="0.90621744112971792"/>
          <c:h val="0.46302415383034901"/>
        </c:manualLayout>
      </c:layout>
      <c:bar3DChart>
        <c:barDir val="col"/>
        <c:grouping val="clustered"/>
        <c:varyColors val="0"/>
        <c:ser>
          <c:idx val="0"/>
          <c:order val="0"/>
          <c:tx>
            <c:strRef>
              <c:f>Sheet1!$B$1</c:f>
              <c:strCache>
                <c:ptCount val="1"/>
                <c:pt idx="0">
                  <c:v>Hiring of former students*</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dLbl>
              <c:idx val="2"/>
              <c:layout/>
              <c:tx>
                <c:rich>
                  <a:bodyPr/>
                  <a:lstStyle/>
                  <a:p>
                    <a:r>
                      <a:rPr lang="en-US"/>
                      <a:t>N/A</a:t>
                    </a:r>
                  </a:p>
                </c:rich>
              </c:tx>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2014-15</c:v>
                </c:pt>
                <c:pt idx="1">
                  <c:v>2015-16</c:v>
                </c:pt>
                <c:pt idx="2">
                  <c:v>2016-17</c:v>
                </c:pt>
                <c:pt idx="3">
                  <c:v>2017-18</c:v>
                </c:pt>
                <c:pt idx="4">
                  <c:v>2018-19</c:v>
                </c:pt>
              </c:strCache>
            </c:strRef>
          </c:cat>
          <c:val>
            <c:numRef>
              <c:f>Sheet1!$B$2:$B$6</c:f>
              <c:numCache>
                <c:formatCode>_-* #,##0_-;\-* #,##0_-;_-* "-"??_-;_-@_-</c:formatCode>
                <c:ptCount val="5"/>
                <c:pt idx="0">
                  <c:v>1</c:v>
                </c:pt>
                <c:pt idx="1">
                  <c:v>1</c:v>
                </c:pt>
                <c:pt idx="2">
                  <c:v>0</c:v>
                </c:pt>
                <c:pt idx="3">
                  <c:v>1</c:v>
                </c:pt>
                <c:pt idx="4">
                  <c:v>1</c:v>
                </c:pt>
              </c:numCache>
            </c:numRef>
          </c:val>
        </c:ser>
        <c:dLbls>
          <c:showLegendKey val="0"/>
          <c:showVal val="1"/>
          <c:showCatName val="0"/>
          <c:showSerName val="0"/>
          <c:showPercent val="0"/>
          <c:showBubbleSize val="0"/>
        </c:dLbls>
        <c:gapWidth val="150"/>
        <c:shape val="box"/>
        <c:axId val="365602272"/>
        <c:axId val="365603056"/>
        <c:axId val="0"/>
      </c:bar3DChart>
      <c:catAx>
        <c:axId val="365602272"/>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0" spcFirstLastPara="1" vertOverflow="ellipsis" wrap="square" anchor="ctr" anchorCtr="1"/>
          <a:lstStyle/>
          <a:p>
            <a:pPr>
              <a:defRPr sz="900" b="0" i="0" u="none" strike="noStrike" kern="1200" baseline="0">
                <a:solidFill>
                  <a:sysClr val="windowText" lastClr="000000"/>
                </a:solidFill>
                <a:latin typeface="+mn-lt"/>
                <a:ea typeface="+mn-ea"/>
                <a:cs typeface="+mn-cs"/>
              </a:defRPr>
            </a:pPr>
            <a:endParaRPr lang="en-US"/>
          </a:p>
        </c:txPr>
        <c:crossAx val="365603056"/>
        <c:crosses val="autoZero"/>
        <c:auto val="1"/>
        <c:lblAlgn val="ctr"/>
        <c:lblOffset val="100"/>
        <c:noMultiLvlLbl val="0"/>
      </c:catAx>
      <c:valAx>
        <c:axId val="365603056"/>
        <c:scaling>
          <c:orientation val="minMax"/>
        </c:scaling>
        <c:delete val="0"/>
        <c:axPos val="l"/>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365602272"/>
        <c:crosses val="autoZero"/>
        <c:crossBetween val="between"/>
        <c:minorUnit val="1"/>
      </c:valAx>
      <c:spPr>
        <a:noFill/>
        <a:ln>
          <a:noFill/>
        </a:ln>
        <a:effectLst/>
      </c:spPr>
    </c:plotArea>
    <c:legend>
      <c:legendPos val="r"/>
      <c:layout>
        <c:manualLayout>
          <c:xMode val="edge"/>
          <c:yMode val="edge"/>
          <c:x val="2.8456707535513492E-2"/>
          <c:y val="0.7903145980505315"/>
          <c:w val="0.94572119989179626"/>
          <c:h val="9.037462535920758E-2"/>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userShapes r:id="rId4"/>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1" i="0" u="none" strike="noStrike" kern="1200" spc="0" baseline="0">
                <a:solidFill>
                  <a:sysClr val="windowText" lastClr="000000"/>
                </a:solidFill>
                <a:latin typeface="+mn-lt"/>
                <a:ea typeface="+mn-ea"/>
                <a:cs typeface="+mn-cs"/>
              </a:defRPr>
            </a:pPr>
            <a:r>
              <a:rPr lang="en-CA" sz="1200" b="1">
                <a:solidFill>
                  <a:sysClr val="windowText" lastClr="000000"/>
                </a:solidFill>
              </a:rPr>
              <a:t>Internal time to staff</a:t>
            </a:r>
          </a:p>
          <a:p>
            <a:pPr>
              <a:defRPr sz="1100" b="1">
                <a:solidFill>
                  <a:sysClr val="windowText" lastClr="000000"/>
                </a:solidFill>
              </a:defRPr>
            </a:pPr>
            <a:r>
              <a:rPr lang="en-CA" sz="1200" b="1">
                <a:solidFill>
                  <a:sysClr val="windowText" lastClr="000000"/>
                </a:solidFill>
              </a:rPr>
              <a:t>Public service median = 176 days</a:t>
            </a:r>
          </a:p>
          <a:p>
            <a:pPr>
              <a:defRPr sz="1100" b="1">
                <a:solidFill>
                  <a:sysClr val="windowText" lastClr="000000"/>
                </a:solidFill>
              </a:defRPr>
            </a:pPr>
            <a:r>
              <a:rPr lang="en-CA" sz="1200" b="1">
                <a:solidFill>
                  <a:sysClr val="windowText" lastClr="000000"/>
                </a:solidFill>
              </a:rPr>
              <a:t> 2018-19</a:t>
            </a:r>
          </a:p>
        </c:rich>
      </c:tx>
      <c:layout>
        <c:manualLayout>
          <c:xMode val="edge"/>
          <c:yMode val="edge"/>
          <c:x val="0.30646464646464644"/>
          <c:y val="3.6182590578239574E-3"/>
        </c:manualLayout>
      </c:layout>
      <c:overlay val="0"/>
      <c:spPr>
        <a:noFill/>
        <a:ln>
          <a:noFill/>
        </a:ln>
        <a:effectLst/>
      </c:spPr>
      <c:txPr>
        <a:bodyPr rot="0" spcFirstLastPara="1" vertOverflow="ellipsis" vert="horz" wrap="square" anchor="ctr" anchorCtr="1"/>
        <a:lstStyle/>
        <a:p>
          <a:pPr>
            <a:defRPr sz="1100" b="1" i="0" u="none" strike="noStrike" kern="1200" spc="0" baseline="0">
              <a:solidFill>
                <a:sysClr val="windowText" lastClr="000000"/>
              </a:solidFill>
              <a:latin typeface="+mn-lt"/>
              <a:ea typeface="+mn-ea"/>
              <a:cs typeface="+mn-cs"/>
            </a:defRPr>
          </a:pPr>
          <a:endParaRPr lang="en-US"/>
        </a:p>
      </c:txPr>
    </c:title>
    <c:autoTitleDeleted val="0"/>
    <c:plotArea>
      <c:layout>
        <c:manualLayout>
          <c:layoutTarget val="inner"/>
          <c:xMode val="edge"/>
          <c:yMode val="edge"/>
          <c:x val="0.10560475395121065"/>
          <c:y val="0.21433521840697753"/>
          <c:w val="0.85778504959607327"/>
          <c:h val="0.53656772284907683"/>
        </c:manualLayout>
      </c:layout>
      <c:barChart>
        <c:barDir val="col"/>
        <c:grouping val="stacked"/>
        <c:varyColors val="0"/>
        <c:ser>
          <c:idx val="0"/>
          <c:order val="0"/>
          <c:tx>
            <c:strRef>
              <c:f>Sheet1!$B$1</c:f>
              <c:strCache>
                <c:ptCount val="1"/>
                <c:pt idx="0">
                  <c:v>Duration in Calendar Days</c:v>
                </c:pt>
              </c:strCache>
            </c:strRef>
          </c:tx>
          <c:spPr>
            <a:solidFill>
              <a:schemeClr val="accent1"/>
            </a:solidFill>
            <a:ln>
              <a:noFill/>
            </a:ln>
            <a:effectLst/>
          </c:spPr>
          <c:invertIfNegative val="0"/>
          <c:cat>
            <c:strRef>
              <c:f>Sheet1!$A$2:$A$36</c:f>
              <c:strCache>
                <c:ptCount val="35"/>
                <c:pt idx="0">
                  <c:v>0</c:v>
                </c:pt>
                <c:pt idx="1">
                  <c:v>0-29</c:v>
                </c:pt>
                <c:pt idx="2">
                  <c:v>30-59</c:v>
                </c:pt>
                <c:pt idx="3">
                  <c:v>60-89</c:v>
                </c:pt>
                <c:pt idx="4">
                  <c:v>90-119</c:v>
                </c:pt>
                <c:pt idx="5">
                  <c:v>120-149</c:v>
                </c:pt>
                <c:pt idx="6">
                  <c:v>150-179</c:v>
                </c:pt>
                <c:pt idx="7">
                  <c:v>180-209</c:v>
                </c:pt>
                <c:pt idx="8">
                  <c:v>210-239</c:v>
                </c:pt>
                <c:pt idx="9">
                  <c:v>240-269</c:v>
                </c:pt>
                <c:pt idx="10">
                  <c:v>270-299</c:v>
                </c:pt>
                <c:pt idx="11">
                  <c:v>300-329</c:v>
                </c:pt>
                <c:pt idx="12">
                  <c:v>330-359</c:v>
                </c:pt>
                <c:pt idx="13">
                  <c:v>360-389</c:v>
                </c:pt>
                <c:pt idx="14">
                  <c:v>390-419</c:v>
                </c:pt>
                <c:pt idx="15">
                  <c:v>420-449</c:v>
                </c:pt>
                <c:pt idx="16">
                  <c:v>450-479</c:v>
                </c:pt>
                <c:pt idx="17">
                  <c:v>480-509</c:v>
                </c:pt>
                <c:pt idx="18">
                  <c:v>510-539</c:v>
                </c:pt>
                <c:pt idx="19">
                  <c:v>540-569</c:v>
                </c:pt>
                <c:pt idx="20">
                  <c:v>570-599</c:v>
                </c:pt>
                <c:pt idx="21">
                  <c:v>600-629</c:v>
                </c:pt>
                <c:pt idx="22">
                  <c:v>630-659</c:v>
                </c:pt>
                <c:pt idx="23">
                  <c:v>660-689</c:v>
                </c:pt>
                <c:pt idx="24">
                  <c:v>690-719</c:v>
                </c:pt>
                <c:pt idx="25">
                  <c:v>720-749</c:v>
                </c:pt>
                <c:pt idx="26">
                  <c:v>750-779</c:v>
                </c:pt>
                <c:pt idx="27">
                  <c:v>780-809</c:v>
                </c:pt>
                <c:pt idx="28">
                  <c:v>810-839</c:v>
                </c:pt>
                <c:pt idx="29">
                  <c:v>840-869</c:v>
                </c:pt>
                <c:pt idx="30">
                  <c:v>870-899</c:v>
                </c:pt>
                <c:pt idx="31">
                  <c:v>900-929</c:v>
                </c:pt>
                <c:pt idx="32">
                  <c:v>930-959</c:v>
                </c:pt>
                <c:pt idx="33">
                  <c:v>960-989</c:v>
                </c:pt>
                <c:pt idx="34">
                  <c:v>&gt;990</c:v>
                </c:pt>
              </c:strCache>
            </c:strRef>
          </c:cat>
          <c:val>
            <c:numRef>
              <c:f>Sheet1!$B$2:$B$36</c:f>
              <c:numCache>
                <c:formatCode>General</c:formatCode>
                <c:ptCount val="35"/>
                <c:pt idx="0">
                  <c:v>0</c:v>
                </c:pt>
                <c:pt idx="1">
                  <c:v>15</c:v>
                </c:pt>
                <c:pt idx="2">
                  <c:v>124</c:v>
                </c:pt>
                <c:pt idx="3">
                  <c:v>265</c:v>
                </c:pt>
                <c:pt idx="4">
                  <c:v>384</c:v>
                </c:pt>
                <c:pt idx="5">
                  <c:v>354</c:v>
                </c:pt>
                <c:pt idx="6">
                  <c:v>311</c:v>
                </c:pt>
                <c:pt idx="7">
                  <c:v>269</c:v>
                </c:pt>
                <c:pt idx="8">
                  <c:v>234</c:v>
                </c:pt>
                <c:pt idx="9">
                  <c:v>159</c:v>
                </c:pt>
                <c:pt idx="10">
                  <c:v>128</c:v>
                </c:pt>
                <c:pt idx="11">
                  <c:v>102</c:v>
                </c:pt>
                <c:pt idx="12">
                  <c:v>77</c:v>
                </c:pt>
                <c:pt idx="13">
                  <c:v>58</c:v>
                </c:pt>
                <c:pt idx="14">
                  <c:v>51</c:v>
                </c:pt>
                <c:pt idx="15">
                  <c:v>49</c:v>
                </c:pt>
                <c:pt idx="16">
                  <c:v>40</c:v>
                </c:pt>
                <c:pt idx="17">
                  <c:v>38</c:v>
                </c:pt>
                <c:pt idx="18">
                  <c:v>31</c:v>
                </c:pt>
                <c:pt idx="19">
                  <c:v>23</c:v>
                </c:pt>
                <c:pt idx="20">
                  <c:v>21</c:v>
                </c:pt>
                <c:pt idx="21">
                  <c:v>10</c:v>
                </c:pt>
                <c:pt idx="22">
                  <c:v>19</c:v>
                </c:pt>
                <c:pt idx="23">
                  <c:v>3</c:v>
                </c:pt>
                <c:pt idx="24">
                  <c:v>12</c:v>
                </c:pt>
                <c:pt idx="25">
                  <c:v>6</c:v>
                </c:pt>
                <c:pt idx="26">
                  <c:v>5</c:v>
                </c:pt>
                <c:pt idx="27">
                  <c:v>8</c:v>
                </c:pt>
                <c:pt idx="28">
                  <c:v>3</c:v>
                </c:pt>
                <c:pt idx="29">
                  <c:v>10</c:v>
                </c:pt>
                <c:pt idx="30">
                  <c:v>4</c:v>
                </c:pt>
                <c:pt idx="31">
                  <c:v>5</c:v>
                </c:pt>
                <c:pt idx="32">
                  <c:v>4</c:v>
                </c:pt>
                <c:pt idx="33">
                  <c:v>3</c:v>
                </c:pt>
                <c:pt idx="34">
                  <c:v>23</c:v>
                </c:pt>
              </c:numCache>
            </c:numRef>
          </c:val>
        </c:ser>
        <c:dLbls>
          <c:showLegendKey val="0"/>
          <c:showVal val="0"/>
          <c:showCatName val="0"/>
          <c:showSerName val="0"/>
          <c:showPercent val="0"/>
          <c:showBubbleSize val="0"/>
        </c:dLbls>
        <c:gapWidth val="150"/>
        <c:overlap val="100"/>
        <c:axId val="365599920"/>
        <c:axId val="365601096"/>
      </c:barChart>
      <c:catAx>
        <c:axId val="365599920"/>
        <c:scaling>
          <c:orientation val="minMax"/>
        </c:scaling>
        <c:delete val="0"/>
        <c:axPos val="b"/>
        <c:title>
          <c:tx>
            <c:rich>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r>
                  <a:rPr lang="en-CA" sz="900">
                    <a:solidFill>
                      <a:sysClr val="windowText" lastClr="000000"/>
                    </a:solidFill>
                  </a:rPr>
                  <a:t>Calendar days</a:t>
                </a:r>
              </a:p>
            </c:rich>
          </c:tx>
          <c:layout>
            <c:manualLayout>
              <c:xMode val="edge"/>
              <c:yMode val="edge"/>
              <c:x val="0.44497346922543773"/>
              <c:y val="0.91711304128221083"/>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365601096"/>
        <c:crosses val="autoZero"/>
        <c:auto val="1"/>
        <c:lblAlgn val="ctr"/>
        <c:lblOffset val="100"/>
        <c:noMultiLvlLbl val="0"/>
      </c:catAx>
      <c:valAx>
        <c:axId val="36560109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r>
                  <a:rPr lang="en-CA" sz="900">
                    <a:solidFill>
                      <a:sysClr val="windowText" lastClr="000000"/>
                    </a:solidFill>
                  </a:rPr>
                  <a:t>Frequency</a:t>
                </a:r>
              </a:p>
            </c:rich>
          </c:tx>
          <c:layout/>
          <c:overlay val="0"/>
          <c:spPr>
            <a:noFill/>
            <a:ln>
              <a:noFill/>
            </a:ln>
            <a:effectLst/>
          </c:spPr>
          <c:txPr>
            <a:bodyPr rot="-54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36559992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userShapes r:id="rId4"/>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1" i="0" u="none" strike="noStrike" kern="1200" baseline="0">
                <a:solidFill>
                  <a:schemeClr val="tx1">
                    <a:lumMod val="65000"/>
                    <a:lumOff val="35000"/>
                  </a:schemeClr>
                </a:solidFill>
                <a:latin typeface="+mn-lt"/>
                <a:ea typeface="+mn-ea"/>
                <a:cs typeface="+mn-cs"/>
              </a:defRPr>
            </a:pPr>
            <a:r>
              <a:rPr lang="en-CA" sz="1100" baseline="0">
                <a:solidFill>
                  <a:sysClr val="windowText" lastClr="000000"/>
                </a:solidFill>
              </a:rPr>
              <a:t>External time to staff</a:t>
            </a:r>
          </a:p>
          <a:p>
            <a:pPr>
              <a:defRPr sz="1100"/>
            </a:pPr>
            <a:r>
              <a:rPr lang="en-CA" sz="1100" b="1" i="0" baseline="0">
                <a:solidFill>
                  <a:sysClr val="windowText" lastClr="000000"/>
                </a:solidFill>
                <a:effectLst/>
              </a:rPr>
              <a:t>Public service median = 186 days</a:t>
            </a:r>
            <a:endParaRPr lang="en-CA" sz="1100">
              <a:solidFill>
                <a:sysClr val="windowText" lastClr="000000"/>
              </a:solidFill>
              <a:effectLst/>
            </a:endParaRPr>
          </a:p>
          <a:p>
            <a:pPr>
              <a:defRPr sz="1100"/>
            </a:pPr>
            <a:r>
              <a:rPr lang="en-CA" sz="1100" b="1" i="0" baseline="0">
                <a:effectLst/>
              </a:rPr>
              <a:t> </a:t>
            </a:r>
            <a:r>
              <a:rPr lang="en-CA" sz="1100" baseline="0">
                <a:solidFill>
                  <a:sysClr val="windowText" lastClr="000000"/>
                </a:solidFill>
              </a:rPr>
              <a:t>2018-19</a:t>
            </a:r>
            <a:endParaRPr lang="en-CA" sz="1100">
              <a:solidFill>
                <a:sysClr val="windowText" lastClr="000000"/>
              </a:solidFill>
            </a:endParaRPr>
          </a:p>
        </c:rich>
      </c:tx>
      <c:layout>
        <c:manualLayout>
          <c:xMode val="edge"/>
          <c:yMode val="edge"/>
          <c:x val="0.28931165126098374"/>
          <c:y val="1.2782228376329103E-2"/>
        </c:manualLayout>
      </c:layout>
      <c:overlay val="0"/>
      <c:spPr>
        <a:noFill/>
        <a:ln>
          <a:noFill/>
        </a:ln>
        <a:effectLst/>
      </c:spPr>
      <c:txPr>
        <a:bodyPr rot="0" spcFirstLastPara="1" vertOverflow="ellipsis" vert="horz" wrap="square" anchor="ctr" anchorCtr="1"/>
        <a:lstStyle/>
        <a:p>
          <a:pPr>
            <a:defRPr sz="1100" b="1" i="0" u="none" strike="noStrike" kern="120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0560475395121065"/>
          <c:y val="0.21433521840697753"/>
          <c:w val="0.85778504959607327"/>
          <c:h val="0.53656772284907683"/>
        </c:manualLayout>
      </c:layout>
      <c:barChart>
        <c:barDir val="col"/>
        <c:grouping val="stacked"/>
        <c:varyColors val="0"/>
        <c:ser>
          <c:idx val="0"/>
          <c:order val="0"/>
          <c:tx>
            <c:strRef>
              <c:f>Sheet1!$B$1</c:f>
              <c:strCache>
                <c:ptCount val="1"/>
                <c:pt idx="0">
                  <c:v>Duration in Calendar Days</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Sheet1!$A$2:$A$36</c:f>
              <c:strCache>
                <c:ptCount val="35"/>
                <c:pt idx="0">
                  <c:v>0</c:v>
                </c:pt>
                <c:pt idx="1">
                  <c:v>0-29</c:v>
                </c:pt>
                <c:pt idx="2">
                  <c:v>30-59</c:v>
                </c:pt>
                <c:pt idx="3">
                  <c:v>60-89</c:v>
                </c:pt>
                <c:pt idx="4">
                  <c:v>90-119</c:v>
                </c:pt>
                <c:pt idx="5">
                  <c:v>120-149</c:v>
                </c:pt>
                <c:pt idx="6">
                  <c:v>150-179</c:v>
                </c:pt>
                <c:pt idx="7">
                  <c:v>180-209</c:v>
                </c:pt>
                <c:pt idx="8">
                  <c:v>210-239</c:v>
                </c:pt>
                <c:pt idx="9">
                  <c:v>240-269</c:v>
                </c:pt>
                <c:pt idx="10">
                  <c:v>270-299</c:v>
                </c:pt>
                <c:pt idx="11">
                  <c:v>300-329</c:v>
                </c:pt>
                <c:pt idx="12">
                  <c:v>330-359</c:v>
                </c:pt>
                <c:pt idx="13">
                  <c:v>360-389</c:v>
                </c:pt>
                <c:pt idx="14">
                  <c:v>390-419</c:v>
                </c:pt>
                <c:pt idx="15">
                  <c:v>420-449</c:v>
                </c:pt>
                <c:pt idx="16">
                  <c:v>450-479</c:v>
                </c:pt>
                <c:pt idx="17">
                  <c:v>480-509</c:v>
                </c:pt>
                <c:pt idx="18">
                  <c:v>510-539</c:v>
                </c:pt>
                <c:pt idx="19">
                  <c:v>540-569</c:v>
                </c:pt>
                <c:pt idx="20">
                  <c:v>570-599</c:v>
                </c:pt>
                <c:pt idx="21">
                  <c:v>600-629</c:v>
                </c:pt>
                <c:pt idx="22">
                  <c:v>630-659</c:v>
                </c:pt>
                <c:pt idx="23">
                  <c:v>660-689</c:v>
                </c:pt>
                <c:pt idx="24">
                  <c:v>690-719</c:v>
                </c:pt>
                <c:pt idx="25">
                  <c:v>720-749</c:v>
                </c:pt>
                <c:pt idx="26">
                  <c:v>750-779</c:v>
                </c:pt>
                <c:pt idx="27">
                  <c:v>780-809</c:v>
                </c:pt>
                <c:pt idx="28">
                  <c:v>810-839</c:v>
                </c:pt>
                <c:pt idx="29">
                  <c:v>840-869</c:v>
                </c:pt>
                <c:pt idx="30">
                  <c:v>870-899</c:v>
                </c:pt>
                <c:pt idx="31">
                  <c:v>900-929</c:v>
                </c:pt>
                <c:pt idx="32">
                  <c:v>930-959</c:v>
                </c:pt>
                <c:pt idx="33">
                  <c:v>960-989</c:v>
                </c:pt>
                <c:pt idx="34">
                  <c:v>&gt;990</c:v>
                </c:pt>
              </c:strCache>
            </c:strRef>
          </c:cat>
          <c:val>
            <c:numRef>
              <c:f>Sheet1!$B$2:$B$36</c:f>
              <c:numCache>
                <c:formatCode>General</c:formatCode>
                <c:ptCount val="35"/>
                <c:pt idx="0">
                  <c:v>0</c:v>
                </c:pt>
                <c:pt idx="1">
                  <c:v>49</c:v>
                </c:pt>
                <c:pt idx="2">
                  <c:v>82</c:v>
                </c:pt>
                <c:pt idx="3">
                  <c:v>124</c:v>
                </c:pt>
                <c:pt idx="4">
                  <c:v>160</c:v>
                </c:pt>
                <c:pt idx="5">
                  <c:v>181</c:v>
                </c:pt>
                <c:pt idx="6">
                  <c:v>179</c:v>
                </c:pt>
                <c:pt idx="7">
                  <c:v>160</c:v>
                </c:pt>
                <c:pt idx="8">
                  <c:v>139</c:v>
                </c:pt>
                <c:pt idx="9">
                  <c:v>84</c:v>
                </c:pt>
                <c:pt idx="10">
                  <c:v>73</c:v>
                </c:pt>
                <c:pt idx="11">
                  <c:v>61</c:v>
                </c:pt>
                <c:pt idx="12">
                  <c:v>41</c:v>
                </c:pt>
                <c:pt idx="13">
                  <c:v>43</c:v>
                </c:pt>
                <c:pt idx="14">
                  <c:v>49</c:v>
                </c:pt>
                <c:pt idx="15">
                  <c:v>35</c:v>
                </c:pt>
                <c:pt idx="16">
                  <c:v>22</c:v>
                </c:pt>
                <c:pt idx="17">
                  <c:v>27</c:v>
                </c:pt>
                <c:pt idx="18">
                  <c:v>17</c:v>
                </c:pt>
                <c:pt idx="19">
                  <c:v>15</c:v>
                </c:pt>
                <c:pt idx="20">
                  <c:v>14</c:v>
                </c:pt>
                <c:pt idx="21">
                  <c:v>12</c:v>
                </c:pt>
                <c:pt idx="22">
                  <c:v>7</c:v>
                </c:pt>
                <c:pt idx="23">
                  <c:v>5</c:v>
                </c:pt>
                <c:pt idx="24">
                  <c:v>7</c:v>
                </c:pt>
                <c:pt idx="25">
                  <c:v>11</c:v>
                </c:pt>
                <c:pt idx="26">
                  <c:v>3</c:v>
                </c:pt>
                <c:pt idx="27">
                  <c:v>7</c:v>
                </c:pt>
                <c:pt idx="28">
                  <c:v>2</c:v>
                </c:pt>
                <c:pt idx="29">
                  <c:v>2</c:v>
                </c:pt>
                <c:pt idx="30">
                  <c:v>0</c:v>
                </c:pt>
                <c:pt idx="31">
                  <c:v>3</c:v>
                </c:pt>
                <c:pt idx="32">
                  <c:v>1</c:v>
                </c:pt>
                <c:pt idx="33">
                  <c:v>0</c:v>
                </c:pt>
                <c:pt idx="34">
                  <c:v>0</c:v>
                </c:pt>
              </c:numCache>
            </c:numRef>
          </c:val>
        </c:ser>
        <c:dLbls>
          <c:showLegendKey val="0"/>
          <c:showVal val="0"/>
          <c:showCatName val="0"/>
          <c:showSerName val="0"/>
          <c:showPercent val="0"/>
          <c:showBubbleSize val="0"/>
        </c:dLbls>
        <c:gapWidth val="150"/>
        <c:overlap val="100"/>
        <c:axId val="365606584"/>
        <c:axId val="365604232"/>
      </c:barChart>
      <c:catAx>
        <c:axId val="365606584"/>
        <c:scaling>
          <c:orientation val="minMax"/>
        </c:scaling>
        <c:delete val="0"/>
        <c:axPos val="b"/>
        <c:title>
          <c:tx>
            <c:rich>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r>
                  <a:rPr lang="en-CA">
                    <a:solidFill>
                      <a:sysClr val="windowText" lastClr="000000"/>
                    </a:solidFill>
                  </a:rPr>
                  <a:t>Calendar days</a:t>
                </a:r>
              </a:p>
            </c:rich>
          </c:tx>
          <c:layout>
            <c:manualLayout>
              <c:xMode val="edge"/>
              <c:yMode val="edge"/>
              <c:x val="0.44497346922543773"/>
              <c:y val="0.91711304128221083"/>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title>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365604232"/>
        <c:crosses val="autoZero"/>
        <c:auto val="1"/>
        <c:lblAlgn val="ctr"/>
        <c:lblOffset val="100"/>
        <c:noMultiLvlLbl val="0"/>
      </c:catAx>
      <c:valAx>
        <c:axId val="36560423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r>
                  <a:rPr lang="en-CA">
                    <a:solidFill>
                      <a:sysClr val="windowText" lastClr="000000"/>
                    </a:solidFill>
                  </a:rPr>
                  <a:t>Frequency</a:t>
                </a:r>
              </a:p>
            </c:rich>
          </c:tx>
          <c:overlay val="0"/>
          <c:spPr>
            <a:noFill/>
            <a:ln>
              <a:noFill/>
            </a:ln>
            <a:effectLst/>
          </c:spPr>
          <c:txPr>
            <a:bodyPr rot="-54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36560658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userShapes r:id="rId4"/>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baseline="0">
                <a:solidFill>
                  <a:sysClr val="windowText" lastClr="000000"/>
                </a:solidFill>
                <a:latin typeface="+mn-lt"/>
                <a:ea typeface="+mn-ea"/>
                <a:cs typeface="+mn-cs"/>
              </a:defRPr>
            </a:pPr>
            <a:r>
              <a:rPr lang="en-CA" sz="1200">
                <a:solidFill>
                  <a:sysClr val="windowText" lastClr="000000"/>
                </a:solidFill>
              </a:rPr>
              <a:t>Population by language requirements</a:t>
            </a:r>
            <a:r>
              <a:rPr lang="en-CA" sz="1200" baseline="0">
                <a:solidFill>
                  <a:sysClr val="windowText" lastClr="000000"/>
                </a:solidFill>
              </a:rPr>
              <a:t> as of March 31, 2019 (N=30)</a:t>
            </a:r>
            <a:endParaRPr lang="en-CA" sz="1200">
              <a:solidFill>
                <a:sysClr val="windowText" lastClr="000000"/>
              </a:solidFill>
            </a:endParaRPr>
          </a:p>
        </c:rich>
      </c:tx>
      <c:layout>
        <c:manualLayout>
          <c:xMode val="edge"/>
          <c:yMode val="edge"/>
          <c:x val="0.13994491885697385"/>
          <c:y val="0"/>
        </c:manualLayout>
      </c:layout>
      <c:overlay val="0"/>
      <c:spPr>
        <a:noFill/>
        <a:ln>
          <a:noFill/>
        </a:ln>
        <a:effectLst/>
      </c:spPr>
      <c:txPr>
        <a:bodyPr rot="0" spcFirstLastPara="1" vertOverflow="ellipsis" vert="horz" wrap="square" anchor="ctr" anchorCtr="1"/>
        <a:lstStyle/>
        <a:p>
          <a:pPr>
            <a:defRPr sz="1200" b="1" i="0" u="none" strike="noStrike" kern="1200" baseline="0">
              <a:solidFill>
                <a:sysClr val="windowText" lastClr="000000"/>
              </a:solidFill>
              <a:latin typeface="+mn-lt"/>
              <a:ea typeface="+mn-ea"/>
              <a:cs typeface="+mn-cs"/>
            </a:defRPr>
          </a:pPr>
          <a:endParaRPr lang="en-US"/>
        </a:p>
      </c:txPr>
    </c:title>
    <c:autoTitleDeleted val="0"/>
    <c:plotArea>
      <c:layout>
        <c:manualLayout>
          <c:layoutTarget val="inner"/>
          <c:xMode val="edge"/>
          <c:yMode val="edge"/>
          <c:x val="8.2404224119872346E-2"/>
          <c:y val="0.3500719997548945"/>
          <c:w val="0.81156888839599273"/>
          <c:h val="0.53809859370691504"/>
        </c:manualLayout>
      </c:layout>
      <c:pieChart>
        <c:varyColors val="1"/>
        <c:ser>
          <c:idx val="0"/>
          <c:order val="0"/>
          <c:tx>
            <c:strRef>
              <c:f>Sheet1!$B$1</c:f>
              <c:strCache>
                <c:ptCount val="1"/>
                <c:pt idx="0">
                  <c:v>Population by Language Requirements as of March 31, 2016</c:v>
                </c:pt>
              </c:strCache>
            </c:strRef>
          </c:tx>
          <c:dPt>
            <c:idx val="0"/>
            <c:bubble3D val="0"/>
            <c:spPr>
              <a:solidFill>
                <a:schemeClr val="accent2"/>
              </a:solidFill>
              <a:ln>
                <a:noFill/>
              </a:ln>
              <a:effectLst>
                <a:outerShdw blurRad="57150" dist="19050" dir="5400000" algn="ctr" rotWithShape="0">
                  <a:srgbClr val="000000">
                    <a:alpha val="63000"/>
                  </a:srgbClr>
                </a:outerShdw>
              </a:effectLst>
            </c:spPr>
          </c:dPt>
          <c:dPt>
            <c:idx val="1"/>
            <c:bubble3D val="0"/>
            <c:spPr>
              <a:solidFill>
                <a:schemeClr val="accent1"/>
              </a:solidFill>
              <a:ln>
                <a:noFill/>
              </a:ln>
              <a:effectLst>
                <a:outerShdw blurRad="57150" dist="19050" dir="5400000" algn="ctr" rotWithShape="0">
                  <a:srgbClr val="000000">
                    <a:alpha val="63000"/>
                  </a:srgbClr>
                </a:outerShdw>
              </a:effectLst>
            </c:spPr>
          </c:dPt>
          <c:dLbls>
            <c:dLbl>
              <c:idx val="0"/>
              <c:layout>
                <c:manualLayout>
                  <c:x val="0.2190923317683881"/>
                  <c:y val="-0.15045395590142682"/>
                </c:manualLayout>
              </c:layout>
              <c:showLegendKey val="0"/>
              <c:showVal val="0"/>
              <c:showCatName val="1"/>
              <c:showSerName val="0"/>
              <c:showPercent val="1"/>
              <c:showBubbleSize val="0"/>
              <c:extLst>
                <c:ext xmlns:c15="http://schemas.microsoft.com/office/drawing/2012/chart" uri="{CE6537A1-D6FC-4f65-9D91-7224C49458BB}">
                  <c15:layout>
                    <c:manualLayout>
                      <c:w val="0.340414402425049"/>
                      <c:h val="0.18644044267606294"/>
                    </c:manualLayout>
                  </c15:layout>
                </c:ext>
              </c:extLst>
            </c:dLbl>
            <c:dLbl>
              <c:idx val="1"/>
              <c:layout>
                <c:manualLayout>
                  <c:x val="-0.18779342723004694"/>
                  <c:y val="0.24475443487851956"/>
                </c:manualLayout>
              </c:layout>
              <c:showLegendKey val="0"/>
              <c:showVal val="0"/>
              <c:showCatName val="1"/>
              <c:showSerName val="0"/>
              <c:showPercent val="1"/>
              <c:showBubbleSize val="0"/>
              <c:extLst>
                <c:ext xmlns:c15="http://schemas.microsoft.com/office/drawing/2012/chart" uri="{CE6537A1-D6FC-4f65-9D91-7224C49458BB}">
                  <c15:layout>
                    <c:manualLayout>
                      <c:w val="0.38145539906103287"/>
                      <c:h val="0.18667358050298158"/>
                    </c:manualLayout>
                  </c15:layout>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n-US"/>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Sheet1!$A$2:$A$3</c:f>
              <c:strCache>
                <c:ptCount val="2"/>
                <c:pt idx="0">
                  <c:v>Bilingual </c:v>
                </c:pt>
                <c:pt idx="1">
                  <c:v>Unilingual</c:v>
                </c:pt>
              </c:strCache>
            </c:strRef>
          </c:cat>
          <c:val>
            <c:numRef>
              <c:f>Sheet1!$B$2:$B$3</c:f>
              <c:numCache>
                <c:formatCode>0</c:formatCode>
                <c:ptCount val="2"/>
                <c:pt idx="0">
                  <c:v>8</c:v>
                </c:pt>
                <c:pt idx="1">
                  <c:v>17</c:v>
                </c:pt>
              </c:numCache>
            </c:numRef>
          </c:val>
        </c:ser>
        <c:dLbls>
          <c:showLegendKey val="0"/>
          <c:showVal val="0"/>
          <c:showCatName val="0"/>
          <c:showSerName val="0"/>
          <c:showPercent val="0"/>
          <c:showBubbleSize val="0"/>
          <c:showLeaderLines val="1"/>
        </c:dLbls>
        <c:firstSliceAng val="144"/>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userShapes r:id="rId4"/>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baseline="0">
                <a:solidFill>
                  <a:sysClr val="windowText" lastClr="000000"/>
                </a:solidFill>
                <a:latin typeface="+mn-lt"/>
                <a:ea typeface="+mn-ea"/>
                <a:cs typeface="+mn-cs"/>
              </a:defRPr>
            </a:pPr>
            <a:r>
              <a:rPr lang="en-US" sz="1200">
                <a:solidFill>
                  <a:sysClr val="windowText" lastClr="000000"/>
                </a:solidFill>
              </a:rPr>
              <a:t>Population by occupational</a:t>
            </a:r>
            <a:r>
              <a:rPr lang="en-US" sz="1200" baseline="0">
                <a:solidFill>
                  <a:sysClr val="windowText" lastClr="000000"/>
                </a:solidFill>
              </a:rPr>
              <a:t> group</a:t>
            </a:r>
            <a:r>
              <a:rPr lang="en-US" sz="1200">
                <a:solidFill>
                  <a:sysClr val="windowText" lastClr="000000"/>
                </a:solidFill>
              </a:rPr>
              <a:t> as of March 31, 2019</a:t>
            </a:r>
          </a:p>
        </c:rich>
      </c:tx>
      <c:layout>
        <c:manualLayout>
          <c:xMode val="edge"/>
          <c:yMode val="edge"/>
          <c:x val="0.11600531316564154"/>
          <c:y val="5.1079996323416775E-3"/>
        </c:manualLayout>
      </c:layout>
      <c:overlay val="0"/>
      <c:spPr>
        <a:noFill/>
        <a:ln>
          <a:noFill/>
        </a:ln>
        <a:effectLst/>
      </c:spPr>
      <c:txPr>
        <a:bodyPr rot="0" spcFirstLastPara="1" vertOverflow="ellipsis" vert="horz" wrap="square" anchor="ctr" anchorCtr="1"/>
        <a:lstStyle/>
        <a:p>
          <a:pPr>
            <a:defRPr sz="1200" b="1" i="0" u="none" strike="noStrike" kern="1200" spc="0" baseline="0">
              <a:solidFill>
                <a:sysClr val="windowText" lastClr="000000"/>
              </a:solidFill>
              <a:latin typeface="+mn-lt"/>
              <a:ea typeface="+mn-ea"/>
              <a:cs typeface="+mn-cs"/>
            </a:defRPr>
          </a:pPr>
          <a:endParaRPr lang="en-US"/>
        </a:p>
      </c:txPr>
    </c:title>
    <c:autoTitleDeleted val="0"/>
    <c:plotArea>
      <c:layout>
        <c:manualLayout>
          <c:layoutTarget val="inner"/>
          <c:xMode val="edge"/>
          <c:yMode val="edge"/>
          <c:x val="3.2974677048050557E-2"/>
          <c:y val="0.30179943484886967"/>
          <c:w val="0.93955862026122472"/>
          <c:h val="0.62025549540682412"/>
        </c:manualLayout>
      </c:layout>
      <c:pieChart>
        <c:varyColors val="1"/>
        <c:ser>
          <c:idx val="0"/>
          <c:order val="0"/>
          <c:tx>
            <c:strRef>
              <c:f>Sheet1!$B$1</c:f>
              <c:strCache>
                <c:ptCount val="1"/>
                <c:pt idx="0">
                  <c:v>Population by Occupational Group as of March 31, 2016</c:v>
                </c:pt>
              </c:strCache>
            </c:strRef>
          </c:tx>
          <c:spPr>
            <a:ln w="3175"/>
          </c:spPr>
          <c:dPt>
            <c:idx val="0"/>
            <c:bubble3D val="0"/>
            <c:spPr>
              <a:solidFill>
                <a:schemeClr val="accent2"/>
              </a:solidFill>
              <a:ln w="3175">
                <a:solidFill>
                  <a:schemeClr val="lt1"/>
                </a:solidFill>
              </a:ln>
              <a:effectLst/>
            </c:spPr>
          </c:dPt>
          <c:dPt>
            <c:idx val="1"/>
            <c:bubble3D val="0"/>
            <c:spPr>
              <a:solidFill>
                <a:schemeClr val="accent1"/>
              </a:solidFill>
              <a:ln w="3175">
                <a:solidFill>
                  <a:schemeClr val="lt1"/>
                </a:solidFill>
              </a:ln>
              <a:effectLst/>
            </c:spPr>
          </c:dPt>
          <c:dPt>
            <c:idx val="2"/>
            <c:bubble3D val="0"/>
            <c:spPr>
              <a:solidFill>
                <a:schemeClr val="accent3"/>
              </a:solidFill>
              <a:ln w="3175">
                <a:solidFill>
                  <a:schemeClr val="lt1"/>
                </a:solidFill>
              </a:ln>
              <a:effectLst/>
            </c:spPr>
          </c:dPt>
          <c:dPt>
            <c:idx val="3"/>
            <c:bubble3D val="0"/>
            <c:spPr>
              <a:solidFill>
                <a:schemeClr val="accent6"/>
              </a:solidFill>
              <a:ln w="3175">
                <a:solidFill>
                  <a:schemeClr val="lt1"/>
                </a:solidFill>
              </a:ln>
              <a:effectLst/>
            </c:spPr>
          </c:dPt>
          <c:dLbls>
            <c:dLbl>
              <c:idx val="0"/>
              <c:layout>
                <c:manualLayout>
                  <c:x val="9.2799484970039092E-2"/>
                  <c:y val="-0.13738088621275282"/>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1"/>
              <c:layout>
                <c:manualLayout>
                  <c:x val="9.8258678750061904E-2"/>
                  <c:y val="6.5317482373526844E-2"/>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2"/>
              <c:layout>
                <c:manualLayout>
                  <c:x val="0.11371917248551479"/>
                  <c:y val="0.1759538881169265"/>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manualLayout>
                      <c:w val="0.21705897135198526"/>
                      <c:h val="0.18653716923516855"/>
                    </c:manualLayout>
                  </c15:layout>
                </c:ext>
              </c:extLst>
            </c:dLbl>
            <c:dLbl>
              <c:idx val="3"/>
              <c:layout>
                <c:manualLayout>
                  <c:x val="-7.7591863517060364E-2"/>
                  <c:y val="9.2684473264371361E-2"/>
                </c:manualLayout>
              </c:layout>
              <c:spPr>
                <a:noFill/>
                <a:ln>
                  <a:noFill/>
                </a:ln>
                <a:effectLst/>
              </c:spPr>
              <c:txPr>
                <a:bodyPr rot="0" spcFirstLastPara="1" vertOverflow="ellipsis" vert="horz" wrap="square" lIns="38100" tIns="19050" rIns="38100" bIns="19050" anchor="ctr" anchorCtr="1">
                  <a:noAutofit/>
                </a:bodyPr>
                <a:lstStyle/>
                <a:p>
                  <a:pPr>
                    <a:defRPr sz="900" b="1" i="0" u="none" strike="noStrike" kern="1200" baseline="0">
                      <a:solidFill>
                        <a:schemeClr val="bg1"/>
                      </a:solidFill>
                      <a:latin typeface="+mn-lt"/>
                      <a:ea typeface="+mn-ea"/>
                      <a:cs typeface="+mn-cs"/>
                    </a:defRPr>
                  </a:pPr>
                  <a:endParaRPr lang="en-US"/>
                </a:p>
              </c:txPr>
              <c:dLblPos val="bestFit"/>
              <c:showLegendKey val="0"/>
              <c:showVal val="0"/>
              <c:showCatName val="1"/>
              <c:showSerName val="0"/>
              <c:showPercent val="1"/>
              <c:showBubbleSize val="0"/>
              <c:separator>
</c:separator>
              <c:extLst>
                <c:ext xmlns:c15="http://schemas.microsoft.com/office/drawing/2012/chart" uri="{CE6537A1-D6FC-4f65-9D91-7224C49458BB}">
                  <c15:layout>
                    <c:manualLayout>
                      <c:w val="0.34135962957460508"/>
                      <c:h val="0.20110346966122902"/>
                    </c:manualLayout>
                  </c15:layout>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n-US"/>
              </a:p>
            </c:txPr>
            <c:dLblPos val="bestFit"/>
            <c:showLegendKey val="0"/>
            <c:showVal val="0"/>
            <c:showCatName val="1"/>
            <c:showSerName val="0"/>
            <c:showPercent val="1"/>
            <c:showBubbleSize val="0"/>
            <c:separator>
</c:separator>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Sheet1!$A$2:$A$5</c:f>
              <c:strCache>
                <c:ptCount val="4"/>
                <c:pt idx="0">
                  <c:v>AS</c:v>
                </c:pt>
                <c:pt idx="1">
                  <c:v>PC</c:v>
                </c:pt>
                <c:pt idx="2">
                  <c:v>EX</c:v>
                </c:pt>
                <c:pt idx="3">
                  <c:v>Other</c:v>
                </c:pt>
              </c:strCache>
            </c:strRef>
          </c:cat>
          <c:val>
            <c:numRef>
              <c:f>Sheet1!$B$2:$B$5</c:f>
              <c:numCache>
                <c:formatCode>General</c:formatCode>
                <c:ptCount val="4"/>
                <c:pt idx="0">
                  <c:v>8</c:v>
                </c:pt>
                <c:pt idx="1">
                  <c:v>6</c:v>
                </c:pt>
                <c:pt idx="2">
                  <c:v>3</c:v>
                </c:pt>
                <c:pt idx="3">
                  <c:v>10</c:v>
                </c:pt>
              </c:numCache>
            </c:numRef>
          </c:val>
        </c:ser>
        <c:dLbls>
          <c:dLblPos val="bestFit"/>
          <c:showLegendKey val="0"/>
          <c:showVal val="1"/>
          <c:showCatName val="0"/>
          <c:showSerName val="0"/>
          <c:showPercent val="0"/>
          <c:showBubbleSize val="0"/>
          <c:showLeaderLines val="1"/>
        </c:dLbls>
        <c:firstSliceAng val="141"/>
      </c:pieChart>
      <c:spPr>
        <a:noFill/>
        <a:ln>
          <a:noFill/>
        </a:ln>
        <a:effectLst/>
      </c:spPr>
    </c:plotArea>
    <c:plotVisOnly val="1"/>
    <c:dispBlanksAs val="gap"/>
    <c:showDLblsOverMax val="0"/>
  </c:chart>
  <c:spPr>
    <a:solidFill>
      <a:schemeClr val="bg1"/>
    </a:solidFill>
    <a:ln w="9525" cap="flat" cmpd="sng" algn="ctr">
      <a:solidFill>
        <a:sysClr val="windowText" lastClr="000000">
          <a:lumMod val="25000"/>
          <a:lumOff val="75000"/>
        </a:sys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baseline="0">
                <a:solidFill>
                  <a:sysClr val="windowText" lastClr="000000"/>
                </a:solidFill>
                <a:latin typeface="+mn-lt"/>
                <a:ea typeface="+mn-ea"/>
                <a:cs typeface="+mn-cs"/>
              </a:defRPr>
            </a:pPr>
            <a:r>
              <a:rPr lang="en-CA" sz="1200">
                <a:solidFill>
                  <a:sysClr val="windowText" lastClr="000000"/>
                </a:solidFill>
              </a:rPr>
              <a:t>Population by region as</a:t>
            </a:r>
            <a:r>
              <a:rPr lang="en-CA" sz="1200" baseline="0">
                <a:solidFill>
                  <a:sysClr val="windowText" lastClr="000000"/>
                </a:solidFill>
              </a:rPr>
              <a:t> of March 31, 2019 (N=30)</a:t>
            </a:r>
            <a:endParaRPr lang="en-CA" sz="1200">
              <a:solidFill>
                <a:sysClr val="windowText" lastClr="000000"/>
              </a:solidFill>
            </a:endParaRPr>
          </a:p>
        </c:rich>
      </c:tx>
      <c:layout>
        <c:manualLayout>
          <c:xMode val="edge"/>
          <c:yMode val="edge"/>
          <c:x val="0.14548645659189968"/>
          <c:y val="0"/>
        </c:manualLayout>
      </c:layout>
      <c:overlay val="0"/>
      <c:spPr>
        <a:noFill/>
        <a:ln>
          <a:noFill/>
        </a:ln>
        <a:effectLst/>
      </c:spPr>
      <c:txPr>
        <a:bodyPr rot="0" spcFirstLastPara="1" vertOverflow="ellipsis" vert="horz" wrap="square" anchor="ctr" anchorCtr="1"/>
        <a:lstStyle/>
        <a:p>
          <a:pPr>
            <a:defRPr sz="1200" b="1" i="0" u="none" strike="noStrike" kern="1200" baseline="0">
              <a:solidFill>
                <a:sysClr val="windowText" lastClr="000000"/>
              </a:solidFill>
              <a:latin typeface="+mn-lt"/>
              <a:ea typeface="+mn-ea"/>
              <a:cs typeface="+mn-cs"/>
            </a:defRPr>
          </a:pPr>
          <a:endParaRPr lang="en-US"/>
        </a:p>
      </c:txPr>
    </c:title>
    <c:autoTitleDeleted val="0"/>
    <c:plotArea>
      <c:layout>
        <c:manualLayout>
          <c:layoutTarget val="inner"/>
          <c:xMode val="edge"/>
          <c:yMode val="edge"/>
          <c:x val="4.3280593446945889E-2"/>
          <c:y val="0.29300321125920964"/>
          <c:w val="0.8981066627234976"/>
          <c:h val="0.59516739173483535"/>
        </c:manualLayout>
      </c:layout>
      <c:pieChart>
        <c:varyColors val="1"/>
        <c:ser>
          <c:idx val="0"/>
          <c:order val="0"/>
          <c:tx>
            <c:strRef>
              <c:f>Sheet1!$B$1</c:f>
              <c:strCache>
                <c:ptCount val="1"/>
                <c:pt idx="0">
                  <c:v>Population by Language Requirements as of March 31, 2016</c:v>
                </c:pt>
              </c:strCache>
            </c:strRef>
          </c:tx>
          <c:dPt>
            <c:idx val="0"/>
            <c:bubble3D val="0"/>
            <c:spPr>
              <a:solidFill>
                <a:schemeClr val="accent2"/>
              </a:solidFill>
              <a:ln>
                <a:noFill/>
              </a:ln>
              <a:effectLst>
                <a:outerShdw blurRad="57150" dist="19050" dir="5400000" algn="ctr" rotWithShape="0">
                  <a:srgbClr val="000000">
                    <a:alpha val="63000"/>
                  </a:srgbClr>
                </a:outerShdw>
              </a:effectLst>
            </c:spPr>
          </c:dPt>
          <c:dPt>
            <c:idx val="1"/>
            <c:bubble3D val="0"/>
            <c:spPr>
              <a:solidFill>
                <a:schemeClr val="accent1"/>
              </a:solidFill>
              <a:ln>
                <a:noFill/>
              </a:ln>
              <a:effectLst>
                <a:outerShdw blurRad="57150" dist="19050" dir="5400000" algn="ctr" rotWithShape="0">
                  <a:srgbClr val="000000">
                    <a:alpha val="63000"/>
                  </a:srgbClr>
                </a:outerShdw>
              </a:effectLst>
            </c:spPr>
          </c:dPt>
          <c:dLbls>
            <c:dLbl>
              <c:idx val="0"/>
              <c:layout>
                <c:manualLayout>
                  <c:x val="0.21056180116213802"/>
                  <c:y val="-0.20780788228243124"/>
                </c:manualLayout>
              </c:layout>
              <c:showLegendKey val="0"/>
              <c:showVal val="0"/>
              <c:showCatName val="1"/>
              <c:showSerName val="0"/>
              <c:showPercent val="1"/>
              <c:showBubbleSize val="0"/>
              <c:extLst>
                <c:ext xmlns:c15="http://schemas.microsoft.com/office/drawing/2012/chart" uri="{CE6537A1-D6FC-4f65-9D91-7224C49458BB}">
                  <c15:layout/>
                </c:ext>
              </c:extLst>
            </c:dLbl>
            <c:dLbl>
              <c:idx val="1"/>
              <c:layout>
                <c:manualLayout>
                  <c:x val="-0.16267291733042033"/>
                  <c:y val="0.22017525368384067"/>
                </c:manualLayout>
              </c:layout>
              <c:spPr>
                <a:noFill/>
                <a:ln>
                  <a:noFill/>
                </a:ln>
                <a:effectLst/>
              </c:spPr>
              <c:txPr>
                <a:bodyPr rot="0" spcFirstLastPara="1" vertOverflow="ellipsis" vert="horz" wrap="square" lIns="38100" tIns="19050" rIns="38100" bIns="19050" anchor="ctr" anchorCtr="1">
                  <a:noAutofit/>
                </a:bodyPr>
                <a:lstStyle/>
                <a:p>
                  <a:pPr>
                    <a:defRPr sz="900" b="1" i="0" u="none" strike="noStrike" kern="1200" baseline="0">
                      <a:solidFill>
                        <a:schemeClr val="bg1"/>
                      </a:solidFill>
                      <a:latin typeface="+mn-lt"/>
                      <a:ea typeface="+mn-ea"/>
                      <a:cs typeface="+mn-cs"/>
                    </a:defRPr>
                  </a:pPr>
                  <a:endParaRPr lang="en-US"/>
                </a:p>
              </c:txPr>
              <c:showLegendKey val="0"/>
              <c:showVal val="0"/>
              <c:showCatName val="1"/>
              <c:showSerName val="0"/>
              <c:showPercent val="1"/>
              <c:showBubbleSize val="0"/>
              <c:extLst>
                <c:ext xmlns:c15="http://schemas.microsoft.com/office/drawing/2012/chart" uri="{CE6537A1-D6FC-4f65-9D91-7224C49458BB}">
                  <c15:layout>
                    <c:manualLayout>
                      <c:w val="0.39828076403744322"/>
                      <c:h val="0.19315530204822404"/>
                    </c:manualLayout>
                  </c15:layout>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n-US"/>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Sheet1!$A$2:$A$3</c:f>
              <c:strCache>
                <c:ptCount val="2"/>
                <c:pt idx="0">
                  <c:v>NCR</c:v>
                </c:pt>
                <c:pt idx="1">
                  <c:v>Non-NCR</c:v>
                </c:pt>
              </c:strCache>
            </c:strRef>
          </c:cat>
          <c:val>
            <c:numRef>
              <c:f>Sheet1!$B$2:$B$3</c:f>
              <c:numCache>
                <c:formatCode>0</c:formatCode>
                <c:ptCount val="2"/>
                <c:pt idx="0">
                  <c:v>21</c:v>
                </c:pt>
                <c:pt idx="1">
                  <c:v>9</c:v>
                </c:pt>
              </c:numCache>
            </c:numRef>
          </c:val>
        </c:ser>
        <c:dLbls>
          <c:showLegendKey val="0"/>
          <c:showVal val="0"/>
          <c:showCatName val="0"/>
          <c:showSerName val="0"/>
          <c:showPercent val="0"/>
          <c:showBubbleSize val="0"/>
          <c:showLeaderLines val="1"/>
        </c:dLbls>
        <c:firstSliceAng val="88"/>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userShapes r:id="rId4"/>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baseline="0">
                <a:solidFill>
                  <a:sysClr val="windowText" lastClr="000000"/>
                </a:solidFill>
                <a:latin typeface="+mn-lt"/>
                <a:ea typeface="+mn-ea"/>
                <a:cs typeface="+mn-cs"/>
              </a:defRPr>
            </a:pPr>
            <a:r>
              <a:rPr lang="en-US" sz="1200">
                <a:solidFill>
                  <a:sysClr val="windowText" lastClr="000000"/>
                </a:solidFill>
              </a:rPr>
              <a:t>External</a:t>
            </a:r>
            <a:r>
              <a:rPr lang="en-US" sz="1200" baseline="0">
                <a:solidFill>
                  <a:sysClr val="windowText" lastClr="000000"/>
                </a:solidFill>
              </a:rPr>
              <a:t> indeterminate hires by </a:t>
            </a:r>
          </a:p>
          <a:p>
            <a:pPr>
              <a:defRPr sz="1200" b="1">
                <a:solidFill>
                  <a:sysClr val="windowText" lastClr="000000"/>
                </a:solidFill>
              </a:defRPr>
            </a:pPr>
            <a:r>
              <a:rPr lang="en-US" sz="1200" baseline="0">
                <a:solidFill>
                  <a:sysClr val="windowText" lastClr="000000"/>
                </a:solidFill>
              </a:rPr>
              <a:t>occupational</a:t>
            </a:r>
            <a:r>
              <a:rPr lang="en-US" sz="1200">
                <a:solidFill>
                  <a:sysClr val="windowText" lastClr="000000"/>
                </a:solidFill>
              </a:rPr>
              <a:t> group,</a:t>
            </a:r>
          </a:p>
          <a:p>
            <a:pPr>
              <a:defRPr sz="1200" b="1">
                <a:solidFill>
                  <a:sysClr val="windowText" lastClr="000000"/>
                </a:solidFill>
              </a:defRPr>
            </a:pPr>
            <a:r>
              <a:rPr lang="en-US" sz="1200">
                <a:solidFill>
                  <a:sysClr val="windowText" lastClr="000000"/>
                </a:solidFill>
              </a:rPr>
              <a:t> 2018-19 (N=2)</a:t>
            </a:r>
          </a:p>
        </c:rich>
      </c:tx>
      <c:layout>
        <c:manualLayout>
          <c:xMode val="edge"/>
          <c:yMode val="edge"/>
          <c:x val="0.10478602778886122"/>
          <c:y val="2.9951722813454037E-2"/>
        </c:manualLayout>
      </c:layout>
      <c:overlay val="0"/>
      <c:spPr>
        <a:noFill/>
        <a:ln>
          <a:noFill/>
        </a:ln>
        <a:effectLst/>
      </c:spPr>
      <c:txPr>
        <a:bodyPr rot="0" spcFirstLastPara="1" vertOverflow="ellipsis" vert="horz" wrap="square" anchor="ctr" anchorCtr="1"/>
        <a:lstStyle/>
        <a:p>
          <a:pPr>
            <a:defRPr sz="1200" b="1" i="0" u="none" strike="noStrike" kern="1200" spc="0" baseline="0">
              <a:solidFill>
                <a:sysClr val="windowText" lastClr="000000"/>
              </a:solidFill>
              <a:latin typeface="+mn-lt"/>
              <a:ea typeface="+mn-ea"/>
              <a:cs typeface="+mn-cs"/>
            </a:defRPr>
          </a:pPr>
          <a:endParaRPr lang="en-US"/>
        </a:p>
      </c:txPr>
    </c:title>
    <c:autoTitleDeleted val="0"/>
    <c:plotArea>
      <c:layout>
        <c:manualLayout>
          <c:layoutTarget val="inner"/>
          <c:xMode val="edge"/>
          <c:yMode val="edge"/>
          <c:x val="7.7317379907370462E-2"/>
          <c:y val="0.37839314450706285"/>
          <c:w val="0.8966533531134695"/>
          <c:h val="0.48715812098290862"/>
        </c:manualLayout>
      </c:layout>
      <c:doughnutChart>
        <c:varyColors val="1"/>
        <c:ser>
          <c:idx val="0"/>
          <c:order val="0"/>
          <c:tx>
            <c:strRef>
              <c:f>Sheet1!$B$1</c:f>
              <c:strCache>
                <c:ptCount val="1"/>
                <c:pt idx="0">
                  <c:v>Population by Language Requirements as of March 31, 2016</c:v>
                </c:pt>
              </c:strCache>
            </c:strRef>
          </c:tx>
          <c:spPr>
            <a:solidFill>
              <a:schemeClr val="accent1"/>
            </a:solidFill>
            <a:ln w="6350"/>
          </c:spPr>
          <c:dPt>
            <c:idx val="0"/>
            <c:bubble3D val="0"/>
            <c:spPr>
              <a:solidFill>
                <a:schemeClr val="accent2"/>
              </a:solidFill>
              <a:ln w="6350">
                <a:solidFill>
                  <a:schemeClr val="lt1"/>
                </a:solidFill>
              </a:ln>
              <a:effectLst/>
            </c:spPr>
          </c:dPt>
          <c:dPt>
            <c:idx val="1"/>
            <c:bubble3D val="0"/>
            <c:spPr>
              <a:solidFill>
                <a:schemeClr val="accent6">
                  <a:lumMod val="40000"/>
                  <a:lumOff val="60000"/>
                </a:schemeClr>
              </a:solidFill>
              <a:ln w="6350">
                <a:solidFill>
                  <a:schemeClr val="lt1"/>
                </a:solidFill>
              </a:ln>
              <a:effectLst/>
            </c:spPr>
          </c:dPt>
          <c:dLbls>
            <c:dLbl>
              <c:idx val="0"/>
              <c:layout>
                <c:manualLayout>
                  <c:x val="9.6615821573028011E-3"/>
                  <c:y val="-6.9992628874147277E-3"/>
                </c:manualLayout>
              </c:layout>
              <c:tx>
                <c:rich>
                  <a:bodyPr rot="0" spcFirstLastPara="1" vertOverflow="ellipsis" vert="horz" wrap="square" lIns="38100" tIns="19050" rIns="38100" bIns="19050" anchor="ctr" anchorCtr="1">
                    <a:noAutofit/>
                  </a:bodyPr>
                  <a:lstStyle/>
                  <a:p>
                    <a:pPr>
                      <a:defRPr sz="900" b="1" i="0" u="none" strike="noStrike" kern="1200" baseline="0">
                        <a:solidFill>
                          <a:schemeClr val="tx1">
                            <a:lumMod val="50000"/>
                          </a:schemeClr>
                        </a:solidFill>
                        <a:latin typeface="+mn-lt"/>
                        <a:ea typeface="+mn-ea"/>
                        <a:cs typeface="+mn-cs"/>
                      </a:defRPr>
                    </a:pPr>
                    <a:fld id="{FB10A6A8-3330-4035-BF16-D25450F1260F}" type="CATEGORYNAME">
                      <a:rPr lang="en-US" baseline="0">
                        <a:solidFill>
                          <a:schemeClr val="bg1"/>
                        </a:solidFill>
                      </a:rPr>
                      <a:pPr>
                        <a:defRPr b="1">
                          <a:solidFill>
                            <a:schemeClr val="tx1">
                              <a:lumMod val="50000"/>
                            </a:schemeClr>
                          </a:solidFill>
                        </a:defRPr>
                      </a:pPr>
                      <a:t>[NOM DE CATÉGORIE]</a:t>
                    </a:fld>
                    <a:r>
                      <a:rPr lang="en-US" baseline="0">
                        <a:solidFill>
                          <a:schemeClr val="bg1"/>
                        </a:solidFill>
                      </a:rPr>
                      <a:t>
</a:t>
                    </a:r>
                    <a:fld id="{6B7D1C12-DFF4-4319-91BC-34B56CA0EBD4}" type="PERCENTAGE">
                      <a:rPr lang="en-US" baseline="0">
                        <a:solidFill>
                          <a:schemeClr val="bg1"/>
                        </a:solidFill>
                      </a:rPr>
                      <a:pPr>
                        <a:defRPr b="1">
                          <a:solidFill>
                            <a:schemeClr val="tx1">
                              <a:lumMod val="50000"/>
                            </a:schemeClr>
                          </a:solidFill>
                        </a:defRPr>
                      </a:pPr>
                      <a:t>[POURCENTAGE]</a:t>
                    </a:fld>
                    <a:endParaRPr lang="en-US" baseline="0">
                      <a:solidFill>
                        <a:schemeClr val="bg1"/>
                      </a:solidFill>
                    </a:endParaRPr>
                  </a:p>
                </c:rich>
              </c:tx>
              <c:spPr>
                <a:noFill/>
                <a:ln>
                  <a:noFill/>
                </a:ln>
                <a:effectLst/>
              </c:spPr>
              <c:txPr>
                <a:bodyPr rot="0" spcFirstLastPara="1" vertOverflow="ellipsis" vert="horz" wrap="square" lIns="38100" tIns="19050" rIns="38100" bIns="19050" anchor="ctr" anchorCtr="1">
                  <a:noAutofit/>
                </a:bodyPr>
                <a:lstStyle/>
                <a:p>
                  <a:pPr>
                    <a:defRPr sz="900" b="1" i="0" u="none" strike="noStrike" kern="1200" baseline="0">
                      <a:solidFill>
                        <a:schemeClr val="tx1">
                          <a:lumMod val="50000"/>
                        </a:schemeClr>
                      </a:solidFill>
                      <a:latin typeface="+mn-lt"/>
                      <a:ea typeface="+mn-ea"/>
                      <a:cs typeface="+mn-cs"/>
                    </a:defRPr>
                  </a:pPr>
                  <a:endParaRPr lang="en-US"/>
                </a:p>
              </c:txPr>
              <c:showLegendKey val="0"/>
              <c:showVal val="0"/>
              <c:showCatName val="1"/>
              <c:showSerName val="0"/>
              <c:showPercent val="1"/>
              <c:showBubbleSize val="0"/>
              <c:extLst>
                <c:ext xmlns:c15="http://schemas.microsoft.com/office/drawing/2012/chart" uri="{CE6537A1-D6FC-4f65-9D91-7224C49458BB}">
                  <c15:layout>
                    <c:manualLayout>
                      <c:w val="0.24085815360036511"/>
                      <c:h val="0.13880863317282188"/>
                    </c:manualLayout>
                  </c15:layout>
                  <c15:dlblFieldTable/>
                  <c15:showDataLabelsRange val="0"/>
                </c:ext>
              </c:extLst>
            </c:dLbl>
            <c:dLbl>
              <c:idx val="1"/>
              <c:layout>
                <c:manualLayout>
                  <c:x val="1.0830385332268265E-2"/>
                  <c:y val="-3.0510949910789354E-3"/>
                </c:manualLayout>
              </c:layout>
              <c:showLegendKey val="0"/>
              <c:showVal val="0"/>
              <c:showCatName val="1"/>
              <c:showSerName val="0"/>
              <c:showPercent val="1"/>
              <c:showBubbleSize val="0"/>
              <c:extLst>
                <c:ext xmlns:c15="http://schemas.microsoft.com/office/drawing/2012/chart" uri="{CE6537A1-D6FC-4f65-9D91-7224C49458BB}">
                  <c15:layout>
                    <c:manualLayout>
                      <c:w val="0.23123446393897562"/>
                      <c:h val="0.16763557277114552"/>
                    </c:manualLayout>
                  </c15:layout>
                </c:ext>
              </c:extLst>
            </c:dLbl>
            <c:spPr>
              <a:noFill/>
              <a:ln>
                <a:noFill/>
              </a:ln>
              <a:effectLst/>
            </c:spPr>
            <c:txPr>
              <a:bodyPr rot="0" spcFirstLastPara="1" vertOverflow="clip" horzOverflow="clip" vert="horz" wrap="square" lIns="38100" tIns="19050" rIns="38100" bIns="19050" anchor="ctr" anchorCtr="1">
                <a:spAutoFit/>
              </a:bodyPr>
              <a:lstStyle/>
              <a:p>
                <a:pPr>
                  <a:defRPr sz="900" b="1" i="0" u="none" strike="noStrike" kern="1200" baseline="0">
                    <a:solidFill>
                      <a:schemeClr val="tx1">
                        <a:lumMod val="50000"/>
                      </a:schemeClr>
                    </a:solidFill>
                    <a:latin typeface="+mn-lt"/>
                    <a:ea typeface="+mn-ea"/>
                    <a:cs typeface="+mn-cs"/>
                  </a:defRPr>
                </a:pPr>
                <a:endParaRPr lang="en-US"/>
              </a:p>
            </c:txPr>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Sheet1!$A$2:$A$3</c:f>
              <c:strCache>
                <c:ptCount val="2"/>
                <c:pt idx="0">
                  <c:v>AS</c:v>
                </c:pt>
                <c:pt idx="1">
                  <c:v>EC</c:v>
                </c:pt>
              </c:strCache>
            </c:strRef>
          </c:cat>
          <c:val>
            <c:numRef>
              <c:f>Sheet1!$B$2:$B$3</c:f>
              <c:numCache>
                <c:formatCode>General</c:formatCode>
                <c:ptCount val="2"/>
                <c:pt idx="0">
                  <c:v>1</c:v>
                </c:pt>
                <c:pt idx="1">
                  <c:v>1</c:v>
                </c:pt>
              </c:numCache>
            </c:numRef>
          </c:val>
        </c:ser>
        <c:dLbls>
          <c:showLegendKey val="0"/>
          <c:showVal val="0"/>
          <c:showCatName val="0"/>
          <c:showSerName val="0"/>
          <c:showPercent val="0"/>
          <c:showBubbleSize val="0"/>
          <c:showLeaderLines val="0"/>
        </c:dLbls>
        <c:firstSliceAng val="120"/>
        <c:holeSize val="50"/>
      </c:doughnutChart>
      <c:spPr>
        <a:noFill/>
        <a:ln>
          <a:noFill/>
        </a:ln>
        <a:effectLst/>
      </c:spPr>
    </c:plotArea>
    <c:plotVisOnly val="1"/>
    <c:dispBlanksAs val="gap"/>
    <c:showDLblsOverMax val="0"/>
  </c:chart>
  <c:spPr>
    <a:solidFill>
      <a:schemeClr val="bg1"/>
    </a:solidFill>
    <a:ln w="9525" cap="flat" cmpd="sng" algn="ctr">
      <a:solidFill>
        <a:sysClr val="windowText" lastClr="000000">
          <a:lumMod val="25000"/>
          <a:lumOff val="75000"/>
        </a:sys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baseline="0">
                <a:solidFill>
                  <a:sysClr val="windowText" lastClr="000000"/>
                </a:solidFill>
                <a:latin typeface="+mn-lt"/>
                <a:ea typeface="+mn-ea"/>
                <a:cs typeface="+mn-cs"/>
              </a:defRPr>
            </a:pPr>
            <a:r>
              <a:rPr lang="en-CA" sz="1200">
                <a:solidFill>
                  <a:sysClr val="windowText" lastClr="000000"/>
                </a:solidFill>
              </a:rPr>
              <a:t>Staffing</a:t>
            </a:r>
            <a:r>
              <a:rPr lang="en-CA" sz="1200" baseline="0">
                <a:solidFill>
                  <a:sysClr val="windowText" lastClr="000000"/>
                </a:solidFill>
              </a:rPr>
              <a:t> by region</a:t>
            </a:r>
            <a:endParaRPr lang="en-CA" sz="1200">
              <a:solidFill>
                <a:sysClr val="windowText" lastClr="000000"/>
              </a:solidFill>
            </a:endParaRPr>
          </a:p>
        </c:rich>
      </c:tx>
      <c:layout>
        <c:manualLayout>
          <c:xMode val="edge"/>
          <c:yMode val="edge"/>
          <c:x val="0.39303280175981375"/>
          <c:y val="0"/>
        </c:manualLayout>
      </c:layout>
      <c:overlay val="0"/>
      <c:spPr>
        <a:noFill/>
        <a:ln>
          <a:noFill/>
        </a:ln>
        <a:effectLst/>
      </c:spPr>
      <c:txPr>
        <a:bodyPr rot="0" spcFirstLastPara="1" vertOverflow="ellipsis" vert="horz" wrap="square" anchor="ctr" anchorCtr="1"/>
        <a:lstStyle/>
        <a:p>
          <a:pPr>
            <a:defRPr sz="1200" b="1" i="0" u="none" strike="noStrike" kern="1200" baseline="0">
              <a:solidFill>
                <a:sysClr val="windowText" lastClr="000000"/>
              </a:solidFill>
              <a:latin typeface="+mn-lt"/>
              <a:ea typeface="+mn-ea"/>
              <a:cs typeface="+mn-cs"/>
            </a:defRPr>
          </a:pPr>
          <a:endParaRPr lang="en-US"/>
        </a:p>
      </c:txPr>
    </c:title>
    <c:autoTitleDeleted val="0"/>
    <c:plotArea>
      <c:layout>
        <c:manualLayout>
          <c:layoutTarget val="inner"/>
          <c:xMode val="edge"/>
          <c:yMode val="edge"/>
          <c:x val="0.10587844058759671"/>
          <c:y val="9.4894492045412282E-2"/>
          <c:w val="0.84333349635643373"/>
          <c:h val="0.55474858103818014"/>
        </c:manualLayout>
      </c:layout>
      <c:barChart>
        <c:barDir val="col"/>
        <c:grouping val="clustered"/>
        <c:varyColors val="0"/>
        <c:ser>
          <c:idx val="0"/>
          <c:order val="0"/>
          <c:tx>
            <c:strRef>
              <c:f>Sheet1!$B$1</c:f>
              <c:strCache>
                <c:ptCount val="1"/>
                <c:pt idx="0">
                  <c:v>National Capital Region (NCR)</c:v>
                </c:pt>
              </c:strCache>
            </c:strRef>
          </c:tx>
          <c:spPr>
            <a:solidFill>
              <a:schemeClr val="accent2"/>
            </a:solidFill>
            <a:ln>
              <a:noFill/>
            </a:ln>
            <a:effectLst>
              <a:outerShdw blurRad="57150" dist="19050" dir="5400000" algn="ctr" rotWithShape="0">
                <a:srgbClr val="000000">
                  <a:alpha val="63000"/>
                </a:srgbClr>
              </a:outerShdw>
            </a:effectLst>
          </c:spPr>
          <c:invertIfNegative val="0"/>
          <c:dLbls>
            <c:dLbl>
              <c:idx val="0"/>
              <c:layout>
                <c:manualLayout>
                  <c:x val="-8.3332646246444333E-3"/>
                  <c:y val="1.0495014867937729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3.3957784101821655E-3"/>
                  <c:y val="6.9966765786251533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4.8428632284838744E-3"/>
                  <c:y val="1.3993353157250242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1.6548236348506572E-3"/>
                  <c:y val="1.0495014867937729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3.2706554696184043E-4"/>
                  <c:y val="1.4415081969922555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2014-15</c:v>
                </c:pt>
                <c:pt idx="1">
                  <c:v>2015-16</c:v>
                </c:pt>
                <c:pt idx="2">
                  <c:v>2016-17</c:v>
                </c:pt>
                <c:pt idx="3">
                  <c:v>2017-18</c:v>
                </c:pt>
                <c:pt idx="4">
                  <c:v>2018-19</c:v>
                </c:pt>
              </c:strCache>
            </c:strRef>
          </c:cat>
          <c:val>
            <c:numRef>
              <c:f>Sheet1!$B$2:$B$6</c:f>
              <c:numCache>
                <c:formatCode>0%</c:formatCode>
                <c:ptCount val="5"/>
                <c:pt idx="0">
                  <c:v>0.68</c:v>
                </c:pt>
                <c:pt idx="1">
                  <c:v>0.63</c:v>
                </c:pt>
                <c:pt idx="2">
                  <c:v>0.95</c:v>
                </c:pt>
                <c:pt idx="3">
                  <c:v>0.94</c:v>
                </c:pt>
                <c:pt idx="4">
                  <c:v>0.82</c:v>
                </c:pt>
              </c:numCache>
            </c:numRef>
          </c:val>
        </c:ser>
        <c:ser>
          <c:idx val="1"/>
          <c:order val="1"/>
          <c:tx>
            <c:strRef>
              <c:f>Sheet1!$C$1</c:f>
              <c:strCache>
                <c:ptCount val="1"/>
                <c:pt idx="0">
                  <c:v>Outside the National Capital Region (Non-NCR)</c:v>
                </c:pt>
              </c:strCache>
            </c:strRef>
          </c:tx>
          <c:spPr>
            <a:solidFill>
              <a:schemeClr val="accent1"/>
            </a:solidFill>
            <a:ln>
              <a:noFill/>
            </a:ln>
            <a:effectLst>
              <a:outerShdw blurRad="57150" dist="19050" dir="5400000" algn="ctr" rotWithShape="0">
                <a:srgbClr val="000000">
                  <a:alpha val="63000"/>
                </a:srgbClr>
              </a:outerShdw>
            </a:effectLst>
          </c:spPr>
          <c:invertIfNegative val="0"/>
          <c:dLbls>
            <c:dLbl>
              <c:idx val="0"/>
              <c:layout>
                <c:manualLayout>
                  <c:x val="1.1496761352724479E-2"/>
                  <c:y val="9.995881877368093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1.0881331075300664E-2"/>
                  <c:y val="1.1338472493282226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1.2004236720964203E-2"/>
                  <c:y val="1.5258539595267051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1.8477457501847747E-2"/>
                  <c:y val="1.5258539595267051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1.4987109427286113E-2"/>
                  <c:y val="1.3993353157250307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2014-15</c:v>
                </c:pt>
                <c:pt idx="1">
                  <c:v>2015-16</c:v>
                </c:pt>
                <c:pt idx="2">
                  <c:v>2016-17</c:v>
                </c:pt>
                <c:pt idx="3">
                  <c:v>2017-18</c:v>
                </c:pt>
                <c:pt idx="4">
                  <c:v>2018-19</c:v>
                </c:pt>
              </c:strCache>
            </c:strRef>
          </c:cat>
          <c:val>
            <c:numRef>
              <c:f>Sheet1!$C$2:$C$6</c:f>
              <c:numCache>
                <c:formatCode>0%</c:formatCode>
                <c:ptCount val="5"/>
                <c:pt idx="0">
                  <c:v>0.32</c:v>
                </c:pt>
                <c:pt idx="1">
                  <c:v>0.37</c:v>
                </c:pt>
                <c:pt idx="2">
                  <c:v>0.05</c:v>
                </c:pt>
                <c:pt idx="3">
                  <c:v>0.06</c:v>
                </c:pt>
                <c:pt idx="4">
                  <c:v>0.18</c:v>
                </c:pt>
              </c:numCache>
            </c:numRef>
          </c:val>
        </c:ser>
        <c:dLbls>
          <c:showLegendKey val="0"/>
          <c:showVal val="0"/>
          <c:showCatName val="0"/>
          <c:showSerName val="0"/>
          <c:showPercent val="0"/>
          <c:showBubbleSize val="0"/>
        </c:dLbls>
        <c:gapWidth val="150"/>
        <c:axId val="362496352"/>
        <c:axId val="362499488"/>
      </c:barChart>
      <c:catAx>
        <c:axId val="362496352"/>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1860000" spcFirstLastPara="1" vertOverflow="ellipsis" wrap="square" anchor="ctr" anchorCtr="1"/>
          <a:lstStyle/>
          <a:p>
            <a:pPr>
              <a:defRPr sz="900" b="0" i="0" u="none" strike="noStrike" kern="1200" baseline="0">
                <a:solidFill>
                  <a:sysClr val="windowText" lastClr="000000"/>
                </a:solidFill>
                <a:latin typeface="+mn-lt"/>
                <a:ea typeface="+mn-ea"/>
                <a:cs typeface="+mn-cs"/>
              </a:defRPr>
            </a:pPr>
            <a:endParaRPr lang="en-US"/>
          </a:p>
        </c:txPr>
        <c:crossAx val="362499488"/>
        <c:crosses val="autoZero"/>
        <c:auto val="1"/>
        <c:lblAlgn val="ctr"/>
        <c:lblOffset val="100"/>
        <c:noMultiLvlLbl val="0"/>
      </c:catAx>
      <c:valAx>
        <c:axId val="362499488"/>
        <c:scaling>
          <c:orientation val="minMax"/>
          <c:max val="1"/>
        </c:scaling>
        <c:delete val="0"/>
        <c:axPos val="l"/>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362496352"/>
        <c:crosses val="autoZero"/>
        <c:crossBetween val="between"/>
      </c:valAx>
      <c:spPr>
        <a:noFill/>
        <a:ln>
          <a:noFill/>
        </a:ln>
        <a:effectLst/>
      </c:spPr>
    </c:plotArea>
    <c:legend>
      <c:legendPos val="b"/>
      <c:layout>
        <c:manualLayout>
          <c:xMode val="edge"/>
          <c:yMode val="edge"/>
          <c:x val="0.15808585179624168"/>
          <c:y val="0.7746207952797225"/>
          <c:w val="0.71052254831782391"/>
          <c:h val="0.11632057449876665"/>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userShapes r:id="rId4"/>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baseline="0">
                <a:solidFill>
                  <a:sysClr val="windowText" lastClr="000000"/>
                </a:solidFill>
                <a:latin typeface="+mn-lt"/>
                <a:ea typeface="+mn-ea"/>
                <a:cs typeface="+mn-cs"/>
              </a:defRPr>
            </a:pPr>
            <a:r>
              <a:rPr lang="en-CA" sz="1200">
                <a:solidFill>
                  <a:sysClr val="windowText" lastClr="000000"/>
                </a:solidFill>
              </a:rPr>
              <a:t>Staffing</a:t>
            </a:r>
            <a:r>
              <a:rPr lang="en-CA" sz="1200" baseline="0">
                <a:solidFill>
                  <a:sysClr val="windowText" lastClr="000000"/>
                </a:solidFill>
              </a:rPr>
              <a:t> by process type</a:t>
            </a:r>
            <a:endParaRPr lang="en-CA" sz="1200">
              <a:solidFill>
                <a:sysClr val="windowText" lastClr="000000"/>
              </a:solidFill>
            </a:endParaRPr>
          </a:p>
        </c:rich>
      </c:tx>
      <c:layout>
        <c:manualLayout>
          <c:xMode val="edge"/>
          <c:yMode val="edge"/>
          <c:x val="0.36155444313137086"/>
          <c:y val="0"/>
        </c:manualLayout>
      </c:layout>
      <c:overlay val="0"/>
      <c:spPr>
        <a:noFill/>
        <a:ln>
          <a:noFill/>
        </a:ln>
        <a:effectLst/>
      </c:spPr>
      <c:txPr>
        <a:bodyPr rot="0" spcFirstLastPara="1" vertOverflow="ellipsis" vert="horz" wrap="square" anchor="ctr" anchorCtr="1"/>
        <a:lstStyle/>
        <a:p>
          <a:pPr>
            <a:defRPr sz="1200" b="1" i="0" u="none" strike="noStrike" kern="1200" baseline="0">
              <a:solidFill>
                <a:sysClr val="windowText" lastClr="000000"/>
              </a:solidFill>
              <a:latin typeface="+mn-lt"/>
              <a:ea typeface="+mn-ea"/>
              <a:cs typeface="+mn-cs"/>
            </a:defRPr>
          </a:pPr>
          <a:endParaRPr lang="en-US"/>
        </a:p>
      </c:txPr>
    </c:title>
    <c:autoTitleDeleted val="0"/>
    <c:plotArea>
      <c:layout>
        <c:manualLayout>
          <c:layoutTarget val="inner"/>
          <c:xMode val="edge"/>
          <c:yMode val="edge"/>
          <c:x val="0.10587844058759671"/>
          <c:y val="5.2914432573661359E-2"/>
          <c:w val="0.84333349635643373"/>
          <c:h val="0.59672864050993113"/>
        </c:manualLayout>
      </c:layout>
      <c:barChart>
        <c:barDir val="col"/>
        <c:grouping val="clustered"/>
        <c:varyColors val="0"/>
        <c:ser>
          <c:idx val="0"/>
          <c:order val="0"/>
          <c:tx>
            <c:strRef>
              <c:f>Sheet1!$B$1</c:f>
              <c:strCache>
                <c:ptCount val="1"/>
                <c:pt idx="0">
                  <c:v>Non-advertised (excludes unknowns)</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dLbl>
              <c:idx val="0"/>
              <c:layout>
                <c:manualLayout>
                  <c:x val="-1.1805555555555555E-2"/>
                  <c:y val="1.3993353157250307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7.0912620297463131E-3"/>
                  <c:y val="1.0495014867937729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4.8428632284838744E-3"/>
                  <c:y val="1.3993353157250242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9.0458223972003492E-3"/>
                  <c:y val="1.3993353157250307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8.3877405949257609E-3"/>
                  <c:y val="1.7913420259235122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2014-15 </c:v>
                </c:pt>
                <c:pt idx="1">
                  <c:v>2015-16*</c:v>
                </c:pt>
                <c:pt idx="2">
                  <c:v>2016-17*</c:v>
                </c:pt>
                <c:pt idx="3">
                  <c:v>2017-18</c:v>
                </c:pt>
                <c:pt idx="4">
                  <c:v>2018-19</c:v>
                </c:pt>
              </c:strCache>
            </c:strRef>
          </c:cat>
          <c:val>
            <c:numRef>
              <c:f>Sheet1!$B$2:$B$6</c:f>
              <c:numCache>
                <c:formatCode>#\ ###</c:formatCode>
                <c:ptCount val="5"/>
                <c:pt idx="0">
                  <c:v>2</c:v>
                </c:pt>
                <c:pt idx="1">
                  <c:v>0</c:v>
                </c:pt>
                <c:pt idx="2">
                  <c:v>0</c:v>
                </c:pt>
                <c:pt idx="3">
                  <c:v>1</c:v>
                </c:pt>
                <c:pt idx="4">
                  <c:v>2</c:v>
                </c:pt>
              </c:numCache>
            </c:numRef>
          </c:val>
        </c:ser>
        <c:ser>
          <c:idx val="1"/>
          <c:order val="1"/>
          <c:tx>
            <c:strRef>
              <c:f>Sheet1!$C$1</c:f>
              <c:strCache>
                <c:ptCount val="1"/>
                <c:pt idx="0">
                  <c:v>Advertised</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dLbl>
              <c:idx val="0"/>
              <c:layout>
                <c:manualLayout>
                  <c:x val="-3.6362642169728785E-5"/>
                  <c:y val="1.3494220166680669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1.387084426946638E-2"/>
                  <c:y val="8.4345762534436856E-4"/>
                </c:manualLayout>
              </c:layout>
              <c:tx>
                <c:rich>
                  <a:bodyPr/>
                  <a:lstStyle/>
                  <a:p>
                    <a:r>
                      <a:rPr lang="en-US"/>
                      <a:t>N/A</a:t>
                    </a:r>
                  </a:p>
                </c:rich>
              </c:tx>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2.361111111111111E-2"/>
                  <c:y val="-2.2331518512958312E-3"/>
                </c:manualLayout>
              </c:layout>
              <c:tx>
                <c:rich>
                  <a:bodyPr/>
                  <a:lstStyle/>
                  <a:p>
                    <a:r>
                      <a:rPr lang="en-US"/>
                      <a:t>N/A</a:t>
                    </a:r>
                  </a:p>
                </c:rich>
              </c:tx>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
                  <c:y val="1.5258539595267035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1.8044619422699492E-5"/>
                  <c:y val="1.0495014867937729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2014-15 </c:v>
                </c:pt>
                <c:pt idx="1">
                  <c:v>2015-16*</c:v>
                </c:pt>
                <c:pt idx="2">
                  <c:v>2016-17*</c:v>
                </c:pt>
                <c:pt idx="3">
                  <c:v>2017-18</c:v>
                </c:pt>
                <c:pt idx="4">
                  <c:v>2018-19</c:v>
                </c:pt>
              </c:strCache>
            </c:strRef>
          </c:cat>
          <c:val>
            <c:numRef>
              <c:f>Sheet1!$C$2:$C$6</c:f>
              <c:numCache>
                <c:formatCode>#\ ###</c:formatCode>
                <c:ptCount val="5"/>
                <c:pt idx="0">
                  <c:v>5</c:v>
                </c:pt>
                <c:pt idx="1">
                  <c:v>0</c:v>
                </c:pt>
                <c:pt idx="2">
                  <c:v>0</c:v>
                </c:pt>
                <c:pt idx="3">
                  <c:v>2</c:v>
                </c:pt>
                <c:pt idx="4">
                  <c:v>5</c:v>
                </c:pt>
              </c:numCache>
            </c:numRef>
          </c:val>
        </c:ser>
        <c:dLbls>
          <c:showLegendKey val="0"/>
          <c:showVal val="0"/>
          <c:showCatName val="0"/>
          <c:showSerName val="0"/>
          <c:showPercent val="0"/>
          <c:showBubbleSize val="0"/>
        </c:dLbls>
        <c:gapWidth val="150"/>
        <c:axId val="362497136"/>
        <c:axId val="362498312"/>
      </c:barChart>
      <c:catAx>
        <c:axId val="362497136"/>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362498312"/>
        <c:crosses val="autoZero"/>
        <c:auto val="1"/>
        <c:lblAlgn val="ctr"/>
        <c:lblOffset val="100"/>
        <c:noMultiLvlLbl val="0"/>
      </c:catAx>
      <c:valAx>
        <c:axId val="362498312"/>
        <c:scaling>
          <c:orientation val="minMax"/>
        </c:scaling>
        <c:delete val="0"/>
        <c:axPos val="l"/>
        <c:numFmt formatCode="#\ ###"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362497136"/>
        <c:crosses val="autoZero"/>
        <c:crossBetween val="between"/>
      </c:valAx>
      <c:spPr>
        <a:noFill/>
        <a:ln>
          <a:noFill/>
        </a:ln>
        <a:effectLst/>
      </c:spPr>
    </c:plotArea>
    <c:legend>
      <c:legendPos val="b"/>
      <c:layout>
        <c:manualLayout>
          <c:xMode val="edge"/>
          <c:yMode val="edge"/>
          <c:x val="1.3961605584642234E-2"/>
          <c:y val="0.70815236778278368"/>
          <c:w val="0.98603839441535779"/>
          <c:h val="0.11162949567459393"/>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userShapes r:id="rId4"/>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baseline="0">
                <a:solidFill>
                  <a:sysClr val="windowText" lastClr="000000"/>
                </a:solidFill>
                <a:latin typeface="+mn-lt"/>
                <a:ea typeface="+mn-ea"/>
                <a:cs typeface="+mn-cs"/>
              </a:defRPr>
            </a:pPr>
            <a:r>
              <a:rPr lang="en-CA" sz="1200">
                <a:solidFill>
                  <a:sysClr val="windowText" lastClr="000000"/>
                </a:solidFill>
              </a:rPr>
              <a:t>Staffing</a:t>
            </a:r>
            <a:r>
              <a:rPr lang="en-CA" sz="1200" baseline="0">
                <a:solidFill>
                  <a:sysClr val="windowText" lastClr="000000"/>
                </a:solidFill>
              </a:rPr>
              <a:t> by appointment type</a:t>
            </a:r>
            <a:endParaRPr lang="en-CA" sz="1200">
              <a:solidFill>
                <a:sysClr val="windowText" lastClr="000000"/>
              </a:solidFill>
            </a:endParaRPr>
          </a:p>
        </c:rich>
      </c:tx>
      <c:layout>
        <c:manualLayout>
          <c:xMode val="edge"/>
          <c:yMode val="edge"/>
          <c:x val="0.344502485250052"/>
          <c:y val="2.4994792751510102E-2"/>
        </c:manualLayout>
      </c:layout>
      <c:overlay val="0"/>
      <c:spPr>
        <a:noFill/>
        <a:ln>
          <a:noFill/>
        </a:ln>
        <a:effectLst/>
      </c:spPr>
      <c:txPr>
        <a:bodyPr rot="0" spcFirstLastPara="1" vertOverflow="ellipsis" vert="horz" wrap="square" anchor="ctr" anchorCtr="1"/>
        <a:lstStyle/>
        <a:p>
          <a:pPr>
            <a:defRPr sz="1200" b="1" i="0" u="none" strike="noStrike" kern="1200" baseline="0">
              <a:solidFill>
                <a:sysClr val="windowText" lastClr="000000"/>
              </a:solidFill>
              <a:latin typeface="+mn-lt"/>
              <a:ea typeface="+mn-ea"/>
              <a:cs typeface="+mn-cs"/>
            </a:defRPr>
          </a:pPr>
          <a:endParaRPr lang="en-US"/>
        </a:p>
      </c:txPr>
    </c:title>
    <c:autoTitleDeleted val="0"/>
    <c:view3D>
      <c:rotX val="0"/>
      <c:rotY val="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0740835520559928"/>
          <c:y val="0.1339700040434969"/>
          <c:w val="0.84333349635643373"/>
          <c:h val="0.5659525943872401"/>
        </c:manualLayout>
      </c:layout>
      <c:bar3DChart>
        <c:barDir val="col"/>
        <c:grouping val="clustered"/>
        <c:varyColors val="0"/>
        <c:ser>
          <c:idx val="0"/>
          <c:order val="0"/>
          <c:tx>
            <c:strRef>
              <c:f>Sheet1!$B$1</c:f>
              <c:strCache>
                <c:ptCount val="1"/>
                <c:pt idx="0">
                  <c:v>Promotions</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dLbl>
              <c:idx val="0"/>
              <c:layout>
                <c:manualLayout>
                  <c:x val="-9.62729658792651E-3"/>
                  <c:y val="2.5887825560266507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1.1111111111111112E-2"/>
                  <c:y val="2.3702806379971811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8.3333333333334356E-3"/>
                  <c:y val="2.3885322027054311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1.3888888888888888E-2"/>
                  <c:y val="2.3520290732889158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2.7777777777777779E-3"/>
                  <c:y val="1.9782757924490208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Sheet1!$A$3:$A$7</c:f>
              <c:strCache>
                <c:ptCount val="5"/>
                <c:pt idx="0">
                  <c:v>2014-15 
(N=22)</c:v>
                </c:pt>
                <c:pt idx="1">
                  <c:v>2015-16
(N=16)</c:v>
                </c:pt>
                <c:pt idx="2">
                  <c:v>2016-17 
(N=19)</c:v>
                </c:pt>
                <c:pt idx="3">
                  <c:v>2017-18
(N=17)</c:v>
                </c:pt>
                <c:pt idx="4">
                  <c:v>2018-19
(N=17)</c:v>
                </c:pt>
              </c:strCache>
            </c:strRef>
          </c:cat>
          <c:val>
            <c:numRef>
              <c:f>Sheet1!$B$3:$B$7</c:f>
              <c:numCache>
                <c:formatCode>#\ ###</c:formatCode>
                <c:ptCount val="5"/>
                <c:pt idx="0">
                  <c:v>3</c:v>
                </c:pt>
                <c:pt idx="1">
                  <c:v>0</c:v>
                </c:pt>
                <c:pt idx="2">
                  <c:v>0</c:v>
                </c:pt>
                <c:pt idx="3">
                  <c:v>1</c:v>
                </c:pt>
                <c:pt idx="4">
                  <c:v>4</c:v>
                </c:pt>
              </c:numCache>
            </c:numRef>
          </c:val>
        </c:ser>
        <c:ser>
          <c:idx val="1"/>
          <c:order val="1"/>
          <c:tx>
            <c:strRef>
              <c:f>Sheet1!$C$1</c:f>
              <c:strCache>
                <c:ptCount val="1"/>
                <c:pt idx="0">
                  <c:v>Lateral and downward movements</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dLbl>
              <c:idx val="0"/>
              <c:layout>
                <c:manualLayout>
                  <c:x val="-5.5555555555555558E-3"/>
                  <c:y val="2.3885322027054311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8.3333333333333332E-3"/>
                  <c:y val="1.1212598425196774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
                  <c:y val="1.5862709469008682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5.5555555555555558E-3"/>
                  <c:y val="1.5862709469008605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
                  <c:y val="1.1395114072279427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Sheet1!$A$3:$A$7</c:f>
              <c:strCache>
                <c:ptCount val="5"/>
                <c:pt idx="0">
                  <c:v>2014-15 
(N=22)</c:v>
                </c:pt>
                <c:pt idx="1">
                  <c:v>2015-16
(N=16)</c:v>
                </c:pt>
                <c:pt idx="2">
                  <c:v>2016-17 
(N=19)</c:v>
                </c:pt>
                <c:pt idx="3">
                  <c:v>2017-18
(N=17)</c:v>
                </c:pt>
                <c:pt idx="4">
                  <c:v>2018-19
(N=17)</c:v>
                </c:pt>
              </c:strCache>
            </c:strRef>
          </c:cat>
          <c:val>
            <c:numRef>
              <c:f>Sheet1!$C$3:$C$7</c:f>
              <c:numCache>
                <c:formatCode>#\ ###</c:formatCode>
                <c:ptCount val="5"/>
                <c:pt idx="0">
                  <c:v>1</c:v>
                </c:pt>
                <c:pt idx="1">
                  <c:v>1</c:v>
                </c:pt>
                <c:pt idx="2">
                  <c:v>4</c:v>
                </c:pt>
                <c:pt idx="3">
                  <c:v>1</c:v>
                </c:pt>
                <c:pt idx="4">
                  <c:v>1</c:v>
                </c:pt>
              </c:numCache>
            </c:numRef>
          </c:val>
        </c:ser>
        <c:ser>
          <c:idx val="2"/>
          <c:order val="2"/>
          <c:tx>
            <c:strRef>
              <c:f>Sheet1!$D$1</c:f>
              <c:strCache>
                <c:ptCount val="1"/>
                <c:pt idx="0">
                  <c:v>Appointments to the public service  (includes casuals and students)</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dLbl>
              <c:idx val="0"/>
              <c:layout>
                <c:manualLayout>
                  <c:x val="2.7777777777777779E-3"/>
                  <c:y val="2.014778921865536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8.2852143482059644E-4"/>
                  <c:y val="1.200500706642439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2.7777777777777779E-3"/>
                  <c:y val="2.3885322027054234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2.7777777777777779E-3"/>
                  <c:y val="2.3702806379971735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3.6062992125984253E-3"/>
                  <c:y val="2.3885322027054293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Sheet1!$A$3:$A$7</c:f>
              <c:strCache>
                <c:ptCount val="5"/>
                <c:pt idx="0">
                  <c:v>2014-15 
(N=22)</c:v>
                </c:pt>
                <c:pt idx="1">
                  <c:v>2015-16
(N=16)</c:v>
                </c:pt>
                <c:pt idx="2">
                  <c:v>2016-17 
(N=19)</c:v>
                </c:pt>
                <c:pt idx="3">
                  <c:v>2017-18
(N=17)</c:v>
                </c:pt>
                <c:pt idx="4">
                  <c:v>2018-19
(N=17)</c:v>
                </c:pt>
              </c:strCache>
            </c:strRef>
          </c:cat>
          <c:val>
            <c:numRef>
              <c:f>Sheet1!$D$3:$D$7</c:f>
              <c:numCache>
                <c:formatCode>#\ ###</c:formatCode>
                <c:ptCount val="5"/>
                <c:pt idx="0">
                  <c:v>17</c:v>
                </c:pt>
                <c:pt idx="1">
                  <c:v>15</c:v>
                </c:pt>
                <c:pt idx="2">
                  <c:v>15</c:v>
                </c:pt>
                <c:pt idx="3">
                  <c:v>14</c:v>
                </c:pt>
                <c:pt idx="4">
                  <c:v>12</c:v>
                </c:pt>
              </c:numCache>
            </c:numRef>
          </c:val>
        </c:ser>
        <c:ser>
          <c:idx val="3"/>
          <c:order val="3"/>
          <c:tx>
            <c:strRef>
              <c:f>Sheet1!$E$1</c:f>
              <c:strCache>
                <c:ptCount val="1"/>
                <c:pt idx="0">
                  <c:v>Acting appointments (excludes appointments of less than 4 months)</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dLbl>
              <c:idx val="0"/>
              <c:layout>
                <c:manualLayout>
                  <c:x val="-2.5462668816039986E-17"/>
                  <c:y val="1.9600242277407556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5.5555555555556061E-3"/>
                  <c:y val="2.0330304865737937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8.3333333333333332E-3"/>
                  <c:y val="2.0695336159903013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3.6062992125984253E-3"/>
                  <c:y val="2.039265091863517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9.1618547681539802E-3"/>
                  <c:y val="2.3885322027054234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Sheet1!$A$3:$A$7</c:f>
              <c:strCache>
                <c:ptCount val="5"/>
                <c:pt idx="0">
                  <c:v>2014-15 
(N=22)</c:v>
                </c:pt>
                <c:pt idx="1">
                  <c:v>2015-16
(N=16)</c:v>
                </c:pt>
                <c:pt idx="2">
                  <c:v>2016-17 
(N=19)</c:v>
                </c:pt>
                <c:pt idx="3">
                  <c:v>2017-18
(N=17)</c:v>
                </c:pt>
                <c:pt idx="4">
                  <c:v>2018-19
(N=17)</c:v>
                </c:pt>
              </c:strCache>
            </c:strRef>
          </c:cat>
          <c:val>
            <c:numRef>
              <c:f>Sheet1!$E$3:$E$7</c:f>
              <c:numCache>
                <c:formatCode>#\ ###</c:formatCode>
                <c:ptCount val="5"/>
                <c:pt idx="0">
                  <c:v>1</c:v>
                </c:pt>
                <c:pt idx="1">
                  <c:v>0</c:v>
                </c:pt>
                <c:pt idx="2">
                  <c:v>0</c:v>
                </c:pt>
                <c:pt idx="3">
                  <c:v>1</c:v>
                </c:pt>
                <c:pt idx="4">
                  <c:v>0</c:v>
                </c:pt>
              </c:numCache>
            </c:numRef>
          </c:val>
        </c:ser>
        <c:dLbls>
          <c:showLegendKey val="0"/>
          <c:showVal val="0"/>
          <c:showCatName val="0"/>
          <c:showSerName val="0"/>
          <c:showPercent val="0"/>
          <c:showBubbleSize val="0"/>
        </c:dLbls>
        <c:gapWidth val="150"/>
        <c:shape val="box"/>
        <c:axId val="362500272"/>
        <c:axId val="362500664"/>
        <c:axId val="0"/>
      </c:bar3DChart>
      <c:catAx>
        <c:axId val="362500272"/>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0" spcFirstLastPara="1" vertOverflow="ellipsis" wrap="square" anchor="ctr" anchorCtr="1"/>
          <a:lstStyle/>
          <a:p>
            <a:pPr>
              <a:defRPr sz="900" b="0" i="0" u="none" strike="noStrike" kern="1200" baseline="0">
                <a:solidFill>
                  <a:sysClr val="windowText" lastClr="000000"/>
                </a:solidFill>
                <a:latin typeface="+mn-lt"/>
                <a:ea typeface="+mn-ea"/>
                <a:cs typeface="+mn-cs"/>
              </a:defRPr>
            </a:pPr>
            <a:endParaRPr lang="en-US"/>
          </a:p>
        </c:txPr>
        <c:crossAx val="362500664"/>
        <c:crosses val="autoZero"/>
        <c:auto val="0"/>
        <c:lblAlgn val="ctr"/>
        <c:lblOffset val="100"/>
        <c:noMultiLvlLbl val="0"/>
      </c:catAx>
      <c:valAx>
        <c:axId val="362500664"/>
        <c:scaling>
          <c:orientation val="minMax"/>
        </c:scaling>
        <c:delete val="0"/>
        <c:axPos val="l"/>
        <c:numFmt formatCode="#\ ###"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362500272"/>
        <c:crosses val="autoZero"/>
        <c:crossBetween val="between"/>
      </c:valAx>
      <c:spPr>
        <a:noFill/>
        <a:ln>
          <a:noFill/>
        </a:ln>
        <a:effectLst/>
      </c:spPr>
    </c:plotArea>
    <c:legend>
      <c:legendPos val="r"/>
      <c:layout>
        <c:manualLayout>
          <c:xMode val="edge"/>
          <c:yMode val="edge"/>
          <c:x val="0"/>
          <c:y val="0.80998182919442763"/>
          <c:w val="1"/>
          <c:h val="0.19001817080557237"/>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baseline="0">
                <a:solidFill>
                  <a:sysClr val="windowText" lastClr="000000"/>
                </a:solidFill>
                <a:latin typeface="+mn-lt"/>
                <a:ea typeface="+mn-ea"/>
                <a:cs typeface="+mn-cs"/>
              </a:defRPr>
            </a:pPr>
            <a:r>
              <a:rPr lang="en-CA" sz="1200">
                <a:solidFill>
                  <a:sysClr val="windowText" lastClr="000000"/>
                </a:solidFill>
              </a:rPr>
              <a:t>Staffing by</a:t>
            </a:r>
            <a:r>
              <a:rPr lang="en-CA" sz="1200" baseline="0">
                <a:solidFill>
                  <a:sysClr val="windowText" lastClr="000000"/>
                </a:solidFill>
              </a:rPr>
              <a:t> tenure</a:t>
            </a:r>
            <a:endParaRPr lang="en-CA" sz="1200">
              <a:solidFill>
                <a:sysClr val="windowText" lastClr="000000"/>
              </a:solidFill>
            </a:endParaRPr>
          </a:p>
        </c:rich>
      </c:tx>
      <c:layout>
        <c:manualLayout>
          <c:xMode val="edge"/>
          <c:yMode val="edge"/>
          <c:x val="0.39970770095559305"/>
          <c:y val="2.4994792751510102E-2"/>
        </c:manualLayout>
      </c:layout>
      <c:overlay val="0"/>
      <c:spPr>
        <a:noFill/>
        <a:ln>
          <a:noFill/>
        </a:ln>
        <a:effectLst/>
      </c:spPr>
      <c:txPr>
        <a:bodyPr rot="0" spcFirstLastPara="1" vertOverflow="ellipsis" vert="horz" wrap="square" anchor="ctr" anchorCtr="1"/>
        <a:lstStyle/>
        <a:p>
          <a:pPr>
            <a:defRPr sz="1200" b="1" i="0" u="none" strike="noStrike" kern="1200" baseline="0">
              <a:solidFill>
                <a:sysClr val="windowText" lastClr="000000"/>
              </a:solidFill>
              <a:latin typeface="+mn-lt"/>
              <a:ea typeface="+mn-ea"/>
              <a:cs typeface="+mn-cs"/>
            </a:defRPr>
          </a:pPr>
          <a:endParaRPr lang="en-US"/>
        </a:p>
      </c:txPr>
    </c:title>
    <c:autoTitleDeleted val="0"/>
    <c:view3D>
      <c:rotX val="0"/>
      <c:rotY val="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0740835520559928"/>
          <c:y val="0.13132759943468605"/>
          <c:w val="0.86277799650043729"/>
          <c:h val="0.57944227740763177"/>
        </c:manualLayout>
      </c:layout>
      <c:bar3DChart>
        <c:barDir val="col"/>
        <c:grouping val="clustered"/>
        <c:varyColors val="0"/>
        <c:ser>
          <c:idx val="0"/>
          <c:order val="0"/>
          <c:tx>
            <c:strRef>
              <c:f>Sheet1!$B$1</c:f>
              <c:strCache>
                <c:ptCount val="1"/>
                <c:pt idx="0">
                  <c:v>Indeterminate</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dLbl>
              <c:idx val="0"/>
              <c:layout>
                <c:manualLayout>
                  <c:x val="-2.7777777777777779E-3"/>
                  <c:y val="2.3702806379971735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
                  <c:y val="1.9600156801254411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2.7777777777778798E-3"/>
                  <c:y val="1.9600156801254338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2.7777777777778798E-3"/>
                  <c:y val="1.9782757924490191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5.5555555555555558E-3"/>
                  <c:y val="1.9600242277407594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2014-15
 (N=22)</c:v>
                </c:pt>
                <c:pt idx="1">
                  <c:v>2015-16
 (N=16)</c:v>
                </c:pt>
                <c:pt idx="2">
                  <c:v>2016-17
 (N=19)</c:v>
                </c:pt>
                <c:pt idx="3">
                  <c:v>2017-18
 (N=17)</c:v>
                </c:pt>
                <c:pt idx="4">
                  <c:v>2018-19
 (N=17)</c:v>
                </c:pt>
              </c:strCache>
            </c:strRef>
          </c:cat>
          <c:val>
            <c:numRef>
              <c:f>Sheet1!$B$2:$B$6</c:f>
              <c:numCache>
                <c:formatCode>#\ ###</c:formatCode>
                <c:ptCount val="5"/>
                <c:pt idx="0">
                  <c:v>6</c:v>
                </c:pt>
                <c:pt idx="1">
                  <c:v>1</c:v>
                </c:pt>
                <c:pt idx="2">
                  <c:v>4</c:v>
                </c:pt>
                <c:pt idx="3">
                  <c:v>3</c:v>
                </c:pt>
                <c:pt idx="4">
                  <c:v>7</c:v>
                </c:pt>
              </c:numCache>
            </c:numRef>
          </c:val>
        </c:ser>
        <c:ser>
          <c:idx val="1"/>
          <c:order val="1"/>
          <c:tx>
            <c:strRef>
              <c:f>Sheet1!$C$1</c:f>
              <c:strCache>
                <c:ptCount val="1"/>
                <c:pt idx="0">
                  <c:v>Term</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dLbl>
              <c:idx val="0"/>
              <c:layout>
                <c:manualLayout>
                  <c:x val="0"/>
                  <c:y val="2.3520290732889082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5.0925337632079971E-17"/>
                  <c:y val="2.4250353321219387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2.7777777777777779E-3"/>
                  <c:y val="2.3702806379971811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
                  <c:y val="2.3702806379971735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2.7777777777777779E-3"/>
                  <c:y val="1.9600242277407632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2014-15
 (N=22)</c:v>
                </c:pt>
                <c:pt idx="1">
                  <c:v>2015-16
 (N=16)</c:v>
                </c:pt>
                <c:pt idx="2">
                  <c:v>2016-17
 (N=19)</c:v>
                </c:pt>
                <c:pt idx="3">
                  <c:v>2017-18
 (N=17)</c:v>
                </c:pt>
                <c:pt idx="4">
                  <c:v>2018-19
 (N=17)</c:v>
                </c:pt>
              </c:strCache>
            </c:strRef>
          </c:cat>
          <c:val>
            <c:numRef>
              <c:f>Sheet1!$C$2:$C$6</c:f>
              <c:numCache>
                <c:formatCode>#\ ###</c:formatCode>
                <c:ptCount val="5"/>
                <c:pt idx="0">
                  <c:v>4</c:v>
                </c:pt>
                <c:pt idx="1">
                  <c:v>2</c:v>
                </c:pt>
                <c:pt idx="2">
                  <c:v>2</c:v>
                </c:pt>
                <c:pt idx="3">
                  <c:v>2</c:v>
                </c:pt>
                <c:pt idx="4">
                  <c:v>2</c:v>
                </c:pt>
              </c:numCache>
            </c:numRef>
          </c:val>
        </c:ser>
        <c:ser>
          <c:idx val="2"/>
          <c:order val="2"/>
          <c:tx>
            <c:strRef>
              <c:f>Sheet1!$D$1</c:f>
              <c:strCache>
                <c:ptCount val="1"/>
                <c:pt idx="0">
                  <c:v>Casual</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dLbl>
              <c:idx val="0"/>
              <c:layout>
                <c:manualLayout>
                  <c:x val="2.7777777777777779E-3"/>
                  <c:y val="1.2125176660609732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5.5555555555555558E-3"/>
                  <c:y val="2.3702806379971735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2.7777777777777779E-3"/>
                  <c:y val="1.5497678174843529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
                  <c:y val="1.5497678174843455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5.5555555555555558E-3"/>
                  <c:y val="2.3885322027054311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2014-15
 (N=22)</c:v>
                </c:pt>
                <c:pt idx="1">
                  <c:v>2015-16
 (N=16)</c:v>
                </c:pt>
                <c:pt idx="2">
                  <c:v>2016-17
 (N=19)</c:v>
                </c:pt>
                <c:pt idx="3">
                  <c:v>2017-18
 (N=17)</c:v>
                </c:pt>
                <c:pt idx="4">
                  <c:v>2018-19
 (N=17)</c:v>
                </c:pt>
              </c:strCache>
            </c:strRef>
          </c:cat>
          <c:val>
            <c:numRef>
              <c:f>Sheet1!$D$2:$D$6</c:f>
              <c:numCache>
                <c:formatCode>#\ ###</c:formatCode>
                <c:ptCount val="5"/>
                <c:pt idx="0">
                  <c:v>6</c:v>
                </c:pt>
                <c:pt idx="1">
                  <c:v>6</c:v>
                </c:pt>
                <c:pt idx="2">
                  <c:v>6</c:v>
                </c:pt>
                <c:pt idx="3">
                  <c:v>2</c:v>
                </c:pt>
                <c:pt idx="4">
                  <c:v>1</c:v>
                </c:pt>
              </c:numCache>
            </c:numRef>
          </c:val>
        </c:ser>
        <c:ser>
          <c:idx val="3"/>
          <c:order val="3"/>
          <c:tx>
            <c:strRef>
              <c:f>Sheet1!$E$1</c:f>
              <c:strCache>
                <c:ptCount val="1"/>
                <c:pt idx="0">
                  <c:v>Student</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dLbl>
              <c:idx val="0"/>
              <c:layout>
                <c:manualLayout>
                  <c:x val="2.7777777777777779E-3"/>
                  <c:y val="2.4250353321219463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5.5555555555555558E-3"/>
                  <c:y val="2.7622854835453261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2.777777777777676E-3"/>
                  <c:y val="2.7622854835453185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2.7777777777777779E-3"/>
                  <c:y val="2.4067837674136887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2.7777777777778798E-3"/>
                  <c:y val="2.3702806379971735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2014-15
 (N=22)</c:v>
                </c:pt>
                <c:pt idx="1">
                  <c:v>2015-16
 (N=16)</c:v>
                </c:pt>
                <c:pt idx="2">
                  <c:v>2016-17
 (N=19)</c:v>
                </c:pt>
                <c:pt idx="3">
                  <c:v>2017-18
 (N=17)</c:v>
                </c:pt>
                <c:pt idx="4">
                  <c:v>2018-19
 (N=17)</c:v>
                </c:pt>
              </c:strCache>
            </c:strRef>
          </c:cat>
          <c:val>
            <c:numRef>
              <c:f>Sheet1!$E$2:$E$6</c:f>
              <c:numCache>
                <c:formatCode>#\ ###</c:formatCode>
                <c:ptCount val="5"/>
                <c:pt idx="0">
                  <c:v>6</c:v>
                </c:pt>
                <c:pt idx="1">
                  <c:v>7</c:v>
                </c:pt>
                <c:pt idx="2">
                  <c:v>7</c:v>
                </c:pt>
                <c:pt idx="3">
                  <c:v>10</c:v>
                </c:pt>
                <c:pt idx="4">
                  <c:v>7</c:v>
                </c:pt>
              </c:numCache>
            </c:numRef>
          </c:val>
        </c:ser>
        <c:dLbls>
          <c:showLegendKey val="0"/>
          <c:showVal val="1"/>
          <c:showCatName val="0"/>
          <c:showSerName val="0"/>
          <c:showPercent val="0"/>
          <c:showBubbleSize val="0"/>
        </c:dLbls>
        <c:gapWidth val="150"/>
        <c:shape val="box"/>
        <c:axId val="365605800"/>
        <c:axId val="365606192"/>
        <c:axId val="0"/>
      </c:bar3DChart>
      <c:catAx>
        <c:axId val="365605800"/>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365606192"/>
        <c:crosses val="autoZero"/>
        <c:auto val="1"/>
        <c:lblAlgn val="ctr"/>
        <c:lblOffset val="100"/>
        <c:noMultiLvlLbl val="0"/>
      </c:catAx>
      <c:valAx>
        <c:axId val="365606192"/>
        <c:scaling>
          <c:orientation val="minMax"/>
        </c:scaling>
        <c:delete val="0"/>
        <c:axPos val="l"/>
        <c:numFmt formatCode="#\ ###"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365605800"/>
        <c:crosses val="autoZero"/>
        <c:crossBetween val="between"/>
      </c:valAx>
      <c:spPr>
        <a:noFill/>
        <a:ln>
          <a:noFill/>
        </a:ln>
        <a:effectLst/>
      </c:spPr>
    </c:plotArea>
    <c:legend>
      <c:legendPos val="r"/>
      <c:layout>
        <c:manualLayout>
          <c:xMode val="edge"/>
          <c:yMode val="edge"/>
          <c:x val="5.8333333333333334E-2"/>
          <c:y val="0.83577920452251164"/>
          <c:w val="0.87922681539807512"/>
          <c:h val="0.13140028265697559"/>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347">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1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347">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2.xml><?xml version="1.0" encoding="utf-8"?>
<cs:chartStyle xmlns:cs="http://schemas.microsoft.com/office/drawing/2012/chartStyle" xmlns:a="http://schemas.openxmlformats.org/drawingml/2006/main" id="347">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347">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347">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7.xml><?xml version="1.0" encoding="utf-8"?>
<cs:chartStyle xmlns:cs="http://schemas.microsoft.com/office/drawing/2012/chartStyle" xmlns:a="http://schemas.openxmlformats.org/drawingml/2006/main" id="347">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8.xml><?xml version="1.0" encoding="utf-8"?>
<cs:chartStyle xmlns:cs="http://schemas.microsoft.com/office/drawing/2012/chartStyle" xmlns:a="http://schemas.openxmlformats.org/drawingml/2006/main" id="347">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9.xml><?xml version="1.0" encoding="utf-8"?>
<cs:chartStyle xmlns:cs="http://schemas.microsoft.com/office/drawing/2012/chartStyle" xmlns:a="http://schemas.openxmlformats.org/drawingml/2006/main" id="347">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drawings/drawing1.xml><?xml version="1.0" encoding="utf-8"?>
<c:userShapes xmlns:c="http://schemas.openxmlformats.org/drawingml/2006/chart">
  <cdr:relSizeAnchor xmlns:cdr="http://schemas.openxmlformats.org/drawingml/2006/chartDrawing">
    <cdr:from>
      <cdr:x>0.01772</cdr:x>
      <cdr:y>0.94455</cdr:y>
    </cdr:from>
    <cdr:to>
      <cdr:x>0.9823</cdr:x>
      <cdr:y>1</cdr:y>
    </cdr:to>
    <cdr:sp macro="" textlink="">
      <cdr:nvSpPr>
        <cdr:cNvPr id="2" name="Text Box 1"/>
        <cdr:cNvSpPr txBox="1"/>
      </cdr:nvSpPr>
      <cdr:spPr>
        <a:xfrm xmlns:a="http://schemas.openxmlformats.org/drawingml/2006/main">
          <a:off x="60897" y="3429000"/>
          <a:ext cx="3314895" cy="201295"/>
        </a:xfrm>
        <a:prstGeom xmlns:a="http://schemas.openxmlformats.org/drawingml/2006/main" prst="rect">
          <a:avLst/>
        </a:prstGeom>
      </cdr:spPr>
      <cdr:txBody>
        <a:bodyPr xmlns:a="http://schemas.openxmlformats.org/drawingml/2006/main" vertOverflow="clip" wrap="square" tIns="0" bIns="0" rtlCol="0"/>
        <a:lstStyle xmlns:a="http://schemas.openxmlformats.org/drawingml/2006/main"/>
        <a:p xmlns:a="http://schemas.openxmlformats.org/drawingml/2006/main">
          <a:pPr algn="ctr">
            <a:lnSpc>
              <a:spcPts val="900"/>
            </a:lnSpc>
          </a:pPr>
          <a:r>
            <a:rPr lang="en-CA" sz="850"/>
            <a:t>Unknowns= 5</a:t>
          </a:r>
        </a:p>
      </cdr:txBody>
    </cdr:sp>
  </cdr:relSizeAnchor>
</c:userShapes>
</file>

<file path=word/drawings/drawing2.xml><?xml version="1.0" encoding="utf-8"?>
<c:userShapes xmlns:c="http://schemas.openxmlformats.org/drawingml/2006/chart">
  <cdr:relSizeAnchor xmlns:cdr="http://schemas.openxmlformats.org/drawingml/2006/chartDrawing">
    <cdr:from>
      <cdr:x>0.01772</cdr:x>
      <cdr:y>0.94455</cdr:y>
    </cdr:from>
    <cdr:to>
      <cdr:x>0.9823</cdr:x>
      <cdr:y>1</cdr:y>
    </cdr:to>
    <cdr:sp macro="" textlink="">
      <cdr:nvSpPr>
        <cdr:cNvPr id="2" name="Text Box 1"/>
        <cdr:cNvSpPr txBox="1"/>
      </cdr:nvSpPr>
      <cdr:spPr>
        <a:xfrm xmlns:a="http://schemas.openxmlformats.org/drawingml/2006/main">
          <a:off x="60897" y="3429000"/>
          <a:ext cx="3314895" cy="201295"/>
        </a:xfrm>
        <a:prstGeom xmlns:a="http://schemas.openxmlformats.org/drawingml/2006/main" prst="rect">
          <a:avLst/>
        </a:prstGeom>
      </cdr:spPr>
      <cdr:txBody>
        <a:bodyPr xmlns:a="http://schemas.openxmlformats.org/drawingml/2006/main" vertOverflow="clip" wrap="square" tIns="0" bIns="0" rtlCol="0"/>
        <a:lstStyle xmlns:a="http://schemas.openxmlformats.org/drawingml/2006/main"/>
        <a:p xmlns:a="http://schemas.openxmlformats.org/drawingml/2006/main">
          <a:pPr algn="ctr">
            <a:lnSpc>
              <a:spcPts val="900"/>
            </a:lnSpc>
          </a:pPr>
          <a:r>
            <a:rPr lang="en-CA" sz="850"/>
            <a:t>Unknowns= 0</a:t>
          </a:r>
        </a:p>
      </cdr:txBody>
    </cdr:sp>
  </cdr:relSizeAnchor>
</c:userShapes>
</file>

<file path=word/drawings/drawing3.xml><?xml version="1.0" encoding="utf-8"?>
<c:userShapes xmlns:c="http://schemas.openxmlformats.org/drawingml/2006/chart">
  <cdr:relSizeAnchor xmlns:cdr="http://schemas.openxmlformats.org/drawingml/2006/chartDrawing">
    <cdr:from>
      <cdr:x>0.01772</cdr:x>
      <cdr:y>0.94455</cdr:y>
    </cdr:from>
    <cdr:to>
      <cdr:x>0.9823</cdr:x>
      <cdr:y>1</cdr:y>
    </cdr:to>
    <cdr:sp macro="" textlink="">
      <cdr:nvSpPr>
        <cdr:cNvPr id="2" name="Text Box 1"/>
        <cdr:cNvSpPr txBox="1"/>
      </cdr:nvSpPr>
      <cdr:spPr>
        <a:xfrm xmlns:a="http://schemas.openxmlformats.org/drawingml/2006/main">
          <a:off x="60897" y="3429000"/>
          <a:ext cx="3314895" cy="201295"/>
        </a:xfrm>
        <a:prstGeom xmlns:a="http://schemas.openxmlformats.org/drawingml/2006/main" prst="rect">
          <a:avLst/>
        </a:prstGeom>
      </cdr:spPr>
      <cdr:txBody>
        <a:bodyPr xmlns:a="http://schemas.openxmlformats.org/drawingml/2006/main" vertOverflow="clip" wrap="square" tIns="0" bIns="0" rtlCol="0"/>
        <a:lstStyle xmlns:a="http://schemas.openxmlformats.org/drawingml/2006/main"/>
        <a:p xmlns:a="http://schemas.openxmlformats.org/drawingml/2006/main">
          <a:pPr>
            <a:lnSpc>
              <a:spcPts val="900"/>
            </a:lnSpc>
          </a:pPr>
          <a:r>
            <a:rPr lang="en-CA" sz="850"/>
            <a:t>-Regional distribution excludes unknowns</a:t>
          </a:r>
        </a:p>
      </cdr:txBody>
    </cdr:sp>
  </cdr:relSizeAnchor>
</c:userShapes>
</file>

<file path=word/drawings/drawing4.xml><?xml version="1.0" encoding="utf-8"?>
<c:userShapes xmlns:c="http://schemas.openxmlformats.org/drawingml/2006/chart">
  <cdr:relSizeAnchor xmlns:cdr="http://schemas.openxmlformats.org/drawingml/2006/chartDrawing">
    <cdr:from>
      <cdr:x>0.01772</cdr:x>
      <cdr:y>0.79237</cdr:y>
    </cdr:from>
    <cdr:to>
      <cdr:x>0.9823</cdr:x>
      <cdr:y>1</cdr:y>
    </cdr:to>
    <cdr:sp macro="" textlink="">
      <cdr:nvSpPr>
        <cdr:cNvPr id="2" name="Text Box 1"/>
        <cdr:cNvSpPr txBox="1"/>
      </cdr:nvSpPr>
      <cdr:spPr>
        <a:xfrm xmlns:a="http://schemas.openxmlformats.org/drawingml/2006/main">
          <a:off x="64813" y="2876550"/>
          <a:ext cx="3528047" cy="753745"/>
        </a:xfrm>
        <a:prstGeom xmlns:a="http://schemas.openxmlformats.org/drawingml/2006/main" prst="rect">
          <a:avLst/>
        </a:prstGeom>
      </cdr:spPr>
      <cdr:txBody>
        <a:bodyPr xmlns:a="http://schemas.openxmlformats.org/drawingml/2006/main" vertOverflow="clip" wrap="square" tIns="0" bIns="0" rtlCol="0"/>
        <a:lstStyle xmlns:a="http://schemas.openxmlformats.org/drawingml/2006/main"/>
        <a:p xmlns:a="http://schemas.openxmlformats.org/drawingml/2006/main">
          <a:pPr>
            <a:lnSpc>
              <a:spcPts val="900"/>
            </a:lnSpc>
          </a:pPr>
          <a:r>
            <a:rPr lang="en-CA" sz="850"/>
            <a:t>-</a:t>
          </a:r>
          <a:r>
            <a:rPr lang="en-CA" sz="850" baseline="0"/>
            <a:t>Includes indeterminate and specified term appointments</a:t>
          </a:r>
        </a:p>
        <a:p xmlns:a="http://schemas.openxmlformats.org/drawingml/2006/main">
          <a:pPr>
            <a:lnSpc>
              <a:spcPts val="900"/>
            </a:lnSpc>
          </a:pPr>
          <a:r>
            <a:rPr lang="en-CA" sz="850" baseline="0"/>
            <a:t>-Excludes lateral and downward movements, deployments and acting appointments  of less than 4 months</a:t>
          </a:r>
        </a:p>
        <a:p xmlns:a="http://schemas.openxmlformats.org/drawingml/2006/main">
          <a:pPr>
            <a:lnSpc>
              <a:spcPts val="900"/>
            </a:lnSpc>
          </a:pPr>
          <a:r>
            <a:rPr lang="en-CA" sz="850" baseline="0"/>
            <a:t>- Includes only appointments where the staffing process type is known </a:t>
          </a:r>
          <a:r>
            <a:rPr lang="en-CA" sz="850" baseline="0">
              <a:solidFill>
                <a:sysClr val="windowText" lastClr="000000"/>
              </a:solidFill>
            </a:rPr>
            <a:t>(75% to 88</a:t>
          </a:r>
          <a:r>
            <a:rPr lang="en-CA" sz="850" baseline="0"/>
            <a:t>% of appointments).  *Figures for 2015-2016 and 2016-2017 are not available as the staffing type is unknown.</a:t>
          </a:r>
          <a:endParaRPr lang="en-CA" sz="850"/>
        </a:p>
      </cdr:txBody>
    </cdr:sp>
  </cdr:relSizeAnchor>
</c:userShapes>
</file>

<file path=word/drawings/drawing5.xml><?xml version="1.0" encoding="utf-8"?>
<c:userShapes xmlns:c="http://schemas.openxmlformats.org/drawingml/2006/chart">
  <cdr:relSizeAnchor xmlns:cdr="http://schemas.openxmlformats.org/drawingml/2006/chartDrawing">
    <cdr:from>
      <cdr:x>0.00086</cdr:x>
      <cdr:y>0.85764</cdr:y>
    </cdr:from>
    <cdr:to>
      <cdr:x>0.89136</cdr:x>
      <cdr:y>1</cdr:y>
    </cdr:to>
    <cdr:sp macro="" textlink="">
      <cdr:nvSpPr>
        <cdr:cNvPr id="2" name="Text Box 1" descr="* Indeterminate and term hires with experience in a federal student recruitment program within the last 10 years.&#10;"/>
        <cdr:cNvSpPr txBox="1"/>
      </cdr:nvSpPr>
      <cdr:spPr>
        <a:xfrm xmlns:a="http://schemas.openxmlformats.org/drawingml/2006/main">
          <a:off x="2941" y="2838450"/>
          <a:ext cx="3045042" cy="47117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marL="0" marR="0" lvl="0" indent="0" defTabSz="914400" eaLnBrk="1" fontAlgn="auto" latinLnBrk="0" hangingPunct="1">
            <a:lnSpc>
              <a:spcPct val="100000"/>
            </a:lnSpc>
            <a:spcBef>
              <a:spcPts val="0"/>
            </a:spcBef>
            <a:spcAft>
              <a:spcPts val="0"/>
            </a:spcAft>
            <a:buClrTx/>
            <a:buSzTx/>
            <a:buFontTx/>
            <a:buNone/>
            <a:tabLst/>
            <a:defRPr/>
          </a:pPr>
          <a:r>
            <a:rPr lang="en-CA" sz="1100"/>
            <a:t>* </a:t>
          </a:r>
          <a:r>
            <a:rPr lang="en-CA" sz="800"/>
            <a:t>Indeterminate and term hires with experience in a federal student recruitment program within the last 10 years</a:t>
          </a:r>
        </a:p>
      </cdr:txBody>
    </cdr:sp>
  </cdr:relSizeAnchor>
</c:userShapes>
</file>

<file path=word/drawings/drawing6.xml><?xml version="1.0" encoding="utf-8"?>
<c:userShapes xmlns:c="http://schemas.openxmlformats.org/drawingml/2006/chart">
  <cdr:relSizeAnchor xmlns:cdr="http://schemas.openxmlformats.org/drawingml/2006/chartDrawing">
    <cdr:from>
      <cdr:x>0.10431</cdr:x>
      <cdr:y>0.78143</cdr:y>
    </cdr:from>
    <cdr:to>
      <cdr:x>0.96444</cdr:x>
      <cdr:y>1</cdr:y>
    </cdr:to>
    <cdr:sp macro="" textlink="">
      <cdr:nvSpPr>
        <cdr:cNvPr id="3" name="Text Box 2" descr="Calendar Days Axis titles for organization specific external time to staff graphic"/>
        <cdr:cNvSpPr txBox="1"/>
      </cdr:nvSpPr>
      <cdr:spPr>
        <a:xfrm xmlns:a="http://schemas.openxmlformats.org/drawingml/2006/main">
          <a:off x="474918" y="2531661"/>
          <a:ext cx="3916129" cy="70810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CA" sz="900"/>
        </a:p>
      </cdr:txBody>
    </cdr:sp>
  </cdr:relSizeAnchor>
  <cdr:relSizeAnchor xmlns:cdr="http://schemas.openxmlformats.org/drawingml/2006/chartDrawing">
    <cdr:from>
      <cdr:x>0.26312</cdr:x>
      <cdr:y>0.20322</cdr:y>
    </cdr:from>
    <cdr:to>
      <cdr:x>0.26451</cdr:x>
      <cdr:y>0.75324</cdr:y>
    </cdr:to>
    <cdr:cxnSp macro="">
      <cdr:nvCxnSpPr>
        <cdr:cNvPr id="5" name="Straight Connector 4" descr="Median line fof the specified organization's internal time to staff graphic"/>
        <cdr:cNvCxnSpPr/>
      </cdr:nvCxnSpPr>
      <cdr:spPr>
        <a:xfrm xmlns:a="http://schemas.openxmlformats.org/drawingml/2006/main" flipV="1">
          <a:off x="1157875" y="576818"/>
          <a:ext cx="6117" cy="1561204"/>
        </a:xfrm>
        <a:prstGeom xmlns:a="http://schemas.openxmlformats.org/drawingml/2006/main" prst="line">
          <a:avLst/>
        </a:prstGeom>
        <a:ln xmlns:a="http://schemas.openxmlformats.org/drawingml/2006/main">
          <a:solidFill>
            <a:srgbClr val="FF0000"/>
          </a:solidFill>
        </a:ln>
      </cdr:spPr>
      <cdr:style>
        <a:lnRef xmlns:a="http://schemas.openxmlformats.org/drawingml/2006/main" idx="3">
          <a:schemeClr val="accent2"/>
        </a:lnRef>
        <a:fillRef xmlns:a="http://schemas.openxmlformats.org/drawingml/2006/main" idx="0">
          <a:schemeClr val="accent2"/>
        </a:fillRef>
        <a:effectRef xmlns:a="http://schemas.openxmlformats.org/drawingml/2006/main" idx="2">
          <a:schemeClr val="accent2"/>
        </a:effectRef>
        <a:fontRef xmlns:a="http://schemas.openxmlformats.org/drawingml/2006/main" idx="minor">
          <a:schemeClr val="tx1"/>
        </a:fontRef>
      </cdr:style>
    </cdr:cxnSp>
  </cdr:relSizeAnchor>
</c:userShapes>
</file>

<file path=word/drawings/drawing7.xml><?xml version="1.0" encoding="utf-8"?>
<c:userShapes xmlns:c="http://schemas.openxmlformats.org/drawingml/2006/chart">
  <cdr:relSizeAnchor xmlns:cdr="http://schemas.openxmlformats.org/drawingml/2006/chartDrawing">
    <cdr:from>
      <cdr:x>0.10431</cdr:x>
      <cdr:y>0.78143</cdr:y>
    </cdr:from>
    <cdr:to>
      <cdr:x>0.96444</cdr:x>
      <cdr:y>1</cdr:y>
    </cdr:to>
    <cdr:sp macro="" textlink="">
      <cdr:nvSpPr>
        <cdr:cNvPr id="3" name="Text Box 2" descr="Calendar Days Axis titles for organization specific external time to staff graphic"/>
        <cdr:cNvSpPr txBox="1"/>
      </cdr:nvSpPr>
      <cdr:spPr>
        <a:xfrm xmlns:a="http://schemas.openxmlformats.org/drawingml/2006/main">
          <a:off x="474918" y="2531661"/>
          <a:ext cx="3916129" cy="70810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CA" sz="900"/>
        </a:p>
      </cdr:txBody>
    </cdr:sp>
  </cdr:relSizeAnchor>
  <cdr:relSizeAnchor xmlns:cdr="http://schemas.openxmlformats.org/drawingml/2006/chartDrawing">
    <cdr:from>
      <cdr:x>0.28693</cdr:x>
      <cdr:y>0.19986</cdr:y>
    </cdr:from>
    <cdr:to>
      <cdr:x>0.28832</cdr:x>
      <cdr:y>0.74988</cdr:y>
    </cdr:to>
    <cdr:cxnSp macro="">
      <cdr:nvCxnSpPr>
        <cdr:cNvPr id="5" name="Straight Connector 4" descr="Median line fof the specified organization's internal time to staff graphic"/>
        <cdr:cNvCxnSpPr/>
      </cdr:nvCxnSpPr>
      <cdr:spPr>
        <a:xfrm xmlns:a="http://schemas.openxmlformats.org/drawingml/2006/main" flipV="1">
          <a:off x="1262650" y="553968"/>
          <a:ext cx="6117" cy="1524532"/>
        </a:xfrm>
        <a:prstGeom xmlns:a="http://schemas.openxmlformats.org/drawingml/2006/main" prst="line">
          <a:avLst/>
        </a:prstGeom>
        <a:ln xmlns:a="http://schemas.openxmlformats.org/drawingml/2006/main">
          <a:solidFill>
            <a:srgbClr val="FF0000"/>
          </a:solidFill>
        </a:ln>
      </cdr:spPr>
      <cdr:style>
        <a:lnRef xmlns:a="http://schemas.openxmlformats.org/drawingml/2006/main" idx="3">
          <a:schemeClr val="accent2"/>
        </a:lnRef>
        <a:fillRef xmlns:a="http://schemas.openxmlformats.org/drawingml/2006/main" idx="0">
          <a:schemeClr val="accent2"/>
        </a:fillRef>
        <a:effectRef xmlns:a="http://schemas.openxmlformats.org/drawingml/2006/main" idx="2">
          <a:schemeClr val="accent2"/>
        </a:effectRef>
        <a:fontRef xmlns:a="http://schemas.openxmlformats.org/drawingml/2006/main" idx="minor">
          <a:schemeClr val="tx1"/>
        </a:fontRef>
      </cdr:style>
    </cdr:cxnSp>
  </cdr:relSizeAnchor>
</c:userShapes>
</file>

<file path=word/theme/theme1.xml><?xml version="1.0" encoding="utf-8"?>
<a:theme xmlns:a="http://schemas.openxmlformats.org/drawingml/2006/main" name="CFP-PSC-Theme2019-fromWord">
  <a:themeElements>
    <a:clrScheme name="CFP-PSC-2019">
      <a:dk1>
        <a:srgbClr val="54575A"/>
      </a:dk1>
      <a:lt1>
        <a:sysClr val="window" lastClr="FFFFFF"/>
      </a:lt1>
      <a:dk2>
        <a:srgbClr val="54575A"/>
      </a:dk2>
      <a:lt2>
        <a:srgbClr val="F2F2F2"/>
      </a:lt2>
      <a:accent1>
        <a:srgbClr val="D50057"/>
      </a:accent1>
      <a:accent2>
        <a:srgbClr val="5B315E"/>
      </a:accent2>
      <a:accent3>
        <a:srgbClr val="0099A8"/>
      </a:accent3>
      <a:accent4>
        <a:srgbClr val="FF5100"/>
      </a:accent4>
      <a:accent5>
        <a:srgbClr val="C2D500"/>
      </a:accent5>
      <a:accent6>
        <a:srgbClr val="F7BE00"/>
      </a:accent6>
      <a:hlink>
        <a:srgbClr val="0099A8"/>
      </a:hlink>
      <a:folHlink>
        <a:srgbClr val="A5A5A5"/>
      </a:folHlink>
    </a:clrScheme>
    <a:fontScheme name="Custom 2">
      <a:majorFont>
        <a:latin typeface="Segoe UI Light"/>
        <a:ea typeface=""/>
        <a:cs typeface=""/>
      </a:majorFont>
      <a:minorFont>
        <a:latin typeface="Segoe UI Semi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26696C-894F-4206-BC44-67ACF8AB8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CFP-Entete-Corpo2019.dotx</Template>
  <TotalTime>3519</TotalTime>
  <Pages>24</Pages>
  <Words>3181</Words>
  <Characters>18136</Characters>
  <Application>Microsoft Office Word</Application>
  <DocSecurity>0</DocSecurity>
  <Lines>151</Lines>
  <Paragraphs>42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CFP-PSC</Company>
  <LinksUpToDate>false</LinksUpToDate>
  <CharactersWithSpaces>21275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Lefebvre</dc:creator>
  <cp:keywords/>
  <dc:description/>
  <cp:lastModifiedBy>Nancy Ladouceur</cp:lastModifiedBy>
  <cp:revision>108</cp:revision>
  <dcterms:created xsi:type="dcterms:W3CDTF">2020-02-11T14:48:00Z</dcterms:created>
  <dcterms:modified xsi:type="dcterms:W3CDTF">2021-01-26T19:59:00Z</dcterms:modified>
</cp:coreProperties>
</file>