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2.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3.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4.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drawings/drawing5.xml" ContentType="application/vnd.openxmlformats-officedocument.drawingml.chartshapes+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drawings/drawing6.xml" ContentType="application/vnd.openxmlformats-officedocument.drawingml.chartshapes+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drawings/drawing7.xml" ContentType="application/vnd.openxmlformats-officedocument.drawingml.chartshapes+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777" w:rsidRDefault="001A35A7" w:rsidP="00D510B0">
      <w:pPr>
        <w:pStyle w:val="Titre"/>
      </w:pPr>
      <w:bookmarkStart w:id="0" w:name="_GoBack"/>
      <w:bookmarkEnd w:id="0"/>
      <w:r w:rsidRPr="006E1455">
        <w:t>R</w:t>
      </w:r>
      <w:r w:rsidR="00D510B0">
        <w:t>éunion</w:t>
      </w:r>
      <w:r w:rsidRPr="006E1455">
        <w:t xml:space="preserve"> du prés</w:t>
      </w:r>
      <w:r w:rsidR="006943D3" w:rsidRPr="006E1455">
        <w:t xml:space="preserve">ident avec </w:t>
      </w:r>
      <w:r w:rsidR="006943D3" w:rsidRPr="006E1455">
        <w:br/>
        <w:t>Dr. Pierre Béland, C</w:t>
      </w:r>
      <w:r w:rsidRPr="006E1455">
        <w:t>ommissaire, C</w:t>
      </w:r>
      <w:r w:rsidR="006E1455">
        <w:t>ommission mixte internationale</w:t>
      </w:r>
    </w:p>
    <w:p w:rsidR="001A35A7" w:rsidRPr="006E1455" w:rsidRDefault="001A35A7" w:rsidP="00D510B0">
      <w:pPr>
        <w:pStyle w:val="Titre"/>
      </w:pPr>
      <w:r w:rsidRPr="006E1455">
        <w:t>26 août 2019</w:t>
      </w:r>
    </w:p>
    <w:p w:rsidR="001A35A7" w:rsidRPr="006E1455" w:rsidRDefault="001A35A7" w:rsidP="005A1239">
      <w:pPr>
        <w:pStyle w:val="Titre1"/>
        <w:spacing w:after="120"/>
        <w:rPr>
          <w:lang w:val="fr-CA"/>
        </w:rPr>
      </w:pPr>
      <w:r w:rsidRPr="006E1455">
        <w:rPr>
          <w:lang w:val="fr-CA"/>
        </w:rPr>
        <w:t>Introduction</w:t>
      </w:r>
    </w:p>
    <w:p w:rsidR="001A35A7" w:rsidRPr="006E1455" w:rsidRDefault="001A35A7" w:rsidP="007D0CE8">
      <w:pPr>
        <w:pStyle w:val="Titre2"/>
        <w:spacing w:after="120"/>
        <w:rPr>
          <w:u w:val="single"/>
          <w:lang w:val="fr-CA"/>
        </w:rPr>
      </w:pPr>
      <w:r w:rsidRPr="006E1455">
        <w:rPr>
          <w:lang w:val="fr-CA"/>
        </w:rPr>
        <w:t>Administrateur général</w:t>
      </w:r>
    </w:p>
    <w:p w:rsidR="001A35A7" w:rsidRPr="006E1455" w:rsidRDefault="001A35A7" w:rsidP="001A35A7">
      <w:pPr>
        <w:pStyle w:val="Sansinterligne"/>
        <w:rPr>
          <w:rFonts w:asciiTheme="minorHAnsi" w:hAnsiTheme="minorHAnsi" w:cstheme="minorHAnsi"/>
          <w:sz w:val="22"/>
          <w:szCs w:val="22"/>
          <w:lang w:val="fr-CA" w:eastAsia="en-CA"/>
        </w:rPr>
      </w:pPr>
      <w:r w:rsidRPr="006E1455">
        <w:rPr>
          <w:rFonts w:asciiTheme="minorHAnsi" w:hAnsiTheme="minorHAnsi" w:cstheme="minorHAnsi"/>
          <w:sz w:val="22"/>
          <w:szCs w:val="22"/>
          <w:lang w:val="fr-CA" w:eastAsia="en-CA"/>
        </w:rPr>
        <w:t>Dr. Pierre Béland</w:t>
      </w:r>
      <w:r w:rsidRPr="006E1455">
        <w:rPr>
          <w:rFonts w:asciiTheme="minorHAnsi" w:hAnsiTheme="minorHAnsi" w:cstheme="minorHAnsi"/>
          <w:b/>
          <w:i/>
          <w:sz w:val="22"/>
          <w:szCs w:val="22"/>
          <w:lang w:val="fr-CA" w:eastAsia="en-CA"/>
        </w:rPr>
        <w:t xml:space="preserve"> </w:t>
      </w:r>
      <w:r w:rsidRPr="006E1455">
        <w:rPr>
          <w:rFonts w:asciiTheme="minorHAnsi" w:hAnsiTheme="minorHAnsi" w:cstheme="minorHAnsi"/>
          <w:sz w:val="22"/>
          <w:szCs w:val="22"/>
          <w:lang w:val="fr-CA" w:eastAsia="en-CA"/>
        </w:rPr>
        <w:t xml:space="preserve">a été nommé au poste de Commissaire à la Section canadienne de la Commission mixte internationale (CMI) le 9 mai 2019. </w:t>
      </w:r>
    </w:p>
    <w:p w:rsidR="001A35A7" w:rsidRPr="006849F4" w:rsidRDefault="006849F4" w:rsidP="006849F4">
      <w:pPr>
        <w:keepLines/>
        <w:spacing w:before="120"/>
        <w:rPr>
          <w:rFonts w:asciiTheme="minorHAnsi" w:eastAsiaTheme="minorHAnsi" w:hAnsiTheme="minorHAnsi" w:cstheme="minorHAnsi"/>
          <w:sz w:val="22"/>
          <w:szCs w:val="22"/>
          <w:lang w:val="fr-CA" w:eastAsia="en-CA"/>
        </w:rPr>
      </w:pPr>
      <w:r w:rsidRPr="006849F4">
        <w:rPr>
          <w:rFonts w:asciiTheme="minorHAnsi" w:eastAsiaTheme="minorHAnsi" w:hAnsiTheme="minorHAnsi" w:cstheme="minorHAnsi"/>
          <w:sz w:val="22"/>
          <w:szCs w:val="22"/>
          <w:lang w:val="fr-CA" w:eastAsia="en-CA"/>
        </w:rPr>
        <w:t xml:space="preserve">Dr. Pierre Béland </w:t>
      </w:r>
      <w:r w:rsidRPr="00541B4F">
        <w:rPr>
          <w:rFonts w:asciiTheme="minorHAnsi" w:eastAsiaTheme="minorHAnsi" w:hAnsiTheme="minorHAnsi" w:cstheme="minorHAnsi"/>
          <w:sz w:val="22"/>
          <w:szCs w:val="22"/>
          <w:lang w:val="fr-CA" w:eastAsia="en-CA"/>
        </w:rPr>
        <w:t>exerce l’autorité de la Commission de la fonction publique (CFP) po</w:t>
      </w:r>
      <w:r>
        <w:rPr>
          <w:rFonts w:asciiTheme="minorHAnsi" w:eastAsiaTheme="minorHAnsi" w:hAnsiTheme="minorHAnsi" w:cstheme="minorHAnsi"/>
          <w:sz w:val="22"/>
          <w:szCs w:val="22"/>
          <w:lang w:val="fr-CA" w:eastAsia="en-CA"/>
        </w:rPr>
        <w:t>ur la première fois en tant qu’administrateur général (AG).  Une copie du d</w:t>
      </w:r>
      <w:r w:rsidRPr="00541B4F">
        <w:rPr>
          <w:rFonts w:asciiTheme="minorHAnsi" w:eastAsiaTheme="minorHAnsi" w:hAnsiTheme="minorHAnsi" w:cstheme="minorHAnsi"/>
          <w:sz w:val="22"/>
          <w:szCs w:val="22"/>
          <w:lang w:val="fr-CA" w:eastAsia="en-CA"/>
        </w:rPr>
        <w:t>ocument Faits Saillants de la Nouvelle orientation en dotation (NOD) pour les AG</w:t>
      </w:r>
      <w:r>
        <w:rPr>
          <w:rFonts w:asciiTheme="minorHAnsi" w:eastAsiaTheme="minorHAnsi" w:hAnsiTheme="minorHAnsi" w:cstheme="minorHAnsi"/>
          <w:sz w:val="22"/>
          <w:szCs w:val="22"/>
          <w:lang w:val="fr-CA" w:eastAsia="en-CA"/>
        </w:rPr>
        <w:t xml:space="preserve"> est </w:t>
      </w:r>
      <w:r w:rsidRPr="00541B4F">
        <w:rPr>
          <w:rFonts w:asciiTheme="minorHAnsi" w:eastAsiaTheme="minorHAnsi" w:hAnsiTheme="minorHAnsi" w:cstheme="minorHAnsi"/>
          <w:sz w:val="22"/>
          <w:szCs w:val="22"/>
          <w:lang w:val="fr-CA" w:eastAsia="en-CA"/>
        </w:rPr>
        <w:t xml:space="preserve">jointe à </w:t>
      </w:r>
      <w:hyperlink w:anchor="AnnexA" w:history="1">
        <w:r w:rsidRPr="006849F4">
          <w:rPr>
            <w:rStyle w:val="Lienhypertexte"/>
            <w:rFonts w:asciiTheme="minorHAnsi" w:hAnsiTheme="minorHAnsi" w:cstheme="minorHAnsi"/>
            <w:sz w:val="22"/>
            <w:szCs w:val="22"/>
            <w:lang w:val="fr-CA"/>
          </w:rPr>
          <w:t>l’annexe A.</w:t>
        </w:r>
      </w:hyperlink>
    </w:p>
    <w:p w:rsidR="001A35A7" w:rsidRPr="006E1455" w:rsidRDefault="001A35A7" w:rsidP="005A1239">
      <w:pPr>
        <w:pStyle w:val="Titre1"/>
        <w:spacing w:after="120"/>
        <w:rPr>
          <w:lang w:val="fr-CA"/>
        </w:rPr>
      </w:pPr>
      <w:r w:rsidRPr="006E1455">
        <w:rPr>
          <w:lang w:val="fr-CA"/>
        </w:rPr>
        <w:t>Contexte organisationnel</w:t>
      </w:r>
    </w:p>
    <w:p w:rsidR="001A35A7" w:rsidRPr="006E1455" w:rsidRDefault="001A35A7" w:rsidP="007D0CE8">
      <w:pPr>
        <w:pStyle w:val="Titre2"/>
        <w:spacing w:after="120"/>
        <w:rPr>
          <w:u w:val="single"/>
          <w:lang w:val="fr-CA"/>
        </w:rPr>
      </w:pPr>
      <w:r w:rsidRPr="006E1455">
        <w:rPr>
          <w:lang w:val="fr-CA"/>
        </w:rPr>
        <w:t>Mandat</w:t>
      </w:r>
    </w:p>
    <w:p w:rsidR="001A35A7" w:rsidRPr="006E1455" w:rsidRDefault="001A35A7" w:rsidP="001A35A7">
      <w:pPr>
        <w:pStyle w:val="Sansinterligne"/>
        <w:rPr>
          <w:rFonts w:asciiTheme="minorHAnsi" w:hAnsiTheme="minorHAnsi" w:cstheme="minorHAnsi"/>
          <w:color w:val="000000"/>
          <w:sz w:val="22"/>
          <w:szCs w:val="22"/>
          <w:lang w:val="fr-CA"/>
        </w:rPr>
      </w:pPr>
      <w:r w:rsidRPr="006E1455">
        <w:rPr>
          <w:rFonts w:asciiTheme="minorHAnsi" w:hAnsiTheme="minorHAnsi" w:cstheme="minorHAnsi"/>
          <w:color w:val="000000"/>
          <w:sz w:val="22"/>
          <w:szCs w:val="22"/>
          <w:lang w:val="fr-CA"/>
        </w:rPr>
        <w:t>Les États-Unis et le Canada ont créé la CMI parce qu'ils reconnaissaient que chacun des deux pays subit les effets des activités de l'autre dans les réseaux lacustres et fluviaux le long de la frontière. Les deux pays collaborent à la gestion judicieuse de ces eaux en vue de les protéger au profit des générations d'aujourd'hui et de demain.</w:t>
      </w:r>
    </w:p>
    <w:p w:rsidR="001A35A7" w:rsidRPr="006E1455" w:rsidRDefault="001A35A7" w:rsidP="00C6220B">
      <w:pPr>
        <w:pStyle w:val="Sansinterligne"/>
        <w:spacing w:before="240" w:after="360"/>
        <w:rPr>
          <w:rFonts w:asciiTheme="minorHAnsi" w:hAnsiTheme="minorHAnsi" w:cstheme="minorHAnsi"/>
          <w:i/>
          <w:sz w:val="22"/>
          <w:szCs w:val="22"/>
          <w:lang w:val="fr-CA"/>
        </w:rPr>
      </w:pPr>
      <w:r w:rsidRPr="006E1455">
        <w:rPr>
          <w:rFonts w:asciiTheme="minorHAnsi" w:hAnsiTheme="minorHAnsi" w:cstheme="minorHAnsi"/>
          <w:color w:val="000000"/>
          <w:sz w:val="22"/>
          <w:szCs w:val="22"/>
          <w:lang w:val="fr-CA"/>
        </w:rPr>
        <w:t>La CMI est investie de deux responsabilités principales : régir l'utilisation des eaux communes et enquêter sur les problèmes transfrontaliers en vue de recommander des solutions. Les recommandations et les décisions de la CMI prennent en compte les besoins correspondant aux différentes utilisations de l'eau, notamment comme l’eau potable, et pour la navigation commerciale, la production d'hydroélectricité, l'agriculture, les industries, la pêche, la navigation de plaisance et les propriétés riveraines.</w:t>
      </w:r>
    </w:p>
    <w:p w:rsidR="00F17173" w:rsidRDefault="00F17173" w:rsidP="007D0CE8">
      <w:pPr>
        <w:pStyle w:val="Titre1"/>
        <w:spacing w:after="240"/>
        <w:rPr>
          <w:rStyle w:val="Titre1Car"/>
          <w:color w:val="auto"/>
        </w:rPr>
        <w:sectPr w:rsidR="00F17173" w:rsidSect="007D0CE8">
          <w:headerReference w:type="default" r:id="rId8"/>
          <w:footerReference w:type="even" r:id="rId9"/>
          <w:footerReference w:type="default" r:id="rId10"/>
          <w:footerReference w:type="first" r:id="rId11"/>
          <w:footnotePr>
            <w:numFmt w:val="lowerLetter"/>
          </w:footnotePr>
          <w:endnotePr>
            <w:numFmt w:val="lowerLetter"/>
          </w:endnotePr>
          <w:pgSz w:w="12240" w:h="15840" w:code="1"/>
          <w:pgMar w:top="709" w:right="1304" w:bottom="1361" w:left="1304" w:header="284" w:footer="284" w:gutter="0"/>
          <w:pgNumType w:start="1"/>
          <w:cols w:space="720"/>
          <w:docGrid w:linePitch="326"/>
        </w:sectPr>
      </w:pPr>
    </w:p>
    <w:p w:rsidR="001A35A7" w:rsidRPr="006E1455" w:rsidRDefault="001A35A7" w:rsidP="005A1239">
      <w:pPr>
        <w:pStyle w:val="Titre1"/>
        <w:spacing w:after="120"/>
        <w:rPr>
          <w:rStyle w:val="Titre1Car"/>
          <w:color w:val="auto"/>
        </w:rPr>
      </w:pPr>
      <w:r w:rsidRPr="006E1455">
        <w:rPr>
          <w:rStyle w:val="Titre1Car"/>
          <w:color w:val="auto"/>
        </w:rPr>
        <w:lastRenderedPageBreak/>
        <w:t>Effectif et activités de dotation</w:t>
      </w:r>
    </w:p>
    <w:p w:rsidR="00F17173" w:rsidRPr="00F17173" w:rsidRDefault="00F17173" w:rsidP="00F17173">
      <w:pPr>
        <w:pStyle w:val="Titre2"/>
        <w:spacing w:after="120"/>
        <w:rPr>
          <w:u w:val="single"/>
          <w:lang w:val="fr-CA"/>
        </w:rPr>
      </w:pPr>
      <w:r w:rsidRPr="00F17173">
        <w:rPr>
          <w:lang w:val="fr-CA"/>
        </w:rPr>
        <w:t>Effectif</w:t>
      </w:r>
    </w:p>
    <w:p w:rsidR="00F17173" w:rsidRDefault="001A35A7" w:rsidP="001A35A7">
      <w:pPr>
        <w:pStyle w:val="Sansinterligne"/>
        <w:rPr>
          <w:rFonts w:asciiTheme="minorHAnsi" w:hAnsiTheme="minorHAnsi" w:cstheme="minorHAnsi"/>
          <w:color w:val="000000"/>
          <w:sz w:val="22"/>
          <w:szCs w:val="22"/>
          <w:lang w:val="fr-CA"/>
        </w:rPr>
      </w:pPr>
      <w:r w:rsidRPr="006E1455">
        <w:rPr>
          <w:rFonts w:asciiTheme="minorHAnsi" w:hAnsiTheme="minorHAnsi" w:cstheme="minorHAnsi"/>
          <w:color w:val="000000"/>
          <w:sz w:val="22"/>
          <w:szCs w:val="22"/>
          <w:lang w:val="fr-CA"/>
        </w:rPr>
        <w:t>La CMI est une organisation de très petite taille avec un effectif de 30</w:t>
      </w:r>
      <w:r w:rsidRPr="006E1455">
        <w:rPr>
          <w:rFonts w:asciiTheme="minorHAnsi" w:hAnsiTheme="minorHAnsi" w:cstheme="minorHAnsi"/>
          <w:b/>
          <w:i/>
          <w:color w:val="000000"/>
          <w:sz w:val="22"/>
          <w:szCs w:val="22"/>
          <w:lang w:val="fr-CA"/>
        </w:rPr>
        <w:t xml:space="preserve"> </w:t>
      </w:r>
      <w:r w:rsidRPr="006E1455">
        <w:rPr>
          <w:rFonts w:asciiTheme="minorHAnsi" w:hAnsiTheme="minorHAnsi" w:cstheme="minorHAnsi"/>
          <w:color w:val="000000"/>
          <w:sz w:val="22"/>
          <w:szCs w:val="22"/>
          <w:lang w:val="fr-CA"/>
        </w:rPr>
        <w:t xml:space="preserve">employés (au 31 mars 2019). </w:t>
      </w:r>
    </w:p>
    <w:p w:rsidR="00F17173" w:rsidRPr="00F17173" w:rsidRDefault="00F17173" w:rsidP="00F17173">
      <w:pPr>
        <w:pStyle w:val="Titre2"/>
        <w:spacing w:after="120"/>
        <w:rPr>
          <w:u w:val="single"/>
          <w:lang w:val="fr-CA"/>
        </w:rPr>
      </w:pPr>
      <w:r w:rsidRPr="00F17173">
        <w:rPr>
          <w:lang w:val="fr-CA"/>
        </w:rPr>
        <w:t>Activités de dotation</w:t>
      </w:r>
    </w:p>
    <w:p w:rsidR="001A35A7" w:rsidRPr="006E1455" w:rsidRDefault="001A35A7" w:rsidP="001A35A7">
      <w:pPr>
        <w:pStyle w:val="Sansinterligne"/>
        <w:rPr>
          <w:rFonts w:asciiTheme="minorHAnsi" w:hAnsiTheme="minorHAnsi" w:cstheme="minorHAnsi"/>
          <w:color w:val="000000"/>
          <w:sz w:val="22"/>
          <w:szCs w:val="22"/>
          <w:lang w:val="fr-CA"/>
        </w:rPr>
      </w:pPr>
      <w:r w:rsidRPr="006E1455">
        <w:rPr>
          <w:rFonts w:asciiTheme="minorHAnsi" w:hAnsiTheme="minorHAnsi" w:cstheme="minorHAnsi"/>
          <w:color w:val="000000"/>
          <w:sz w:val="22"/>
          <w:szCs w:val="22"/>
          <w:lang w:val="fr-CA"/>
        </w:rPr>
        <w:t>Au cours de l’exercice financier 2018-2019, l’organisation, par l’entremise de son fournisseur de services, Services publics et approvisionnement Canada, a exécuté 17</w:t>
      </w:r>
      <w:r w:rsidRPr="006E1455">
        <w:rPr>
          <w:rFonts w:asciiTheme="minorHAnsi" w:hAnsiTheme="minorHAnsi" w:cstheme="minorHAnsi"/>
          <w:b/>
          <w:i/>
          <w:color w:val="000000"/>
          <w:sz w:val="22"/>
          <w:szCs w:val="22"/>
          <w:lang w:val="fr-CA"/>
        </w:rPr>
        <w:t xml:space="preserve"> </w:t>
      </w:r>
      <w:r w:rsidRPr="006E1455">
        <w:rPr>
          <w:rFonts w:asciiTheme="minorHAnsi" w:hAnsiTheme="minorHAnsi" w:cstheme="minorHAnsi"/>
          <w:color w:val="000000"/>
          <w:sz w:val="22"/>
          <w:szCs w:val="22"/>
          <w:lang w:val="fr-CA"/>
        </w:rPr>
        <w:t>mesures de dotation, détaillées comme suit :</w:t>
      </w:r>
    </w:p>
    <w:p w:rsidR="001A35A7" w:rsidRPr="006E1455" w:rsidRDefault="001A35A7" w:rsidP="00C6220B">
      <w:pPr>
        <w:numPr>
          <w:ilvl w:val="0"/>
          <w:numId w:val="5"/>
        </w:numPr>
        <w:spacing w:before="240"/>
        <w:rPr>
          <w:rFonts w:asciiTheme="minorHAnsi" w:hAnsiTheme="minorHAnsi" w:cstheme="minorHAnsi"/>
          <w:color w:val="000000"/>
          <w:sz w:val="22"/>
          <w:szCs w:val="22"/>
          <w:lang w:val="fr-CA"/>
        </w:rPr>
      </w:pPr>
      <w:r w:rsidRPr="006E1455">
        <w:rPr>
          <w:rFonts w:asciiTheme="minorHAnsi" w:hAnsiTheme="minorHAnsi" w:cstheme="minorHAnsi"/>
          <w:color w:val="000000"/>
          <w:sz w:val="22"/>
          <w:szCs w:val="22"/>
          <w:lang w:val="fr-CA"/>
        </w:rPr>
        <w:t>12 nominations à la fonction publique (dont 1 embauche d’employé occasionnel et 7 embauches d’étudiants);</w:t>
      </w:r>
    </w:p>
    <w:p w:rsidR="001A35A7" w:rsidRPr="006E1455" w:rsidRDefault="001A35A7" w:rsidP="001A35A7">
      <w:pPr>
        <w:numPr>
          <w:ilvl w:val="0"/>
          <w:numId w:val="5"/>
        </w:numPr>
        <w:rPr>
          <w:rFonts w:asciiTheme="minorHAnsi" w:hAnsiTheme="minorHAnsi" w:cstheme="minorHAnsi"/>
          <w:color w:val="000000"/>
          <w:sz w:val="22"/>
          <w:szCs w:val="22"/>
          <w:lang w:val="fr-CA"/>
        </w:rPr>
      </w:pPr>
      <w:r w:rsidRPr="006E1455">
        <w:rPr>
          <w:rFonts w:asciiTheme="minorHAnsi" w:hAnsiTheme="minorHAnsi" w:cstheme="minorHAnsi"/>
          <w:color w:val="000000"/>
          <w:sz w:val="22"/>
          <w:szCs w:val="22"/>
          <w:lang w:val="fr-CA"/>
        </w:rPr>
        <w:t>4 promotions;</w:t>
      </w:r>
    </w:p>
    <w:p w:rsidR="001A35A7" w:rsidRPr="006E1455" w:rsidRDefault="001A35A7" w:rsidP="001A35A7">
      <w:pPr>
        <w:numPr>
          <w:ilvl w:val="0"/>
          <w:numId w:val="5"/>
        </w:numPr>
        <w:rPr>
          <w:rFonts w:asciiTheme="minorHAnsi" w:hAnsiTheme="minorHAnsi" w:cstheme="minorHAnsi"/>
          <w:color w:val="000000"/>
          <w:sz w:val="22"/>
          <w:szCs w:val="22"/>
          <w:lang w:val="fr-CA"/>
        </w:rPr>
      </w:pPr>
      <w:r w:rsidRPr="006E1455">
        <w:rPr>
          <w:rFonts w:asciiTheme="minorHAnsi" w:hAnsiTheme="minorHAnsi" w:cstheme="minorHAnsi"/>
          <w:color w:val="000000"/>
          <w:sz w:val="22"/>
          <w:szCs w:val="22"/>
          <w:lang w:val="fr-CA"/>
        </w:rPr>
        <w:t>1 déplacement latéral ou vers un échelon inférieur.</w:t>
      </w:r>
    </w:p>
    <w:p w:rsidR="001A35A7" w:rsidRPr="006E1455" w:rsidRDefault="001A35A7" w:rsidP="00F17173">
      <w:pPr>
        <w:pStyle w:val="Sansinterligne"/>
        <w:spacing w:before="120"/>
        <w:rPr>
          <w:rFonts w:asciiTheme="minorHAnsi" w:hAnsiTheme="minorHAnsi" w:cstheme="minorHAnsi"/>
          <w:sz w:val="22"/>
          <w:szCs w:val="22"/>
          <w:lang w:val="fr-CA" w:eastAsia="en-CA"/>
        </w:rPr>
      </w:pPr>
      <w:r w:rsidRPr="006E1455">
        <w:rPr>
          <w:rFonts w:asciiTheme="minorHAnsi" w:hAnsiTheme="minorHAnsi" w:cstheme="minorHAnsi"/>
          <w:sz w:val="22"/>
          <w:szCs w:val="22"/>
          <w:lang w:val="fr-CA"/>
        </w:rPr>
        <w:t xml:space="preserve">Se reporter à </w:t>
      </w:r>
      <w:hyperlink w:anchor="AnnexB" w:history="1">
        <w:r w:rsidRPr="00121C7B">
          <w:rPr>
            <w:rStyle w:val="Lienhypertexte"/>
            <w:rFonts w:asciiTheme="minorHAnsi" w:hAnsiTheme="minorHAnsi" w:cstheme="minorHAnsi"/>
            <w:sz w:val="22"/>
            <w:szCs w:val="22"/>
            <w:lang w:val="fr-CA"/>
          </w:rPr>
          <w:t>l’</w:t>
        </w:r>
        <w:r w:rsidR="00121C7B" w:rsidRPr="00121C7B">
          <w:rPr>
            <w:rStyle w:val="Lienhypertexte"/>
            <w:rFonts w:asciiTheme="minorHAnsi" w:hAnsiTheme="minorHAnsi" w:cstheme="minorHAnsi"/>
            <w:sz w:val="22"/>
            <w:szCs w:val="22"/>
            <w:lang w:val="fr-CA"/>
          </w:rPr>
          <w:t>annexe B</w:t>
        </w:r>
      </w:hyperlink>
      <w:r w:rsidRPr="006E1455">
        <w:rPr>
          <w:rFonts w:asciiTheme="minorHAnsi" w:hAnsiTheme="minorHAnsi" w:cstheme="minorHAnsi"/>
          <w:sz w:val="22"/>
          <w:szCs w:val="22"/>
          <w:lang w:val="fr-CA" w:eastAsia="en-CA"/>
        </w:rPr>
        <w:t xml:space="preserve"> pour obtenir des détails supplémentaires</w:t>
      </w:r>
      <w:r w:rsidR="00F17173">
        <w:rPr>
          <w:rFonts w:asciiTheme="minorHAnsi" w:hAnsiTheme="minorHAnsi" w:cstheme="minorHAnsi"/>
          <w:sz w:val="22"/>
          <w:szCs w:val="22"/>
          <w:lang w:val="fr-CA" w:eastAsia="en-CA"/>
        </w:rPr>
        <w:t xml:space="preserve"> sur les activités de dotation</w:t>
      </w:r>
      <w:r w:rsidRPr="006E1455">
        <w:rPr>
          <w:rFonts w:asciiTheme="minorHAnsi" w:hAnsiTheme="minorHAnsi" w:cstheme="minorHAnsi"/>
          <w:sz w:val="22"/>
          <w:szCs w:val="22"/>
          <w:lang w:val="fr-CA" w:eastAsia="en-CA"/>
        </w:rPr>
        <w:t>. </w:t>
      </w:r>
    </w:p>
    <w:p w:rsidR="001A35A7" w:rsidRPr="006E1455" w:rsidRDefault="001A35A7" w:rsidP="005A1239">
      <w:pPr>
        <w:pStyle w:val="Titre1"/>
        <w:spacing w:after="120"/>
        <w:rPr>
          <w:lang w:val="fr-CA"/>
        </w:rPr>
      </w:pPr>
      <w:r w:rsidRPr="006E1455">
        <w:rPr>
          <w:lang w:val="fr-CA"/>
        </w:rPr>
        <w:t>Durée du processus de dotation</w:t>
      </w:r>
    </w:p>
    <w:p w:rsidR="001A35A7" w:rsidRPr="006E1455" w:rsidRDefault="001A35A7" w:rsidP="00A111BE">
      <w:pPr>
        <w:pStyle w:val="Sansinterligne"/>
        <w:spacing w:after="120"/>
        <w:rPr>
          <w:rFonts w:asciiTheme="minorHAnsi" w:hAnsiTheme="minorHAnsi" w:cstheme="minorHAnsi"/>
          <w:color w:val="000000"/>
          <w:sz w:val="22"/>
          <w:szCs w:val="22"/>
          <w:lang w:val="fr-CA"/>
        </w:rPr>
      </w:pPr>
      <w:r w:rsidRPr="006E1455">
        <w:rPr>
          <w:rFonts w:asciiTheme="minorHAnsi" w:hAnsiTheme="minorHAnsi" w:cstheme="minorHAnsi"/>
          <w:color w:val="000000"/>
          <w:sz w:val="22"/>
          <w:szCs w:val="22"/>
          <w:lang w:val="fr-CA"/>
        </w:rPr>
        <w:t>Les données sont insuffisantes pour fournir des résultats sur la durée de dotation des processus in</w:t>
      </w:r>
      <w:r w:rsidR="007D0CE8" w:rsidRPr="006E1455">
        <w:rPr>
          <w:rFonts w:asciiTheme="minorHAnsi" w:hAnsiTheme="minorHAnsi" w:cstheme="minorHAnsi"/>
          <w:color w:val="000000"/>
          <w:sz w:val="22"/>
          <w:szCs w:val="22"/>
          <w:lang w:val="fr-CA"/>
        </w:rPr>
        <w:t>ternes et externes pour la CMI.</w:t>
      </w:r>
    </w:p>
    <w:p w:rsidR="001A35A7" w:rsidRPr="006E1455" w:rsidRDefault="001A35A7" w:rsidP="005A1239">
      <w:pPr>
        <w:pStyle w:val="Titre1"/>
        <w:spacing w:after="120"/>
        <w:rPr>
          <w:lang w:val="fr-CA"/>
        </w:rPr>
      </w:pPr>
      <w:r w:rsidRPr="006E1455">
        <w:rPr>
          <w:lang w:val="fr-CA"/>
        </w:rPr>
        <w:t>Cadre de dotation</w:t>
      </w:r>
    </w:p>
    <w:p w:rsidR="001A35A7" w:rsidRPr="006E1455" w:rsidRDefault="001A35A7" w:rsidP="007D0CE8">
      <w:pPr>
        <w:pStyle w:val="Titre2"/>
        <w:spacing w:after="120"/>
        <w:rPr>
          <w:lang w:val="fr-CA"/>
        </w:rPr>
      </w:pPr>
      <w:r w:rsidRPr="006E1455">
        <w:rPr>
          <w:lang w:val="fr-CA"/>
        </w:rPr>
        <w:t xml:space="preserve">Mise en œuvre de la Nouvelle orientation en dotation </w:t>
      </w:r>
    </w:p>
    <w:p w:rsidR="001A35A7" w:rsidRPr="006E1455" w:rsidRDefault="001A35A7" w:rsidP="001A35A7">
      <w:pPr>
        <w:rPr>
          <w:rFonts w:asciiTheme="minorHAnsi" w:hAnsiTheme="minorHAnsi" w:cstheme="minorHAnsi"/>
          <w:color w:val="000000"/>
          <w:sz w:val="22"/>
          <w:szCs w:val="22"/>
          <w:lang w:val="fr-CA"/>
        </w:rPr>
      </w:pPr>
      <w:r w:rsidRPr="006E1455">
        <w:rPr>
          <w:rFonts w:asciiTheme="minorHAnsi" w:hAnsiTheme="minorHAnsi" w:cstheme="minorHAnsi"/>
          <w:color w:val="000000"/>
          <w:sz w:val="22"/>
          <w:szCs w:val="22"/>
          <w:lang w:val="fr-CA"/>
        </w:rPr>
        <w:t>Suite à la mise en œuvre de la Nouvelle orientation en dotation (NOD), la CMI a développé sa politique de nomination et de dotation.  C</w:t>
      </w:r>
      <w:r w:rsidRPr="006E1455">
        <w:rPr>
          <w:rFonts w:asciiTheme="minorHAnsi" w:hAnsiTheme="minorHAnsi" w:cstheme="minorHAnsi"/>
          <w:sz w:val="22"/>
          <w:szCs w:val="22"/>
          <w:lang w:val="fr-CA"/>
        </w:rPr>
        <w:t xml:space="preserve">ette politique qui est en vigueur depuis juillet 2016, a été partagée avec la CFP. </w:t>
      </w:r>
    </w:p>
    <w:p w:rsidR="001A35A7" w:rsidRPr="006E1455" w:rsidRDefault="001A35A7" w:rsidP="005A1239">
      <w:pPr>
        <w:spacing w:after="120"/>
        <w:rPr>
          <w:rFonts w:asciiTheme="minorHAnsi" w:hAnsiTheme="minorHAnsi" w:cstheme="minorHAnsi"/>
          <w:color w:val="000000"/>
          <w:sz w:val="22"/>
          <w:szCs w:val="22"/>
          <w:lang w:val="fr-CA"/>
        </w:rPr>
      </w:pPr>
      <w:r w:rsidRPr="006E1455">
        <w:rPr>
          <w:rFonts w:asciiTheme="minorHAnsi" w:hAnsiTheme="minorHAnsi" w:cstheme="minorHAnsi"/>
          <w:color w:val="000000"/>
          <w:sz w:val="22"/>
          <w:szCs w:val="22"/>
          <w:lang w:val="fr-CA"/>
        </w:rPr>
        <w:t>En janvier 2019, la CMI a partagé avec la CFP son instrument ainsi que ses lignes directrices sur la subdélégation. La CFP a fourni sa rétroaction et félicité la CMI pour son travail à l’égard de ses documents. Il convient de noter que son instrument comprend toutes les exigences découlant de l’</w:t>
      </w:r>
      <w:r w:rsidRPr="001C333D">
        <w:rPr>
          <w:rStyle w:val="Accentuation"/>
          <w:rFonts w:asciiTheme="minorHAnsi" w:hAnsiTheme="minorHAnsi" w:cstheme="minorHAnsi"/>
          <w:sz w:val="22"/>
          <w:szCs w:val="22"/>
          <w:lang w:val="fr-CA"/>
        </w:rPr>
        <w:t>Instrument de délégation et de responsabilité e</w:t>
      </w:r>
      <w:r w:rsidR="007D0CE8" w:rsidRPr="001C333D">
        <w:rPr>
          <w:rStyle w:val="Accentuation"/>
          <w:rFonts w:asciiTheme="minorHAnsi" w:hAnsiTheme="minorHAnsi" w:cstheme="minorHAnsi"/>
          <w:sz w:val="22"/>
          <w:szCs w:val="22"/>
          <w:lang w:val="fr-CA"/>
        </w:rPr>
        <w:t xml:space="preserve">n matière de nomination </w:t>
      </w:r>
      <w:r w:rsidR="007D0CE8" w:rsidRPr="006E1455">
        <w:rPr>
          <w:rFonts w:asciiTheme="minorHAnsi" w:hAnsiTheme="minorHAnsi" w:cstheme="minorHAnsi"/>
          <w:color w:val="000000"/>
          <w:sz w:val="22"/>
          <w:szCs w:val="22"/>
          <w:lang w:val="fr-CA"/>
        </w:rPr>
        <w:t>(IDRN).</w:t>
      </w:r>
    </w:p>
    <w:p w:rsidR="001A35A7" w:rsidRPr="006E1455" w:rsidRDefault="001A35A7" w:rsidP="005A1239">
      <w:pPr>
        <w:pStyle w:val="Titre1"/>
        <w:spacing w:after="120"/>
        <w:rPr>
          <w:lang w:val="fr-CA"/>
        </w:rPr>
      </w:pPr>
      <w:r w:rsidRPr="006E1455">
        <w:rPr>
          <w:lang w:val="fr-CA"/>
        </w:rPr>
        <w:t>Rapp</w:t>
      </w:r>
      <w:r w:rsidR="005A1239">
        <w:rPr>
          <w:lang w:val="fr-CA"/>
        </w:rPr>
        <w:t>ort prévus par l’annexe D de l’I</w:t>
      </w:r>
      <w:r w:rsidRPr="006E1455">
        <w:rPr>
          <w:lang w:val="fr-CA"/>
        </w:rPr>
        <w:t xml:space="preserve">nstrument de délégation et de responsabilisation en matière de nomination </w:t>
      </w:r>
    </w:p>
    <w:p w:rsidR="001A35A7" w:rsidRPr="006E1455" w:rsidRDefault="001A35A7" w:rsidP="007D0CE8">
      <w:pPr>
        <w:pStyle w:val="Titre2"/>
        <w:spacing w:after="120"/>
        <w:rPr>
          <w:lang w:val="fr-CA"/>
        </w:rPr>
      </w:pPr>
      <w:r w:rsidRPr="006E1455">
        <w:rPr>
          <w:lang w:val="fr-CA"/>
        </w:rPr>
        <w:t xml:space="preserve">Recours au Décret d’exemption concernant les langues officielles dans la fonction publique (DELOFP) et au Règlement sur les </w:t>
      </w:r>
      <w:r w:rsidRPr="006E1455">
        <w:rPr>
          <w:lang w:val="fr-CA"/>
        </w:rPr>
        <w:lastRenderedPageBreak/>
        <w:t>langues officielles – nominations dans la fonction publique (RELOFP).</w:t>
      </w:r>
    </w:p>
    <w:p w:rsidR="001A35A7" w:rsidRPr="006E1455" w:rsidRDefault="001A35A7" w:rsidP="005A1239">
      <w:pPr>
        <w:pStyle w:val="Sansinterligne"/>
        <w:spacing w:before="120"/>
        <w:rPr>
          <w:rFonts w:asciiTheme="minorHAnsi" w:hAnsiTheme="minorHAnsi" w:cstheme="minorHAnsi"/>
          <w:color w:val="222222"/>
          <w:sz w:val="22"/>
          <w:szCs w:val="22"/>
          <w:lang w:val="fr-CA"/>
        </w:rPr>
      </w:pPr>
      <w:r w:rsidRPr="006E1455">
        <w:rPr>
          <w:rFonts w:asciiTheme="minorHAnsi" w:hAnsiTheme="minorHAnsi" w:cstheme="minorHAnsi"/>
          <w:color w:val="000000"/>
          <w:sz w:val="22"/>
          <w:szCs w:val="22"/>
          <w:lang w:val="fr-CA"/>
        </w:rPr>
        <w:t xml:space="preserve">La CMI </w:t>
      </w:r>
      <w:r w:rsidRPr="006E1455">
        <w:rPr>
          <w:rFonts w:asciiTheme="minorHAnsi" w:hAnsiTheme="minorHAnsi" w:cstheme="minorHAnsi"/>
          <w:color w:val="222222"/>
          <w:sz w:val="22"/>
          <w:szCs w:val="22"/>
          <w:lang w:val="fr-CA"/>
        </w:rPr>
        <w:t>n’a pas eu recours au DELOFP et au RLONFP pendant la période du 1</w:t>
      </w:r>
      <w:r w:rsidRPr="006E1455">
        <w:rPr>
          <w:rFonts w:asciiTheme="minorHAnsi" w:hAnsiTheme="minorHAnsi" w:cstheme="minorHAnsi"/>
          <w:color w:val="222222"/>
          <w:sz w:val="22"/>
          <w:szCs w:val="22"/>
          <w:vertAlign w:val="superscript"/>
          <w:lang w:val="fr-CA"/>
        </w:rPr>
        <w:t>er</w:t>
      </w:r>
      <w:r w:rsidRPr="006E1455">
        <w:rPr>
          <w:rFonts w:asciiTheme="minorHAnsi" w:hAnsiTheme="minorHAnsi" w:cstheme="minorHAnsi"/>
          <w:color w:val="222222"/>
          <w:sz w:val="22"/>
          <w:szCs w:val="22"/>
          <w:lang w:val="fr-CA"/>
        </w:rPr>
        <w:t xml:space="preserve"> avril 2018 au 31 mars 2019.</w:t>
      </w:r>
    </w:p>
    <w:p w:rsidR="001A35A7" w:rsidRPr="006E1455" w:rsidRDefault="001A35A7" w:rsidP="007D0CE8">
      <w:pPr>
        <w:pStyle w:val="Titre2"/>
        <w:spacing w:after="120"/>
        <w:rPr>
          <w:lang w:val="fr-CA"/>
        </w:rPr>
      </w:pPr>
      <w:r w:rsidRPr="006E1455">
        <w:rPr>
          <w:lang w:val="fr-CA"/>
        </w:rPr>
        <w:t>Exceptions approuvées par l’Administrateur général aux exigences de la Zone nationale de sélection (ZNS) pour un processus de nomination externe annoncé</w:t>
      </w:r>
    </w:p>
    <w:p w:rsidR="001A35A7" w:rsidRPr="006E1455" w:rsidRDefault="001A35A7" w:rsidP="005A1239">
      <w:pPr>
        <w:pStyle w:val="Sansinterligne"/>
        <w:spacing w:before="120"/>
        <w:rPr>
          <w:rFonts w:asciiTheme="minorHAnsi" w:hAnsiTheme="minorHAnsi" w:cstheme="minorHAnsi"/>
          <w:color w:val="000000"/>
          <w:sz w:val="22"/>
          <w:szCs w:val="22"/>
          <w:lang w:val="fr-CA"/>
        </w:rPr>
      </w:pPr>
      <w:r w:rsidRPr="006E1455">
        <w:rPr>
          <w:rFonts w:asciiTheme="minorHAnsi" w:hAnsiTheme="minorHAnsi" w:cstheme="minorHAnsi"/>
          <w:color w:val="000000"/>
          <w:sz w:val="22"/>
          <w:szCs w:val="22"/>
          <w:lang w:val="fr-CA"/>
        </w:rPr>
        <w:t>L</w:t>
      </w:r>
      <w:r w:rsidRPr="006E1455">
        <w:rPr>
          <w:rFonts w:asciiTheme="minorHAnsi" w:hAnsiTheme="minorHAnsi" w:cstheme="minorHAnsi"/>
          <w:color w:val="222222"/>
          <w:sz w:val="22"/>
          <w:szCs w:val="22"/>
          <w:lang w:val="fr-CA"/>
        </w:rPr>
        <w:t xml:space="preserve">’AG de la CMI n’a approuvé aucune </w:t>
      </w:r>
      <w:r w:rsidRPr="006E1455">
        <w:rPr>
          <w:rFonts w:asciiTheme="minorHAnsi" w:hAnsiTheme="minorHAnsi" w:cstheme="minorHAnsi"/>
          <w:color w:val="000000"/>
          <w:sz w:val="22"/>
          <w:szCs w:val="22"/>
          <w:lang w:val="fr-CA"/>
        </w:rPr>
        <w:t>exception à la ZNS.</w:t>
      </w:r>
    </w:p>
    <w:p w:rsidR="001A35A7" w:rsidRPr="006E1455" w:rsidRDefault="001A35A7" w:rsidP="007D0CE8">
      <w:pPr>
        <w:pStyle w:val="Titre2"/>
        <w:spacing w:after="120"/>
        <w:rPr>
          <w:lang w:val="fr-CA"/>
        </w:rPr>
      </w:pPr>
      <w:r w:rsidRPr="006E1455">
        <w:rPr>
          <w:lang w:val="fr-CA"/>
        </w:rPr>
        <w:t>Résultats de l’évaluation cyclique de l’organisation</w:t>
      </w:r>
    </w:p>
    <w:p w:rsidR="001A35A7" w:rsidRPr="001C333D" w:rsidRDefault="001A35A7" w:rsidP="005A1239">
      <w:pPr>
        <w:rPr>
          <w:rFonts w:asciiTheme="minorHAnsi" w:hAnsiTheme="minorHAnsi" w:cstheme="minorHAnsi"/>
          <w:sz w:val="22"/>
          <w:szCs w:val="22"/>
          <w:lang w:val="fr-CA"/>
        </w:rPr>
      </w:pPr>
      <w:r w:rsidRPr="001C333D">
        <w:rPr>
          <w:rFonts w:asciiTheme="minorHAnsi" w:hAnsiTheme="minorHAnsi" w:cstheme="minorHAnsi"/>
          <w:sz w:val="22"/>
          <w:szCs w:val="22"/>
          <w:lang w:val="fr-CA"/>
        </w:rPr>
        <w:t>La CMI a soumis son intérêt à participer au projet pilote de la CFP visant à effectuer des évaluations cycliques pour des organisations de plus petite taille.</w:t>
      </w:r>
    </w:p>
    <w:p w:rsidR="001A35A7" w:rsidRPr="006E1455" w:rsidRDefault="001A35A7" w:rsidP="007D0CE8">
      <w:pPr>
        <w:pStyle w:val="Titre2"/>
        <w:spacing w:after="120"/>
        <w:rPr>
          <w:lang w:val="fr-CA"/>
        </w:rPr>
      </w:pPr>
      <w:r w:rsidRPr="006E1455">
        <w:rPr>
          <w:lang w:val="fr-CA"/>
        </w:rPr>
        <w:t>Demandes de renseignements et tendances</w:t>
      </w:r>
    </w:p>
    <w:p w:rsidR="001A35A7" w:rsidRPr="006E1455" w:rsidRDefault="001A35A7" w:rsidP="005A1239">
      <w:pPr>
        <w:pStyle w:val="Sansinterligne"/>
        <w:spacing w:after="240"/>
        <w:rPr>
          <w:rFonts w:asciiTheme="minorHAnsi" w:hAnsiTheme="minorHAnsi" w:cstheme="minorHAnsi"/>
          <w:color w:val="222222"/>
          <w:sz w:val="22"/>
          <w:szCs w:val="22"/>
          <w:lang w:val="fr-CA"/>
        </w:rPr>
      </w:pPr>
      <w:r w:rsidRPr="006E1455">
        <w:rPr>
          <w:rFonts w:asciiTheme="minorHAnsi" w:hAnsiTheme="minorHAnsi" w:cstheme="minorHAnsi"/>
          <w:color w:val="222222"/>
          <w:sz w:val="22"/>
          <w:szCs w:val="22"/>
          <w:lang w:val="fr-CA"/>
        </w:rPr>
        <w:t>La CFP a reçu un total de 15 demandes de renseignements entre le 1</w:t>
      </w:r>
      <w:r w:rsidRPr="006E1455">
        <w:rPr>
          <w:rFonts w:asciiTheme="minorHAnsi" w:hAnsiTheme="minorHAnsi" w:cstheme="minorHAnsi"/>
          <w:color w:val="222222"/>
          <w:sz w:val="22"/>
          <w:szCs w:val="22"/>
          <w:vertAlign w:val="superscript"/>
          <w:lang w:val="fr-CA"/>
        </w:rPr>
        <w:t>er</w:t>
      </w:r>
      <w:r w:rsidRPr="006E1455">
        <w:rPr>
          <w:rFonts w:asciiTheme="minorHAnsi" w:hAnsiTheme="minorHAnsi" w:cstheme="minorHAnsi"/>
          <w:color w:val="222222"/>
          <w:sz w:val="22"/>
          <w:szCs w:val="22"/>
          <w:lang w:val="fr-CA"/>
        </w:rPr>
        <w:t xml:space="preserve"> avril 2018 et le 31 janvier 2019. Il existe une très bonne relation entre le conseiller au soutien en dotation (CSD) et les personne</w:t>
      </w:r>
      <w:r w:rsidR="007D0CE8" w:rsidRPr="006E1455">
        <w:rPr>
          <w:rFonts w:asciiTheme="minorHAnsi" w:hAnsiTheme="minorHAnsi" w:cstheme="minorHAnsi"/>
          <w:color w:val="222222"/>
          <w:sz w:val="22"/>
          <w:szCs w:val="22"/>
          <w:lang w:val="fr-CA"/>
        </w:rPr>
        <w:t>s-ressources de l’organisation.</w:t>
      </w:r>
    </w:p>
    <w:p w:rsidR="001A35A7" w:rsidRPr="006E1455" w:rsidRDefault="00D97BC1" w:rsidP="005A1239">
      <w:pPr>
        <w:pStyle w:val="Titre1"/>
        <w:spacing w:after="120"/>
        <w:rPr>
          <w:lang w:val="fr-CA"/>
        </w:rPr>
      </w:pPr>
      <w:r>
        <w:rPr>
          <w:lang w:val="fr-CA"/>
        </w:rPr>
        <w:t>Surveillance</w:t>
      </w:r>
    </w:p>
    <w:p w:rsidR="001A35A7" w:rsidRPr="006E1455" w:rsidRDefault="001A35A7" w:rsidP="007D0CE8">
      <w:pPr>
        <w:pStyle w:val="Titre2"/>
        <w:spacing w:after="120"/>
        <w:rPr>
          <w:u w:val="single"/>
          <w:lang w:val="fr-CA"/>
        </w:rPr>
      </w:pPr>
      <w:r w:rsidRPr="006E1455">
        <w:rPr>
          <w:lang w:val="fr-CA"/>
        </w:rPr>
        <w:t>Enquêtes</w:t>
      </w:r>
    </w:p>
    <w:p w:rsidR="001A35A7" w:rsidRPr="006E1455" w:rsidRDefault="001A35A7" w:rsidP="007D0CE8">
      <w:pPr>
        <w:pStyle w:val="Sansinterligne"/>
        <w:spacing w:after="360"/>
        <w:rPr>
          <w:rFonts w:asciiTheme="minorHAnsi" w:hAnsiTheme="minorHAnsi" w:cstheme="minorHAnsi"/>
          <w:i/>
          <w:color w:val="000000"/>
          <w:sz w:val="22"/>
          <w:szCs w:val="22"/>
          <w:lang w:val="fr-CA"/>
        </w:rPr>
      </w:pPr>
      <w:r w:rsidRPr="006E1455">
        <w:rPr>
          <w:rFonts w:asciiTheme="minorHAnsi" w:hAnsiTheme="minorHAnsi" w:cstheme="minorHAnsi"/>
          <w:color w:val="000000"/>
          <w:sz w:val="22"/>
          <w:szCs w:val="22"/>
          <w:lang w:val="fr-CA"/>
        </w:rPr>
        <w:t>Aucune enquête pour la CMI.</w:t>
      </w:r>
    </w:p>
    <w:p w:rsidR="001A35A7" w:rsidRPr="006E1455" w:rsidRDefault="001A35A7" w:rsidP="007D0CE8">
      <w:pPr>
        <w:pStyle w:val="Titre2"/>
        <w:spacing w:after="120"/>
        <w:rPr>
          <w:u w:val="single"/>
          <w:lang w:val="fr-CA"/>
        </w:rPr>
      </w:pPr>
      <w:r w:rsidRPr="006E1455">
        <w:rPr>
          <w:lang w:val="fr-CA"/>
        </w:rPr>
        <w:t>Résultats du sondage sur la dotation et l’impartialité politique (SDIP)</w:t>
      </w:r>
    </w:p>
    <w:p w:rsidR="001A35A7" w:rsidRPr="006E1455" w:rsidRDefault="001A35A7" w:rsidP="001A35A7">
      <w:pPr>
        <w:pStyle w:val="Paragraphedeliste"/>
        <w:spacing w:after="0"/>
        <w:rPr>
          <w:rFonts w:asciiTheme="minorHAnsi" w:hAnsiTheme="minorHAnsi" w:cstheme="minorHAnsi"/>
          <w:i/>
          <w:noProof/>
          <w:sz w:val="22"/>
          <w:szCs w:val="22"/>
          <w:lang w:val="fr-CA" w:eastAsia="en-CA"/>
        </w:rPr>
      </w:pPr>
      <w:r w:rsidRPr="006E1455">
        <w:rPr>
          <w:rFonts w:asciiTheme="minorHAnsi" w:hAnsiTheme="minorHAnsi" w:cstheme="minorHAnsi"/>
          <w:noProof/>
          <w:sz w:val="22"/>
          <w:szCs w:val="22"/>
          <w:lang w:val="fr-CA" w:eastAsia="en-CA"/>
        </w:rPr>
        <w:t xml:space="preserve">Dans l’ensemble, les résultats du SDIP de la CMI présentent certains écarts par rapport à d’autres très petites organisations et à la fonction publique. Il importe de noter que la CMI n’a pas reçu de résultats pour toutes les questions du SDIP, car les résultats ne sont fournis que pour les questions pour lesquelles il y a au moins dix répondants. </w:t>
      </w:r>
    </w:p>
    <w:p w:rsidR="001A35A7" w:rsidRPr="006E1455" w:rsidRDefault="001A35A7" w:rsidP="00C6220B">
      <w:pPr>
        <w:spacing w:before="240"/>
        <w:rPr>
          <w:rFonts w:asciiTheme="minorHAnsi" w:hAnsiTheme="minorHAnsi" w:cstheme="minorHAnsi"/>
          <w:sz w:val="22"/>
          <w:szCs w:val="22"/>
          <w:highlight w:val="cyan"/>
          <w:lang w:val="fr-CA"/>
        </w:rPr>
      </w:pPr>
      <w:r w:rsidRPr="006E1455">
        <w:rPr>
          <w:rFonts w:asciiTheme="minorHAnsi" w:hAnsiTheme="minorHAnsi" w:cstheme="minorHAnsi"/>
          <w:sz w:val="22"/>
          <w:szCs w:val="22"/>
          <w:lang w:val="fr-CA"/>
        </w:rPr>
        <w:t>Vous trouverez ci-dessous les principales conclusions des résultats du SDIP de 2018 pour la CMI:</w:t>
      </w:r>
    </w:p>
    <w:p w:rsidR="001A35A7" w:rsidRPr="006E1455" w:rsidRDefault="001A35A7" w:rsidP="00C6220B">
      <w:pPr>
        <w:pStyle w:val="Paragraphedeliste"/>
        <w:numPr>
          <w:ilvl w:val="0"/>
          <w:numId w:val="6"/>
        </w:numPr>
        <w:spacing w:before="240" w:after="160" w:line="259" w:lineRule="auto"/>
        <w:rPr>
          <w:rFonts w:asciiTheme="minorHAnsi" w:hAnsiTheme="minorHAnsi" w:cstheme="minorHAnsi"/>
          <w:sz w:val="22"/>
          <w:szCs w:val="22"/>
          <w:lang w:val="fr-CA"/>
        </w:rPr>
      </w:pPr>
      <w:r w:rsidRPr="006E1455">
        <w:rPr>
          <w:rFonts w:asciiTheme="minorHAnsi" w:hAnsiTheme="minorHAnsi" w:cstheme="minorHAnsi"/>
          <w:sz w:val="22"/>
          <w:szCs w:val="22"/>
          <w:lang w:val="fr-CA"/>
        </w:rPr>
        <w:t>93,4 % des employés ont indiqué que les personnes embauchées dans leur unité de travail pouvaient faire leur travail, contre 69,8 % dans des organisations d’une taille semblable et 53,8 % dans l’ensemble des organisations de la fonction publique fédérale.</w:t>
      </w:r>
    </w:p>
    <w:p w:rsidR="001A35A7" w:rsidRPr="006E1455" w:rsidRDefault="001A35A7" w:rsidP="001A35A7">
      <w:pPr>
        <w:pStyle w:val="Paragraphedeliste"/>
        <w:numPr>
          <w:ilvl w:val="0"/>
          <w:numId w:val="6"/>
        </w:numPr>
        <w:spacing w:after="160" w:line="259" w:lineRule="auto"/>
        <w:rPr>
          <w:rFonts w:asciiTheme="minorHAnsi" w:hAnsiTheme="minorHAnsi" w:cstheme="minorHAnsi"/>
          <w:lang w:val="fr-CA"/>
        </w:rPr>
      </w:pPr>
      <w:r w:rsidRPr="006E1455">
        <w:rPr>
          <w:rFonts w:asciiTheme="minorHAnsi" w:hAnsiTheme="minorHAnsi" w:cstheme="minorHAnsi"/>
          <w:sz w:val="22"/>
          <w:szCs w:val="22"/>
          <w:lang w:val="fr-CA"/>
        </w:rPr>
        <w:t>93,3% des employés ont indiqué que le processus de sélection des personnes dans le but de pourvoir un poste est équitable, alors que la proportion était de 61,7 % dans des organisations d’une taille semblable et de 46,4 % dans l’ensemble des organisations de la fonction publique fédérale.</w:t>
      </w:r>
    </w:p>
    <w:p w:rsidR="001A35A7" w:rsidRPr="006E1455" w:rsidRDefault="001A35A7" w:rsidP="001A35A7">
      <w:pPr>
        <w:pStyle w:val="Paragraphedeliste"/>
        <w:numPr>
          <w:ilvl w:val="0"/>
          <w:numId w:val="6"/>
        </w:numPr>
        <w:spacing w:after="160" w:line="259" w:lineRule="auto"/>
        <w:rPr>
          <w:rFonts w:asciiTheme="minorHAnsi" w:hAnsiTheme="minorHAnsi" w:cstheme="minorHAnsi"/>
          <w:sz w:val="22"/>
          <w:szCs w:val="22"/>
          <w:lang w:val="fr-CA"/>
        </w:rPr>
      </w:pPr>
      <w:r w:rsidRPr="006E1455">
        <w:rPr>
          <w:rFonts w:asciiTheme="minorHAnsi" w:hAnsiTheme="minorHAnsi" w:cstheme="minorHAnsi"/>
          <w:sz w:val="22"/>
          <w:szCs w:val="22"/>
          <w:lang w:val="fr-CA"/>
        </w:rPr>
        <w:lastRenderedPageBreak/>
        <w:t>53,3% des employés ne sont pas d’accord que, dans leur organisation, les nominations dépendent des gens que les candidats connaissent, alors que la proportion était de 35,2 % dans des organisations d’une taille semblable et 23,5% dans l’ensemble des organisations de la fonction publique fédérale.</w:t>
      </w:r>
    </w:p>
    <w:p w:rsidR="001A35A7" w:rsidRPr="006E1455" w:rsidRDefault="001A35A7" w:rsidP="007D0CE8">
      <w:pPr>
        <w:pStyle w:val="Paragraphedeliste"/>
        <w:numPr>
          <w:ilvl w:val="0"/>
          <w:numId w:val="6"/>
        </w:numPr>
        <w:spacing w:after="360" w:line="259" w:lineRule="auto"/>
        <w:rPr>
          <w:rFonts w:asciiTheme="minorHAnsi" w:hAnsiTheme="minorHAnsi" w:cstheme="minorHAnsi"/>
          <w:sz w:val="22"/>
          <w:szCs w:val="22"/>
          <w:lang w:val="fr-CA"/>
        </w:rPr>
      </w:pPr>
      <w:r w:rsidRPr="006E1455">
        <w:rPr>
          <w:rFonts w:asciiTheme="minorHAnsi" w:hAnsiTheme="minorHAnsi" w:cstheme="minorHAnsi"/>
          <w:sz w:val="22"/>
          <w:szCs w:val="22"/>
          <w:lang w:val="fr-CA"/>
        </w:rPr>
        <w:t>80% des employés ont indiqué que les activités de dotation sont menées de manière transparente, alors que la proportion était de 60,9% dans des organisations d’une taille semblable et 44,3% dans l’ensemble des organisations de la fonction publique fédérale.</w:t>
      </w:r>
    </w:p>
    <w:p w:rsidR="001A35A7" w:rsidRPr="006E1455" w:rsidRDefault="001A35A7" w:rsidP="005A1239">
      <w:pPr>
        <w:pStyle w:val="Titre1"/>
        <w:spacing w:after="120"/>
        <w:rPr>
          <w:lang w:val="fr-CA"/>
        </w:rPr>
      </w:pPr>
      <w:r w:rsidRPr="006E1455">
        <w:rPr>
          <w:lang w:val="fr-CA"/>
        </w:rPr>
        <w:t>Profil de la diversité</w:t>
      </w:r>
    </w:p>
    <w:p w:rsidR="001A35A7" w:rsidRPr="00D97BC1" w:rsidRDefault="00D97BC1" w:rsidP="00D97BC1">
      <w:pPr>
        <w:pStyle w:val="Sansinterligne"/>
        <w:spacing w:after="360"/>
        <w:rPr>
          <w:rFonts w:asciiTheme="minorHAnsi" w:hAnsiTheme="minorHAnsi" w:cstheme="minorHAnsi"/>
          <w:sz w:val="22"/>
          <w:szCs w:val="22"/>
          <w:lang w:val="fr-CA"/>
        </w:rPr>
      </w:pPr>
      <w:r w:rsidRPr="00D97BC1">
        <w:rPr>
          <w:rFonts w:asciiTheme="minorHAnsi" w:hAnsiTheme="minorHAnsi" w:cstheme="minorHAnsi"/>
          <w:iCs/>
          <w:sz w:val="22"/>
          <w:szCs w:val="22"/>
          <w:lang w:val="fr-CA"/>
        </w:rPr>
        <w:t>En vertu d’un petit nombre d’employés au sein de l’organisation, les statistiques d’équité en matière d’emploi ont été retirées de ce rapport dans le but de protéger la confidentialité individuelle des répondants.</w:t>
      </w:r>
    </w:p>
    <w:p w:rsidR="001A35A7" w:rsidRPr="006E1455" w:rsidRDefault="001A35A7" w:rsidP="005A1239">
      <w:pPr>
        <w:pStyle w:val="Titre1"/>
        <w:spacing w:after="120"/>
        <w:rPr>
          <w:lang w:val="fr-CA"/>
        </w:rPr>
      </w:pPr>
      <w:r w:rsidRPr="006E1455">
        <w:rPr>
          <w:lang w:val="fr-CA"/>
        </w:rPr>
        <w:t>Droits de priorité et Anciens combattants</w:t>
      </w:r>
    </w:p>
    <w:p w:rsidR="001A35A7" w:rsidRPr="006E1455" w:rsidRDefault="001A35A7" w:rsidP="001A35A7">
      <w:pPr>
        <w:rPr>
          <w:rFonts w:asciiTheme="minorHAnsi" w:hAnsiTheme="minorHAnsi" w:cstheme="minorHAnsi"/>
          <w:color w:val="000000"/>
          <w:sz w:val="22"/>
          <w:szCs w:val="22"/>
          <w:lang w:val="fr-CA"/>
        </w:rPr>
      </w:pPr>
      <w:r w:rsidRPr="006E1455">
        <w:rPr>
          <w:rFonts w:asciiTheme="minorHAnsi" w:hAnsiTheme="minorHAnsi" w:cstheme="minorHAnsi"/>
          <w:color w:val="000000"/>
          <w:sz w:val="22"/>
          <w:szCs w:val="22"/>
          <w:lang w:val="fr-CA"/>
        </w:rPr>
        <w:t>Du 1</w:t>
      </w:r>
      <w:r w:rsidRPr="006E1455">
        <w:rPr>
          <w:rFonts w:asciiTheme="minorHAnsi" w:hAnsiTheme="minorHAnsi" w:cstheme="minorHAnsi"/>
          <w:color w:val="000000"/>
          <w:sz w:val="22"/>
          <w:szCs w:val="22"/>
          <w:vertAlign w:val="superscript"/>
          <w:lang w:val="fr-CA"/>
        </w:rPr>
        <w:t>er</w:t>
      </w:r>
      <w:r w:rsidRPr="006E1455">
        <w:rPr>
          <w:rFonts w:asciiTheme="minorHAnsi" w:hAnsiTheme="minorHAnsi" w:cstheme="minorHAnsi"/>
          <w:color w:val="000000"/>
          <w:sz w:val="22"/>
          <w:szCs w:val="22"/>
          <w:lang w:val="fr-CA"/>
        </w:rPr>
        <w:t xml:space="preserve"> avril 2018 au 10 juillet 2019, la CMI a nommé un bénéficiaire de priorité. Au cours de la même période, </w:t>
      </w:r>
      <w:r w:rsidRPr="006E1455">
        <w:rPr>
          <w:rFonts w:asciiTheme="minorHAnsi" w:eastAsiaTheme="minorHAnsi" w:hAnsiTheme="minorHAnsi" w:cstheme="minorHAnsi"/>
          <w:sz w:val="22"/>
          <w:szCs w:val="22"/>
          <w:lang w:val="fr-CA"/>
        </w:rPr>
        <w:t xml:space="preserve">la CMI a soumis 11 demandes d’autorisation en matière de priorités. </w:t>
      </w:r>
    </w:p>
    <w:p w:rsidR="001A35A7" w:rsidRPr="006E1455" w:rsidRDefault="001A35A7" w:rsidP="00C6220B">
      <w:pPr>
        <w:pStyle w:val="Sansinterligne"/>
        <w:spacing w:before="240"/>
        <w:rPr>
          <w:rFonts w:asciiTheme="minorHAnsi" w:hAnsiTheme="minorHAnsi" w:cstheme="minorHAnsi"/>
          <w:color w:val="000000"/>
          <w:sz w:val="22"/>
          <w:szCs w:val="22"/>
          <w:lang w:val="fr-CA"/>
        </w:rPr>
      </w:pPr>
      <w:r w:rsidRPr="006E1455">
        <w:rPr>
          <w:rFonts w:asciiTheme="minorHAnsi" w:hAnsiTheme="minorHAnsi" w:cstheme="minorHAnsi"/>
          <w:color w:val="000000"/>
          <w:sz w:val="22"/>
          <w:szCs w:val="22"/>
          <w:lang w:val="fr-CA"/>
        </w:rPr>
        <w:t xml:space="preserve">Au 30 juin 2019, la CMI n’avait nommé aucun </w:t>
      </w:r>
      <w:r w:rsidRPr="006E1455">
        <w:rPr>
          <w:rFonts w:asciiTheme="minorHAnsi" w:hAnsiTheme="minorHAnsi" w:cstheme="minorHAnsi"/>
          <w:iCs/>
          <w:noProof/>
          <w:sz w:val="22"/>
          <w:szCs w:val="22"/>
          <w:lang w:val="fr-CA"/>
        </w:rPr>
        <w:t xml:space="preserve">membre des Forces armées canadiennes libérés pour des raisons médicales attribuables ou non attribuables au service, et ce, </w:t>
      </w:r>
      <w:r w:rsidRPr="006E1455">
        <w:rPr>
          <w:rFonts w:asciiTheme="minorHAnsi" w:hAnsiTheme="minorHAnsi" w:cstheme="minorHAnsi"/>
          <w:color w:val="000000"/>
          <w:sz w:val="22"/>
          <w:szCs w:val="22"/>
          <w:lang w:val="fr-CA"/>
        </w:rPr>
        <w:t xml:space="preserve">depuis l’entrée en vigueur de la </w:t>
      </w:r>
      <w:r w:rsidRPr="006E1455">
        <w:rPr>
          <w:rFonts w:asciiTheme="minorHAnsi" w:hAnsiTheme="minorHAnsi" w:cstheme="minorHAnsi"/>
          <w:color w:val="333333"/>
          <w:sz w:val="22"/>
          <w:szCs w:val="22"/>
          <w:lang w:val="fr-CA"/>
        </w:rPr>
        <w:t>Loi sur l'embauche des anciens combattants le 1</w:t>
      </w:r>
      <w:r w:rsidRPr="006E1455">
        <w:rPr>
          <w:rFonts w:asciiTheme="minorHAnsi" w:hAnsiTheme="minorHAnsi" w:cstheme="minorHAnsi"/>
          <w:color w:val="333333"/>
          <w:sz w:val="22"/>
          <w:szCs w:val="22"/>
          <w:vertAlign w:val="superscript"/>
          <w:lang w:val="fr-CA"/>
        </w:rPr>
        <w:t>er</w:t>
      </w:r>
      <w:r w:rsidRPr="006E1455">
        <w:rPr>
          <w:rFonts w:asciiTheme="minorHAnsi" w:hAnsiTheme="minorHAnsi" w:cstheme="minorHAnsi"/>
          <w:color w:val="333333"/>
          <w:sz w:val="22"/>
          <w:szCs w:val="22"/>
          <w:lang w:val="fr-CA"/>
        </w:rPr>
        <w:t xml:space="preserve"> juillet 2015.</w:t>
      </w:r>
    </w:p>
    <w:p w:rsidR="001A35A7" w:rsidRPr="006E1455" w:rsidRDefault="001A35A7" w:rsidP="00C6220B">
      <w:pPr>
        <w:spacing w:before="240" w:after="360"/>
        <w:rPr>
          <w:rFonts w:asciiTheme="minorHAnsi" w:eastAsiaTheme="minorHAnsi" w:hAnsiTheme="minorHAnsi" w:cstheme="minorHAnsi"/>
          <w:sz w:val="22"/>
          <w:szCs w:val="22"/>
          <w:lang w:val="fr-CA"/>
        </w:rPr>
      </w:pPr>
      <w:r w:rsidRPr="006E1455">
        <w:rPr>
          <w:rFonts w:asciiTheme="minorHAnsi" w:eastAsiaTheme="minorHAnsi" w:hAnsiTheme="minorHAnsi" w:cstheme="minorHAnsi"/>
          <w:sz w:val="22"/>
          <w:szCs w:val="22"/>
          <w:lang w:val="fr-CA"/>
        </w:rPr>
        <w:t>En date du 23 juillet 2019, la CMI n’avait aucun bénéficiaire de priorité « actifs » dans le système de gestion des priorités de la CFP.</w:t>
      </w:r>
    </w:p>
    <w:p w:rsidR="001A35A7" w:rsidRPr="006E1455" w:rsidRDefault="001A35A7" w:rsidP="005A1239">
      <w:pPr>
        <w:pStyle w:val="Titre1"/>
        <w:spacing w:after="120"/>
        <w:rPr>
          <w:lang w:val="fr-CA"/>
        </w:rPr>
      </w:pPr>
      <w:r w:rsidRPr="006E1455">
        <w:rPr>
          <w:lang w:val="fr-CA"/>
        </w:rPr>
        <w:t>Impar</w:t>
      </w:r>
      <w:r w:rsidR="00803280">
        <w:rPr>
          <w:lang w:val="fr-CA"/>
        </w:rPr>
        <w:t>tialité de la fonction publique</w:t>
      </w:r>
    </w:p>
    <w:p w:rsidR="001A35A7" w:rsidRPr="006E1455" w:rsidRDefault="001A35A7" w:rsidP="001A3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222222"/>
          <w:sz w:val="22"/>
          <w:szCs w:val="22"/>
          <w:lang w:val="fr-CA" w:eastAsia="en-CA"/>
        </w:rPr>
      </w:pPr>
      <w:r w:rsidRPr="006E1455">
        <w:rPr>
          <w:rFonts w:asciiTheme="minorHAnsi" w:hAnsiTheme="minorHAnsi" w:cstheme="minorHAnsi"/>
          <w:color w:val="222222"/>
          <w:sz w:val="22"/>
          <w:szCs w:val="22"/>
          <w:lang w:val="fr-CA" w:eastAsia="en-CA"/>
        </w:rPr>
        <w:t xml:space="preserve">Nick </w:t>
      </w:r>
      <w:proofErr w:type="spellStart"/>
      <w:r w:rsidRPr="006E1455">
        <w:rPr>
          <w:rFonts w:asciiTheme="minorHAnsi" w:hAnsiTheme="minorHAnsi" w:cstheme="minorHAnsi"/>
          <w:color w:val="222222"/>
          <w:sz w:val="22"/>
          <w:szCs w:val="22"/>
          <w:lang w:val="fr-CA" w:eastAsia="en-CA"/>
        </w:rPr>
        <w:t>Heisler</w:t>
      </w:r>
      <w:proofErr w:type="spellEnd"/>
      <w:r w:rsidRPr="006E1455">
        <w:rPr>
          <w:rFonts w:asciiTheme="minorHAnsi" w:hAnsiTheme="minorHAnsi" w:cstheme="minorHAnsi"/>
          <w:color w:val="222222"/>
          <w:sz w:val="22"/>
          <w:szCs w:val="22"/>
          <w:lang w:val="fr-CA" w:eastAsia="en-CA"/>
        </w:rPr>
        <w:t xml:space="preserve"> est le représentant désigné des activités politiques (RDAP) de la CMI. Le RDAP assure la liaison avec la CFP pour les questions liées aux activités politiques et à l'impartialité politique.</w:t>
      </w:r>
    </w:p>
    <w:p w:rsidR="001A35A7" w:rsidRPr="006E1455" w:rsidRDefault="001A35A7" w:rsidP="00C62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asciiTheme="minorHAnsi" w:hAnsiTheme="minorHAnsi" w:cstheme="minorHAnsi"/>
          <w:color w:val="222222"/>
          <w:sz w:val="22"/>
          <w:szCs w:val="22"/>
          <w:lang w:val="fr-CA" w:eastAsia="en-CA"/>
        </w:rPr>
      </w:pPr>
      <w:r w:rsidRPr="006E1455">
        <w:rPr>
          <w:rFonts w:asciiTheme="minorHAnsi" w:hAnsiTheme="minorHAnsi" w:cstheme="minorHAnsi"/>
          <w:color w:val="222222"/>
          <w:sz w:val="22"/>
          <w:szCs w:val="22"/>
          <w:lang w:val="fr-CA" w:eastAsia="en-CA"/>
        </w:rPr>
        <w:t>Au fil des ans, la CFP n'a reçu aucune demande de permission de se présenter à une élection, de la part d'employés de la CMI. Depuis le 1er avril 2015, la CFP n'a traité aucune demande fédérale, provinciale, territoriale ou municipale émanant de cette organisation.</w:t>
      </w:r>
    </w:p>
    <w:p w:rsidR="001A35A7" w:rsidRPr="006E1455" w:rsidRDefault="001A35A7" w:rsidP="00C6220B">
      <w:pPr>
        <w:spacing w:before="240" w:after="360"/>
        <w:rPr>
          <w:rFonts w:asciiTheme="minorHAnsi" w:hAnsiTheme="minorHAnsi" w:cstheme="minorHAnsi"/>
          <w:sz w:val="22"/>
          <w:szCs w:val="22"/>
          <w:lang w:val="fr-CA"/>
        </w:rPr>
      </w:pPr>
      <w:r w:rsidRPr="006E1455">
        <w:rPr>
          <w:rFonts w:asciiTheme="minorHAnsi" w:hAnsiTheme="minorHAnsi" w:cstheme="minorHAnsi"/>
          <w:color w:val="222222"/>
          <w:sz w:val="22"/>
          <w:szCs w:val="22"/>
          <w:lang w:val="fr-CA" w:eastAsia="en-CA"/>
        </w:rPr>
        <w:t xml:space="preserve">Les résultats du sondage de 2018 sur la dotation et l'impartialité politique montrent que le niveau de sensibilisation des employés de la CMI à leurs droits et responsabilités en matière de participation à des activités politiques est de 87,5%, contre 80,1% pour l'ensemble de la fonction publique. Par ailleurs, </w:t>
      </w:r>
      <w:r w:rsidRPr="006E1455">
        <w:rPr>
          <w:rFonts w:asciiTheme="minorHAnsi" w:hAnsiTheme="minorHAnsi" w:cstheme="minorHAnsi"/>
          <w:sz w:val="22"/>
          <w:szCs w:val="22"/>
          <w:lang w:val="fr-CA"/>
        </w:rPr>
        <w:t>93,8% des employés ont indiqué qu’ils sont en mesure de prendre des décisions éclairées relativement à votre participation à des activités politiques, alors que la proportion était de 92,9% dans des organisations d’une taille semblable et 87,9% dans l’ensemble des organisations de la fonction publique fédérale.</w:t>
      </w:r>
    </w:p>
    <w:p w:rsidR="001A35A7" w:rsidRPr="006E1455" w:rsidRDefault="001A35A7" w:rsidP="005A1239">
      <w:pPr>
        <w:pStyle w:val="Titre1"/>
        <w:spacing w:after="120"/>
        <w:rPr>
          <w:lang w:val="fr-CA"/>
        </w:rPr>
      </w:pPr>
      <w:r w:rsidRPr="006E1455">
        <w:rPr>
          <w:lang w:val="fr-CA"/>
        </w:rPr>
        <w:lastRenderedPageBreak/>
        <w:t>Initiatives de la CFP</w:t>
      </w:r>
    </w:p>
    <w:p w:rsidR="001A35A7" w:rsidRPr="006E1455" w:rsidRDefault="001A35A7" w:rsidP="001A35A7">
      <w:pPr>
        <w:pStyle w:val="Sansinterligne"/>
        <w:rPr>
          <w:rFonts w:asciiTheme="minorHAnsi" w:hAnsiTheme="minorHAnsi" w:cstheme="minorHAnsi"/>
          <w:color w:val="000000"/>
          <w:sz w:val="22"/>
          <w:szCs w:val="22"/>
          <w:lang w:val="fr-CA"/>
        </w:rPr>
      </w:pPr>
      <w:r w:rsidRPr="006E1455">
        <w:rPr>
          <w:rFonts w:asciiTheme="minorHAnsi" w:hAnsiTheme="minorHAnsi" w:cstheme="minorHAnsi"/>
          <w:color w:val="000000"/>
          <w:sz w:val="22"/>
          <w:szCs w:val="22"/>
          <w:lang w:val="fr-CA"/>
        </w:rPr>
        <w:t>La CMI ne fait partie d’aucune des initiatives dirigées par la CFP pour le moment.</w:t>
      </w:r>
    </w:p>
    <w:p w:rsidR="001A35A7" w:rsidRPr="006E1455" w:rsidRDefault="00803280" w:rsidP="005A1239">
      <w:pPr>
        <w:pStyle w:val="Titre1"/>
        <w:spacing w:after="120"/>
        <w:rPr>
          <w:lang w:val="fr-CA"/>
        </w:rPr>
      </w:pPr>
      <w:r>
        <w:rPr>
          <w:lang w:val="fr-CA"/>
        </w:rPr>
        <w:t>Soutien en dotation</w:t>
      </w:r>
    </w:p>
    <w:p w:rsidR="001A35A7" w:rsidRPr="006E1455" w:rsidRDefault="001A35A7" w:rsidP="007D0CE8">
      <w:pPr>
        <w:pStyle w:val="Titre2"/>
        <w:spacing w:after="120"/>
        <w:rPr>
          <w:u w:val="single"/>
          <w:lang w:val="fr-CA"/>
        </w:rPr>
      </w:pPr>
      <w:r w:rsidRPr="006E1455">
        <w:rPr>
          <w:lang w:val="fr-CA"/>
        </w:rPr>
        <w:t>Représentants de la Commission de la Fonction Publique et personnes-ressources de l’organisation</w:t>
      </w:r>
    </w:p>
    <w:p w:rsidR="00B23D2F" w:rsidRPr="006E1455" w:rsidRDefault="001A35A7" w:rsidP="001A35A7">
      <w:pPr>
        <w:rPr>
          <w:rFonts w:asciiTheme="minorHAnsi" w:hAnsiTheme="minorHAnsi" w:cstheme="minorHAnsi"/>
          <w:sz w:val="22"/>
          <w:szCs w:val="22"/>
          <w:lang w:val="fr-CA" w:eastAsia="en-CA"/>
        </w:rPr>
      </w:pPr>
      <w:r w:rsidRPr="006E1455">
        <w:rPr>
          <w:rFonts w:asciiTheme="minorHAnsi" w:hAnsiTheme="minorHAnsi" w:cstheme="minorHAnsi"/>
          <w:sz w:val="22"/>
          <w:szCs w:val="22"/>
          <w:lang w:val="fr-CA" w:eastAsia="en-CA"/>
        </w:rPr>
        <w:t xml:space="preserve">La conseillère au soutien en dotation (CSD) affectée à cette organisation est </w:t>
      </w:r>
      <w:r w:rsidR="00063774" w:rsidRPr="006E1455">
        <w:rPr>
          <w:rFonts w:asciiTheme="minorHAnsi" w:hAnsiTheme="minorHAnsi" w:cstheme="minorHAnsi"/>
          <w:sz w:val="22"/>
          <w:szCs w:val="22"/>
          <w:lang w:val="fr-CA" w:eastAsia="en-CA"/>
        </w:rPr>
        <w:t xml:space="preserve">Muriel </w:t>
      </w:r>
      <w:proofErr w:type="spellStart"/>
      <w:r w:rsidR="00063774" w:rsidRPr="006E1455">
        <w:rPr>
          <w:rFonts w:asciiTheme="minorHAnsi" w:hAnsiTheme="minorHAnsi" w:cstheme="minorHAnsi"/>
          <w:sz w:val="22"/>
          <w:szCs w:val="22"/>
          <w:lang w:val="fr-CA" w:eastAsia="en-CA"/>
        </w:rPr>
        <w:t>Ngombo</w:t>
      </w:r>
      <w:proofErr w:type="spellEnd"/>
      <w:r w:rsidRPr="006E1455">
        <w:rPr>
          <w:rFonts w:asciiTheme="minorHAnsi" w:hAnsiTheme="minorHAnsi" w:cstheme="minorHAnsi"/>
          <w:sz w:val="22"/>
          <w:szCs w:val="22"/>
          <w:lang w:val="fr-CA" w:eastAsia="en-CA"/>
        </w:rPr>
        <w:t xml:space="preserve"> et les principales personnes-ressources de l’organisation sont</w:t>
      </w:r>
      <w:r w:rsidRPr="006E1455">
        <w:rPr>
          <w:rFonts w:asciiTheme="minorHAnsi" w:hAnsiTheme="minorHAnsi" w:cstheme="minorHAnsi"/>
          <w:b/>
          <w:sz w:val="22"/>
          <w:szCs w:val="22"/>
          <w:lang w:val="fr-CA" w:eastAsia="en-CA"/>
        </w:rPr>
        <w:t xml:space="preserve"> </w:t>
      </w:r>
      <w:r w:rsidRPr="006E1455">
        <w:rPr>
          <w:rFonts w:asciiTheme="minorHAnsi" w:hAnsiTheme="minorHAnsi" w:cstheme="minorHAnsi"/>
          <w:sz w:val="22"/>
          <w:szCs w:val="22"/>
          <w:lang w:val="fr-CA" w:eastAsia="en-CA"/>
        </w:rPr>
        <w:t>Isabelle Reid, Adjointe exécutive et Céline Desjardins, Agente administrative, en ressources humaines.</w:t>
      </w:r>
      <w:r w:rsidR="00B23D2F" w:rsidRPr="006E1455">
        <w:rPr>
          <w:rFonts w:asciiTheme="minorHAnsi" w:hAnsiTheme="minorHAnsi" w:cstheme="minorHAnsi"/>
          <w:sz w:val="22"/>
          <w:szCs w:val="22"/>
          <w:lang w:val="fr-CA" w:eastAsia="en-CA"/>
        </w:rPr>
        <w:br w:type="page"/>
      </w:r>
    </w:p>
    <w:p w:rsidR="007D0CE8" w:rsidRPr="006E1455" w:rsidRDefault="007D0CE8" w:rsidP="001468D7">
      <w:pPr>
        <w:keepLines/>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60" w:line="259" w:lineRule="auto"/>
        <w:rPr>
          <w:rFonts w:asciiTheme="minorHAnsi" w:eastAsiaTheme="minorHAnsi" w:hAnsiTheme="minorHAnsi" w:cstheme="minorHAnsi"/>
          <w:sz w:val="22"/>
          <w:szCs w:val="22"/>
          <w:lang w:val="fr-CA"/>
        </w:rPr>
      </w:pPr>
      <w:r w:rsidRPr="00803280">
        <w:rPr>
          <w:rStyle w:val="lev"/>
          <w:rFonts w:asciiTheme="minorHAnsi" w:eastAsiaTheme="minorHAnsi" w:hAnsiTheme="minorHAnsi" w:cstheme="minorHAnsi"/>
          <w:sz w:val="22"/>
          <w:lang w:val="fr-CA"/>
        </w:rPr>
        <w:lastRenderedPageBreak/>
        <w:t>PRÉPARÉ PAR</w:t>
      </w:r>
      <w:r w:rsidRPr="00803280">
        <w:rPr>
          <w:rFonts w:asciiTheme="minorHAnsi" w:eastAsiaTheme="minorHAnsi" w:hAnsiTheme="minorHAnsi" w:cstheme="minorHAnsi"/>
          <w:b/>
          <w:bCs/>
          <w:sz w:val="20"/>
          <w:szCs w:val="22"/>
          <w:lang w:val="fr-CA"/>
        </w:rPr>
        <w:t> </w:t>
      </w:r>
      <w:r w:rsidRPr="006E1455">
        <w:rPr>
          <w:rFonts w:asciiTheme="minorHAnsi" w:eastAsiaTheme="minorHAnsi" w:hAnsiTheme="minorHAnsi" w:cstheme="minorHAnsi"/>
          <w:b/>
          <w:bCs/>
          <w:sz w:val="22"/>
          <w:szCs w:val="22"/>
          <w:lang w:val="fr-CA"/>
        </w:rPr>
        <w:t>:</w:t>
      </w:r>
    </w:p>
    <w:p w:rsidR="007D0CE8" w:rsidRPr="006E1455" w:rsidRDefault="007D0CE8" w:rsidP="007D0CE8">
      <w:pPr>
        <w:keepLines/>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eastAsiaTheme="minorHAnsi" w:hAnsiTheme="minorHAnsi" w:cstheme="minorHAnsi"/>
          <w:sz w:val="22"/>
          <w:szCs w:val="22"/>
          <w:lang w:val="fr-CA"/>
        </w:rPr>
      </w:pPr>
      <w:r w:rsidRPr="006E1455">
        <w:rPr>
          <w:rFonts w:asciiTheme="minorHAnsi" w:eastAsiaTheme="minorHAnsi" w:hAnsiTheme="minorHAnsi" w:cstheme="minorHAnsi"/>
          <w:sz w:val="22"/>
          <w:szCs w:val="22"/>
          <w:lang w:val="fr-CA"/>
        </w:rPr>
        <w:t xml:space="preserve">Gaétane Clément, </w:t>
      </w:r>
    </w:p>
    <w:p w:rsidR="00D3030B" w:rsidRPr="006E1455" w:rsidRDefault="007D0CE8" w:rsidP="00D3030B">
      <w:pPr>
        <w:keepLines/>
        <w:numPr>
          <w:ilvl w:val="12"/>
          <w:numId w:val="0"/>
        </w:numPr>
        <w:tabs>
          <w:tab w:val="left" w:pos="-1320"/>
          <w:tab w:val="left" w:pos="-720"/>
          <w:tab w:val="left" w:pos="0"/>
          <w:tab w:val="left" w:pos="3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60"/>
        <w:rPr>
          <w:rFonts w:asciiTheme="minorHAnsi" w:eastAsiaTheme="minorHAnsi" w:hAnsiTheme="minorHAnsi" w:cstheme="minorHAnsi"/>
          <w:sz w:val="22"/>
          <w:szCs w:val="22"/>
          <w:lang w:val="fr-CA"/>
        </w:rPr>
      </w:pPr>
      <w:r w:rsidRPr="006E1455">
        <w:rPr>
          <w:rFonts w:asciiTheme="minorHAnsi" w:eastAsiaTheme="minorHAnsi" w:hAnsiTheme="minorHAnsi" w:cstheme="minorHAnsi"/>
          <w:sz w:val="22"/>
          <w:szCs w:val="22"/>
          <w:lang w:val="fr-CA"/>
        </w:rPr>
        <w:t>Conseillère au soutien en dotation</w:t>
      </w:r>
    </w:p>
    <w:p w:rsidR="001A35A7" w:rsidRPr="006E1455" w:rsidRDefault="001A35A7" w:rsidP="009D07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0"/>
        <w:rPr>
          <w:rFonts w:asciiTheme="minorHAnsi" w:hAnsiTheme="minorHAnsi" w:cstheme="minorHAnsi"/>
          <w:sz w:val="22"/>
          <w:szCs w:val="22"/>
          <w:lang w:val="fr-CA"/>
        </w:rPr>
      </w:pPr>
      <w:r w:rsidRPr="006E1455">
        <w:rPr>
          <w:rFonts w:asciiTheme="minorHAnsi" w:hAnsiTheme="minorHAnsi" w:cstheme="minorHAnsi"/>
          <w:sz w:val="22"/>
          <w:szCs w:val="22"/>
          <w:lang w:val="fr-CA"/>
        </w:rPr>
        <w:t>Annexes :</w:t>
      </w:r>
    </w:p>
    <w:p w:rsidR="00383D57" w:rsidRPr="00383D57" w:rsidRDefault="00D510B0" w:rsidP="00383D57">
      <w:pPr>
        <w:pStyle w:val="Paragraphedeliste"/>
        <w:numPr>
          <w:ilvl w:val="0"/>
          <w:numId w:val="3"/>
        </w:numPr>
        <w:rPr>
          <w:rStyle w:val="Lienhypertexte"/>
          <w:rFonts w:asciiTheme="minorHAnsi" w:hAnsiTheme="minorHAnsi" w:cstheme="minorHAnsi"/>
          <w:bCs/>
          <w:color w:val="auto"/>
          <w:sz w:val="22"/>
          <w:szCs w:val="22"/>
          <w:lang w:val="fr-CA"/>
        </w:rPr>
      </w:pPr>
      <w:hyperlink w:anchor="AnnexA" w:history="1">
        <w:r w:rsidR="00383D57" w:rsidRPr="00383D57">
          <w:rPr>
            <w:rStyle w:val="Lienhypertexte"/>
            <w:rFonts w:asciiTheme="minorHAnsi" w:hAnsiTheme="minorHAnsi" w:cstheme="minorHAnsi"/>
            <w:sz w:val="22"/>
            <w:szCs w:val="22"/>
            <w:lang w:val="fr-CA"/>
          </w:rPr>
          <w:t xml:space="preserve">Annexe A –  Document Faits Saillants de la Nouvelle orientation en dotation (NOD) pour les AG </w:t>
        </w:r>
      </w:hyperlink>
    </w:p>
    <w:p w:rsidR="00383D57" w:rsidRPr="00094498" w:rsidRDefault="00D510B0" w:rsidP="00383D57">
      <w:pPr>
        <w:pStyle w:val="Paragraphedeliste"/>
        <w:numPr>
          <w:ilvl w:val="0"/>
          <w:numId w:val="3"/>
        </w:numPr>
        <w:rPr>
          <w:rFonts w:asciiTheme="minorHAnsi" w:hAnsiTheme="minorHAnsi" w:cstheme="minorHAnsi"/>
          <w:bCs/>
          <w:sz w:val="22"/>
          <w:szCs w:val="22"/>
          <w:lang w:val="fr-CA"/>
        </w:rPr>
        <w:sectPr w:rsidR="00383D57" w:rsidRPr="00094498" w:rsidSect="001C333D">
          <w:footnotePr>
            <w:numFmt w:val="lowerLetter"/>
          </w:footnotePr>
          <w:endnotePr>
            <w:numFmt w:val="lowerLetter"/>
          </w:endnotePr>
          <w:pgSz w:w="12240" w:h="15840" w:code="1"/>
          <w:pgMar w:top="1440" w:right="1080" w:bottom="1440" w:left="1080" w:header="284" w:footer="284" w:gutter="0"/>
          <w:cols w:space="720"/>
          <w:docGrid w:linePitch="326"/>
        </w:sectPr>
      </w:pPr>
      <w:hyperlink w:anchor="AnnexB" w:history="1">
        <w:r w:rsidR="00383D57" w:rsidRPr="00383D57">
          <w:rPr>
            <w:rStyle w:val="Lienhypertexte"/>
            <w:rFonts w:asciiTheme="minorHAnsi" w:hAnsiTheme="minorHAnsi" w:cstheme="minorHAnsi"/>
            <w:sz w:val="22"/>
            <w:szCs w:val="22"/>
            <w:lang w:val="fr-CA"/>
          </w:rPr>
          <w:t>Annexe B - Données sur l’effectif et les activités de dotation</w:t>
        </w:r>
      </w:hyperlink>
    </w:p>
    <w:p w:rsidR="001A35A7" w:rsidRPr="006E1455" w:rsidRDefault="00121C7B" w:rsidP="00177A1F">
      <w:pPr>
        <w:pStyle w:val="Titre3"/>
        <w:jc w:val="right"/>
        <w:rPr>
          <w:lang w:val="fr-CA"/>
        </w:rPr>
      </w:pPr>
      <w:bookmarkStart w:id="1" w:name="Durée_dotation_externe"/>
      <w:bookmarkStart w:id="2" w:name="AnnexA"/>
      <w:r>
        <w:rPr>
          <w:lang w:val="fr-CA"/>
        </w:rPr>
        <w:lastRenderedPageBreak/>
        <w:t>Annexe A</w:t>
      </w:r>
    </w:p>
    <w:bookmarkEnd w:id="1"/>
    <w:bookmarkEnd w:id="2"/>
    <w:p w:rsidR="0000588E" w:rsidRPr="0000588E" w:rsidRDefault="0000588E" w:rsidP="00CF47A3">
      <w:pPr>
        <w:pStyle w:val="Titre2"/>
        <w:jc w:val="center"/>
        <w:rPr>
          <w:lang w:val="fr-CA"/>
        </w:rPr>
      </w:pPr>
      <w:r w:rsidRPr="0000588E">
        <w:rPr>
          <w:lang w:val="fr-CA"/>
        </w:rPr>
        <w:t>Une nouvelle orientation en dotation - un système fondé sur le mérite</w:t>
      </w:r>
      <w:r w:rsidRPr="0000588E">
        <w:rPr>
          <w:rFonts w:asciiTheme="majorHAnsi" w:hAnsiTheme="majorHAnsi" w:cstheme="majorBidi"/>
          <w:color w:val="54575A" w:themeColor="text1"/>
          <w:sz w:val="48"/>
          <w:szCs w:val="48"/>
          <w:lang w:val="fr-CA"/>
        </w:rPr>
        <w:t xml:space="preserve"> </w:t>
      </w:r>
      <w:r w:rsidRPr="0000588E">
        <w:rPr>
          <w:lang w:val="fr-CA"/>
        </w:rPr>
        <w:t>et axé sur l’efficacité, l’efficience et la justice</w:t>
      </w:r>
    </w:p>
    <w:p w:rsidR="0000588E" w:rsidRPr="0000588E" w:rsidRDefault="0000588E" w:rsidP="0000588E">
      <w:pPr>
        <w:pStyle w:val="Titre3"/>
        <w:spacing w:after="120"/>
        <w:rPr>
          <w:lang w:val="fr-CA"/>
        </w:rPr>
      </w:pPr>
      <w:r w:rsidRPr="0000588E">
        <w:rPr>
          <w:lang w:val="fr-CA"/>
        </w:rPr>
        <w:t>Politique de nomination</w:t>
      </w:r>
    </w:p>
    <w:p w:rsidR="0000588E" w:rsidRPr="0000588E" w:rsidRDefault="0000588E" w:rsidP="0000588E">
      <w:pPr>
        <w:keepLines/>
        <w:spacing w:line="259" w:lineRule="auto"/>
        <w:rPr>
          <w:rFonts w:asciiTheme="minorHAnsi" w:eastAsiaTheme="minorHAnsi" w:hAnsiTheme="minorHAnsi" w:cstheme="minorHAnsi"/>
          <w:spacing w:val="-6"/>
          <w:sz w:val="22"/>
          <w:szCs w:val="22"/>
          <w:lang w:val="fr-CA"/>
        </w:rPr>
      </w:pPr>
      <w:r w:rsidRPr="0000588E">
        <w:rPr>
          <w:rStyle w:val="lev"/>
          <w:rFonts w:asciiTheme="minorHAnsi" w:eastAsiaTheme="minorHAnsi" w:hAnsiTheme="minorHAnsi" w:cstheme="minorHAnsi"/>
          <w:sz w:val="22"/>
          <w:szCs w:val="22"/>
          <w:lang w:val="fr-CA"/>
        </w:rPr>
        <w:t>L’accent est davantage mis sur  les exigences de base</w:t>
      </w:r>
      <w:r w:rsidRPr="0000588E">
        <w:rPr>
          <w:rFonts w:asciiTheme="minorHAnsi" w:eastAsiaTheme="minorHAnsi" w:hAnsiTheme="minorHAnsi" w:cstheme="minorHAnsi"/>
          <w:spacing w:val="-6"/>
          <w:sz w:val="22"/>
          <w:szCs w:val="22"/>
          <w:lang w:val="fr-CA"/>
        </w:rPr>
        <w:t xml:space="preserve"> afin de fournir aux personnes subdéléguées une plus grande  latitude à l’égard des nominations</w:t>
      </w:r>
    </w:p>
    <w:p w:rsidR="0000588E" w:rsidRPr="0000588E" w:rsidRDefault="0000588E" w:rsidP="0000588E">
      <w:pPr>
        <w:keepLines/>
        <w:numPr>
          <w:ilvl w:val="0"/>
          <w:numId w:val="36"/>
        </w:numPr>
        <w:spacing w:line="259" w:lineRule="auto"/>
        <w:rPr>
          <w:rFonts w:asciiTheme="minorHAnsi" w:eastAsiaTheme="minorHAnsi" w:hAnsiTheme="minorHAnsi" w:cstheme="minorHAnsi"/>
          <w:spacing w:val="-6"/>
          <w:sz w:val="22"/>
          <w:szCs w:val="22"/>
          <w:lang w:val="fr-CA"/>
        </w:rPr>
      </w:pPr>
      <w:r w:rsidRPr="0000588E">
        <w:rPr>
          <w:rStyle w:val="lev"/>
          <w:rFonts w:asciiTheme="minorHAnsi" w:eastAsiaTheme="minorHAnsi" w:hAnsiTheme="minorHAnsi" w:cstheme="minorHAnsi"/>
          <w:sz w:val="22"/>
          <w:szCs w:val="22"/>
          <w:lang w:val="fr-CA"/>
        </w:rPr>
        <w:t>Une seule politique de nomination</w:t>
      </w:r>
      <w:r w:rsidRPr="0000588E">
        <w:rPr>
          <w:rFonts w:asciiTheme="minorHAnsi" w:eastAsiaTheme="minorHAnsi" w:hAnsiTheme="minorHAnsi" w:cstheme="minorHAnsi"/>
          <w:spacing w:val="-6"/>
          <w:sz w:val="22"/>
          <w:szCs w:val="22"/>
          <w:lang w:val="fr-CA"/>
        </w:rPr>
        <w:t xml:space="preserve">, sans chevauchement des obligations juridiques </w:t>
      </w:r>
    </w:p>
    <w:p w:rsidR="0000588E" w:rsidRPr="0000588E" w:rsidRDefault="0000588E" w:rsidP="0000588E">
      <w:pPr>
        <w:keepLines/>
        <w:numPr>
          <w:ilvl w:val="0"/>
          <w:numId w:val="36"/>
        </w:numPr>
        <w:spacing w:line="259" w:lineRule="auto"/>
        <w:rPr>
          <w:rFonts w:asciiTheme="minorHAnsi" w:eastAsiaTheme="minorHAnsi" w:hAnsiTheme="minorHAnsi" w:cstheme="minorHAnsi"/>
          <w:spacing w:val="-6"/>
          <w:sz w:val="22"/>
          <w:szCs w:val="22"/>
          <w:lang w:val="fr-CA"/>
        </w:rPr>
      </w:pPr>
      <w:r w:rsidRPr="0000588E">
        <w:rPr>
          <w:rStyle w:val="lev"/>
          <w:rFonts w:asciiTheme="minorHAnsi" w:eastAsiaTheme="minorHAnsi" w:hAnsiTheme="minorHAnsi" w:cstheme="minorHAnsi"/>
          <w:sz w:val="22"/>
          <w:szCs w:val="22"/>
          <w:lang w:val="fr-CA"/>
        </w:rPr>
        <w:t>Accent accru sur un système axé sur les valeurs</w:t>
      </w:r>
      <w:r w:rsidRPr="0000588E">
        <w:rPr>
          <w:rFonts w:asciiTheme="minorHAnsi" w:eastAsiaTheme="minorHAnsi" w:hAnsiTheme="minorHAnsi" w:cstheme="minorHAnsi"/>
          <w:sz w:val="22"/>
          <w:szCs w:val="22"/>
          <w:lang w:val="fr-CA"/>
        </w:rPr>
        <w:t xml:space="preserve"> plutôt que sur un </w:t>
      </w:r>
      <w:r w:rsidRPr="0000588E">
        <w:rPr>
          <w:rFonts w:asciiTheme="minorHAnsi" w:eastAsiaTheme="minorHAnsi" w:hAnsiTheme="minorHAnsi" w:cstheme="minorHAnsi"/>
          <w:spacing w:val="-6"/>
          <w:sz w:val="22"/>
          <w:szCs w:val="22"/>
          <w:lang w:val="fr-CA"/>
        </w:rPr>
        <w:t>système axé sur les règles</w:t>
      </w:r>
      <w:r w:rsidRPr="0000588E">
        <w:rPr>
          <w:rFonts w:asciiTheme="minorHAnsi" w:eastAsiaTheme="minorHAnsi" w:hAnsiTheme="minorHAnsi" w:cstheme="minorHAnsi"/>
          <w:b/>
          <w:spacing w:val="-6"/>
          <w:sz w:val="22"/>
          <w:szCs w:val="22"/>
          <w:lang w:val="fr-CA"/>
        </w:rPr>
        <w:t xml:space="preserve"> </w:t>
      </w:r>
    </w:p>
    <w:p w:rsidR="0000588E" w:rsidRPr="0000588E" w:rsidRDefault="0000588E" w:rsidP="0000588E">
      <w:pPr>
        <w:keepLines/>
        <w:numPr>
          <w:ilvl w:val="0"/>
          <w:numId w:val="36"/>
        </w:numPr>
        <w:spacing w:line="259" w:lineRule="auto"/>
        <w:rPr>
          <w:rFonts w:asciiTheme="minorHAnsi" w:eastAsiaTheme="minorHAnsi" w:hAnsiTheme="minorHAnsi" w:cstheme="minorHAnsi"/>
          <w:spacing w:val="-6"/>
          <w:sz w:val="22"/>
          <w:szCs w:val="22"/>
          <w:lang w:val="fr-CA"/>
        </w:rPr>
      </w:pPr>
      <w:r w:rsidRPr="0000588E">
        <w:rPr>
          <w:rFonts w:asciiTheme="minorHAnsi" w:eastAsiaTheme="minorHAnsi" w:hAnsiTheme="minorHAnsi" w:cstheme="minorHAnsi"/>
          <w:spacing w:val="-6"/>
          <w:sz w:val="22"/>
          <w:szCs w:val="22"/>
          <w:lang w:val="fr-CA"/>
        </w:rPr>
        <w:t xml:space="preserve">Politique de nomination appuyée par une </w:t>
      </w:r>
      <w:r w:rsidRPr="0000588E">
        <w:rPr>
          <w:rStyle w:val="lev"/>
          <w:rFonts w:asciiTheme="minorHAnsi" w:eastAsiaTheme="minorHAnsi" w:hAnsiTheme="minorHAnsi" w:cstheme="minorHAnsi"/>
          <w:sz w:val="22"/>
          <w:szCs w:val="22"/>
          <w:lang w:val="fr-CA"/>
        </w:rPr>
        <w:t>orientation rationalisée</w:t>
      </w:r>
      <w:r w:rsidRPr="0000588E">
        <w:rPr>
          <w:rFonts w:asciiTheme="minorHAnsi" w:eastAsiaTheme="minorHAnsi" w:hAnsiTheme="minorHAnsi" w:cstheme="minorHAnsi"/>
          <w:b/>
          <w:spacing w:val="-6"/>
          <w:sz w:val="22"/>
          <w:szCs w:val="22"/>
          <w:lang w:val="fr-CA"/>
        </w:rPr>
        <w:t xml:space="preserve"> </w:t>
      </w:r>
      <w:r w:rsidRPr="0000588E">
        <w:rPr>
          <w:rFonts w:asciiTheme="minorHAnsi" w:eastAsiaTheme="minorHAnsi" w:hAnsiTheme="minorHAnsi" w:cstheme="minorHAnsi"/>
          <w:spacing w:val="-6"/>
          <w:sz w:val="22"/>
          <w:szCs w:val="22"/>
          <w:lang w:val="fr-CA"/>
        </w:rPr>
        <w:t>:</w:t>
      </w:r>
    </w:p>
    <w:p w:rsidR="0000588E" w:rsidRPr="0000588E" w:rsidRDefault="0000588E" w:rsidP="0000588E">
      <w:pPr>
        <w:keepLines/>
        <w:numPr>
          <w:ilvl w:val="1"/>
          <w:numId w:val="8"/>
        </w:numPr>
        <w:spacing w:line="259" w:lineRule="auto"/>
        <w:ind w:left="1508" w:hanging="425"/>
        <w:rPr>
          <w:rFonts w:asciiTheme="minorHAnsi" w:eastAsiaTheme="minorHAnsi" w:hAnsiTheme="minorHAnsi" w:cstheme="minorHAnsi"/>
          <w:spacing w:val="-6"/>
          <w:sz w:val="22"/>
          <w:szCs w:val="22"/>
          <w:lang w:val="fr-CA"/>
        </w:rPr>
      </w:pPr>
      <w:r w:rsidRPr="0000588E">
        <w:rPr>
          <w:rFonts w:asciiTheme="minorHAnsi" w:eastAsiaTheme="minorHAnsi" w:hAnsiTheme="minorHAnsi" w:cstheme="minorHAnsi"/>
          <w:spacing w:val="-6"/>
          <w:sz w:val="22"/>
          <w:szCs w:val="22"/>
          <w:lang w:val="fr-CA"/>
        </w:rPr>
        <w:t>Feuille de route précisant les exigences relatives aux lois, règlements et politiques</w:t>
      </w:r>
    </w:p>
    <w:p w:rsidR="0000588E" w:rsidRPr="0000588E" w:rsidRDefault="0000588E" w:rsidP="0000588E">
      <w:pPr>
        <w:keepLines/>
        <w:numPr>
          <w:ilvl w:val="1"/>
          <w:numId w:val="8"/>
        </w:numPr>
        <w:spacing w:line="259" w:lineRule="auto"/>
        <w:ind w:left="1508" w:hanging="425"/>
        <w:rPr>
          <w:rFonts w:asciiTheme="minorHAnsi" w:eastAsiaTheme="minorHAnsi" w:hAnsiTheme="minorHAnsi" w:cstheme="minorHAnsi"/>
          <w:spacing w:val="-6"/>
          <w:sz w:val="22"/>
          <w:szCs w:val="22"/>
          <w:lang w:val="fr-CA"/>
        </w:rPr>
      </w:pPr>
      <w:r w:rsidRPr="0000588E">
        <w:rPr>
          <w:rFonts w:asciiTheme="minorHAnsi" w:eastAsiaTheme="minorHAnsi" w:hAnsiTheme="minorHAnsi" w:cstheme="minorHAnsi"/>
          <w:spacing w:val="-6"/>
          <w:sz w:val="22"/>
          <w:szCs w:val="22"/>
          <w:lang w:val="fr-CA"/>
        </w:rPr>
        <w:t>Options et considérations relatives à  la prise de décisions dans les cas où il existe une certaine latitude</w:t>
      </w:r>
    </w:p>
    <w:p w:rsidR="0000588E" w:rsidRPr="0000588E" w:rsidRDefault="0000588E" w:rsidP="0000588E">
      <w:pPr>
        <w:keepLines/>
        <w:numPr>
          <w:ilvl w:val="0"/>
          <w:numId w:val="37"/>
        </w:numPr>
        <w:spacing w:line="259" w:lineRule="auto"/>
        <w:rPr>
          <w:rFonts w:asciiTheme="minorHAnsi" w:eastAsiaTheme="minorHAnsi" w:hAnsiTheme="minorHAnsi" w:cstheme="minorHAnsi"/>
          <w:spacing w:val="-6"/>
          <w:sz w:val="22"/>
          <w:szCs w:val="22"/>
          <w:lang w:val="fr-CA"/>
        </w:rPr>
      </w:pPr>
      <w:r w:rsidRPr="0000588E">
        <w:rPr>
          <w:rStyle w:val="lev"/>
          <w:rFonts w:asciiTheme="minorHAnsi" w:eastAsiaTheme="minorHAnsi" w:hAnsiTheme="minorHAnsi" w:cstheme="minorHAnsi"/>
          <w:sz w:val="22"/>
          <w:szCs w:val="22"/>
          <w:lang w:val="fr-CA"/>
        </w:rPr>
        <w:t>Attentes clairement définies</w:t>
      </w:r>
      <w:r w:rsidRPr="0000588E">
        <w:rPr>
          <w:rFonts w:asciiTheme="minorHAnsi" w:eastAsiaTheme="minorHAnsi" w:hAnsiTheme="minorHAnsi" w:cstheme="minorHAnsi"/>
          <w:spacing w:val="-6"/>
          <w:sz w:val="22"/>
          <w:szCs w:val="22"/>
          <w:lang w:val="fr-CA"/>
        </w:rPr>
        <w:t xml:space="preserve"> quant aux droits de priorité</w:t>
      </w:r>
    </w:p>
    <w:p w:rsidR="0000588E" w:rsidRPr="0000588E" w:rsidRDefault="0000588E" w:rsidP="0000588E">
      <w:pPr>
        <w:keepLines/>
        <w:numPr>
          <w:ilvl w:val="0"/>
          <w:numId w:val="37"/>
        </w:numPr>
        <w:spacing w:line="259" w:lineRule="auto"/>
        <w:rPr>
          <w:rFonts w:asciiTheme="minorHAnsi" w:eastAsiaTheme="minorHAnsi" w:hAnsiTheme="minorHAnsi" w:cstheme="minorHAnsi"/>
          <w:spacing w:val="-6"/>
          <w:sz w:val="22"/>
          <w:szCs w:val="22"/>
          <w:lang w:val="fr-CA"/>
        </w:rPr>
      </w:pPr>
      <w:r w:rsidRPr="0000588E">
        <w:rPr>
          <w:rFonts w:asciiTheme="minorHAnsi" w:eastAsiaTheme="minorHAnsi" w:hAnsiTheme="minorHAnsi" w:cstheme="minorHAnsi"/>
          <w:spacing w:val="-6"/>
          <w:sz w:val="22"/>
          <w:szCs w:val="22"/>
          <w:lang w:val="fr-CA"/>
        </w:rPr>
        <w:t>Aucune restriction quant aux méthodes d’évaluation pour la  nomination des cadres de direction (EX)</w:t>
      </w:r>
    </w:p>
    <w:p w:rsidR="0000588E" w:rsidRPr="0000588E" w:rsidRDefault="0000588E" w:rsidP="0000588E">
      <w:pPr>
        <w:keepLines/>
        <w:numPr>
          <w:ilvl w:val="0"/>
          <w:numId w:val="37"/>
        </w:numPr>
        <w:spacing w:after="240" w:line="259" w:lineRule="auto"/>
        <w:rPr>
          <w:rFonts w:asciiTheme="minorHAnsi" w:eastAsiaTheme="minorHAnsi" w:hAnsiTheme="minorHAnsi" w:cstheme="minorHAnsi"/>
          <w:spacing w:val="-6"/>
          <w:sz w:val="22"/>
          <w:szCs w:val="22"/>
          <w:lang w:val="fr-CA"/>
        </w:rPr>
      </w:pPr>
      <w:r w:rsidRPr="0000588E">
        <w:rPr>
          <w:rFonts w:asciiTheme="minorHAnsi" w:eastAsiaTheme="minorHAnsi" w:hAnsiTheme="minorHAnsi" w:cstheme="minorHAnsi"/>
          <w:spacing w:val="-6"/>
          <w:sz w:val="22"/>
          <w:szCs w:val="22"/>
          <w:lang w:val="fr-CA"/>
        </w:rPr>
        <w:t>Exceptions à la zone nationale de sélection approuvées</w:t>
      </w:r>
    </w:p>
    <w:p w:rsidR="0000588E" w:rsidRPr="0000588E" w:rsidRDefault="0000588E" w:rsidP="0000588E">
      <w:pPr>
        <w:pStyle w:val="Titre3"/>
        <w:spacing w:after="120"/>
        <w:rPr>
          <w:lang w:val="fr-CA"/>
        </w:rPr>
      </w:pPr>
      <w:r w:rsidRPr="0000588E">
        <w:rPr>
          <w:lang w:val="fr-CA"/>
        </w:rPr>
        <w:t>Délégation</w:t>
      </w:r>
    </w:p>
    <w:p w:rsidR="0000588E" w:rsidRPr="0000588E" w:rsidRDefault="0000588E" w:rsidP="0000588E">
      <w:pPr>
        <w:pStyle w:val="Paragraphedeliste"/>
        <w:keepLines/>
        <w:numPr>
          <w:ilvl w:val="0"/>
          <w:numId w:val="38"/>
        </w:numPr>
        <w:spacing w:after="0" w:line="259" w:lineRule="auto"/>
        <w:rPr>
          <w:rFonts w:asciiTheme="minorHAnsi" w:eastAsiaTheme="minorHAnsi" w:hAnsiTheme="minorHAnsi" w:cstheme="minorHAnsi"/>
          <w:spacing w:val="-8"/>
          <w:sz w:val="22"/>
          <w:szCs w:val="22"/>
          <w:lang w:val="fr-CA"/>
        </w:rPr>
      </w:pPr>
      <w:r w:rsidRPr="0000588E">
        <w:rPr>
          <w:rStyle w:val="lev"/>
          <w:rFonts w:asciiTheme="minorHAnsi" w:eastAsiaTheme="minorHAnsi" w:hAnsiTheme="minorHAnsi" w:cstheme="minorHAnsi"/>
          <w:sz w:val="22"/>
          <w:szCs w:val="22"/>
          <w:lang w:val="fr-CA"/>
        </w:rPr>
        <w:t>L’accent est davantage mis sur la capacité d’adapter le système de dotation  de l’organisation</w:t>
      </w:r>
      <w:r w:rsidRPr="0000588E">
        <w:rPr>
          <w:rFonts w:asciiTheme="minorHAnsi" w:eastAsiaTheme="minorHAnsi" w:hAnsiTheme="minorHAnsi" w:cstheme="minorHAnsi"/>
          <w:b/>
          <w:bCs/>
          <w:spacing w:val="-8"/>
          <w:sz w:val="22"/>
          <w:szCs w:val="22"/>
          <w:lang w:val="fr-CA"/>
        </w:rPr>
        <w:t xml:space="preserve"> </w:t>
      </w:r>
      <w:r w:rsidRPr="0000588E">
        <w:rPr>
          <w:rFonts w:asciiTheme="minorHAnsi" w:eastAsiaTheme="minorHAnsi" w:hAnsiTheme="minorHAnsi" w:cstheme="minorHAnsi"/>
          <w:spacing w:val="-8"/>
          <w:sz w:val="22"/>
          <w:szCs w:val="22"/>
          <w:lang w:val="fr-CA"/>
        </w:rPr>
        <w:t xml:space="preserve">en fonction du contexte particulier et des besoins opérationnels en évolution </w:t>
      </w:r>
    </w:p>
    <w:p w:rsidR="0000588E" w:rsidRPr="0000588E" w:rsidRDefault="0000588E" w:rsidP="0000588E">
      <w:pPr>
        <w:keepLines/>
        <w:numPr>
          <w:ilvl w:val="0"/>
          <w:numId w:val="38"/>
        </w:numPr>
        <w:spacing w:line="259" w:lineRule="auto"/>
        <w:rPr>
          <w:rStyle w:val="lev"/>
          <w:rFonts w:asciiTheme="minorHAnsi" w:eastAsiaTheme="minorHAnsi" w:hAnsiTheme="minorHAnsi" w:cstheme="minorHAnsi"/>
          <w:sz w:val="22"/>
          <w:szCs w:val="22"/>
          <w:lang w:val="fr-CA"/>
        </w:rPr>
      </w:pPr>
      <w:r w:rsidRPr="0000588E">
        <w:rPr>
          <w:rFonts w:asciiTheme="minorHAnsi" w:eastAsiaTheme="minorHAnsi" w:hAnsiTheme="minorHAnsi" w:cstheme="minorHAnsi"/>
          <w:spacing w:val="-8"/>
          <w:sz w:val="22"/>
          <w:szCs w:val="22"/>
          <w:lang w:val="fr-CA"/>
        </w:rPr>
        <w:t xml:space="preserve">L’administrateur général établit une orientation quant à </w:t>
      </w:r>
      <w:r w:rsidRPr="0000588E">
        <w:rPr>
          <w:rStyle w:val="lev"/>
          <w:rFonts w:asciiTheme="minorHAnsi" w:eastAsiaTheme="minorHAnsi" w:hAnsiTheme="minorHAnsi" w:cstheme="minorHAnsi"/>
          <w:sz w:val="22"/>
          <w:szCs w:val="22"/>
          <w:lang w:val="fr-CA"/>
        </w:rPr>
        <w:t xml:space="preserve">l’utilisation des processus de nomination annoncés et non annoncés </w:t>
      </w:r>
    </w:p>
    <w:p w:rsidR="0000588E" w:rsidRPr="0000588E" w:rsidRDefault="0000588E" w:rsidP="0000588E">
      <w:pPr>
        <w:keepLines/>
        <w:numPr>
          <w:ilvl w:val="0"/>
          <w:numId w:val="38"/>
        </w:numPr>
        <w:spacing w:line="259" w:lineRule="auto"/>
        <w:rPr>
          <w:rStyle w:val="lev"/>
          <w:rFonts w:asciiTheme="minorHAnsi" w:eastAsiaTheme="minorHAnsi" w:hAnsiTheme="minorHAnsi" w:cstheme="minorHAnsi"/>
          <w:sz w:val="22"/>
          <w:szCs w:val="22"/>
          <w:lang w:val="fr-CA"/>
        </w:rPr>
      </w:pPr>
      <w:r w:rsidRPr="0000588E">
        <w:rPr>
          <w:rFonts w:asciiTheme="minorHAnsi" w:eastAsiaTheme="minorHAnsi" w:hAnsiTheme="minorHAnsi" w:cstheme="minorHAnsi"/>
          <w:spacing w:val="-8"/>
          <w:sz w:val="22"/>
          <w:szCs w:val="22"/>
          <w:lang w:val="fr-CA"/>
        </w:rPr>
        <w:t xml:space="preserve">L’administrateur général établit les exigences pour les personnes subdéléguées </w:t>
      </w:r>
      <w:r w:rsidRPr="0000588E">
        <w:rPr>
          <w:rStyle w:val="lev"/>
          <w:rFonts w:asciiTheme="minorHAnsi" w:eastAsiaTheme="minorHAnsi" w:hAnsiTheme="minorHAnsi" w:cstheme="minorHAnsi"/>
          <w:sz w:val="22"/>
          <w:szCs w:val="22"/>
          <w:lang w:val="fr-CA"/>
        </w:rPr>
        <w:t>de formuler, par écrit, la décision de sélection</w:t>
      </w:r>
    </w:p>
    <w:p w:rsidR="0000588E" w:rsidRPr="0000588E" w:rsidRDefault="0000588E" w:rsidP="0000588E">
      <w:pPr>
        <w:keepLines/>
        <w:numPr>
          <w:ilvl w:val="0"/>
          <w:numId w:val="38"/>
        </w:numPr>
        <w:spacing w:line="259" w:lineRule="auto"/>
        <w:rPr>
          <w:rFonts w:asciiTheme="minorHAnsi" w:eastAsiaTheme="minorHAnsi" w:hAnsiTheme="minorHAnsi" w:cstheme="minorHAnsi"/>
          <w:spacing w:val="-8"/>
          <w:sz w:val="22"/>
          <w:szCs w:val="22"/>
          <w:lang w:val="fr-CA"/>
        </w:rPr>
      </w:pPr>
      <w:r w:rsidRPr="0000588E">
        <w:rPr>
          <w:rFonts w:asciiTheme="minorHAnsi" w:eastAsiaTheme="minorHAnsi" w:hAnsiTheme="minorHAnsi" w:cstheme="minorHAnsi"/>
          <w:spacing w:val="-8"/>
          <w:sz w:val="22"/>
          <w:szCs w:val="22"/>
          <w:lang w:val="fr-CA"/>
        </w:rPr>
        <w:t>Exigences plus claires concernant les enquêtes</w:t>
      </w:r>
    </w:p>
    <w:p w:rsidR="0000588E" w:rsidRPr="0000588E" w:rsidRDefault="0000588E" w:rsidP="0000588E">
      <w:pPr>
        <w:keepLines/>
        <w:numPr>
          <w:ilvl w:val="0"/>
          <w:numId w:val="38"/>
        </w:numPr>
        <w:spacing w:line="259" w:lineRule="auto"/>
        <w:rPr>
          <w:rFonts w:asciiTheme="minorHAnsi" w:eastAsiaTheme="minorHAnsi" w:hAnsiTheme="minorHAnsi" w:cstheme="minorHAnsi"/>
          <w:spacing w:val="-8"/>
          <w:sz w:val="22"/>
          <w:szCs w:val="22"/>
          <w:lang w:val="fr-CA"/>
        </w:rPr>
      </w:pPr>
      <w:r w:rsidRPr="0000588E">
        <w:rPr>
          <w:rStyle w:val="lev"/>
          <w:rFonts w:asciiTheme="minorHAnsi" w:eastAsiaTheme="minorHAnsi" w:hAnsiTheme="minorHAnsi" w:cstheme="minorHAnsi"/>
          <w:sz w:val="22"/>
          <w:szCs w:val="22"/>
          <w:lang w:val="fr-CA"/>
        </w:rPr>
        <w:t>Formulaire d’attestation</w:t>
      </w:r>
      <w:r w:rsidRPr="0000588E">
        <w:rPr>
          <w:rFonts w:asciiTheme="minorHAnsi" w:eastAsiaTheme="minorHAnsi" w:hAnsiTheme="minorHAnsi" w:cstheme="minorHAnsi"/>
          <w:spacing w:val="-8"/>
          <w:sz w:val="22"/>
          <w:szCs w:val="22"/>
          <w:lang w:val="fr-CA"/>
        </w:rPr>
        <w:t xml:space="preserve"> réitérant les responsabilités des personnes subdéléguées</w:t>
      </w:r>
    </w:p>
    <w:p w:rsidR="0000588E" w:rsidRPr="0000588E" w:rsidRDefault="0000588E" w:rsidP="0000588E">
      <w:pPr>
        <w:keepLines/>
        <w:spacing w:after="160" w:line="259" w:lineRule="auto"/>
        <w:ind w:right="-202"/>
        <w:rPr>
          <w:rFonts w:asciiTheme="minorHAnsi" w:eastAsiaTheme="minorHAnsi" w:hAnsiTheme="minorHAnsi" w:cstheme="minorHAnsi"/>
          <w:spacing w:val="-8"/>
          <w:sz w:val="22"/>
          <w:szCs w:val="22"/>
          <w:lang w:val="fr-CA"/>
        </w:rPr>
      </w:pPr>
      <w:r w:rsidRPr="0000588E">
        <w:rPr>
          <w:rFonts w:asciiTheme="minorHAnsi" w:eastAsiaTheme="minorHAnsi" w:hAnsiTheme="minorHAnsi" w:cstheme="minorHAnsi"/>
          <w:spacing w:val="-8"/>
          <w:sz w:val="22"/>
          <w:szCs w:val="22"/>
          <w:lang w:val="fr-CA"/>
        </w:rPr>
        <w:t>Toutes les exigences de la CFP en matière de surveillance et de présentation de rapports figurent maintenant dans l’Instrument de délégation et de responsabilisation en matière de nomination</w:t>
      </w:r>
    </w:p>
    <w:p w:rsidR="0000588E" w:rsidRPr="0000588E" w:rsidRDefault="0000588E" w:rsidP="0000588E">
      <w:pPr>
        <w:pStyle w:val="Titre3"/>
        <w:spacing w:after="120"/>
        <w:rPr>
          <w:lang w:val="fr-CA"/>
        </w:rPr>
      </w:pPr>
      <w:r w:rsidRPr="0000588E">
        <w:rPr>
          <w:lang w:val="fr-CA"/>
        </w:rPr>
        <w:br w:type="page"/>
      </w:r>
    </w:p>
    <w:p w:rsidR="0000588E" w:rsidRPr="0000588E" w:rsidRDefault="0000588E" w:rsidP="0000588E">
      <w:pPr>
        <w:pStyle w:val="Titre3"/>
        <w:spacing w:after="120"/>
        <w:rPr>
          <w:lang w:val="fr-CA"/>
        </w:rPr>
      </w:pPr>
      <w:r w:rsidRPr="0000588E">
        <w:rPr>
          <w:lang w:val="fr-CA"/>
        </w:rPr>
        <w:lastRenderedPageBreak/>
        <w:t>Surveillance et rapports</w:t>
      </w:r>
    </w:p>
    <w:p w:rsidR="0000588E" w:rsidRPr="0000588E" w:rsidRDefault="0000588E" w:rsidP="0000588E">
      <w:pPr>
        <w:spacing w:after="120"/>
        <w:rPr>
          <w:rFonts w:asciiTheme="minorHAnsi" w:eastAsiaTheme="minorHAnsi" w:hAnsiTheme="minorHAnsi" w:cstheme="minorHAnsi"/>
          <w:sz w:val="22"/>
          <w:szCs w:val="22"/>
          <w:highlight w:val="yellow"/>
          <w:lang w:val="fr-CA"/>
        </w:rPr>
      </w:pPr>
      <w:r w:rsidRPr="0000588E">
        <w:rPr>
          <w:rStyle w:val="lev"/>
          <w:rFonts w:asciiTheme="minorHAnsi" w:eastAsiaTheme="minorHAnsi" w:hAnsiTheme="minorHAnsi" w:cstheme="minorHAnsi"/>
          <w:sz w:val="22"/>
          <w:szCs w:val="22"/>
          <w:lang w:val="fr-CA"/>
        </w:rPr>
        <w:t>La surveillance est établie par les organisations</w:t>
      </w:r>
      <w:r w:rsidRPr="0000588E">
        <w:rPr>
          <w:rFonts w:asciiTheme="minorHAnsi" w:eastAsiaTheme="minorHAnsi" w:hAnsiTheme="minorHAnsi" w:cstheme="minorHAnsi"/>
          <w:sz w:val="22"/>
          <w:szCs w:val="22"/>
          <w:lang w:val="fr-CA"/>
        </w:rPr>
        <w:t>, ciblée à leurs besoins</w:t>
      </w:r>
    </w:p>
    <w:p w:rsidR="0000588E" w:rsidRPr="0000588E" w:rsidRDefault="0000588E" w:rsidP="0000588E">
      <w:pPr>
        <w:pStyle w:val="Paragraphedeliste"/>
        <w:numPr>
          <w:ilvl w:val="0"/>
          <w:numId w:val="39"/>
        </w:numPr>
        <w:spacing w:after="0"/>
        <w:contextualSpacing w:val="0"/>
        <w:rPr>
          <w:rFonts w:asciiTheme="minorHAnsi" w:eastAsiaTheme="minorHAnsi" w:hAnsiTheme="minorHAnsi" w:cstheme="minorHAnsi"/>
          <w:sz w:val="22"/>
          <w:szCs w:val="22"/>
          <w:lang w:val="fr-CA"/>
        </w:rPr>
      </w:pPr>
      <w:r w:rsidRPr="0000588E">
        <w:rPr>
          <w:rFonts w:asciiTheme="minorHAnsi" w:eastAsiaTheme="minorHAnsi" w:hAnsiTheme="minorHAnsi" w:cstheme="minorHAnsi"/>
          <w:sz w:val="22"/>
          <w:szCs w:val="22"/>
          <w:lang w:val="fr-CA"/>
        </w:rPr>
        <w:t>Le Rapport ministériel sur l’obligation de rendre compte en dotation n’est plus requis</w:t>
      </w:r>
    </w:p>
    <w:p w:rsidR="0000588E" w:rsidRPr="0000588E" w:rsidRDefault="0000588E" w:rsidP="0000588E">
      <w:pPr>
        <w:pStyle w:val="Paragraphedeliste"/>
        <w:numPr>
          <w:ilvl w:val="0"/>
          <w:numId w:val="39"/>
        </w:numPr>
        <w:spacing w:after="0"/>
        <w:contextualSpacing w:val="0"/>
        <w:rPr>
          <w:rFonts w:asciiTheme="minorHAnsi" w:eastAsiaTheme="minorHAnsi" w:hAnsiTheme="minorHAnsi" w:cstheme="minorHAnsi"/>
          <w:sz w:val="22"/>
          <w:szCs w:val="22"/>
          <w:lang w:val="fr-CA"/>
        </w:rPr>
      </w:pPr>
      <w:r w:rsidRPr="0000588E">
        <w:rPr>
          <w:rStyle w:val="lev"/>
          <w:rFonts w:asciiTheme="minorHAnsi" w:eastAsiaTheme="minorHAnsi" w:hAnsiTheme="minorHAnsi" w:cstheme="minorHAnsi"/>
          <w:sz w:val="22"/>
          <w:szCs w:val="22"/>
          <w:lang w:val="fr-CA"/>
        </w:rPr>
        <w:t>Le rapport annuel à la CFP portera seulement</w:t>
      </w:r>
      <w:r w:rsidRPr="0000588E">
        <w:rPr>
          <w:rFonts w:asciiTheme="minorHAnsi" w:eastAsiaTheme="minorHAnsi" w:hAnsiTheme="minorHAnsi" w:cstheme="minorHAnsi"/>
          <w:sz w:val="22"/>
          <w:szCs w:val="22"/>
          <w:lang w:val="fr-CA"/>
        </w:rPr>
        <w:t xml:space="preserve"> sur :</w:t>
      </w:r>
    </w:p>
    <w:p w:rsidR="0000588E" w:rsidRPr="0000588E" w:rsidRDefault="0000588E" w:rsidP="0000588E">
      <w:pPr>
        <w:pStyle w:val="Paragraphedeliste"/>
        <w:numPr>
          <w:ilvl w:val="0"/>
          <w:numId w:val="33"/>
        </w:numPr>
        <w:spacing w:after="0"/>
        <w:contextualSpacing w:val="0"/>
        <w:rPr>
          <w:rFonts w:asciiTheme="minorHAnsi" w:eastAsiaTheme="minorHAnsi" w:hAnsiTheme="minorHAnsi" w:cstheme="minorHAnsi"/>
          <w:sz w:val="22"/>
          <w:szCs w:val="22"/>
          <w:lang w:val="fr-CA"/>
        </w:rPr>
      </w:pPr>
      <w:r w:rsidRPr="0000588E">
        <w:rPr>
          <w:rFonts w:asciiTheme="minorHAnsi" w:eastAsiaTheme="minorHAnsi" w:hAnsiTheme="minorHAnsi" w:cstheme="minorHAnsi"/>
          <w:sz w:val="22"/>
          <w:szCs w:val="22"/>
          <w:lang w:val="fr-CA"/>
        </w:rPr>
        <w:t>l’utilisation du Décret d’exemption concernant les langues officielles dans la fonction publique</w:t>
      </w:r>
    </w:p>
    <w:p w:rsidR="0000588E" w:rsidRPr="0000588E" w:rsidRDefault="0000588E" w:rsidP="0000588E">
      <w:pPr>
        <w:pStyle w:val="Paragraphedeliste"/>
        <w:numPr>
          <w:ilvl w:val="0"/>
          <w:numId w:val="33"/>
        </w:numPr>
        <w:spacing w:after="0"/>
        <w:contextualSpacing w:val="0"/>
        <w:rPr>
          <w:rFonts w:asciiTheme="minorHAnsi" w:eastAsiaTheme="minorHAnsi" w:hAnsiTheme="minorHAnsi" w:cstheme="minorHAnsi"/>
          <w:sz w:val="22"/>
          <w:szCs w:val="22"/>
          <w:lang w:val="fr-CA"/>
        </w:rPr>
      </w:pPr>
      <w:r w:rsidRPr="0000588E">
        <w:rPr>
          <w:rFonts w:asciiTheme="minorHAnsi" w:eastAsiaTheme="minorHAnsi" w:hAnsiTheme="minorHAnsi" w:cstheme="minorHAnsi"/>
          <w:sz w:val="22"/>
          <w:szCs w:val="22"/>
          <w:lang w:val="fr-CA"/>
        </w:rPr>
        <w:t>les exceptions à la zone nationale de sélection approuvée par l’administrateur général</w:t>
      </w:r>
    </w:p>
    <w:p w:rsidR="0000588E" w:rsidRPr="0000588E" w:rsidRDefault="0000588E" w:rsidP="0000588E">
      <w:pPr>
        <w:pStyle w:val="Paragraphedeliste"/>
        <w:numPr>
          <w:ilvl w:val="0"/>
          <w:numId w:val="33"/>
        </w:numPr>
        <w:spacing w:after="0"/>
        <w:contextualSpacing w:val="0"/>
        <w:rPr>
          <w:rFonts w:asciiTheme="minorHAnsi" w:eastAsiaTheme="minorHAnsi" w:hAnsiTheme="minorHAnsi" w:cstheme="minorHAnsi"/>
          <w:sz w:val="22"/>
          <w:szCs w:val="22"/>
          <w:lang w:val="fr-CA"/>
        </w:rPr>
      </w:pPr>
      <w:r w:rsidRPr="0000588E">
        <w:rPr>
          <w:rFonts w:asciiTheme="minorHAnsi" w:eastAsiaTheme="minorHAnsi" w:hAnsiTheme="minorHAnsi" w:cstheme="minorHAnsi"/>
          <w:sz w:val="22"/>
          <w:szCs w:val="22"/>
          <w:lang w:val="fr-CA"/>
        </w:rPr>
        <w:t xml:space="preserve">les résultats de toutes enquêtes internes </w:t>
      </w:r>
    </w:p>
    <w:p w:rsidR="0000588E" w:rsidRPr="0000588E" w:rsidRDefault="0000588E" w:rsidP="0000588E">
      <w:pPr>
        <w:pStyle w:val="Paragraphedeliste"/>
        <w:numPr>
          <w:ilvl w:val="0"/>
          <w:numId w:val="33"/>
        </w:numPr>
        <w:spacing w:after="0"/>
        <w:contextualSpacing w:val="0"/>
        <w:rPr>
          <w:rFonts w:asciiTheme="minorHAnsi" w:eastAsiaTheme="minorHAnsi" w:hAnsiTheme="minorHAnsi" w:cstheme="minorHAnsi"/>
          <w:sz w:val="22"/>
          <w:szCs w:val="22"/>
          <w:lang w:val="fr-CA"/>
        </w:rPr>
      </w:pPr>
      <w:r w:rsidRPr="0000588E">
        <w:rPr>
          <w:rFonts w:asciiTheme="minorHAnsi" w:eastAsiaTheme="minorHAnsi" w:hAnsiTheme="minorHAnsi" w:cstheme="minorHAnsi"/>
          <w:sz w:val="22"/>
          <w:szCs w:val="22"/>
          <w:lang w:val="fr-CA"/>
        </w:rPr>
        <w:t>les mesures prises à la suite de toutes enquêtes ou vérifications menées par la CFP</w:t>
      </w:r>
    </w:p>
    <w:p w:rsidR="0000588E" w:rsidRPr="0000588E" w:rsidRDefault="0000588E" w:rsidP="0000588E">
      <w:pPr>
        <w:pStyle w:val="Paragraphedeliste"/>
        <w:numPr>
          <w:ilvl w:val="0"/>
          <w:numId w:val="34"/>
        </w:numPr>
        <w:spacing w:after="0"/>
        <w:contextualSpacing w:val="0"/>
        <w:rPr>
          <w:rFonts w:asciiTheme="minorHAnsi" w:eastAsiaTheme="minorHAnsi" w:hAnsiTheme="minorHAnsi" w:cstheme="minorHAnsi"/>
          <w:sz w:val="22"/>
          <w:szCs w:val="22"/>
          <w:lang w:val="fr-CA"/>
        </w:rPr>
      </w:pPr>
      <w:r w:rsidRPr="0000588E">
        <w:rPr>
          <w:rFonts w:asciiTheme="minorHAnsi" w:eastAsiaTheme="minorHAnsi" w:hAnsiTheme="minorHAnsi" w:cstheme="minorHAnsi"/>
          <w:sz w:val="22"/>
          <w:szCs w:val="22"/>
          <w:lang w:val="fr-CA"/>
        </w:rPr>
        <w:t xml:space="preserve">L’administrateur général est responsable </w:t>
      </w:r>
      <w:r w:rsidRPr="0000588E">
        <w:rPr>
          <w:rStyle w:val="lev"/>
          <w:rFonts w:asciiTheme="minorHAnsi" w:eastAsiaTheme="minorHAnsi" w:hAnsiTheme="minorHAnsi" w:cstheme="minorHAnsi"/>
          <w:sz w:val="22"/>
          <w:szCs w:val="22"/>
          <w:lang w:val="fr-CA"/>
        </w:rPr>
        <w:t>de la surveillance continue du système de dotation</w:t>
      </w:r>
      <w:r w:rsidRPr="0000588E">
        <w:rPr>
          <w:rFonts w:asciiTheme="minorHAnsi" w:eastAsiaTheme="minorHAnsi" w:hAnsiTheme="minorHAnsi" w:cstheme="minorHAnsi"/>
          <w:sz w:val="22"/>
          <w:szCs w:val="22"/>
          <w:lang w:val="fr-CA"/>
        </w:rPr>
        <w:t xml:space="preserve"> de l’organisation en fonction de son contexte particulier</w:t>
      </w:r>
    </w:p>
    <w:p w:rsidR="0000588E" w:rsidRPr="0000588E" w:rsidRDefault="0000588E" w:rsidP="0000588E">
      <w:pPr>
        <w:pStyle w:val="Paragraphedeliste"/>
        <w:numPr>
          <w:ilvl w:val="0"/>
          <w:numId w:val="35"/>
        </w:numPr>
        <w:contextualSpacing w:val="0"/>
        <w:rPr>
          <w:rFonts w:asciiTheme="minorHAnsi" w:eastAsiaTheme="minorHAnsi" w:hAnsiTheme="minorHAnsi" w:cstheme="minorHAnsi"/>
          <w:sz w:val="22"/>
          <w:szCs w:val="22"/>
          <w:lang w:val="fr-CA"/>
        </w:rPr>
      </w:pPr>
      <w:r w:rsidRPr="0000588E">
        <w:rPr>
          <w:rStyle w:val="lev"/>
          <w:rFonts w:asciiTheme="minorHAnsi" w:eastAsiaTheme="minorHAnsi" w:hAnsiTheme="minorHAnsi" w:cstheme="minorHAnsi"/>
          <w:sz w:val="22"/>
          <w:szCs w:val="22"/>
          <w:lang w:val="fr-CA"/>
        </w:rPr>
        <w:t>examen de la conformité aux exigences</w:t>
      </w:r>
      <w:r w:rsidRPr="0000588E">
        <w:rPr>
          <w:rFonts w:asciiTheme="minorHAnsi" w:eastAsiaTheme="minorHAnsi" w:hAnsiTheme="minorHAnsi" w:cstheme="minorHAnsi"/>
          <w:sz w:val="22"/>
          <w:szCs w:val="22"/>
          <w:lang w:val="fr-CA"/>
        </w:rPr>
        <w:t>, fondé sur les risques spécifiques de l’organisation, au moins une fois tous les cinq ans</w:t>
      </w:r>
    </w:p>
    <w:p w:rsidR="0000588E" w:rsidRPr="0000588E" w:rsidRDefault="0000588E" w:rsidP="0000588E">
      <w:pPr>
        <w:pStyle w:val="Titre3"/>
        <w:spacing w:after="120"/>
        <w:rPr>
          <w:lang w:val="fr-CA"/>
        </w:rPr>
      </w:pPr>
      <w:r w:rsidRPr="0000588E">
        <w:rPr>
          <w:lang w:val="fr-CA"/>
        </w:rPr>
        <w:t>Surveillance de la CFP</w:t>
      </w:r>
    </w:p>
    <w:p w:rsidR="0000588E" w:rsidRPr="0000588E" w:rsidRDefault="0000588E" w:rsidP="0000588E">
      <w:pPr>
        <w:spacing w:after="120"/>
        <w:rPr>
          <w:rFonts w:asciiTheme="minorHAnsi" w:hAnsiTheme="minorHAnsi" w:cstheme="minorHAnsi"/>
          <w:sz w:val="22"/>
          <w:szCs w:val="22"/>
          <w:lang w:val="fr-CA"/>
        </w:rPr>
      </w:pPr>
      <w:r w:rsidRPr="0000588E">
        <w:rPr>
          <w:rFonts w:asciiTheme="minorHAnsi" w:hAnsiTheme="minorHAnsi" w:cstheme="minorHAnsi"/>
          <w:sz w:val="22"/>
          <w:szCs w:val="22"/>
          <w:lang w:val="fr-CA"/>
        </w:rPr>
        <w:t>Axée sur l’ensemble du système</w:t>
      </w:r>
    </w:p>
    <w:p w:rsidR="0000588E" w:rsidRPr="0000588E" w:rsidRDefault="0000588E" w:rsidP="0000588E">
      <w:pPr>
        <w:pStyle w:val="Paragraphedeliste"/>
        <w:numPr>
          <w:ilvl w:val="0"/>
          <w:numId w:val="40"/>
        </w:numPr>
        <w:spacing w:after="0"/>
        <w:ind w:left="723"/>
        <w:contextualSpacing w:val="0"/>
        <w:rPr>
          <w:rStyle w:val="lev"/>
          <w:rFonts w:asciiTheme="minorHAnsi" w:eastAsiaTheme="minorHAnsi" w:hAnsiTheme="minorHAnsi" w:cstheme="minorHAnsi"/>
          <w:sz w:val="22"/>
          <w:szCs w:val="22"/>
          <w:lang w:val="fr-CA"/>
        </w:rPr>
      </w:pPr>
      <w:r w:rsidRPr="0000588E">
        <w:rPr>
          <w:rStyle w:val="lev"/>
          <w:rFonts w:asciiTheme="minorHAnsi" w:eastAsiaTheme="minorHAnsi" w:hAnsiTheme="minorHAnsi" w:cstheme="minorHAnsi"/>
          <w:sz w:val="22"/>
          <w:szCs w:val="22"/>
          <w:lang w:val="fr-CA"/>
        </w:rPr>
        <w:t xml:space="preserve">Vérification de la conformité pangouvernementale tous les deux ans </w:t>
      </w:r>
    </w:p>
    <w:p w:rsidR="0000588E" w:rsidRPr="0000588E" w:rsidRDefault="0000588E" w:rsidP="0000588E">
      <w:pPr>
        <w:pStyle w:val="Paragraphedeliste"/>
        <w:numPr>
          <w:ilvl w:val="0"/>
          <w:numId w:val="40"/>
        </w:numPr>
        <w:spacing w:after="0"/>
        <w:ind w:left="723"/>
        <w:contextualSpacing w:val="0"/>
        <w:rPr>
          <w:rFonts w:asciiTheme="minorHAnsi" w:eastAsiaTheme="minorHAnsi" w:hAnsiTheme="minorHAnsi" w:cstheme="minorHAnsi"/>
          <w:sz w:val="22"/>
          <w:szCs w:val="22"/>
          <w:lang w:val="fr-CA"/>
        </w:rPr>
      </w:pPr>
      <w:r w:rsidRPr="0000588E">
        <w:rPr>
          <w:rStyle w:val="lev"/>
          <w:rFonts w:asciiTheme="minorHAnsi" w:eastAsiaTheme="minorHAnsi" w:hAnsiTheme="minorHAnsi" w:cstheme="minorHAnsi"/>
          <w:sz w:val="22"/>
          <w:szCs w:val="22"/>
          <w:lang w:val="fr-CA"/>
        </w:rPr>
        <w:t>Nouveau Sondage sur la dotation</w:t>
      </w:r>
      <w:r w:rsidRPr="0000588E">
        <w:rPr>
          <w:rFonts w:asciiTheme="minorHAnsi" w:eastAsiaTheme="minorHAnsi" w:hAnsiTheme="minorHAnsi" w:cstheme="minorHAnsi"/>
          <w:sz w:val="22"/>
          <w:szCs w:val="22"/>
          <w:lang w:val="fr-CA"/>
        </w:rPr>
        <w:t xml:space="preserve"> administré en alternance avec la vérification pangouvernementale</w:t>
      </w:r>
    </w:p>
    <w:p w:rsidR="0000588E" w:rsidRPr="0000588E" w:rsidRDefault="0000588E" w:rsidP="0000588E">
      <w:pPr>
        <w:pStyle w:val="Paragraphedeliste"/>
        <w:numPr>
          <w:ilvl w:val="0"/>
          <w:numId w:val="40"/>
        </w:numPr>
        <w:spacing w:after="0"/>
        <w:ind w:left="723"/>
        <w:contextualSpacing w:val="0"/>
        <w:rPr>
          <w:rFonts w:asciiTheme="minorHAnsi" w:eastAsiaTheme="minorHAnsi" w:hAnsiTheme="minorHAnsi" w:cstheme="minorHAnsi"/>
          <w:sz w:val="22"/>
          <w:szCs w:val="22"/>
          <w:lang w:val="fr-CA"/>
        </w:rPr>
      </w:pPr>
      <w:r w:rsidRPr="0000588E">
        <w:rPr>
          <w:rStyle w:val="lev"/>
          <w:rFonts w:asciiTheme="minorHAnsi" w:eastAsiaTheme="minorHAnsi" w:hAnsiTheme="minorHAnsi" w:cstheme="minorHAnsi"/>
          <w:sz w:val="22"/>
          <w:szCs w:val="22"/>
          <w:lang w:val="fr-CA"/>
        </w:rPr>
        <w:t>Examens de l’efficacité et de l’efficience de l’ensemble du système</w:t>
      </w:r>
      <w:r w:rsidRPr="0000588E">
        <w:rPr>
          <w:rFonts w:asciiTheme="minorHAnsi" w:eastAsiaTheme="minorHAnsi" w:hAnsiTheme="minorHAnsi" w:cstheme="minorHAnsi"/>
          <w:sz w:val="22"/>
          <w:szCs w:val="22"/>
          <w:lang w:val="fr-CA"/>
        </w:rPr>
        <w:t xml:space="preserve"> pour appuyer l’amélioration continue</w:t>
      </w:r>
    </w:p>
    <w:p w:rsidR="0000588E" w:rsidRPr="0000588E" w:rsidRDefault="0000588E" w:rsidP="0000588E">
      <w:pPr>
        <w:pStyle w:val="Paragraphedeliste"/>
        <w:numPr>
          <w:ilvl w:val="0"/>
          <w:numId w:val="40"/>
        </w:numPr>
        <w:spacing w:after="0"/>
        <w:ind w:left="723"/>
        <w:contextualSpacing w:val="0"/>
        <w:rPr>
          <w:rFonts w:asciiTheme="minorHAnsi" w:eastAsiaTheme="minorHAnsi" w:hAnsiTheme="minorHAnsi" w:cstheme="minorHAnsi"/>
          <w:sz w:val="22"/>
          <w:szCs w:val="22"/>
          <w:lang w:val="fr-CA"/>
        </w:rPr>
      </w:pPr>
      <w:r w:rsidRPr="0000588E">
        <w:rPr>
          <w:rStyle w:val="lev"/>
          <w:rFonts w:asciiTheme="minorHAnsi" w:eastAsiaTheme="minorHAnsi" w:hAnsiTheme="minorHAnsi" w:cstheme="minorHAnsi"/>
          <w:sz w:val="22"/>
          <w:szCs w:val="22"/>
          <w:lang w:val="fr-CA"/>
        </w:rPr>
        <w:t>Vérifications ciblées de la CFP</w:t>
      </w:r>
      <w:r w:rsidRPr="0000588E">
        <w:rPr>
          <w:rFonts w:asciiTheme="minorHAnsi" w:eastAsiaTheme="minorHAnsi" w:hAnsiTheme="minorHAnsi" w:cstheme="minorHAnsi"/>
          <w:sz w:val="22"/>
          <w:szCs w:val="22"/>
          <w:lang w:val="fr-CA"/>
        </w:rPr>
        <w:t xml:space="preserve"> suite aux risques pangouvernementaux ou organisationnels identifiés, ou à la demande de l’administrateur général </w:t>
      </w:r>
    </w:p>
    <w:p w:rsidR="0000588E" w:rsidRPr="0000588E" w:rsidRDefault="0000588E" w:rsidP="0000588E">
      <w:pPr>
        <w:pStyle w:val="Paragraphedeliste"/>
        <w:numPr>
          <w:ilvl w:val="0"/>
          <w:numId w:val="40"/>
        </w:numPr>
        <w:ind w:left="723"/>
        <w:contextualSpacing w:val="0"/>
        <w:rPr>
          <w:rFonts w:asciiTheme="minorHAnsi" w:eastAsiaTheme="minorHAnsi" w:hAnsiTheme="minorHAnsi" w:cstheme="minorHAnsi"/>
          <w:sz w:val="22"/>
          <w:szCs w:val="22"/>
          <w:lang w:val="fr-CA"/>
        </w:rPr>
      </w:pPr>
      <w:r w:rsidRPr="0000588E">
        <w:rPr>
          <w:rStyle w:val="lev"/>
          <w:rFonts w:asciiTheme="minorHAnsi" w:eastAsiaTheme="minorHAnsi" w:hAnsiTheme="minorHAnsi" w:cstheme="minorHAnsi"/>
          <w:sz w:val="22"/>
          <w:szCs w:val="22"/>
          <w:lang w:val="fr-CA"/>
        </w:rPr>
        <w:t>Enquêtes menées</w:t>
      </w:r>
      <w:r w:rsidRPr="0000588E">
        <w:rPr>
          <w:rFonts w:asciiTheme="minorHAnsi" w:eastAsiaTheme="minorHAnsi" w:hAnsiTheme="minorHAnsi" w:cstheme="minorHAnsi"/>
          <w:sz w:val="22"/>
          <w:szCs w:val="22"/>
          <w:lang w:val="fr-CA"/>
        </w:rPr>
        <w:t xml:space="preserve"> lorsqu’il y a lieu de croire  qu’il pourrait y avoir ingérence politique, fraude ou conduite irrégulière dans le cadre d’un  processus de nomination</w:t>
      </w:r>
    </w:p>
    <w:p w:rsidR="00EF148B" w:rsidRPr="00CB43C9" w:rsidRDefault="0000588E" w:rsidP="00CB43C9">
      <w:pPr>
        <w:pStyle w:val="Pieddepage"/>
        <w:rPr>
          <w:rStyle w:val="lev"/>
          <w:rFonts w:asciiTheme="minorHAnsi" w:hAnsiTheme="minorHAnsi" w:cstheme="minorHAnsi"/>
          <w:b w:val="0"/>
          <w:color w:val="0070C0"/>
          <w:sz w:val="22"/>
          <w:szCs w:val="22"/>
          <w:lang w:val="fr-CA"/>
        </w:rPr>
        <w:sectPr w:rsidR="00EF148B" w:rsidRPr="00CB43C9" w:rsidSect="006F55EB">
          <w:headerReference w:type="default" r:id="rId12"/>
          <w:footerReference w:type="default" r:id="rId13"/>
          <w:pgSz w:w="12240" w:h="15840"/>
          <w:pgMar w:top="1440" w:right="1797" w:bottom="1440" w:left="1797" w:header="709" w:footer="284" w:gutter="0"/>
          <w:cols w:space="708"/>
          <w:titlePg/>
          <w:docGrid w:linePitch="360"/>
        </w:sectPr>
      </w:pPr>
      <w:r w:rsidRPr="00CB43C9">
        <w:rPr>
          <w:rStyle w:val="lev"/>
          <w:rFonts w:asciiTheme="minorHAnsi" w:eastAsiaTheme="minorHAnsi" w:hAnsiTheme="minorHAnsi" w:cstheme="minorHAnsi"/>
          <w:b w:val="0"/>
          <w:sz w:val="22"/>
          <w:szCs w:val="22"/>
          <w:lang w:val="fr-CA"/>
        </w:rPr>
        <w:t xml:space="preserve">Ce document doit être lu conjointement avec la </w:t>
      </w:r>
      <w:r w:rsidRPr="001C333D">
        <w:rPr>
          <w:rStyle w:val="Accentuation"/>
          <w:rFonts w:asciiTheme="minorHAnsi" w:eastAsiaTheme="minorHAnsi" w:hAnsiTheme="minorHAnsi" w:cstheme="minorHAnsi"/>
          <w:sz w:val="22"/>
          <w:szCs w:val="22"/>
          <w:lang w:val="fr-CA"/>
        </w:rPr>
        <w:t>Loi sur l’emploi dans la fonction publique</w:t>
      </w:r>
      <w:r w:rsidRPr="00CB43C9">
        <w:rPr>
          <w:rStyle w:val="lev"/>
          <w:rFonts w:asciiTheme="minorHAnsi" w:eastAsiaTheme="minorHAnsi" w:hAnsiTheme="minorHAnsi" w:cstheme="minorHAnsi"/>
          <w:b w:val="0"/>
          <w:sz w:val="22"/>
          <w:szCs w:val="22"/>
          <w:lang w:val="fr-CA"/>
        </w:rPr>
        <w:t xml:space="preserve">, le </w:t>
      </w:r>
      <w:r w:rsidRPr="001C333D">
        <w:rPr>
          <w:rStyle w:val="Accentuation"/>
          <w:rFonts w:asciiTheme="minorHAnsi" w:eastAsiaTheme="minorHAnsi" w:hAnsiTheme="minorHAnsi" w:cstheme="minorHAnsi"/>
          <w:sz w:val="22"/>
          <w:szCs w:val="22"/>
          <w:lang w:val="fr-CA"/>
        </w:rPr>
        <w:t>Règlement sur l'emploi dans la fonction publique</w:t>
      </w:r>
      <w:r w:rsidRPr="00CB43C9">
        <w:rPr>
          <w:rStyle w:val="lev"/>
          <w:rFonts w:asciiTheme="minorHAnsi" w:eastAsiaTheme="minorHAnsi" w:hAnsiTheme="minorHAnsi" w:cstheme="minorHAnsi"/>
          <w:b w:val="0"/>
          <w:sz w:val="22"/>
          <w:szCs w:val="22"/>
          <w:lang w:val="fr-CA"/>
        </w:rPr>
        <w:t>, la ligne directrice en matière de nomination de la CFP ainsi que l’</w:t>
      </w:r>
      <w:r w:rsidRPr="001C333D">
        <w:rPr>
          <w:rStyle w:val="Accentuation"/>
          <w:rFonts w:asciiTheme="minorHAnsi" w:eastAsiaTheme="minorHAnsi" w:hAnsiTheme="minorHAnsi" w:cstheme="minorHAnsi"/>
          <w:sz w:val="22"/>
          <w:szCs w:val="22"/>
          <w:lang w:val="fr-CA"/>
        </w:rPr>
        <w:t xml:space="preserve">Instrument de délégation et de responsabilisation en matière de nomination </w:t>
      </w:r>
      <w:r w:rsidRPr="00CB43C9">
        <w:rPr>
          <w:rStyle w:val="lev"/>
          <w:rFonts w:asciiTheme="minorHAnsi" w:eastAsiaTheme="minorHAnsi" w:hAnsiTheme="minorHAnsi" w:cstheme="minorHAnsi"/>
          <w:b w:val="0"/>
          <w:sz w:val="22"/>
          <w:szCs w:val="22"/>
          <w:lang w:val="fr-CA"/>
        </w:rPr>
        <w:t>de la CFP</w:t>
      </w:r>
      <w:r w:rsidR="002825D1">
        <w:rPr>
          <w:rStyle w:val="lev"/>
          <w:rFonts w:asciiTheme="minorHAnsi" w:eastAsiaTheme="minorHAnsi" w:hAnsiTheme="minorHAnsi" w:cstheme="minorHAnsi"/>
          <w:b w:val="0"/>
          <w:sz w:val="22"/>
          <w:szCs w:val="22"/>
          <w:lang w:val="fr-CA"/>
        </w:rPr>
        <w:t>.</w:t>
      </w:r>
    </w:p>
    <w:p w:rsidR="001A35A7" w:rsidRPr="006E1455" w:rsidRDefault="00121C7B" w:rsidP="00177A1F">
      <w:pPr>
        <w:pStyle w:val="Titre3"/>
        <w:jc w:val="right"/>
        <w:rPr>
          <w:rStyle w:val="Lienhypertexte"/>
          <w:rFonts w:ascii="Arial" w:hAnsi="Arial" w:cs="Arial"/>
          <w:b/>
          <w:color w:val="auto"/>
          <w:sz w:val="22"/>
          <w:szCs w:val="22"/>
          <w:u w:val="none"/>
          <w:lang w:val="fr-CA"/>
        </w:rPr>
      </w:pPr>
      <w:bookmarkStart w:id="3" w:name="AnnexB"/>
      <w:r>
        <w:rPr>
          <w:rStyle w:val="Lienhypertexte"/>
          <w:rFonts w:ascii="Arial" w:hAnsi="Arial" w:cs="Arial"/>
          <w:b/>
          <w:color w:val="auto"/>
          <w:sz w:val="22"/>
          <w:szCs w:val="22"/>
          <w:u w:val="none"/>
          <w:lang w:val="fr-CA"/>
        </w:rPr>
        <w:lastRenderedPageBreak/>
        <w:t>Annexe B</w:t>
      </w:r>
    </w:p>
    <w:bookmarkEnd w:id="3"/>
    <w:p w:rsidR="007C7279" w:rsidRPr="007C7279" w:rsidRDefault="007C7279" w:rsidP="007C7279">
      <w:pPr>
        <w:pStyle w:val="Titre1"/>
        <w:spacing w:before="120" w:after="120"/>
        <w:rPr>
          <w:sz w:val="40"/>
          <w:szCs w:val="40"/>
          <w:lang w:val="fr-CA"/>
        </w:rPr>
      </w:pPr>
      <w:r w:rsidRPr="007C7279">
        <w:rPr>
          <w:rFonts w:eastAsia="Times New Roman"/>
          <w:sz w:val="40"/>
          <w:szCs w:val="40"/>
          <w:lang w:val="fr-CA"/>
        </w:rPr>
        <w:t>Population selon la durée d'emploi au 31 mars</w:t>
      </w:r>
    </w:p>
    <w:p w:rsidR="005A5A1C" w:rsidRDefault="00513230" w:rsidP="005A5A1C">
      <w:pPr>
        <w:keepNext/>
        <w:tabs>
          <w:tab w:val="left" w:pos="7839"/>
        </w:tabs>
        <w:jc w:val="center"/>
      </w:pPr>
      <w:r w:rsidRPr="005A5A1C">
        <w:rPr>
          <w:rStyle w:val="lev"/>
          <w:noProof/>
          <w:lang w:val="en-CA" w:eastAsia="en-CA"/>
        </w:rPr>
        <w:drawing>
          <wp:inline distT="0" distB="0" distL="0" distR="0" wp14:anchorId="0EA70A1C" wp14:editId="393B9164">
            <wp:extent cx="5648400" cy="3049200"/>
            <wp:effectExtent l="0" t="0" r="9525" b="18415"/>
            <wp:docPr id="13" name="Chart 13" descr="Population selon la durée d'emploi au 31 mars"/>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A5A1C" w:rsidRDefault="005A5A1C" w:rsidP="005A5A1C">
      <w:pPr>
        <w:pStyle w:val="Lgende"/>
        <w:jc w:val="center"/>
        <w:rPr>
          <w:lang w:val="fr-CA"/>
        </w:rPr>
      </w:pPr>
      <w:r w:rsidRPr="005A5A1C">
        <w:rPr>
          <w:lang w:val="fr-CA"/>
        </w:rPr>
        <w:t xml:space="preserve">Figure </w:t>
      </w:r>
      <w:r>
        <w:fldChar w:fldCharType="begin"/>
      </w:r>
      <w:r w:rsidRPr="005A5A1C">
        <w:rPr>
          <w:lang w:val="fr-CA"/>
        </w:rPr>
        <w:instrText xml:space="preserve"> SEQ Figure \* ARABIC </w:instrText>
      </w:r>
      <w:r>
        <w:fldChar w:fldCharType="separate"/>
      </w:r>
      <w:r w:rsidR="00EE67E2">
        <w:rPr>
          <w:noProof/>
          <w:lang w:val="fr-CA"/>
        </w:rPr>
        <w:t>1</w:t>
      </w:r>
      <w:r>
        <w:fldChar w:fldCharType="end"/>
      </w:r>
      <w:r w:rsidRPr="005A5A1C">
        <w:rPr>
          <w:lang w:val="fr-CA"/>
        </w:rPr>
        <w:t xml:space="preserve"> - Population selon la durée d'emploi au 31 mars</w:t>
      </w:r>
    </w:p>
    <w:p w:rsidR="005A5A1C" w:rsidRPr="005A5A1C" w:rsidRDefault="005A5A1C" w:rsidP="00D9453C">
      <w:pPr>
        <w:pStyle w:val="Lgende"/>
        <w:keepNext/>
        <w:spacing w:before="240"/>
        <w:jc w:val="center"/>
        <w:rPr>
          <w:lang w:val="fr-CA"/>
        </w:rPr>
      </w:pPr>
      <w:r w:rsidRPr="005A5A1C">
        <w:rPr>
          <w:lang w:val="fr-CA"/>
        </w:rPr>
        <w:t xml:space="preserve">Table </w:t>
      </w:r>
      <w:r>
        <w:fldChar w:fldCharType="begin"/>
      </w:r>
      <w:r w:rsidRPr="005A5A1C">
        <w:rPr>
          <w:lang w:val="fr-CA"/>
        </w:rPr>
        <w:instrText xml:space="preserve"> SEQ Table \* ARABIC </w:instrText>
      </w:r>
      <w:r>
        <w:fldChar w:fldCharType="separate"/>
      </w:r>
      <w:r w:rsidR="00EE67E2">
        <w:rPr>
          <w:noProof/>
          <w:lang w:val="fr-CA"/>
        </w:rPr>
        <w:t>1</w:t>
      </w:r>
      <w:r>
        <w:fldChar w:fldCharType="end"/>
      </w:r>
      <w:r w:rsidRPr="005A5A1C">
        <w:rPr>
          <w:lang w:val="fr-CA"/>
        </w:rPr>
        <w:t xml:space="preserve"> - Effectif régi par la Loi sur l’emploi dans la fonction publique au 31 mars selon la durée d’emploi</w:t>
      </w:r>
    </w:p>
    <w:tbl>
      <w:tblPr>
        <w:tblStyle w:val="Grilledutableau"/>
        <w:tblW w:w="5000" w:type="pct"/>
        <w:jc w:val="center"/>
        <w:tblLook w:val="0000" w:firstRow="0" w:lastRow="0" w:firstColumn="0" w:lastColumn="0" w:noHBand="0" w:noVBand="0"/>
        <w:tblDescription w:val="Population selon la durée d'emploi au 31 mars"/>
      </w:tblPr>
      <w:tblGrid>
        <w:gridCol w:w="3160"/>
        <w:gridCol w:w="2800"/>
        <w:gridCol w:w="2498"/>
        <w:gridCol w:w="2734"/>
        <w:gridCol w:w="1897"/>
        <w:gridCol w:w="1301"/>
      </w:tblGrid>
      <w:tr w:rsidR="005A5A1C" w:rsidRPr="00D9453C" w:rsidTr="007C7279">
        <w:trPr>
          <w:cantSplit/>
          <w:trHeight w:val="290"/>
          <w:tblHeader/>
          <w:jc w:val="center"/>
        </w:trPr>
        <w:tc>
          <w:tcPr>
            <w:tcW w:w="1098" w:type="pct"/>
          </w:tcPr>
          <w:p w:rsidR="005A5A1C" w:rsidRPr="00D9453C" w:rsidRDefault="005A5A1C" w:rsidP="005A5A1C">
            <w:pPr>
              <w:pStyle w:val="TableTitle"/>
              <w:rPr>
                <w:color w:val="auto"/>
                <w:sz w:val="22"/>
                <w:szCs w:val="22"/>
                <w:lang w:val="fr-CA"/>
              </w:rPr>
            </w:pPr>
            <w:r w:rsidRPr="00D9453C">
              <w:rPr>
                <w:color w:val="auto"/>
                <w:sz w:val="22"/>
                <w:szCs w:val="22"/>
                <w:lang w:val="fr-CA"/>
              </w:rPr>
              <w:t>Année</w:t>
            </w:r>
          </w:p>
        </w:tc>
        <w:tc>
          <w:tcPr>
            <w:tcW w:w="973" w:type="pct"/>
          </w:tcPr>
          <w:p w:rsidR="005A5A1C" w:rsidRPr="00D9453C" w:rsidRDefault="005A5A1C" w:rsidP="005A5A1C">
            <w:pPr>
              <w:pStyle w:val="TableTitle"/>
              <w:rPr>
                <w:color w:val="auto"/>
                <w:sz w:val="22"/>
                <w:szCs w:val="22"/>
                <w:lang w:val="fr-CA"/>
              </w:rPr>
            </w:pPr>
            <w:r w:rsidRPr="00D9453C">
              <w:rPr>
                <w:color w:val="auto"/>
                <w:sz w:val="22"/>
                <w:szCs w:val="22"/>
                <w:lang w:val="fr-CA"/>
              </w:rPr>
              <w:t>Indéterminée</w:t>
            </w:r>
          </w:p>
        </w:tc>
        <w:tc>
          <w:tcPr>
            <w:tcW w:w="868" w:type="pct"/>
          </w:tcPr>
          <w:p w:rsidR="005A5A1C" w:rsidRPr="00D9453C" w:rsidRDefault="005A5A1C" w:rsidP="005A5A1C">
            <w:pPr>
              <w:pStyle w:val="TableTitle"/>
              <w:rPr>
                <w:color w:val="auto"/>
                <w:sz w:val="22"/>
                <w:szCs w:val="22"/>
                <w:lang w:val="fr-CA"/>
              </w:rPr>
            </w:pPr>
            <w:r w:rsidRPr="00D9453C">
              <w:rPr>
                <w:color w:val="auto"/>
                <w:sz w:val="22"/>
                <w:szCs w:val="22"/>
                <w:lang w:val="fr-CA"/>
              </w:rPr>
              <w:t>Déterminée</w:t>
            </w:r>
          </w:p>
        </w:tc>
        <w:tc>
          <w:tcPr>
            <w:tcW w:w="950" w:type="pct"/>
          </w:tcPr>
          <w:p w:rsidR="005A5A1C" w:rsidRPr="00D9453C" w:rsidRDefault="005A5A1C" w:rsidP="005A5A1C">
            <w:pPr>
              <w:pStyle w:val="TableTitle"/>
              <w:rPr>
                <w:color w:val="auto"/>
                <w:sz w:val="22"/>
                <w:szCs w:val="22"/>
                <w:lang w:val="fr-CA"/>
              </w:rPr>
            </w:pPr>
            <w:r w:rsidRPr="00D9453C">
              <w:rPr>
                <w:color w:val="auto"/>
                <w:sz w:val="22"/>
                <w:szCs w:val="22"/>
                <w:lang w:val="fr-CA"/>
              </w:rPr>
              <w:t>Occasionnels</w:t>
            </w:r>
          </w:p>
        </w:tc>
        <w:tc>
          <w:tcPr>
            <w:tcW w:w="659" w:type="pct"/>
          </w:tcPr>
          <w:p w:rsidR="005A5A1C" w:rsidRPr="00D9453C" w:rsidRDefault="005A5A1C" w:rsidP="005A5A1C">
            <w:pPr>
              <w:pStyle w:val="TableTitle"/>
              <w:rPr>
                <w:color w:val="auto"/>
                <w:sz w:val="22"/>
                <w:szCs w:val="22"/>
                <w:lang w:val="fr-CA"/>
              </w:rPr>
            </w:pPr>
            <w:r w:rsidRPr="00D9453C">
              <w:rPr>
                <w:color w:val="auto"/>
                <w:sz w:val="22"/>
                <w:szCs w:val="22"/>
                <w:lang w:val="fr-CA"/>
              </w:rPr>
              <w:t>Étudiant</w:t>
            </w:r>
          </w:p>
        </w:tc>
        <w:tc>
          <w:tcPr>
            <w:tcW w:w="452" w:type="pct"/>
          </w:tcPr>
          <w:p w:rsidR="005A5A1C" w:rsidRPr="00D9453C" w:rsidRDefault="005A5A1C" w:rsidP="005A5A1C">
            <w:pPr>
              <w:pStyle w:val="TableTitle"/>
              <w:rPr>
                <w:color w:val="auto"/>
                <w:sz w:val="22"/>
                <w:szCs w:val="22"/>
                <w:lang w:val="fr-CA"/>
              </w:rPr>
            </w:pPr>
            <w:r w:rsidRPr="00D9453C">
              <w:rPr>
                <w:color w:val="auto"/>
                <w:sz w:val="22"/>
                <w:szCs w:val="22"/>
                <w:lang w:val="fr-CA"/>
              </w:rPr>
              <w:t>Total</w:t>
            </w:r>
          </w:p>
        </w:tc>
      </w:tr>
      <w:tr w:rsidR="005A5A1C" w:rsidRPr="00D9453C" w:rsidTr="007C7279">
        <w:trPr>
          <w:cantSplit/>
          <w:trHeight w:val="290"/>
          <w:tblHeader/>
          <w:jc w:val="center"/>
        </w:trPr>
        <w:tc>
          <w:tcPr>
            <w:tcW w:w="1098" w:type="pct"/>
          </w:tcPr>
          <w:p w:rsidR="005A5A1C" w:rsidRPr="00D9453C" w:rsidRDefault="005A5A1C" w:rsidP="007C7279">
            <w:pPr>
              <w:autoSpaceDE w:val="0"/>
              <w:autoSpaceDN w:val="0"/>
              <w:adjustRightInd w:val="0"/>
              <w:rPr>
                <w:rFonts w:asciiTheme="minorHAnsi" w:hAnsiTheme="minorHAnsi" w:cstheme="minorHAnsi"/>
                <w:color w:val="000000"/>
                <w:sz w:val="22"/>
                <w:szCs w:val="22"/>
                <w:lang w:val="fr-CA"/>
              </w:rPr>
            </w:pPr>
            <w:r w:rsidRPr="00D9453C">
              <w:rPr>
                <w:rFonts w:asciiTheme="minorHAnsi" w:hAnsiTheme="minorHAnsi" w:cstheme="minorHAnsi"/>
                <w:color w:val="000000"/>
                <w:sz w:val="22"/>
                <w:szCs w:val="22"/>
                <w:lang w:val="fr-CA"/>
              </w:rPr>
              <w:t>Au 31 mars 2014</w:t>
            </w:r>
          </w:p>
        </w:tc>
        <w:tc>
          <w:tcPr>
            <w:tcW w:w="973" w:type="pct"/>
          </w:tcPr>
          <w:p w:rsidR="005A5A1C" w:rsidRPr="00D9453C" w:rsidRDefault="005A5A1C" w:rsidP="005A5A1C">
            <w:pPr>
              <w:autoSpaceDE w:val="0"/>
              <w:autoSpaceDN w:val="0"/>
              <w:adjustRightInd w:val="0"/>
              <w:jc w:val="center"/>
              <w:rPr>
                <w:rFonts w:asciiTheme="minorHAnsi" w:hAnsiTheme="minorHAnsi" w:cstheme="minorHAnsi"/>
                <w:color w:val="000000"/>
                <w:sz w:val="22"/>
                <w:szCs w:val="22"/>
                <w:lang w:val="fr-CA"/>
              </w:rPr>
            </w:pPr>
            <w:r w:rsidRPr="00D9453C">
              <w:rPr>
                <w:rFonts w:asciiTheme="minorHAnsi" w:hAnsiTheme="minorHAnsi" w:cstheme="minorHAnsi"/>
                <w:color w:val="000000"/>
                <w:sz w:val="22"/>
                <w:szCs w:val="22"/>
                <w:lang w:val="fr-CA"/>
              </w:rPr>
              <w:t>24</w:t>
            </w:r>
          </w:p>
        </w:tc>
        <w:tc>
          <w:tcPr>
            <w:tcW w:w="868" w:type="pct"/>
          </w:tcPr>
          <w:p w:rsidR="005A5A1C" w:rsidRPr="00D9453C" w:rsidRDefault="005A5A1C" w:rsidP="005A5A1C">
            <w:pPr>
              <w:autoSpaceDE w:val="0"/>
              <w:autoSpaceDN w:val="0"/>
              <w:adjustRightInd w:val="0"/>
              <w:jc w:val="center"/>
              <w:rPr>
                <w:rFonts w:asciiTheme="minorHAnsi" w:hAnsiTheme="minorHAnsi" w:cstheme="minorHAnsi"/>
                <w:color w:val="000000"/>
                <w:sz w:val="22"/>
                <w:szCs w:val="22"/>
                <w:lang w:val="fr-CA"/>
              </w:rPr>
            </w:pPr>
            <w:r w:rsidRPr="00D9453C">
              <w:rPr>
                <w:rFonts w:asciiTheme="minorHAnsi" w:hAnsiTheme="minorHAnsi" w:cstheme="minorHAnsi"/>
                <w:color w:val="000000"/>
                <w:sz w:val="22"/>
                <w:szCs w:val="22"/>
                <w:lang w:val="fr-CA"/>
              </w:rPr>
              <w:t>1</w:t>
            </w:r>
          </w:p>
        </w:tc>
        <w:tc>
          <w:tcPr>
            <w:tcW w:w="950" w:type="pct"/>
          </w:tcPr>
          <w:p w:rsidR="005A5A1C" w:rsidRPr="00D9453C" w:rsidRDefault="005A5A1C" w:rsidP="005A5A1C">
            <w:pPr>
              <w:autoSpaceDE w:val="0"/>
              <w:autoSpaceDN w:val="0"/>
              <w:adjustRightInd w:val="0"/>
              <w:jc w:val="center"/>
              <w:rPr>
                <w:rFonts w:asciiTheme="minorHAnsi" w:hAnsiTheme="minorHAnsi" w:cstheme="minorHAnsi"/>
                <w:color w:val="000000"/>
                <w:sz w:val="22"/>
                <w:szCs w:val="22"/>
                <w:lang w:val="fr-CA"/>
              </w:rPr>
            </w:pPr>
            <w:r w:rsidRPr="00D9453C">
              <w:rPr>
                <w:rFonts w:asciiTheme="minorHAnsi" w:hAnsiTheme="minorHAnsi" w:cstheme="minorHAnsi"/>
                <w:color w:val="000000"/>
                <w:sz w:val="22"/>
                <w:szCs w:val="22"/>
                <w:lang w:val="fr-CA"/>
              </w:rPr>
              <w:t>3</w:t>
            </w:r>
          </w:p>
        </w:tc>
        <w:tc>
          <w:tcPr>
            <w:tcW w:w="659" w:type="pct"/>
          </w:tcPr>
          <w:p w:rsidR="005A5A1C" w:rsidRPr="00D9453C" w:rsidRDefault="005A5A1C" w:rsidP="005A5A1C">
            <w:pPr>
              <w:autoSpaceDE w:val="0"/>
              <w:autoSpaceDN w:val="0"/>
              <w:adjustRightInd w:val="0"/>
              <w:jc w:val="center"/>
              <w:rPr>
                <w:rFonts w:asciiTheme="minorHAnsi" w:hAnsiTheme="minorHAnsi" w:cstheme="minorHAnsi"/>
                <w:color w:val="000000"/>
                <w:sz w:val="22"/>
                <w:szCs w:val="22"/>
                <w:lang w:val="fr-CA"/>
              </w:rPr>
            </w:pPr>
            <w:r w:rsidRPr="00D9453C">
              <w:rPr>
                <w:rFonts w:asciiTheme="minorHAnsi" w:hAnsiTheme="minorHAnsi" w:cstheme="minorHAnsi"/>
                <w:color w:val="000000"/>
                <w:sz w:val="22"/>
                <w:szCs w:val="22"/>
                <w:lang w:val="fr-CA"/>
              </w:rPr>
              <w:t>2</w:t>
            </w:r>
          </w:p>
        </w:tc>
        <w:tc>
          <w:tcPr>
            <w:tcW w:w="452" w:type="pct"/>
          </w:tcPr>
          <w:p w:rsidR="005A5A1C" w:rsidRPr="00D9453C" w:rsidRDefault="005A5A1C" w:rsidP="005A5A1C">
            <w:pPr>
              <w:autoSpaceDE w:val="0"/>
              <w:autoSpaceDN w:val="0"/>
              <w:adjustRightInd w:val="0"/>
              <w:jc w:val="center"/>
              <w:rPr>
                <w:rFonts w:asciiTheme="minorHAnsi" w:hAnsiTheme="minorHAnsi" w:cstheme="minorHAnsi"/>
                <w:color w:val="000000"/>
                <w:sz w:val="22"/>
                <w:szCs w:val="22"/>
                <w:lang w:val="fr-CA"/>
              </w:rPr>
            </w:pPr>
            <w:r w:rsidRPr="00D9453C">
              <w:rPr>
                <w:rFonts w:asciiTheme="minorHAnsi" w:hAnsiTheme="minorHAnsi" w:cstheme="minorHAnsi"/>
                <w:color w:val="000000"/>
                <w:sz w:val="22"/>
                <w:szCs w:val="22"/>
                <w:lang w:val="fr-CA"/>
              </w:rPr>
              <w:t>30</w:t>
            </w:r>
          </w:p>
        </w:tc>
      </w:tr>
      <w:tr w:rsidR="005A5A1C" w:rsidRPr="00D9453C" w:rsidTr="007C7279">
        <w:trPr>
          <w:cantSplit/>
          <w:trHeight w:val="290"/>
          <w:tblHeader/>
          <w:jc w:val="center"/>
        </w:trPr>
        <w:tc>
          <w:tcPr>
            <w:tcW w:w="1098" w:type="pct"/>
          </w:tcPr>
          <w:p w:rsidR="005A5A1C" w:rsidRPr="00D9453C" w:rsidRDefault="005A5A1C" w:rsidP="007C7279">
            <w:pPr>
              <w:autoSpaceDE w:val="0"/>
              <w:autoSpaceDN w:val="0"/>
              <w:adjustRightInd w:val="0"/>
              <w:rPr>
                <w:rFonts w:asciiTheme="minorHAnsi" w:hAnsiTheme="minorHAnsi" w:cstheme="minorHAnsi"/>
                <w:color w:val="000000"/>
                <w:sz w:val="22"/>
                <w:szCs w:val="22"/>
                <w:lang w:val="fr-CA"/>
              </w:rPr>
            </w:pPr>
            <w:r w:rsidRPr="00D9453C">
              <w:rPr>
                <w:rFonts w:asciiTheme="minorHAnsi" w:hAnsiTheme="minorHAnsi" w:cstheme="minorHAnsi"/>
                <w:color w:val="000000"/>
                <w:sz w:val="22"/>
                <w:szCs w:val="22"/>
                <w:lang w:val="fr-CA"/>
              </w:rPr>
              <w:t>Au 31 mars 2015</w:t>
            </w:r>
          </w:p>
        </w:tc>
        <w:tc>
          <w:tcPr>
            <w:tcW w:w="973" w:type="pct"/>
          </w:tcPr>
          <w:p w:rsidR="005A5A1C" w:rsidRPr="00D9453C" w:rsidRDefault="005A5A1C" w:rsidP="005A5A1C">
            <w:pPr>
              <w:autoSpaceDE w:val="0"/>
              <w:autoSpaceDN w:val="0"/>
              <w:adjustRightInd w:val="0"/>
              <w:jc w:val="center"/>
              <w:rPr>
                <w:rFonts w:asciiTheme="minorHAnsi" w:hAnsiTheme="minorHAnsi" w:cstheme="minorHAnsi"/>
                <w:color w:val="000000"/>
                <w:sz w:val="22"/>
                <w:szCs w:val="22"/>
                <w:lang w:val="fr-CA"/>
              </w:rPr>
            </w:pPr>
            <w:r w:rsidRPr="00D9453C">
              <w:rPr>
                <w:rFonts w:asciiTheme="minorHAnsi" w:hAnsiTheme="minorHAnsi" w:cstheme="minorHAnsi"/>
                <w:color w:val="000000"/>
                <w:sz w:val="22"/>
                <w:szCs w:val="22"/>
                <w:lang w:val="fr-CA"/>
              </w:rPr>
              <w:t>24</w:t>
            </w:r>
          </w:p>
        </w:tc>
        <w:tc>
          <w:tcPr>
            <w:tcW w:w="868" w:type="pct"/>
          </w:tcPr>
          <w:p w:rsidR="005A5A1C" w:rsidRPr="00D9453C" w:rsidRDefault="005A5A1C" w:rsidP="005A5A1C">
            <w:pPr>
              <w:autoSpaceDE w:val="0"/>
              <w:autoSpaceDN w:val="0"/>
              <w:adjustRightInd w:val="0"/>
              <w:jc w:val="center"/>
              <w:rPr>
                <w:rFonts w:asciiTheme="minorHAnsi" w:hAnsiTheme="minorHAnsi" w:cstheme="minorHAnsi"/>
                <w:color w:val="000000"/>
                <w:sz w:val="22"/>
                <w:szCs w:val="22"/>
                <w:lang w:val="fr-CA"/>
              </w:rPr>
            </w:pPr>
            <w:r w:rsidRPr="00D9453C">
              <w:rPr>
                <w:rFonts w:asciiTheme="minorHAnsi" w:hAnsiTheme="minorHAnsi" w:cstheme="minorHAnsi"/>
                <w:color w:val="000000"/>
                <w:sz w:val="22"/>
                <w:szCs w:val="22"/>
                <w:lang w:val="fr-CA"/>
              </w:rPr>
              <w:t>4</w:t>
            </w:r>
          </w:p>
        </w:tc>
        <w:tc>
          <w:tcPr>
            <w:tcW w:w="950" w:type="pct"/>
          </w:tcPr>
          <w:p w:rsidR="005A5A1C" w:rsidRPr="00D9453C" w:rsidRDefault="005A5A1C" w:rsidP="005A5A1C">
            <w:pPr>
              <w:autoSpaceDE w:val="0"/>
              <w:autoSpaceDN w:val="0"/>
              <w:adjustRightInd w:val="0"/>
              <w:jc w:val="center"/>
              <w:rPr>
                <w:rFonts w:asciiTheme="minorHAnsi" w:hAnsiTheme="minorHAnsi" w:cstheme="minorHAnsi"/>
                <w:color w:val="000000"/>
                <w:sz w:val="22"/>
                <w:szCs w:val="22"/>
                <w:lang w:val="fr-CA"/>
              </w:rPr>
            </w:pPr>
            <w:r w:rsidRPr="00D9453C">
              <w:rPr>
                <w:rFonts w:asciiTheme="minorHAnsi" w:hAnsiTheme="minorHAnsi" w:cstheme="minorHAnsi"/>
                <w:color w:val="000000"/>
                <w:sz w:val="22"/>
                <w:szCs w:val="22"/>
                <w:lang w:val="fr-CA"/>
              </w:rPr>
              <w:t>0</w:t>
            </w:r>
          </w:p>
        </w:tc>
        <w:tc>
          <w:tcPr>
            <w:tcW w:w="659" w:type="pct"/>
          </w:tcPr>
          <w:p w:rsidR="005A5A1C" w:rsidRPr="00D9453C" w:rsidRDefault="005A5A1C" w:rsidP="005A5A1C">
            <w:pPr>
              <w:autoSpaceDE w:val="0"/>
              <w:autoSpaceDN w:val="0"/>
              <w:adjustRightInd w:val="0"/>
              <w:jc w:val="center"/>
              <w:rPr>
                <w:rFonts w:asciiTheme="minorHAnsi" w:hAnsiTheme="minorHAnsi" w:cstheme="minorHAnsi"/>
                <w:color w:val="000000"/>
                <w:sz w:val="22"/>
                <w:szCs w:val="22"/>
                <w:lang w:val="fr-CA"/>
              </w:rPr>
            </w:pPr>
            <w:r w:rsidRPr="00D9453C">
              <w:rPr>
                <w:rFonts w:asciiTheme="minorHAnsi" w:hAnsiTheme="minorHAnsi" w:cstheme="minorHAnsi"/>
                <w:color w:val="000000"/>
                <w:sz w:val="22"/>
                <w:szCs w:val="22"/>
                <w:lang w:val="fr-CA"/>
              </w:rPr>
              <w:t>2</w:t>
            </w:r>
          </w:p>
        </w:tc>
        <w:tc>
          <w:tcPr>
            <w:tcW w:w="452" w:type="pct"/>
          </w:tcPr>
          <w:p w:rsidR="005A5A1C" w:rsidRPr="00D9453C" w:rsidRDefault="005A5A1C" w:rsidP="005A5A1C">
            <w:pPr>
              <w:autoSpaceDE w:val="0"/>
              <w:autoSpaceDN w:val="0"/>
              <w:adjustRightInd w:val="0"/>
              <w:jc w:val="center"/>
              <w:rPr>
                <w:rFonts w:asciiTheme="minorHAnsi" w:hAnsiTheme="minorHAnsi" w:cstheme="minorHAnsi"/>
                <w:color w:val="000000"/>
                <w:sz w:val="22"/>
                <w:szCs w:val="22"/>
                <w:lang w:val="fr-CA"/>
              </w:rPr>
            </w:pPr>
            <w:r w:rsidRPr="00D9453C">
              <w:rPr>
                <w:rFonts w:asciiTheme="minorHAnsi" w:hAnsiTheme="minorHAnsi" w:cstheme="minorHAnsi"/>
                <w:color w:val="000000"/>
                <w:sz w:val="22"/>
                <w:szCs w:val="22"/>
                <w:lang w:val="fr-CA"/>
              </w:rPr>
              <w:t>30</w:t>
            </w:r>
          </w:p>
        </w:tc>
      </w:tr>
      <w:tr w:rsidR="005A5A1C" w:rsidRPr="00D9453C" w:rsidTr="007C7279">
        <w:trPr>
          <w:cantSplit/>
          <w:trHeight w:val="290"/>
          <w:tblHeader/>
          <w:jc w:val="center"/>
        </w:trPr>
        <w:tc>
          <w:tcPr>
            <w:tcW w:w="1098" w:type="pct"/>
          </w:tcPr>
          <w:p w:rsidR="005A5A1C" w:rsidRPr="00D9453C" w:rsidRDefault="005A5A1C" w:rsidP="007C7279">
            <w:pPr>
              <w:autoSpaceDE w:val="0"/>
              <w:autoSpaceDN w:val="0"/>
              <w:adjustRightInd w:val="0"/>
              <w:rPr>
                <w:rFonts w:asciiTheme="minorHAnsi" w:hAnsiTheme="minorHAnsi" w:cstheme="minorHAnsi"/>
                <w:color w:val="000000"/>
                <w:sz w:val="22"/>
                <w:szCs w:val="22"/>
                <w:lang w:val="fr-CA"/>
              </w:rPr>
            </w:pPr>
            <w:r w:rsidRPr="00D9453C">
              <w:rPr>
                <w:rFonts w:asciiTheme="minorHAnsi" w:hAnsiTheme="minorHAnsi" w:cstheme="minorHAnsi"/>
                <w:color w:val="000000"/>
                <w:sz w:val="22"/>
                <w:szCs w:val="22"/>
                <w:lang w:val="fr-CA"/>
              </w:rPr>
              <w:t>Au 31 mars 2016</w:t>
            </w:r>
          </w:p>
        </w:tc>
        <w:tc>
          <w:tcPr>
            <w:tcW w:w="973" w:type="pct"/>
          </w:tcPr>
          <w:p w:rsidR="005A5A1C" w:rsidRPr="00D9453C" w:rsidRDefault="005A5A1C" w:rsidP="005A5A1C">
            <w:pPr>
              <w:autoSpaceDE w:val="0"/>
              <w:autoSpaceDN w:val="0"/>
              <w:adjustRightInd w:val="0"/>
              <w:jc w:val="center"/>
              <w:rPr>
                <w:rFonts w:asciiTheme="minorHAnsi" w:hAnsiTheme="minorHAnsi" w:cstheme="minorHAnsi"/>
                <w:color w:val="000000"/>
                <w:sz w:val="22"/>
                <w:szCs w:val="22"/>
                <w:lang w:val="fr-CA"/>
              </w:rPr>
            </w:pPr>
            <w:r w:rsidRPr="00D9453C">
              <w:rPr>
                <w:rFonts w:asciiTheme="minorHAnsi" w:hAnsiTheme="minorHAnsi" w:cstheme="minorHAnsi"/>
                <w:color w:val="000000"/>
                <w:sz w:val="22"/>
                <w:szCs w:val="22"/>
                <w:lang w:val="fr-CA"/>
              </w:rPr>
              <w:t>25</w:t>
            </w:r>
          </w:p>
        </w:tc>
        <w:tc>
          <w:tcPr>
            <w:tcW w:w="868" w:type="pct"/>
          </w:tcPr>
          <w:p w:rsidR="005A5A1C" w:rsidRPr="00D9453C" w:rsidRDefault="005A5A1C" w:rsidP="005A5A1C">
            <w:pPr>
              <w:autoSpaceDE w:val="0"/>
              <w:autoSpaceDN w:val="0"/>
              <w:adjustRightInd w:val="0"/>
              <w:jc w:val="center"/>
              <w:rPr>
                <w:rFonts w:asciiTheme="minorHAnsi" w:hAnsiTheme="minorHAnsi" w:cstheme="minorHAnsi"/>
                <w:color w:val="000000"/>
                <w:sz w:val="22"/>
                <w:szCs w:val="22"/>
                <w:lang w:val="fr-CA"/>
              </w:rPr>
            </w:pPr>
            <w:r w:rsidRPr="00D9453C">
              <w:rPr>
                <w:rFonts w:asciiTheme="minorHAnsi" w:hAnsiTheme="minorHAnsi" w:cstheme="minorHAnsi"/>
                <w:color w:val="000000"/>
                <w:sz w:val="22"/>
                <w:szCs w:val="22"/>
                <w:lang w:val="fr-CA"/>
              </w:rPr>
              <w:t>1</w:t>
            </w:r>
          </w:p>
        </w:tc>
        <w:tc>
          <w:tcPr>
            <w:tcW w:w="950" w:type="pct"/>
          </w:tcPr>
          <w:p w:rsidR="005A5A1C" w:rsidRPr="00D9453C" w:rsidRDefault="005A5A1C" w:rsidP="005A5A1C">
            <w:pPr>
              <w:autoSpaceDE w:val="0"/>
              <w:autoSpaceDN w:val="0"/>
              <w:adjustRightInd w:val="0"/>
              <w:jc w:val="center"/>
              <w:rPr>
                <w:rFonts w:asciiTheme="minorHAnsi" w:hAnsiTheme="minorHAnsi" w:cstheme="minorHAnsi"/>
                <w:color w:val="000000"/>
                <w:sz w:val="22"/>
                <w:szCs w:val="22"/>
                <w:lang w:val="fr-CA"/>
              </w:rPr>
            </w:pPr>
            <w:r w:rsidRPr="00D9453C">
              <w:rPr>
                <w:rFonts w:asciiTheme="minorHAnsi" w:hAnsiTheme="minorHAnsi" w:cstheme="minorHAnsi"/>
                <w:color w:val="000000"/>
                <w:sz w:val="22"/>
                <w:szCs w:val="22"/>
                <w:lang w:val="fr-CA"/>
              </w:rPr>
              <w:t>2</w:t>
            </w:r>
          </w:p>
        </w:tc>
        <w:tc>
          <w:tcPr>
            <w:tcW w:w="659" w:type="pct"/>
          </w:tcPr>
          <w:p w:rsidR="005A5A1C" w:rsidRPr="00D9453C" w:rsidRDefault="005A5A1C" w:rsidP="005A5A1C">
            <w:pPr>
              <w:autoSpaceDE w:val="0"/>
              <w:autoSpaceDN w:val="0"/>
              <w:adjustRightInd w:val="0"/>
              <w:jc w:val="center"/>
              <w:rPr>
                <w:rFonts w:asciiTheme="minorHAnsi" w:hAnsiTheme="minorHAnsi" w:cstheme="minorHAnsi"/>
                <w:color w:val="000000"/>
                <w:sz w:val="22"/>
                <w:szCs w:val="22"/>
                <w:lang w:val="fr-CA"/>
              </w:rPr>
            </w:pPr>
            <w:r w:rsidRPr="00D9453C">
              <w:rPr>
                <w:rFonts w:asciiTheme="minorHAnsi" w:hAnsiTheme="minorHAnsi" w:cstheme="minorHAnsi"/>
                <w:color w:val="000000"/>
                <w:sz w:val="22"/>
                <w:szCs w:val="22"/>
                <w:lang w:val="fr-CA"/>
              </w:rPr>
              <w:t>1</w:t>
            </w:r>
          </w:p>
        </w:tc>
        <w:tc>
          <w:tcPr>
            <w:tcW w:w="452" w:type="pct"/>
          </w:tcPr>
          <w:p w:rsidR="005A5A1C" w:rsidRPr="00D9453C" w:rsidRDefault="005A5A1C" w:rsidP="005A5A1C">
            <w:pPr>
              <w:autoSpaceDE w:val="0"/>
              <w:autoSpaceDN w:val="0"/>
              <w:adjustRightInd w:val="0"/>
              <w:jc w:val="center"/>
              <w:rPr>
                <w:rFonts w:asciiTheme="minorHAnsi" w:hAnsiTheme="minorHAnsi" w:cstheme="minorHAnsi"/>
                <w:color w:val="000000"/>
                <w:sz w:val="22"/>
                <w:szCs w:val="22"/>
                <w:lang w:val="fr-CA"/>
              </w:rPr>
            </w:pPr>
            <w:r w:rsidRPr="00D9453C">
              <w:rPr>
                <w:rFonts w:asciiTheme="minorHAnsi" w:hAnsiTheme="minorHAnsi" w:cstheme="minorHAnsi"/>
                <w:color w:val="000000"/>
                <w:sz w:val="22"/>
                <w:szCs w:val="22"/>
                <w:lang w:val="fr-CA"/>
              </w:rPr>
              <w:t>29</w:t>
            </w:r>
          </w:p>
        </w:tc>
      </w:tr>
      <w:tr w:rsidR="005A5A1C" w:rsidRPr="00D9453C" w:rsidTr="007C7279">
        <w:trPr>
          <w:cantSplit/>
          <w:trHeight w:val="290"/>
          <w:tblHeader/>
          <w:jc w:val="center"/>
        </w:trPr>
        <w:tc>
          <w:tcPr>
            <w:tcW w:w="1098" w:type="pct"/>
          </w:tcPr>
          <w:p w:rsidR="005A5A1C" w:rsidRPr="00D9453C" w:rsidRDefault="005A5A1C" w:rsidP="007C7279">
            <w:pPr>
              <w:autoSpaceDE w:val="0"/>
              <w:autoSpaceDN w:val="0"/>
              <w:adjustRightInd w:val="0"/>
              <w:rPr>
                <w:rFonts w:asciiTheme="minorHAnsi" w:hAnsiTheme="minorHAnsi" w:cstheme="minorHAnsi"/>
                <w:color w:val="000000"/>
                <w:sz w:val="22"/>
                <w:szCs w:val="22"/>
                <w:lang w:val="fr-CA"/>
              </w:rPr>
            </w:pPr>
            <w:r w:rsidRPr="00D9453C">
              <w:rPr>
                <w:rFonts w:asciiTheme="minorHAnsi" w:hAnsiTheme="minorHAnsi" w:cstheme="minorHAnsi"/>
                <w:color w:val="000000"/>
                <w:sz w:val="22"/>
                <w:szCs w:val="22"/>
                <w:lang w:val="fr-CA"/>
              </w:rPr>
              <w:t>Au 31 mars 2017</w:t>
            </w:r>
          </w:p>
        </w:tc>
        <w:tc>
          <w:tcPr>
            <w:tcW w:w="973" w:type="pct"/>
          </w:tcPr>
          <w:p w:rsidR="005A5A1C" w:rsidRPr="00D9453C" w:rsidRDefault="005A5A1C" w:rsidP="005A5A1C">
            <w:pPr>
              <w:autoSpaceDE w:val="0"/>
              <w:autoSpaceDN w:val="0"/>
              <w:adjustRightInd w:val="0"/>
              <w:jc w:val="center"/>
              <w:rPr>
                <w:rFonts w:asciiTheme="minorHAnsi" w:hAnsiTheme="minorHAnsi" w:cstheme="minorHAnsi"/>
                <w:color w:val="000000"/>
                <w:sz w:val="22"/>
                <w:szCs w:val="22"/>
                <w:lang w:val="fr-CA"/>
              </w:rPr>
            </w:pPr>
            <w:r w:rsidRPr="00D9453C">
              <w:rPr>
                <w:rFonts w:asciiTheme="minorHAnsi" w:hAnsiTheme="minorHAnsi" w:cstheme="minorHAnsi"/>
                <w:color w:val="000000"/>
                <w:sz w:val="22"/>
                <w:szCs w:val="22"/>
                <w:lang w:val="fr-CA"/>
              </w:rPr>
              <w:t>24</w:t>
            </w:r>
          </w:p>
        </w:tc>
        <w:tc>
          <w:tcPr>
            <w:tcW w:w="868" w:type="pct"/>
          </w:tcPr>
          <w:p w:rsidR="005A5A1C" w:rsidRPr="00D9453C" w:rsidRDefault="005A5A1C" w:rsidP="005A5A1C">
            <w:pPr>
              <w:autoSpaceDE w:val="0"/>
              <w:autoSpaceDN w:val="0"/>
              <w:adjustRightInd w:val="0"/>
              <w:jc w:val="center"/>
              <w:rPr>
                <w:rFonts w:asciiTheme="minorHAnsi" w:hAnsiTheme="minorHAnsi" w:cstheme="minorHAnsi"/>
                <w:color w:val="000000"/>
                <w:sz w:val="22"/>
                <w:szCs w:val="22"/>
                <w:lang w:val="fr-CA"/>
              </w:rPr>
            </w:pPr>
            <w:r w:rsidRPr="00D9453C">
              <w:rPr>
                <w:rFonts w:asciiTheme="minorHAnsi" w:hAnsiTheme="minorHAnsi" w:cstheme="minorHAnsi"/>
                <w:color w:val="000000"/>
                <w:sz w:val="22"/>
                <w:szCs w:val="22"/>
                <w:lang w:val="fr-CA"/>
              </w:rPr>
              <w:t>1</w:t>
            </w:r>
          </w:p>
        </w:tc>
        <w:tc>
          <w:tcPr>
            <w:tcW w:w="950" w:type="pct"/>
          </w:tcPr>
          <w:p w:rsidR="005A5A1C" w:rsidRPr="00D9453C" w:rsidRDefault="005A5A1C" w:rsidP="005A5A1C">
            <w:pPr>
              <w:autoSpaceDE w:val="0"/>
              <w:autoSpaceDN w:val="0"/>
              <w:adjustRightInd w:val="0"/>
              <w:jc w:val="center"/>
              <w:rPr>
                <w:rFonts w:asciiTheme="minorHAnsi" w:hAnsiTheme="minorHAnsi" w:cstheme="minorHAnsi"/>
                <w:color w:val="000000"/>
                <w:sz w:val="22"/>
                <w:szCs w:val="22"/>
                <w:lang w:val="fr-CA"/>
              </w:rPr>
            </w:pPr>
            <w:r w:rsidRPr="00D9453C">
              <w:rPr>
                <w:rFonts w:asciiTheme="minorHAnsi" w:hAnsiTheme="minorHAnsi" w:cstheme="minorHAnsi"/>
                <w:color w:val="000000"/>
                <w:sz w:val="22"/>
                <w:szCs w:val="22"/>
                <w:lang w:val="fr-CA"/>
              </w:rPr>
              <w:t>3</w:t>
            </w:r>
          </w:p>
        </w:tc>
        <w:tc>
          <w:tcPr>
            <w:tcW w:w="659" w:type="pct"/>
          </w:tcPr>
          <w:p w:rsidR="005A5A1C" w:rsidRPr="00D9453C" w:rsidRDefault="005A5A1C" w:rsidP="005A5A1C">
            <w:pPr>
              <w:autoSpaceDE w:val="0"/>
              <w:autoSpaceDN w:val="0"/>
              <w:adjustRightInd w:val="0"/>
              <w:jc w:val="center"/>
              <w:rPr>
                <w:rFonts w:asciiTheme="minorHAnsi" w:hAnsiTheme="minorHAnsi" w:cstheme="minorHAnsi"/>
                <w:color w:val="000000"/>
                <w:sz w:val="22"/>
                <w:szCs w:val="22"/>
                <w:lang w:val="fr-CA"/>
              </w:rPr>
            </w:pPr>
            <w:r w:rsidRPr="00D9453C">
              <w:rPr>
                <w:rFonts w:asciiTheme="minorHAnsi" w:hAnsiTheme="minorHAnsi" w:cstheme="minorHAnsi"/>
                <w:color w:val="000000"/>
                <w:sz w:val="22"/>
                <w:szCs w:val="22"/>
                <w:lang w:val="fr-CA"/>
              </w:rPr>
              <w:t>2</w:t>
            </w:r>
          </w:p>
        </w:tc>
        <w:tc>
          <w:tcPr>
            <w:tcW w:w="452" w:type="pct"/>
          </w:tcPr>
          <w:p w:rsidR="005A5A1C" w:rsidRPr="00D9453C" w:rsidRDefault="005A5A1C" w:rsidP="005A5A1C">
            <w:pPr>
              <w:autoSpaceDE w:val="0"/>
              <w:autoSpaceDN w:val="0"/>
              <w:adjustRightInd w:val="0"/>
              <w:jc w:val="center"/>
              <w:rPr>
                <w:rFonts w:asciiTheme="minorHAnsi" w:hAnsiTheme="minorHAnsi" w:cstheme="minorHAnsi"/>
                <w:color w:val="000000"/>
                <w:sz w:val="22"/>
                <w:szCs w:val="22"/>
                <w:lang w:val="fr-CA"/>
              </w:rPr>
            </w:pPr>
            <w:r w:rsidRPr="00D9453C">
              <w:rPr>
                <w:rFonts w:asciiTheme="minorHAnsi" w:hAnsiTheme="minorHAnsi" w:cstheme="minorHAnsi"/>
                <w:color w:val="000000"/>
                <w:sz w:val="22"/>
                <w:szCs w:val="22"/>
                <w:lang w:val="fr-CA"/>
              </w:rPr>
              <w:t>30</w:t>
            </w:r>
          </w:p>
        </w:tc>
      </w:tr>
      <w:tr w:rsidR="005A5A1C" w:rsidRPr="00D9453C" w:rsidTr="007C7279">
        <w:trPr>
          <w:cantSplit/>
          <w:trHeight w:val="290"/>
          <w:tblHeader/>
          <w:jc w:val="center"/>
        </w:trPr>
        <w:tc>
          <w:tcPr>
            <w:tcW w:w="1098" w:type="pct"/>
          </w:tcPr>
          <w:p w:rsidR="005A5A1C" w:rsidRPr="00D9453C" w:rsidRDefault="005A5A1C" w:rsidP="007C7279">
            <w:pPr>
              <w:autoSpaceDE w:val="0"/>
              <w:autoSpaceDN w:val="0"/>
              <w:adjustRightInd w:val="0"/>
              <w:rPr>
                <w:rFonts w:asciiTheme="minorHAnsi" w:hAnsiTheme="minorHAnsi" w:cstheme="minorHAnsi"/>
                <w:color w:val="000000"/>
                <w:sz w:val="22"/>
                <w:szCs w:val="22"/>
                <w:lang w:val="fr-CA"/>
              </w:rPr>
            </w:pPr>
            <w:r w:rsidRPr="00D9453C">
              <w:rPr>
                <w:rFonts w:asciiTheme="minorHAnsi" w:hAnsiTheme="minorHAnsi" w:cstheme="minorHAnsi"/>
                <w:color w:val="000000"/>
                <w:sz w:val="22"/>
                <w:szCs w:val="22"/>
                <w:lang w:val="fr-CA"/>
              </w:rPr>
              <w:t>Au 31 mars 2018</w:t>
            </w:r>
          </w:p>
        </w:tc>
        <w:tc>
          <w:tcPr>
            <w:tcW w:w="973" w:type="pct"/>
          </w:tcPr>
          <w:p w:rsidR="005A5A1C" w:rsidRPr="00D9453C" w:rsidRDefault="005A5A1C" w:rsidP="005A5A1C">
            <w:pPr>
              <w:autoSpaceDE w:val="0"/>
              <w:autoSpaceDN w:val="0"/>
              <w:adjustRightInd w:val="0"/>
              <w:jc w:val="center"/>
              <w:rPr>
                <w:rFonts w:asciiTheme="minorHAnsi" w:hAnsiTheme="minorHAnsi" w:cstheme="minorHAnsi"/>
                <w:color w:val="000000"/>
                <w:sz w:val="22"/>
                <w:szCs w:val="22"/>
                <w:lang w:val="fr-CA"/>
              </w:rPr>
            </w:pPr>
            <w:r w:rsidRPr="00D9453C">
              <w:rPr>
                <w:rFonts w:asciiTheme="minorHAnsi" w:hAnsiTheme="minorHAnsi" w:cstheme="minorHAnsi"/>
                <w:color w:val="000000"/>
                <w:sz w:val="22"/>
                <w:szCs w:val="22"/>
                <w:lang w:val="fr-CA"/>
              </w:rPr>
              <w:t>23</w:t>
            </w:r>
          </w:p>
        </w:tc>
        <w:tc>
          <w:tcPr>
            <w:tcW w:w="868" w:type="pct"/>
          </w:tcPr>
          <w:p w:rsidR="005A5A1C" w:rsidRPr="00D9453C" w:rsidRDefault="005A5A1C" w:rsidP="005A5A1C">
            <w:pPr>
              <w:autoSpaceDE w:val="0"/>
              <w:autoSpaceDN w:val="0"/>
              <w:adjustRightInd w:val="0"/>
              <w:jc w:val="center"/>
              <w:rPr>
                <w:rFonts w:asciiTheme="minorHAnsi" w:hAnsiTheme="minorHAnsi" w:cstheme="minorHAnsi"/>
                <w:color w:val="000000"/>
                <w:sz w:val="22"/>
                <w:szCs w:val="22"/>
                <w:lang w:val="fr-CA"/>
              </w:rPr>
            </w:pPr>
            <w:r w:rsidRPr="00D9453C">
              <w:rPr>
                <w:rFonts w:asciiTheme="minorHAnsi" w:hAnsiTheme="minorHAnsi" w:cstheme="minorHAnsi"/>
                <w:color w:val="000000"/>
                <w:sz w:val="22"/>
                <w:szCs w:val="22"/>
                <w:lang w:val="fr-CA"/>
              </w:rPr>
              <w:t>1</w:t>
            </w:r>
          </w:p>
        </w:tc>
        <w:tc>
          <w:tcPr>
            <w:tcW w:w="950" w:type="pct"/>
          </w:tcPr>
          <w:p w:rsidR="005A5A1C" w:rsidRPr="00D9453C" w:rsidRDefault="005A5A1C" w:rsidP="005A5A1C">
            <w:pPr>
              <w:autoSpaceDE w:val="0"/>
              <w:autoSpaceDN w:val="0"/>
              <w:adjustRightInd w:val="0"/>
              <w:jc w:val="center"/>
              <w:rPr>
                <w:rFonts w:asciiTheme="minorHAnsi" w:hAnsiTheme="minorHAnsi" w:cstheme="minorHAnsi"/>
                <w:color w:val="000000"/>
                <w:sz w:val="22"/>
                <w:szCs w:val="22"/>
                <w:lang w:val="fr-CA"/>
              </w:rPr>
            </w:pPr>
            <w:r w:rsidRPr="00D9453C">
              <w:rPr>
                <w:rFonts w:asciiTheme="minorHAnsi" w:hAnsiTheme="minorHAnsi" w:cstheme="minorHAnsi"/>
                <w:color w:val="000000"/>
                <w:sz w:val="22"/>
                <w:szCs w:val="22"/>
                <w:lang w:val="fr-CA"/>
              </w:rPr>
              <w:t>1</w:t>
            </w:r>
          </w:p>
        </w:tc>
        <w:tc>
          <w:tcPr>
            <w:tcW w:w="659" w:type="pct"/>
          </w:tcPr>
          <w:p w:rsidR="005A5A1C" w:rsidRPr="00D9453C" w:rsidRDefault="005A5A1C" w:rsidP="005A5A1C">
            <w:pPr>
              <w:autoSpaceDE w:val="0"/>
              <w:autoSpaceDN w:val="0"/>
              <w:adjustRightInd w:val="0"/>
              <w:jc w:val="center"/>
              <w:rPr>
                <w:rFonts w:asciiTheme="minorHAnsi" w:hAnsiTheme="minorHAnsi" w:cstheme="minorHAnsi"/>
                <w:color w:val="000000"/>
                <w:sz w:val="22"/>
                <w:szCs w:val="22"/>
                <w:lang w:val="fr-CA"/>
              </w:rPr>
            </w:pPr>
            <w:r w:rsidRPr="00D9453C">
              <w:rPr>
                <w:rFonts w:asciiTheme="minorHAnsi" w:hAnsiTheme="minorHAnsi" w:cstheme="minorHAnsi"/>
                <w:color w:val="000000"/>
                <w:sz w:val="22"/>
                <w:szCs w:val="22"/>
                <w:lang w:val="fr-CA"/>
              </w:rPr>
              <w:t>5</w:t>
            </w:r>
          </w:p>
        </w:tc>
        <w:tc>
          <w:tcPr>
            <w:tcW w:w="452" w:type="pct"/>
          </w:tcPr>
          <w:p w:rsidR="005A5A1C" w:rsidRPr="00D9453C" w:rsidRDefault="005A5A1C" w:rsidP="005A5A1C">
            <w:pPr>
              <w:autoSpaceDE w:val="0"/>
              <w:autoSpaceDN w:val="0"/>
              <w:adjustRightInd w:val="0"/>
              <w:jc w:val="center"/>
              <w:rPr>
                <w:rFonts w:asciiTheme="minorHAnsi" w:hAnsiTheme="minorHAnsi" w:cstheme="minorHAnsi"/>
                <w:color w:val="000000"/>
                <w:sz w:val="22"/>
                <w:szCs w:val="22"/>
                <w:lang w:val="fr-CA"/>
              </w:rPr>
            </w:pPr>
            <w:r w:rsidRPr="00D9453C">
              <w:rPr>
                <w:rFonts w:asciiTheme="minorHAnsi" w:hAnsiTheme="minorHAnsi" w:cstheme="minorHAnsi"/>
                <w:color w:val="000000"/>
                <w:sz w:val="22"/>
                <w:szCs w:val="22"/>
                <w:lang w:val="fr-CA"/>
              </w:rPr>
              <w:t>30</w:t>
            </w:r>
          </w:p>
        </w:tc>
      </w:tr>
      <w:tr w:rsidR="005A5A1C" w:rsidRPr="00D9453C" w:rsidTr="007C7279">
        <w:trPr>
          <w:cantSplit/>
          <w:trHeight w:val="290"/>
          <w:tblHeader/>
          <w:jc w:val="center"/>
        </w:trPr>
        <w:tc>
          <w:tcPr>
            <w:tcW w:w="1098" w:type="pct"/>
          </w:tcPr>
          <w:p w:rsidR="005A5A1C" w:rsidRPr="00D9453C" w:rsidRDefault="005A5A1C" w:rsidP="007C7279">
            <w:pPr>
              <w:autoSpaceDE w:val="0"/>
              <w:autoSpaceDN w:val="0"/>
              <w:adjustRightInd w:val="0"/>
              <w:rPr>
                <w:rFonts w:asciiTheme="minorHAnsi" w:hAnsiTheme="minorHAnsi" w:cstheme="minorHAnsi"/>
                <w:color w:val="000000"/>
                <w:sz w:val="22"/>
                <w:szCs w:val="22"/>
                <w:lang w:val="fr-CA"/>
              </w:rPr>
            </w:pPr>
            <w:r w:rsidRPr="00D9453C">
              <w:rPr>
                <w:rFonts w:asciiTheme="minorHAnsi" w:hAnsiTheme="minorHAnsi" w:cstheme="minorHAnsi"/>
                <w:color w:val="000000"/>
                <w:sz w:val="22"/>
                <w:szCs w:val="22"/>
                <w:lang w:val="fr-CA"/>
              </w:rPr>
              <w:t>Au 31 mars 2019</w:t>
            </w:r>
          </w:p>
        </w:tc>
        <w:tc>
          <w:tcPr>
            <w:tcW w:w="973" w:type="pct"/>
          </w:tcPr>
          <w:p w:rsidR="005A5A1C" w:rsidRPr="00D9453C" w:rsidRDefault="005A5A1C" w:rsidP="005A5A1C">
            <w:pPr>
              <w:autoSpaceDE w:val="0"/>
              <w:autoSpaceDN w:val="0"/>
              <w:adjustRightInd w:val="0"/>
              <w:jc w:val="center"/>
              <w:rPr>
                <w:rFonts w:asciiTheme="minorHAnsi" w:hAnsiTheme="minorHAnsi" w:cstheme="minorHAnsi"/>
                <w:color w:val="000000"/>
                <w:sz w:val="22"/>
                <w:szCs w:val="22"/>
                <w:lang w:val="fr-CA"/>
              </w:rPr>
            </w:pPr>
            <w:r w:rsidRPr="00D9453C">
              <w:rPr>
                <w:rFonts w:asciiTheme="minorHAnsi" w:hAnsiTheme="minorHAnsi" w:cstheme="minorHAnsi"/>
                <w:color w:val="000000"/>
                <w:sz w:val="22"/>
                <w:szCs w:val="22"/>
                <w:lang w:val="fr-CA"/>
              </w:rPr>
              <w:t>24</w:t>
            </w:r>
          </w:p>
        </w:tc>
        <w:tc>
          <w:tcPr>
            <w:tcW w:w="868" w:type="pct"/>
          </w:tcPr>
          <w:p w:rsidR="005A5A1C" w:rsidRPr="00D9453C" w:rsidRDefault="005A5A1C" w:rsidP="005A5A1C">
            <w:pPr>
              <w:autoSpaceDE w:val="0"/>
              <w:autoSpaceDN w:val="0"/>
              <w:adjustRightInd w:val="0"/>
              <w:jc w:val="center"/>
              <w:rPr>
                <w:rFonts w:asciiTheme="minorHAnsi" w:hAnsiTheme="minorHAnsi" w:cstheme="minorHAnsi"/>
                <w:color w:val="000000"/>
                <w:sz w:val="22"/>
                <w:szCs w:val="22"/>
                <w:lang w:val="fr-CA"/>
              </w:rPr>
            </w:pPr>
            <w:r w:rsidRPr="00D9453C">
              <w:rPr>
                <w:rFonts w:asciiTheme="minorHAnsi" w:hAnsiTheme="minorHAnsi" w:cstheme="minorHAnsi"/>
                <w:color w:val="000000"/>
                <w:sz w:val="22"/>
                <w:szCs w:val="22"/>
                <w:lang w:val="fr-CA"/>
              </w:rPr>
              <w:t>3</w:t>
            </w:r>
          </w:p>
        </w:tc>
        <w:tc>
          <w:tcPr>
            <w:tcW w:w="950" w:type="pct"/>
          </w:tcPr>
          <w:p w:rsidR="005A5A1C" w:rsidRPr="00D9453C" w:rsidRDefault="005A5A1C" w:rsidP="005A5A1C">
            <w:pPr>
              <w:autoSpaceDE w:val="0"/>
              <w:autoSpaceDN w:val="0"/>
              <w:adjustRightInd w:val="0"/>
              <w:jc w:val="center"/>
              <w:rPr>
                <w:rFonts w:asciiTheme="minorHAnsi" w:hAnsiTheme="minorHAnsi" w:cstheme="minorHAnsi"/>
                <w:color w:val="000000"/>
                <w:sz w:val="22"/>
                <w:szCs w:val="22"/>
                <w:lang w:val="fr-CA"/>
              </w:rPr>
            </w:pPr>
            <w:r w:rsidRPr="00D9453C">
              <w:rPr>
                <w:rFonts w:asciiTheme="minorHAnsi" w:hAnsiTheme="minorHAnsi" w:cstheme="minorHAnsi"/>
                <w:color w:val="000000"/>
                <w:sz w:val="22"/>
                <w:szCs w:val="22"/>
                <w:lang w:val="fr-CA"/>
              </w:rPr>
              <w:t>0</w:t>
            </w:r>
          </w:p>
        </w:tc>
        <w:tc>
          <w:tcPr>
            <w:tcW w:w="659" w:type="pct"/>
          </w:tcPr>
          <w:p w:rsidR="005A5A1C" w:rsidRPr="00D9453C" w:rsidRDefault="005A5A1C" w:rsidP="005A5A1C">
            <w:pPr>
              <w:autoSpaceDE w:val="0"/>
              <w:autoSpaceDN w:val="0"/>
              <w:adjustRightInd w:val="0"/>
              <w:jc w:val="center"/>
              <w:rPr>
                <w:rFonts w:asciiTheme="minorHAnsi" w:hAnsiTheme="minorHAnsi" w:cstheme="minorHAnsi"/>
                <w:color w:val="000000"/>
                <w:sz w:val="22"/>
                <w:szCs w:val="22"/>
                <w:lang w:val="fr-CA"/>
              </w:rPr>
            </w:pPr>
            <w:r w:rsidRPr="00D9453C">
              <w:rPr>
                <w:rFonts w:asciiTheme="minorHAnsi" w:hAnsiTheme="minorHAnsi" w:cstheme="minorHAnsi"/>
                <w:color w:val="000000"/>
                <w:sz w:val="22"/>
                <w:szCs w:val="22"/>
                <w:lang w:val="fr-CA"/>
              </w:rPr>
              <w:t>3</w:t>
            </w:r>
          </w:p>
        </w:tc>
        <w:tc>
          <w:tcPr>
            <w:tcW w:w="452" w:type="pct"/>
          </w:tcPr>
          <w:p w:rsidR="005A5A1C" w:rsidRPr="00D9453C" w:rsidRDefault="005A5A1C" w:rsidP="005A5A1C">
            <w:pPr>
              <w:autoSpaceDE w:val="0"/>
              <w:autoSpaceDN w:val="0"/>
              <w:adjustRightInd w:val="0"/>
              <w:jc w:val="center"/>
              <w:rPr>
                <w:rFonts w:asciiTheme="minorHAnsi" w:hAnsiTheme="minorHAnsi" w:cstheme="minorHAnsi"/>
                <w:color w:val="000000"/>
                <w:sz w:val="22"/>
                <w:szCs w:val="22"/>
                <w:lang w:val="fr-CA"/>
              </w:rPr>
            </w:pPr>
            <w:r w:rsidRPr="00D9453C">
              <w:rPr>
                <w:rFonts w:asciiTheme="minorHAnsi" w:hAnsiTheme="minorHAnsi" w:cstheme="minorHAnsi"/>
                <w:color w:val="000000"/>
                <w:sz w:val="22"/>
                <w:szCs w:val="22"/>
                <w:lang w:val="fr-CA"/>
              </w:rPr>
              <w:t>30</w:t>
            </w:r>
          </w:p>
        </w:tc>
      </w:tr>
    </w:tbl>
    <w:p w:rsidR="007C7279" w:rsidRPr="007C7279" w:rsidRDefault="007C7279" w:rsidP="007C7279">
      <w:pPr>
        <w:pStyle w:val="Titre1"/>
        <w:spacing w:before="120" w:after="120"/>
        <w:rPr>
          <w:sz w:val="40"/>
          <w:szCs w:val="40"/>
          <w:lang w:val="fr-CA"/>
        </w:rPr>
      </w:pPr>
      <w:r w:rsidRPr="007C7279">
        <w:rPr>
          <w:sz w:val="40"/>
          <w:szCs w:val="40"/>
          <w:lang w:val="fr-CA"/>
        </w:rPr>
        <w:lastRenderedPageBreak/>
        <w:t>Population selon le profil linguistique au 31 mars 2019</w:t>
      </w:r>
    </w:p>
    <w:p w:rsidR="009A413F" w:rsidRDefault="005A5A1C" w:rsidP="009A413F">
      <w:pPr>
        <w:keepNext/>
        <w:tabs>
          <w:tab w:val="left" w:pos="7839"/>
        </w:tabs>
        <w:jc w:val="center"/>
      </w:pPr>
      <w:r w:rsidRPr="009A413F">
        <w:rPr>
          <w:rStyle w:val="lev"/>
          <w:noProof/>
          <w:lang w:val="en-CA" w:eastAsia="en-CA"/>
        </w:rPr>
        <w:drawing>
          <wp:inline distT="0" distB="0" distL="0" distR="0" wp14:anchorId="20B667C2" wp14:editId="10B72F28">
            <wp:extent cx="1980000" cy="3020400"/>
            <wp:effectExtent l="0" t="0" r="1270" b="8890"/>
            <wp:docPr id="18" name="Chart 18" descr="Population selon le profil linguistique au 31 mars 2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A5A1C" w:rsidRPr="009A413F" w:rsidRDefault="009A413F" w:rsidP="009A413F">
      <w:pPr>
        <w:pStyle w:val="Lgende"/>
        <w:jc w:val="center"/>
        <w:rPr>
          <w:lang w:val="fr-CA"/>
        </w:rPr>
      </w:pPr>
      <w:r w:rsidRPr="009A413F">
        <w:rPr>
          <w:lang w:val="fr-CA"/>
        </w:rPr>
        <w:t xml:space="preserve">Figure </w:t>
      </w:r>
      <w:r>
        <w:fldChar w:fldCharType="begin"/>
      </w:r>
      <w:r w:rsidRPr="009A413F">
        <w:rPr>
          <w:lang w:val="fr-CA"/>
        </w:rPr>
        <w:instrText xml:space="preserve"> SEQ Figure \* ARABIC </w:instrText>
      </w:r>
      <w:r>
        <w:fldChar w:fldCharType="separate"/>
      </w:r>
      <w:r w:rsidR="00EE67E2">
        <w:rPr>
          <w:noProof/>
          <w:lang w:val="fr-CA"/>
        </w:rPr>
        <w:t>2</w:t>
      </w:r>
      <w:r>
        <w:fldChar w:fldCharType="end"/>
      </w:r>
      <w:r w:rsidRPr="009A413F">
        <w:rPr>
          <w:lang w:val="fr-CA"/>
        </w:rPr>
        <w:t xml:space="preserve"> - Population selon le profil linguistique au 31 mars 2019</w:t>
      </w:r>
    </w:p>
    <w:p w:rsidR="009A413F" w:rsidRPr="009A413F" w:rsidRDefault="009A413F" w:rsidP="009A413F">
      <w:pPr>
        <w:pStyle w:val="Lgende"/>
        <w:keepNext/>
        <w:spacing w:before="240"/>
        <w:jc w:val="center"/>
        <w:rPr>
          <w:lang w:val="fr-CA"/>
        </w:rPr>
      </w:pPr>
      <w:r w:rsidRPr="009A413F">
        <w:rPr>
          <w:lang w:val="fr-CA"/>
        </w:rPr>
        <w:t xml:space="preserve">Table </w:t>
      </w:r>
      <w:r>
        <w:fldChar w:fldCharType="begin"/>
      </w:r>
      <w:r w:rsidRPr="009A413F">
        <w:rPr>
          <w:lang w:val="fr-CA"/>
        </w:rPr>
        <w:instrText xml:space="preserve"> SEQ Table \* ARABIC </w:instrText>
      </w:r>
      <w:r>
        <w:fldChar w:fldCharType="separate"/>
      </w:r>
      <w:r w:rsidR="00EE67E2">
        <w:rPr>
          <w:noProof/>
          <w:lang w:val="fr-CA"/>
        </w:rPr>
        <w:t>2</w:t>
      </w:r>
      <w:r>
        <w:fldChar w:fldCharType="end"/>
      </w:r>
      <w:r w:rsidRPr="009A413F">
        <w:rPr>
          <w:lang w:val="fr-CA"/>
        </w:rPr>
        <w:t xml:space="preserve"> - Effectif régi par la Loi sur l’emploi dans la fonction publique selon le profil linguistique au 31 mars 2019</w:t>
      </w:r>
    </w:p>
    <w:tbl>
      <w:tblPr>
        <w:tblStyle w:val="Grilledutableau"/>
        <w:tblW w:w="5000" w:type="pct"/>
        <w:jc w:val="center"/>
        <w:tblLook w:val="0000" w:firstRow="0" w:lastRow="0" w:firstColumn="0" w:lastColumn="0" w:noHBand="0" w:noVBand="0"/>
        <w:tblDescription w:val="Population selon  profil linguistique au 31 mars 2019"/>
      </w:tblPr>
      <w:tblGrid>
        <w:gridCol w:w="3226"/>
        <w:gridCol w:w="4156"/>
        <w:gridCol w:w="7008"/>
      </w:tblGrid>
      <w:tr w:rsidR="009A413F" w:rsidRPr="00D510B0" w:rsidTr="007C7279">
        <w:trPr>
          <w:cantSplit/>
          <w:trHeight w:val="290"/>
          <w:tblHeader/>
          <w:jc w:val="center"/>
        </w:trPr>
        <w:tc>
          <w:tcPr>
            <w:tcW w:w="1121" w:type="pct"/>
          </w:tcPr>
          <w:p w:rsidR="009A413F" w:rsidRPr="009A413F" w:rsidRDefault="009A413F" w:rsidP="005A1239">
            <w:pPr>
              <w:pStyle w:val="TableTitle"/>
              <w:rPr>
                <w:color w:val="auto"/>
                <w:sz w:val="22"/>
                <w:szCs w:val="22"/>
                <w:lang w:val="fr-CA"/>
              </w:rPr>
            </w:pPr>
            <w:r w:rsidRPr="009A413F">
              <w:rPr>
                <w:color w:val="auto"/>
                <w:sz w:val="22"/>
                <w:szCs w:val="22"/>
                <w:lang w:val="fr-CA"/>
              </w:rPr>
              <w:t xml:space="preserve">Profil linguistique  </w:t>
            </w:r>
          </w:p>
        </w:tc>
        <w:tc>
          <w:tcPr>
            <w:tcW w:w="1444" w:type="pct"/>
          </w:tcPr>
          <w:p w:rsidR="009A413F" w:rsidRPr="009A413F" w:rsidRDefault="009A413F" w:rsidP="005A1239">
            <w:pPr>
              <w:pStyle w:val="TableTitle"/>
              <w:rPr>
                <w:color w:val="auto"/>
                <w:sz w:val="22"/>
                <w:szCs w:val="22"/>
                <w:lang w:val="fr-CA"/>
              </w:rPr>
            </w:pPr>
            <w:r w:rsidRPr="009A413F">
              <w:rPr>
                <w:color w:val="auto"/>
                <w:sz w:val="22"/>
                <w:szCs w:val="22"/>
                <w:lang w:val="fr-CA"/>
              </w:rPr>
              <w:t>Effectif au 31 mars 2019</w:t>
            </w:r>
          </w:p>
        </w:tc>
        <w:tc>
          <w:tcPr>
            <w:tcW w:w="2435" w:type="pct"/>
          </w:tcPr>
          <w:p w:rsidR="009A413F" w:rsidRPr="009A413F" w:rsidRDefault="009A413F" w:rsidP="005A1239">
            <w:pPr>
              <w:pStyle w:val="TableTitle"/>
              <w:rPr>
                <w:color w:val="auto"/>
                <w:sz w:val="22"/>
                <w:szCs w:val="22"/>
                <w:lang w:val="fr-CA"/>
              </w:rPr>
            </w:pPr>
            <w:r w:rsidRPr="009A413F">
              <w:rPr>
                <w:color w:val="auto"/>
                <w:sz w:val="22"/>
                <w:szCs w:val="22"/>
                <w:lang w:val="fr-CA"/>
              </w:rPr>
              <w:t>Pourcentage de l'effectif au 31 mars 2019</w:t>
            </w:r>
          </w:p>
        </w:tc>
      </w:tr>
      <w:tr w:rsidR="009A413F" w:rsidRPr="009A413F" w:rsidTr="007C7279">
        <w:trPr>
          <w:cantSplit/>
          <w:trHeight w:val="290"/>
          <w:tblHeader/>
          <w:jc w:val="center"/>
        </w:trPr>
        <w:tc>
          <w:tcPr>
            <w:tcW w:w="1121" w:type="pct"/>
          </w:tcPr>
          <w:p w:rsidR="009A413F" w:rsidRPr="009A413F" w:rsidRDefault="009A413F" w:rsidP="005A1239">
            <w:pPr>
              <w:autoSpaceDE w:val="0"/>
              <w:autoSpaceDN w:val="0"/>
              <w:adjustRightInd w:val="0"/>
              <w:rPr>
                <w:rFonts w:asciiTheme="minorHAnsi" w:hAnsiTheme="minorHAnsi" w:cstheme="minorHAnsi"/>
                <w:color w:val="000000"/>
                <w:sz w:val="22"/>
                <w:szCs w:val="22"/>
                <w:lang w:val="fr-CA"/>
              </w:rPr>
            </w:pPr>
            <w:r w:rsidRPr="009A413F">
              <w:rPr>
                <w:rFonts w:asciiTheme="minorHAnsi" w:hAnsiTheme="minorHAnsi" w:cstheme="minorHAnsi"/>
                <w:color w:val="000000"/>
                <w:sz w:val="22"/>
                <w:szCs w:val="22"/>
                <w:lang w:val="fr-CA"/>
              </w:rPr>
              <w:t xml:space="preserve">Bilingue </w:t>
            </w:r>
          </w:p>
        </w:tc>
        <w:tc>
          <w:tcPr>
            <w:tcW w:w="1444" w:type="pct"/>
          </w:tcPr>
          <w:p w:rsidR="009A413F" w:rsidRPr="009A413F" w:rsidRDefault="009A413F" w:rsidP="005A1239">
            <w:pPr>
              <w:autoSpaceDE w:val="0"/>
              <w:autoSpaceDN w:val="0"/>
              <w:adjustRightInd w:val="0"/>
              <w:jc w:val="center"/>
              <w:rPr>
                <w:rFonts w:asciiTheme="minorHAnsi" w:hAnsiTheme="minorHAnsi" w:cstheme="minorHAnsi"/>
                <w:color w:val="000000"/>
                <w:sz w:val="22"/>
                <w:szCs w:val="22"/>
                <w:lang w:val="fr-CA"/>
              </w:rPr>
            </w:pPr>
            <w:r w:rsidRPr="009A413F">
              <w:rPr>
                <w:rFonts w:asciiTheme="minorHAnsi" w:hAnsiTheme="minorHAnsi" w:cstheme="minorHAnsi"/>
                <w:color w:val="000000"/>
                <w:sz w:val="22"/>
                <w:szCs w:val="22"/>
                <w:lang w:val="fr-CA"/>
              </w:rPr>
              <w:t>8</w:t>
            </w:r>
          </w:p>
        </w:tc>
        <w:tc>
          <w:tcPr>
            <w:tcW w:w="2435" w:type="pct"/>
          </w:tcPr>
          <w:p w:rsidR="009A413F" w:rsidRPr="009A413F" w:rsidRDefault="009A413F" w:rsidP="005A1239">
            <w:pPr>
              <w:autoSpaceDE w:val="0"/>
              <w:autoSpaceDN w:val="0"/>
              <w:adjustRightInd w:val="0"/>
              <w:jc w:val="center"/>
              <w:rPr>
                <w:rFonts w:asciiTheme="minorHAnsi" w:hAnsiTheme="minorHAnsi" w:cstheme="minorHAnsi"/>
                <w:color w:val="000000"/>
                <w:sz w:val="22"/>
                <w:szCs w:val="22"/>
                <w:lang w:val="fr-CA"/>
              </w:rPr>
            </w:pPr>
            <w:r w:rsidRPr="009A413F">
              <w:rPr>
                <w:rFonts w:asciiTheme="minorHAnsi" w:hAnsiTheme="minorHAnsi" w:cstheme="minorHAnsi"/>
                <w:color w:val="000000"/>
                <w:sz w:val="22"/>
                <w:szCs w:val="22"/>
                <w:lang w:val="fr-CA"/>
              </w:rPr>
              <w:t>68%</w:t>
            </w:r>
          </w:p>
        </w:tc>
      </w:tr>
      <w:tr w:rsidR="009A413F" w:rsidRPr="009A413F" w:rsidTr="007C7279">
        <w:trPr>
          <w:cantSplit/>
          <w:trHeight w:val="290"/>
          <w:tblHeader/>
          <w:jc w:val="center"/>
        </w:trPr>
        <w:tc>
          <w:tcPr>
            <w:tcW w:w="1121" w:type="pct"/>
          </w:tcPr>
          <w:p w:rsidR="009A413F" w:rsidRPr="009A413F" w:rsidRDefault="009A413F" w:rsidP="005A1239">
            <w:pPr>
              <w:autoSpaceDE w:val="0"/>
              <w:autoSpaceDN w:val="0"/>
              <w:adjustRightInd w:val="0"/>
              <w:rPr>
                <w:rFonts w:asciiTheme="minorHAnsi" w:hAnsiTheme="minorHAnsi" w:cstheme="minorHAnsi"/>
                <w:color w:val="000000"/>
                <w:sz w:val="22"/>
                <w:szCs w:val="22"/>
                <w:lang w:val="fr-CA"/>
              </w:rPr>
            </w:pPr>
            <w:r w:rsidRPr="009A413F">
              <w:rPr>
                <w:rFonts w:asciiTheme="minorHAnsi" w:hAnsiTheme="minorHAnsi" w:cstheme="minorHAnsi"/>
                <w:color w:val="000000"/>
                <w:sz w:val="22"/>
                <w:szCs w:val="22"/>
                <w:lang w:val="fr-CA"/>
              </w:rPr>
              <w:t>Unilingue</w:t>
            </w:r>
          </w:p>
        </w:tc>
        <w:tc>
          <w:tcPr>
            <w:tcW w:w="1444" w:type="pct"/>
          </w:tcPr>
          <w:p w:rsidR="009A413F" w:rsidRPr="009A413F" w:rsidRDefault="009A413F" w:rsidP="005A1239">
            <w:pPr>
              <w:autoSpaceDE w:val="0"/>
              <w:autoSpaceDN w:val="0"/>
              <w:adjustRightInd w:val="0"/>
              <w:jc w:val="center"/>
              <w:rPr>
                <w:rFonts w:asciiTheme="minorHAnsi" w:hAnsiTheme="minorHAnsi" w:cstheme="minorHAnsi"/>
                <w:color w:val="000000"/>
                <w:sz w:val="22"/>
                <w:szCs w:val="22"/>
                <w:lang w:val="fr-CA"/>
              </w:rPr>
            </w:pPr>
            <w:r w:rsidRPr="009A413F">
              <w:rPr>
                <w:rFonts w:asciiTheme="minorHAnsi" w:hAnsiTheme="minorHAnsi" w:cstheme="minorHAnsi"/>
                <w:color w:val="000000"/>
                <w:sz w:val="22"/>
                <w:szCs w:val="22"/>
                <w:lang w:val="fr-CA"/>
              </w:rPr>
              <w:t>17</w:t>
            </w:r>
          </w:p>
        </w:tc>
        <w:tc>
          <w:tcPr>
            <w:tcW w:w="2435" w:type="pct"/>
          </w:tcPr>
          <w:p w:rsidR="009A413F" w:rsidRPr="009A413F" w:rsidRDefault="009A413F" w:rsidP="005A1239">
            <w:pPr>
              <w:autoSpaceDE w:val="0"/>
              <w:autoSpaceDN w:val="0"/>
              <w:adjustRightInd w:val="0"/>
              <w:jc w:val="center"/>
              <w:rPr>
                <w:rFonts w:asciiTheme="minorHAnsi" w:hAnsiTheme="minorHAnsi" w:cstheme="minorHAnsi"/>
                <w:color w:val="000000"/>
                <w:sz w:val="22"/>
                <w:szCs w:val="22"/>
                <w:lang w:val="fr-CA"/>
              </w:rPr>
            </w:pPr>
            <w:r w:rsidRPr="009A413F">
              <w:rPr>
                <w:rFonts w:asciiTheme="minorHAnsi" w:hAnsiTheme="minorHAnsi" w:cstheme="minorHAnsi"/>
                <w:color w:val="000000"/>
                <w:sz w:val="22"/>
                <w:szCs w:val="22"/>
                <w:lang w:val="fr-CA"/>
              </w:rPr>
              <w:t>32%</w:t>
            </w:r>
          </w:p>
        </w:tc>
      </w:tr>
      <w:tr w:rsidR="009A413F" w:rsidRPr="009A413F" w:rsidTr="007C7279">
        <w:trPr>
          <w:cantSplit/>
          <w:trHeight w:val="290"/>
          <w:tblHeader/>
          <w:jc w:val="center"/>
        </w:trPr>
        <w:tc>
          <w:tcPr>
            <w:tcW w:w="1121" w:type="pct"/>
          </w:tcPr>
          <w:p w:rsidR="009A413F" w:rsidRPr="009A413F" w:rsidRDefault="009A413F" w:rsidP="005A1239">
            <w:pPr>
              <w:autoSpaceDE w:val="0"/>
              <w:autoSpaceDN w:val="0"/>
              <w:adjustRightInd w:val="0"/>
              <w:rPr>
                <w:rFonts w:asciiTheme="minorHAnsi" w:hAnsiTheme="minorHAnsi" w:cstheme="minorHAnsi"/>
                <w:color w:val="000000"/>
                <w:sz w:val="22"/>
                <w:szCs w:val="22"/>
                <w:lang w:val="fr-CA"/>
              </w:rPr>
            </w:pPr>
            <w:r w:rsidRPr="009A413F">
              <w:rPr>
                <w:rFonts w:asciiTheme="minorHAnsi" w:hAnsiTheme="minorHAnsi" w:cstheme="minorHAnsi"/>
                <w:color w:val="000000"/>
                <w:sz w:val="22"/>
                <w:szCs w:val="22"/>
                <w:lang w:val="fr-CA"/>
              </w:rPr>
              <w:t>Inconnus</w:t>
            </w:r>
          </w:p>
        </w:tc>
        <w:tc>
          <w:tcPr>
            <w:tcW w:w="1444" w:type="pct"/>
          </w:tcPr>
          <w:p w:rsidR="009A413F" w:rsidRPr="009A413F" w:rsidRDefault="009A413F" w:rsidP="005A1239">
            <w:pPr>
              <w:autoSpaceDE w:val="0"/>
              <w:autoSpaceDN w:val="0"/>
              <w:adjustRightInd w:val="0"/>
              <w:jc w:val="center"/>
              <w:rPr>
                <w:rFonts w:asciiTheme="minorHAnsi" w:hAnsiTheme="minorHAnsi" w:cstheme="minorHAnsi"/>
                <w:color w:val="000000"/>
                <w:sz w:val="22"/>
                <w:szCs w:val="22"/>
                <w:lang w:val="fr-CA"/>
              </w:rPr>
            </w:pPr>
            <w:r w:rsidRPr="009A413F">
              <w:rPr>
                <w:rFonts w:asciiTheme="minorHAnsi" w:hAnsiTheme="minorHAnsi" w:cstheme="minorHAnsi"/>
                <w:color w:val="000000"/>
                <w:sz w:val="22"/>
                <w:szCs w:val="22"/>
                <w:lang w:val="fr-CA"/>
              </w:rPr>
              <w:t>5</w:t>
            </w:r>
          </w:p>
        </w:tc>
        <w:tc>
          <w:tcPr>
            <w:tcW w:w="2435" w:type="pct"/>
          </w:tcPr>
          <w:p w:rsidR="009A413F" w:rsidRPr="009A413F" w:rsidRDefault="009A413F" w:rsidP="005A1239">
            <w:pPr>
              <w:autoSpaceDE w:val="0"/>
              <w:autoSpaceDN w:val="0"/>
              <w:adjustRightInd w:val="0"/>
              <w:jc w:val="center"/>
              <w:rPr>
                <w:rFonts w:asciiTheme="minorHAnsi" w:hAnsiTheme="minorHAnsi" w:cstheme="minorHAnsi"/>
                <w:color w:val="000000"/>
                <w:sz w:val="22"/>
                <w:szCs w:val="22"/>
                <w:lang w:val="fr-CA"/>
              </w:rPr>
            </w:pPr>
          </w:p>
        </w:tc>
      </w:tr>
    </w:tbl>
    <w:p w:rsidR="007C7279" w:rsidRPr="007C7279" w:rsidRDefault="007C7279" w:rsidP="007C7279">
      <w:pPr>
        <w:pStyle w:val="Titre1"/>
        <w:spacing w:before="120" w:after="120"/>
        <w:rPr>
          <w:sz w:val="40"/>
          <w:szCs w:val="40"/>
          <w:lang w:val="fr-CA"/>
        </w:rPr>
      </w:pPr>
      <w:r w:rsidRPr="007C7279">
        <w:rPr>
          <w:rFonts w:eastAsia="Times New Roman"/>
          <w:sz w:val="40"/>
          <w:szCs w:val="40"/>
          <w:lang w:val="fr-CA"/>
        </w:rPr>
        <w:lastRenderedPageBreak/>
        <w:t>Population selon le groupe professionnel au 31 mars 2019</w:t>
      </w:r>
    </w:p>
    <w:p w:rsidR="007265FC" w:rsidRDefault="005A5A1C" w:rsidP="007265FC">
      <w:pPr>
        <w:keepNext/>
        <w:jc w:val="center"/>
      </w:pPr>
      <w:r w:rsidRPr="007265FC">
        <w:rPr>
          <w:rStyle w:val="lev"/>
          <w:noProof/>
          <w:lang w:val="en-CA" w:eastAsia="en-CA"/>
        </w:rPr>
        <w:drawing>
          <wp:inline distT="0" distB="0" distL="0" distR="0" wp14:anchorId="7B6B246B" wp14:editId="58611654">
            <wp:extent cx="1980000" cy="3020400"/>
            <wp:effectExtent l="0" t="0" r="1270" b="8890"/>
            <wp:docPr id="5" name="Chart 5" descr="Population selon le groupe professionnel au 31 mars 2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A5A1C" w:rsidRPr="007265FC" w:rsidRDefault="007265FC" w:rsidP="007265FC">
      <w:pPr>
        <w:pStyle w:val="Lgende"/>
        <w:jc w:val="center"/>
        <w:rPr>
          <w:lang w:val="fr-CA"/>
        </w:rPr>
      </w:pPr>
      <w:r w:rsidRPr="007265FC">
        <w:rPr>
          <w:lang w:val="fr-CA"/>
        </w:rPr>
        <w:t xml:space="preserve">Figure </w:t>
      </w:r>
      <w:r>
        <w:fldChar w:fldCharType="begin"/>
      </w:r>
      <w:r w:rsidRPr="007265FC">
        <w:rPr>
          <w:lang w:val="fr-CA"/>
        </w:rPr>
        <w:instrText xml:space="preserve"> SEQ Figure \* ARABIC </w:instrText>
      </w:r>
      <w:r>
        <w:fldChar w:fldCharType="separate"/>
      </w:r>
      <w:r w:rsidR="00EE67E2">
        <w:rPr>
          <w:noProof/>
          <w:lang w:val="fr-CA"/>
        </w:rPr>
        <w:t>3</w:t>
      </w:r>
      <w:r>
        <w:fldChar w:fldCharType="end"/>
      </w:r>
      <w:r w:rsidRPr="007265FC">
        <w:rPr>
          <w:lang w:val="fr-CA"/>
        </w:rPr>
        <w:t xml:space="preserve"> - Population selon le groupe professionnel au 31 mars 2019</w:t>
      </w:r>
    </w:p>
    <w:p w:rsidR="007265FC" w:rsidRPr="007265FC" w:rsidRDefault="007265FC" w:rsidP="007265FC">
      <w:pPr>
        <w:pStyle w:val="Lgende"/>
        <w:keepNext/>
        <w:spacing w:before="240"/>
        <w:jc w:val="center"/>
        <w:rPr>
          <w:lang w:val="fr-CA"/>
        </w:rPr>
      </w:pPr>
      <w:r w:rsidRPr="007265FC">
        <w:rPr>
          <w:lang w:val="fr-CA"/>
        </w:rPr>
        <w:t xml:space="preserve">Table </w:t>
      </w:r>
      <w:r>
        <w:fldChar w:fldCharType="begin"/>
      </w:r>
      <w:r w:rsidRPr="007265FC">
        <w:rPr>
          <w:lang w:val="fr-CA"/>
        </w:rPr>
        <w:instrText xml:space="preserve"> SEQ Table \* ARABIC </w:instrText>
      </w:r>
      <w:r>
        <w:fldChar w:fldCharType="separate"/>
      </w:r>
      <w:r w:rsidR="00EE67E2">
        <w:rPr>
          <w:noProof/>
          <w:lang w:val="fr-CA"/>
        </w:rPr>
        <w:t>3</w:t>
      </w:r>
      <w:r>
        <w:fldChar w:fldCharType="end"/>
      </w:r>
      <w:r w:rsidRPr="007265FC">
        <w:rPr>
          <w:lang w:val="fr-CA"/>
        </w:rPr>
        <w:t xml:space="preserve"> - Groupes d’emploi, pourcentage de l'effectif régi par la Loi sur l’emploi dans la fonction publique au 31 mars 2019</w:t>
      </w:r>
    </w:p>
    <w:tbl>
      <w:tblPr>
        <w:tblStyle w:val="Grilledutableau"/>
        <w:tblW w:w="5000" w:type="pct"/>
        <w:jc w:val="center"/>
        <w:tblLook w:val="0000" w:firstRow="0" w:lastRow="0" w:firstColumn="0" w:lastColumn="0" w:noHBand="0" w:noVBand="0"/>
        <w:tblDescription w:val="Population selon le groupe professionnel au 31 mars 2019"/>
      </w:tblPr>
      <w:tblGrid>
        <w:gridCol w:w="4146"/>
        <w:gridCol w:w="3814"/>
        <w:gridCol w:w="6430"/>
      </w:tblGrid>
      <w:tr w:rsidR="007265FC" w:rsidRPr="00D510B0" w:rsidTr="001C333D">
        <w:trPr>
          <w:cantSplit/>
          <w:trHeight w:val="290"/>
          <w:tblHeader/>
          <w:jc w:val="center"/>
        </w:trPr>
        <w:tc>
          <w:tcPr>
            <w:tcW w:w="1440" w:type="pct"/>
          </w:tcPr>
          <w:p w:rsidR="007265FC" w:rsidRPr="00B96B27" w:rsidRDefault="007265FC" w:rsidP="005A1239">
            <w:pPr>
              <w:pStyle w:val="TableTitle"/>
              <w:rPr>
                <w:color w:val="auto"/>
                <w:sz w:val="22"/>
                <w:szCs w:val="22"/>
                <w:lang w:val="fr-CA"/>
              </w:rPr>
            </w:pPr>
            <w:r w:rsidRPr="00B96B27">
              <w:rPr>
                <w:color w:val="auto"/>
                <w:sz w:val="22"/>
                <w:szCs w:val="22"/>
                <w:lang w:val="fr-CA"/>
              </w:rPr>
              <w:t>Groupes professionnels</w:t>
            </w:r>
          </w:p>
        </w:tc>
        <w:tc>
          <w:tcPr>
            <w:tcW w:w="1325" w:type="pct"/>
          </w:tcPr>
          <w:p w:rsidR="007265FC" w:rsidRPr="00B96B27" w:rsidRDefault="007265FC" w:rsidP="005A1239">
            <w:pPr>
              <w:pStyle w:val="TableTitle"/>
              <w:rPr>
                <w:color w:val="auto"/>
                <w:sz w:val="22"/>
                <w:szCs w:val="22"/>
                <w:lang w:val="fr-CA"/>
              </w:rPr>
            </w:pPr>
            <w:r w:rsidRPr="00B96B27">
              <w:rPr>
                <w:color w:val="auto"/>
                <w:sz w:val="22"/>
                <w:szCs w:val="22"/>
                <w:lang w:val="fr-CA"/>
              </w:rPr>
              <w:t>Effectif au 31 mars 2019</w:t>
            </w:r>
          </w:p>
        </w:tc>
        <w:tc>
          <w:tcPr>
            <w:tcW w:w="2234" w:type="pct"/>
          </w:tcPr>
          <w:p w:rsidR="007265FC" w:rsidRPr="00B96B27" w:rsidRDefault="007265FC" w:rsidP="005A1239">
            <w:pPr>
              <w:pStyle w:val="TableTitle"/>
              <w:rPr>
                <w:color w:val="auto"/>
                <w:sz w:val="22"/>
                <w:szCs w:val="22"/>
                <w:lang w:val="fr-CA"/>
              </w:rPr>
            </w:pPr>
            <w:r w:rsidRPr="00B96B27">
              <w:rPr>
                <w:color w:val="auto"/>
                <w:sz w:val="22"/>
                <w:szCs w:val="22"/>
                <w:lang w:val="fr-CA"/>
              </w:rPr>
              <w:t>Pourcentage de l'effectif au 31 mars 2019</w:t>
            </w:r>
          </w:p>
        </w:tc>
      </w:tr>
      <w:tr w:rsidR="007265FC" w:rsidRPr="00B96B27" w:rsidTr="001C333D">
        <w:trPr>
          <w:cantSplit/>
          <w:trHeight w:val="290"/>
          <w:tblHeader/>
          <w:jc w:val="center"/>
        </w:trPr>
        <w:tc>
          <w:tcPr>
            <w:tcW w:w="1440" w:type="pct"/>
          </w:tcPr>
          <w:p w:rsidR="007265FC" w:rsidRPr="00B96B27" w:rsidRDefault="007265FC" w:rsidP="005A1239">
            <w:pPr>
              <w:autoSpaceDE w:val="0"/>
              <w:autoSpaceDN w:val="0"/>
              <w:adjustRightInd w:val="0"/>
              <w:rPr>
                <w:rFonts w:asciiTheme="minorHAnsi" w:hAnsiTheme="minorHAnsi" w:cstheme="minorHAnsi"/>
                <w:color w:val="000000"/>
                <w:sz w:val="22"/>
                <w:szCs w:val="22"/>
                <w:lang w:val="fr-CA"/>
              </w:rPr>
            </w:pPr>
            <w:r w:rsidRPr="00B96B27">
              <w:rPr>
                <w:rFonts w:asciiTheme="minorHAnsi" w:hAnsiTheme="minorHAnsi" w:cstheme="minorHAnsi"/>
                <w:color w:val="000000"/>
                <w:sz w:val="22"/>
                <w:szCs w:val="22"/>
                <w:lang w:val="fr-CA"/>
              </w:rPr>
              <w:t>AS – Services administratifs</w:t>
            </w:r>
          </w:p>
        </w:tc>
        <w:tc>
          <w:tcPr>
            <w:tcW w:w="1325" w:type="pct"/>
          </w:tcPr>
          <w:p w:rsidR="007265FC" w:rsidRPr="00B96B27" w:rsidRDefault="007265FC" w:rsidP="005A1239">
            <w:pPr>
              <w:autoSpaceDE w:val="0"/>
              <w:autoSpaceDN w:val="0"/>
              <w:adjustRightInd w:val="0"/>
              <w:jc w:val="center"/>
              <w:rPr>
                <w:rFonts w:asciiTheme="minorHAnsi" w:hAnsiTheme="minorHAnsi" w:cstheme="minorHAnsi"/>
                <w:color w:val="000000"/>
                <w:sz w:val="22"/>
                <w:szCs w:val="22"/>
                <w:lang w:val="fr-CA"/>
              </w:rPr>
            </w:pPr>
            <w:r w:rsidRPr="00B96B27">
              <w:rPr>
                <w:rFonts w:asciiTheme="minorHAnsi" w:hAnsiTheme="minorHAnsi" w:cstheme="minorHAnsi"/>
                <w:color w:val="000000"/>
                <w:sz w:val="22"/>
                <w:szCs w:val="22"/>
                <w:lang w:val="fr-CA"/>
              </w:rPr>
              <w:t>8</w:t>
            </w:r>
          </w:p>
        </w:tc>
        <w:tc>
          <w:tcPr>
            <w:tcW w:w="2234" w:type="pct"/>
          </w:tcPr>
          <w:p w:rsidR="007265FC" w:rsidRPr="00B96B27" w:rsidRDefault="007265FC" w:rsidP="005A1239">
            <w:pPr>
              <w:autoSpaceDE w:val="0"/>
              <w:autoSpaceDN w:val="0"/>
              <w:adjustRightInd w:val="0"/>
              <w:jc w:val="center"/>
              <w:rPr>
                <w:rFonts w:asciiTheme="minorHAnsi" w:hAnsiTheme="minorHAnsi" w:cstheme="minorHAnsi"/>
                <w:color w:val="000000"/>
                <w:sz w:val="22"/>
                <w:szCs w:val="22"/>
                <w:lang w:val="fr-CA"/>
              </w:rPr>
            </w:pPr>
            <w:r w:rsidRPr="00B96B27">
              <w:rPr>
                <w:rFonts w:asciiTheme="minorHAnsi" w:hAnsiTheme="minorHAnsi" w:cstheme="minorHAnsi"/>
                <w:color w:val="000000"/>
                <w:sz w:val="22"/>
                <w:szCs w:val="22"/>
                <w:lang w:val="fr-CA"/>
              </w:rPr>
              <w:t>30%</w:t>
            </w:r>
          </w:p>
        </w:tc>
      </w:tr>
      <w:tr w:rsidR="007265FC" w:rsidRPr="00B96B27" w:rsidTr="001C333D">
        <w:trPr>
          <w:cantSplit/>
          <w:trHeight w:val="290"/>
          <w:tblHeader/>
          <w:jc w:val="center"/>
        </w:trPr>
        <w:tc>
          <w:tcPr>
            <w:tcW w:w="1440" w:type="pct"/>
          </w:tcPr>
          <w:p w:rsidR="007265FC" w:rsidRPr="00B96B27" w:rsidRDefault="007265FC" w:rsidP="005A1239">
            <w:pPr>
              <w:autoSpaceDE w:val="0"/>
              <w:autoSpaceDN w:val="0"/>
              <w:adjustRightInd w:val="0"/>
              <w:rPr>
                <w:rFonts w:asciiTheme="minorHAnsi" w:hAnsiTheme="minorHAnsi" w:cstheme="minorHAnsi"/>
                <w:color w:val="000000"/>
                <w:sz w:val="22"/>
                <w:szCs w:val="22"/>
                <w:lang w:val="fr-CA"/>
              </w:rPr>
            </w:pPr>
            <w:r w:rsidRPr="00B96B27">
              <w:rPr>
                <w:rFonts w:asciiTheme="minorHAnsi" w:hAnsiTheme="minorHAnsi" w:cstheme="minorHAnsi"/>
                <w:color w:val="000000"/>
                <w:sz w:val="22"/>
                <w:szCs w:val="22"/>
                <w:lang w:val="fr-CA"/>
              </w:rPr>
              <w:t>PC – Sciences physiques</w:t>
            </w:r>
          </w:p>
        </w:tc>
        <w:tc>
          <w:tcPr>
            <w:tcW w:w="1325" w:type="pct"/>
          </w:tcPr>
          <w:p w:rsidR="007265FC" w:rsidRPr="00B96B27" w:rsidRDefault="007265FC" w:rsidP="005A1239">
            <w:pPr>
              <w:autoSpaceDE w:val="0"/>
              <w:autoSpaceDN w:val="0"/>
              <w:adjustRightInd w:val="0"/>
              <w:jc w:val="center"/>
              <w:rPr>
                <w:rFonts w:asciiTheme="minorHAnsi" w:hAnsiTheme="minorHAnsi" w:cstheme="minorHAnsi"/>
                <w:color w:val="000000"/>
                <w:sz w:val="22"/>
                <w:szCs w:val="22"/>
                <w:lang w:val="fr-CA"/>
              </w:rPr>
            </w:pPr>
            <w:r w:rsidRPr="00B96B27">
              <w:rPr>
                <w:rFonts w:asciiTheme="minorHAnsi" w:hAnsiTheme="minorHAnsi" w:cstheme="minorHAnsi"/>
                <w:color w:val="000000"/>
                <w:sz w:val="22"/>
                <w:szCs w:val="22"/>
                <w:lang w:val="fr-CA"/>
              </w:rPr>
              <w:t>6</w:t>
            </w:r>
          </w:p>
        </w:tc>
        <w:tc>
          <w:tcPr>
            <w:tcW w:w="2234" w:type="pct"/>
          </w:tcPr>
          <w:p w:rsidR="007265FC" w:rsidRPr="00B96B27" w:rsidRDefault="007265FC" w:rsidP="005A1239">
            <w:pPr>
              <w:autoSpaceDE w:val="0"/>
              <w:autoSpaceDN w:val="0"/>
              <w:adjustRightInd w:val="0"/>
              <w:jc w:val="center"/>
              <w:rPr>
                <w:rFonts w:asciiTheme="minorHAnsi" w:hAnsiTheme="minorHAnsi" w:cstheme="minorHAnsi"/>
                <w:color w:val="000000"/>
                <w:sz w:val="22"/>
                <w:szCs w:val="22"/>
                <w:lang w:val="fr-CA"/>
              </w:rPr>
            </w:pPr>
            <w:r w:rsidRPr="00B96B27">
              <w:rPr>
                <w:rFonts w:asciiTheme="minorHAnsi" w:hAnsiTheme="minorHAnsi" w:cstheme="minorHAnsi"/>
                <w:color w:val="000000"/>
                <w:sz w:val="22"/>
                <w:szCs w:val="22"/>
                <w:lang w:val="fr-CA"/>
              </w:rPr>
              <w:t>22%</w:t>
            </w:r>
          </w:p>
        </w:tc>
      </w:tr>
      <w:tr w:rsidR="007265FC" w:rsidRPr="00B96B27" w:rsidTr="001C333D">
        <w:trPr>
          <w:cantSplit/>
          <w:trHeight w:val="290"/>
          <w:tblHeader/>
          <w:jc w:val="center"/>
        </w:trPr>
        <w:tc>
          <w:tcPr>
            <w:tcW w:w="1440" w:type="pct"/>
          </w:tcPr>
          <w:p w:rsidR="007265FC" w:rsidRPr="00B96B27" w:rsidRDefault="007265FC" w:rsidP="005A1239">
            <w:pPr>
              <w:autoSpaceDE w:val="0"/>
              <w:autoSpaceDN w:val="0"/>
              <w:adjustRightInd w:val="0"/>
              <w:rPr>
                <w:rFonts w:asciiTheme="minorHAnsi" w:hAnsiTheme="minorHAnsi" w:cstheme="minorHAnsi"/>
                <w:color w:val="000000"/>
                <w:sz w:val="22"/>
                <w:szCs w:val="22"/>
                <w:lang w:val="fr-CA"/>
              </w:rPr>
            </w:pPr>
            <w:r w:rsidRPr="00B96B27">
              <w:rPr>
                <w:rFonts w:asciiTheme="minorHAnsi" w:hAnsiTheme="minorHAnsi" w:cstheme="minorHAnsi"/>
                <w:color w:val="000000"/>
                <w:sz w:val="22"/>
                <w:szCs w:val="22"/>
                <w:lang w:val="fr-CA"/>
              </w:rPr>
              <w:t>EX – Direction</w:t>
            </w:r>
          </w:p>
        </w:tc>
        <w:tc>
          <w:tcPr>
            <w:tcW w:w="1325" w:type="pct"/>
          </w:tcPr>
          <w:p w:rsidR="007265FC" w:rsidRPr="00B96B27" w:rsidRDefault="007265FC" w:rsidP="005A1239">
            <w:pPr>
              <w:autoSpaceDE w:val="0"/>
              <w:autoSpaceDN w:val="0"/>
              <w:adjustRightInd w:val="0"/>
              <w:jc w:val="center"/>
              <w:rPr>
                <w:rFonts w:asciiTheme="minorHAnsi" w:hAnsiTheme="minorHAnsi" w:cstheme="minorHAnsi"/>
                <w:color w:val="000000"/>
                <w:sz w:val="22"/>
                <w:szCs w:val="22"/>
                <w:lang w:val="fr-CA"/>
              </w:rPr>
            </w:pPr>
            <w:r w:rsidRPr="00B96B27">
              <w:rPr>
                <w:rFonts w:asciiTheme="minorHAnsi" w:hAnsiTheme="minorHAnsi" w:cstheme="minorHAnsi"/>
                <w:color w:val="000000"/>
                <w:sz w:val="22"/>
                <w:szCs w:val="22"/>
                <w:lang w:val="fr-CA"/>
              </w:rPr>
              <w:t>3</w:t>
            </w:r>
          </w:p>
        </w:tc>
        <w:tc>
          <w:tcPr>
            <w:tcW w:w="2234" w:type="pct"/>
          </w:tcPr>
          <w:p w:rsidR="007265FC" w:rsidRPr="00B96B27" w:rsidRDefault="007265FC" w:rsidP="005A1239">
            <w:pPr>
              <w:autoSpaceDE w:val="0"/>
              <w:autoSpaceDN w:val="0"/>
              <w:adjustRightInd w:val="0"/>
              <w:jc w:val="center"/>
              <w:rPr>
                <w:rFonts w:asciiTheme="minorHAnsi" w:hAnsiTheme="minorHAnsi" w:cstheme="minorHAnsi"/>
                <w:color w:val="000000"/>
                <w:sz w:val="22"/>
                <w:szCs w:val="22"/>
                <w:lang w:val="fr-CA"/>
              </w:rPr>
            </w:pPr>
            <w:r w:rsidRPr="00B96B27">
              <w:rPr>
                <w:rFonts w:asciiTheme="minorHAnsi" w:hAnsiTheme="minorHAnsi" w:cstheme="minorHAnsi"/>
                <w:color w:val="000000"/>
                <w:sz w:val="22"/>
                <w:szCs w:val="22"/>
                <w:lang w:val="fr-CA"/>
              </w:rPr>
              <w:t>11%</w:t>
            </w:r>
          </w:p>
        </w:tc>
      </w:tr>
      <w:tr w:rsidR="007265FC" w:rsidRPr="00B96B27" w:rsidTr="001C333D">
        <w:trPr>
          <w:cantSplit/>
          <w:trHeight w:val="290"/>
          <w:tblHeader/>
          <w:jc w:val="center"/>
        </w:trPr>
        <w:tc>
          <w:tcPr>
            <w:tcW w:w="1440" w:type="pct"/>
          </w:tcPr>
          <w:p w:rsidR="007265FC" w:rsidRPr="00B96B27" w:rsidRDefault="007265FC" w:rsidP="005A1239">
            <w:pPr>
              <w:autoSpaceDE w:val="0"/>
              <w:autoSpaceDN w:val="0"/>
              <w:adjustRightInd w:val="0"/>
              <w:rPr>
                <w:rFonts w:asciiTheme="minorHAnsi" w:hAnsiTheme="minorHAnsi" w:cstheme="minorHAnsi"/>
                <w:color w:val="000000"/>
                <w:sz w:val="22"/>
                <w:szCs w:val="22"/>
                <w:lang w:val="fr-CA"/>
              </w:rPr>
            </w:pPr>
            <w:r w:rsidRPr="00B96B27">
              <w:rPr>
                <w:rFonts w:asciiTheme="minorHAnsi" w:hAnsiTheme="minorHAnsi" w:cstheme="minorHAnsi"/>
                <w:color w:val="000000"/>
                <w:sz w:val="22"/>
                <w:szCs w:val="22"/>
                <w:lang w:val="fr-CA"/>
              </w:rPr>
              <w:t>Autre</w:t>
            </w:r>
          </w:p>
        </w:tc>
        <w:tc>
          <w:tcPr>
            <w:tcW w:w="1325" w:type="pct"/>
          </w:tcPr>
          <w:p w:rsidR="007265FC" w:rsidRPr="00B96B27" w:rsidRDefault="007265FC" w:rsidP="005A1239">
            <w:pPr>
              <w:autoSpaceDE w:val="0"/>
              <w:autoSpaceDN w:val="0"/>
              <w:adjustRightInd w:val="0"/>
              <w:jc w:val="center"/>
              <w:rPr>
                <w:rFonts w:asciiTheme="minorHAnsi" w:hAnsiTheme="minorHAnsi" w:cstheme="minorHAnsi"/>
                <w:color w:val="000000"/>
                <w:sz w:val="22"/>
                <w:szCs w:val="22"/>
                <w:lang w:val="fr-CA"/>
              </w:rPr>
            </w:pPr>
            <w:r w:rsidRPr="00B96B27">
              <w:rPr>
                <w:rFonts w:asciiTheme="minorHAnsi" w:hAnsiTheme="minorHAnsi" w:cstheme="minorHAnsi"/>
                <w:color w:val="000000"/>
                <w:sz w:val="22"/>
                <w:szCs w:val="22"/>
                <w:lang w:val="fr-CA"/>
              </w:rPr>
              <w:t>10</w:t>
            </w:r>
          </w:p>
        </w:tc>
        <w:tc>
          <w:tcPr>
            <w:tcW w:w="2234" w:type="pct"/>
          </w:tcPr>
          <w:p w:rsidR="007265FC" w:rsidRPr="00B96B27" w:rsidRDefault="007265FC" w:rsidP="005A1239">
            <w:pPr>
              <w:autoSpaceDE w:val="0"/>
              <w:autoSpaceDN w:val="0"/>
              <w:adjustRightInd w:val="0"/>
              <w:jc w:val="center"/>
              <w:rPr>
                <w:rFonts w:asciiTheme="minorHAnsi" w:hAnsiTheme="minorHAnsi" w:cstheme="minorHAnsi"/>
                <w:color w:val="000000"/>
                <w:sz w:val="22"/>
                <w:szCs w:val="22"/>
                <w:lang w:val="fr-CA"/>
              </w:rPr>
            </w:pPr>
            <w:r w:rsidRPr="00B96B27">
              <w:rPr>
                <w:rFonts w:asciiTheme="minorHAnsi" w:hAnsiTheme="minorHAnsi" w:cstheme="minorHAnsi"/>
                <w:color w:val="000000"/>
                <w:sz w:val="22"/>
                <w:szCs w:val="22"/>
                <w:lang w:val="fr-CA"/>
              </w:rPr>
              <w:t>37%</w:t>
            </w:r>
          </w:p>
        </w:tc>
      </w:tr>
    </w:tbl>
    <w:p w:rsidR="007C7279" w:rsidRPr="007C7279" w:rsidRDefault="007C7279" w:rsidP="007C7279">
      <w:pPr>
        <w:pStyle w:val="Titre1"/>
        <w:spacing w:before="120" w:after="120"/>
        <w:rPr>
          <w:sz w:val="40"/>
          <w:szCs w:val="40"/>
          <w:lang w:val="fr-CA"/>
        </w:rPr>
      </w:pPr>
      <w:r w:rsidRPr="007C7279">
        <w:rPr>
          <w:sz w:val="40"/>
          <w:szCs w:val="40"/>
          <w:lang w:val="fr-CA"/>
        </w:rPr>
        <w:lastRenderedPageBreak/>
        <w:t>Population selon la région au 31 mars 2019</w:t>
      </w:r>
    </w:p>
    <w:p w:rsidR="009C2A5B" w:rsidRDefault="005A5A1C" w:rsidP="009C2A5B">
      <w:pPr>
        <w:keepNext/>
        <w:tabs>
          <w:tab w:val="left" w:pos="7839"/>
        </w:tabs>
        <w:jc w:val="center"/>
      </w:pPr>
      <w:r w:rsidRPr="009C2A5B">
        <w:rPr>
          <w:rStyle w:val="lev"/>
          <w:noProof/>
          <w:lang w:val="en-CA" w:eastAsia="en-CA"/>
        </w:rPr>
        <w:drawing>
          <wp:inline distT="0" distB="0" distL="0" distR="0" wp14:anchorId="5DD5E69C" wp14:editId="71FCE295">
            <wp:extent cx="1980000" cy="3020400"/>
            <wp:effectExtent l="0" t="0" r="1270" b="8890"/>
            <wp:docPr id="15" name="Chart 15" descr="Population selon la région au 31 mars 2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A5A1C" w:rsidRPr="009C2A5B" w:rsidRDefault="009C2A5B" w:rsidP="009C2A5B">
      <w:pPr>
        <w:pStyle w:val="Lgende"/>
        <w:jc w:val="center"/>
        <w:rPr>
          <w:lang w:val="fr-CA"/>
        </w:rPr>
      </w:pPr>
      <w:r w:rsidRPr="009C2A5B">
        <w:rPr>
          <w:lang w:val="fr-CA"/>
        </w:rPr>
        <w:t xml:space="preserve">Figure </w:t>
      </w:r>
      <w:r>
        <w:fldChar w:fldCharType="begin"/>
      </w:r>
      <w:r w:rsidRPr="009C2A5B">
        <w:rPr>
          <w:lang w:val="fr-CA"/>
        </w:rPr>
        <w:instrText xml:space="preserve"> SEQ Figure \* ARABIC </w:instrText>
      </w:r>
      <w:r>
        <w:fldChar w:fldCharType="separate"/>
      </w:r>
      <w:r w:rsidR="00EE67E2">
        <w:rPr>
          <w:noProof/>
          <w:lang w:val="fr-CA"/>
        </w:rPr>
        <w:t>4</w:t>
      </w:r>
      <w:r>
        <w:fldChar w:fldCharType="end"/>
      </w:r>
      <w:r w:rsidRPr="009C2A5B">
        <w:rPr>
          <w:lang w:val="fr-CA"/>
        </w:rPr>
        <w:t xml:space="preserve"> - Population selon la région au 31 mars 2019</w:t>
      </w:r>
    </w:p>
    <w:p w:rsidR="009C2A5B" w:rsidRPr="00720D6C" w:rsidRDefault="009C2A5B" w:rsidP="009C2A5B">
      <w:pPr>
        <w:pStyle w:val="Lgende"/>
        <w:keepNext/>
        <w:spacing w:before="240"/>
        <w:jc w:val="center"/>
        <w:rPr>
          <w:lang w:val="fr-CA"/>
        </w:rPr>
      </w:pPr>
      <w:r w:rsidRPr="00720D6C">
        <w:rPr>
          <w:lang w:val="fr-CA"/>
        </w:rPr>
        <w:t xml:space="preserve">Table </w:t>
      </w:r>
      <w:r>
        <w:fldChar w:fldCharType="begin"/>
      </w:r>
      <w:r w:rsidRPr="00720D6C">
        <w:rPr>
          <w:lang w:val="fr-CA"/>
        </w:rPr>
        <w:instrText xml:space="preserve"> SEQ Table \* ARABIC </w:instrText>
      </w:r>
      <w:r>
        <w:fldChar w:fldCharType="separate"/>
      </w:r>
      <w:r w:rsidR="00EE67E2">
        <w:rPr>
          <w:noProof/>
          <w:lang w:val="fr-CA"/>
        </w:rPr>
        <w:t>4</w:t>
      </w:r>
      <w:r>
        <w:fldChar w:fldCharType="end"/>
      </w:r>
      <w:r w:rsidRPr="00720D6C">
        <w:rPr>
          <w:lang w:val="fr-CA"/>
        </w:rPr>
        <w:t xml:space="preserve"> - Effectif par région, pourcentage de l'effectif régi par la Loi sur l’emploi dans la fonction publique au 31 mars 2019</w:t>
      </w:r>
    </w:p>
    <w:tbl>
      <w:tblPr>
        <w:tblStyle w:val="Grilledutableau"/>
        <w:tblW w:w="5000" w:type="pct"/>
        <w:jc w:val="center"/>
        <w:tblLook w:val="0000" w:firstRow="0" w:lastRow="0" w:firstColumn="0" w:lastColumn="0" w:noHBand="0" w:noVBand="0"/>
        <w:tblDescription w:val="Population selon la région au 31 mars 2019"/>
      </w:tblPr>
      <w:tblGrid>
        <w:gridCol w:w="5071"/>
        <w:gridCol w:w="3471"/>
        <w:gridCol w:w="5848"/>
      </w:tblGrid>
      <w:tr w:rsidR="009C2A5B" w:rsidRPr="00D510B0" w:rsidTr="00DB5D3A">
        <w:trPr>
          <w:cantSplit/>
          <w:trHeight w:val="290"/>
          <w:tblHeader/>
          <w:jc w:val="center"/>
        </w:trPr>
        <w:tc>
          <w:tcPr>
            <w:tcW w:w="1762" w:type="pct"/>
          </w:tcPr>
          <w:p w:rsidR="009C2A5B" w:rsidRPr="00B96B27" w:rsidRDefault="009C2A5B" w:rsidP="005A1239">
            <w:pPr>
              <w:pStyle w:val="TableTitle"/>
              <w:rPr>
                <w:color w:val="auto"/>
                <w:sz w:val="22"/>
                <w:szCs w:val="22"/>
                <w:lang w:val="fr-CA"/>
              </w:rPr>
            </w:pPr>
            <w:r w:rsidRPr="00B96B27">
              <w:rPr>
                <w:color w:val="auto"/>
                <w:sz w:val="22"/>
                <w:szCs w:val="22"/>
                <w:lang w:val="fr-CA"/>
              </w:rPr>
              <w:t>Région</w:t>
            </w:r>
          </w:p>
        </w:tc>
        <w:tc>
          <w:tcPr>
            <w:tcW w:w="1206" w:type="pct"/>
          </w:tcPr>
          <w:p w:rsidR="009C2A5B" w:rsidRPr="00B96B27" w:rsidRDefault="009C2A5B" w:rsidP="005A1239">
            <w:pPr>
              <w:pStyle w:val="TableTitle"/>
              <w:rPr>
                <w:color w:val="auto"/>
                <w:sz w:val="22"/>
                <w:szCs w:val="22"/>
                <w:lang w:val="fr-CA"/>
              </w:rPr>
            </w:pPr>
            <w:r w:rsidRPr="00B96B27">
              <w:rPr>
                <w:color w:val="auto"/>
                <w:sz w:val="22"/>
                <w:szCs w:val="22"/>
                <w:lang w:val="fr-CA"/>
              </w:rPr>
              <w:t>Effectif au 31 mars 2019</w:t>
            </w:r>
          </w:p>
        </w:tc>
        <w:tc>
          <w:tcPr>
            <w:tcW w:w="2032" w:type="pct"/>
          </w:tcPr>
          <w:p w:rsidR="009C2A5B" w:rsidRPr="00B96B27" w:rsidRDefault="009C2A5B" w:rsidP="005A1239">
            <w:pPr>
              <w:pStyle w:val="TableTitle"/>
              <w:rPr>
                <w:color w:val="auto"/>
                <w:sz w:val="22"/>
                <w:szCs w:val="22"/>
                <w:lang w:val="fr-CA"/>
              </w:rPr>
            </w:pPr>
            <w:r w:rsidRPr="00B96B27">
              <w:rPr>
                <w:color w:val="auto"/>
                <w:sz w:val="22"/>
                <w:szCs w:val="22"/>
                <w:lang w:val="fr-CA"/>
              </w:rPr>
              <w:t>Pourcentage de l'effectif au 31 mars 2019</w:t>
            </w:r>
          </w:p>
        </w:tc>
      </w:tr>
      <w:tr w:rsidR="009C2A5B" w:rsidRPr="00B96B27" w:rsidTr="00DB5D3A">
        <w:trPr>
          <w:cantSplit/>
          <w:trHeight w:val="290"/>
          <w:tblHeader/>
          <w:jc w:val="center"/>
        </w:trPr>
        <w:tc>
          <w:tcPr>
            <w:tcW w:w="1762" w:type="pct"/>
          </w:tcPr>
          <w:p w:rsidR="009C2A5B" w:rsidRPr="00B96B27" w:rsidRDefault="009C2A5B" w:rsidP="005A1239">
            <w:pPr>
              <w:autoSpaceDE w:val="0"/>
              <w:autoSpaceDN w:val="0"/>
              <w:adjustRightInd w:val="0"/>
              <w:rPr>
                <w:rFonts w:asciiTheme="minorHAnsi" w:hAnsiTheme="minorHAnsi" w:cstheme="minorHAnsi"/>
                <w:color w:val="000000"/>
                <w:sz w:val="22"/>
                <w:szCs w:val="22"/>
                <w:lang w:val="fr-CA"/>
              </w:rPr>
            </w:pPr>
            <w:r w:rsidRPr="00B96B27">
              <w:rPr>
                <w:rFonts w:asciiTheme="minorHAnsi" w:hAnsiTheme="minorHAnsi" w:cstheme="minorHAnsi"/>
                <w:color w:val="000000"/>
                <w:sz w:val="22"/>
                <w:szCs w:val="22"/>
                <w:lang w:val="fr-CA"/>
              </w:rPr>
              <w:t>Région de la capitale nationale (RCN)</w:t>
            </w:r>
          </w:p>
        </w:tc>
        <w:tc>
          <w:tcPr>
            <w:tcW w:w="1206" w:type="pct"/>
          </w:tcPr>
          <w:p w:rsidR="009C2A5B" w:rsidRPr="00B96B27" w:rsidRDefault="009C2A5B" w:rsidP="005A1239">
            <w:pPr>
              <w:autoSpaceDE w:val="0"/>
              <w:autoSpaceDN w:val="0"/>
              <w:adjustRightInd w:val="0"/>
              <w:jc w:val="center"/>
              <w:rPr>
                <w:rFonts w:asciiTheme="minorHAnsi" w:hAnsiTheme="minorHAnsi" w:cstheme="minorHAnsi"/>
                <w:color w:val="000000"/>
                <w:sz w:val="22"/>
                <w:szCs w:val="22"/>
                <w:lang w:val="fr-CA"/>
              </w:rPr>
            </w:pPr>
            <w:r w:rsidRPr="00B96B27">
              <w:rPr>
                <w:rFonts w:asciiTheme="minorHAnsi" w:hAnsiTheme="minorHAnsi" w:cstheme="minorHAnsi"/>
                <w:color w:val="000000"/>
                <w:sz w:val="22"/>
                <w:szCs w:val="22"/>
                <w:lang w:val="fr-CA"/>
              </w:rPr>
              <w:t>21</w:t>
            </w:r>
          </w:p>
        </w:tc>
        <w:tc>
          <w:tcPr>
            <w:tcW w:w="2032" w:type="pct"/>
          </w:tcPr>
          <w:p w:rsidR="009C2A5B" w:rsidRPr="00B96B27" w:rsidRDefault="009C2A5B" w:rsidP="005A1239">
            <w:pPr>
              <w:autoSpaceDE w:val="0"/>
              <w:autoSpaceDN w:val="0"/>
              <w:adjustRightInd w:val="0"/>
              <w:jc w:val="center"/>
              <w:rPr>
                <w:rFonts w:asciiTheme="minorHAnsi" w:hAnsiTheme="minorHAnsi" w:cstheme="minorHAnsi"/>
                <w:color w:val="000000"/>
                <w:sz w:val="22"/>
                <w:szCs w:val="22"/>
                <w:lang w:val="fr-CA"/>
              </w:rPr>
            </w:pPr>
            <w:r w:rsidRPr="00B96B27">
              <w:rPr>
                <w:rFonts w:asciiTheme="minorHAnsi" w:hAnsiTheme="minorHAnsi" w:cstheme="minorHAnsi"/>
                <w:color w:val="000000"/>
                <w:sz w:val="22"/>
                <w:szCs w:val="22"/>
                <w:lang w:val="fr-CA"/>
              </w:rPr>
              <w:t>70%</w:t>
            </w:r>
          </w:p>
        </w:tc>
      </w:tr>
      <w:tr w:rsidR="009C2A5B" w:rsidRPr="00B96B27" w:rsidTr="00DB5D3A">
        <w:trPr>
          <w:cantSplit/>
          <w:trHeight w:val="290"/>
          <w:tblHeader/>
          <w:jc w:val="center"/>
        </w:trPr>
        <w:tc>
          <w:tcPr>
            <w:tcW w:w="1762" w:type="pct"/>
          </w:tcPr>
          <w:p w:rsidR="009C2A5B" w:rsidRPr="00B96B27" w:rsidRDefault="009C2A5B" w:rsidP="005A1239">
            <w:pPr>
              <w:autoSpaceDE w:val="0"/>
              <w:autoSpaceDN w:val="0"/>
              <w:adjustRightInd w:val="0"/>
              <w:rPr>
                <w:rFonts w:asciiTheme="minorHAnsi" w:hAnsiTheme="minorHAnsi" w:cstheme="minorHAnsi"/>
                <w:color w:val="000000"/>
                <w:sz w:val="22"/>
                <w:szCs w:val="22"/>
                <w:lang w:val="fr-CA"/>
              </w:rPr>
            </w:pPr>
            <w:r w:rsidRPr="00B96B27">
              <w:rPr>
                <w:rFonts w:asciiTheme="minorHAnsi" w:hAnsiTheme="minorHAnsi" w:cstheme="minorHAnsi"/>
                <w:color w:val="000000"/>
                <w:sz w:val="22"/>
                <w:szCs w:val="22"/>
                <w:lang w:val="fr-CA"/>
              </w:rPr>
              <w:t>Régions à l’extérieur de la RCN</w:t>
            </w:r>
          </w:p>
        </w:tc>
        <w:tc>
          <w:tcPr>
            <w:tcW w:w="1206" w:type="pct"/>
          </w:tcPr>
          <w:p w:rsidR="009C2A5B" w:rsidRPr="00B96B27" w:rsidRDefault="009C2A5B" w:rsidP="005A1239">
            <w:pPr>
              <w:autoSpaceDE w:val="0"/>
              <w:autoSpaceDN w:val="0"/>
              <w:adjustRightInd w:val="0"/>
              <w:jc w:val="center"/>
              <w:rPr>
                <w:rFonts w:asciiTheme="minorHAnsi" w:hAnsiTheme="minorHAnsi" w:cstheme="minorHAnsi"/>
                <w:color w:val="000000"/>
                <w:sz w:val="22"/>
                <w:szCs w:val="22"/>
                <w:lang w:val="fr-CA"/>
              </w:rPr>
            </w:pPr>
            <w:r w:rsidRPr="00B96B27">
              <w:rPr>
                <w:rFonts w:asciiTheme="minorHAnsi" w:hAnsiTheme="minorHAnsi" w:cstheme="minorHAnsi"/>
                <w:color w:val="000000"/>
                <w:sz w:val="22"/>
                <w:szCs w:val="22"/>
                <w:lang w:val="fr-CA"/>
              </w:rPr>
              <w:t>9</w:t>
            </w:r>
          </w:p>
        </w:tc>
        <w:tc>
          <w:tcPr>
            <w:tcW w:w="2032" w:type="pct"/>
          </w:tcPr>
          <w:p w:rsidR="009C2A5B" w:rsidRPr="00B96B27" w:rsidRDefault="009C2A5B" w:rsidP="005A1239">
            <w:pPr>
              <w:autoSpaceDE w:val="0"/>
              <w:autoSpaceDN w:val="0"/>
              <w:adjustRightInd w:val="0"/>
              <w:jc w:val="center"/>
              <w:rPr>
                <w:rFonts w:asciiTheme="minorHAnsi" w:hAnsiTheme="minorHAnsi" w:cstheme="minorHAnsi"/>
                <w:color w:val="000000"/>
                <w:sz w:val="22"/>
                <w:szCs w:val="22"/>
                <w:lang w:val="fr-CA"/>
              </w:rPr>
            </w:pPr>
            <w:r w:rsidRPr="00B96B27">
              <w:rPr>
                <w:rFonts w:asciiTheme="minorHAnsi" w:hAnsiTheme="minorHAnsi" w:cstheme="minorHAnsi"/>
                <w:color w:val="000000"/>
                <w:sz w:val="22"/>
                <w:szCs w:val="22"/>
                <w:lang w:val="fr-CA"/>
              </w:rPr>
              <w:t>30%</w:t>
            </w:r>
          </w:p>
        </w:tc>
      </w:tr>
      <w:tr w:rsidR="009C2A5B" w:rsidRPr="00B96B27" w:rsidTr="00DB5D3A">
        <w:trPr>
          <w:cantSplit/>
          <w:trHeight w:val="290"/>
          <w:tblHeader/>
          <w:jc w:val="center"/>
        </w:trPr>
        <w:tc>
          <w:tcPr>
            <w:tcW w:w="1762" w:type="pct"/>
          </w:tcPr>
          <w:p w:rsidR="009C2A5B" w:rsidRPr="00B96B27" w:rsidRDefault="009C2A5B" w:rsidP="005A1239">
            <w:pPr>
              <w:autoSpaceDE w:val="0"/>
              <w:autoSpaceDN w:val="0"/>
              <w:adjustRightInd w:val="0"/>
              <w:rPr>
                <w:rFonts w:asciiTheme="minorHAnsi" w:hAnsiTheme="minorHAnsi" w:cstheme="minorHAnsi"/>
                <w:color w:val="000000"/>
                <w:sz w:val="22"/>
                <w:szCs w:val="22"/>
                <w:lang w:val="fr-CA"/>
              </w:rPr>
            </w:pPr>
            <w:r w:rsidRPr="00B96B27">
              <w:rPr>
                <w:rFonts w:asciiTheme="minorHAnsi" w:hAnsiTheme="minorHAnsi" w:cstheme="minorHAnsi"/>
                <w:color w:val="000000"/>
                <w:sz w:val="22"/>
                <w:szCs w:val="22"/>
                <w:lang w:val="fr-CA"/>
              </w:rPr>
              <w:t>Inconnus</w:t>
            </w:r>
          </w:p>
        </w:tc>
        <w:tc>
          <w:tcPr>
            <w:tcW w:w="1206" w:type="pct"/>
          </w:tcPr>
          <w:p w:rsidR="009C2A5B" w:rsidRPr="00B96B27" w:rsidRDefault="009C2A5B" w:rsidP="005A1239">
            <w:pPr>
              <w:autoSpaceDE w:val="0"/>
              <w:autoSpaceDN w:val="0"/>
              <w:adjustRightInd w:val="0"/>
              <w:jc w:val="center"/>
              <w:rPr>
                <w:rFonts w:asciiTheme="minorHAnsi" w:hAnsiTheme="minorHAnsi" w:cstheme="minorHAnsi"/>
                <w:color w:val="000000"/>
                <w:sz w:val="22"/>
                <w:szCs w:val="22"/>
                <w:lang w:val="fr-CA"/>
              </w:rPr>
            </w:pPr>
            <w:r w:rsidRPr="00B96B27">
              <w:rPr>
                <w:rFonts w:asciiTheme="minorHAnsi" w:hAnsiTheme="minorHAnsi" w:cstheme="minorHAnsi"/>
                <w:color w:val="000000"/>
                <w:sz w:val="22"/>
                <w:szCs w:val="22"/>
                <w:lang w:val="fr-CA"/>
              </w:rPr>
              <w:t>0</w:t>
            </w:r>
          </w:p>
        </w:tc>
        <w:tc>
          <w:tcPr>
            <w:tcW w:w="2032" w:type="pct"/>
          </w:tcPr>
          <w:p w:rsidR="009C2A5B" w:rsidRPr="00B96B27" w:rsidRDefault="009C2A5B" w:rsidP="005A1239">
            <w:pPr>
              <w:autoSpaceDE w:val="0"/>
              <w:autoSpaceDN w:val="0"/>
              <w:adjustRightInd w:val="0"/>
              <w:jc w:val="center"/>
              <w:rPr>
                <w:rFonts w:asciiTheme="minorHAnsi" w:hAnsiTheme="minorHAnsi" w:cstheme="minorHAnsi"/>
                <w:color w:val="000000"/>
                <w:sz w:val="22"/>
                <w:szCs w:val="22"/>
                <w:lang w:val="fr-CA"/>
              </w:rPr>
            </w:pPr>
          </w:p>
        </w:tc>
      </w:tr>
    </w:tbl>
    <w:p w:rsidR="007C7279" w:rsidRPr="00DB5D3A" w:rsidRDefault="00DB5D3A" w:rsidP="00DB5D3A">
      <w:pPr>
        <w:pStyle w:val="Titre1"/>
        <w:spacing w:before="120" w:after="120"/>
        <w:rPr>
          <w:sz w:val="36"/>
          <w:szCs w:val="32"/>
          <w:lang w:val="fr-CA"/>
        </w:rPr>
      </w:pPr>
      <w:r w:rsidRPr="00DB5D3A">
        <w:rPr>
          <w:rFonts w:eastAsia="Times New Roman"/>
          <w:sz w:val="36"/>
          <w:szCs w:val="32"/>
          <w:lang w:val="fr-CA"/>
        </w:rPr>
        <w:lastRenderedPageBreak/>
        <w:t>Embauche externe pour une période indéterminée selon le groupe professionnel, 2018-2019</w:t>
      </w:r>
    </w:p>
    <w:p w:rsidR="00F909E8" w:rsidRDefault="00513230" w:rsidP="00F909E8">
      <w:pPr>
        <w:keepNext/>
        <w:tabs>
          <w:tab w:val="left" w:pos="7839"/>
        </w:tabs>
        <w:jc w:val="center"/>
      </w:pPr>
      <w:r w:rsidRPr="00720D6C">
        <w:rPr>
          <w:rStyle w:val="lev"/>
          <w:noProof/>
          <w:lang w:val="en-CA" w:eastAsia="en-CA"/>
        </w:rPr>
        <w:drawing>
          <wp:inline distT="0" distB="0" distL="0" distR="0" wp14:anchorId="71A46F07" wp14:editId="4C444DD6">
            <wp:extent cx="1980000" cy="3020400"/>
            <wp:effectExtent l="0" t="0" r="1270" b="8890"/>
            <wp:docPr id="7" name="Chart 7" descr="Embauche externe pour une période indéterminée selon le groupe professionnel"/>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20D6C" w:rsidRDefault="00F909E8" w:rsidP="00F909E8">
      <w:pPr>
        <w:pStyle w:val="Lgende"/>
        <w:jc w:val="center"/>
        <w:rPr>
          <w:lang w:val="fr-CA"/>
        </w:rPr>
      </w:pPr>
      <w:r w:rsidRPr="00F909E8">
        <w:rPr>
          <w:lang w:val="fr-CA"/>
        </w:rPr>
        <w:t xml:space="preserve">Figure </w:t>
      </w:r>
      <w:r>
        <w:fldChar w:fldCharType="begin"/>
      </w:r>
      <w:r w:rsidRPr="00F909E8">
        <w:rPr>
          <w:lang w:val="fr-CA"/>
        </w:rPr>
        <w:instrText xml:space="preserve"> SEQ Figure \* ARABIC </w:instrText>
      </w:r>
      <w:r>
        <w:fldChar w:fldCharType="separate"/>
      </w:r>
      <w:r w:rsidR="00EE67E2">
        <w:rPr>
          <w:noProof/>
          <w:lang w:val="fr-CA"/>
        </w:rPr>
        <w:t>5</w:t>
      </w:r>
      <w:r>
        <w:fldChar w:fldCharType="end"/>
      </w:r>
      <w:r w:rsidRPr="00F909E8">
        <w:rPr>
          <w:lang w:val="fr-CA"/>
        </w:rPr>
        <w:t xml:space="preserve"> - Embauche externe pour une période indéterminée selon le groupe professionnel</w:t>
      </w:r>
      <w:r>
        <w:rPr>
          <w:lang w:val="fr-CA"/>
        </w:rPr>
        <w:t>,</w:t>
      </w:r>
      <w:r w:rsidRPr="00F909E8">
        <w:rPr>
          <w:lang w:val="fr-CA"/>
        </w:rPr>
        <w:t xml:space="preserve"> 2018-2019</w:t>
      </w:r>
    </w:p>
    <w:p w:rsidR="00F909E8" w:rsidRPr="00F909E8" w:rsidRDefault="00F909E8" w:rsidP="007C7279">
      <w:pPr>
        <w:pStyle w:val="Lgende"/>
        <w:keepNext/>
        <w:spacing w:before="240"/>
        <w:jc w:val="center"/>
        <w:rPr>
          <w:lang w:val="fr-CA"/>
        </w:rPr>
      </w:pPr>
      <w:r w:rsidRPr="00F909E8">
        <w:rPr>
          <w:lang w:val="fr-CA"/>
        </w:rPr>
        <w:t xml:space="preserve">Table </w:t>
      </w:r>
      <w:r>
        <w:fldChar w:fldCharType="begin"/>
      </w:r>
      <w:r w:rsidRPr="00F909E8">
        <w:rPr>
          <w:lang w:val="fr-CA"/>
        </w:rPr>
        <w:instrText xml:space="preserve"> SEQ Table \* ARABIC </w:instrText>
      </w:r>
      <w:r>
        <w:fldChar w:fldCharType="separate"/>
      </w:r>
      <w:r w:rsidR="00EE67E2">
        <w:rPr>
          <w:noProof/>
          <w:lang w:val="fr-CA"/>
        </w:rPr>
        <w:t>5</w:t>
      </w:r>
      <w:r>
        <w:fldChar w:fldCharType="end"/>
      </w:r>
      <w:r w:rsidRPr="00F909E8">
        <w:rPr>
          <w:lang w:val="fr-CA"/>
        </w:rPr>
        <w:t xml:space="preserve"> - Embauche externe à des postes pour une période indéterminée selon le groupe professionnel, de 2018 à 2019</w:t>
      </w:r>
    </w:p>
    <w:tbl>
      <w:tblPr>
        <w:tblStyle w:val="Grilledutableau"/>
        <w:tblW w:w="0" w:type="auto"/>
        <w:jc w:val="center"/>
        <w:tblLook w:val="0000" w:firstRow="0" w:lastRow="0" w:firstColumn="0" w:lastColumn="0" w:noHBand="0" w:noVBand="0"/>
        <w:tblDescription w:val="Embauches externes indéterminée - groupe professionnel 18-19"/>
      </w:tblPr>
      <w:tblGrid>
        <w:gridCol w:w="2547"/>
        <w:gridCol w:w="6167"/>
        <w:gridCol w:w="5676"/>
      </w:tblGrid>
      <w:tr w:rsidR="00F909E8" w:rsidRPr="00D510B0" w:rsidTr="007C7279">
        <w:trPr>
          <w:cantSplit/>
          <w:trHeight w:val="290"/>
          <w:tblHeader/>
          <w:jc w:val="center"/>
        </w:trPr>
        <w:tc>
          <w:tcPr>
            <w:tcW w:w="2547" w:type="dxa"/>
          </w:tcPr>
          <w:p w:rsidR="00F909E8" w:rsidRPr="00B96B27" w:rsidRDefault="00F909E8" w:rsidP="005A1239">
            <w:pPr>
              <w:pStyle w:val="TableTitle"/>
              <w:rPr>
                <w:color w:val="auto"/>
                <w:sz w:val="22"/>
                <w:szCs w:val="22"/>
                <w:lang w:val="fr-CA"/>
              </w:rPr>
            </w:pPr>
            <w:r w:rsidRPr="00B96B27">
              <w:rPr>
                <w:color w:val="auto"/>
                <w:sz w:val="22"/>
                <w:szCs w:val="22"/>
                <w:lang w:val="fr-CA"/>
              </w:rPr>
              <w:t>Groupes professionnels</w:t>
            </w:r>
          </w:p>
        </w:tc>
        <w:tc>
          <w:tcPr>
            <w:tcW w:w="6167" w:type="dxa"/>
          </w:tcPr>
          <w:p w:rsidR="00F909E8" w:rsidRPr="00B96B27" w:rsidRDefault="00F909E8" w:rsidP="005A1239">
            <w:pPr>
              <w:pStyle w:val="TableTitle"/>
              <w:rPr>
                <w:color w:val="auto"/>
                <w:sz w:val="22"/>
                <w:szCs w:val="22"/>
                <w:lang w:val="fr-CA"/>
              </w:rPr>
            </w:pPr>
            <w:r w:rsidRPr="00B96B27">
              <w:rPr>
                <w:color w:val="auto"/>
                <w:sz w:val="22"/>
                <w:szCs w:val="22"/>
                <w:lang w:val="fr-CA"/>
              </w:rPr>
              <w:t>Nombre d'embauches pour une période indéterminée dans</w:t>
            </w:r>
          </w:p>
          <w:p w:rsidR="00F909E8" w:rsidRPr="00B96B27" w:rsidRDefault="00F909E8" w:rsidP="005A1239">
            <w:pPr>
              <w:pStyle w:val="TableTitle"/>
              <w:rPr>
                <w:color w:val="auto"/>
                <w:sz w:val="22"/>
                <w:szCs w:val="22"/>
                <w:lang w:val="fr-CA"/>
              </w:rPr>
            </w:pPr>
            <w:r w:rsidRPr="00B96B27">
              <w:rPr>
                <w:color w:val="auto"/>
                <w:sz w:val="22"/>
                <w:szCs w:val="22"/>
                <w:lang w:val="fr-CA"/>
              </w:rPr>
              <w:t>l’organisation</w:t>
            </w:r>
          </w:p>
        </w:tc>
        <w:tc>
          <w:tcPr>
            <w:tcW w:w="0" w:type="auto"/>
          </w:tcPr>
          <w:p w:rsidR="00F909E8" w:rsidRPr="00B96B27" w:rsidRDefault="00F909E8" w:rsidP="005A1239">
            <w:pPr>
              <w:pStyle w:val="TableTitle"/>
              <w:rPr>
                <w:color w:val="auto"/>
                <w:sz w:val="22"/>
                <w:szCs w:val="22"/>
                <w:lang w:val="fr-CA"/>
              </w:rPr>
            </w:pPr>
            <w:r w:rsidRPr="00B96B27">
              <w:rPr>
                <w:color w:val="auto"/>
                <w:sz w:val="22"/>
                <w:szCs w:val="22"/>
                <w:lang w:val="fr-CA"/>
              </w:rPr>
              <w:t>Pourcentage d'embauches pour une période indéterminée dans l’organisation</w:t>
            </w:r>
          </w:p>
        </w:tc>
      </w:tr>
      <w:tr w:rsidR="00F909E8" w:rsidRPr="00B96B27" w:rsidTr="007C7279">
        <w:trPr>
          <w:cantSplit/>
          <w:trHeight w:val="290"/>
          <w:tblHeader/>
          <w:jc w:val="center"/>
        </w:trPr>
        <w:tc>
          <w:tcPr>
            <w:tcW w:w="2547" w:type="dxa"/>
          </w:tcPr>
          <w:p w:rsidR="00F909E8" w:rsidRPr="00B96B27" w:rsidRDefault="00F909E8" w:rsidP="005A1239">
            <w:pPr>
              <w:autoSpaceDE w:val="0"/>
              <w:autoSpaceDN w:val="0"/>
              <w:adjustRightInd w:val="0"/>
              <w:rPr>
                <w:rFonts w:asciiTheme="minorHAnsi" w:hAnsiTheme="minorHAnsi" w:cstheme="minorHAnsi"/>
                <w:color w:val="000000"/>
                <w:sz w:val="22"/>
                <w:szCs w:val="22"/>
                <w:lang w:val="fr-CA"/>
              </w:rPr>
            </w:pPr>
            <w:r w:rsidRPr="00B96B27">
              <w:rPr>
                <w:rFonts w:asciiTheme="minorHAnsi" w:hAnsiTheme="minorHAnsi" w:cstheme="minorHAnsi"/>
                <w:color w:val="000000"/>
                <w:sz w:val="22"/>
                <w:szCs w:val="22"/>
                <w:lang w:val="fr-CA"/>
              </w:rPr>
              <w:t>AS – Services administratifs</w:t>
            </w:r>
          </w:p>
        </w:tc>
        <w:tc>
          <w:tcPr>
            <w:tcW w:w="6167" w:type="dxa"/>
          </w:tcPr>
          <w:p w:rsidR="00F909E8" w:rsidRPr="00B96B27" w:rsidRDefault="00F909E8" w:rsidP="005A1239">
            <w:pPr>
              <w:autoSpaceDE w:val="0"/>
              <w:autoSpaceDN w:val="0"/>
              <w:adjustRightInd w:val="0"/>
              <w:jc w:val="center"/>
              <w:rPr>
                <w:rFonts w:asciiTheme="minorHAnsi" w:hAnsiTheme="minorHAnsi" w:cstheme="minorHAnsi"/>
                <w:color w:val="000000"/>
                <w:sz w:val="22"/>
                <w:szCs w:val="22"/>
                <w:lang w:val="fr-CA"/>
              </w:rPr>
            </w:pPr>
            <w:r w:rsidRPr="00B96B27">
              <w:rPr>
                <w:rFonts w:asciiTheme="minorHAnsi" w:hAnsiTheme="minorHAnsi" w:cstheme="minorHAnsi"/>
                <w:color w:val="000000"/>
                <w:sz w:val="22"/>
                <w:szCs w:val="22"/>
                <w:lang w:val="fr-CA"/>
              </w:rPr>
              <w:t>1</w:t>
            </w:r>
          </w:p>
        </w:tc>
        <w:tc>
          <w:tcPr>
            <w:tcW w:w="0" w:type="auto"/>
          </w:tcPr>
          <w:p w:rsidR="00F909E8" w:rsidRPr="00B96B27" w:rsidRDefault="00F909E8" w:rsidP="005A1239">
            <w:pPr>
              <w:autoSpaceDE w:val="0"/>
              <w:autoSpaceDN w:val="0"/>
              <w:adjustRightInd w:val="0"/>
              <w:jc w:val="center"/>
              <w:rPr>
                <w:rFonts w:asciiTheme="minorHAnsi" w:hAnsiTheme="minorHAnsi" w:cstheme="minorHAnsi"/>
                <w:color w:val="000000"/>
                <w:sz w:val="22"/>
                <w:szCs w:val="22"/>
                <w:lang w:val="fr-CA"/>
              </w:rPr>
            </w:pPr>
            <w:r w:rsidRPr="00B96B27">
              <w:rPr>
                <w:rFonts w:asciiTheme="minorHAnsi" w:hAnsiTheme="minorHAnsi" w:cstheme="minorHAnsi"/>
                <w:color w:val="000000"/>
                <w:sz w:val="22"/>
                <w:szCs w:val="22"/>
                <w:lang w:val="fr-CA"/>
              </w:rPr>
              <w:t>50%</w:t>
            </w:r>
          </w:p>
        </w:tc>
      </w:tr>
      <w:tr w:rsidR="00F909E8" w:rsidRPr="00B96B27" w:rsidTr="007C7279">
        <w:trPr>
          <w:cantSplit/>
          <w:trHeight w:val="290"/>
          <w:tblHeader/>
          <w:jc w:val="center"/>
        </w:trPr>
        <w:tc>
          <w:tcPr>
            <w:tcW w:w="2547" w:type="dxa"/>
          </w:tcPr>
          <w:p w:rsidR="00F909E8" w:rsidRPr="00B96B27" w:rsidRDefault="00F909E8" w:rsidP="005A1239">
            <w:pPr>
              <w:autoSpaceDE w:val="0"/>
              <w:autoSpaceDN w:val="0"/>
              <w:adjustRightInd w:val="0"/>
              <w:rPr>
                <w:rFonts w:asciiTheme="minorHAnsi" w:hAnsiTheme="minorHAnsi" w:cstheme="minorHAnsi"/>
                <w:color w:val="000000"/>
                <w:sz w:val="22"/>
                <w:szCs w:val="22"/>
                <w:lang w:val="fr-CA"/>
              </w:rPr>
            </w:pPr>
            <w:r w:rsidRPr="00B96B27">
              <w:rPr>
                <w:rFonts w:asciiTheme="minorHAnsi" w:hAnsiTheme="minorHAnsi" w:cstheme="minorHAnsi"/>
                <w:color w:val="000000"/>
                <w:sz w:val="22"/>
                <w:szCs w:val="22"/>
                <w:lang w:val="fr-CA"/>
              </w:rPr>
              <w:t>EC – Groupe Économique et services des sciences sociales</w:t>
            </w:r>
          </w:p>
        </w:tc>
        <w:tc>
          <w:tcPr>
            <w:tcW w:w="6167" w:type="dxa"/>
          </w:tcPr>
          <w:p w:rsidR="00F909E8" w:rsidRPr="00B96B27" w:rsidRDefault="00F909E8" w:rsidP="005A1239">
            <w:pPr>
              <w:autoSpaceDE w:val="0"/>
              <w:autoSpaceDN w:val="0"/>
              <w:adjustRightInd w:val="0"/>
              <w:jc w:val="center"/>
              <w:rPr>
                <w:rFonts w:asciiTheme="minorHAnsi" w:hAnsiTheme="minorHAnsi" w:cstheme="minorHAnsi"/>
                <w:color w:val="000000"/>
                <w:sz w:val="22"/>
                <w:szCs w:val="22"/>
                <w:lang w:val="fr-CA"/>
              </w:rPr>
            </w:pPr>
            <w:r w:rsidRPr="00B96B27">
              <w:rPr>
                <w:rFonts w:asciiTheme="minorHAnsi" w:hAnsiTheme="minorHAnsi" w:cstheme="minorHAnsi"/>
                <w:color w:val="000000"/>
                <w:sz w:val="22"/>
                <w:szCs w:val="22"/>
                <w:lang w:val="fr-CA"/>
              </w:rPr>
              <w:t>1</w:t>
            </w:r>
          </w:p>
        </w:tc>
        <w:tc>
          <w:tcPr>
            <w:tcW w:w="0" w:type="auto"/>
          </w:tcPr>
          <w:p w:rsidR="00F909E8" w:rsidRPr="00B96B27" w:rsidRDefault="00F909E8" w:rsidP="005A1239">
            <w:pPr>
              <w:autoSpaceDE w:val="0"/>
              <w:autoSpaceDN w:val="0"/>
              <w:adjustRightInd w:val="0"/>
              <w:jc w:val="center"/>
              <w:rPr>
                <w:rFonts w:asciiTheme="minorHAnsi" w:hAnsiTheme="minorHAnsi" w:cstheme="minorHAnsi"/>
                <w:color w:val="000000"/>
                <w:sz w:val="22"/>
                <w:szCs w:val="22"/>
                <w:lang w:val="fr-CA"/>
              </w:rPr>
            </w:pPr>
            <w:r w:rsidRPr="00B96B27">
              <w:rPr>
                <w:rFonts w:asciiTheme="minorHAnsi" w:hAnsiTheme="minorHAnsi" w:cstheme="minorHAnsi"/>
                <w:color w:val="000000"/>
                <w:sz w:val="22"/>
                <w:szCs w:val="22"/>
                <w:lang w:val="fr-CA"/>
              </w:rPr>
              <w:t>50%</w:t>
            </w:r>
          </w:p>
        </w:tc>
      </w:tr>
      <w:tr w:rsidR="00F909E8" w:rsidRPr="00B96B27" w:rsidTr="007C7279">
        <w:trPr>
          <w:cantSplit/>
          <w:trHeight w:val="290"/>
          <w:tblHeader/>
          <w:jc w:val="center"/>
        </w:trPr>
        <w:tc>
          <w:tcPr>
            <w:tcW w:w="2547" w:type="dxa"/>
          </w:tcPr>
          <w:p w:rsidR="00F909E8" w:rsidRPr="00B96B27" w:rsidRDefault="00F909E8" w:rsidP="005A1239">
            <w:pPr>
              <w:autoSpaceDE w:val="0"/>
              <w:autoSpaceDN w:val="0"/>
              <w:adjustRightInd w:val="0"/>
              <w:rPr>
                <w:rFonts w:asciiTheme="minorHAnsi" w:hAnsiTheme="minorHAnsi" w:cstheme="minorHAnsi"/>
                <w:color w:val="000000"/>
                <w:sz w:val="22"/>
                <w:szCs w:val="22"/>
                <w:lang w:val="fr-CA"/>
              </w:rPr>
            </w:pPr>
            <w:r w:rsidRPr="00B96B27">
              <w:rPr>
                <w:rFonts w:asciiTheme="minorHAnsi" w:hAnsiTheme="minorHAnsi" w:cstheme="minorHAnsi"/>
                <w:color w:val="000000"/>
                <w:sz w:val="22"/>
                <w:szCs w:val="22"/>
                <w:lang w:val="fr-CA"/>
              </w:rPr>
              <w:t>Total</w:t>
            </w:r>
          </w:p>
        </w:tc>
        <w:tc>
          <w:tcPr>
            <w:tcW w:w="6167" w:type="dxa"/>
          </w:tcPr>
          <w:p w:rsidR="00F909E8" w:rsidRPr="00B96B27" w:rsidRDefault="00F909E8" w:rsidP="005A1239">
            <w:pPr>
              <w:autoSpaceDE w:val="0"/>
              <w:autoSpaceDN w:val="0"/>
              <w:adjustRightInd w:val="0"/>
              <w:jc w:val="center"/>
              <w:rPr>
                <w:rFonts w:asciiTheme="minorHAnsi" w:hAnsiTheme="minorHAnsi" w:cstheme="minorHAnsi"/>
                <w:color w:val="000000"/>
                <w:sz w:val="22"/>
                <w:szCs w:val="22"/>
                <w:lang w:val="fr-CA"/>
              </w:rPr>
            </w:pPr>
            <w:r w:rsidRPr="00B96B27">
              <w:rPr>
                <w:rFonts w:asciiTheme="minorHAnsi" w:hAnsiTheme="minorHAnsi" w:cstheme="minorHAnsi"/>
                <w:color w:val="000000"/>
                <w:sz w:val="22"/>
                <w:szCs w:val="22"/>
                <w:lang w:val="fr-CA"/>
              </w:rPr>
              <w:t>2</w:t>
            </w:r>
          </w:p>
        </w:tc>
        <w:tc>
          <w:tcPr>
            <w:tcW w:w="0" w:type="auto"/>
          </w:tcPr>
          <w:p w:rsidR="00F909E8" w:rsidRPr="00B96B27" w:rsidRDefault="00F909E8" w:rsidP="005A1239">
            <w:pPr>
              <w:autoSpaceDE w:val="0"/>
              <w:autoSpaceDN w:val="0"/>
              <w:adjustRightInd w:val="0"/>
              <w:jc w:val="center"/>
              <w:rPr>
                <w:rFonts w:asciiTheme="minorHAnsi" w:hAnsiTheme="minorHAnsi" w:cstheme="minorHAnsi"/>
                <w:color w:val="000000"/>
                <w:sz w:val="22"/>
                <w:szCs w:val="22"/>
                <w:lang w:val="fr-CA"/>
              </w:rPr>
            </w:pPr>
            <w:r w:rsidRPr="00B96B27">
              <w:rPr>
                <w:rFonts w:asciiTheme="minorHAnsi" w:hAnsiTheme="minorHAnsi" w:cstheme="minorHAnsi"/>
                <w:color w:val="000000"/>
                <w:sz w:val="22"/>
                <w:szCs w:val="22"/>
                <w:lang w:val="fr-CA"/>
              </w:rPr>
              <w:t>100%</w:t>
            </w:r>
          </w:p>
        </w:tc>
      </w:tr>
    </w:tbl>
    <w:p w:rsidR="003F0008" w:rsidRPr="003F0008" w:rsidRDefault="003F0008" w:rsidP="003F0008">
      <w:pPr>
        <w:pStyle w:val="Titre1"/>
        <w:spacing w:before="120" w:after="120"/>
        <w:rPr>
          <w:sz w:val="40"/>
          <w:szCs w:val="40"/>
          <w:lang w:val="en-CA"/>
        </w:rPr>
      </w:pPr>
      <w:r w:rsidRPr="003F0008">
        <w:rPr>
          <w:rFonts w:eastAsia="Times New Roman"/>
          <w:sz w:val="40"/>
          <w:szCs w:val="40"/>
          <w:lang w:val="en-CA"/>
        </w:rPr>
        <w:lastRenderedPageBreak/>
        <w:t xml:space="preserve">Dotation </w:t>
      </w:r>
      <w:proofErr w:type="spellStart"/>
      <w:r w:rsidRPr="003F0008">
        <w:rPr>
          <w:rFonts w:eastAsia="Times New Roman"/>
          <w:sz w:val="40"/>
          <w:szCs w:val="40"/>
          <w:lang w:val="en-CA"/>
        </w:rPr>
        <w:t>selon</w:t>
      </w:r>
      <w:proofErr w:type="spellEnd"/>
      <w:r w:rsidRPr="003F0008">
        <w:rPr>
          <w:rFonts w:eastAsia="Times New Roman"/>
          <w:sz w:val="40"/>
          <w:szCs w:val="40"/>
          <w:lang w:val="en-CA"/>
        </w:rPr>
        <w:t xml:space="preserve"> la </w:t>
      </w:r>
      <w:proofErr w:type="spellStart"/>
      <w:r w:rsidRPr="003F0008">
        <w:rPr>
          <w:rFonts w:eastAsia="Times New Roman"/>
          <w:sz w:val="40"/>
          <w:szCs w:val="40"/>
          <w:lang w:val="en-CA"/>
        </w:rPr>
        <w:t>région</w:t>
      </w:r>
      <w:proofErr w:type="spellEnd"/>
    </w:p>
    <w:p w:rsidR="00B96B27" w:rsidRDefault="00720D6C" w:rsidP="00B96B27">
      <w:pPr>
        <w:keepNext/>
        <w:tabs>
          <w:tab w:val="left" w:pos="7839"/>
        </w:tabs>
        <w:jc w:val="center"/>
      </w:pPr>
      <w:r w:rsidRPr="00B96B27">
        <w:rPr>
          <w:rStyle w:val="lev"/>
          <w:noProof/>
          <w:lang w:val="en-CA" w:eastAsia="en-CA"/>
        </w:rPr>
        <w:drawing>
          <wp:inline distT="0" distB="0" distL="0" distR="0" wp14:anchorId="69DF734C" wp14:editId="3C572904">
            <wp:extent cx="5648400" cy="3049200"/>
            <wp:effectExtent l="0" t="0" r="9525" b="18415"/>
            <wp:docPr id="10" name="Chart 10" descr="Dotation selon la région, la distribution régionale exclus les inconnus"/>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20D6C" w:rsidRPr="00B96B27" w:rsidRDefault="00B96B27" w:rsidP="00B96B27">
      <w:pPr>
        <w:pStyle w:val="Lgende"/>
        <w:jc w:val="center"/>
        <w:rPr>
          <w:lang w:val="fr-CA"/>
        </w:rPr>
      </w:pPr>
      <w:r w:rsidRPr="00B96B27">
        <w:rPr>
          <w:lang w:val="fr-CA"/>
        </w:rPr>
        <w:t xml:space="preserve">Figure </w:t>
      </w:r>
      <w:r>
        <w:fldChar w:fldCharType="begin"/>
      </w:r>
      <w:r w:rsidRPr="00B96B27">
        <w:rPr>
          <w:lang w:val="fr-CA"/>
        </w:rPr>
        <w:instrText xml:space="preserve"> SEQ Figure \* ARABIC </w:instrText>
      </w:r>
      <w:r>
        <w:fldChar w:fldCharType="separate"/>
      </w:r>
      <w:r w:rsidR="00EE67E2">
        <w:rPr>
          <w:noProof/>
          <w:lang w:val="fr-CA"/>
        </w:rPr>
        <w:t>6</w:t>
      </w:r>
      <w:r>
        <w:fldChar w:fldCharType="end"/>
      </w:r>
      <w:r w:rsidRPr="00B96B27">
        <w:rPr>
          <w:lang w:val="fr-CA"/>
        </w:rPr>
        <w:t xml:space="preserve"> - Dotati</w:t>
      </w:r>
      <w:r w:rsidR="003F0008">
        <w:rPr>
          <w:lang w:val="fr-CA"/>
        </w:rPr>
        <w:t>on selon la ré</w:t>
      </w:r>
      <w:r w:rsidRPr="00B96B27">
        <w:rPr>
          <w:lang w:val="fr-CA"/>
        </w:rPr>
        <w:t>gion</w:t>
      </w:r>
    </w:p>
    <w:p w:rsidR="00B96B27" w:rsidRPr="00B96B27" w:rsidRDefault="00B96B27" w:rsidP="003F0008">
      <w:pPr>
        <w:pStyle w:val="Lgende"/>
        <w:keepNext/>
        <w:spacing w:before="240"/>
        <w:jc w:val="center"/>
        <w:rPr>
          <w:lang w:val="fr-CA"/>
        </w:rPr>
      </w:pPr>
      <w:r w:rsidRPr="00B96B27">
        <w:rPr>
          <w:lang w:val="fr-CA"/>
        </w:rPr>
        <w:t xml:space="preserve">Table </w:t>
      </w:r>
      <w:r>
        <w:fldChar w:fldCharType="begin"/>
      </w:r>
      <w:r w:rsidRPr="00B96B27">
        <w:rPr>
          <w:lang w:val="fr-CA"/>
        </w:rPr>
        <w:instrText xml:space="preserve"> SEQ Table \* ARABIC </w:instrText>
      </w:r>
      <w:r>
        <w:fldChar w:fldCharType="separate"/>
      </w:r>
      <w:r w:rsidR="00EE67E2">
        <w:rPr>
          <w:noProof/>
          <w:lang w:val="fr-CA"/>
        </w:rPr>
        <w:t>6</w:t>
      </w:r>
      <w:r>
        <w:fldChar w:fldCharType="end"/>
      </w:r>
      <w:r w:rsidRPr="00B96B27">
        <w:rPr>
          <w:lang w:val="fr-CA"/>
        </w:rPr>
        <w:t xml:space="preserve"> - Pourcentage des activités de dotation dans la région de la capitale nationale en comparaison avec les régions à l’extérieur de la région de la capitale nationale selon l'exercice financier</w:t>
      </w:r>
    </w:p>
    <w:tbl>
      <w:tblPr>
        <w:tblStyle w:val="Grilledutableau"/>
        <w:tblW w:w="0" w:type="auto"/>
        <w:jc w:val="center"/>
        <w:tblLook w:val="0000" w:firstRow="0" w:lastRow="0" w:firstColumn="0" w:lastColumn="0" w:noHBand="0" w:noVBand="0"/>
        <w:tblDescription w:val="Dotation selon la région"/>
      </w:tblPr>
      <w:tblGrid>
        <w:gridCol w:w="1619"/>
        <w:gridCol w:w="6148"/>
        <w:gridCol w:w="6623"/>
      </w:tblGrid>
      <w:tr w:rsidR="00B96B27" w:rsidRPr="00D510B0" w:rsidTr="00AB1382">
        <w:trPr>
          <w:cantSplit/>
          <w:trHeight w:val="290"/>
          <w:tblHeader/>
          <w:jc w:val="center"/>
        </w:trPr>
        <w:tc>
          <w:tcPr>
            <w:tcW w:w="0" w:type="auto"/>
          </w:tcPr>
          <w:p w:rsidR="00B96B27" w:rsidRPr="00B96B27" w:rsidRDefault="00B96B27" w:rsidP="005A1239">
            <w:pPr>
              <w:pStyle w:val="TableTitle"/>
              <w:rPr>
                <w:color w:val="auto"/>
                <w:sz w:val="22"/>
                <w:szCs w:val="22"/>
                <w:lang w:val="fr-CA"/>
              </w:rPr>
            </w:pPr>
            <w:r w:rsidRPr="00B96B27">
              <w:rPr>
                <w:color w:val="auto"/>
                <w:sz w:val="22"/>
                <w:szCs w:val="22"/>
                <w:lang w:val="fr-CA"/>
              </w:rPr>
              <w:t>L'exercice financier</w:t>
            </w:r>
          </w:p>
        </w:tc>
        <w:tc>
          <w:tcPr>
            <w:tcW w:w="0" w:type="auto"/>
          </w:tcPr>
          <w:p w:rsidR="00B96B27" w:rsidRPr="00B96B27" w:rsidRDefault="00B96B27" w:rsidP="005A1239">
            <w:pPr>
              <w:pStyle w:val="TableTitle"/>
              <w:rPr>
                <w:color w:val="auto"/>
                <w:sz w:val="22"/>
                <w:szCs w:val="22"/>
                <w:lang w:val="fr-CA"/>
              </w:rPr>
            </w:pPr>
            <w:r w:rsidRPr="00B96B27">
              <w:rPr>
                <w:color w:val="auto"/>
                <w:sz w:val="22"/>
                <w:szCs w:val="22"/>
                <w:lang w:val="fr-CA"/>
              </w:rPr>
              <w:t xml:space="preserve">Pourcentage des activités de dotation à l’organisation qui a eu lieu dans la région de la capitale nationale (RCN) </w:t>
            </w:r>
          </w:p>
        </w:tc>
        <w:tc>
          <w:tcPr>
            <w:tcW w:w="0" w:type="auto"/>
          </w:tcPr>
          <w:p w:rsidR="00B96B27" w:rsidRPr="00B96B27" w:rsidRDefault="00B96B27" w:rsidP="005A1239">
            <w:pPr>
              <w:pStyle w:val="TableTitle"/>
              <w:rPr>
                <w:color w:val="auto"/>
                <w:sz w:val="22"/>
                <w:szCs w:val="22"/>
                <w:lang w:val="fr-CA"/>
              </w:rPr>
            </w:pPr>
            <w:r w:rsidRPr="00B96B27">
              <w:rPr>
                <w:color w:val="auto"/>
                <w:sz w:val="22"/>
                <w:szCs w:val="22"/>
                <w:lang w:val="fr-CA"/>
              </w:rPr>
              <w:t>Pourcentage des activités de dotation à l’organisation qui a eu lieu à l’extérieur de la région de la capitale nationale (RCN)</w:t>
            </w:r>
          </w:p>
        </w:tc>
      </w:tr>
      <w:tr w:rsidR="00B96B27" w:rsidRPr="00B96B27" w:rsidTr="00AB1382">
        <w:trPr>
          <w:cantSplit/>
          <w:trHeight w:val="290"/>
          <w:tblHeader/>
          <w:jc w:val="center"/>
        </w:trPr>
        <w:tc>
          <w:tcPr>
            <w:tcW w:w="0" w:type="auto"/>
          </w:tcPr>
          <w:p w:rsidR="00B96B27" w:rsidRPr="00B96B27" w:rsidRDefault="00B96B27" w:rsidP="005A1239">
            <w:pPr>
              <w:autoSpaceDE w:val="0"/>
              <w:autoSpaceDN w:val="0"/>
              <w:adjustRightInd w:val="0"/>
              <w:rPr>
                <w:rFonts w:asciiTheme="minorHAnsi" w:hAnsiTheme="minorHAnsi" w:cstheme="minorHAnsi"/>
                <w:color w:val="000000"/>
                <w:sz w:val="22"/>
                <w:szCs w:val="22"/>
                <w:lang w:val="fr-CA"/>
              </w:rPr>
            </w:pPr>
            <w:r w:rsidRPr="00B96B27">
              <w:rPr>
                <w:rFonts w:asciiTheme="minorHAnsi" w:hAnsiTheme="minorHAnsi" w:cstheme="minorHAnsi"/>
                <w:color w:val="000000"/>
                <w:sz w:val="22"/>
                <w:szCs w:val="22"/>
                <w:lang w:val="fr-CA"/>
              </w:rPr>
              <w:t>2014 à 2015</w:t>
            </w:r>
          </w:p>
        </w:tc>
        <w:tc>
          <w:tcPr>
            <w:tcW w:w="0" w:type="auto"/>
          </w:tcPr>
          <w:p w:rsidR="00B96B27" w:rsidRPr="00B96B27" w:rsidRDefault="00B96B27" w:rsidP="005A1239">
            <w:pPr>
              <w:autoSpaceDE w:val="0"/>
              <w:autoSpaceDN w:val="0"/>
              <w:adjustRightInd w:val="0"/>
              <w:jc w:val="center"/>
              <w:rPr>
                <w:rFonts w:asciiTheme="minorHAnsi" w:hAnsiTheme="minorHAnsi" w:cstheme="minorHAnsi"/>
                <w:color w:val="000000"/>
                <w:sz w:val="22"/>
                <w:szCs w:val="22"/>
                <w:lang w:val="fr-CA"/>
              </w:rPr>
            </w:pPr>
            <w:r w:rsidRPr="00B96B27">
              <w:rPr>
                <w:rFonts w:asciiTheme="minorHAnsi" w:hAnsiTheme="minorHAnsi" w:cstheme="minorHAnsi"/>
                <w:color w:val="000000"/>
                <w:sz w:val="22"/>
                <w:szCs w:val="22"/>
                <w:lang w:val="fr-CA"/>
              </w:rPr>
              <w:t>68%</w:t>
            </w:r>
          </w:p>
        </w:tc>
        <w:tc>
          <w:tcPr>
            <w:tcW w:w="0" w:type="auto"/>
          </w:tcPr>
          <w:p w:rsidR="00B96B27" w:rsidRPr="00B96B27" w:rsidRDefault="00B96B27" w:rsidP="005A1239">
            <w:pPr>
              <w:autoSpaceDE w:val="0"/>
              <w:autoSpaceDN w:val="0"/>
              <w:adjustRightInd w:val="0"/>
              <w:jc w:val="center"/>
              <w:rPr>
                <w:rFonts w:asciiTheme="minorHAnsi" w:hAnsiTheme="minorHAnsi" w:cstheme="minorHAnsi"/>
                <w:color w:val="000000"/>
                <w:sz w:val="22"/>
                <w:szCs w:val="22"/>
                <w:lang w:val="fr-CA"/>
              </w:rPr>
            </w:pPr>
            <w:r w:rsidRPr="00B96B27">
              <w:rPr>
                <w:rFonts w:asciiTheme="minorHAnsi" w:hAnsiTheme="minorHAnsi" w:cstheme="minorHAnsi"/>
                <w:color w:val="000000"/>
                <w:sz w:val="22"/>
                <w:szCs w:val="22"/>
                <w:lang w:val="fr-CA"/>
              </w:rPr>
              <w:t>32%</w:t>
            </w:r>
          </w:p>
        </w:tc>
      </w:tr>
      <w:tr w:rsidR="00B96B27" w:rsidRPr="00B96B27" w:rsidTr="00AB1382">
        <w:trPr>
          <w:cantSplit/>
          <w:trHeight w:val="290"/>
          <w:tblHeader/>
          <w:jc w:val="center"/>
        </w:trPr>
        <w:tc>
          <w:tcPr>
            <w:tcW w:w="0" w:type="auto"/>
          </w:tcPr>
          <w:p w:rsidR="00B96B27" w:rsidRPr="00B96B27" w:rsidRDefault="00B96B27" w:rsidP="005A1239">
            <w:pPr>
              <w:autoSpaceDE w:val="0"/>
              <w:autoSpaceDN w:val="0"/>
              <w:adjustRightInd w:val="0"/>
              <w:rPr>
                <w:rFonts w:asciiTheme="minorHAnsi" w:hAnsiTheme="minorHAnsi" w:cstheme="minorHAnsi"/>
                <w:color w:val="000000"/>
                <w:sz w:val="22"/>
                <w:szCs w:val="22"/>
                <w:lang w:val="fr-CA"/>
              </w:rPr>
            </w:pPr>
            <w:r w:rsidRPr="00B96B27">
              <w:rPr>
                <w:rFonts w:asciiTheme="minorHAnsi" w:hAnsiTheme="minorHAnsi" w:cstheme="minorHAnsi"/>
                <w:color w:val="000000"/>
                <w:sz w:val="22"/>
                <w:szCs w:val="22"/>
                <w:lang w:val="fr-CA"/>
              </w:rPr>
              <w:t>2015 à 2016</w:t>
            </w:r>
          </w:p>
        </w:tc>
        <w:tc>
          <w:tcPr>
            <w:tcW w:w="0" w:type="auto"/>
          </w:tcPr>
          <w:p w:rsidR="00B96B27" w:rsidRPr="00B96B27" w:rsidRDefault="00B96B27" w:rsidP="005A1239">
            <w:pPr>
              <w:autoSpaceDE w:val="0"/>
              <w:autoSpaceDN w:val="0"/>
              <w:adjustRightInd w:val="0"/>
              <w:jc w:val="center"/>
              <w:rPr>
                <w:rFonts w:asciiTheme="minorHAnsi" w:hAnsiTheme="minorHAnsi" w:cstheme="minorHAnsi"/>
                <w:color w:val="000000"/>
                <w:sz w:val="22"/>
                <w:szCs w:val="22"/>
                <w:lang w:val="fr-CA"/>
              </w:rPr>
            </w:pPr>
            <w:r w:rsidRPr="00B96B27">
              <w:rPr>
                <w:rFonts w:asciiTheme="minorHAnsi" w:hAnsiTheme="minorHAnsi" w:cstheme="minorHAnsi"/>
                <w:color w:val="000000"/>
                <w:sz w:val="22"/>
                <w:szCs w:val="22"/>
                <w:lang w:val="fr-CA"/>
              </w:rPr>
              <w:t>63%</w:t>
            </w:r>
          </w:p>
        </w:tc>
        <w:tc>
          <w:tcPr>
            <w:tcW w:w="0" w:type="auto"/>
          </w:tcPr>
          <w:p w:rsidR="00B96B27" w:rsidRPr="00B96B27" w:rsidRDefault="00B96B27" w:rsidP="005A1239">
            <w:pPr>
              <w:autoSpaceDE w:val="0"/>
              <w:autoSpaceDN w:val="0"/>
              <w:adjustRightInd w:val="0"/>
              <w:jc w:val="center"/>
              <w:rPr>
                <w:rFonts w:asciiTheme="minorHAnsi" w:hAnsiTheme="minorHAnsi" w:cstheme="minorHAnsi"/>
                <w:color w:val="000000"/>
                <w:sz w:val="22"/>
                <w:szCs w:val="22"/>
                <w:lang w:val="fr-CA"/>
              </w:rPr>
            </w:pPr>
            <w:r w:rsidRPr="00B96B27">
              <w:rPr>
                <w:rFonts w:asciiTheme="minorHAnsi" w:hAnsiTheme="minorHAnsi" w:cstheme="minorHAnsi"/>
                <w:color w:val="000000"/>
                <w:sz w:val="22"/>
                <w:szCs w:val="22"/>
                <w:lang w:val="fr-CA"/>
              </w:rPr>
              <w:t>37%</w:t>
            </w:r>
          </w:p>
        </w:tc>
      </w:tr>
      <w:tr w:rsidR="00B96B27" w:rsidRPr="00B96B27" w:rsidTr="00AB1382">
        <w:trPr>
          <w:cantSplit/>
          <w:trHeight w:val="290"/>
          <w:tblHeader/>
          <w:jc w:val="center"/>
        </w:trPr>
        <w:tc>
          <w:tcPr>
            <w:tcW w:w="0" w:type="auto"/>
          </w:tcPr>
          <w:p w:rsidR="00B96B27" w:rsidRPr="00B96B27" w:rsidRDefault="00B96B27" w:rsidP="005A1239">
            <w:pPr>
              <w:autoSpaceDE w:val="0"/>
              <w:autoSpaceDN w:val="0"/>
              <w:adjustRightInd w:val="0"/>
              <w:rPr>
                <w:rFonts w:asciiTheme="minorHAnsi" w:hAnsiTheme="minorHAnsi" w:cstheme="minorHAnsi"/>
                <w:color w:val="000000"/>
                <w:sz w:val="22"/>
                <w:szCs w:val="22"/>
                <w:lang w:val="fr-CA"/>
              </w:rPr>
            </w:pPr>
            <w:r w:rsidRPr="00B96B27">
              <w:rPr>
                <w:rFonts w:asciiTheme="minorHAnsi" w:hAnsiTheme="minorHAnsi" w:cstheme="minorHAnsi"/>
                <w:color w:val="000000"/>
                <w:sz w:val="22"/>
                <w:szCs w:val="22"/>
                <w:lang w:val="fr-CA"/>
              </w:rPr>
              <w:t>2016 à 2017</w:t>
            </w:r>
          </w:p>
        </w:tc>
        <w:tc>
          <w:tcPr>
            <w:tcW w:w="0" w:type="auto"/>
          </w:tcPr>
          <w:p w:rsidR="00B96B27" w:rsidRPr="00B96B27" w:rsidRDefault="00B96B27" w:rsidP="005A1239">
            <w:pPr>
              <w:autoSpaceDE w:val="0"/>
              <w:autoSpaceDN w:val="0"/>
              <w:adjustRightInd w:val="0"/>
              <w:jc w:val="center"/>
              <w:rPr>
                <w:rFonts w:asciiTheme="minorHAnsi" w:hAnsiTheme="minorHAnsi" w:cstheme="minorHAnsi"/>
                <w:color w:val="000000"/>
                <w:sz w:val="22"/>
                <w:szCs w:val="22"/>
                <w:lang w:val="fr-CA"/>
              </w:rPr>
            </w:pPr>
            <w:r w:rsidRPr="00B96B27">
              <w:rPr>
                <w:rFonts w:asciiTheme="minorHAnsi" w:hAnsiTheme="minorHAnsi" w:cstheme="minorHAnsi"/>
                <w:color w:val="000000"/>
                <w:sz w:val="22"/>
                <w:szCs w:val="22"/>
                <w:lang w:val="fr-CA"/>
              </w:rPr>
              <w:t>95%</w:t>
            </w:r>
          </w:p>
        </w:tc>
        <w:tc>
          <w:tcPr>
            <w:tcW w:w="0" w:type="auto"/>
          </w:tcPr>
          <w:p w:rsidR="00B96B27" w:rsidRPr="00B96B27" w:rsidRDefault="00B96B27" w:rsidP="005A1239">
            <w:pPr>
              <w:autoSpaceDE w:val="0"/>
              <w:autoSpaceDN w:val="0"/>
              <w:adjustRightInd w:val="0"/>
              <w:jc w:val="center"/>
              <w:rPr>
                <w:rFonts w:asciiTheme="minorHAnsi" w:hAnsiTheme="minorHAnsi" w:cstheme="minorHAnsi"/>
                <w:color w:val="000000"/>
                <w:sz w:val="22"/>
                <w:szCs w:val="22"/>
                <w:lang w:val="fr-CA"/>
              </w:rPr>
            </w:pPr>
            <w:r w:rsidRPr="00B96B27">
              <w:rPr>
                <w:rFonts w:asciiTheme="minorHAnsi" w:hAnsiTheme="minorHAnsi" w:cstheme="minorHAnsi"/>
                <w:color w:val="000000"/>
                <w:sz w:val="22"/>
                <w:szCs w:val="22"/>
                <w:lang w:val="fr-CA"/>
              </w:rPr>
              <w:t>5%</w:t>
            </w:r>
          </w:p>
        </w:tc>
      </w:tr>
      <w:tr w:rsidR="00B96B27" w:rsidRPr="00B96B27" w:rsidTr="00AB1382">
        <w:trPr>
          <w:cantSplit/>
          <w:trHeight w:val="290"/>
          <w:tblHeader/>
          <w:jc w:val="center"/>
        </w:trPr>
        <w:tc>
          <w:tcPr>
            <w:tcW w:w="0" w:type="auto"/>
          </w:tcPr>
          <w:p w:rsidR="00B96B27" w:rsidRPr="00B96B27" w:rsidRDefault="00B96B27" w:rsidP="005A1239">
            <w:pPr>
              <w:autoSpaceDE w:val="0"/>
              <w:autoSpaceDN w:val="0"/>
              <w:adjustRightInd w:val="0"/>
              <w:rPr>
                <w:rFonts w:asciiTheme="minorHAnsi" w:hAnsiTheme="minorHAnsi" w:cstheme="minorHAnsi"/>
                <w:color w:val="000000"/>
                <w:sz w:val="22"/>
                <w:szCs w:val="22"/>
                <w:lang w:val="fr-CA"/>
              </w:rPr>
            </w:pPr>
            <w:r w:rsidRPr="00B96B27">
              <w:rPr>
                <w:rFonts w:asciiTheme="minorHAnsi" w:hAnsiTheme="minorHAnsi" w:cstheme="minorHAnsi"/>
                <w:color w:val="000000"/>
                <w:sz w:val="22"/>
                <w:szCs w:val="22"/>
                <w:lang w:val="fr-CA"/>
              </w:rPr>
              <w:t>2017 à 2018</w:t>
            </w:r>
          </w:p>
        </w:tc>
        <w:tc>
          <w:tcPr>
            <w:tcW w:w="0" w:type="auto"/>
          </w:tcPr>
          <w:p w:rsidR="00B96B27" w:rsidRPr="00B96B27" w:rsidRDefault="00B96B27" w:rsidP="005A1239">
            <w:pPr>
              <w:autoSpaceDE w:val="0"/>
              <w:autoSpaceDN w:val="0"/>
              <w:adjustRightInd w:val="0"/>
              <w:jc w:val="center"/>
              <w:rPr>
                <w:rFonts w:asciiTheme="minorHAnsi" w:hAnsiTheme="minorHAnsi" w:cstheme="minorHAnsi"/>
                <w:color w:val="000000"/>
                <w:sz w:val="22"/>
                <w:szCs w:val="22"/>
                <w:lang w:val="fr-CA"/>
              </w:rPr>
            </w:pPr>
            <w:r w:rsidRPr="00B96B27">
              <w:rPr>
                <w:rFonts w:asciiTheme="minorHAnsi" w:hAnsiTheme="minorHAnsi" w:cstheme="minorHAnsi"/>
                <w:color w:val="000000"/>
                <w:sz w:val="22"/>
                <w:szCs w:val="22"/>
                <w:lang w:val="fr-CA"/>
              </w:rPr>
              <w:t>94%</w:t>
            </w:r>
          </w:p>
        </w:tc>
        <w:tc>
          <w:tcPr>
            <w:tcW w:w="0" w:type="auto"/>
          </w:tcPr>
          <w:p w:rsidR="00B96B27" w:rsidRPr="00B96B27" w:rsidRDefault="00B96B27" w:rsidP="005A1239">
            <w:pPr>
              <w:autoSpaceDE w:val="0"/>
              <w:autoSpaceDN w:val="0"/>
              <w:adjustRightInd w:val="0"/>
              <w:jc w:val="center"/>
              <w:rPr>
                <w:rFonts w:asciiTheme="minorHAnsi" w:hAnsiTheme="minorHAnsi" w:cstheme="minorHAnsi"/>
                <w:color w:val="000000"/>
                <w:sz w:val="22"/>
                <w:szCs w:val="22"/>
                <w:lang w:val="fr-CA"/>
              </w:rPr>
            </w:pPr>
            <w:r w:rsidRPr="00B96B27">
              <w:rPr>
                <w:rFonts w:asciiTheme="minorHAnsi" w:hAnsiTheme="minorHAnsi" w:cstheme="minorHAnsi"/>
                <w:color w:val="000000"/>
                <w:sz w:val="22"/>
                <w:szCs w:val="22"/>
                <w:lang w:val="fr-CA"/>
              </w:rPr>
              <w:t>6%</w:t>
            </w:r>
          </w:p>
        </w:tc>
      </w:tr>
      <w:tr w:rsidR="00B96B27" w:rsidRPr="00B96B27" w:rsidTr="00AB1382">
        <w:trPr>
          <w:cantSplit/>
          <w:trHeight w:val="290"/>
          <w:tblHeader/>
          <w:jc w:val="center"/>
        </w:trPr>
        <w:tc>
          <w:tcPr>
            <w:tcW w:w="0" w:type="auto"/>
          </w:tcPr>
          <w:p w:rsidR="00B96B27" w:rsidRPr="00B96B27" w:rsidRDefault="00B96B27" w:rsidP="005A1239">
            <w:pPr>
              <w:autoSpaceDE w:val="0"/>
              <w:autoSpaceDN w:val="0"/>
              <w:adjustRightInd w:val="0"/>
              <w:rPr>
                <w:rFonts w:asciiTheme="minorHAnsi" w:hAnsiTheme="minorHAnsi" w:cstheme="minorHAnsi"/>
                <w:color w:val="000000"/>
                <w:sz w:val="22"/>
                <w:szCs w:val="22"/>
                <w:lang w:val="fr-CA"/>
              </w:rPr>
            </w:pPr>
            <w:r w:rsidRPr="00B96B27">
              <w:rPr>
                <w:rFonts w:asciiTheme="minorHAnsi" w:hAnsiTheme="minorHAnsi" w:cstheme="minorHAnsi"/>
                <w:color w:val="000000"/>
                <w:sz w:val="22"/>
                <w:szCs w:val="22"/>
                <w:lang w:val="fr-CA"/>
              </w:rPr>
              <w:t>2018 à 2019</w:t>
            </w:r>
          </w:p>
        </w:tc>
        <w:tc>
          <w:tcPr>
            <w:tcW w:w="0" w:type="auto"/>
          </w:tcPr>
          <w:p w:rsidR="00B96B27" w:rsidRPr="00B96B27" w:rsidRDefault="00B96B27" w:rsidP="005A1239">
            <w:pPr>
              <w:autoSpaceDE w:val="0"/>
              <w:autoSpaceDN w:val="0"/>
              <w:adjustRightInd w:val="0"/>
              <w:jc w:val="center"/>
              <w:rPr>
                <w:rFonts w:asciiTheme="minorHAnsi" w:hAnsiTheme="minorHAnsi" w:cstheme="minorHAnsi"/>
                <w:color w:val="000000"/>
                <w:sz w:val="22"/>
                <w:szCs w:val="22"/>
                <w:lang w:val="fr-CA"/>
              </w:rPr>
            </w:pPr>
            <w:r w:rsidRPr="00B96B27">
              <w:rPr>
                <w:rFonts w:asciiTheme="minorHAnsi" w:hAnsiTheme="minorHAnsi" w:cstheme="minorHAnsi"/>
                <w:color w:val="000000"/>
                <w:sz w:val="22"/>
                <w:szCs w:val="22"/>
                <w:lang w:val="fr-CA"/>
              </w:rPr>
              <w:t>82%</w:t>
            </w:r>
          </w:p>
        </w:tc>
        <w:tc>
          <w:tcPr>
            <w:tcW w:w="0" w:type="auto"/>
          </w:tcPr>
          <w:p w:rsidR="00B96B27" w:rsidRPr="00B96B27" w:rsidRDefault="00B96B27" w:rsidP="005A1239">
            <w:pPr>
              <w:autoSpaceDE w:val="0"/>
              <w:autoSpaceDN w:val="0"/>
              <w:adjustRightInd w:val="0"/>
              <w:jc w:val="center"/>
              <w:rPr>
                <w:rFonts w:asciiTheme="minorHAnsi" w:hAnsiTheme="minorHAnsi" w:cstheme="minorHAnsi"/>
                <w:color w:val="000000"/>
                <w:sz w:val="22"/>
                <w:szCs w:val="22"/>
                <w:lang w:val="fr-CA"/>
              </w:rPr>
            </w:pPr>
            <w:r w:rsidRPr="00B96B27">
              <w:rPr>
                <w:rFonts w:asciiTheme="minorHAnsi" w:hAnsiTheme="minorHAnsi" w:cstheme="minorHAnsi"/>
                <w:color w:val="000000"/>
                <w:sz w:val="22"/>
                <w:szCs w:val="22"/>
                <w:lang w:val="fr-CA"/>
              </w:rPr>
              <w:t>18%</w:t>
            </w:r>
          </w:p>
        </w:tc>
      </w:tr>
    </w:tbl>
    <w:p w:rsidR="003F0008" w:rsidRPr="003F0008" w:rsidRDefault="003F0008" w:rsidP="003F0008">
      <w:pPr>
        <w:pStyle w:val="Titre1"/>
        <w:spacing w:before="120" w:after="120"/>
        <w:rPr>
          <w:sz w:val="40"/>
          <w:szCs w:val="40"/>
          <w:lang w:val="fr-CA"/>
        </w:rPr>
      </w:pPr>
      <w:r w:rsidRPr="003F0008">
        <w:rPr>
          <w:rFonts w:eastAsia="Times New Roman"/>
          <w:sz w:val="40"/>
          <w:szCs w:val="40"/>
          <w:lang w:val="fr-CA"/>
        </w:rPr>
        <w:lastRenderedPageBreak/>
        <w:t>Dotation selon le type de processus</w:t>
      </w:r>
    </w:p>
    <w:p w:rsidR="003E68CE" w:rsidRDefault="00513230" w:rsidP="003E68CE">
      <w:pPr>
        <w:keepNext/>
        <w:tabs>
          <w:tab w:val="left" w:pos="7839"/>
        </w:tabs>
        <w:jc w:val="center"/>
      </w:pPr>
      <w:r w:rsidRPr="003E68CE">
        <w:rPr>
          <w:rStyle w:val="lev"/>
          <w:noProof/>
          <w:lang w:val="en-CA" w:eastAsia="en-CA"/>
        </w:rPr>
        <w:drawing>
          <wp:inline distT="0" distB="0" distL="0" distR="0" wp14:anchorId="087E7206" wp14:editId="75E9012E">
            <wp:extent cx="5648400" cy="3049200"/>
            <wp:effectExtent l="0" t="0" r="9525" b="18415"/>
            <wp:docPr id="1" name="Chart 1" descr="Dotation selon le type de processus"/>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513230" w:rsidRPr="003E68CE" w:rsidRDefault="003E68CE" w:rsidP="003E68CE">
      <w:pPr>
        <w:pStyle w:val="Lgende"/>
        <w:jc w:val="center"/>
        <w:rPr>
          <w:lang w:val="fr-CA"/>
        </w:rPr>
      </w:pPr>
      <w:r w:rsidRPr="003E68CE">
        <w:rPr>
          <w:lang w:val="fr-CA"/>
        </w:rPr>
        <w:t xml:space="preserve">Figure </w:t>
      </w:r>
      <w:r>
        <w:fldChar w:fldCharType="begin"/>
      </w:r>
      <w:r w:rsidRPr="003E68CE">
        <w:rPr>
          <w:lang w:val="fr-CA"/>
        </w:rPr>
        <w:instrText xml:space="preserve"> SEQ Figure \* ARABIC </w:instrText>
      </w:r>
      <w:r>
        <w:fldChar w:fldCharType="separate"/>
      </w:r>
      <w:r w:rsidR="00EE67E2">
        <w:rPr>
          <w:noProof/>
          <w:lang w:val="fr-CA"/>
        </w:rPr>
        <w:t>7</w:t>
      </w:r>
      <w:r>
        <w:fldChar w:fldCharType="end"/>
      </w:r>
      <w:r w:rsidRPr="003E68CE">
        <w:rPr>
          <w:lang w:val="fr-CA"/>
        </w:rPr>
        <w:t xml:space="preserve"> - Dotation selon le type de processus</w:t>
      </w:r>
    </w:p>
    <w:p w:rsidR="008325F2" w:rsidRPr="001F011C" w:rsidRDefault="008325F2" w:rsidP="008325F2">
      <w:pPr>
        <w:pStyle w:val="Lgende"/>
        <w:keepNext/>
        <w:spacing w:before="240"/>
        <w:jc w:val="center"/>
        <w:rPr>
          <w:lang w:val="fr-CA"/>
        </w:rPr>
      </w:pPr>
      <w:r w:rsidRPr="001F011C">
        <w:rPr>
          <w:lang w:val="fr-CA"/>
        </w:rPr>
        <w:t xml:space="preserve">Table </w:t>
      </w:r>
      <w:r>
        <w:fldChar w:fldCharType="begin"/>
      </w:r>
      <w:r w:rsidRPr="001F011C">
        <w:rPr>
          <w:lang w:val="fr-CA"/>
        </w:rPr>
        <w:instrText xml:space="preserve"> SEQ Table \* ARABIC </w:instrText>
      </w:r>
      <w:r>
        <w:fldChar w:fldCharType="separate"/>
      </w:r>
      <w:r w:rsidR="00EE67E2">
        <w:rPr>
          <w:noProof/>
          <w:lang w:val="fr-CA"/>
        </w:rPr>
        <w:t>7</w:t>
      </w:r>
      <w:r>
        <w:fldChar w:fldCharType="end"/>
      </w:r>
      <w:r w:rsidRPr="001F011C">
        <w:rPr>
          <w:lang w:val="fr-CA"/>
        </w:rPr>
        <w:t xml:space="preserve"> - Nombre et pourcentage des activités de dotation selon le type de processus et l’exercice financier</w:t>
      </w:r>
    </w:p>
    <w:tbl>
      <w:tblPr>
        <w:tblStyle w:val="Grilledutableau"/>
        <w:tblW w:w="5000" w:type="pct"/>
        <w:jc w:val="center"/>
        <w:tblLook w:val="0000" w:firstRow="0" w:lastRow="0" w:firstColumn="0" w:lastColumn="0" w:noHBand="0" w:noVBand="0"/>
        <w:tblDescription w:val="Dotation selon le type de processus"/>
      </w:tblPr>
      <w:tblGrid>
        <w:gridCol w:w="2194"/>
        <w:gridCol w:w="4885"/>
        <w:gridCol w:w="2479"/>
        <w:gridCol w:w="4832"/>
      </w:tblGrid>
      <w:tr w:rsidR="003E68CE" w:rsidRPr="00D510B0" w:rsidTr="003F0008">
        <w:trPr>
          <w:cantSplit/>
          <w:trHeight w:val="290"/>
          <w:tblHeader/>
          <w:jc w:val="center"/>
        </w:trPr>
        <w:tc>
          <w:tcPr>
            <w:tcW w:w="762" w:type="pct"/>
          </w:tcPr>
          <w:p w:rsidR="003E68CE" w:rsidRPr="008325F2" w:rsidRDefault="003E68CE" w:rsidP="005A1239">
            <w:pPr>
              <w:pStyle w:val="TableTitle"/>
              <w:rPr>
                <w:color w:val="auto"/>
                <w:sz w:val="22"/>
                <w:szCs w:val="22"/>
                <w:lang w:val="fr-CA"/>
              </w:rPr>
            </w:pPr>
            <w:r w:rsidRPr="008325F2">
              <w:rPr>
                <w:color w:val="auto"/>
                <w:sz w:val="22"/>
                <w:szCs w:val="22"/>
                <w:lang w:val="fr-CA"/>
              </w:rPr>
              <w:t>Exercice financier</w:t>
            </w:r>
          </w:p>
        </w:tc>
        <w:tc>
          <w:tcPr>
            <w:tcW w:w="1697" w:type="pct"/>
          </w:tcPr>
          <w:p w:rsidR="003E68CE" w:rsidRPr="008325F2" w:rsidRDefault="003E68CE" w:rsidP="005A1239">
            <w:pPr>
              <w:pStyle w:val="TableTitle"/>
              <w:rPr>
                <w:color w:val="auto"/>
                <w:sz w:val="22"/>
                <w:szCs w:val="22"/>
                <w:lang w:val="fr-CA"/>
              </w:rPr>
            </w:pPr>
            <w:r w:rsidRPr="008325F2">
              <w:rPr>
                <w:color w:val="auto"/>
                <w:sz w:val="22"/>
                <w:szCs w:val="22"/>
                <w:lang w:val="fr-CA"/>
              </w:rPr>
              <w:t>Processus non annoncé (inconnus exclus)</w:t>
            </w:r>
          </w:p>
        </w:tc>
        <w:tc>
          <w:tcPr>
            <w:tcW w:w="861" w:type="pct"/>
          </w:tcPr>
          <w:p w:rsidR="003E68CE" w:rsidRPr="008325F2" w:rsidRDefault="003E68CE" w:rsidP="005A1239">
            <w:pPr>
              <w:pStyle w:val="TableTitle"/>
              <w:rPr>
                <w:color w:val="auto"/>
                <w:sz w:val="22"/>
                <w:szCs w:val="22"/>
                <w:lang w:val="fr-CA"/>
              </w:rPr>
            </w:pPr>
            <w:r w:rsidRPr="008325F2">
              <w:rPr>
                <w:color w:val="auto"/>
                <w:sz w:val="22"/>
                <w:szCs w:val="22"/>
                <w:lang w:val="fr-CA"/>
              </w:rPr>
              <w:t>Processus annoncés</w:t>
            </w:r>
          </w:p>
        </w:tc>
        <w:tc>
          <w:tcPr>
            <w:tcW w:w="1679" w:type="pct"/>
          </w:tcPr>
          <w:p w:rsidR="003E68CE" w:rsidRPr="008325F2" w:rsidRDefault="003E68CE" w:rsidP="005A1239">
            <w:pPr>
              <w:pStyle w:val="TableTitle"/>
              <w:rPr>
                <w:color w:val="auto"/>
                <w:sz w:val="22"/>
                <w:szCs w:val="22"/>
                <w:lang w:val="fr-CA"/>
              </w:rPr>
            </w:pPr>
            <w:r w:rsidRPr="008325F2">
              <w:rPr>
                <w:color w:val="auto"/>
                <w:sz w:val="22"/>
                <w:szCs w:val="22"/>
                <w:lang w:val="fr-CA"/>
              </w:rPr>
              <w:t xml:space="preserve">Pourcentage de processus non annoncés </w:t>
            </w:r>
          </w:p>
        </w:tc>
      </w:tr>
      <w:tr w:rsidR="003E68CE" w:rsidRPr="008325F2" w:rsidTr="003F0008">
        <w:trPr>
          <w:cantSplit/>
          <w:trHeight w:val="290"/>
          <w:tblHeader/>
          <w:jc w:val="center"/>
        </w:trPr>
        <w:tc>
          <w:tcPr>
            <w:tcW w:w="762" w:type="pct"/>
          </w:tcPr>
          <w:p w:rsidR="003E68CE" w:rsidRPr="008325F2" w:rsidRDefault="003E68CE" w:rsidP="005A1239">
            <w:pPr>
              <w:autoSpaceDE w:val="0"/>
              <w:autoSpaceDN w:val="0"/>
              <w:adjustRightInd w:val="0"/>
              <w:rPr>
                <w:rFonts w:asciiTheme="minorHAnsi" w:hAnsiTheme="minorHAnsi" w:cstheme="minorHAnsi"/>
                <w:color w:val="000000"/>
                <w:sz w:val="22"/>
                <w:szCs w:val="22"/>
                <w:lang w:val="fr-CA"/>
              </w:rPr>
            </w:pPr>
            <w:r w:rsidRPr="008325F2">
              <w:rPr>
                <w:rFonts w:asciiTheme="minorHAnsi" w:hAnsiTheme="minorHAnsi" w:cstheme="minorHAnsi"/>
                <w:color w:val="000000"/>
                <w:sz w:val="22"/>
                <w:szCs w:val="22"/>
                <w:lang w:val="fr-CA"/>
              </w:rPr>
              <w:t xml:space="preserve">2014 à 2015 </w:t>
            </w:r>
          </w:p>
        </w:tc>
        <w:tc>
          <w:tcPr>
            <w:tcW w:w="1697" w:type="pct"/>
          </w:tcPr>
          <w:p w:rsidR="003E68CE" w:rsidRPr="008325F2" w:rsidRDefault="003E68CE" w:rsidP="005A1239">
            <w:pPr>
              <w:autoSpaceDE w:val="0"/>
              <w:autoSpaceDN w:val="0"/>
              <w:adjustRightInd w:val="0"/>
              <w:jc w:val="center"/>
              <w:rPr>
                <w:rFonts w:asciiTheme="minorHAnsi" w:hAnsiTheme="minorHAnsi" w:cstheme="minorHAnsi"/>
                <w:color w:val="000000"/>
                <w:sz w:val="22"/>
                <w:szCs w:val="22"/>
                <w:lang w:val="fr-CA"/>
              </w:rPr>
            </w:pPr>
            <w:r w:rsidRPr="008325F2">
              <w:rPr>
                <w:rFonts w:asciiTheme="minorHAnsi" w:hAnsiTheme="minorHAnsi" w:cstheme="minorHAnsi"/>
                <w:color w:val="000000"/>
                <w:sz w:val="22"/>
                <w:szCs w:val="22"/>
                <w:lang w:val="fr-CA"/>
              </w:rPr>
              <w:t>2</w:t>
            </w:r>
          </w:p>
        </w:tc>
        <w:tc>
          <w:tcPr>
            <w:tcW w:w="861" w:type="pct"/>
          </w:tcPr>
          <w:p w:rsidR="003E68CE" w:rsidRPr="008325F2" w:rsidRDefault="003E68CE" w:rsidP="005A1239">
            <w:pPr>
              <w:autoSpaceDE w:val="0"/>
              <w:autoSpaceDN w:val="0"/>
              <w:adjustRightInd w:val="0"/>
              <w:jc w:val="center"/>
              <w:rPr>
                <w:rFonts w:asciiTheme="minorHAnsi" w:hAnsiTheme="minorHAnsi" w:cstheme="minorHAnsi"/>
                <w:color w:val="000000"/>
                <w:sz w:val="22"/>
                <w:szCs w:val="22"/>
                <w:lang w:val="fr-CA"/>
              </w:rPr>
            </w:pPr>
            <w:r w:rsidRPr="008325F2">
              <w:rPr>
                <w:rFonts w:asciiTheme="minorHAnsi" w:hAnsiTheme="minorHAnsi" w:cstheme="minorHAnsi"/>
                <w:color w:val="000000"/>
                <w:sz w:val="22"/>
                <w:szCs w:val="22"/>
                <w:lang w:val="fr-CA"/>
              </w:rPr>
              <w:t>5</w:t>
            </w:r>
          </w:p>
        </w:tc>
        <w:tc>
          <w:tcPr>
            <w:tcW w:w="1679" w:type="pct"/>
          </w:tcPr>
          <w:p w:rsidR="003E68CE" w:rsidRPr="008325F2" w:rsidRDefault="003E68CE" w:rsidP="005A1239">
            <w:pPr>
              <w:autoSpaceDE w:val="0"/>
              <w:autoSpaceDN w:val="0"/>
              <w:adjustRightInd w:val="0"/>
              <w:jc w:val="center"/>
              <w:rPr>
                <w:rFonts w:asciiTheme="minorHAnsi" w:hAnsiTheme="minorHAnsi" w:cstheme="minorHAnsi"/>
                <w:color w:val="000000"/>
                <w:sz w:val="22"/>
                <w:szCs w:val="22"/>
                <w:lang w:val="fr-CA"/>
              </w:rPr>
            </w:pPr>
            <w:r w:rsidRPr="008325F2">
              <w:rPr>
                <w:rFonts w:asciiTheme="minorHAnsi" w:hAnsiTheme="minorHAnsi" w:cstheme="minorHAnsi"/>
                <w:color w:val="000000"/>
                <w:sz w:val="22"/>
                <w:szCs w:val="22"/>
                <w:lang w:val="fr-CA"/>
              </w:rPr>
              <w:t>29%</w:t>
            </w:r>
          </w:p>
        </w:tc>
      </w:tr>
      <w:tr w:rsidR="003E68CE" w:rsidRPr="008325F2" w:rsidTr="003F0008">
        <w:trPr>
          <w:cantSplit/>
          <w:trHeight w:val="290"/>
          <w:tblHeader/>
          <w:jc w:val="center"/>
        </w:trPr>
        <w:tc>
          <w:tcPr>
            <w:tcW w:w="762" w:type="pct"/>
          </w:tcPr>
          <w:p w:rsidR="003E68CE" w:rsidRPr="008325F2" w:rsidRDefault="003E68CE" w:rsidP="005A1239">
            <w:pPr>
              <w:autoSpaceDE w:val="0"/>
              <w:autoSpaceDN w:val="0"/>
              <w:adjustRightInd w:val="0"/>
              <w:rPr>
                <w:rFonts w:asciiTheme="minorHAnsi" w:hAnsiTheme="minorHAnsi" w:cstheme="minorHAnsi"/>
                <w:color w:val="000000"/>
                <w:sz w:val="22"/>
                <w:szCs w:val="22"/>
                <w:lang w:val="fr-CA"/>
              </w:rPr>
            </w:pPr>
            <w:r w:rsidRPr="008325F2">
              <w:rPr>
                <w:rFonts w:asciiTheme="minorHAnsi" w:hAnsiTheme="minorHAnsi" w:cstheme="minorHAnsi"/>
                <w:color w:val="000000"/>
                <w:sz w:val="22"/>
                <w:szCs w:val="22"/>
                <w:lang w:val="fr-CA"/>
              </w:rPr>
              <w:t xml:space="preserve">2015 à 2016 </w:t>
            </w:r>
          </w:p>
        </w:tc>
        <w:tc>
          <w:tcPr>
            <w:tcW w:w="1697" w:type="pct"/>
          </w:tcPr>
          <w:p w:rsidR="003E68CE" w:rsidRPr="008325F2" w:rsidRDefault="003E68CE" w:rsidP="005A1239">
            <w:pPr>
              <w:autoSpaceDE w:val="0"/>
              <w:autoSpaceDN w:val="0"/>
              <w:adjustRightInd w:val="0"/>
              <w:jc w:val="center"/>
              <w:rPr>
                <w:rFonts w:asciiTheme="minorHAnsi" w:hAnsiTheme="minorHAnsi" w:cstheme="minorHAnsi"/>
                <w:color w:val="000000"/>
                <w:sz w:val="22"/>
                <w:szCs w:val="22"/>
                <w:lang w:val="fr-CA"/>
              </w:rPr>
            </w:pPr>
            <w:r w:rsidRPr="008325F2">
              <w:rPr>
                <w:rFonts w:asciiTheme="minorHAnsi" w:hAnsiTheme="minorHAnsi" w:cstheme="minorHAnsi"/>
                <w:color w:val="000000"/>
                <w:sz w:val="22"/>
                <w:szCs w:val="22"/>
                <w:lang w:val="fr-CA"/>
              </w:rPr>
              <w:t>S/O</w:t>
            </w:r>
          </w:p>
        </w:tc>
        <w:tc>
          <w:tcPr>
            <w:tcW w:w="861" w:type="pct"/>
          </w:tcPr>
          <w:p w:rsidR="003E68CE" w:rsidRPr="008325F2" w:rsidRDefault="003E68CE" w:rsidP="005A1239">
            <w:pPr>
              <w:autoSpaceDE w:val="0"/>
              <w:autoSpaceDN w:val="0"/>
              <w:adjustRightInd w:val="0"/>
              <w:jc w:val="center"/>
              <w:rPr>
                <w:rFonts w:asciiTheme="minorHAnsi" w:hAnsiTheme="minorHAnsi" w:cstheme="minorHAnsi"/>
                <w:color w:val="000000"/>
                <w:sz w:val="22"/>
                <w:szCs w:val="22"/>
                <w:lang w:val="fr-CA"/>
              </w:rPr>
            </w:pPr>
            <w:r w:rsidRPr="008325F2">
              <w:rPr>
                <w:rFonts w:asciiTheme="minorHAnsi" w:hAnsiTheme="minorHAnsi" w:cstheme="minorHAnsi"/>
                <w:color w:val="000000"/>
                <w:sz w:val="22"/>
                <w:szCs w:val="22"/>
                <w:lang w:val="fr-CA"/>
              </w:rPr>
              <w:t>S/O</w:t>
            </w:r>
          </w:p>
        </w:tc>
        <w:tc>
          <w:tcPr>
            <w:tcW w:w="1679" w:type="pct"/>
          </w:tcPr>
          <w:p w:rsidR="003E68CE" w:rsidRPr="008325F2" w:rsidRDefault="003E68CE" w:rsidP="005A1239">
            <w:pPr>
              <w:autoSpaceDE w:val="0"/>
              <w:autoSpaceDN w:val="0"/>
              <w:adjustRightInd w:val="0"/>
              <w:jc w:val="center"/>
              <w:rPr>
                <w:rFonts w:asciiTheme="minorHAnsi" w:hAnsiTheme="minorHAnsi" w:cstheme="minorHAnsi"/>
                <w:color w:val="000000"/>
                <w:sz w:val="22"/>
                <w:szCs w:val="22"/>
                <w:lang w:val="fr-CA"/>
              </w:rPr>
            </w:pPr>
            <w:r w:rsidRPr="008325F2">
              <w:rPr>
                <w:rFonts w:asciiTheme="minorHAnsi" w:hAnsiTheme="minorHAnsi" w:cstheme="minorHAnsi"/>
                <w:color w:val="000000"/>
                <w:sz w:val="22"/>
                <w:szCs w:val="22"/>
                <w:lang w:val="fr-CA"/>
              </w:rPr>
              <w:t>S/O</w:t>
            </w:r>
          </w:p>
        </w:tc>
      </w:tr>
      <w:tr w:rsidR="003E68CE" w:rsidRPr="008325F2" w:rsidTr="003F0008">
        <w:trPr>
          <w:cantSplit/>
          <w:trHeight w:val="290"/>
          <w:tblHeader/>
          <w:jc w:val="center"/>
        </w:trPr>
        <w:tc>
          <w:tcPr>
            <w:tcW w:w="762" w:type="pct"/>
          </w:tcPr>
          <w:p w:rsidR="003E68CE" w:rsidRPr="008325F2" w:rsidRDefault="003E68CE" w:rsidP="005A1239">
            <w:pPr>
              <w:autoSpaceDE w:val="0"/>
              <w:autoSpaceDN w:val="0"/>
              <w:adjustRightInd w:val="0"/>
              <w:rPr>
                <w:rFonts w:asciiTheme="minorHAnsi" w:hAnsiTheme="minorHAnsi" w:cstheme="minorHAnsi"/>
                <w:color w:val="000000"/>
                <w:sz w:val="22"/>
                <w:szCs w:val="22"/>
                <w:lang w:val="fr-CA"/>
              </w:rPr>
            </w:pPr>
            <w:r w:rsidRPr="008325F2">
              <w:rPr>
                <w:rFonts w:asciiTheme="minorHAnsi" w:hAnsiTheme="minorHAnsi" w:cstheme="minorHAnsi"/>
                <w:color w:val="000000"/>
                <w:sz w:val="22"/>
                <w:szCs w:val="22"/>
                <w:lang w:val="fr-CA"/>
              </w:rPr>
              <w:t>2016 à 2017</w:t>
            </w:r>
          </w:p>
        </w:tc>
        <w:tc>
          <w:tcPr>
            <w:tcW w:w="1697" w:type="pct"/>
          </w:tcPr>
          <w:p w:rsidR="003E68CE" w:rsidRPr="008325F2" w:rsidRDefault="003E68CE" w:rsidP="005A1239">
            <w:pPr>
              <w:autoSpaceDE w:val="0"/>
              <w:autoSpaceDN w:val="0"/>
              <w:adjustRightInd w:val="0"/>
              <w:jc w:val="center"/>
              <w:rPr>
                <w:rFonts w:asciiTheme="minorHAnsi" w:hAnsiTheme="minorHAnsi" w:cstheme="minorHAnsi"/>
                <w:color w:val="000000"/>
                <w:sz w:val="22"/>
                <w:szCs w:val="22"/>
                <w:lang w:val="fr-CA"/>
              </w:rPr>
            </w:pPr>
            <w:r w:rsidRPr="008325F2">
              <w:rPr>
                <w:rFonts w:asciiTheme="minorHAnsi" w:hAnsiTheme="minorHAnsi" w:cstheme="minorHAnsi"/>
                <w:color w:val="000000"/>
                <w:sz w:val="22"/>
                <w:szCs w:val="22"/>
                <w:lang w:val="fr-CA"/>
              </w:rPr>
              <w:t>S/O</w:t>
            </w:r>
          </w:p>
        </w:tc>
        <w:tc>
          <w:tcPr>
            <w:tcW w:w="861" w:type="pct"/>
          </w:tcPr>
          <w:p w:rsidR="003E68CE" w:rsidRPr="008325F2" w:rsidRDefault="003E68CE" w:rsidP="005A1239">
            <w:pPr>
              <w:autoSpaceDE w:val="0"/>
              <w:autoSpaceDN w:val="0"/>
              <w:adjustRightInd w:val="0"/>
              <w:jc w:val="center"/>
              <w:rPr>
                <w:rFonts w:asciiTheme="minorHAnsi" w:hAnsiTheme="minorHAnsi" w:cstheme="minorHAnsi"/>
                <w:color w:val="000000"/>
                <w:sz w:val="22"/>
                <w:szCs w:val="22"/>
                <w:lang w:val="fr-CA"/>
              </w:rPr>
            </w:pPr>
            <w:r w:rsidRPr="008325F2">
              <w:rPr>
                <w:rFonts w:asciiTheme="minorHAnsi" w:hAnsiTheme="minorHAnsi" w:cstheme="minorHAnsi"/>
                <w:color w:val="000000"/>
                <w:sz w:val="22"/>
                <w:szCs w:val="22"/>
                <w:lang w:val="fr-CA"/>
              </w:rPr>
              <w:t>S/O</w:t>
            </w:r>
          </w:p>
        </w:tc>
        <w:tc>
          <w:tcPr>
            <w:tcW w:w="1679" w:type="pct"/>
          </w:tcPr>
          <w:p w:rsidR="003E68CE" w:rsidRPr="008325F2" w:rsidRDefault="003E68CE" w:rsidP="005A1239">
            <w:pPr>
              <w:autoSpaceDE w:val="0"/>
              <w:autoSpaceDN w:val="0"/>
              <w:adjustRightInd w:val="0"/>
              <w:jc w:val="center"/>
              <w:rPr>
                <w:rFonts w:asciiTheme="minorHAnsi" w:hAnsiTheme="minorHAnsi" w:cstheme="minorHAnsi"/>
                <w:color w:val="000000"/>
                <w:sz w:val="22"/>
                <w:szCs w:val="22"/>
                <w:lang w:val="fr-CA"/>
              </w:rPr>
            </w:pPr>
            <w:r w:rsidRPr="008325F2">
              <w:rPr>
                <w:rFonts w:asciiTheme="minorHAnsi" w:hAnsiTheme="minorHAnsi" w:cstheme="minorHAnsi"/>
                <w:color w:val="000000"/>
                <w:sz w:val="22"/>
                <w:szCs w:val="22"/>
                <w:lang w:val="fr-CA"/>
              </w:rPr>
              <w:t>S/O</w:t>
            </w:r>
          </w:p>
        </w:tc>
      </w:tr>
      <w:tr w:rsidR="003E68CE" w:rsidRPr="008325F2" w:rsidTr="003F0008">
        <w:trPr>
          <w:cantSplit/>
          <w:trHeight w:val="290"/>
          <w:tblHeader/>
          <w:jc w:val="center"/>
        </w:trPr>
        <w:tc>
          <w:tcPr>
            <w:tcW w:w="762" w:type="pct"/>
          </w:tcPr>
          <w:p w:rsidR="003E68CE" w:rsidRPr="008325F2" w:rsidRDefault="003E68CE" w:rsidP="005A1239">
            <w:pPr>
              <w:autoSpaceDE w:val="0"/>
              <w:autoSpaceDN w:val="0"/>
              <w:adjustRightInd w:val="0"/>
              <w:rPr>
                <w:rFonts w:asciiTheme="minorHAnsi" w:hAnsiTheme="minorHAnsi" w:cstheme="minorHAnsi"/>
                <w:color w:val="000000"/>
                <w:sz w:val="22"/>
                <w:szCs w:val="22"/>
                <w:lang w:val="fr-CA"/>
              </w:rPr>
            </w:pPr>
            <w:r w:rsidRPr="008325F2">
              <w:rPr>
                <w:rFonts w:asciiTheme="minorHAnsi" w:hAnsiTheme="minorHAnsi" w:cstheme="minorHAnsi"/>
                <w:color w:val="000000"/>
                <w:sz w:val="22"/>
                <w:szCs w:val="22"/>
                <w:lang w:val="fr-CA"/>
              </w:rPr>
              <w:t>2017 à 2018</w:t>
            </w:r>
          </w:p>
        </w:tc>
        <w:tc>
          <w:tcPr>
            <w:tcW w:w="1697" w:type="pct"/>
          </w:tcPr>
          <w:p w:rsidR="003E68CE" w:rsidRPr="008325F2" w:rsidRDefault="003E68CE" w:rsidP="005A1239">
            <w:pPr>
              <w:autoSpaceDE w:val="0"/>
              <w:autoSpaceDN w:val="0"/>
              <w:adjustRightInd w:val="0"/>
              <w:jc w:val="center"/>
              <w:rPr>
                <w:rFonts w:asciiTheme="minorHAnsi" w:hAnsiTheme="minorHAnsi" w:cstheme="minorHAnsi"/>
                <w:color w:val="000000"/>
                <w:sz w:val="22"/>
                <w:szCs w:val="22"/>
                <w:lang w:val="fr-CA"/>
              </w:rPr>
            </w:pPr>
            <w:r w:rsidRPr="008325F2">
              <w:rPr>
                <w:rFonts w:asciiTheme="minorHAnsi" w:hAnsiTheme="minorHAnsi" w:cstheme="minorHAnsi"/>
                <w:color w:val="000000"/>
                <w:sz w:val="22"/>
                <w:szCs w:val="22"/>
                <w:lang w:val="fr-CA"/>
              </w:rPr>
              <w:t>1</w:t>
            </w:r>
          </w:p>
        </w:tc>
        <w:tc>
          <w:tcPr>
            <w:tcW w:w="861" w:type="pct"/>
          </w:tcPr>
          <w:p w:rsidR="003E68CE" w:rsidRPr="008325F2" w:rsidRDefault="003E68CE" w:rsidP="005A1239">
            <w:pPr>
              <w:autoSpaceDE w:val="0"/>
              <w:autoSpaceDN w:val="0"/>
              <w:adjustRightInd w:val="0"/>
              <w:jc w:val="center"/>
              <w:rPr>
                <w:rFonts w:asciiTheme="minorHAnsi" w:hAnsiTheme="minorHAnsi" w:cstheme="minorHAnsi"/>
                <w:color w:val="000000"/>
                <w:sz w:val="22"/>
                <w:szCs w:val="22"/>
                <w:lang w:val="fr-CA"/>
              </w:rPr>
            </w:pPr>
            <w:r w:rsidRPr="008325F2">
              <w:rPr>
                <w:rFonts w:asciiTheme="minorHAnsi" w:hAnsiTheme="minorHAnsi" w:cstheme="minorHAnsi"/>
                <w:color w:val="000000"/>
                <w:sz w:val="22"/>
                <w:szCs w:val="22"/>
                <w:lang w:val="fr-CA"/>
              </w:rPr>
              <w:t>2</w:t>
            </w:r>
          </w:p>
        </w:tc>
        <w:tc>
          <w:tcPr>
            <w:tcW w:w="1679" w:type="pct"/>
          </w:tcPr>
          <w:p w:rsidR="003E68CE" w:rsidRPr="008325F2" w:rsidRDefault="003E68CE" w:rsidP="005A1239">
            <w:pPr>
              <w:autoSpaceDE w:val="0"/>
              <w:autoSpaceDN w:val="0"/>
              <w:adjustRightInd w:val="0"/>
              <w:jc w:val="center"/>
              <w:rPr>
                <w:rFonts w:asciiTheme="minorHAnsi" w:hAnsiTheme="minorHAnsi" w:cstheme="minorHAnsi"/>
                <w:color w:val="000000"/>
                <w:sz w:val="22"/>
                <w:szCs w:val="22"/>
                <w:lang w:val="fr-CA"/>
              </w:rPr>
            </w:pPr>
            <w:r w:rsidRPr="008325F2">
              <w:rPr>
                <w:rFonts w:asciiTheme="minorHAnsi" w:hAnsiTheme="minorHAnsi" w:cstheme="minorHAnsi"/>
                <w:color w:val="000000"/>
                <w:sz w:val="22"/>
                <w:szCs w:val="22"/>
                <w:lang w:val="fr-CA"/>
              </w:rPr>
              <w:t>33%</w:t>
            </w:r>
          </w:p>
        </w:tc>
      </w:tr>
      <w:tr w:rsidR="003E68CE" w:rsidRPr="008325F2" w:rsidTr="003F0008">
        <w:trPr>
          <w:cantSplit/>
          <w:trHeight w:val="290"/>
          <w:tblHeader/>
          <w:jc w:val="center"/>
        </w:trPr>
        <w:tc>
          <w:tcPr>
            <w:tcW w:w="762" w:type="pct"/>
          </w:tcPr>
          <w:p w:rsidR="003E68CE" w:rsidRPr="008325F2" w:rsidRDefault="003E68CE" w:rsidP="005A1239">
            <w:pPr>
              <w:autoSpaceDE w:val="0"/>
              <w:autoSpaceDN w:val="0"/>
              <w:adjustRightInd w:val="0"/>
              <w:rPr>
                <w:rFonts w:asciiTheme="minorHAnsi" w:hAnsiTheme="minorHAnsi" w:cstheme="minorHAnsi"/>
                <w:color w:val="000000"/>
                <w:sz w:val="22"/>
                <w:szCs w:val="22"/>
                <w:lang w:val="fr-CA"/>
              </w:rPr>
            </w:pPr>
            <w:r w:rsidRPr="008325F2">
              <w:rPr>
                <w:rFonts w:asciiTheme="minorHAnsi" w:hAnsiTheme="minorHAnsi" w:cstheme="minorHAnsi"/>
                <w:color w:val="000000"/>
                <w:sz w:val="22"/>
                <w:szCs w:val="22"/>
                <w:lang w:val="fr-CA"/>
              </w:rPr>
              <w:t>2018 à 2019</w:t>
            </w:r>
          </w:p>
        </w:tc>
        <w:tc>
          <w:tcPr>
            <w:tcW w:w="1697" w:type="pct"/>
          </w:tcPr>
          <w:p w:rsidR="003E68CE" w:rsidRPr="008325F2" w:rsidRDefault="003E68CE" w:rsidP="005A1239">
            <w:pPr>
              <w:autoSpaceDE w:val="0"/>
              <w:autoSpaceDN w:val="0"/>
              <w:adjustRightInd w:val="0"/>
              <w:jc w:val="center"/>
              <w:rPr>
                <w:rFonts w:asciiTheme="minorHAnsi" w:hAnsiTheme="minorHAnsi" w:cstheme="minorHAnsi"/>
                <w:color w:val="000000"/>
                <w:sz w:val="22"/>
                <w:szCs w:val="22"/>
                <w:lang w:val="fr-CA"/>
              </w:rPr>
            </w:pPr>
            <w:r w:rsidRPr="008325F2">
              <w:rPr>
                <w:rFonts w:asciiTheme="minorHAnsi" w:hAnsiTheme="minorHAnsi" w:cstheme="minorHAnsi"/>
                <w:color w:val="000000"/>
                <w:sz w:val="22"/>
                <w:szCs w:val="22"/>
                <w:lang w:val="fr-CA"/>
              </w:rPr>
              <w:t>2</w:t>
            </w:r>
          </w:p>
        </w:tc>
        <w:tc>
          <w:tcPr>
            <w:tcW w:w="861" w:type="pct"/>
          </w:tcPr>
          <w:p w:rsidR="003E68CE" w:rsidRPr="008325F2" w:rsidRDefault="003E68CE" w:rsidP="005A1239">
            <w:pPr>
              <w:autoSpaceDE w:val="0"/>
              <w:autoSpaceDN w:val="0"/>
              <w:adjustRightInd w:val="0"/>
              <w:jc w:val="center"/>
              <w:rPr>
                <w:rFonts w:asciiTheme="minorHAnsi" w:hAnsiTheme="minorHAnsi" w:cstheme="minorHAnsi"/>
                <w:color w:val="000000"/>
                <w:sz w:val="22"/>
                <w:szCs w:val="22"/>
                <w:lang w:val="fr-CA"/>
              </w:rPr>
            </w:pPr>
            <w:r w:rsidRPr="008325F2">
              <w:rPr>
                <w:rFonts w:asciiTheme="minorHAnsi" w:hAnsiTheme="minorHAnsi" w:cstheme="minorHAnsi"/>
                <w:color w:val="000000"/>
                <w:sz w:val="22"/>
                <w:szCs w:val="22"/>
                <w:lang w:val="fr-CA"/>
              </w:rPr>
              <w:t>5</w:t>
            </w:r>
          </w:p>
        </w:tc>
        <w:tc>
          <w:tcPr>
            <w:tcW w:w="1679" w:type="pct"/>
          </w:tcPr>
          <w:p w:rsidR="003E68CE" w:rsidRPr="008325F2" w:rsidRDefault="003E68CE" w:rsidP="005A1239">
            <w:pPr>
              <w:autoSpaceDE w:val="0"/>
              <w:autoSpaceDN w:val="0"/>
              <w:adjustRightInd w:val="0"/>
              <w:jc w:val="center"/>
              <w:rPr>
                <w:rFonts w:asciiTheme="minorHAnsi" w:hAnsiTheme="minorHAnsi" w:cstheme="minorHAnsi"/>
                <w:color w:val="000000"/>
                <w:sz w:val="22"/>
                <w:szCs w:val="22"/>
                <w:lang w:val="fr-CA"/>
              </w:rPr>
            </w:pPr>
            <w:r w:rsidRPr="008325F2">
              <w:rPr>
                <w:rFonts w:asciiTheme="minorHAnsi" w:hAnsiTheme="minorHAnsi" w:cstheme="minorHAnsi"/>
                <w:color w:val="000000"/>
                <w:sz w:val="22"/>
                <w:szCs w:val="22"/>
                <w:lang w:val="fr-CA"/>
              </w:rPr>
              <w:t>29%</w:t>
            </w:r>
          </w:p>
        </w:tc>
      </w:tr>
    </w:tbl>
    <w:p w:rsidR="003F0008" w:rsidRPr="003F0008" w:rsidRDefault="003F0008" w:rsidP="003F0008">
      <w:pPr>
        <w:pStyle w:val="Titre1"/>
        <w:spacing w:before="120" w:after="120"/>
        <w:rPr>
          <w:sz w:val="40"/>
          <w:szCs w:val="40"/>
          <w:lang w:val="fr-CA"/>
        </w:rPr>
      </w:pPr>
      <w:r w:rsidRPr="003F0008">
        <w:rPr>
          <w:bCs/>
          <w:sz w:val="40"/>
          <w:szCs w:val="40"/>
          <w:lang w:val="fr-CA"/>
        </w:rPr>
        <w:lastRenderedPageBreak/>
        <w:t>Dotation selon le type de nomination</w:t>
      </w:r>
    </w:p>
    <w:p w:rsidR="001F011C" w:rsidRDefault="00513230" w:rsidP="001F011C">
      <w:pPr>
        <w:keepNext/>
        <w:jc w:val="center"/>
      </w:pPr>
      <w:r w:rsidRPr="001F011C">
        <w:rPr>
          <w:rStyle w:val="lev"/>
          <w:noProof/>
          <w:lang w:val="en-CA" w:eastAsia="en-CA"/>
        </w:rPr>
        <w:drawing>
          <wp:inline distT="0" distB="0" distL="0" distR="0" wp14:anchorId="06DF39FA" wp14:editId="3CBFCD77">
            <wp:extent cx="5648400" cy="3049200"/>
            <wp:effectExtent l="0" t="0" r="9525" b="18415"/>
            <wp:docPr id="9" name="Chart 9" descr="Dotation selon le type de nomina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13230" w:rsidRPr="001F011C" w:rsidRDefault="001F011C" w:rsidP="001F011C">
      <w:pPr>
        <w:pStyle w:val="Lgende"/>
        <w:jc w:val="center"/>
        <w:rPr>
          <w:lang w:val="fr-CA"/>
        </w:rPr>
      </w:pPr>
      <w:r w:rsidRPr="001F011C">
        <w:rPr>
          <w:lang w:val="fr-CA"/>
        </w:rPr>
        <w:t xml:space="preserve">Figure </w:t>
      </w:r>
      <w:r>
        <w:fldChar w:fldCharType="begin"/>
      </w:r>
      <w:r w:rsidRPr="001F011C">
        <w:rPr>
          <w:lang w:val="fr-CA"/>
        </w:rPr>
        <w:instrText xml:space="preserve"> SEQ Figure \* ARABIC </w:instrText>
      </w:r>
      <w:r>
        <w:fldChar w:fldCharType="separate"/>
      </w:r>
      <w:r w:rsidR="00EE67E2">
        <w:rPr>
          <w:noProof/>
          <w:lang w:val="fr-CA"/>
        </w:rPr>
        <w:t>8</w:t>
      </w:r>
      <w:r>
        <w:fldChar w:fldCharType="end"/>
      </w:r>
      <w:r w:rsidRPr="001F011C">
        <w:rPr>
          <w:lang w:val="fr-CA"/>
        </w:rPr>
        <w:t xml:space="preserve"> - Dotation selon le type de nomination</w:t>
      </w:r>
    </w:p>
    <w:p w:rsidR="001F011C" w:rsidRPr="00272913" w:rsidRDefault="001F011C" w:rsidP="001F011C">
      <w:pPr>
        <w:pStyle w:val="Lgende"/>
        <w:keepNext/>
        <w:spacing w:before="240"/>
        <w:rPr>
          <w:lang w:val="fr-CA"/>
        </w:rPr>
      </w:pPr>
      <w:r w:rsidRPr="00272913">
        <w:rPr>
          <w:lang w:val="fr-CA"/>
        </w:rPr>
        <w:t xml:space="preserve">Table </w:t>
      </w:r>
      <w:r>
        <w:fldChar w:fldCharType="begin"/>
      </w:r>
      <w:r w:rsidRPr="00272913">
        <w:rPr>
          <w:lang w:val="fr-CA"/>
        </w:rPr>
        <w:instrText xml:space="preserve"> SEQ Table \* ARABIC </w:instrText>
      </w:r>
      <w:r>
        <w:fldChar w:fldCharType="separate"/>
      </w:r>
      <w:r w:rsidR="00EE67E2">
        <w:rPr>
          <w:noProof/>
          <w:lang w:val="fr-CA"/>
        </w:rPr>
        <w:t>8</w:t>
      </w:r>
      <w:r>
        <w:fldChar w:fldCharType="end"/>
      </w:r>
      <w:r w:rsidRPr="00272913">
        <w:rPr>
          <w:lang w:val="fr-CA"/>
        </w:rPr>
        <w:t xml:space="preserve"> - Activités de dotation selon le type de nomination et exercice financier</w:t>
      </w:r>
    </w:p>
    <w:tbl>
      <w:tblPr>
        <w:tblStyle w:val="Grilledutableau"/>
        <w:tblW w:w="0" w:type="auto"/>
        <w:jc w:val="center"/>
        <w:tblLook w:val="0000" w:firstRow="0" w:lastRow="0" w:firstColumn="0" w:lastColumn="0" w:noHBand="0" w:noVBand="0"/>
        <w:tblDescription w:val="Dotation selon le type de nomination"/>
      </w:tblPr>
      <w:tblGrid>
        <w:gridCol w:w="1423"/>
        <w:gridCol w:w="1550"/>
        <w:gridCol w:w="2300"/>
        <w:gridCol w:w="4220"/>
        <w:gridCol w:w="3260"/>
        <w:gridCol w:w="1637"/>
      </w:tblGrid>
      <w:tr w:rsidR="001F011C" w:rsidRPr="001F011C" w:rsidTr="001C333D">
        <w:trPr>
          <w:cantSplit/>
          <w:tblHeader/>
          <w:jc w:val="center"/>
        </w:trPr>
        <w:tc>
          <w:tcPr>
            <w:tcW w:w="0" w:type="auto"/>
          </w:tcPr>
          <w:p w:rsidR="001F011C" w:rsidRPr="001F011C" w:rsidRDefault="001F011C" w:rsidP="005A1239">
            <w:pPr>
              <w:pStyle w:val="TableTitle"/>
              <w:rPr>
                <w:color w:val="auto"/>
                <w:sz w:val="22"/>
                <w:szCs w:val="22"/>
                <w:lang w:val="fr-CA"/>
              </w:rPr>
            </w:pPr>
            <w:r w:rsidRPr="001F011C">
              <w:rPr>
                <w:color w:val="auto"/>
                <w:sz w:val="22"/>
                <w:szCs w:val="22"/>
                <w:lang w:val="fr-CA"/>
              </w:rPr>
              <w:t>Exercice financier</w:t>
            </w:r>
          </w:p>
        </w:tc>
        <w:tc>
          <w:tcPr>
            <w:tcW w:w="1550" w:type="dxa"/>
          </w:tcPr>
          <w:p w:rsidR="001F011C" w:rsidRPr="001F011C" w:rsidRDefault="001F011C" w:rsidP="005A1239">
            <w:pPr>
              <w:pStyle w:val="TableTitle"/>
              <w:rPr>
                <w:color w:val="auto"/>
                <w:sz w:val="22"/>
                <w:szCs w:val="22"/>
                <w:lang w:val="fr-CA"/>
              </w:rPr>
            </w:pPr>
            <w:r w:rsidRPr="001F011C">
              <w:rPr>
                <w:color w:val="auto"/>
                <w:sz w:val="22"/>
                <w:szCs w:val="22"/>
                <w:lang w:val="fr-CA"/>
              </w:rPr>
              <w:t>Promotions</w:t>
            </w:r>
          </w:p>
        </w:tc>
        <w:tc>
          <w:tcPr>
            <w:tcW w:w="2300" w:type="dxa"/>
          </w:tcPr>
          <w:p w:rsidR="001F011C" w:rsidRPr="001F011C" w:rsidRDefault="001F011C" w:rsidP="005A1239">
            <w:pPr>
              <w:pStyle w:val="TableTitle"/>
              <w:rPr>
                <w:color w:val="auto"/>
                <w:sz w:val="22"/>
                <w:szCs w:val="22"/>
                <w:lang w:val="fr-CA"/>
              </w:rPr>
            </w:pPr>
            <w:r w:rsidRPr="001F011C">
              <w:rPr>
                <w:color w:val="auto"/>
                <w:sz w:val="22"/>
                <w:szCs w:val="22"/>
                <w:lang w:val="fr-CA"/>
              </w:rPr>
              <w:t>Déplacements latéraux et régressifs</w:t>
            </w:r>
          </w:p>
        </w:tc>
        <w:tc>
          <w:tcPr>
            <w:tcW w:w="4220" w:type="dxa"/>
          </w:tcPr>
          <w:p w:rsidR="001F011C" w:rsidRPr="001F011C" w:rsidRDefault="001F011C" w:rsidP="005A1239">
            <w:pPr>
              <w:pStyle w:val="TableTitle"/>
              <w:rPr>
                <w:color w:val="auto"/>
                <w:sz w:val="22"/>
                <w:szCs w:val="22"/>
                <w:lang w:val="fr-CA"/>
              </w:rPr>
            </w:pPr>
            <w:r w:rsidRPr="001F011C">
              <w:rPr>
                <w:color w:val="auto"/>
                <w:sz w:val="22"/>
                <w:szCs w:val="22"/>
                <w:lang w:val="fr-CA"/>
              </w:rPr>
              <w:t>Nominations à la fonction publique (y compris les employés occasionnels et les étudiants)</w:t>
            </w:r>
          </w:p>
        </w:tc>
        <w:tc>
          <w:tcPr>
            <w:tcW w:w="3260" w:type="dxa"/>
          </w:tcPr>
          <w:p w:rsidR="001F011C" w:rsidRPr="001F011C" w:rsidRDefault="001F011C" w:rsidP="005A1239">
            <w:pPr>
              <w:pStyle w:val="TableTitle"/>
              <w:rPr>
                <w:color w:val="auto"/>
                <w:sz w:val="22"/>
                <w:szCs w:val="22"/>
                <w:lang w:val="fr-CA"/>
              </w:rPr>
            </w:pPr>
            <w:r w:rsidRPr="001F011C">
              <w:rPr>
                <w:color w:val="auto"/>
                <w:sz w:val="22"/>
                <w:szCs w:val="22"/>
                <w:lang w:val="fr-CA"/>
              </w:rPr>
              <w:t>Nominations intérimaires (Excluant les nominations de moins de 4 mois)</w:t>
            </w:r>
          </w:p>
        </w:tc>
        <w:tc>
          <w:tcPr>
            <w:tcW w:w="1637" w:type="dxa"/>
          </w:tcPr>
          <w:p w:rsidR="001F011C" w:rsidRPr="001F011C" w:rsidRDefault="001F011C" w:rsidP="005A1239">
            <w:pPr>
              <w:pStyle w:val="TableTitle"/>
              <w:rPr>
                <w:color w:val="auto"/>
                <w:sz w:val="22"/>
                <w:szCs w:val="22"/>
                <w:lang w:val="fr-CA"/>
              </w:rPr>
            </w:pPr>
            <w:r w:rsidRPr="001F011C">
              <w:rPr>
                <w:color w:val="auto"/>
                <w:sz w:val="22"/>
                <w:szCs w:val="22"/>
                <w:lang w:val="fr-CA"/>
              </w:rPr>
              <w:t>Total</w:t>
            </w:r>
          </w:p>
        </w:tc>
      </w:tr>
      <w:tr w:rsidR="001F011C" w:rsidRPr="001F011C" w:rsidTr="001C333D">
        <w:trPr>
          <w:cantSplit/>
          <w:tblHeader/>
          <w:jc w:val="center"/>
        </w:trPr>
        <w:tc>
          <w:tcPr>
            <w:tcW w:w="0" w:type="auto"/>
          </w:tcPr>
          <w:p w:rsidR="001F011C" w:rsidRPr="001F011C" w:rsidRDefault="001F011C" w:rsidP="005A1239">
            <w:pPr>
              <w:autoSpaceDE w:val="0"/>
              <w:autoSpaceDN w:val="0"/>
              <w:adjustRightInd w:val="0"/>
              <w:rPr>
                <w:rFonts w:asciiTheme="minorHAnsi" w:hAnsiTheme="minorHAnsi" w:cstheme="minorHAnsi"/>
                <w:color w:val="000000"/>
                <w:sz w:val="22"/>
                <w:szCs w:val="22"/>
                <w:lang w:val="fr-CA"/>
              </w:rPr>
            </w:pPr>
            <w:r w:rsidRPr="001F011C">
              <w:rPr>
                <w:rFonts w:asciiTheme="minorHAnsi" w:hAnsiTheme="minorHAnsi" w:cstheme="minorHAnsi"/>
                <w:color w:val="000000"/>
                <w:sz w:val="22"/>
                <w:szCs w:val="22"/>
                <w:lang w:val="fr-CA"/>
              </w:rPr>
              <w:t xml:space="preserve">2014 à 2015 </w:t>
            </w:r>
          </w:p>
        </w:tc>
        <w:tc>
          <w:tcPr>
            <w:tcW w:w="1550" w:type="dxa"/>
          </w:tcPr>
          <w:p w:rsidR="001F011C" w:rsidRPr="001F011C" w:rsidRDefault="001F011C" w:rsidP="005A1239">
            <w:pPr>
              <w:autoSpaceDE w:val="0"/>
              <w:autoSpaceDN w:val="0"/>
              <w:adjustRightInd w:val="0"/>
              <w:jc w:val="center"/>
              <w:rPr>
                <w:rFonts w:asciiTheme="minorHAnsi" w:hAnsiTheme="minorHAnsi" w:cstheme="minorHAnsi"/>
                <w:color w:val="000000"/>
                <w:sz w:val="22"/>
                <w:szCs w:val="22"/>
                <w:lang w:val="fr-CA"/>
              </w:rPr>
            </w:pPr>
            <w:r w:rsidRPr="001F011C">
              <w:rPr>
                <w:rFonts w:asciiTheme="minorHAnsi" w:hAnsiTheme="minorHAnsi" w:cstheme="minorHAnsi"/>
                <w:color w:val="000000"/>
                <w:sz w:val="22"/>
                <w:szCs w:val="22"/>
                <w:lang w:val="fr-CA"/>
              </w:rPr>
              <w:t>3</w:t>
            </w:r>
          </w:p>
        </w:tc>
        <w:tc>
          <w:tcPr>
            <w:tcW w:w="2300" w:type="dxa"/>
          </w:tcPr>
          <w:p w:rsidR="001F011C" w:rsidRPr="001F011C" w:rsidRDefault="001F011C" w:rsidP="005A1239">
            <w:pPr>
              <w:autoSpaceDE w:val="0"/>
              <w:autoSpaceDN w:val="0"/>
              <w:adjustRightInd w:val="0"/>
              <w:jc w:val="center"/>
              <w:rPr>
                <w:rFonts w:asciiTheme="minorHAnsi" w:hAnsiTheme="minorHAnsi" w:cstheme="minorHAnsi"/>
                <w:color w:val="000000"/>
                <w:sz w:val="22"/>
                <w:szCs w:val="22"/>
                <w:lang w:val="fr-CA"/>
              </w:rPr>
            </w:pPr>
            <w:r w:rsidRPr="001F011C">
              <w:rPr>
                <w:rFonts w:asciiTheme="minorHAnsi" w:hAnsiTheme="minorHAnsi" w:cstheme="minorHAnsi"/>
                <w:color w:val="000000"/>
                <w:sz w:val="22"/>
                <w:szCs w:val="22"/>
                <w:lang w:val="fr-CA"/>
              </w:rPr>
              <w:t>1</w:t>
            </w:r>
          </w:p>
        </w:tc>
        <w:tc>
          <w:tcPr>
            <w:tcW w:w="4220" w:type="dxa"/>
          </w:tcPr>
          <w:p w:rsidR="001F011C" w:rsidRPr="001F011C" w:rsidRDefault="001F011C" w:rsidP="005A1239">
            <w:pPr>
              <w:autoSpaceDE w:val="0"/>
              <w:autoSpaceDN w:val="0"/>
              <w:adjustRightInd w:val="0"/>
              <w:jc w:val="center"/>
              <w:rPr>
                <w:rFonts w:asciiTheme="minorHAnsi" w:hAnsiTheme="minorHAnsi" w:cstheme="minorHAnsi"/>
                <w:color w:val="000000"/>
                <w:sz w:val="22"/>
                <w:szCs w:val="22"/>
                <w:lang w:val="fr-CA"/>
              </w:rPr>
            </w:pPr>
            <w:r w:rsidRPr="001F011C">
              <w:rPr>
                <w:rFonts w:asciiTheme="minorHAnsi" w:hAnsiTheme="minorHAnsi" w:cstheme="minorHAnsi"/>
                <w:color w:val="000000"/>
                <w:sz w:val="22"/>
                <w:szCs w:val="22"/>
                <w:lang w:val="fr-CA"/>
              </w:rPr>
              <w:t>17</w:t>
            </w:r>
          </w:p>
        </w:tc>
        <w:tc>
          <w:tcPr>
            <w:tcW w:w="3260" w:type="dxa"/>
          </w:tcPr>
          <w:p w:rsidR="001F011C" w:rsidRPr="001F011C" w:rsidRDefault="001F011C" w:rsidP="005A1239">
            <w:pPr>
              <w:autoSpaceDE w:val="0"/>
              <w:autoSpaceDN w:val="0"/>
              <w:adjustRightInd w:val="0"/>
              <w:jc w:val="center"/>
              <w:rPr>
                <w:rFonts w:asciiTheme="minorHAnsi" w:hAnsiTheme="minorHAnsi" w:cstheme="minorHAnsi"/>
                <w:color w:val="000000"/>
                <w:sz w:val="22"/>
                <w:szCs w:val="22"/>
                <w:lang w:val="fr-CA"/>
              </w:rPr>
            </w:pPr>
            <w:r w:rsidRPr="001F011C">
              <w:rPr>
                <w:rFonts w:asciiTheme="minorHAnsi" w:hAnsiTheme="minorHAnsi" w:cstheme="minorHAnsi"/>
                <w:color w:val="000000"/>
                <w:sz w:val="22"/>
                <w:szCs w:val="22"/>
                <w:lang w:val="fr-CA"/>
              </w:rPr>
              <w:t>1</w:t>
            </w:r>
          </w:p>
        </w:tc>
        <w:tc>
          <w:tcPr>
            <w:tcW w:w="1637" w:type="dxa"/>
          </w:tcPr>
          <w:p w:rsidR="001F011C" w:rsidRPr="001F011C" w:rsidRDefault="001F011C" w:rsidP="005A1239">
            <w:pPr>
              <w:autoSpaceDE w:val="0"/>
              <w:autoSpaceDN w:val="0"/>
              <w:adjustRightInd w:val="0"/>
              <w:jc w:val="center"/>
              <w:rPr>
                <w:rFonts w:asciiTheme="minorHAnsi" w:hAnsiTheme="minorHAnsi" w:cstheme="minorHAnsi"/>
                <w:color w:val="000000"/>
                <w:sz w:val="22"/>
                <w:szCs w:val="22"/>
                <w:lang w:val="fr-CA"/>
              </w:rPr>
            </w:pPr>
            <w:r w:rsidRPr="001F011C">
              <w:rPr>
                <w:rFonts w:asciiTheme="minorHAnsi" w:hAnsiTheme="minorHAnsi" w:cstheme="minorHAnsi"/>
                <w:color w:val="000000"/>
                <w:sz w:val="22"/>
                <w:szCs w:val="22"/>
                <w:lang w:val="fr-CA"/>
              </w:rPr>
              <w:t>22</w:t>
            </w:r>
          </w:p>
        </w:tc>
      </w:tr>
      <w:tr w:rsidR="001F011C" w:rsidRPr="001F011C" w:rsidTr="001C333D">
        <w:trPr>
          <w:cantSplit/>
          <w:tblHeader/>
          <w:jc w:val="center"/>
        </w:trPr>
        <w:tc>
          <w:tcPr>
            <w:tcW w:w="0" w:type="auto"/>
          </w:tcPr>
          <w:p w:rsidR="001F011C" w:rsidRPr="001F011C" w:rsidRDefault="001F011C" w:rsidP="005A1239">
            <w:pPr>
              <w:autoSpaceDE w:val="0"/>
              <w:autoSpaceDN w:val="0"/>
              <w:adjustRightInd w:val="0"/>
              <w:rPr>
                <w:rFonts w:asciiTheme="minorHAnsi" w:hAnsiTheme="minorHAnsi" w:cstheme="minorHAnsi"/>
                <w:color w:val="000000"/>
                <w:sz w:val="22"/>
                <w:szCs w:val="22"/>
                <w:lang w:val="fr-CA"/>
              </w:rPr>
            </w:pPr>
            <w:r w:rsidRPr="001F011C">
              <w:rPr>
                <w:rFonts w:asciiTheme="minorHAnsi" w:hAnsiTheme="minorHAnsi" w:cstheme="minorHAnsi"/>
                <w:color w:val="000000"/>
                <w:sz w:val="22"/>
                <w:szCs w:val="22"/>
                <w:lang w:val="fr-CA"/>
              </w:rPr>
              <w:t>2015 à 2016</w:t>
            </w:r>
          </w:p>
        </w:tc>
        <w:tc>
          <w:tcPr>
            <w:tcW w:w="1550" w:type="dxa"/>
          </w:tcPr>
          <w:p w:rsidR="001F011C" w:rsidRPr="001F011C" w:rsidRDefault="001F011C" w:rsidP="005A1239">
            <w:pPr>
              <w:autoSpaceDE w:val="0"/>
              <w:autoSpaceDN w:val="0"/>
              <w:adjustRightInd w:val="0"/>
              <w:jc w:val="center"/>
              <w:rPr>
                <w:rFonts w:asciiTheme="minorHAnsi" w:hAnsiTheme="minorHAnsi" w:cstheme="minorHAnsi"/>
                <w:color w:val="000000"/>
                <w:sz w:val="22"/>
                <w:szCs w:val="22"/>
                <w:lang w:val="fr-CA"/>
              </w:rPr>
            </w:pPr>
            <w:r w:rsidRPr="001F011C">
              <w:rPr>
                <w:rFonts w:asciiTheme="minorHAnsi" w:hAnsiTheme="minorHAnsi" w:cstheme="minorHAnsi"/>
                <w:color w:val="000000"/>
                <w:sz w:val="22"/>
                <w:szCs w:val="22"/>
                <w:lang w:val="fr-CA"/>
              </w:rPr>
              <w:t>0</w:t>
            </w:r>
          </w:p>
        </w:tc>
        <w:tc>
          <w:tcPr>
            <w:tcW w:w="2300" w:type="dxa"/>
          </w:tcPr>
          <w:p w:rsidR="001F011C" w:rsidRPr="001F011C" w:rsidRDefault="001F011C" w:rsidP="005A1239">
            <w:pPr>
              <w:autoSpaceDE w:val="0"/>
              <w:autoSpaceDN w:val="0"/>
              <w:adjustRightInd w:val="0"/>
              <w:jc w:val="center"/>
              <w:rPr>
                <w:rFonts w:asciiTheme="minorHAnsi" w:hAnsiTheme="minorHAnsi" w:cstheme="minorHAnsi"/>
                <w:color w:val="000000"/>
                <w:sz w:val="22"/>
                <w:szCs w:val="22"/>
                <w:lang w:val="fr-CA"/>
              </w:rPr>
            </w:pPr>
            <w:r w:rsidRPr="001F011C">
              <w:rPr>
                <w:rFonts w:asciiTheme="minorHAnsi" w:hAnsiTheme="minorHAnsi" w:cstheme="minorHAnsi"/>
                <w:color w:val="000000"/>
                <w:sz w:val="22"/>
                <w:szCs w:val="22"/>
                <w:lang w:val="fr-CA"/>
              </w:rPr>
              <w:t>1</w:t>
            </w:r>
          </w:p>
        </w:tc>
        <w:tc>
          <w:tcPr>
            <w:tcW w:w="4220" w:type="dxa"/>
          </w:tcPr>
          <w:p w:rsidR="001F011C" w:rsidRPr="001F011C" w:rsidRDefault="001F011C" w:rsidP="005A1239">
            <w:pPr>
              <w:autoSpaceDE w:val="0"/>
              <w:autoSpaceDN w:val="0"/>
              <w:adjustRightInd w:val="0"/>
              <w:jc w:val="center"/>
              <w:rPr>
                <w:rFonts w:asciiTheme="minorHAnsi" w:hAnsiTheme="minorHAnsi" w:cstheme="minorHAnsi"/>
                <w:color w:val="000000"/>
                <w:sz w:val="22"/>
                <w:szCs w:val="22"/>
                <w:lang w:val="fr-CA"/>
              </w:rPr>
            </w:pPr>
            <w:r w:rsidRPr="001F011C">
              <w:rPr>
                <w:rFonts w:asciiTheme="minorHAnsi" w:hAnsiTheme="minorHAnsi" w:cstheme="minorHAnsi"/>
                <w:color w:val="000000"/>
                <w:sz w:val="22"/>
                <w:szCs w:val="22"/>
                <w:lang w:val="fr-CA"/>
              </w:rPr>
              <w:t>15</w:t>
            </w:r>
          </w:p>
        </w:tc>
        <w:tc>
          <w:tcPr>
            <w:tcW w:w="3260" w:type="dxa"/>
          </w:tcPr>
          <w:p w:rsidR="001F011C" w:rsidRPr="001F011C" w:rsidRDefault="001F011C" w:rsidP="005A1239">
            <w:pPr>
              <w:autoSpaceDE w:val="0"/>
              <w:autoSpaceDN w:val="0"/>
              <w:adjustRightInd w:val="0"/>
              <w:jc w:val="center"/>
              <w:rPr>
                <w:rFonts w:asciiTheme="minorHAnsi" w:hAnsiTheme="minorHAnsi" w:cstheme="minorHAnsi"/>
                <w:color w:val="000000"/>
                <w:sz w:val="22"/>
                <w:szCs w:val="22"/>
                <w:lang w:val="fr-CA"/>
              </w:rPr>
            </w:pPr>
            <w:r w:rsidRPr="001F011C">
              <w:rPr>
                <w:rFonts w:asciiTheme="minorHAnsi" w:hAnsiTheme="minorHAnsi" w:cstheme="minorHAnsi"/>
                <w:color w:val="000000"/>
                <w:sz w:val="22"/>
                <w:szCs w:val="22"/>
                <w:lang w:val="fr-CA"/>
              </w:rPr>
              <w:t>0</w:t>
            </w:r>
          </w:p>
        </w:tc>
        <w:tc>
          <w:tcPr>
            <w:tcW w:w="1637" w:type="dxa"/>
          </w:tcPr>
          <w:p w:rsidR="001F011C" w:rsidRPr="001F011C" w:rsidRDefault="001F011C" w:rsidP="005A1239">
            <w:pPr>
              <w:autoSpaceDE w:val="0"/>
              <w:autoSpaceDN w:val="0"/>
              <w:adjustRightInd w:val="0"/>
              <w:jc w:val="center"/>
              <w:rPr>
                <w:rFonts w:asciiTheme="minorHAnsi" w:hAnsiTheme="minorHAnsi" w:cstheme="minorHAnsi"/>
                <w:color w:val="000000"/>
                <w:sz w:val="22"/>
                <w:szCs w:val="22"/>
                <w:lang w:val="fr-CA"/>
              </w:rPr>
            </w:pPr>
            <w:r w:rsidRPr="001F011C">
              <w:rPr>
                <w:rFonts w:asciiTheme="minorHAnsi" w:hAnsiTheme="minorHAnsi" w:cstheme="minorHAnsi"/>
                <w:color w:val="000000"/>
                <w:sz w:val="22"/>
                <w:szCs w:val="22"/>
                <w:lang w:val="fr-CA"/>
              </w:rPr>
              <w:t>16</w:t>
            </w:r>
          </w:p>
        </w:tc>
      </w:tr>
      <w:tr w:rsidR="001F011C" w:rsidRPr="001F011C" w:rsidTr="001C333D">
        <w:trPr>
          <w:cantSplit/>
          <w:tblHeader/>
          <w:jc w:val="center"/>
        </w:trPr>
        <w:tc>
          <w:tcPr>
            <w:tcW w:w="0" w:type="auto"/>
          </w:tcPr>
          <w:p w:rsidR="001F011C" w:rsidRPr="001F011C" w:rsidRDefault="001F011C" w:rsidP="005A1239">
            <w:pPr>
              <w:autoSpaceDE w:val="0"/>
              <w:autoSpaceDN w:val="0"/>
              <w:adjustRightInd w:val="0"/>
              <w:rPr>
                <w:rFonts w:asciiTheme="minorHAnsi" w:hAnsiTheme="minorHAnsi" w:cstheme="minorHAnsi"/>
                <w:color w:val="000000"/>
                <w:sz w:val="22"/>
                <w:szCs w:val="22"/>
                <w:lang w:val="fr-CA"/>
              </w:rPr>
            </w:pPr>
            <w:r w:rsidRPr="001F011C">
              <w:rPr>
                <w:rFonts w:asciiTheme="minorHAnsi" w:hAnsiTheme="minorHAnsi" w:cstheme="minorHAnsi"/>
                <w:color w:val="000000"/>
                <w:sz w:val="22"/>
                <w:szCs w:val="22"/>
                <w:lang w:val="fr-CA"/>
              </w:rPr>
              <w:t xml:space="preserve">2016 à 2017 </w:t>
            </w:r>
          </w:p>
        </w:tc>
        <w:tc>
          <w:tcPr>
            <w:tcW w:w="1550" w:type="dxa"/>
          </w:tcPr>
          <w:p w:rsidR="001F011C" w:rsidRPr="001F011C" w:rsidRDefault="001F011C" w:rsidP="005A1239">
            <w:pPr>
              <w:autoSpaceDE w:val="0"/>
              <w:autoSpaceDN w:val="0"/>
              <w:adjustRightInd w:val="0"/>
              <w:jc w:val="center"/>
              <w:rPr>
                <w:rFonts w:asciiTheme="minorHAnsi" w:hAnsiTheme="minorHAnsi" w:cstheme="minorHAnsi"/>
                <w:color w:val="000000"/>
                <w:sz w:val="22"/>
                <w:szCs w:val="22"/>
                <w:lang w:val="fr-CA"/>
              </w:rPr>
            </w:pPr>
            <w:r w:rsidRPr="001F011C">
              <w:rPr>
                <w:rFonts w:asciiTheme="minorHAnsi" w:hAnsiTheme="minorHAnsi" w:cstheme="minorHAnsi"/>
                <w:color w:val="000000"/>
                <w:sz w:val="22"/>
                <w:szCs w:val="22"/>
                <w:lang w:val="fr-CA"/>
              </w:rPr>
              <w:t>0</w:t>
            </w:r>
          </w:p>
        </w:tc>
        <w:tc>
          <w:tcPr>
            <w:tcW w:w="2300" w:type="dxa"/>
          </w:tcPr>
          <w:p w:rsidR="001F011C" w:rsidRPr="001F011C" w:rsidRDefault="001F011C" w:rsidP="005A1239">
            <w:pPr>
              <w:autoSpaceDE w:val="0"/>
              <w:autoSpaceDN w:val="0"/>
              <w:adjustRightInd w:val="0"/>
              <w:jc w:val="center"/>
              <w:rPr>
                <w:rFonts w:asciiTheme="minorHAnsi" w:hAnsiTheme="minorHAnsi" w:cstheme="minorHAnsi"/>
                <w:color w:val="000000"/>
                <w:sz w:val="22"/>
                <w:szCs w:val="22"/>
                <w:lang w:val="fr-CA"/>
              </w:rPr>
            </w:pPr>
            <w:r w:rsidRPr="001F011C">
              <w:rPr>
                <w:rFonts w:asciiTheme="minorHAnsi" w:hAnsiTheme="minorHAnsi" w:cstheme="minorHAnsi"/>
                <w:color w:val="000000"/>
                <w:sz w:val="22"/>
                <w:szCs w:val="22"/>
                <w:lang w:val="fr-CA"/>
              </w:rPr>
              <w:t>4</w:t>
            </w:r>
          </w:p>
        </w:tc>
        <w:tc>
          <w:tcPr>
            <w:tcW w:w="4220" w:type="dxa"/>
          </w:tcPr>
          <w:p w:rsidR="001F011C" w:rsidRPr="001F011C" w:rsidRDefault="001F011C" w:rsidP="005A1239">
            <w:pPr>
              <w:autoSpaceDE w:val="0"/>
              <w:autoSpaceDN w:val="0"/>
              <w:adjustRightInd w:val="0"/>
              <w:jc w:val="center"/>
              <w:rPr>
                <w:rFonts w:asciiTheme="minorHAnsi" w:hAnsiTheme="minorHAnsi" w:cstheme="minorHAnsi"/>
                <w:color w:val="000000"/>
                <w:sz w:val="22"/>
                <w:szCs w:val="22"/>
                <w:lang w:val="fr-CA"/>
              </w:rPr>
            </w:pPr>
            <w:r w:rsidRPr="001F011C">
              <w:rPr>
                <w:rFonts w:asciiTheme="minorHAnsi" w:hAnsiTheme="minorHAnsi" w:cstheme="minorHAnsi"/>
                <w:color w:val="000000"/>
                <w:sz w:val="22"/>
                <w:szCs w:val="22"/>
                <w:lang w:val="fr-CA"/>
              </w:rPr>
              <w:t>15</w:t>
            </w:r>
          </w:p>
        </w:tc>
        <w:tc>
          <w:tcPr>
            <w:tcW w:w="3260" w:type="dxa"/>
          </w:tcPr>
          <w:p w:rsidR="001F011C" w:rsidRPr="001F011C" w:rsidRDefault="001F011C" w:rsidP="005A1239">
            <w:pPr>
              <w:autoSpaceDE w:val="0"/>
              <w:autoSpaceDN w:val="0"/>
              <w:adjustRightInd w:val="0"/>
              <w:jc w:val="center"/>
              <w:rPr>
                <w:rFonts w:asciiTheme="minorHAnsi" w:hAnsiTheme="minorHAnsi" w:cstheme="minorHAnsi"/>
                <w:color w:val="000000"/>
                <w:sz w:val="22"/>
                <w:szCs w:val="22"/>
                <w:lang w:val="fr-CA"/>
              </w:rPr>
            </w:pPr>
            <w:r w:rsidRPr="001F011C">
              <w:rPr>
                <w:rFonts w:asciiTheme="minorHAnsi" w:hAnsiTheme="minorHAnsi" w:cstheme="minorHAnsi"/>
                <w:color w:val="000000"/>
                <w:sz w:val="22"/>
                <w:szCs w:val="22"/>
                <w:lang w:val="fr-CA"/>
              </w:rPr>
              <w:t>0</w:t>
            </w:r>
          </w:p>
        </w:tc>
        <w:tc>
          <w:tcPr>
            <w:tcW w:w="1637" w:type="dxa"/>
          </w:tcPr>
          <w:p w:rsidR="001F011C" w:rsidRPr="001F011C" w:rsidRDefault="001F011C" w:rsidP="005A1239">
            <w:pPr>
              <w:autoSpaceDE w:val="0"/>
              <w:autoSpaceDN w:val="0"/>
              <w:adjustRightInd w:val="0"/>
              <w:jc w:val="center"/>
              <w:rPr>
                <w:rFonts w:asciiTheme="minorHAnsi" w:hAnsiTheme="minorHAnsi" w:cstheme="minorHAnsi"/>
                <w:color w:val="000000"/>
                <w:sz w:val="22"/>
                <w:szCs w:val="22"/>
                <w:lang w:val="fr-CA"/>
              </w:rPr>
            </w:pPr>
            <w:r w:rsidRPr="001F011C">
              <w:rPr>
                <w:rFonts w:asciiTheme="minorHAnsi" w:hAnsiTheme="minorHAnsi" w:cstheme="minorHAnsi"/>
                <w:color w:val="000000"/>
                <w:sz w:val="22"/>
                <w:szCs w:val="22"/>
                <w:lang w:val="fr-CA"/>
              </w:rPr>
              <w:t>19</w:t>
            </w:r>
          </w:p>
        </w:tc>
      </w:tr>
      <w:tr w:rsidR="001F011C" w:rsidRPr="001F011C" w:rsidTr="001C333D">
        <w:trPr>
          <w:cantSplit/>
          <w:tblHeader/>
          <w:jc w:val="center"/>
        </w:trPr>
        <w:tc>
          <w:tcPr>
            <w:tcW w:w="0" w:type="auto"/>
          </w:tcPr>
          <w:p w:rsidR="001F011C" w:rsidRPr="001F011C" w:rsidRDefault="001F011C" w:rsidP="005A1239">
            <w:pPr>
              <w:autoSpaceDE w:val="0"/>
              <w:autoSpaceDN w:val="0"/>
              <w:adjustRightInd w:val="0"/>
              <w:rPr>
                <w:rFonts w:asciiTheme="minorHAnsi" w:hAnsiTheme="minorHAnsi" w:cstheme="minorHAnsi"/>
                <w:color w:val="000000"/>
                <w:sz w:val="22"/>
                <w:szCs w:val="22"/>
                <w:lang w:val="fr-CA"/>
              </w:rPr>
            </w:pPr>
            <w:r w:rsidRPr="001F011C">
              <w:rPr>
                <w:rFonts w:asciiTheme="minorHAnsi" w:hAnsiTheme="minorHAnsi" w:cstheme="minorHAnsi"/>
                <w:color w:val="000000"/>
                <w:sz w:val="22"/>
                <w:szCs w:val="22"/>
                <w:lang w:val="fr-CA"/>
              </w:rPr>
              <w:t>2017 à 2018</w:t>
            </w:r>
          </w:p>
        </w:tc>
        <w:tc>
          <w:tcPr>
            <w:tcW w:w="1550" w:type="dxa"/>
          </w:tcPr>
          <w:p w:rsidR="001F011C" w:rsidRPr="001F011C" w:rsidRDefault="001F011C" w:rsidP="005A1239">
            <w:pPr>
              <w:autoSpaceDE w:val="0"/>
              <w:autoSpaceDN w:val="0"/>
              <w:adjustRightInd w:val="0"/>
              <w:jc w:val="center"/>
              <w:rPr>
                <w:rFonts w:asciiTheme="minorHAnsi" w:hAnsiTheme="minorHAnsi" w:cstheme="minorHAnsi"/>
                <w:color w:val="000000"/>
                <w:sz w:val="22"/>
                <w:szCs w:val="22"/>
                <w:lang w:val="fr-CA"/>
              </w:rPr>
            </w:pPr>
            <w:r w:rsidRPr="001F011C">
              <w:rPr>
                <w:rFonts w:asciiTheme="minorHAnsi" w:hAnsiTheme="minorHAnsi" w:cstheme="minorHAnsi"/>
                <w:color w:val="000000"/>
                <w:sz w:val="22"/>
                <w:szCs w:val="22"/>
                <w:lang w:val="fr-CA"/>
              </w:rPr>
              <w:t>1</w:t>
            </w:r>
          </w:p>
        </w:tc>
        <w:tc>
          <w:tcPr>
            <w:tcW w:w="2300" w:type="dxa"/>
          </w:tcPr>
          <w:p w:rsidR="001F011C" w:rsidRPr="001F011C" w:rsidRDefault="001F011C" w:rsidP="005A1239">
            <w:pPr>
              <w:autoSpaceDE w:val="0"/>
              <w:autoSpaceDN w:val="0"/>
              <w:adjustRightInd w:val="0"/>
              <w:jc w:val="center"/>
              <w:rPr>
                <w:rFonts w:asciiTheme="minorHAnsi" w:hAnsiTheme="minorHAnsi" w:cstheme="minorHAnsi"/>
                <w:color w:val="000000"/>
                <w:sz w:val="22"/>
                <w:szCs w:val="22"/>
                <w:lang w:val="fr-CA"/>
              </w:rPr>
            </w:pPr>
            <w:r w:rsidRPr="001F011C">
              <w:rPr>
                <w:rFonts w:asciiTheme="minorHAnsi" w:hAnsiTheme="minorHAnsi" w:cstheme="minorHAnsi"/>
                <w:color w:val="000000"/>
                <w:sz w:val="22"/>
                <w:szCs w:val="22"/>
                <w:lang w:val="fr-CA"/>
              </w:rPr>
              <w:t>1</w:t>
            </w:r>
          </w:p>
        </w:tc>
        <w:tc>
          <w:tcPr>
            <w:tcW w:w="4220" w:type="dxa"/>
          </w:tcPr>
          <w:p w:rsidR="001F011C" w:rsidRPr="001F011C" w:rsidRDefault="001F011C" w:rsidP="005A1239">
            <w:pPr>
              <w:autoSpaceDE w:val="0"/>
              <w:autoSpaceDN w:val="0"/>
              <w:adjustRightInd w:val="0"/>
              <w:jc w:val="center"/>
              <w:rPr>
                <w:rFonts w:asciiTheme="minorHAnsi" w:hAnsiTheme="minorHAnsi" w:cstheme="minorHAnsi"/>
                <w:color w:val="000000"/>
                <w:sz w:val="22"/>
                <w:szCs w:val="22"/>
                <w:lang w:val="fr-CA"/>
              </w:rPr>
            </w:pPr>
            <w:r w:rsidRPr="001F011C">
              <w:rPr>
                <w:rFonts w:asciiTheme="minorHAnsi" w:hAnsiTheme="minorHAnsi" w:cstheme="minorHAnsi"/>
                <w:color w:val="000000"/>
                <w:sz w:val="22"/>
                <w:szCs w:val="22"/>
                <w:lang w:val="fr-CA"/>
              </w:rPr>
              <w:t>14</w:t>
            </w:r>
          </w:p>
        </w:tc>
        <w:tc>
          <w:tcPr>
            <w:tcW w:w="3260" w:type="dxa"/>
          </w:tcPr>
          <w:p w:rsidR="001F011C" w:rsidRPr="001F011C" w:rsidRDefault="001F011C" w:rsidP="005A1239">
            <w:pPr>
              <w:autoSpaceDE w:val="0"/>
              <w:autoSpaceDN w:val="0"/>
              <w:adjustRightInd w:val="0"/>
              <w:jc w:val="center"/>
              <w:rPr>
                <w:rFonts w:asciiTheme="minorHAnsi" w:hAnsiTheme="minorHAnsi" w:cstheme="minorHAnsi"/>
                <w:color w:val="000000"/>
                <w:sz w:val="22"/>
                <w:szCs w:val="22"/>
                <w:lang w:val="fr-CA"/>
              </w:rPr>
            </w:pPr>
            <w:r w:rsidRPr="001F011C">
              <w:rPr>
                <w:rFonts w:asciiTheme="minorHAnsi" w:hAnsiTheme="minorHAnsi" w:cstheme="minorHAnsi"/>
                <w:color w:val="000000"/>
                <w:sz w:val="22"/>
                <w:szCs w:val="22"/>
                <w:lang w:val="fr-CA"/>
              </w:rPr>
              <w:t>1</w:t>
            </w:r>
          </w:p>
        </w:tc>
        <w:tc>
          <w:tcPr>
            <w:tcW w:w="1637" w:type="dxa"/>
          </w:tcPr>
          <w:p w:rsidR="001F011C" w:rsidRPr="001F011C" w:rsidRDefault="001F011C" w:rsidP="005A1239">
            <w:pPr>
              <w:autoSpaceDE w:val="0"/>
              <w:autoSpaceDN w:val="0"/>
              <w:adjustRightInd w:val="0"/>
              <w:jc w:val="center"/>
              <w:rPr>
                <w:rFonts w:asciiTheme="minorHAnsi" w:hAnsiTheme="minorHAnsi" w:cstheme="minorHAnsi"/>
                <w:color w:val="000000"/>
                <w:sz w:val="22"/>
                <w:szCs w:val="22"/>
                <w:lang w:val="fr-CA"/>
              </w:rPr>
            </w:pPr>
            <w:r w:rsidRPr="001F011C">
              <w:rPr>
                <w:rFonts w:asciiTheme="minorHAnsi" w:hAnsiTheme="minorHAnsi" w:cstheme="minorHAnsi"/>
                <w:color w:val="000000"/>
                <w:sz w:val="22"/>
                <w:szCs w:val="22"/>
                <w:lang w:val="fr-CA"/>
              </w:rPr>
              <w:t>17</w:t>
            </w:r>
          </w:p>
        </w:tc>
      </w:tr>
      <w:tr w:rsidR="001F011C" w:rsidRPr="001F011C" w:rsidTr="001C333D">
        <w:trPr>
          <w:cantSplit/>
          <w:tblHeader/>
          <w:jc w:val="center"/>
        </w:trPr>
        <w:tc>
          <w:tcPr>
            <w:tcW w:w="0" w:type="auto"/>
          </w:tcPr>
          <w:p w:rsidR="001F011C" w:rsidRPr="001F011C" w:rsidRDefault="001F011C" w:rsidP="005A1239">
            <w:pPr>
              <w:autoSpaceDE w:val="0"/>
              <w:autoSpaceDN w:val="0"/>
              <w:adjustRightInd w:val="0"/>
              <w:rPr>
                <w:rFonts w:asciiTheme="minorHAnsi" w:hAnsiTheme="minorHAnsi" w:cstheme="minorHAnsi"/>
                <w:color w:val="000000"/>
                <w:sz w:val="22"/>
                <w:szCs w:val="22"/>
                <w:lang w:val="fr-CA"/>
              </w:rPr>
            </w:pPr>
            <w:r w:rsidRPr="001F011C">
              <w:rPr>
                <w:rFonts w:asciiTheme="minorHAnsi" w:hAnsiTheme="minorHAnsi" w:cstheme="minorHAnsi"/>
                <w:color w:val="000000"/>
                <w:sz w:val="22"/>
                <w:szCs w:val="22"/>
                <w:lang w:val="fr-CA"/>
              </w:rPr>
              <w:t>2018 à 2019</w:t>
            </w:r>
          </w:p>
        </w:tc>
        <w:tc>
          <w:tcPr>
            <w:tcW w:w="1550" w:type="dxa"/>
          </w:tcPr>
          <w:p w:rsidR="001F011C" w:rsidRPr="001F011C" w:rsidRDefault="001F011C" w:rsidP="005A1239">
            <w:pPr>
              <w:autoSpaceDE w:val="0"/>
              <w:autoSpaceDN w:val="0"/>
              <w:adjustRightInd w:val="0"/>
              <w:jc w:val="center"/>
              <w:rPr>
                <w:rFonts w:asciiTheme="minorHAnsi" w:hAnsiTheme="minorHAnsi" w:cstheme="minorHAnsi"/>
                <w:color w:val="000000"/>
                <w:sz w:val="22"/>
                <w:szCs w:val="22"/>
                <w:lang w:val="fr-CA"/>
              </w:rPr>
            </w:pPr>
            <w:r w:rsidRPr="001F011C">
              <w:rPr>
                <w:rFonts w:asciiTheme="minorHAnsi" w:hAnsiTheme="minorHAnsi" w:cstheme="minorHAnsi"/>
                <w:color w:val="000000"/>
                <w:sz w:val="22"/>
                <w:szCs w:val="22"/>
                <w:lang w:val="fr-CA"/>
              </w:rPr>
              <w:t>4</w:t>
            </w:r>
          </w:p>
        </w:tc>
        <w:tc>
          <w:tcPr>
            <w:tcW w:w="2300" w:type="dxa"/>
          </w:tcPr>
          <w:p w:rsidR="001F011C" w:rsidRPr="001F011C" w:rsidRDefault="001F011C" w:rsidP="005A1239">
            <w:pPr>
              <w:autoSpaceDE w:val="0"/>
              <w:autoSpaceDN w:val="0"/>
              <w:adjustRightInd w:val="0"/>
              <w:jc w:val="center"/>
              <w:rPr>
                <w:rFonts w:asciiTheme="minorHAnsi" w:hAnsiTheme="minorHAnsi" w:cstheme="minorHAnsi"/>
                <w:color w:val="000000"/>
                <w:sz w:val="22"/>
                <w:szCs w:val="22"/>
                <w:lang w:val="fr-CA"/>
              </w:rPr>
            </w:pPr>
            <w:r w:rsidRPr="001F011C">
              <w:rPr>
                <w:rFonts w:asciiTheme="minorHAnsi" w:hAnsiTheme="minorHAnsi" w:cstheme="minorHAnsi"/>
                <w:color w:val="000000"/>
                <w:sz w:val="22"/>
                <w:szCs w:val="22"/>
                <w:lang w:val="fr-CA"/>
              </w:rPr>
              <w:t>1</w:t>
            </w:r>
          </w:p>
        </w:tc>
        <w:tc>
          <w:tcPr>
            <w:tcW w:w="4220" w:type="dxa"/>
          </w:tcPr>
          <w:p w:rsidR="001F011C" w:rsidRPr="001F011C" w:rsidRDefault="001F011C" w:rsidP="005A1239">
            <w:pPr>
              <w:autoSpaceDE w:val="0"/>
              <w:autoSpaceDN w:val="0"/>
              <w:adjustRightInd w:val="0"/>
              <w:jc w:val="center"/>
              <w:rPr>
                <w:rFonts w:asciiTheme="minorHAnsi" w:hAnsiTheme="minorHAnsi" w:cstheme="minorHAnsi"/>
                <w:color w:val="000000"/>
                <w:sz w:val="22"/>
                <w:szCs w:val="22"/>
                <w:lang w:val="fr-CA"/>
              </w:rPr>
            </w:pPr>
            <w:r w:rsidRPr="001F011C">
              <w:rPr>
                <w:rFonts w:asciiTheme="minorHAnsi" w:hAnsiTheme="minorHAnsi" w:cstheme="minorHAnsi"/>
                <w:color w:val="000000"/>
                <w:sz w:val="22"/>
                <w:szCs w:val="22"/>
                <w:lang w:val="fr-CA"/>
              </w:rPr>
              <w:t>12</w:t>
            </w:r>
          </w:p>
        </w:tc>
        <w:tc>
          <w:tcPr>
            <w:tcW w:w="3260" w:type="dxa"/>
          </w:tcPr>
          <w:p w:rsidR="001F011C" w:rsidRPr="001F011C" w:rsidRDefault="001F011C" w:rsidP="005A1239">
            <w:pPr>
              <w:autoSpaceDE w:val="0"/>
              <w:autoSpaceDN w:val="0"/>
              <w:adjustRightInd w:val="0"/>
              <w:jc w:val="center"/>
              <w:rPr>
                <w:rFonts w:asciiTheme="minorHAnsi" w:hAnsiTheme="minorHAnsi" w:cstheme="minorHAnsi"/>
                <w:color w:val="000000"/>
                <w:sz w:val="22"/>
                <w:szCs w:val="22"/>
                <w:lang w:val="fr-CA"/>
              </w:rPr>
            </w:pPr>
            <w:r w:rsidRPr="001F011C">
              <w:rPr>
                <w:rFonts w:asciiTheme="minorHAnsi" w:hAnsiTheme="minorHAnsi" w:cstheme="minorHAnsi"/>
                <w:color w:val="000000"/>
                <w:sz w:val="22"/>
                <w:szCs w:val="22"/>
                <w:lang w:val="fr-CA"/>
              </w:rPr>
              <w:t>0</w:t>
            </w:r>
          </w:p>
        </w:tc>
        <w:tc>
          <w:tcPr>
            <w:tcW w:w="1637" w:type="dxa"/>
          </w:tcPr>
          <w:p w:rsidR="001F011C" w:rsidRPr="001F011C" w:rsidRDefault="001F011C" w:rsidP="005A1239">
            <w:pPr>
              <w:autoSpaceDE w:val="0"/>
              <w:autoSpaceDN w:val="0"/>
              <w:adjustRightInd w:val="0"/>
              <w:jc w:val="center"/>
              <w:rPr>
                <w:rFonts w:asciiTheme="minorHAnsi" w:hAnsiTheme="minorHAnsi" w:cstheme="minorHAnsi"/>
                <w:color w:val="000000"/>
                <w:sz w:val="22"/>
                <w:szCs w:val="22"/>
                <w:lang w:val="fr-CA"/>
              </w:rPr>
            </w:pPr>
            <w:r w:rsidRPr="001F011C">
              <w:rPr>
                <w:rFonts w:asciiTheme="minorHAnsi" w:hAnsiTheme="minorHAnsi" w:cstheme="minorHAnsi"/>
                <w:color w:val="000000"/>
                <w:sz w:val="22"/>
                <w:szCs w:val="22"/>
                <w:lang w:val="fr-CA"/>
              </w:rPr>
              <w:t>17</w:t>
            </w:r>
          </w:p>
        </w:tc>
      </w:tr>
    </w:tbl>
    <w:p w:rsidR="0032113C" w:rsidRPr="001C333D" w:rsidRDefault="0032113C" w:rsidP="0032113C">
      <w:pPr>
        <w:pStyle w:val="Titre1"/>
        <w:spacing w:before="120" w:after="120"/>
        <w:rPr>
          <w:sz w:val="40"/>
          <w:szCs w:val="40"/>
          <w:lang w:val="fr-CA"/>
        </w:rPr>
      </w:pPr>
      <w:r w:rsidRPr="001C333D">
        <w:rPr>
          <w:rFonts w:eastAsia="Times New Roman"/>
          <w:sz w:val="40"/>
          <w:szCs w:val="40"/>
          <w:lang w:val="fr-CA"/>
        </w:rPr>
        <w:lastRenderedPageBreak/>
        <w:t>Dotation selon la durée d'emploi</w:t>
      </w:r>
    </w:p>
    <w:p w:rsidR="00272913" w:rsidRDefault="001F011C" w:rsidP="00272913">
      <w:pPr>
        <w:keepNext/>
        <w:jc w:val="center"/>
      </w:pPr>
      <w:r w:rsidRPr="00272913">
        <w:rPr>
          <w:rStyle w:val="lev"/>
          <w:noProof/>
          <w:lang w:val="en-CA" w:eastAsia="en-CA"/>
        </w:rPr>
        <w:drawing>
          <wp:inline distT="0" distB="0" distL="0" distR="0" wp14:anchorId="27B408A7" wp14:editId="40BCBBC5">
            <wp:extent cx="5648400" cy="3049200"/>
            <wp:effectExtent l="0" t="0" r="9525" b="18415"/>
            <wp:docPr id="3" name="Chart 3" descr="Dotation selon la durée d'emploi&#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1F011C" w:rsidRPr="00272913" w:rsidRDefault="00272913" w:rsidP="00272913">
      <w:pPr>
        <w:pStyle w:val="Lgende"/>
        <w:jc w:val="center"/>
        <w:rPr>
          <w:lang w:val="fr-CA"/>
        </w:rPr>
      </w:pPr>
      <w:r w:rsidRPr="00272913">
        <w:rPr>
          <w:lang w:val="fr-CA"/>
        </w:rPr>
        <w:t xml:space="preserve">Figure </w:t>
      </w:r>
      <w:r>
        <w:fldChar w:fldCharType="begin"/>
      </w:r>
      <w:r w:rsidRPr="00272913">
        <w:rPr>
          <w:lang w:val="fr-CA"/>
        </w:rPr>
        <w:instrText xml:space="preserve"> SEQ Figure \* ARABIC </w:instrText>
      </w:r>
      <w:r>
        <w:fldChar w:fldCharType="separate"/>
      </w:r>
      <w:r w:rsidR="00EE67E2">
        <w:rPr>
          <w:noProof/>
          <w:lang w:val="fr-CA"/>
        </w:rPr>
        <w:t>9</w:t>
      </w:r>
      <w:r>
        <w:fldChar w:fldCharType="end"/>
      </w:r>
      <w:r w:rsidRPr="00272913">
        <w:rPr>
          <w:lang w:val="fr-CA"/>
        </w:rPr>
        <w:t xml:space="preserve"> - Dotation selon la durée d'emploi</w:t>
      </w:r>
    </w:p>
    <w:p w:rsidR="00272913" w:rsidRPr="00272913" w:rsidRDefault="00272913" w:rsidP="0032113C">
      <w:pPr>
        <w:pStyle w:val="Lgende"/>
        <w:keepNext/>
        <w:spacing w:before="240"/>
        <w:jc w:val="center"/>
        <w:rPr>
          <w:lang w:val="fr-CA"/>
        </w:rPr>
      </w:pPr>
      <w:r w:rsidRPr="00272913">
        <w:rPr>
          <w:lang w:val="fr-CA"/>
        </w:rPr>
        <w:t xml:space="preserve">Table </w:t>
      </w:r>
      <w:r>
        <w:fldChar w:fldCharType="begin"/>
      </w:r>
      <w:r w:rsidRPr="00272913">
        <w:rPr>
          <w:lang w:val="fr-CA"/>
        </w:rPr>
        <w:instrText xml:space="preserve"> SEQ Table \* ARABIC </w:instrText>
      </w:r>
      <w:r>
        <w:fldChar w:fldCharType="separate"/>
      </w:r>
      <w:r w:rsidR="00EE67E2">
        <w:rPr>
          <w:noProof/>
          <w:lang w:val="fr-CA"/>
        </w:rPr>
        <w:t>9</w:t>
      </w:r>
      <w:r>
        <w:fldChar w:fldCharType="end"/>
      </w:r>
      <w:r w:rsidRPr="00272913">
        <w:rPr>
          <w:lang w:val="fr-CA"/>
        </w:rPr>
        <w:t xml:space="preserve"> - Activités de dotation selon la durée d’emploi et l’exercice financier</w:t>
      </w:r>
    </w:p>
    <w:tbl>
      <w:tblPr>
        <w:tblStyle w:val="Grilledutableau"/>
        <w:tblW w:w="0" w:type="auto"/>
        <w:jc w:val="center"/>
        <w:tblLook w:val="0000" w:firstRow="0" w:lastRow="0" w:firstColumn="0" w:lastColumn="0" w:noHBand="0" w:noVBand="0"/>
        <w:tblDescription w:val="Dotation selon la durée d’emploi "/>
      </w:tblPr>
      <w:tblGrid>
        <w:gridCol w:w="1349"/>
        <w:gridCol w:w="3272"/>
        <w:gridCol w:w="2822"/>
        <w:gridCol w:w="2962"/>
        <w:gridCol w:w="2339"/>
        <w:gridCol w:w="1646"/>
      </w:tblGrid>
      <w:tr w:rsidR="00272913" w:rsidRPr="00272913" w:rsidTr="00272913">
        <w:trPr>
          <w:cantSplit/>
          <w:tblHeader/>
          <w:jc w:val="center"/>
        </w:trPr>
        <w:tc>
          <w:tcPr>
            <w:tcW w:w="0" w:type="auto"/>
          </w:tcPr>
          <w:p w:rsidR="00272913" w:rsidRPr="00272913" w:rsidRDefault="00272913" w:rsidP="005A1239">
            <w:pPr>
              <w:pStyle w:val="TableTitle"/>
              <w:rPr>
                <w:color w:val="auto"/>
                <w:sz w:val="22"/>
                <w:szCs w:val="22"/>
                <w:lang w:val="fr-CA"/>
              </w:rPr>
            </w:pPr>
            <w:r w:rsidRPr="00272913">
              <w:rPr>
                <w:color w:val="auto"/>
                <w:sz w:val="22"/>
                <w:szCs w:val="22"/>
                <w:lang w:val="fr-CA"/>
              </w:rPr>
              <w:t>Exercice financier</w:t>
            </w:r>
          </w:p>
        </w:tc>
        <w:tc>
          <w:tcPr>
            <w:tcW w:w="0" w:type="auto"/>
          </w:tcPr>
          <w:p w:rsidR="00272913" w:rsidRPr="00272913" w:rsidRDefault="00272913" w:rsidP="005A1239">
            <w:pPr>
              <w:pStyle w:val="TableTitle"/>
              <w:rPr>
                <w:color w:val="auto"/>
                <w:sz w:val="22"/>
                <w:szCs w:val="22"/>
                <w:lang w:val="fr-CA"/>
              </w:rPr>
            </w:pPr>
            <w:r w:rsidRPr="00272913">
              <w:rPr>
                <w:color w:val="auto"/>
                <w:sz w:val="22"/>
                <w:szCs w:val="22"/>
                <w:lang w:val="fr-CA"/>
              </w:rPr>
              <w:t>Activités de dotation pour des postes pour une période indéterminée</w:t>
            </w:r>
          </w:p>
        </w:tc>
        <w:tc>
          <w:tcPr>
            <w:tcW w:w="0" w:type="auto"/>
          </w:tcPr>
          <w:p w:rsidR="00272913" w:rsidRPr="00272913" w:rsidRDefault="00272913" w:rsidP="005A1239">
            <w:pPr>
              <w:pStyle w:val="TableTitle"/>
              <w:rPr>
                <w:color w:val="auto"/>
                <w:sz w:val="22"/>
                <w:szCs w:val="22"/>
                <w:lang w:val="fr-CA"/>
              </w:rPr>
            </w:pPr>
            <w:r w:rsidRPr="00272913">
              <w:rPr>
                <w:color w:val="auto"/>
                <w:sz w:val="22"/>
                <w:szCs w:val="22"/>
                <w:lang w:val="fr-CA"/>
              </w:rPr>
              <w:t>Activités de dotation pour des postes de durée déterminée</w:t>
            </w:r>
          </w:p>
        </w:tc>
        <w:tc>
          <w:tcPr>
            <w:tcW w:w="0" w:type="auto"/>
          </w:tcPr>
          <w:p w:rsidR="00272913" w:rsidRPr="00272913" w:rsidRDefault="00272913" w:rsidP="005A1239">
            <w:pPr>
              <w:pStyle w:val="TableTitle"/>
              <w:rPr>
                <w:color w:val="auto"/>
                <w:sz w:val="22"/>
                <w:szCs w:val="22"/>
                <w:lang w:val="fr-CA"/>
              </w:rPr>
            </w:pPr>
            <w:r w:rsidRPr="00272913">
              <w:rPr>
                <w:color w:val="auto"/>
                <w:sz w:val="22"/>
                <w:szCs w:val="22"/>
                <w:lang w:val="fr-CA"/>
              </w:rPr>
              <w:t>Activités de dotation de durée pour les emplois occasionnels</w:t>
            </w:r>
          </w:p>
        </w:tc>
        <w:tc>
          <w:tcPr>
            <w:tcW w:w="0" w:type="auto"/>
          </w:tcPr>
          <w:p w:rsidR="00272913" w:rsidRPr="00272913" w:rsidRDefault="00272913" w:rsidP="005A1239">
            <w:pPr>
              <w:pStyle w:val="TableTitle"/>
              <w:rPr>
                <w:color w:val="auto"/>
                <w:sz w:val="22"/>
                <w:szCs w:val="22"/>
                <w:lang w:val="fr-CA"/>
              </w:rPr>
            </w:pPr>
            <w:r w:rsidRPr="00272913">
              <w:rPr>
                <w:color w:val="auto"/>
                <w:sz w:val="22"/>
                <w:szCs w:val="22"/>
                <w:lang w:val="fr-CA"/>
              </w:rPr>
              <w:t>Activités de dotation pour les emplois étudiants</w:t>
            </w:r>
          </w:p>
        </w:tc>
        <w:tc>
          <w:tcPr>
            <w:tcW w:w="0" w:type="auto"/>
          </w:tcPr>
          <w:p w:rsidR="00272913" w:rsidRPr="00272913" w:rsidRDefault="00272913" w:rsidP="005A1239">
            <w:pPr>
              <w:pStyle w:val="TableTitle"/>
              <w:rPr>
                <w:color w:val="auto"/>
                <w:sz w:val="22"/>
                <w:szCs w:val="22"/>
                <w:lang w:val="fr-CA"/>
              </w:rPr>
            </w:pPr>
            <w:r w:rsidRPr="00272913">
              <w:rPr>
                <w:color w:val="auto"/>
                <w:sz w:val="22"/>
                <w:szCs w:val="22"/>
                <w:lang w:val="fr-CA"/>
              </w:rPr>
              <w:t>Activités de dotation totale</w:t>
            </w:r>
          </w:p>
        </w:tc>
      </w:tr>
      <w:tr w:rsidR="00272913" w:rsidRPr="00272913" w:rsidTr="00272913">
        <w:trPr>
          <w:cantSplit/>
          <w:tblHeader/>
          <w:jc w:val="center"/>
        </w:trPr>
        <w:tc>
          <w:tcPr>
            <w:tcW w:w="0" w:type="auto"/>
          </w:tcPr>
          <w:p w:rsidR="00272913" w:rsidRPr="00272913" w:rsidRDefault="00272913" w:rsidP="005A1239">
            <w:pPr>
              <w:autoSpaceDE w:val="0"/>
              <w:autoSpaceDN w:val="0"/>
              <w:adjustRightInd w:val="0"/>
              <w:rPr>
                <w:rFonts w:asciiTheme="minorHAnsi" w:hAnsiTheme="minorHAnsi" w:cstheme="minorHAnsi"/>
                <w:color w:val="000000"/>
                <w:sz w:val="22"/>
                <w:szCs w:val="22"/>
                <w:lang w:val="fr-CA"/>
              </w:rPr>
            </w:pPr>
            <w:r w:rsidRPr="00272913">
              <w:rPr>
                <w:rFonts w:asciiTheme="minorHAnsi" w:hAnsiTheme="minorHAnsi" w:cstheme="minorHAnsi"/>
                <w:color w:val="000000"/>
                <w:sz w:val="22"/>
                <w:szCs w:val="22"/>
                <w:lang w:val="fr-CA"/>
              </w:rPr>
              <w:t>2014 à 2015</w:t>
            </w:r>
          </w:p>
        </w:tc>
        <w:tc>
          <w:tcPr>
            <w:tcW w:w="0" w:type="auto"/>
          </w:tcPr>
          <w:p w:rsidR="00272913" w:rsidRPr="00272913" w:rsidRDefault="00272913" w:rsidP="005A1239">
            <w:pPr>
              <w:autoSpaceDE w:val="0"/>
              <w:autoSpaceDN w:val="0"/>
              <w:adjustRightInd w:val="0"/>
              <w:jc w:val="center"/>
              <w:rPr>
                <w:rFonts w:asciiTheme="minorHAnsi" w:hAnsiTheme="minorHAnsi" w:cstheme="minorHAnsi"/>
                <w:color w:val="000000"/>
                <w:sz w:val="22"/>
                <w:szCs w:val="22"/>
                <w:lang w:val="fr-CA"/>
              </w:rPr>
            </w:pPr>
            <w:r w:rsidRPr="00272913">
              <w:rPr>
                <w:rFonts w:asciiTheme="minorHAnsi" w:hAnsiTheme="minorHAnsi" w:cstheme="minorHAnsi"/>
                <w:color w:val="000000"/>
                <w:sz w:val="22"/>
                <w:szCs w:val="22"/>
                <w:lang w:val="fr-CA"/>
              </w:rPr>
              <w:t>6</w:t>
            </w:r>
          </w:p>
        </w:tc>
        <w:tc>
          <w:tcPr>
            <w:tcW w:w="0" w:type="auto"/>
          </w:tcPr>
          <w:p w:rsidR="00272913" w:rsidRPr="00272913" w:rsidRDefault="00272913" w:rsidP="005A1239">
            <w:pPr>
              <w:autoSpaceDE w:val="0"/>
              <w:autoSpaceDN w:val="0"/>
              <w:adjustRightInd w:val="0"/>
              <w:jc w:val="center"/>
              <w:rPr>
                <w:rFonts w:asciiTheme="minorHAnsi" w:hAnsiTheme="minorHAnsi" w:cstheme="minorHAnsi"/>
                <w:color w:val="000000"/>
                <w:sz w:val="22"/>
                <w:szCs w:val="22"/>
                <w:lang w:val="fr-CA"/>
              </w:rPr>
            </w:pPr>
            <w:r w:rsidRPr="00272913">
              <w:rPr>
                <w:rFonts w:asciiTheme="minorHAnsi" w:hAnsiTheme="minorHAnsi" w:cstheme="minorHAnsi"/>
                <w:color w:val="000000"/>
                <w:sz w:val="22"/>
                <w:szCs w:val="22"/>
                <w:lang w:val="fr-CA"/>
              </w:rPr>
              <w:t>4</w:t>
            </w:r>
          </w:p>
        </w:tc>
        <w:tc>
          <w:tcPr>
            <w:tcW w:w="0" w:type="auto"/>
          </w:tcPr>
          <w:p w:rsidR="00272913" w:rsidRPr="00272913" w:rsidRDefault="00272913" w:rsidP="005A1239">
            <w:pPr>
              <w:autoSpaceDE w:val="0"/>
              <w:autoSpaceDN w:val="0"/>
              <w:adjustRightInd w:val="0"/>
              <w:jc w:val="center"/>
              <w:rPr>
                <w:rFonts w:asciiTheme="minorHAnsi" w:hAnsiTheme="minorHAnsi" w:cstheme="minorHAnsi"/>
                <w:color w:val="000000"/>
                <w:sz w:val="22"/>
                <w:szCs w:val="22"/>
                <w:lang w:val="fr-CA"/>
              </w:rPr>
            </w:pPr>
            <w:r w:rsidRPr="00272913">
              <w:rPr>
                <w:rFonts w:asciiTheme="minorHAnsi" w:hAnsiTheme="minorHAnsi" w:cstheme="minorHAnsi"/>
                <w:color w:val="000000"/>
                <w:sz w:val="22"/>
                <w:szCs w:val="22"/>
                <w:lang w:val="fr-CA"/>
              </w:rPr>
              <w:t>6</w:t>
            </w:r>
          </w:p>
        </w:tc>
        <w:tc>
          <w:tcPr>
            <w:tcW w:w="0" w:type="auto"/>
          </w:tcPr>
          <w:p w:rsidR="00272913" w:rsidRPr="00272913" w:rsidRDefault="00272913" w:rsidP="005A1239">
            <w:pPr>
              <w:autoSpaceDE w:val="0"/>
              <w:autoSpaceDN w:val="0"/>
              <w:adjustRightInd w:val="0"/>
              <w:jc w:val="center"/>
              <w:rPr>
                <w:rFonts w:asciiTheme="minorHAnsi" w:hAnsiTheme="minorHAnsi" w:cstheme="minorHAnsi"/>
                <w:color w:val="000000"/>
                <w:sz w:val="22"/>
                <w:szCs w:val="22"/>
                <w:lang w:val="fr-CA"/>
              </w:rPr>
            </w:pPr>
            <w:r w:rsidRPr="00272913">
              <w:rPr>
                <w:rFonts w:asciiTheme="minorHAnsi" w:hAnsiTheme="minorHAnsi" w:cstheme="minorHAnsi"/>
                <w:color w:val="000000"/>
                <w:sz w:val="22"/>
                <w:szCs w:val="22"/>
                <w:lang w:val="fr-CA"/>
              </w:rPr>
              <w:t>6</w:t>
            </w:r>
          </w:p>
        </w:tc>
        <w:tc>
          <w:tcPr>
            <w:tcW w:w="0" w:type="auto"/>
          </w:tcPr>
          <w:p w:rsidR="00272913" w:rsidRPr="00272913" w:rsidRDefault="00272913" w:rsidP="005A1239">
            <w:pPr>
              <w:autoSpaceDE w:val="0"/>
              <w:autoSpaceDN w:val="0"/>
              <w:adjustRightInd w:val="0"/>
              <w:jc w:val="center"/>
              <w:rPr>
                <w:rFonts w:asciiTheme="minorHAnsi" w:hAnsiTheme="minorHAnsi" w:cstheme="minorHAnsi"/>
                <w:color w:val="000000"/>
                <w:sz w:val="22"/>
                <w:szCs w:val="22"/>
                <w:lang w:val="fr-CA"/>
              </w:rPr>
            </w:pPr>
            <w:r w:rsidRPr="00272913">
              <w:rPr>
                <w:rFonts w:asciiTheme="minorHAnsi" w:hAnsiTheme="minorHAnsi" w:cstheme="minorHAnsi"/>
                <w:color w:val="000000"/>
                <w:sz w:val="22"/>
                <w:szCs w:val="22"/>
                <w:lang w:val="fr-CA"/>
              </w:rPr>
              <w:t>22</w:t>
            </w:r>
          </w:p>
        </w:tc>
      </w:tr>
      <w:tr w:rsidR="00272913" w:rsidRPr="00272913" w:rsidTr="00272913">
        <w:trPr>
          <w:cantSplit/>
          <w:tblHeader/>
          <w:jc w:val="center"/>
        </w:trPr>
        <w:tc>
          <w:tcPr>
            <w:tcW w:w="0" w:type="auto"/>
          </w:tcPr>
          <w:p w:rsidR="00272913" w:rsidRPr="00272913" w:rsidRDefault="00272913" w:rsidP="005A1239">
            <w:pPr>
              <w:autoSpaceDE w:val="0"/>
              <w:autoSpaceDN w:val="0"/>
              <w:adjustRightInd w:val="0"/>
              <w:rPr>
                <w:rFonts w:asciiTheme="minorHAnsi" w:hAnsiTheme="minorHAnsi" w:cstheme="minorHAnsi"/>
                <w:color w:val="000000"/>
                <w:sz w:val="22"/>
                <w:szCs w:val="22"/>
                <w:lang w:val="fr-CA"/>
              </w:rPr>
            </w:pPr>
            <w:r w:rsidRPr="00272913">
              <w:rPr>
                <w:rFonts w:asciiTheme="minorHAnsi" w:hAnsiTheme="minorHAnsi" w:cstheme="minorHAnsi"/>
                <w:color w:val="000000"/>
                <w:sz w:val="22"/>
                <w:szCs w:val="22"/>
                <w:lang w:val="fr-CA"/>
              </w:rPr>
              <w:t>2015 à 2016</w:t>
            </w:r>
          </w:p>
        </w:tc>
        <w:tc>
          <w:tcPr>
            <w:tcW w:w="0" w:type="auto"/>
          </w:tcPr>
          <w:p w:rsidR="00272913" w:rsidRPr="00272913" w:rsidRDefault="00272913" w:rsidP="005A1239">
            <w:pPr>
              <w:autoSpaceDE w:val="0"/>
              <w:autoSpaceDN w:val="0"/>
              <w:adjustRightInd w:val="0"/>
              <w:jc w:val="center"/>
              <w:rPr>
                <w:rFonts w:asciiTheme="minorHAnsi" w:hAnsiTheme="minorHAnsi" w:cstheme="minorHAnsi"/>
                <w:color w:val="000000"/>
                <w:sz w:val="22"/>
                <w:szCs w:val="22"/>
                <w:lang w:val="fr-CA"/>
              </w:rPr>
            </w:pPr>
            <w:r w:rsidRPr="00272913">
              <w:rPr>
                <w:rFonts w:asciiTheme="minorHAnsi" w:hAnsiTheme="minorHAnsi" w:cstheme="minorHAnsi"/>
                <w:color w:val="000000"/>
                <w:sz w:val="22"/>
                <w:szCs w:val="22"/>
                <w:lang w:val="fr-CA"/>
              </w:rPr>
              <w:t>1</w:t>
            </w:r>
          </w:p>
        </w:tc>
        <w:tc>
          <w:tcPr>
            <w:tcW w:w="0" w:type="auto"/>
          </w:tcPr>
          <w:p w:rsidR="00272913" w:rsidRPr="00272913" w:rsidRDefault="00272913" w:rsidP="005A1239">
            <w:pPr>
              <w:autoSpaceDE w:val="0"/>
              <w:autoSpaceDN w:val="0"/>
              <w:adjustRightInd w:val="0"/>
              <w:jc w:val="center"/>
              <w:rPr>
                <w:rFonts w:asciiTheme="minorHAnsi" w:hAnsiTheme="minorHAnsi" w:cstheme="minorHAnsi"/>
                <w:color w:val="000000"/>
                <w:sz w:val="22"/>
                <w:szCs w:val="22"/>
                <w:lang w:val="fr-CA"/>
              </w:rPr>
            </w:pPr>
            <w:r w:rsidRPr="00272913">
              <w:rPr>
                <w:rFonts w:asciiTheme="minorHAnsi" w:hAnsiTheme="minorHAnsi" w:cstheme="minorHAnsi"/>
                <w:color w:val="000000"/>
                <w:sz w:val="22"/>
                <w:szCs w:val="22"/>
                <w:lang w:val="fr-CA"/>
              </w:rPr>
              <w:t>2</w:t>
            </w:r>
          </w:p>
        </w:tc>
        <w:tc>
          <w:tcPr>
            <w:tcW w:w="0" w:type="auto"/>
          </w:tcPr>
          <w:p w:rsidR="00272913" w:rsidRPr="00272913" w:rsidRDefault="00272913" w:rsidP="005A1239">
            <w:pPr>
              <w:autoSpaceDE w:val="0"/>
              <w:autoSpaceDN w:val="0"/>
              <w:adjustRightInd w:val="0"/>
              <w:jc w:val="center"/>
              <w:rPr>
                <w:rFonts w:asciiTheme="minorHAnsi" w:hAnsiTheme="minorHAnsi" w:cstheme="minorHAnsi"/>
                <w:color w:val="000000"/>
                <w:sz w:val="22"/>
                <w:szCs w:val="22"/>
                <w:lang w:val="fr-CA"/>
              </w:rPr>
            </w:pPr>
            <w:r w:rsidRPr="00272913">
              <w:rPr>
                <w:rFonts w:asciiTheme="minorHAnsi" w:hAnsiTheme="minorHAnsi" w:cstheme="minorHAnsi"/>
                <w:color w:val="000000"/>
                <w:sz w:val="22"/>
                <w:szCs w:val="22"/>
                <w:lang w:val="fr-CA"/>
              </w:rPr>
              <w:t>6</w:t>
            </w:r>
          </w:p>
        </w:tc>
        <w:tc>
          <w:tcPr>
            <w:tcW w:w="0" w:type="auto"/>
          </w:tcPr>
          <w:p w:rsidR="00272913" w:rsidRPr="00272913" w:rsidRDefault="00272913" w:rsidP="005A1239">
            <w:pPr>
              <w:autoSpaceDE w:val="0"/>
              <w:autoSpaceDN w:val="0"/>
              <w:adjustRightInd w:val="0"/>
              <w:jc w:val="center"/>
              <w:rPr>
                <w:rFonts w:asciiTheme="minorHAnsi" w:hAnsiTheme="minorHAnsi" w:cstheme="minorHAnsi"/>
                <w:color w:val="000000"/>
                <w:sz w:val="22"/>
                <w:szCs w:val="22"/>
                <w:lang w:val="fr-CA"/>
              </w:rPr>
            </w:pPr>
            <w:r w:rsidRPr="00272913">
              <w:rPr>
                <w:rFonts w:asciiTheme="minorHAnsi" w:hAnsiTheme="minorHAnsi" w:cstheme="minorHAnsi"/>
                <w:color w:val="000000"/>
                <w:sz w:val="22"/>
                <w:szCs w:val="22"/>
                <w:lang w:val="fr-CA"/>
              </w:rPr>
              <w:t>7</w:t>
            </w:r>
          </w:p>
        </w:tc>
        <w:tc>
          <w:tcPr>
            <w:tcW w:w="0" w:type="auto"/>
          </w:tcPr>
          <w:p w:rsidR="00272913" w:rsidRPr="00272913" w:rsidRDefault="00272913" w:rsidP="005A1239">
            <w:pPr>
              <w:autoSpaceDE w:val="0"/>
              <w:autoSpaceDN w:val="0"/>
              <w:adjustRightInd w:val="0"/>
              <w:jc w:val="center"/>
              <w:rPr>
                <w:rFonts w:asciiTheme="minorHAnsi" w:hAnsiTheme="minorHAnsi" w:cstheme="minorHAnsi"/>
                <w:color w:val="000000"/>
                <w:sz w:val="22"/>
                <w:szCs w:val="22"/>
                <w:lang w:val="fr-CA"/>
              </w:rPr>
            </w:pPr>
            <w:r w:rsidRPr="00272913">
              <w:rPr>
                <w:rFonts w:asciiTheme="minorHAnsi" w:hAnsiTheme="minorHAnsi" w:cstheme="minorHAnsi"/>
                <w:color w:val="000000"/>
                <w:sz w:val="22"/>
                <w:szCs w:val="22"/>
                <w:lang w:val="fr-CA"/>
              </w:rPr>
              <w:t>16</w:t>
            </w:r>
          </w:p>
        </w:tc>
      </w:tr>
      <w:tr w:rsidR="00272913" w:rsidRPr="00272913" w:rsidTr="00272913">
        <w:trPr>
          <w:cantSplit/>
          <w:tblHeader/>
          <w:jc w:val="center"/>
        </w:trPr>
        <w:tc>
          <w:tcPr>
            <w:tcW w:w="0" w:type="auto"/>
          </w:tcPr>
          <w:p w:rsidR="00272913" w:rsidRPr="00272913" w:rsidRDefault="00272913" w:rsidP="005A1239">
            <w:pPr>
              <w:autoSpaceDE w:val="0"/>
              <w:autoSpaceDN w:val="0"/>
              <w:adjustRightInd w:val="0"/>
              <w:rPr>
                <w:rFonts w:asciiTheme="minorHAnsi" w:hAnsiTheme="minorHAnsi" w:cstheme="minorHAnsi"/>
                <w:color w:val="000000"/>
                <w:sz w:val="22"/>
                <w:szCs w:val="22"/>
                <w:lang w:val="fr-CA"/>
              </w:rPr>
            </w:pPr>
            <w:r w:rsidRPr="00272913">
              <w:rPr>
                <w:rFonts w:asciiTheme="minorHAnsi" w:hAnsiTheme="minorHAnsi" w:cstheme="minorHAnsi"/>
                <w:color w:val="000000"/>
                <w:sz w:val="22"/>
                <w:szCs w:val="22"/>
                <w:lang w:val="fr-CA"/>
              </w:rPr>
              <w:t>2016 à 2017</w:t>
            </w:r>
          </w:p>
        </w:tc>
        <w:tc>
          <w:tcPr>
            <w:tcW w:w="0" w:type="auto"/>
          </w:tcPr>
          <w:p w:rsidR="00272913" w:rsidRPr="00272913" w:rsidRDefault="00272913" w:rsidP="005A1239">
            <w:pPr>
              <w:autoSpaceDE w:val="0"/>
              <w:autoSpaceDN w:val="0"/>
              <w:adjustRightInd w:val="0"/>
              <w:jc w:val="center"/>
              <w:rPr>
                <w:rFonts w:asciiTheme="minorHAnsi" w:hAnsiTheme="minorHAnsi" w:cstheme="minorHAnsi"/>
                <w:color w:val="000000"/>
                <w:sz w:val="22"/>
                <w:szCs w:val="22"/>
                <w:lang w:val="fr-CA"/>
              </w:rPr>
            </w:pPr>
            <w:r w:rsidRPr="00272913">
              <w:rPr>
                <w:rFonts w:asciiTheme="minorHAnsi" w:hAnsiTheme="minorHAnsi" w:cstheme="minorHAnsi"/>
                <w:color w:val="000000"/>
                <w:sz w:val="22"/>
                <w:szCs w:val="22"/>
                <w:lang w:val="fr-CA"/>
              </w:rPr>
              <w:t>4</w:t>
            </w:r>
          </w:p>
        </w:tc>
        <w:tc>
          <w:tcPr>
            <w:tcW w:w="0" w:type="auto"/>
          </w:tcPr>
          <w:p w:rsidR="00272913" w:rsidRPr="00272913" w:rsidRDefault="00272913" w:rsidP="005A1239">
            <w:pPr>
              <w:autoSpaceDE w:val="0"/>
              <w:autoSpaceDN w:val="0"/>
              <w:adjustRightInd w:val="0"/>
              <w:jc w:val="center"/>
              <w:rPr>
                <w:rFonts w:asciiTheme="minorHAnsi" w:hAnsiTheme="minorHAnsi" w:cstheme="minorHAnsi"/>
                <w:color w:val="000000"/>
                <w:sz w:val="22"/>
                <w:szCs w:val="22"/>
                <w:lang w:val="fr-CA"/>
              </w:rPr>
            </w:pPr>
            <w:r w:rsidRPr="00272913">
              <w:rPr>
                <w:rFonts w:asciiTheme="minorHAnsi" w:hAnsiTheme="minorHAnsi" w:cstheme="minorHAnsi"/>
                <w:color w:val="000000"/>
                <w:sz w:val="22"/>
                <w:szCs w:val="22"/>
                <w:lang w:val="fr-CA"/>
              </w:rPr>
              <w:t>2</w:t>
            </w:r>
          </w:p>
        </w:tc>
        <w:tc>
          <w:tcPr>
            <w:tcW w:w="0" w:type="auto"/>
          </w:tcPr>
          <w:p w:rsidR="00272913" w:rsidRPr="00272913" w:rsidRDefault="00272913" w:rsidP="005A1239">
            <w:pPr>
              <w:autoSpaceDE w:val="0"/>
              <w:autoSpaceDN w:val="0"/>
              <w:adjustRightInd w:val="0"/>
              <w:jc w:val="center"/>
              <w:rPr>
                <w:rFonts w:asciiTheme="minorHAnsi" w:hAnsiTheme="minorHAnsi" w:cstheme="minorHAnsi"/>
                <w:color w:val="000000"/>
                <w:sz w:val="22"/>
                <w:szCs w:val="22"/>
                <w:lang w:val="fr-CA"/>
              </w:rPr>
            </w:pPr>
            <w:r w:rsidRPr="00272913">
              <w:rPr>
                <w:rFonts w:asciiTheme="minorHAnsi" w:hAnsiTheme="minorHAnsi" w:cstheme="minorHAnsi"/>
                <w:color w:val="000000"/>
                <w:sz w:val="22"/>
                <w:szCs w:val="22"/>
                <w:lang w:val="fr-CA"/>
              </w:rPr>
              <w:t>6</w:t>
            </w:r>
          </w:p>
        </w:tc>
        <w:tc>
          <w:tcPr>
            <w:tcW w:w="0" w:type="auto"/>
          </w:tcPr>
          <w:p w:rsidR="00272913" w:rsidRPr="00272913" w:rsidRDefault="00272913" w:rsidP="005A1239">
            <w:pPr>
              <w:autoSpaceDE w:val="0"/>
              <w:autoSpaceDN w:val="0"/>
              <w:adjustRightInd w:val="0"/>
              <w:jc w:val="center"/>
              <w:rPr>
                <w:rFonts w:asciiTheme="minorHAnsi" w:hAnsiTheme="minorHAnsi" w:cstheme="minorHAnsi"/>
                <w:color w:val="000000"/>
                <w:sz w:val="22"/>
                <w:szCs w:val="22"/>
                <w:lang w:val="fr-CA"/>
              </w:rPr>
            </w:pPr>
            <w:r w:rsidRPr="00272913">
              <w:rPr>
                <w:rFonts w:asciiTheme="minorHAnsi" w:hAnsiTheme="minorHAnsi" w:cstheme="minorHAnsi"/>
                <w:color w:val="000000"/>
                <w:sz w:val="22"/>
                <w:szCs w:val="22"/>
                <w:lang w:val="fr-CA"/>
              </w:rPr>
              <w:t>7</w:t>
            </w:r>
          </w:p>
        </w:tc>
        <w:tc>
          <w:tcPr>
            <w:tcW w:w="0" w:type="auto"/>
          </w:tcPr>
          <w:p w:rsidR="00272913" w:rsidRPr="00272913" w:rsidRDefault="00272913" w:rsidP="005A1239">
            <w:pPr>
              <w:autoSpaceDE w:val="0"/>
              <w:autoSpaceDN w:val="0"/>
              <w:adjustRightInd w:val="0"/>
              <w:jc w:val="center"/>
              <w:rPr>
                <w:rFonts w:asciiTheme="minorHAnsi" w:hAnsiTheme="minorHAnsi" w:cstheme="minorHAnsi"/>
                <w:color w:val="000000"/>
                <w:sz w:val="22"/>
                <w:szCs w:val="22"/>
                <w:lang w:val="fr-CA"/>
              </w:rPr>
            </w:pPr>
            <w:r w:rsidRPr="00272913">
              <w:rPr>
                <w:rFonts w:asciiTheme="minorHAnsi" w:hAnsiTheme="minorHAnsi" w:cstheme="minorHAnsi"/>
                <w:color w:val="000000"/>
                <w:sz w:val="22"/>
                <w:szCs w:val="22"/>
                <w:lang w:val="fr-CA"/>
              </w:rPr>
              <w:t>19</w:t>
            </w:r>
          </w:p>
        </w:tc>
      </w:tr>
      <w:tr w:rsidR="00272913" w:rsidRPr="00272913" w:rsidTr="00272913">
        <w:trPr>
          <w:cantSplit/>
          <w:tblHeader/>
          <w:jc w:val="center"/>
        </w:trPr>
        <w:tc>
          <w:tcPr>
            <w:tcW w:w="0" w:type="auto"/>
          </w:tcPr>
          <w:p w:rsidR="00272913" w:rsidRPr="00272913" w:rsidRDefault="00272913" w:rsidP="005A1239">
            <w:pPr>
              <w:autoSpaceDE w:val="0"/>
              <w:autoSpaceDN w:val="0"/>
              <w:adjustRightInd w:val="0"/>
              <w:rPr>
                <w:rFonts w:asciiTheme="minorHAnsi" w:hAnsiTheme="minorHAnsi" w:cstheme="minorHAnsi"/>
                <w:color w:val="000000"/>
                <w:sz w:val="22"/>
                <w:szCs w:val="22"/>
                <w:lang w:val="fr-CA"/>
              </w:rPr>
            </w:pPr>
            <w:r w:rsidRPr="00272913">
              <w:rPr>
                <w:rFonts w:asciiTheme="minorHAnsi" w:hAnsiTheme="minorHAnsi" w:cstheme="minorHAnsi"/>
                <w:color w:val="000000"/>
                <w:sz w:val="22"/>
                <w:szCs w:val="22"/>
                <w:lang w:val="fr-CA"/>
              </w:rPr>
              <w:t>2017 à 2018</w:t>
            </w:r>
          </w:p>
        </w:tc>
        <w:tc>
          <w:tcPr>
            <w:tcW w:w="0" w:type="auto"/>
          </w:tcPr>
          <w:p w:rsidR="00272913" w:rsidRPr="00272913" w:rsidRDefault="00272913" w:rsidP="005A1239">
            <w:pPr>
              <w:autoSpaceDE w:val="0"/>
              <w:autoSpaceDN w:val="0"/>
              <w:adjustRightInd w:val="0"/>
              <w:jc w:val="center"/>
              <w:rPr>
                <w:rFonts w:asciiTheme="minorHAnsi" w:hAnsiTheme="minorHAnsi" w:cstheme="minorHAnsi"/>
                <w:color w:val="000000"/>
                <w:sz w:val="22"/>
                <w:szCs w:val="22"/>
                <w:lang w:val="fr-CA"/>
              </w:rPr>
            </w:pPr>
            <w:r w:rsidRPr="00272913">
              <w:rPr>
                <w:rFonts w:asciiTheme="minorHAnsi" w:hAnsiTheme="minorHAnsi" w:cstheme="minorHAnsi"/>
                <w:color w:val="000000"/>
                <w:sz w:val="22"/>
                <w:szCs w:val="22"/>
                <w:lang w:val="fr-CA"/>
              </w:rPr>
              <w:t>3</w:t>
            </w:r>
          </w:p>
        </w:tc>
        <w:tc>
          <w:tcPr>
            <w:tcW w:w="0" w:type="auto"/>
          </w:tcPr>
          <w:p w:rsidR="00272913" w:rsidRPr="00272913" w:rsidRDefault="00272913" w:rsidP="005A1239">
            <w:pPr>
              <w:autoSpaceDE w:val="0"/>
              <w:autoSpaceDN w:val="0"/>
              <w:adjustRightInd w:val="0"/>
              <w:jc w:val="center"/>
              <w:rPr>
                <w:rFonts w:asciiTheme="minorHAnsi" w:hAnsiTheme="minorHAnsi" w:cstheme="minorHAnsi"/>
                <w:color w:val="000000"/>
                <w:sz w:val="22"/>
                <w:szCs w:val="22"/>
                <w:lang w:val="fr-CA"/>
              </w:rPr>
            </w:pPr>
            <w:r w:rsidRPr="00272913">
              <w:rPr>
                <w:rFonts w:asciiTheme="minorHAnsi" w:hAnsiTheme="minorHAnsi" w:cstheme="minorHAnsi"/>
                <w:color w:val="000000"/>
                <w:sz w:val="22"/>
                <w:szCs w:val="22"/>
                <w:lang w:val="fr-CA"/>
              </w:rPr>
              <w:t>2</w:t>
            </w:r>
          </w:p>
        </w:tc>
        <w:tc>
          <w:tcPr>
            <w:tcW w:w="0" w:type="auto"/>
          </w:tcPr>
          <w:p w:rsidR="00272913" w:rsidRPr="00272913" w:rsidRDefault="00272913" w:rsidP="005A1239">
            <w:pPr>
              <w:autoSpaceDE w:val="0"/>
              <w:autoSpaceDN w:val="0"/>
              <w:adjustRightInd w:val="0"/>
              <w:jc w:val="center"/>
              <w:rPr>
                <w:rFonts w:asciiTheme="minorHAnsi" w:hAnsiTheme="minorHAnsi" w:cstheme="minorHAnsi"/>
                <w:color w:val="000000"/>
                <w:sz w:val="22"/>
                <w:szCs w:val="22"/>
                <w:lang w:val="fr-CA"/>
              </w:rPr>
            </w:pPr>
            <w:r w:rsidRPr="00272913">
              <w:rPr>
                <w:rFonts w:asciiTheme="minorHAnsi" w:hAnsiTheme="minorHAnsi" w:cstheme="minorHAnsi"/>
                <w:color w:val="000000"/>
                <w:sz w:val="22"/>
                <w:szCs w:val="22"/>
                <w:lang w:val="fr-CA"/>
              </w:rPr>
              <w:t>2</w:t>
            </w:r>
          </w:p>
        </w:tc>
        <w:tc>
          <w:tcPr>
            <w:tcW w:w="0" w:type="auto"/>
          </w:tcPr>
          <w:p w:rsidR="00272913" w:rsidRPr="00272913" w:rsidRDefault="00272913" w:rsidP="005A1239">
            <w:pPr>
              <w:autoSpaceDE w:val="0"/>
              <w:autoSpaceDN w:val="0"/>
              <w:adjustRightInd w:val="0"/>
              <w:jc w:val="center"/>
              <w:rPr>
                <w:rFonts w:asciiTheme="minorHAnsi" w:hAnsiTheme="minorHAnsi" w:cstheme="minorHAnsi"/>
                <w:color w:val="000000"/>
                <w:sz w:val="22"/>
                <w:szCs w:val="22"/>
                <w:lang w:val="fr-CA"/>
              </w:rPr>
            </w:pPr>
            <w:r w:rsidRPr="00272913">
              <w:rPr>
                <w:rFonts w:asciiTheme="minorHAnsi" w:hAnsiTheme="minorHAnsi" w:cstheme="minorHAnsi"/>
                <w:color w:val="000000"/>
                <w:sz w:val="22"/>
                <w:szCs w:val="22"/>
                <w:lang w:val="fr-CA"/>
              </w:rPr>
              <w:t>10</w:t>
            </w:r>
          </w:p>
        </w:tc>
        <w:tc>
          <w:tcPr>
            <w:tcW w:w="0" w:type="auto"/>
          </w:tcPr>
          <w:p w:rsidR="00272913" w:rsidRPr="00272913" w:rsidRDefault="00272913" w:rsidP="005A1239">
            <w:pPr>
              <w:autoSpaceDE w:val="0"/>
              <w:autoSpaceDN w:val="0"/>
              <w:adjustRightInd w:val="0"/>
              <w:jc w:val="center"/>
              <w:rPr>
                <w:rFonts w:asciiTheme="minorHAnsi" w:hAnsiTheme="minorHAnsi" w:cstheme="minorHAnsi"/>
                <w:color w:val="000000"/>
                <w:sz w:val="22"/>
                <w:szCs w:val="22"/>
                <w:lang w:val="fr-CA"/>
              </w:rPr>
            </w:pPr>
            <w:r w:rsidRPr="00272913">
              <w:rPr>
                <w:rFonts w:asciiTheme="minorHAnsi" w:hAnsiTheme="minorHAnsi" w:cstheme="minorHAnsi"/>
                <w:color w:val="000000"/>
                <w:sz w:val="22"/>
                <w:szCs w:val="22"/>
                <w:lang w:val="fr-CA"/>
              </w:rPr>
              <w:t>17</w:t>
            </w:r>
          </w:p>
        </w:tc>
      </w:tr>
      <w:tr w:rsidR="00272913" w:rsidRPr="00272913" w:rsidTr="00272913">
        <w:trPr>
          <w:cantSplit/>
          <w:tblHeader/>
          <w:jc w:val="center"/>
        </w:trPr>
        <w:tc>
          <w:tcPr>
            <w:tcW w:w="0" w:type="auto"/>
          </w:tcPr>
          <w:p w:rsidR="00272913" w:rsidRPr="00272913" w:rsidRDefault="00272913" w:rsidP="005A1239">
            <w:pPr>
              <w:autoSpaceDE w:val="0"/>
              <w:autoSpaceDN w:val="0"/>
              <w:adjustRightInd w:val="0"/>
              <w:rPr>
                <w:rFonts w:asciiTheme="minorHAnsi" w:hAnsiTheme="minorHAnsi" w:cstheme="minorHAnsi"/>
                <w:color w:val="000000"/>
                <w:sz w:val="22"/>
                <w:szCs w:val="22"/>
                <w:lang w:val="fr-CA"/>
              </w:rPr>
            </w:pPr>
            <w:r w:rsidRPr="00272913">
              <w:rPr>
                <w:rFonts w:asciiTheme="minorHAnsi" w:hAnsiTheme="minorHAnsi" w:cstheme="minorHAnsi"/>
                <w:color w:val="000000"/>
                <w:sz w:val="22"/>
                <w:szCs w:val="22"/>
                <w:lang w:val="fr-CA"/>
              </w:rPr>
              <w:t>2018 à 2019</w:t>
            </w:r>
          </w:p>
        </w:tc>
        <w:tc>
          <w:tcPr>
            <w:tcW w:w="0" w:type="auto"/>
          </w:tcPr>
          <w:p w:rsidR="00272913" w:rsidRPr="00272913" w:rsidRDefault="00272913" w:rsidP="005A1239">
            <w:pPr>
              <w:autoSpaceDE w:val="0"/>
              <w:autoSpaceDN w:val="0"/>
              <w:adjustRightInd w:val="0"/>
              <w:jc w:val="center"/>
              <w:rPr>
                <w:rFonts w:asciiTheme="minorHAnsi" w:hAnsiTheme="minorHAnsi" w:cstheme="minorHAnsi"/>
                <w:color w:val="000000"/>
                <w:sz w:val="22"/>
                <w:szCs w:val="22"/>
                <w:lang w:val="fr-CA"/>
              </w:rPr>
            </w:pPr>
            <w:r w:rsidRPr="00272913">
              <w:rPr>
                <w:rFonts w:asciiTheme="minorHAnsi" w:hAnsiTheme="minorHAnsi" w:cstheme="minorHAnsi"/>
                <w:color w:val="000000"/>
                <w:sz w:val="22"/>
                <w:szCs w:val="22"/>
                <w:lang w:val="fr-CA"/>
              </w:rPr>
              <w:t>7</w:t>
            </w:r>
          </w:p>
        </w:tc>
        <w:tc>
          <w:tcPr>
            <w:tcW w:w="0" w:type="auto"/>
          </w:tcPr>
          <w:p w:rsidR="00272913" w:rsidRPr="00272913" w:rsidRDefault="00272913" w:rsidP="005A1239">
            <w:pPr>
              <w:autoSpaceDE w:val="0"/>
              <w:autoSpaceDN w:val="0"/>
              <w:adjustRightInd w:val="0"/>
              <w:jc w:val="center"/>
              <w:rPr>
                <w:rFonts w:asciiTheme="minorHAnsi" w:hAnsiTheme="minorHAnsi" w:cstheme="minorHAnsi"/>
                <w:color w:val="000000"/>
                <w:sz w:val="22"/>
                <w:szCs w:val="22"/>
                <w:lang w:val="fr-CA"/>
              </w:rPr>
            </w:pPr>
            <w:r w:rsidRPr="00272913">
              <w:rPr>
                <w:rFonts w:asciiTheme="minorHAnsi" w:hAnsiTheme="minorHAnsi" w:cstheme="minorHAnsi"/>
                <w:color w:val="000000"/>
                <w:sz w:val="22"/>
                <w:szCs w:val="22"/>
                <w:lang w:val="fr-CA"/>
              </w:rPr>
              <w:t>2</w:t>
            </w:r>
          </w:p>
        </w:tc>
        <w:tc>
          <w:tcPr>
            <w:tcW w:w="0" w:type="auto"/>
          </w:tcPr>
          <w:p w:rsidR="00272913" w:rsidRPr="00272913" w:rsidRDefault="00272913" w:rsidP="005A1239">
            <w:pPr>
              <w:autoSpaceDE w:val="0"/>
              <w:autoSpaceDN w:val="0"/>
              <w:adjustRightInd w:val="0"/>
              <w:jc w:val="center"/>
              <w:rPr>
                <w:rFonts w:asciiTheme="minorHAnsi" w:hAnsiTheme="minorHAnsi" w:cstheme="minorHAnsi"/>
                <w:color w:val="000000"/>
                <w:sz w:val="22"/>
                <w:szCs w:val="22"/>
                <w:lang w:val="fr-CA"/>
              </w:rPr>
            </w:pPr>
            <w:r w:rsidRPr="00272913">
              <w:rPr>
                <w:rFonts w:asciiTheme="minorHAnsi" w:hAnsiTheme="minorHAnsi" w:cstheme="minorHAnsi"/>
                <w:color w:val="000000"/>
                <w:sz w:val="22"/>
                <w:szCs w:val="22"/>
                <w:lang w:val="fr-CA"/>
              </w:rPr>
              <w:t>1</w:t>
            </w:r>
          </w:p>
        </w:tc>
        <w:tc>
          <w:tcPr>
            <w:tcW w:w="0" w:type="auto"/>
          </w:tcPr>
          <w:p w:rsidR="00272913" w:rsidRPr="00272913" w:rsidRDefault="00272913" w:rsidP="005A1239">
            <w:pPr>
              <w:autoSpaceDE w:val="0"/>
              <w:autoSpaceDN w:val="0"/>
              <w:adjustRightInd w:val="0"/>
              <w:jc w:val="center"/>
              <w:rPr>
                <w:rFonts w:asciiTheme="minorHAnsi" w:hAnsiTheme="minorHAnsi" w:cstheme="minorHAnsi"/>
                <w:color w:val="000000"/>
                <w:sz w:val="22"/>
                <w:szCs w:val="22"/>
                <w:lang w:val="fr-CA"/>
              </w:rPr>
            </w:pPr>
            <w:r w:rsidRPr="00272913">
              <w:rPr>
                <w:rFonts w:asciiTheme="minorHAnsi" w:hAnsiTheme="minorHAnsi" w:cstheme="minorHAnsi"/>
                <w:color w:val="000000"/>
                <w:sz w:val="22"/>
                <w:szCs w:val="22"/>
                <w:lang w:val="fr-CA"/>
              </w:rPr>
              <w:t>7</w:t>
            </w:r>
          </w:p>
        </w:tc>
        <w:tc>
          <w:tcPr>
            <w:tcW w:w="0" w:type="auto"/>
          </w:tcPr>
          <w:p w:rsidR="00272913" w:rsidRPr="00272913" w:rsidRDefault="00272913" w:rsidP="005A1239">
            <w:pPr>
              <w:autoSpaceDE w:val="0"/>
              <w:autoSpaceDN w:val="0"/>
              <w:adjustRightInd w:val="0"/>
              <w:jc w:val="center"/>
              <w:rPr>
                <w:rFonts w:asciiTheme="minorHAnsi" w:hAnsiTheme="minorHAnsi" w:cstheme="minorHAnsi"/>
                <w:color w:val="000000"/>
                <w:sz w:val="22"/>
                <w:szCs w:val="22"/>
                <w:lang w:val="fr-CA"/>
              </w:rPr>
            </w:pPr>
            <w:r w:rsidRPr="00272913">
              <w:rPr>
                <w:rFonts w:asciiTheme="minorHAnsi" w:hAnsiTheme="minorHAnsi" w:cstheme="minorHAnsi"/>
                <w:color w:val="000000"/>
                <w:sz w:val="22"/>
                <w:szCs w:val="22"/>
                <w:lang w:val="fr-CA"/>
              </w:rPr>
              <w:t>17</w:t>
            </w:r>
          </w:p>
        </w:tc>
      </w:tr>
    </w:tbl>
    <w:p w:rsidR="00272913" w:rsidRPr="00272913" w:rsidRDefault="00272913" w:rsidP="00272913">
      <w:pPr>
        <w:spacing w:before="240"/>
        <w:rPr>
          <w:rStyle w:val="lev"/>
          <w:rFonts w:asciiTheme="minorHAnsi" w:hAnsiTheme="minorHAnsi" w:cstheme="minorHAnsi"/>
          <w:sz w:val="22"/>
          <w:szCs w:val="22"/>
          <w:lang w:val="fr-CA"/>
        </w:rPr>
      </w:pPr>
      <w:r w:rsidRPr="00272913">
        <w:rPr>
          <w:rStyle w:val="lev"/>
          <w:rFonts w:asciiTheme="minorHAnsi" w:hAnsiTheme="minorHAnsi" w:cstheme="minorHAnsi"/>
          <w:sz w:val="22"/>
          <w:szCs w:val="22"/>
          <w:lang w:val="fr-CA"/>
        </w:rPr>
        <w:t>Sondage sur la dotation et l’impartialité politique (2018) – Principales constatations</w:t>
      </w:r>
    </w:p>
    <w:p w:rsidR="00272913" w:rsidRPr="00272913" w:rsidRDefault="00272913" w:rsidP="00272913">
      <w:pPr>
        <w:pStyle w:val="Paragraphedeliste"/>
        <w:numPr>
          <w:ilvl w:val="0"/>
          <w:numId w:val="13"/>
        </w:numPr>
        <w:spacing w:after="0"/>
        <w:contextualSpacing w:val="0"/>
        <w:jc w:val="both"/>
        <w:rPr>
          <w:rFonts w:asciiTheme="minorHAnsi" w:hAnsiTheme="minorHAnsi" w:cstheme="minorHAnsi"/>
          <w:b/>
          <w:sz w:val="22"/>
          <w:szCs w:val="22"/>
          <w:lang w:val="fr-CA"/>
        </w:rPr>
      </w:pPr>
      <w:r w:rsidRPr="00272913">
        <w:rPr>
          <w:rFonts w:asciiTheme="minorHAnsi" w:hAnsiTheme="minorHAnsi" w:cstheme="minorHAnsi"/>
          <w:sz w:val="22"/>
          <w:szCs w:val="22"/>
          <w:lang w:val="fr-CA"/>
        </w:rPr>
        <w:t xml:space="preserve">93,4% des </w:t>
      </w:r>
      <w:r w:rsidRPr="00272913">
        <w:rPr>
          <w:rStyle w:val="lev"/>
          <w:rFonts w:asciiTheme="minorHAnsi" w:hAnsiTheme="minorHAnsi" w:cstheme="minorHAnsi"/>
          <w:sz w:val="22"/>
          <w:szCs w:val="22"/>
          <w:lang w:val="fr-CA"/>
        </w:rPr>
        <w:t>employés</w:t>
      </w:r>
      <w:r w:rsidRPr="00272913">
        <w:rPr>
          <w:rFonts w:asciiTheme="minorHAnsi" w:hAnsiTheme="minorHAnsi" w:cstheme="minorHAnsi"/>
          <w:sz w:val="22"/>
          <w:szCs w:val="22"/>
          <w:lang w:val="fr-CA"/>
        </w:rPr>
        <w:t xml:space="preserve"> estiment que les personnes embauchées peuvent effectuer le travail, comparativement à 69,8% dans les organisations de même taille et à 53,8% dans la fonction publique fédérale.</w:t>
      </w:r>
    </w:p>
    <w:p w:rsidR="00272913" w:rsidRPr="00272913" w:rsidRDefault="00272913" w:rsidP="00272913">
      <w:pPr>
        <w:pStyle w:val="Paragraphedeliste"/>
        <w:numPr>
          <w:ilvl w:val="0"/>
          <w:numId w:val="13"/>
        </w:numPr>
        <w:spacing w:after="0"/>
        <w:contextualSpacing w:val="0"/>
        <w:jc w:val="both"/>
        <w:rPr>
          <w:rFonts w:asciiTheme="minorHAnsi" w:hAnsiTheme="minorHAnsi" w:cstheme="minorHAnsi"/>
          <w:b/>
          <w:sz w:val="22"/>
          <w:szCs w:val="22"/>
          <w:lang w:val="fr-CA"/>
        </w:rPr>
      </w:pPr>
      <w:r w:rsidRPr="00272913">
        <w:rPr>
          <w:rFonts w:asciiTheme="minorHAnsi" w:hAnsiTheme="minorHAnsi" w:cstheme="minorHAnsi"/>
          <w:sz w:val="22"/>
          <w:szCs w:val="22"/>
          <w:lang w:val="fr-CA"/>
        </w:rPr>
        <w:t>Pour les questions supplémentaires, il n’y a pas suffisamment de données d’enquête disponibles pour la Commission mixte internationale.</w:t>
      </w:r>
    </w:p>
    <w:p w:rsidR="0032113C" w:rsidRPr="0032113C" w:rsidRDefault="0032113C" w:rsidP="0032113C">
      <w:pPr>
        <w:pStyle w:val="Titre1"/>
        <w:spacing w:before="120" w:after="120"/>
        <w:rPr>
          <w:sz w:val="40"/>
          <w:szCs w:val="40"/>
          <w:lang w:val="en-CA"/>
        </w:rPr>
      </w:pPr>
      <w:proofErr w:type="spellStart"/>
      <w:r w:rsidRPr="0032113C">
        <w:rPr>
          <w:rFonts w:eastAsia="Times New Roman"/>
          <w:sz w:val="40"/>
          <w:szCs w:val="40"/>
          <w:lang w:val="en-CA"/>
        </w:rPr>
        <w:lastRenderedPageBreak/>
        <w:t>Embauche</w:t>
      </w:r>
      <w:proofErr w:type="spellEnd"/>
      <w:r w:rsidRPr="0032113C">
        <w:rPr>
          <w:rFonts w:eastAsia="Times New Roman"/>
          <w:sz w:val="40"/>
          <w:szCs w:val="40"/>
          <w:lang w:val="en-CA"/>
        </w:rPr>
        <w:t xml:space="preserve"> </w:t>
      </w:r>
      <w:proofErr w:type="spellStart"/>
      <w:r w:rsidRPr="0032113C">
        <w:rPr>
          <w:rFonts w:eastAsia="Times New Roman"/>
          <w:sz w:val="40"/>
          <w:szCs w:val="40"/>
          <w:lang w:val="en-CA"/>
        </w:rPr>
        <w:t>d'étudiants</w:t>
      </w:r>
      <w:proofErr w:type="spellEnd"/>
    </w:p>
    <w:p w:rsidR="006F2DE8" w:rsidRDefault="00513230" w:rsidP="006F2DE8">
      <w:pPr>
        <w:keepNext/>
        <w:jc w:val="center"/>
      </w:pPr>
      <w:r w:rsidRPr="006F2DE8">
        <w:rPr>
          <w:rStyle w:val="lev"/>
          <w:noProof/>
          <w:lang w:val="en-CA" w:eastAsia="en-CA"/>
        </w:rPr>
        <w:drawing>
          <wp:inline distT="0" distB="0" distL="0" distR="0" wp14:anchorId="458F4AB5" wp14:editId="2531D1DB">
            <wp:extent cx="5648400" cy="3049200"/>
            <wp:effectExtent l="0" t="0" r="9525" b="18415"/>
            <wp:docPr id="17" name="Chart 17" descr="Embauche d'étudiants&#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45E36" w:rsidRPr="006F2DE8" w:rsidRDefault="006F2DE8" w:rsidP="006F2DE8">
      <w:pPr>
        <w:pStyle w:val="Lgende"/>
        <w:jc w:val="center"/>
        <w:rPr>
          <w:lang w:val="fr-CA"/>
        </w:rPr>
      </w:pPr>
      <w:r w:rsidRPr="006F2DE8">
        <w:rPr>
          <w:lang w:val="fr-CA"/>
        </w:rPr>
        <w:t xml:space="preserve">Figure </w:t>
      </w:r>
      <w:r>
        <w:fldChar w:fldCharType="begin"/>
      </w:r>
      <w:r w:rsidRPr="006F2DE8">
        <w:rPr>
          <w:lang w:val="fr-CA"/>
        </w:rPr>
        <w:instrText xml:space="preserve"> SEQ Figure \* ARABIC </w:instrText>
      </w:r>
      <w:r>
        <w:fldChar w:fldCharType="separate"/>
      </w:r>
      <w:r w:rsidR="00EE67E2">
        <w:rPr>
          <w:noProof/>
          <w:lang w:val="fr-CA"/>
        </w:rPr>
        <w:t>10</w:t>
      </w:r>
      <w:r>
        <w:fldChar w:fldCharType="end"/>
      </w:r>
      <w:r w:rsidRPr="006F2DE8">
        <w:rPr>
          <w:lang w:val="fr-CA"/>
        </w:rPr>
        <w:t xml:space="preserve"> - Embauche d'étudiants</w:t>
      </w:r>
    </w:p>
    <w:p w:rsidR="006F2DE8" w:rsidRPr="00CA6622" w:rsidRDefault="006F2DE8" w:rsidP="0032113C">
      <w:pPr>
        <w:pStyle w:val="Lgende"/>
        <w:keepNext/>
        <w:spacing w:before="240"/>
        <w:jc w:val="center"/>
        <w:rPr>
          <w:lang w:val="fr-CA"/>
        </w:rPr>
      </w:pPr>
      <w:r w:rsidRPr="00CA6622">
        <w:rPr>
          <w:lang w:val="fr-CA"/>
        </w:rPr>
        <w:t xml:space="preserve">Table </w:t>
      </w:r>
      <w:r>
        <w:fldChar w:fldCharType="begin"/>
      </w:r>
      <w:r w:rsidRPr="00CA6622">
        <w:rPr>
          <w:lang w:val="fr-CA"/>
        </w:rPr>
        <w:instrText xml:space="preserve"> SEQ Table \* ARABIC </w:instrText>
      </w:r>
      <w:r>
        <w:fldChar w:fldCharType="separate"/>
      </w:r>
      <w:r w:rsidR="00EE67E2">
        <w:rPr>
          <w:noProof/>
          <w:lang w:val="fr-CA"/>
        </w:rPr>
        <w:t>10</w:t>
      </w:r>
      <w:r>
        <w:fldChar w:fldCharType="end"/>
      </w:r>
      <w:r w:rsidRPr="00CA6622">
        <w:rPr>
          <w:lang w:val="fr-CA"/>
        </w:rPr>
        <w:t xml:space="preserve"> - Activités d’embauche d’étudiants selon le programme de recrutement et l’exercice financier</w:t>
      </w:r>
    </w:p>
    <w:tbl>
      <w:tblPr>
        <w:tblStyle w:val="Grilledutableau"/>
        <w:tblW w:w="0" w:type="auto"/>
        <w:jc w:val="center"/>
        <w:tblLook w:val="0000" w:firstRow="0" w:lastRow="0" w:firstColumn="0" w:lastColumn="0" w:noHBand="0" w:noVBand="0"/>
        <w:tblDescription w:val="Embauche des étudiants "/>
      </w:tblPr>
      <w:tblGrid>
        <w:gridCol w:w="1636"/>
        <w:gridCol w:w="3978"/>
        <w:gridCol w:w="4986"/>
        <w:gridCol w:w="3069"/>
        <w:gridCol w:w="721"/>
      </w:tblGrid>
      <w:tr w:rsidR="006F2DE8" w:rsidRPr="006F2DE8" w:rsidTr="006F2DE8">
        <w:trPr>
          <w:cantSplit/>
          <w:tblHeader/>
          <w:jc w:val="center"/>
        </w:trPr>
        <w:tc>
          <w:tcPr>
            <w:tcW w:w="0" w:type="auto"/>
          </w:tcPr>
          <w:p w:rsidR="006F2DE8" w:rsidRPr="006F2DE8" w:rsidRDefault="006F2DE8" w:rsidP="005A1239">
            <w:pPr>
              <w:pStyle w:val="TableTitle"/>
              <w:rPr>
                <w:color w:val="auto"/>
                <w:sz w:val="22"/>
                <w:szCs w:val="22"/>
                <w:lang w:val="fr-CA"/>
              </w:rPr>
            </w:pPr>
            <w:r w:rsidRPr="006F2DE8">
              <w:rPr>
                <w:color w:val="auto"/>
                <w:sz w:val="22"/>
                <w:szCs w:val="22"/>
                <w:lang w:val="fr-CA"/>
              </w:rPr>
              <w:t>Exercice financier</w:t>
            </w:r>
          </w:p>
        </w:tc>
        <w:tc>
          <w:tcPr>
            <w:tcW w:w="0" w:type="auto"/>
          </w:tcPr>
          <w:p w:rsidR="006F2DE8" w:rsidRPr="006F2DE8" w:rsidRDefault="006F2DE8" w:rsidP="005A1239">
            <w:pPr>
              <w:pStyle w:val="TableTitle"/>
              <w:rPr>
                <w:color w:val="auto"/>
                <w:sz w:val="22"/>
                <w:szCs w:val="22"/>
                <w:lang w:val="fr-CA"/>
              </w:rPr>
            </w:pPr>
            <w:r w:rsidRPr="006F2DE8">
              <w:rPr>
                <w:color w:val="auto"/>
                <w:sz w:val="22"/>
                <w:szCs w:val="22"/>
                <w:lang w:val="fr-CA"/>
              </w:rPr>
              <w:t xml:space="preserve">Programme fédéral d’expérience de travail étudiant </w:t>
            </w:r>
          </w:p>
        </w:tc>
        <w:tc>
          <w:tcPr>
            <w:tcW w:w="0" w:type="auto"/>
          </w:tcPr>
          <w:p w:rsidR="006F2DE8" w:rsidRPr="006F2DE8" w:rsidRDefault="006F2DE8" w:rsidP="005A1239">
            <w:pPr>
              <w:pStyle w:val="TableTitle"/>
              <w:rPr>
                <w:color w:val="auto"/>
                <w:sz w:val="22"/>
                <w:szCs w:val="22"/>
                <w:lang w:val="fr-CA"/>
              </w:rPr>
            </w:pPr>
            <w:r w:rsidRPr="006F2DE8">
              <w:rPr>
                <w:color w:val="auto"/>
                <w:sz w:val="22"/>
                <w:szCs w:val="22"/>
                <w:lang w:val="fr-CA"/>
              </w:rPr>
              <w:t xml:space="preserve">Programme postsecondaire d'enseignement coopératif/de stages </w:t>
            </w:r>
          </w:p>
        </w:tc>
        <w:tc>
          <w:tcPr>
            <w:tcW w:w="0" w:type="auto"/>
          </w:tcPr>
          <w:p w:rsidR="006F2DE8" w:rsidRPr="006F2DE8" w:rsidRDefault="006F2DE8" w:rsidP="005A1239">
            <w:pPr>
              <w:pStyle w:val="TableTitle"/>
              <w:rPr>
                <w:color w:val="auto"/>
                <w:sz w:val="22"/>
                <w:szCs w:val="22"/>
                <w:lang w:val="fr-CA"/>
              </w:rPr>
            </w:pPr>
            <w:r w:rsidRPr="006F2DE8">
              <w:rPr>
                <w:color w:val="auto"/>
                <w:sz w:val="22"/>
                <w:szCs w:val="22"/>
                <w:lang w:val="fr-CA"/>
              </w:rPr>
              <w:t>Programme des adjoints de recherche</w:t>
            </w:r>
          </w:p>
        </w:tc>
        <w:tc>
          <w:tcPr>
            <w:tcW w:w="0" w:type="auto"/>
          </w:tcPr>
          <w:p w:rsidR="006F2DE8" w:rsidRPr="006F2DE8" w:rsidRDefault="006F2DE8" w:rsidP="005A1239">
            <w:pPr>
              <w:pStyle w:val="TableTitle"/>
              <w:rPr>
                <w:color w:val="auto"/>
                <w:sz w:val="22"/>
                <w:szCs w:val="22"/>
                <w:lang w:val="fr-CA"/>
              </w:rPr>
            </w:pPr>
            <w:r w:rsidRPr="006F2DE8">
              <w:rPr>
                <w:color w:val="auto"/>
                <w:sz w:val="22"/>
                <w:szCs w:val="22"/>
                <w:lang w:val="fr-CA"/>
              </w:rPr>
              <w:t>Total</w:t>
            </w:r>
          </w:p>
        </w:tc>
      </w:tr>
      <w:tr w:rsidR="006F2DE8" w:rsidRPr="006F2DE8" w:rsidTr="006F2DE8">
        <w:trPr>
          <w:cantSplit/>
          <w:tblHeader/>
          <w:jc w:val="center"/>
        </w:trPr>
        <w:tc>
          <w:tcPr>
            <w:tcW w:w="0" w:type="auto"/>
          </w:tcPr>
          <w:p w:rsidR="006F2DE8" w:rsidRPr="006F2DE8" w:rsidRDefault="006F2DE8" w:rsidP="005A1239">
            <w:pPr>
              <w:autoSpaceDE w:val="0"/>
              <w:autoSpaceDN w:val="0"/>
              <w:adjustRightInd w:val="0"/>
              <w:rPr>
                <w:rFonts w:asciiTheme="minorHAnsi" w:hAnsiTheme="minorHAnsi" w:cstheme="minorHAnsi"/>
                <w:color w:val="000000"/>
                <w:sz w:val="22"/>
                <w:szCs w:val="22"/>
                <w:lang w:val="fr-CA"/>
              </w:rPr>
            </w:pPr>
            <w:r w:rsidRPr="006F2DE8">
              <w:rPr>
                <w:rFonts w:asciiTheme="minorHAnsi" w:hAnsiTheme="minorHAnsi" w:cstheme="minorHAnsi"/>
                <w:color w:val="000000"/>
                <w:sz w:val="22"/>
                <w:szCs w:val="22"/>
                <w:lang w:val="fr-CA"/>
              </w:rPr>
              <w:t>2014 à 2015</w:t>
            </w:r>
          </w:p>
        </w:tc>
        <w:tc>
          <w:tcPr>
            <w:tcW w:w="0" w:type="auto"/>
          </w:tcPr>
          <w:p w:rsidR="006F2DE8" w:rsidRPr="006F2DE8" w:rsidRDefault="006F2DE8" w:rsidP="005A1239">
            <w:pPr>
              <w:autoSpaceDE w:val="0"/>
              <w:autoSpaceDN w:val="0"/>
              <w:adjustRightInd w:val="0"/>
              <w:jc w:val="center"/>
              <w:rPr>
                <w:rFonts w:asciiTheme="minorHAnsi" w:hAnsiTheme="minorHAnsi" w:cstheme="minorHAnsi"/>
                <w:color w:val="000000"/>
                <w:sz w:val="22"/>
                <w:szCs w:val="22"/>
                <w:lang w:val="fr-CA"/>
              </w:rPr>
            </w:pPr>
            <w:r w:rsidRPr="006F2DE8">
              <w:rPr>
                <w:rFonts w:asciiTheme="minorHAnsi" w:hAnsiTheme="minorHAnsi" w:cstheme="minorHAnsi"/>
                <w:color w:val="000000"/>
                <w:sz w:val="22"/>
                <w:szCs w:val="22"/>
                <w:lang w:val="fr-CA"/>
              </w:rPr>
              <w:t>0</w:t>
            </w:r>
          </w:p>
        </w:tc>
        <w:tc>
          <w:tcPr>
            <w:tcW w:w="0" w:type="auto"/>
          </w:tcPr>
          <w:p w:rsidR="006F2DE8" w:rsidRPr="006F2DE8" w:rsidRDefault="006F2DE8" w:rsidP="005A1239">
            <w:pPr>
              <w:autoSpaceDE w:val="0"/>
              <w:autoSpaceDN w:val="0"/>
              <w:adjustRightInd w:val="0"/>
              <w:jc w:val="center"/>
              <w:rPr>
                <w:rFonts w:asciiTheme="minorHAnsi" w:hAnsiTheme="minorHAnsi" w:cstheme="minorHAnsi"/>
                <w:color w:val="000000"/>
                <w:sz w:val="22"/>
                <w:szCs w:val="22"/>
                <w:lang w:val="fr-CA"/>
              </w:rPr>
            </w:pPr>
            <w:r w:rsidRPr="006F2DE8">
              <w:rPr>
                <w:rFonts w:asciiTheme="minorHAnsi" w:hAnsiTheme="minorHAnsi" w:cstheme="minorHAnsi"/>
                <w:color w:val="000000"/>
                <w:sz w:val="22"/>
                <w:szCs w:val="22"/>
                <w:lang w:val="fr-CA"/>
              </w:rPr>
              <w:t>6</w:t>
            </w:r>
          </w:p>
        </w:tc>
        <w:tc>
          <w:tcPr>
            <w:tcW w:w="0" w:type="auto"/>
          </w:tcPr>
          <w:p w:rsidR="006F2DE8" w:rsidRPr="006F2DE8" w:rsidRDefault="006F2DE8" w:rsidP="005A1239">
            <w:pPr>
              <w:autoSpaceDE w:val="0"/>
              <w:autoSpaceDN w:val="0"/>
              <w:adjustRightInd w:val="0"/>
              <w:jc w:val="center"/>
              <w:rPr>
                <w:rFonts w:asciiTheme="minorHAnsi" w:hAnsiTheme="minorHAnsi" w:cstheme="minorHAnsi"/>
                <w:color w:val="000000"/>
                <w:sz w:val="22"/>
                <w:szCs w:val="22"/>
                <w:lang w:val="fr-CA"/>
              </w:rPr>
            </w:pPr>
            <w:r w:rsidRPr="006F2DE8">
              <w:rPr>
                <w:rFonts w:asciiTheme="minorHAnsi" w:hAnsiTheme="minorHAnsi" w:cstheme="minorHAnsi"/>
                <w:color w:val="000000"/>
                <w:sz w:val="22"/>
                <w:szCs w:val="22"/>
                <w:lang w:val="fr-CA"/>
              </w:rPr>
              <w:t>0</w:t>
            </w:r>
          </w:p>
        </w:tc>
        <w:tc>
          <w:tcPr>
            <w:tcW w:w="0" w:type="auto"/>
          </w:tcPr>
          <w:p w:rsidR="006F2DE8" w:rsidRPr="006F2DE8" w:rsidRDefault="006F2DE8" w:rsidP="005A1239">
            <w:pPr>
              <w:autoSpaceDE w:val="0"/>
              <w:autoSpaceDN w:val="0"/>
              <w:adjustRightInd w:val="0"/>
              <w:jc w:val="center"/>
              <w:rPr>
                <w:rFonts w:asciiTheme="minorHAnsi" w:hAnsiTheme="minorHAnsi" w:cstheme="minorHAnsi"/>
                <w:color w:val="000000"/>
                <w:sz w:val="22"/>
                <w:szCs w:val="22"/>
                <w:lang w:val="fr-CA"/>
              </w:rPr>
            </w:pPr>
            <w:r w:rsidRPr="006F2DE8">
              <w:rPr>
                <w:rFonts w:asciiTheme="minorHAnsi" w:hAnsiTheme="minorHAnsi" w:cstheme="minorHAnsi"/>
                <w:color w:val="000000"/>
                <w:sz w:val="22"/>
                <w:szCs w:val="22"/>
                <w:lang w:val="fr-CA"/>
              </w:rPr>
              <w:t>6</w:t>
            </w:r>
          </w:p>
        </w:tc>
      </w:tr>
      <w:tr w:rsidR="006F2DE8" w:rsidRPr="006F2DE8" w:rsidTr="006F2DE8">
        <w:trPr>
          <w:cantSplit/>
          <w:tblHeader/>
          <w:jc w:val="center"/>
        </w:trPr>
        <w:tc>
          <w:tcPr>
            <w:tcW w:w="0" w:type="auto"/>
          </w:tcPr>
          <w:p w:rsidR="006F2DE8" w:rsidRPr="006F2DE8" w:rsidRDefault="006F2DE8" w:rsidP="005A1239">
            <w:pPr>
              <w:autoSpaceDE w:val="0"/>
              <w:autoSpaceDN w:val="0"/>
              <w:adjustRightInd w:val="0"/>
              <w:rPr>
                <w:rFonts w:asciiTheme="minorHAnsi" w:hAnsiTheme="minorHAnsi" w:cstheme="minorHAnsi"/>
                <w:color w:val="000000"/>
                <w:sz w:val="22"/>
                <w:szCs w:val="22"/>
                <w:lang w:val="fr-CA"/>
              </w:rPr>
            </w:pPr>
            <w:r w:rsidRPr="006F2DE8">
              <w:rPr>
                <w:rFonts w:asciiTheme="minorHAnsi" w:hAnsiTheme="minorHAnsi" w:cstheme="minorHAnsi"/>
                <w:color w:val="000000"/>
                <w:sz w:val="22"/>
                <w:szCs w:val="22"/>
                <w:lang w:val="fr-CA"/>
              </w:rPr>
              <w:t>2015 à 2016</w:t>
            </w:r>
          </w:p>
        </w:tc>
        <w:tc>
          <w:tcPr>
            <w:tcW w:w="0" w:type="auto"/>
          </w:tcPr>
          <w:p w:rsidR="006F2DE8" w:rsidRPr="006F2DE8" w:rsidRDefault="006F2DE8" w:rsidP="005A1239">
            <w:pPr>
              <w:autoSpaceDE w:val="0"/>
              <w:autoSpaceDN w:val="0"/>
              <w:adjustRightInd w:val="0"/>
              <w:jc w:val="center"/>
              <w:rPr>
                <w:rFonts w:asciiTheme="minorHAnsi" w:hAnsiTheme="minorHAnsi" w:cstheme="minorHAnsi"/>
                <w:color w:val="000000"/>
                <w:sz w:val="22"/>
                <w:szCs w:val="22"/>
                <w:lang w:val="fr-CA"/>
              </w:rPr>
            </w:pPr>
            <w:r w:rsidRPr="006F2DE8">
              <w:rPr>
                <w:rFonts w:asciiTheme="minorHAnsi" w:hAnsiTheme="minorHAnsi" w:cstheme="minorHAnsi"/>
                <w:color w:val="000000"/>
                <w:sz w:val="22"/>
                <w:szCs w:val="22"/>
                <w:lang w:val="fr-CA"/>
              </w:rPr>
              <w:t>2</w:t>
            </w:r>
          </w:p>
        </w:tc>
        <w:tc>
          <w:tcPr>
            <w:tcW w:w="0" w:type="auto"/>
          </w:tcPr>
          <w:p w:rsidR="006F2DE8" w:rsidRPr="006F2DE8" w:rsidRDefault="006F2DE8" w:rsidP="005A1239">
            <w:pPr>
              <w:autoSpaceDE w:val="0"/>
              <w:autoSpaceDN w:val="0"/>
              <w:adjustRightInd w:val="0"/>
              <w:jc w:val="center"/>
              <w:rPr>
                <w:rFonts w:asciiTheme="minorHAnsi" w:hAnsiTheme="minorHAnsi" w:cstheme="minorHAnsi"/>
                <w:color w:val="000000"/>
                <w:sz w:val="22"/>
                <w:szCs w:val="22"/>
                <w:lang w:val="fr-CA"/>
              </w:rPr>
            </w:pPr>
            <w:r w:rsidRPr="006F2DE8">
              <w:rPr>
                <w:rFonts w:asciiTheme="minorHAnsi" w:hAnsiTheme="minorHAnsi" w:cstheme="minorHAnsi"/>
                <w:color w:val="000000"/>
                <w:sz w:val="22"/>
                <w:szCs w:val="22"/>
                <w:lang w:val="fr-CA"/>
              </w:rPr>
              <w:t>5</w:t>
            </w:r>
          </w:p>
        </w:tc>
        <w:tc>
          <w:tcPr>
            <w:tcW w:w="0" w:type="auto"/>
          </w:tcPr>
          <w:p w:rsidR="006F2DE8" w:rsidRPr="006F2DE8" w:rsidRDefault="006F2DE8" w:rsidP="005A1239">
            <w:pPr>
              <w:autoSpaceDE w:val="0"/>
              <w:autoSpaceDN w:val="0"/>
              <w:adjustRightInd w:val="0"/>
              <w:jc w:val="center"/>
              <w:rPr>
                <w:rFonts w:asciiTheme="minorHAnsi" w:hAnsiTheme="minorHAnsi" w:cstheme="minorHAnsi"/>
                <w:color w:val="000000"/>
                <w:sz w:val="22"/>
                <w:szCs w:val="22"/>
                <w:lang w:val="fr-CA"/>
              </w:rPr>
            </w:pPr>
            <w:r w:rsidRPr="006F2DE8">
              <w:rPr>
                <w:rFonts w:asciiTheme="minorHAnsi" w:hAnsiTheme="minorHAnsi" w:cstheme="minorHAnsi"/>
                <w:color w:val="000000"/>
                <w:sz w:val="22"/>
                <w:szCs w:val="22"/>
                <w:lang w:val="fr-CA"/>
              </w:rPr>
              <w:t>0</w:t>
            </w:r>
          </w:p>
        </w:tc>
        <w:tc>
          <w:tcPr>
            <w:tcW w:w="0" w:type="auto"/>
          </w:tcPr>
          <w:p w:rsidR="006F2DE8" w:rsidRPr="006F2DE8" w:rsidRDefault="006F2DE8" w:rsidP="005A1239">
            <w:pPr>
              <w:autoSpaceDE w:val="0"/>
              <w:autoSpaceDN w:val="0"/>
              <w:adjustRightInd w:val="0"/>
              <w:jc w:val="center"/>
              <w:rPr>
                <w:rFonts w:asciiTheme="minorHAnsi" w:hAnsiTheme="minorHAnsi" w:cstheme="minorHAnsi"/>
                <w:color w:val="000000"/>
                <w:sz w:val="22"/>
                <w:szCs w:val="22"/>
                <w:lang w:val="fr-CA"/>
              </w:rPr>
            </w:pPr>
            <w:r w:rsidRPr="006F2DE8">
              <w:rPr>
                <w:rFonts w:asciiTheme="minorHAnsi" w:hAnsiTheme="minorHAnsi" w:cstheme="minorHAnsi"/>
                <w:color w:val="000000"/>
                <w:sz w:val="22"/>
                <w:szCs w:val="22"/>
                <w:lang w:val="fr-CA"/>
              </w:rPr>
              <w:t>7</w:t>
            </w:r>
          </w:p>
        </w:tc>
      </w:tr>
      <w:tr w:rsidR="006F2DE8" w:rsidRPr="006F2DE8" w:rsidTr="006F2DE8">
        <w:trPr>
          <w:cantSplit/>
          <w:tblHeader/>
          <w:jc w:val="center"/>
        </w:trPr>
        <w:tc>
          <w:tcPr>
            <w:tcW w:w="0" w:type="auto"/>
          </w:tcPr>
          <w:p w:rsidR="006F2DE8" w:rsidRPr="006F2DE8" w:rsidRDefault="006F2DE8" w:rsidP="005A1239">
            <w:pPr>
              <w:autoSpaceDE w:val="0"/>
              <w:autoSpaceDN w:val="0"/>
              <w:adjustRightInd w:val="0"/>
              <w:rPr>
                <w:rFonts w:asciiTheme="minorHAnsi" w:hAnsiTheme="minorHAnsi" w:cstheme="minorHAnsi"/>
                <w:color w:val="000000"/>
                <w:sz w:val="22"/>
                <w:szCs w:val="22"/>
                <w:lang w:val="fr-CA"/>
              </w:rPr>
            </w:pPr>
            <w:r w:rsidRPr="006F2DE8">
              <w:rPr>
                <w:rFonts w:asciiTheme="minorHAnsi" w:hAnsiTheme="minorHAnsi" w:cstheme="minorHAnsi"/>
                <w:color w:val="000000"/>
                <w:sz w:val="22"/>
                <w:szCs w:val="22"/>
                <w:lang w:val="fr-CA"/>
              </w:rPr>
              <w:t>2016 à 2017</w:t>
            </w:r>
          </w:p>
        </w:tc>
        <w:tc>
          <w:tcPr>
            <w:tcW w:w="0" w:type="auto"/>
          </w:tcPr>
          <w:p w:rsidR="006F2DE8" w:rsidRPr="006F2DE8" w:rsidRDefault="006F2DE8" w:rsidP="005A1239">
            <w:pPr>
              <w:autoSpaceDE w:val="0"/>
              <w:autoSpaceDN w:val="0"/>
              <w:adjustRightInd w:val="0"/>
              <w:jc w:val="center"/>
              <w:rPr>
                <w:rFonts w:asciiTheme="minorHAnsi" w:hAnsiTheme="minorHAnsi" w:cstheme="minorHAnsi"/>
                <w:color w:val="000000"/>
                <w:sz w:val="22"/>
                <w:szCs w:val="22"/>
                <w:lang w:val="fr-CA"/>
              </w:rPr>
            </w:pPr>
            <w:r w:rsidRPr="006F2DE8">
              <w:rPr>
                <w:rFonts w:asciiTheme="minorHAnsi" w:hAnsiTheme="minorHAnsi" w:cstheme="minorHAnsi"/>
                <w:color w:val="000000"/>
                <w:sz w:val="22"/>
                <w:szCs w:val="22"/>
                <w:lang w:val="fr-CA"/>
              </w:rPr>
              <w:t>5</w:t>
            </w:r>
          </w:p>
        </w:tc>
        <w:tc>
          <w:tcPr>
            <w:tcW w:w="0" w:type="auto"/>
          </w:tcPr>
          <w:p w:rsidR="006F2DE8" w:rsidRPr="006F2DE8" w:rsidRDefault="006F2DE8" w:rsidP="005A1239">
            <w:pPr>
              <w:autoSpaceDE w:val="0"/>
              <w:autoSpaceDN w:val="0"/>
              <w:adjustRightInd w:val="0"/>
              <w:jc w:val="center"/>
              <w:rPr>
                <w:rFonts w:asciiTheme="minorHAnsi" w:hAnsiTheme="minorHAnsi" w:cstheme="minorHAnsi"/>
                <w:color w:val="000000"/>
                <w:sz w:val="22"/>
                <w:szCs w:val="22"/>
                <w:lang w:val="fr-CA"/>
              </w:rPr>
            </w:pPr>
            <w:r w:rsidRPr="006F2DE8">
              <w:rPr>
                <w:rFonts w:asciiTheme="minorHAnsi" w:hAnsiTheme="minorHAnsi" w:cstheme="minorHAnsi"/>
                <w:color w:val="000000"/>
                <w:sz w:val="22"/>
                <w:szCs w:val="22"/>
                <w:lang w:val="fr-CA"/>
              </w:rPr>
              <w:t>2</w:t>
            </w:r>
          </w:p>
        </w:tc>
        <w:tc>
          <w:tcPr>
            <w:tcW w:w="0" w:type="auto"/>
          </w:tcPr>
          <w:p w:rsidR="006F2DE8" w:rsidRPr="006F2DE8" w:rsidRDefault="006F2DE8" w:rsidP="005A1239">
            <w:pPr>
              <w:autoSpaceDE w:val="0"/>
              <w:autoSpaceDN w:val="0"/>
              <w:adjustRightInd w:val="0"/>
              <w:jc w:val="center"/>
              <w:rPr>
                <w:rFonts w:asciiTheme="minorHAnsi" w:hAnsiTheme="minorHAnsi" w:cstheme="minorHAnsi"/>
                <w:color w:val="000000"/>
                <w:sz w:val="22"/>
                <w:szCs w:val="22"/>
                <w:lang w:val="fr-CA"/>
              </w:rPr>
            </w:pPr>
            <w:r w:rsidRPr="006F2DE8">
              <w:rPr>
                <w:rFonts w:asciiTheme="minorHAnsi" w:hAnsiTheme="minorHAnsi" w:cstheme="minorHAnsi"/>
                <w:color w:val="000000"/>
                <w:sz w:val="22"/>
                <w:szCs w:val="22"/>
                <w:lang w:val="fr-CA"/>
              </w:rPr>
              <w:t>0</w:t>
            </w:r>
          </w:p>
        </w:tc>
        <w:tc>
          <w:tcPr>
            <w:tcW w:w="0" w:type="auto"/>
          </w:tcPr>
          <w:p w:rsidR="006F2DE8" w:rsidRPr="006F2DE8" w:rsidRDefault="006F2DE8" w:rsidP="005A1239">
            <w:pPr>
              <w:autoSpaceDE w:val="0"/>
              <w:autoSpaceDN w:val="0"/>
              <w:adjustRightInd w:val="0"/>
              <w:jc w:val="center"/>
              <w:rPr>
                <w:rFonts w:asciiTheme="minorHAnsi" w:hAnsiTheme="minorHAnsi" w:cstheme="minorHAnsi"/>
                <w:color w:val="000000"/>
                <w:sz w:val="22"/>
                <w:szCs w:val="22"/>
                <w:lang w:val="fr-CA"/>
              </w:rPr>
            </w:pPr>
            <w:r w:rsidRPr="006F2DE8">
              <w:rPr>
                <w:rFonts w:asciiTheme="minorHAnsi" w:hAnsiTheme="minorHAnsi" w:cstheme="minorHAnsi"/>
                <w:color w:val="000000"/>
                <w:sz w:val="22"/>
                <w:szCs w:val="22"/>
                <w:lang w:val="fr-CA"/>
              </w:rPr>
              <w:t>7</w:t>
            </w:r>
          </w:p>
        </w:tc>
      </w:tr>
      <w:tr w:rsidR="006F2DE8" w:rsidRPr="006F2DE8" w:rsidTr="006F2DE8">
        <w:trPr>
          <w:cantSplit/>
          <w:tblHeader/>
          <w:jc w:val="center"/>
        </w:trPr>
        <w:tc>
          <w:tcPr>
            <w:tcW w:w="0" w:type="auto"/>
          </w:tcPr>
          <w:p w:rsidR="006F2DE8" w:rsidRPr="006F2DE8" w:rsidRDefault="006F2DE8" w:rsidP="005A1239">
            <w:pPr>
              <w:autoSpaceDE w:val="0"/>
              <w:autoSpaceDN w:val="0"/>
              <w:adjustRightInd w:val="0"/>
              <w:rPr>
                <w:rFonts w:asciiTheme="minorHAnsi" w:hAnsiTheme="minorHAnsi" w:cstheme="minorHAnsi"/>
                <w:color w:val="000000"/>
                <w:sz w:val="22"/>
                <w:szCs w:val="22"/>
                <w:lang w:val="fr-CA"/>
              </w:rPr>
            </w:pPr>
            <w:r w:rsidRPr="006F2DE8">
              <w:rPr>
                <w:rFonts w:asciiTheme="minorHAnsi" w:hAnsiTheme="minorHAnsi" w:cstheme="minorHAnsi"/>
                <w:color w:val="000000"/>
                <w:sz w:val="22"/>
                <w:szCs w:val="22"/>
                <w:lang w:val="fr-CA"/>
              </w:rPr>
              <w:t>2017 à 2018</w:t>
            </w:r>
          </w:p>
        </w:tc>
        <w:tc>
          <w:tcPr>
            <w:tcW w:w="0" w:type="auto"/>
          </w:tcPr>
          <w:p w:rsidR="006F2DE8" w:rsidRPr="006F2DE8" w:rsidRDefault="006F2DE8" w:rsidP="005A1239">
            <w:pPr>
              <w:autoSpaceDE w:val="0"/>
              <w:autoSpaceDN w:val="0"/>
              <w:adjustRightInd w:val="0"/>
              <w:jc w:val="center"/>
              <w:rPr>
                <w:rFonts w:asciiTheme="minorHAnsi" w:hAnsiTheme="minorHAnsi" w:cstheme="minorHAnsi"/>
                <w:color w:val="000000"/>
                <w:sz w:val="22"/>
                <w:szCs w:val="22"/>
                <w:lang w:val="fr-CA"/>
              </w:rPr>
            </w:pPr>
            <w:r w:rsidRPr="006F2DE8">
              <w:rPr>
                <w:rFonts w:asciiTheme="minorHAnsi" w:hAnsiTheme="minorHAnsi" w:cstheme="minorHAnsi"/>
                <w:color w:val="000000"/>
                <w:sz w:val="22"/>
                <w:szCs w:val="22"/>
                <w:lang w:val="fr-CA"/>
              </w:rPr>
              <w:t>6</w:t>
            </w:r>
          </w:p>
        </w:tc>
        <w:tc>
          <w:tcPr>
            <w:tcW w:w="0" w:type="auto"/>
          </w:tcPr>
          <w:p w:rsidR="006F2DE8" w:rsidRPr="006F2DE8" w:rsidRDefault="006F2DE8" w:rsidP="005A1239">
            <w:pPr>
              <w:autoSpaceDE w:val="0"/>
              <w:autoSpaceDN w:val="0"/>
              <w:adjustRightInd w:val="0"/>
              <w:jc w:val="center"/>
              <w:rPr>
                <w:rFonts w:asciiTheme="minorHAnsi" w:hAnsiTheme="minorHAnsi" w:cstheme="minorHAnsi"/>
                <w:color w:val="000000"/>
                <w:sz w:val="22"/>
                <w:szCs w:val="22"/>
                <w:lang w:val="fr-CA"/>
              </w:rPr>
            </w:pPr>
            <w:r w:rsidRPr="006F2DE8">
              <w:rPr>
                <w:rFonts w:asciiTheme="minorHAnsi" w:hAnsiTheme="minorHAnsi" w:cstheme="minorHAnsi"/>
                <w:color w:val="000000"/>
                <w:sz w:val="22"/>
                <w:szCs w:val="22"/>
                <w:lang w:val="fr-CA"/>
              </w:rPr>
              <w:t>4</w:t>
            </w:r>
          </w:p>
        </w:tc>
        <w:tc>
          <w:tcPr>
            <w:tcW w:w="0" w:type="auto"/>
          </w:tcPr>
          <w:p w:rsidR="006F2DE8" w:rsidRPr="006F2DE8" w:rsidRDefault="006F2DE8" w:rsidP="005A1239">
            <w:pPr>
              <w:autoSpaceDE w:val="0"/>
              <w:autoSpaceDN w:val="0"/>
              <w:adjustRightInd w:val="0"/>
              <w:jc w:val="center"/>
              <w:rPr>
                <w:rFonts w:asciiTheme="minorHAnsi" w:hAnsiTheme="minorHAnsi" w:cstheme="minorHAnsi"/>
                <w:color w:val="000000"/>
                <w:sz w:val="22"/>
                <w:szCs w:val="22"/>
                <w:lang w:val="fr-CA"/>
              </w:rPr>
            </w:pPr>
            <w:r w:rsidRPr="006F2DE8">
              <w:rPr>
                <w:rFonts w:asciiTheme="minorHAnsi" w:hAnsiTheme="minorHAnsi" w:cstheme="minorHAnsi"/>
                <w:color w:val="000000"/>
                <w:sz w:val="22"/>
                <w:szCs w:val="22"/>
                <w:lang w:val="fr-CA"/>
              </w:rPr>
              <w:t>0</w:t>
            </w:r>
          </w:p>
        </w:tc>
        <w:tc>
          <w:tcPr>
            <w:tcW w:w="0" w:type="auto"/>
          </w:tcPr>
          <w:p w:rsidR="006F2DE8" w:rsidRPr="006F2DE8" w:rsidRDefault="006F2DE8" w:rsidP="005A1239">
            <w:pPr>
              <w:autoSpaceDE w:val="0"/>
              <w:autoSpaceDN w:val="0"/>
              <w:adjustRightInd w:val="0"/>
              <w:jc w:val="center"/>
              <w:rPr>
                <w:rFonts w:asciiTheme="minorHAnsi" w:hAnsiTheme="minorHAnsi" w:cstheme="minorHAnsi"/>
                <w:color w:val="000000"/>
                <w:sz w:val="22"/>
                <w:szCs w:val="22"/>
                <w:lang w:val="fr-CA"/>
              </w:rPr>
            </w:pPr>
            <w:r w:rsidRPr="006F2DE8">
              <w:rPr>
                <w:rFonts w:asciiTheme="minorHAnsi" w:hAnsiTheme="minorHAnsi" w:cstheme="minorHAnsi"/>
                <w:color w:val="000000"/>
                <w:sz w:val="22"/>
                <w:szCs w:val="22"/>
                <w:lang w:val="fr-CA"/>
              </w:rPr>
              <w:t>10</w:t>
            </w:r>
          </w:p>
        </w:tc>
      </w:tr>
      <w:tr w:rsidR="006F2DE8" w:rsidRPr="006F2DE8" w:rsidTr="006F2DE8">
        <w:trPr>
          <w:cantSplit/>
          <w:tblHeader/>
          <w:jc w:val="center"/>
        </w:trPr>
        <w:tc>
          <w:tcPr>
            <w:tcW w:w="0" w:type="auto"/>
          </w:tcPr>
          <w:p w:rsidR="006F2DE8" w:rsidRPr="006F2DE8" w:rsidRDefault="006F2DE8" w:rsidP="005A1239">
            <w:pPr>
              <w:autoSpaceDE w:val="0"/>
              <w:autoSpaceDN w:val="0"/>
              <w:adjustRightInd w:val="0"/>
              <w:rPr>
                <w:rFonts w:asciiTheme="minorHAnsi" w:hAnsiTheme="minorHAnsi" w:cstheme="minorHAnsi"/>
                <w:color w:val="000000"/>
                <w:sz w:val="22"/>
                <w:szCs w:val="22"/>
                <w:lang w:val="fr-CA"/>
              </w:rPr>
            </w:pPr>
            <w:r w:rsidRPr="006F2DE8">
              <w:rPr>
                <w:rFonts w:asciiTheme="minorHAnsi" w:hAnsiTheme="minorHAnsi" w:cstheme="minorHAnsi"/>
                <w:color w:val="000000"/>
                <w:sz w:val="22"/>
                <w:szCs w:val="22"/>
                <w:lang w:val="fr-CA"/>
              </w:rPr>
              <w:t>2018 à 2019</w:t>
            </w:r>
          </w:p>
        </w:tc>
        <w:tc>
          <w:tcPr>
            <w:tcW w:w="0" w:type="auto"/>
          </w:tcPr>
          <w:p w:rsidR="006F2DE8" w:rsidRPr="006F2DE8" w:rsidRDefault="006F2DE8" w:rsidP="005A1239">
            <w:pPr>
              <w:autoSpaceDE w:val="0"/>
              <w:autoSpaceDN w:val="0"/>
              <w:adjustRightInd w:val="0"/>
              <w:jc w:val="center"/>
              <w:rPr>
                <w:rFonts w:asciiTheme="minorHAnsi" w:hAnsiTheme="minorHAnsi" w:cstheme="minorHAnsi"/>
                <w:color w:val="000000"/>
                <w:sz w:val="22"/>
                <w:szCs w:val="22"/>
                <w:lang w:val="fr-CA"/>
              </w:rPr>
            </w:pPr>
            <w:r w:rsidRPr="006F2DE8">
              <w:rPr>
                <w:rFonts w:asciiTheme="minorHAnsi" w:hAnsiTheme="minorHAnsi" w:cstheme="minorHAnsi"/>
                <w:color w:val="000000"/>
                <w:sz w:val="22"/>
                <w:szCs w:val="22"/>
                <w:lang w:val="fr-CA"/>
              </w:rPr>
              <w:t>2</w:t>
            </w:r>
          </w:p>
        </w:tc>
        <w:tc>
          <w:tcPr>
            <w:tcW w:w="0" w:type="auto"/>
          </w:tcPr>
          <w:p w:rsidR="006F2DE8" w:rsidRPr="006F2DE8" w:rsidRDefault="006F2DE8" w:rsidP="005A1239">
            <w:pPr>
              <w:autoSpaceDE w:val="0"/>
              <w:autoSpaceDN w:val="0"/>
              <w:adjustRightInd w:val="0"/>
              <w:jc w:val="center"/>
              <w:rPr>
                <w:rFonts w:asciiTheme="minorHAnsi" w:hAnsiTheme="minorHAnsi" w:cstheme="minorHAnsi"/>
                <w:color w:val="000000"/>
                <w:sz w:val="22"/>
                <w:szCs w:val="22"/>
                <w:lang w:val="fr-CA"/>
              </w:rPr>
            </w:pPr>
            <w:r w:rsidRPr="006F2DE8">
              <w:rPr>
                <w:rFonts w:asciiTheme="minorHAnsi" w:hAnsiTheme="minorHAnsi" w:cstheme="minorHAnsi"/>
                <w:color w:val="000000"/>
                <w:sz w:val="22"/>
                <w:szCs w:val="22"/>
                <w:lang w:val="fr-CA"/>
              </w:rPr>
              <w:t>5</w:t>
            </w:r>
          </w:p>
        </w:tc>
        <w:tc>
          <w:tcPr>
            <w:tcW w:w="0" w:type="auto"/>
          </w:tcPr>
          <w:p w:rsidR="006F2DE8" w:rsidRPr="006F2DE8" w:rsidRDefault="006F2DE8" w:rsidP="005A1239">
            <w:pPr>
              <w:autoSpaceDE w:val="0"/>
              <w:autoSpaceDN w:val="0"/>
              <w:adjustRightInd w:val="0"/>
              <w:jc w:val="center"/>
              <w:rPr>
                <w:rFonts w:asciiTheme="minorHAnsi" w:hAnsiTheme="minorHAnsi" w:cstheme="minorHAnsi"/>
                <w:color w:val="000000"/>
                <w:sz w:val="22"/>
                <w:szCs w:val="22"/>
                <w:lang w:val="fr-CA"/>
              </w:rPr>
            </w:pPr>
            <w:r w:rsidRPr="006F2DE8">
              <w:rPr>
                <w:rFonts w:asciiTheme="minorHAnsi" w:hAnsiTheme="minorHAnsi" w:cstheme="minorHAnsi"/>
                <w:color w:val="000000"/>
                <w:sz w:val="22"/>
                <w:szCs w:val="22"/>
                <w:lang w:val="fr-CA"/>
              </w:rPr>
              <w:t>0</w:t>
            </w:r>
          </w:p>
        </w:tc>
        <w:tc>
          <w:tcPr>
            <w:tcW w:w="0" w:type="auto"/>
          </w:tcPr>
          <w:p w:rsidR="006F2DE8" w:rsidRPr="006F2DE8" w:rsidRDefault="006F2DE8" w:rsidP="005A1239">
            <w:pPr>
              <w:autoSpaceDE w:val="0"/>
              <w:autoSpaceDN w:val="0"/>
              <w:adjustRightInd w:val="0"/>
              <w:jc w:val="center"/>
              <w:rPr>
                <w:rFonts w:asciiTheme="minorHAnsi" w:hAnsiTheme="minorHAnsi" w:cstheme="minorHAnsi"/>
                <w:color w:val="000000"/>
                <w:sz w:val="22"/>
                <w:szCs w:val="22"/>
                <w:lang w:val="fr-CA"/>
              </w:rPr>
            </w:pPr>
            <w:r w:rsidRPr="006F2DE8">
              <w:rPr>
                <w:rFonts w:asciiTheme="minorHAnsi" w:hAnsiTheme="minorHAnsi" w:cstheme="minorHAnsi"/>
                <w:color w:val="000000"/>
                <w:sz w:val="22"/>
                <w:szCs w:val="22"/>
                <w:lang w:val="fr-CA"/>
              </w:rPr>
              <w:t>7</w:t>
            </w:r>
          </w:p>
        </w:tc>
      </w:tr>
    </w:tbl>
    <w:p w:rsidR="0032113C" w:rsidRPr="0032113C" w:rsidRDefault="0032113C" w:rsidP="0032113C">
      <w:pPr>
        <w:pStyle w:val="Titre1"/>
        <w:spacing w:before="120" w:after="120"/>
        <w:rPr>
          <w:sz w:val="40"/>
          <w:szCs w:val="40"/>
          <w:lang w:val="fr-CA"/>
        </w:rPr>
      </w:pPr>
      <w:r w:rsidRPr="0032113C">
        <w:rPr>
          <w:rFonts w:eastAsia="Times New Roman"/>
          <w:sz w:val="40"/>
          <w:szCs w:val="40"/>
          <w:lang w:val="fr-CA"/>
        </w:rPr>
        <w:lastRenderedPageBreak/>
        <w:t>Activités d'embauche externe pour une période indéterminée et d'une durée déterminée : Programme de recrutement postsecondaire et embauche d'anciens étudiants</w:t>
      </w:r>
    </w:p>
    <w:p w:rsidR="00CA6622" w:rsidRDefault="006F2DE8" w:rsidP="00CA6622">
      <w:pPr>
        <w:keepNext/>
        <w:jc w:val="center"/>
      </w:pPr>
      <w:r w:rsidRPr="00CA6622">
        <w:rPr>
          <w:rStyle w:val="lev"/>
          <w:noProof/>
          <w:lang w:val="en-CA" w:eastAsia="en-CA"/>
        </w:rPr>
        <w:drawing>
          <wp:inline distT="0" distB="0" distL="0" distR="0" wp14:anchorId="033D6E11" wp14:editId="66B43B7E">
            <wp:extent cx="5648400" cy="3049200"/>
            <wp:effectExtent l="0" t="0" r="9525" b="18415"/>
            <wp:docPr id="2" name="Chart 2" descr="Activités d'embauche externe pour une période indéterminée et d'une durée déterminée : Programme de recrutement postsecondaire et embauche d'anciens étudiants&#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6F2DE8" w:rsidRPr="00CA6622" w:rsidRDefault="00CA6622" w:rsidP="00CA6622">
      <w:pPr>
        <w:pStyle w:val="Lgende"/>
        <w:jc w:val="center"/>
        <w:rPr>
          <w:lang w:val="fr-CA"/>
        </w:rPr>
      </w:pPr>
      <w:r w:rsidRPr="00CA6622">
        <w:rPr>
          <w:lang w:val="fr-CA"/>
        </w:rPr>
        <w:t xml:space="preserve">Figure </w:t>
      </w:r>
      <w:r>
        <w:fldChar w:fldCharType="begin"/>
      </w:r>
      <w:r w:rsidRPr="00CA6622">
        <w:rPr>
          <w:lang w:val="fr-CA"/>
        </w:rPr>
        <w:instrText xml:space="preserve"> SEQ Figure \* ARABIC </w:instrText>
      </w:r>
      <w:r>
        <w:fldChar w:fldCharType="separate"/>
      </w:r>
      <w:r w:rsidR="00EE67E2">
        <w:rPr>
          <w:noProof/>
          <w:lang w:val="fr-CA"/>
        </w:rPr>
        <w:t>11</w:t>
      </w:r>
      <w:r>
        <w:fldChar w:fldCharType="end"/>
      </w:r>
      <w:r w:rsidRPr="00CA6622">
        <w:rPr>
          <w:lang w:val="fr-CA"/>
        </w:rPr>
        <w:t xml:space="preserve"> - Activités d'embauche externe pour une période indéterminée et d'une durée déterminée : Programme de recrutement postsecondaire et embauche d'anciens étudiants</w:t>
      </w:r>
    </w:p>
    <w:p w:rsidR="00CA6622" w:rsidRPr="00CA6622" w:rsidRDefault="00CA6622" w:rsidP="00CA6622">
      <w:pPr>
        <w:pStyle w:val="Lgende"/>
        <w:keepNext/>
        <w:spacing w:before="240"/>
        <w:jc w:val="center"/>
        <w:rPr>
          <w:lang w:val="fr-CA"/>
        </w:rPr>
      </w:pPr>
      <w:r w:rsidRPr="00CA6622">
        <w:rPr>
          <w:lang w:val="fr-CA"/>
        </w:rPr>
        <w:t xml:space="preserve">Table </w:t>
      </w:r>
      <w:r>
        <w:fldChar w:fldCharType="begin"/>
      </w:r>
      <w:r w:rsidRPr="00CA6622">
        <w:rPr>
          <w:lang w:val="fr-CA"/>
        </w:rPr>
        <w:instrText xml:space="preserve"> SEQ Table \* ARABIC </w:instrText>
      </w:r>
      <w:r>
        <w:fldChar w:fldCharType="separate"/>
      </w:r>
      <w:r w:rsidR="00EE67E2">
        <w:rPr>
          <w:noProof/>
          <w:lang w:val="fr-CA"/>
        </w:rPr>
        <w:t>11</w:t>
      </w:r>
      <w:r>
        <w:fldChar w:fldCharType="end"/>
      </w:r>
      <w:r w:rsidRPr="00CA6622">
        <w:rPr>
          <w:lang w:val="fr-CA"/>
        </w:rPr>
        <w:t xml:space="preserve"> - Activités d'embauche externe pour une période indéterminée et d'une durée déterminée : Programme de recrutement postsecondaire et embauche d'anciens étudiants selon l’exercice financier</w:t>
      </w:r>
    </w:p>
    <w:tbl>
      <w:tblPr>
        <w:tblStyle w:val="Grilledutableau"/>
        <w:tblW w:w="0" w:type="auto"/>
        <w:jc w:val="center"/>
        <w:tblLook w:val="0000" w:firstRow="0" w:lastRow="0" w:firstColumn="0" w:lastColumn="0" w:noHBand="0" w:noVBand="0"/>
        <w:tblDescription w:val="Activités d'embauches externes - durée déterminée et indéterminée"/>
      </w:tblPr>
      <w:tblGrid>
        <w:gridCol w:w="1945"/>
        <w:gridCol w:w="6082"/>
        <w:gridCol w:w="3331"/>
      </w:tblGrid>
      <w:tr w:rsidR="00CA6622" w:rsidRPr="00CA6622" w:rsidTr="00CA6622">
        <w:trPr>
          <w:cantSplit/>
          <w:tblHeader/>
          <w:jc w:val="center"/>
        </w:trPr>
        <w:tc>
          <w:tcPr>
            <w:tcW w:w="0" w:type="auto"/>
          </w:tcPr>
          <w:p w:rsidR="00CA6622" w:rsidRPr="00CA6622" w:rsidRDefault="00CA6622" w:rsidP="005A1239">
            <w:pPr>
              <w:pStyle w:val="TableTitle"/>
              <w:rPr>
                <w:color w:val="auto"/>
                <w:sz w:val="22"/>
                <w:szCs w:val="22"/>
                <w:lang w:val="fr-CA"/>
              </w:rPr>
            </w:pPr>
            <w:r w:rsidRPr="00CA6622">
              <w:rPr>
                <w:color w:val="auto"/>
                <w:sz w:val="22"/>
                <w:szCs w:val="22"/>
                <w:lang w:val="fr-CA"/>
              </w:rPr>
              <w:t>Exercice financier</w:t>
            </w:r>
          </w:p>
        </w:tc>
        <w:tc>
          <w:tcPr>
            <w:tcW w:w="0" w:type="auto"/>
          </w:tcPr>
          <w:p w:rsidR="00CA6622" w:rsidRPr="00CA6622" w:rsidRDefault="00CA6622" w:rsidP="005A1239">
            <w:pPr>
              <w:pStyle w:val="TableTitle"/>
              <w:rPr>
                <w:color w:val="auto"/>
                <w:sz w:val="22"/>
                <w:szCs w:val="22"/>
                <w:lang w:val="fr-CA"/>
              </w:rPr>
            </w:pPr>
            <w:r w:rsidRPr="00CA6622">
              <w:rPr>
                <w:color w:val="auto"/>
                <w:sz w:val="22"/>
                <w:szCs w:val="22"/>
                <w:lang w:val="fr-CA"/>
              </w:rPr>
              <w:t>Embauches du programme de recrutement postsecondaire</w:t>
            </w:r>
          </w:p>
        </w:tc>
        <w:tc>
          <w:tcPr>
            <w:tcW w:w="0" w:type="auto"/>
          </w:tcPr>
          <w:p w:rsidR="00CA6622" w:rsidRPr="00CA6622" w:rsidRDefault="00CA6622" w:rsidP="005A1239">
            <w:pPr>
              <w:pStyle w:val="TableTitle"/>
              <w:rPr>
                <w:color w:val="auto"/>
                <w:sz w:val="22"/>
                <w:szCs w:val="22"/>
                <w:lang w:val="fr-CA"/>
              </w:rPr>
            </w:pPr>
            <w:r w:rsidRPr="00CA6622">
              <w:rPr>
                <w:color w:val="auto"/>
                <w:sz w:val="22"/>
                <w:szCs w:val="22"/>
                <w:lang w:val="fr-CA"/>
              </w:rPr>
              <w:t>Embauches d’anciens étudiants</w:t>
            </w:r>
          </w:p>
        </w:tc>
      </w:tr>
      <w:tr w:rsidR="00CA6622" w:rsidRPr="00CA6622" w:rsidTr="00CA6622">
        <w:trPr>
          <w:cantSplit/>
          <w:tblHeader/>
          <w:jc w:val="center"/>
        </w:trPr>
        <w:tc>
          <w:tcPr>
            <w:tcW w:w="0" w:type="auto"/>
          </w:tcPr>
          <w:p w:rsidR="00CA6622" w:rsidRPr="00CA6622" w:rsidRDefault="00CA6622" w:rsidP="005A1239">
            <w:pPr>
              <w:autoSpaceDE w:val="0"/>
              <w:autoSpaceDN w:val="0"/>
              <w:adjustRightInd w:val="0"/>
              <w:rPr>
                <w:rFonts w:asciiTheme="minorHAnsi" w:hAnsiTheme="minorHAnsi" w:cstheme="minorHAnsi"/>
                <w:color w:val="000000"/>
                <w:sz w:val="22"/>
                <w:szCs w:val="22"/>
                <w:lang w:val="fr-CA"/>
              </w:rPr>
            </w:pPr>
            <w:r w:rsidRPr="00CA6622">
              <w:rPr>
                <w:rFonts w:asciiTheme="minorHAnsi" w:hAnsiTheme="minorHAnsi" w:cstheme="minorHAnsi"/>
                <w:color w:val="000000"/>
                <w:sz w:val="22"/>
                <w:szCs w:val="22"/>
                <w:lang w:val="fr-CA"/>
              </w:rPr>
              <w:t>2014 à 2015</w:t>
            </w:r>
          </w:p>
        </w:tc>
        <w:tc>
          <w:tcPr>
            <w:tcW w:w="0" w:type="auto"/>
          </w:tcPr>
          <w:p w:rsidR="00CA6622" w:rsidRPr="00CA6622" w:rsidRDefault="00CA6622" w:rsidP="005A1239">
            <w:pPr>
              <w:autoSpaceDE w:val="0"/>
              <w:autoSpaceDN w:val="0"/>
              <w:adjustRightInd w:val="0"/>
              <w:jc w:val="center"/>
              <w:rPr>
                <w:rFonts w:asciiTheme="minorHAnsi" w:hAnsiTheme="minorHAnsi" w:cstheme="minorHAnsi"/>
                <w:color w:val="000000"/>
                <w:sz w:val="22"/>
                <w:szCs w:val="22"/>
                <w:lang w:val="fr-CA"/>
              </w:rPr>
            </w:pPr>
            <w:r w:rsidRPr="00CA6622">
              <w:rPr>
                <w:rFonts w:asciiTheme="minorHAnsi" w:hAnsiTheme="minorHAnsi" w:cstheme="minorHAnsi"/>
                <w:color w:val="000000"/>
                <w:sz w:val="22"/>
                <w:szCs w:val="22"/>
                <w:lang w:val="fr-CA"/>
              </w:rPr>
              <w:t>0</w:t>
            </w:r>
          </w:p>
        </w:tc>
        <w:tc>
          <w:tcPr>
            <w:tcW w:w="0" w:type="auto"/>
          </w:tcPr>
          <w:p w:rsidR="00CA6622" w:rsidRPr="00CA6622" w:rsidRDefault="00CA6622" w:rsidP="005A1239">
            <w:pPr>
              <w:autoSpaceDE w:val="0"/>
              <w:autoSpaceDN w:val="0"/>
              <w:adjustRightInd w:val="0"/>
              <w:jc w:val="center"/>
              <w:rPr>
                <w:rFonts w:asciiTheme="minorHAnsi" w:hAnsiTheme="minorHAnsi" w:cstheme="minorHAnsi"/>
                <w:color w:val="000000"/>
                <w:sz w:val="22"/>
                <w:szCs w:val="22"/>
                <w:lang w:val="fr-CA"/>
              </w:rPr>
            </w:pPr>
            <w:r w:rsidRPr="00CA6622">
              <w:rPr>
                <w:rFonts w:asciiTheme="minorHAnsi" w:hAnsiTheme="minorHAnsi" w:cstheme="minorHAnsi"/>
                <w:color w:val="000000"/>
                <w:sz w:val="22"/>
                <w:szCs w:val="22"/>
                <w:lang w:val="fr-CA"/>
              </w:rPr>
              <w:t>1</w:t>
            </w:r>
          </w:p>
        </w:tc>
      </w:tr>
      <w:tr w:rsidR="00CA6622" w:rsidRPr="00CA6622" w:rsidTr="00CA6622">
        <w:trPr>
          <w:cantSplit/>
          <w:tblHeader/>
          <w:jc w:val="center"/>
        </w:trPr>
        <w:tc>
          <w:tcPr>
            <w:tcW w:w="0" w:type="auto"/>
          </w:tcPr>
          <w:p w:rsidR="00CA6622" w:rsidRPr="00CA6622" w:rsidRDefault="00CA6622" w:rsidP="005A1239">
            <w:pPr>
              <w:autoSpaceDE w:val="0"/>
              <w:autoSpaceDN w:val="0"/>
              <w:adjustRightInd w:val="0"/>
              <w:rPr>
                <w:rFonts w:asciiTheme="minorHAnsi" w:hAnsiTheme="minorHAnsi" w:cstheme="minorHAnsi"/>
                <w:color w:val="000000"/>
                <w:sz w:val="22"/>
                <w:szCs w:val="22"/>
                <w:lang w:val="fr-CA"/>
              </w:rPr>
            </w:pPr>
            <w:r w:rsidRPr="00CA6622">
              <w:rPr>
                <w:rFonts w:asciiTheme="minorHAnsi" w:hAnsiTheme="minorHAnsi" w:cstheme="minorHAnsi"/>
                <w:color w:val="000000"/>
                <w:sz w:val="22"/>
                <w:szCs w:val="22"/>
                <w:lang w:val="fr-CA"/>
              </w:rPr>
              <w:t>2015 à 2016</w:t>
            </w:r>
          </w:p>
        </w:tc>
        <w:tc>
          <w:tcPr>
            <w:tcW w:w="0" w:type="auto"/>
          </w:tcPr>
          <w:p w:rsidR="00CA6622" w:rsidRPr="00CA6622" w:rsidRDefault="00CA6622" w:rsidP="005A1239">
            <w:pPr>
              <w:autoSpaceDE w:val="0"/>
              <w:autoSpaceDN w:val="0"/>
              <w:adjustRightInd w:val="0"/>
              <w:jc w:val="center"/>
              <w:rPr>
                <w:rFonts w:asciiTheme="minorHAnsi" w:hAnsiTheme="minorHAnsi" w:cstheme="minorHAnsi"/>
                <w:color w:val="000000"/>
                <w:sz w:val="22"/>
                <w:szCs w:val="22"/>
                <w:lang w:val="fr-CA"/>
              </w:rPr>
            </w:pPr>
            <w:r w:rsidRPr="00CA6622">
              <w:rPr>
                <w:rFonts w:asciiTheme="minorHAnsi" w:hAnsiTheme="minorHAnsi" w:cstheme="minorHAnsi"/>
                <w:color w:val="000000"/>
                <w:sz w:val="22"/>
                <w:szCs w:val="22"/>
                <w:lang w:val="fr-CA"/>
              </w:rPr>
              <w:t>0</w:t>
            </w:r>
          </w:p>
        </w:tc>
        <w:tc>
          <w:tcPr>
            <w:tcW w:w="0" w:type="auto"/>
          </w:tcPr>
          <w:p w:rsidR="00CA6622" w:rsidRPr="00CA6622" w:rsidRDefault="00CA6622" w:rsidP="005A1239">
            <w:pPr>
              <w:autoSpaceDE w:val="0"/>
              <w:autoSpaceDN w:val="0"/>
              <w:adjustRightInd w:val="0"/>
              <w:jc w:val="center"/>
              <w:rPr>
                <w:rFonts w:asciiTheme="minorHAnsi" w:hAnsiTheme="minorHAnsi" w:cstheme="minorHAnsi"/>
                <w:color w:val="000000"/>
                <w:sz w:val="22"/>
                <w:szCs w:val="22"/>
                <w:lang w:val="fr-CA"/>
              </w:rPr>
            </w:pPr>
            <w:r w:rsidRPr="00CA6622">
              <w:rPr>
                <w:rFonts w:asciiTheme="minorHAnsi" w:hAnsiTheme="minorHAnsi" w:cstheme="minorHAnsi"/>
                <w:color w:val="000000"/>
                <w:sz w:val="22"/>
                <w:szCs w:val="22"/>
                <w:lang w:val="fr-CA"/>
              </w:rPr>
              <w:t>1</w:t>
            </w:r>
          </w:p>
        </w:tc>
      </w:tr>
      <w:tr w:rsidR="00CA6622" w:rsidRPr="00CA6622" w:rsidTr="00CA6622">
        <w:trPr>
          <w:cantSplit/>
          <w:tblHeader/>
          <w:jc w:val="center"/>
        </w:trPr>
        <w:tc>
          <w:tcPr>
            <w:tcW w:w="0" w:type="auto"/>
          </w:tcPr>
          <w:p w:rsidR="00CA6622" w:rsidRPr="00CA6622" w:rsidRDefault="00CA6622" w:rsidP="005A1239">
            <w:pPr>
              <w:autoSpaceDE w:val="0"/>
              <w:autoSpaceDN w:val="0"/>
              <w:adjustRightInd w:val="0"/>
              <w:rPr>
                <w:rFonts w:asciiTheme="minorHAnsi" w:hAnsiTheme="minorHAnsi" w:cstheme="minorHAnsi"/>
                <w:color w:val="000000"/>
                <w:sz w:val="22"/>
                <w:szCs w:val="22"/>
                <w:lang w:val="fr-CA"/>
              </w:rPr>
            </w:pPr>
            <w:r w:rsidRPr="00CA6622">
              <w:rPr>
                <w:rFonts w:asciiTheme="minorHAnsi" w:hAnsiTheme="minorHAnsi" w:cstheme="minorHAnsi"/>
                <w:color w:val="000000"/>
                <w:sz w:val="22"/>
                <w:szCs w:val="22"/>
                <w:lang w:val="fr-CA"/>
              </w:rPr>
              <w:t>2016 à 2017</w:t>
            </w:r>
          </w:p>
        </w:tc>
        <w:tc>
          <w:tcPr>
            <w:tcW w:w="0" w:type="auto"/>
          </w:tcPr>
          <w:p w:rsidR="00CA6622" w:rsidRPr="00CA6622" w:rsidRDefault="00CA6622" w:rsidP="005A1239">
            <w:pPr>
              <w:autoSpaceDE w:val="0"/>
              <w:autoSpaceDN w:val="0"/>
              <w:adjustRightInd w:val="0"/>
              <w:jc w:val="center"/>
              <w:rPr>
                <w:rFonts w:asciiTheme="minorHAnsi" w:hAnsiTheme="minorHAnsi" w:cstheme="minorHAnsi"/>
                <w:color w:val="000000"/>
                <w:sz w:val="22"/>
                <w:szCs w:val="22"/>
                <w:lang w:val="fr-CA"/>
              </w:rPr>
            </w:pPr>
            <w:r w:rsidRPr="00CA6622">
              <w:rPr>
                <w:rFonts w:asciiTheme="minorHAnsi" w:hAnsiTheme="minorHAnsi" w:cstheme="minorHAnsi"/>
                <w:color w:val="000000"/>
                <w:sz w:val="22"/>
                <w:szCs w:val="22"/>
                <w:lang w:val="fr-CA"/>
              </w:rPr>
              <w:t>0</w:t>
            </w:r>
          </w:p>
        </w:tc>
        <w:tc>
          <w:tcPr>
            <w:tcW w:w="0" w:type="auto"/>
          </w:tcPr>
          <w:p w:rsidR="00CA6622" w:rsidRPr="00CA6622" w:rsidRDefault="00CA6622" w:rsidP="005A1239">
            <w:pPr>
              <w:autoSpaceDE w:val="0"/>
              <w:autoSpaceDN w:val="0"/>
              <w:adjustRightInd w:val="0"/>
              <w:jc w:val="center"/>
              <w:rPr>
                <w:rFonts w:asciiTheme="minorHAnsi" w:hAnsiTheme="minorHAnsi" w:cstheme="minorHAnsi"/>
                <w:color w:val="000000"/>
                <w:sz w:val="22"/>
                <w:szCs w:val="22"/>
                <w:lang w:val="fr-CA"/>
              </w:rPr>
            </w:pPr>
            <w:r w:rsidRPr="00CA6622">
              <w:rPr>
                <w:rFonts w:asciiTheme="minorHAnsi" w:hAnsiTheme="minorHAnsi" w:cstheme="minorHAnsi"/>
                <w:color w:val="000000"/>
                <w:sz w:val="22"/>
                <w:szCs w:val="22"/>
                <w:lang w:val="fr-CA"/>
              </w:rPr>
              <w:t>0</w:t>
            </w:r>
          </w:p>
        </w:tc>
      </w:tr>
      <w:tr w:rsidR="00CA6622" w:rsidRPr="00CA6622" w:rsidTr="00CA6622">
        <w:trPr>
          <w:cantSplit/>
          <w:tblHeader/>
          <w:jc w:val="center"/>
        </w:trPr>
        <w:tc>
          <w:tcPr>
            <w:tcW w:w="0" w:type="auto"/>
          </w:tcPr>
          <w:p w:rsidR="00CA6622" w:rsidRPr="00CA6622" w:rsidRDefault="00CA6622" w:rsidP="005A1239">
            <w:pPr>
              <w:autoSpaceDE w:val="0"/>
              <w:autoSpaceDN w:val="0"/>
              <w:adjustRightInd w:val="0"/>
              <w:rPr>
                <w:rFonts w:asciiTheme="minorHAnsi" w:hAnsiTheme="minorHAnsi" w:cstheme="minorHAnsi"/>
                <w:color w:val="000000"/>
                <w:sz w:val="22"/>
                <w:szCs w:val="22"/>
                <w:lang w:val="fr-CA"/>
              </w:rPr>
            </w:pPr>
            <w:r w:rsidRPr="00CA6622">
              <w:rPr>
                <w:rFonts w:asciiTheme="minorHAnsi" w:hAnsiTheme="minorHAnsi" w:cstheme="minorHAnsi"/>
                <w:color w:val="000000"/>
                <w:sz w:val="22"/>
                <w:szCs w:val="22"/>
                <w:lang w:val="fr-CA"/>
              </w:rPr>
              <w:t>2017 à 2018</w:t>
            </w:r>
          </w:p>
        </w:tc>
        <w:tc>
          <w:tcPr>
            <w:tcW w:w="0" w:type="auto"/>
          </w:tcPr>
          <w:p w:rsidR="00CA6622" w:rsidRPr="00CA6622" w:rsidRDefault="00CA6622" w:rsidP="005A1239">
            <w:pPr>
              <w:autoSpaceDE w:val="0"/>
              <w:autoSpaceDN w:val="0"/>
              <w:adjustRightInd w:val="0"/>
              <w:jc w:val="center"/>
              <w:rPr>
                <w:rFonts w:asciiTheme="minorHAnsi" w:hAnsiTheme="minorHAnsi" w:cstheme="minorHAnsi"/>
                <w:color w:val="000000"/>
                <w:sz w:val="22"/>
                <w:szCs w:val="22"/>
                <w:lang w:val="fr-CA"/>
              </w:rPr>
            </w:pPr>
            <w:r w:rsidRPr="00CA6622">
              <w:rPr>
                <w:rFonts w:asciiTheme="minorHAnsi" w:hAnsiTheme="minorHAnsi" w:cstheme="minorHAnsi"/>
                <w:color w:val="000000"/>
                <w:sz w:val="22"/>
                <w:szCs w:val="22"/>
                <w:lang w:val="fr-CA"/>
              </w:rPr>
              <w:t>0</w:t>
            </w:r>
          </w:p>
        </w:tc>
        <w:tc>
          <w:tcPr>
            <w:tcW w:w="0" w:type="auto"/>
          </w:tcPr>
          <w:p w:rsidR="00CA6622" w:rsidRPr="00CA6622" w:rsidRDefault="00CA6622" w:rsidP="005A1239">
            <w:pPr>
              <w:autoSpaceDE w:val="0"/>
              <w:autoSpaceDN w:val="0"/>
              <w:adjustRightInd w:val="0"/>
              <w:jc w:val="center"/>
              <w:rPr>
                <w:rFonts w:asciiTheme="minorHAnsi" w:hAnsiTheme="minorHAnsi" w:cstheme="minorHAnsi"/>
                <w:color w:val="000000"/>
                <w:sz w:val="22"/>
                <w:szCs w:val="22"/>
                <w:lang w:val="fr-CA"/>
              </w:rPr>
            </w:pPr>
            <w:r w:rsidRPr="00CA6622">
              <w:rPr>
                <w:rFonts w:asciiTheme="minorHAnsi" w:hAnsiTheme="minorHAnsi" w:cstheme="minorHAnsi"/>
                <w:color w:val="000000"/>
                <w:sz w:val="22"/>
                <w:szCs w:val="22"/>
                <w:lang w:val="fr-CA"/>
              </w:rPr>
              <w:t>1</w:t>
            </w:r>
          </w:p>
        </w:tc>
      </w:tr>
      <w:tr w:rsidR="00CA6622" w:rsidRPr="00CA6622" w:rsidTr="00CA6622">
        <w:trPr>
          <w:cantSplit/>
          <w:tblHeader/>
          <w:jc w:val="center"/>
        </w:trPr>
        <w:tc>
          <w:tcPr>
            <w:tcW w:w="0" w:type="auto"/>
          </w:tcPr>
          <w:p w:rsidR="00CA6622" w:rsidRPr="00CA6622" w:rsidRDefault="00CA6622" w:rsidP="005A1239">
            <w:pPr>
              <w:autoSpaceDE w:val="0"/>
              <w:autoSpaceDN w:val="0"/>
              <w:adjustRightInd w:val="0"/>
              <w:rPr>
                <w:rFonts w:asciiTheme="minorHAnsi" w:hAnsiTheme="minorHAnsi" w:cstheme="minorHAnsi"/>
                <w:color w:val="000000"/>
                <w:sz w:val="22"/>
                <w:szCs w:val="22"/>
                <w:lang w:val="fr-CA"/>
              </w:rPr>
            </w:pPr>
            <w:r w:rsidRPr="00CA6622">
              <w:rPr>
                <w:rFonts w:asciiTheme="minorHAnsi" w:hAnsiTheme="minorHAnsi" w:cstheme="minorHAnsi"/>
                <w:color w:val="000000"/>
                <w:sz w:val="22"/>
                <w:szCs w:val="22"/>
                <w:lang w:val="fr-CA"/>
              </w:rPr>
              <w:t>2018 à 2019</w:t>
            </w:r>
          </w:p>
        </w:tc>
        <w:tc>
          <w:tcPr>
            <w:tcW w:w="0" w:type="auto"/>
          </w:tcPr>
          <w:p w:rsidR="00CA6622" w:rsidRPr="00CA6622" w:rsidRDefault="00CA6622" w:rsidP="005A1239">
            <w:pPr>
              <w:autoSpaceDE w:val="0"/>
              <w:autoSpaceDN w:val="0"/>
              <w:adjustRightInd w:val="0"/>
              <w:jc w:val="center"/>
              <w:rPr>
                <w:rFonts w:asciiTheme="minorHAnsi" w:hAnsiTheme="minorHAnsi" w:cstheme="minorHAnsi"/>
                <w:color w:val="000000"/>
                <w:sz w:val="22"/>
                <w:szCs w:val="22"/>
                <w:lang w:val="fr-CA"/>
              </w:rPr>
            </w:pPr>
            <w:r w:rsidRPr="00CA6622">
              <w:rPr>
                <w:rFonts w:asciiTheme="minorHAnsi" w:hAnsiTheme="minorHAnsi" w:cstheme="minorHAnsi"/>
                <w:color w:val="000000"/>
                <w:sz w:val="22"/>
                <w:szCs w:val="22"/>
                <w:lang w:val="fr-CA"/>
              </w:rPr>
              <w:t>0</w:t>
            </w:r>
          </w:p>
        </w:tc>
        <w:tc>
          <w:tcPr>
            <w:tcW w:w="0" w:type="auto"/>
          </w:tcPr>
          <w:p w:rsidR="00CA6622" w:rsidRPr="00CA6622" w:rsidRDefault="00CA6622" w:rsidP="005A1239">
            <w:pPr>
              <w:tabs>
                <w:tab w:val="center" w:pos="1303"/>
                <w:tab w:val="right" w:pos="2607"/>
              </w:tabs>
              <w:autoSpaceDE w:val="0"/>
              <w:autoSpaceDN w:val="0"/>
              <w:adjustRightInd w:val="0"/>
              <w:jc w:val="center"/>
              <w:rPr>
                <w:rFonts w:asciiTheme="minorHAnsi" w:hAnsiTheme="minorHAnsi" w:cstheme="minorHAnsi"/>
                <w:color w:val="000000"/>
                <w:sz w:val="22"/>
                <w:szCs w:val="22"/>
                <w:lang w:val="fr-CA"/>
              </w:rPr>
            </w:pPr>
            <w:r w:rsidRPr="00CA6622">
              <w:rPr>
                <w:rFonts w:asciiTheme="minorHAnsi" w:hAnsiTheme="minorHAnsi" w:cstheme="minorHAnsi"/>
                <w:color w:val="000000"/>
                <w:sz w:val="22"/>
                <w:szCs w:val="22"/>
                <w:lang w:val="fr-CA"/>
              </w:rPr>
              <w:t>1</w:t>
            </w:r>
          </w:p>
        </w:tc>
      </w:tr>
    </w:tbl>
    <w:p w:rsidR="0032113C" w:rsidRPr="0032113C" w:rsidRDefault="0032113C" w:rsidP="0032113C">
      <w:pPr>
        <w:pStyle w:val="Titre1"/>
        <w:spacing w:before="120" w:after="120"/>
        <w:rPr>
          <w:sz w:val="40"/>
          <w:szCs w:val="40"/>
          <w:lang w:val="fr-CA"/>
        </w:rPr>
      </w:pPr>
      <w:r w:rsidRPr="0032113C">
        <w:rPr>
          <w:rFonts w:eastAsia="Times New Roman"/>
          <w:sz w:val="40"/>
          <w:szCs w:val="40"/>
          <w:lang w:val="fr-CA"/>
        </w:rPr>
        <w:lastRenderedPageBreak/>
        <w:t>Durée de dotation interne</w:t>
      </w:r>
      <w:r w:rsidRPr="0032113C">
        <w:rPr>
          <w:sz w:val="40"/>
          <w:szCs w:val="40"/>
          <w:lang w:val="fr-CA"/>
        </w:rPr>
        <w:t xml:space="preserve"> </w:t>
      </w:r>
    </w:p>
    <w:p w:rsidR="005539D2" w:rsidRDefault="00513230" w:rsidP="005539D2">
      <w:pPr>
        <w:keepNext/>
        <w:jc w:val="center"/>
      </w:pPr>
      <w:r w:rsidRPr="005539D2">
        <w:rPr>
          <w:rStyle w:val="lev"/>
          <w:noProof/>
          <w:lang w:val="en-CA" w:eastAsia="en-CA"/>
        </w:rPr>
        <w:drawing>
          <wp:inline distT="0" distB="0" distL="0" distR="0" wp14:anchorId="753C8B35" wp14:editId="2EB576D4">
            <wp:extent cx="5648400" cy="3049200"/>
            <wp:effectExtent l="0" t="0" r="9525" b="18415"/>
            <wp:docPr id="22" name="Chart 22" descr="Durée de dotation interne&#10;Médiane pour la Fonction publique&#10;2018-2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13230" w:rsidRDefault="005539D2" w:rsidP="005539D2">
      <w:pPr>
        <w:pStyle w:val="Lgende"/>
        <w:spacing w:after="240"/>
        <w:jc w:val="center"/>
        <w:rPr>
          <w:lang w:val="fr-CA"/>
        </w:rPr>
      </w:pPr>
      <w:r w:rsidRPr="005539D2">
        <w:rPr>
          <w:lang w:val="fr-CA"/>
        </w:rPr>
        <w:t xml:space="preserve">Figure </w:t>
      </w:r>
      <w:r>
        <w:fldChar w:fldCharType="begin"/>
      </w:r>
      <w:r w:rsidRPr="005539D2">
        <w:rPr>
          <w:lang w:val="fr-CA"/>
        </w:rPr>
        <w:instrText xml:space="preserve"> SEQ Figure \* ARABIC </w:instrText>
      </w:r>
      <w:r>
        <w:fldChar w:fldCharType="separate"/>
      </w:r>
      <w:r w:rsidR="00EE67E2">
        <w:rPr>
          <w:noProof/>
          <w:lang w:val="fr-CA"/>
        </w:rPr>
        <w:t>12</w:t>
      </w:r>
      <w:r>
        <w:fldChar w:fldCharType="end"/>
      </w:r>
      <w:r w:rsidRPr="005539D2">
        <w:rPr>
          <w:lang w:val="fr-CA"/>
        </w:rPr>
        <w:t xml:space="preserve"> - Durée de dotation interne Médiane pour la </w:t>
      </w:r>
      <w:proofErr w:type="spellStart"/>
      <w:r w:rsidRPr="005539D2">
        <w:rPr>
          <w:lang w:val="fr-CA"/>
        </w:rPr>
        <w:t>function</w:t>
      </w:r>
      <w:proofErr w:type="spellEnd"/>
      <w:r w:rsidRPr="005539D2">
        <w:rPr>
          <w:lang w:val="fr-CA"/>
        </w:rPr>
        <w:t xml:space="preserve"> publique = 176 jour 2018-2019</w:t>
      </w:r>
    </w:p>
    <w:p w:rsidR="005539D2" w:rsidRPr="005539D2" w:rsidRDefault="00D510B0" w:rsidP="005539D2">
      <w:pPr>
        <w:rPr>
          <w:rFonts w:asciiTheme="minorHAnsi" w:hAnsiTheme="minorHAnsi" w:cstheme="minorHAnsi"/>
          <w:sz w:val="22"/>
          <w:lang w:val="fr-CA"/>
        </w:rPr>
      </w:pPr>
      <w:hyperlink w:anchor="Durée_dotation_interne" w:history="1">
        <w:r w:rsidR="0032113C" w:rsidRPr="0032113C">
          <w:rPr>
            <w:rStyle w:val="Lienhypertexte"/>
            <w:rFonts w:asciiTheme="minorHAnsi" w:eastAsiaTheme="minorHAnsi" w:hAnsiTheme="minorHAnsi" w:cstheme="minorHAnsi"/>
            <w:sz w:val="22"/>
            <w:szCs w:val="22"/>
            <w:lang w:val="fr-CA"/>
          </w:rPr>
          <w:t>Tableau des données sur la durée de dotation interne disponible ici</w:t>
        </w:r>
      </w:hyperlink>
      <w:r w:rsidR="005539D2" w:rsidRPr="005539D2">
        <w:rPr>
          <w:rFonts w:asciiTheme="minorHAnsi" w:hAnsiTheme="minorHAnsi" w:cstheme="minorHAnsi"/>
          <w:sz w:val="22"/>
          <w:lang w:val="fr-CA"/>
        </w:rPr>
        <w:t>.</w:t>
      </w:r>
    </w:p>
    <w:p w:rsidR="005539D2" w:rsidRPr="000A414B" w:rsidRDefault="005539D2" w:rsidP="005539D2">
      <w:pPr>
        <w:spacing w:before="240"/>
        <w:rPr>
          <w:rStyle w:val="lev"/>
          <w:rFonts w:asciiTheme="minorHAnsi" w:hAnsiTheme="minorHAnsi" w:cstheme="minorHAnsi"/>
          <w:lang w:val="fr-CA"/>
        </w:rPr>
      </w:pPr>
      <w:r w:rsidRPr="000A414B">
        <w:rPr>
          <w:rStyle w:val="lev"/>
          <w:rFonts w:asciiTheme="minorHAnsi" w:hAnsiTheme="minorHAnsi" w:cstheme="minorHAnsi"/>
          <w:sz w:val="22"/>
          <w:lang w:val="fr-CA"/>
        </w:rPr>
        <w:t>Durée de dotation interne</w:t>
      </w:r>
    </w:p>
    <w:p w:rsidR="005539D2" w:rsidRPr="005539D2" w:rsidRDefault="005539D2" w:rsidP="005539D2">
      <w:pPr>
        <w:spacing w:after="120"/>
        <w:rPr>
          <w:rFonts w:asciiTheme="minorHAnsi" w:hAnsiTheme="minorHAnsi" w:cstheme="minorHAnsi"/>
          <w:sz w:val="22"/>
          <w:szCs w:val="22"/>
          <w:lang w:val="fr-CA"/>
        </w:rPr>
      </w:pPr>
      <w:r w:rsidRPr="005539D2">
        <w:rPr>
          <w:rFonts w:asciiTheme="minorHAnsi" w:hAnsiTheme="minorHAnsi" w:cstheme="minorHAnsi"/>
          <w:sz w:val="22"/>
          <w:szCs w:val="22"/>
          <w:lang w:val="fr-CA"/>
        </w:rPr>
        <w:t>Les données sont insuffisantes pour fournir des résultats sur la durée des processus de dotation interne pour la Commission mixte internationale.</w:t>
      </w:r>
    </w:p>
    <w:p w:rsidR="005539D2" w:rsidRPr="005539D2" w:rsidRDefault="005539D2" w:rsidP="005539D2">
      <w:pPr>
        <w:rPr>
          <w:rFonts w:asciiTheme="minorHAnsi" w:hAnsiTheme="minorHAnsi" w:cstheme="minorHAnsi"/>
          <w:sz w:val="22"/>
          <w:szCs w:val="22"/>
          <w:lang w:val="fr-CA"/>
        </w:rPr>
      </w:pPr>
      <w:r w:rsidRPr="005539D2">
        <w:rPr>
          <w:rFonts w:asciiTheme="minorHAnsi" w:hAnsiTheme="minorHAnsi" w:cstheme="minorHAnsi"/>
          <w:sz w:val="22"/>
          <w:szCs w:val="22"/>
          <w:lang w:val="fr-CA"/>
        </w:rPr>
        <w:t>La durée de dotation interne correspond au nombre de jours civils entre la date d'ouverture de l'annonce et la date de la première notification.</w:t>
      </w:r>
    </w:p>
    <w:p w:rsidR="005539D2" w:rsidRPr="006E1455" w:rsidRDefault="005539D2" w:rsidP="005539D2">
      <w:pPr>
        <w:tabs>
          <w:tab w:val="left" w:pos="4788"/>
        </w:tabs>
        <w:spacing w:before="240"/>
        <w:rPr>
          <w:rFonts w:asciiTheme="minorHAnsi" w:hAnsiTheme="minorHAnsi" w:cstheme="minorHAnsi"/>
          <w:b/>
          <w:sz w:val="22"/>
          <w:szCs w:val="22"/>
          <w:lang w:val="fr-CA"/>
        </w:rPr>
      </w:pPr>
      <w:r w:rsidRPr="006E1455">
        <w:rPr>
          <w:rFonts w:asciiTheme="minorHAnsi" w:hAnsiTheme="minorHAnsi" w:cstheme="minorHAnsi"/>
          <w:b/>
          <w:sz w:val="22"/>
          <w:szCs w:val="22"/>
          <w:lang w:val="fr-CA"/>
        </w:rPr>
        <w:t>Durée de dotation interne pour l’exercice financier de 2018 à 2019</w:t>
      </w:r>
    </w:p>
    <w:p w:rsidR="005539D2" w:rsidRDefault="005539D2" w:rsidP="005539D2">
      <w:pPr>
        <w:tabs>
          <w:tab w:val="left" w:pos="4788"/>
        </w:tabs>
        <w:rPr>
          <w:rFonts w:asciiTheme="minorHAnsi" w:hAnsiTheme="minorHAnsi" w:cstheme="minorHAnsi"/>
          <w:sz w:val="22"/>
          <w:szCs w:val="22"/>
          <w:lang w:val="fr-CA"/>
        </w:rPr>
        <w:sectPr w:rsidR="005539D2" w:rsidSect="001130DF">
          <w:headerReference w:type="default" r:id="rId26"/>
          <w:footerReference w:type="even" r:id="rId27"/>
          <w:headerReference w:type="first" r:id="rId28"/>
          <w:footerReference w:type="first" r:id="rId29"/>
          <w:pgSz w:w="15840" w:h="12240" w:orient="landscape"/>
          <w:pgMar w:top="630" w:right="720" w:bottom="720" w:left="720" w:header="708" w:footer="283" w:gutter="0"/>
          <w:cols w:space="708"/>
          <w:titlePg/>
          <w:docGrid w:linePitch="360"/>
        </w:sectPr>
      </w:pPr>
      <w:r w:rsidRPr="006E1455">
        <w:rPr>
          <w:rFonts w:asciiTheme="minorHAnsi" w:hAnsiTheme="minorHAnsi" w:cstheme="minorHAnsi"/>
          <w:sz w:val="22"/>
          <w:szCs w:val="22"/>
          <w:lang w:val="fr-CA"/>
        </w:rPr>
        <w:t xml:space="preserve">La durée médiane de dotation interne pour la fonction publique (organisations assujetties à la </w:t>
      </w:r>
      <w:r w:rsidRPr="006E1455">
        <w:rPr>
          <w:rFonts w:asciiTheme="minorHAnsi" w:hAnsiTheme="minorHAnsi" w:cstheme="minorHAnsi"/>
          <w:i/>
          <w:sz w:val="22"/>
          <w:szCs w:val="22"/>
          <w:lang w:val="fr-CA"/>
        </w:rPr>
        <w:t>Loi sur l’emploi dans la fonction publique</w:t>
      </w:r>
      <w:r w:rsidRPr="006E1455">
        <w:rPr>
          <w:rFonts w:asciiTheme="minorHAnsi" w:hAnsiTheme="minorHAnsi" w:cstheme="minorHAnsi"/>
          <w:sz w:val="22"/>
          <w:szCs w:val="22"/>
          <w:lang w:val="fr-CA"/>
        </w:rPr>
        <w:t>) pour l’exercice financier 2018 à 2019 est 176 jours. Les données sont insuffisantes pour fournir des résultats sur la durée des processus de dotation interne pour la Commission mixte internationale.</w:t>
      </w:r>
    </w:p>
    <w:p w:rsidR="0032113C" w:rsidRPr="0032113C" w:rsidRDefault="0032113C" w:rsidP="0032113C">
      <w:pPr>
        <w:pStyle w:val="Titre1"/>
        <w:rPr>
          <w:sz w:val="40"/>
          <w:szCs w:val="40"/>
          <w:lang w:val="fr-CA"/>
        </w:rPr>
      </w:pPr>
      <w:r w:rsidRPr="0032113C">
        <w:rPr>
          <w:sz w:val="40"/>
          <w:szCs w:val="40"/>
          <w:lang w:val="fr-CA"/>
        </w:rPr>
        <w:lastRenderedPageBreak/>
        <w:t>Durée de dotation interne</w:t>
      </w:r>
    </w:p>
    <w:p w:rsidR="005539D2" w:rsidRPr="00EE67E2" w:rsidRDefault="005539D2" w:rsidP="005539D2">
      <w:pPr>
        <w:pStyle w:val="Lgende"/>
        <w:keepNext/>
        <w:rPr>
          <w:lang w:val="fr-CA"/>
        </w:rPr>
      </w:pPr>
      <w:r w:rsidRPr="00EE67E2">
        <w:rPr>
          <w:lang w:val="fr-CA"/>
        </w:rPr>
        <w:t xml:space="preserve">Table </w:t>
      </w:r>
      <w:r>
        <w:fldChar w:fldCharType="begin"/>
      </w:r>
      <w:r w:rsidRPr="00EE67E2">
        <w:rPr>
          <w:lang w:val="fr-CA"/>
        </w:rPr>
        <w:instrText xml:space="preserve"> SEQ Table \* ARABIC </w:instrText>
      </w:r>
      <w:r>
        <w:fldChar w:fldCharType="separate"/>
      </w:r>
      <w:r w:rsidR="00EE67E2" w:rsidRPr="00EE67E2">
        <w:rPr>
          <w:noProof/>
          <w:lang w:val="fr-CA"/>
        </w:rPr>
        <w:t>12</w:t>
      </w:r>
      <w:r>
        <w:fldChar w:fldCharType="end"/>
      </w:r>
      <w:r w:rsidRPr="00EE67E2">
        <w:rPr>
          <w:lang w:val="fr-CA"/>
        </w:rPr>
        <w:t xml:space="preserve"> - Durée de dotation interne</w:t>
      </w:r>
    </w:p>
    <w:tbl>
      <w:tblPr>
        <w:tblStyle w:val="Grilledutableau"/>
        <w:tblW w:w="0" w:type="auto"/>
        <w:tblLook w:val="0000" w:firstRow="0" w:lastRow="0" w:firstColumn="0" w:lastColumn="0" w:noHBand="0" w:noVBand="0"/>
        <w:tblDescription w:val="Durée de dotation interne"/>
      </w:tblPr>
      <w:tblGrid>
        <w:gridCol w:w="2358"/>
        <w:gridCol w:w="20672"/>
      </w:tblGrid>
      <w:tr w:rsidR="005539D2" w:rsidRPr="00D510B0" w:rsidTr="005539D2">
        <w:trPr>
          <w:cantSplit/>
          <w:trHeight w:val="290"/>
          <w:tblHeader/>
        </w:trPr>
        <w:tc>
          <w:tcPr>
            <w:tcW w:w="0" w:type="auto"/>
          </w:tcPr>
          <w:p w:rsidR="005539D2" w:rsidRPr="00EE67E2" w:rsidRDefault="005539D2" w:rsidP="005A1239">
            <w:pPr>
              <w:pStyle w:val="TableTitle"/>
              <w:rPr>
                <w:color w:val="auto"/>
                <w:sz w:val="22"/>
                <w:szCs w:val="22"/>
                <w:lang w:val="fr-CA"/>
              </w:rPr>
            </w:pPr>
            <w:bookmarkStart w:id="4" w:name="Durée_dotation_interne"/>
            <w:r w:rsidRPr="00EE67E2">
              <w:rPr>
                <w:color w:val="auto"/>
                <w:sz w:val="22"/>
                <w:szCs w:val="22"/>
                <w:lang w:val="fr-CA"/>
              </w:rPr>
              <w:t>Nombre de jours civils</w:t>
            </w:r>
            <w:bookmarkEnd w:id="4"/>
          </w:p>
        </w:tc>
        <w:tc>
          <w:tcPr>
            <w:tcW w:w="0" w:type="auto"/>
          </w:tcPr>
          <w:p w:rsidR="005539D2" w:rsidRPr="00EE67E2" w:rsidRDefault="005539D2" w:rsidP="005A1239">
            <w:pPr>
              <w:pStyle w:val="TableTitle"/>
              <w:rPr>
                <w:color w:val="auto"/>
                <w:sz w:val="22"/>
                <w:szCs w:val="22"/>
                <w:lang w:val="fr-CA"/>
              </w:rPr>
            </w:pPr>
            <w:r w:rsidRPr="00EE67E2">
              <w:rPr>
                <w:color w:val="auto"/>
                <w:sz w:val="22"/>
                <w:szCs w:val="22"/>
                <w:lang w:val="fr-CA"/>
              </w:rPr>
              <w:t>Le nombre de premières embauches internes dans un processus interne (durée de dotation interne) dans les organisations assujetties à la Loi sur l’emploi dans la fonction publique, dans le nombre de jours civils spécifié</w:t>
            </w:r>
          </w:p>
        </w:tc>
      </w:tr>
      <w:tr w:rsidR="005539D2" w:rsidRPr="006E1455" w:rsidTr="005539D2">
        <w:trPr>
          <w:cantSplit/>
          <w:trHeight w:val="290"/>
          <w:tblHeader/>
        </w:trPr>
        <w:tc>
          <w:tcPr>
            <w:tcW w:w="0" w:type="auto"/>
          </w:tcPr>
          <w:p w:rsidR="005539D2" w:rsidRPr="00EE67E2" w:rsidRDefault="005539D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0 jours civils</w:t>
            </w:r>
          </w:p>
        </w:tc>
        <w:tc>
          <w:tcPr>
            <w:tcW w:w="0" w:type="auto"/>
          </w:tcPr>
          <w:p w:rsidR="005539D2" w:rsidRPr="00EE67E2" w:rsidRDefault="005539D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0</w:t>
            </w:r>
          </w:p>
        </w:tc>
      </w:tr>
      <w:tr w:rsidR="005539D2" w:rsidRPr="006E1455" w:rsidTr="005539D2">
        <w:trPr>
          <w:cantSplit/>
          <w:trHeight w:val="290"/>
          <w:tblHeader/>
        </w:trPr>
        <w:tc>
          <w:tcPr>
            <w:tcW w:w="0" w:type="auto"/>
          </w:tcPr>
          <w:p w:rsidR="005539D2" w:rsidRPr="00EE67E2" w:rsidRDefault="005539D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0 à 29 jours civils</w:t>
            </w:r>
          </w:p>
        </w:tc>
        <w:tc>
          <w:tcPr>
            <w:tcW w:w="0" w:type="auto"/>
          </w:tcPr>
          <w:p w:rsidR="005539D2" w:rsidRPr="00EE67E2" w:rsidRDefault="005539D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15</w:t>
            </w:r>
          </w:p>
        </w:tc>
      </w:tr>
      <w:tr w:rsidR="005539D2" w:rsidRPr="006E1455" w:rsidTr="005539D2">
        <w:trPr>
          <w:cantSplit/>
          <w:trHeight w:val="290"/>
          <w:tblHeader/>
        </w:trPr>
        <w:tc>
          <w:tcPr>
            <w:tcW w:w="0" w:type="auto"/>
          </w:tcPr>
          <w:p w:rsidR="005539D2" w:rsidRPr="00EE67E2" w:rsidRDefault="005539D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30 à 59 jours civils</w:t>
            </w:r>
          </w:p>
        </w:tc>
        <w:tc>
          <w:tcPr>
            <w:tcW w:w="0" w:type="auto"/>
          </w:tcPr>
          <w:p w:rsidR="005539D2" w:rsidRPr="00EE67E2" w:rsidRDefault="005539D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124</w:t>
            </w:r>
          </w:p>
        </w:tc>
      </w:tr>
      <w:tr w:rsidR="005539D2" w:rsidRPr="006E1455" w:rsidTr="005539D2">
        <w:trPr>
          <w:cantSplit/>
          <w:trHeight w:val="290"/>
          <w:tblHeader/>
        </w:trPr>
        <w:tc>
          <w:tcPr>
            <w:tcW w:w="0" w:type="auto"/>
          </w:tcPr>
          <w:p w:rsidR="005539D2" w:rsidRPr="00EE67E2" w:rsidRDefault="005539D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60 à 89 jours civils</w:t>
            </w:r>
          </w:p>
        </w:tc>
        <w:tc>
          <w:tcPr>
            <w:tcW w:w="0" w:type="auto"/>
          </w:tcPr>
          <w:p w:rsidR="005539D2" w:rsidRPr="00EE67E2" w:rsidRDefault="005539D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265</w:t>
            </w:r>
          </w:p>
        </w:tc>
      </w:tr>
      <w:tr w:rsidR="005539D2" w:rsidRPr="006E1455" w:rsidTr="005539D2">
        <w:trPr>
          <w:cantSplit/>
          <w:trHeight w:val="290"/>
          <w:tblHeader/>
        </w:trPr>
        <w:tc>
          <w:tcPr>
            <w:tcW w:w="0" w:type="auto"/>
          </w:tcPr>
          <w:p w:rsidR="005539D2" w:rsidRPr="00EE67E2" w:rsidRDefault="005539D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90 à 119 jours civils</w:t>
            </w:r>
          </w:p>
        </w:tc>
        <w:tc>
          <w:tcPr>
            <w:tcW w:w="0" w:type="auto"/>
          </w:tcPr>
          <w:p w:rsidR="005539D2" w:rsidRPr="00EE67E2" w:rsidRDefault="005539D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384</w:t>
            </w:r>
          </w:p>
        </w:tc>
      </w:tr>
      <w:tr w:rsidR="005539D2" w:rsidRPr="006E1455" w:rsidTr="005539D2">
        <w:trPr>
          <w:cantSplit/>
          <w:trHeight w:val="290"/>
          <w:tblHeader/>
        </w:trPr>
        <w:tc>
          <w:tcPr>
            <w:tcW w:w="0" w:type="auto"/>
          </w:tcPr>
          <w:p w:rsidR="005539D2" w:rsidRPr="00EE67E2" w:rsidRDefault="005539D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120 à 149 jours civils</w:t>
            </w:r>
          </w:p>
        </w:tc>
        <w:tc>
          <w:tcPr>
            <w:tcW w:w="0" w:type="auto"/>
          </w:tcPr>
          <w:p w:rsidR="005539D2" w:rsidRPr="00EE67E2" w:rsidRDefault="005539D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354</w:t>
            </w:r>
          </w:p>
        </w:tc>
      </w:tr>
      <w:tr w:rsidR="005539D2" w:rsidRPr="006E1455" w:rsidTr="005539D2">
        <w:trPr>
          <w:cantSplit/>
          <w:trHeight w:val="290"/>
          <w:tblHeader/>
        </w:trPr>
        <w:tc>
          <w:tcPr>
            <w:tcW w:w="0" w:type="auto"/>
          </w:tcPr>
          <w:p w:rsidR="005539D2" w:rsidRPr="00EE67E2" w:rsidRDefault="005539D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150 à 179 jours civils</w:t>
            </w:r>
          </w:p>
        </w:tc>
        <w:tc>
          <w:tcPr>
            <w:tcW w:w="0" w:type="auto"/>
          </w:tcPr>
          <w:p w:rsidR="005539D2" w:rsidRPr="00EE67E2" w:rsidRDefault="005539D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311</w:t>
            </w:r>
          </w:p>
        </w:tc>
      </w:tr>
      <w:tr w:rsidR="005539D2" w:rsidRPr="006E1455" w:rsidTr="005539D2">
        <w:trPr>
          <w:cantSplit/>
          <w:trHeight w:val="290"/>
          <w:tblHeader/>
        </w:trPr>
        <w:tc>
          <w:tcPr>
            <w:tcW w:w="0" w:type="auto"/>
          </w:tcPr>
          <w:p w:rsidR="005539D2" w:rsidRPr="00EE67E2" w:rsidRDefault="005539D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180 à 209 jours civils</w:t>
            </w:r>
          </w:p>
        </w:tc>
        <w:tc>
          <w:tcPr>
            <w:tcW w:w="0" w:type="auto"/>
          </w:tcPr>
          <w:p w:rsidR="005539D2" w:rsidRPr="00EE67E2" w:rsidRDefault="005539D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269</w:t>
            </w:r>
          </w:p>
        </w:tc>
      </w:tr>
      <w:tr w:rsidR="005539D2" w:rsidRPr="006E1455" w:rsidTr="005539D2">
        <w:trPr>
          <w:cantSplit/>
          <w:trHeight w:val="290"/>
          <w:tblHeader/>
        </w:trPr>
        <w:tc>
          <w:tcPr>
            <w:tcW w:w="0" w:type="auto"/>
          </w:tcPr>
          <w:p w:rsidR="005539D2" w:rsidRPr="00EE67E2" w:rsidRDefault="005539D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210 à 239 jours civils</w:t>
            </w:r>
          </w:p>
        </w:tc>
        <w:tc>
          <w:tcPr>
            <w:tcW w:w="0" w:type="auto"/>
          </w:tcPr>
          <w:p w:rsidR="005539D2" w:rsidRPr="00EE67E2" w:rsidRDefault="005539D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234</w:t>
            </w:r>
          </w:p>
        </w:tc>
      </w:tr>
      <w:tr w:rsidR="005539D2" w:rsidRPr="006E1455" w:rsidTr="005539D2">
        <w:trPr>
          <w:cantSplit/>
          <w:trHeight w:val="290"/>
          <w:tblHeader/>
        </w:trPr>
        <w:tc>
          <w:tcPr>
            <w:tcW w:w="0" w:type="auto"/>
          </w:tcPr>
          <w:p w:rsidR="005539D2" w:rsidRPr="00EE67E2" w:rsidRDefault="005539D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240 à 269 jours civils</w:t>
            </w:r>
          </w:p>
        </w:tc>
        <w:tc>
          <w:tcPr>
            <w:tcW w:w="0" w:type="auto"/>
          </w:tcPr>
          <w:p w:rsidR="005539D2" w:rsidRPr="00EE67E2" w:rsidRDefault="005539D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159</w:t>
            </w:r>
          </w:p>
        </w:tc>
      </w:tr>
      <w:tr w:rsidR="005539D2" w:rsidRPr="006E1455" w:rsidTr="005539D2">
        <w:trPr>
          <w:cantSplit/>
          <w:trHeight w:val="290"/>
          <w:tblHeader/>
        </w:trPr>
        <w:tc>
          <w:tcPr>
            <w:tcW w:w="0" w:type="auto"/>
          </w:tcPr>
          <w:p w:rsidR="005539D2" w:rsidRPr="00EE67E2" w:rsidRDefault="005539D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270 à 299 jours civils</w:t>
            </w:r>
          </w:p>
        </w:tc>
        <w:tc>
          <w:tcPr>
            <w:tcW w:w="0" w:type="auto"/>
          </w:tcPr>
          <w:p w:rsidR="005539D2" w:rsidRPr="00EE67E2" w:rsidRDefault="005539D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128</w:t>
            </w:r>
          </w:p>
        </w:tc>
      </w:tr>
      <w:tr w:rsidR="005539D2" w:rsidRPr="006E1455" w:rsidTr="005539D2">
        <w:trPr>
          <w:cantSplit/>
          <w:trHeight w:val="290"/>
          <w:tblHeader/>
        </w:trPr>
        <w:tc>
          <w:tcPr>
            <w:tcW w:w="0" w:type="auto"/>
          </w:tcPr>
          <w:p w:rsidR="005539D2" w:rsidRPr="00EE67E2" w:rsidRDefault="005539D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300 à 329 jours civils</w:t>
            </w:r>
          </w:p>
        </w:tc>
        <w:tc>
          <w:tcPr>
            <w:tcW w:w="0" w:type="auto"/>
          </w:tcPr>
          <w:p w:rsidR="005539D2" w:rsidRPr="00EE67E2" w:rsidRDefault="005539D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102</w:t>
            </w:r>
          </w:p>
        </w:tc>
      </w:tr>
      <w:tr w:rsidR="005539D2" w:rsidRPr="006E1455" w:rsidTr="005539D2">
        <w:trPr>
          <w:cantSplit/>
          <w:trHeight w:val="290"/>
          <w:tblHeader/>
        </w:trPr>
        <w:tc>
          <w:tcPr>
            <w:tcW w:w="0" w:type="auto"/>
          </w:tcPr>
          <w:p w:rsidR="005539D2" w:rsidRPr="00EE67E2" w:rsidRDefault="005539D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330 à 359 jours civils</w:t>
            </w:r>
          </w:p>
        </w:tc>
        <w:tc>
          <w:tcPr>
            <w:tcW w:w="0" w:type="auto"/>
          </w:tcPr>
          <w:p w:rsidR="005539D2" w:rsidRPr="00EE67E2" w:rsidRDefault="005539D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77</w:t>
            </w:r>
          </w:p>
        </w:tc>
      </w:tr>
      <w:tr w:rsidR="005539D2" w:rsidRPr="006E1455" w:rsidTr="005539D2">
        <w:trPr>
          <w:cantSplit/>
          <w:trHeight w:val="290"/>
          <w:tblHeader/>
        </w:trPr>
        <w:tc>
          <w:tcPr>
            <w:tcW w:w="0" w:type="auto"/>
          </w:tcPr>
          <w:p w:rsidR="005539D2" w:rsidRPr="00EE67E2" w:rsidRDefault="005539D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360 à 389 jours civils</w:t>
            </w:r>
          </w:p>
        </w:tc>
        <w:tc>
          <w:tcPr>
            <w:tcW w:w="0" w:type="auto"/>
          </w:tcPr>
          <w:p w:rsidR="005539D2" w:rsidRPr="00EE67E2" w:rsidRDefault="005539D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58</w:t>
            </w:r>
          </w:p>
        </w:tc>
      </w:tr>
      <w:tr w:rsidR="005539D2" w:rsidRPr="006E1455" w:rsidTr="005539D2">
        <w:trPr>
          <w:cantSplit/>
          <w:trHeight w:val="290"/>
          <w:tblHeader/>
        </w:trPr>
        <w:tc>
          <w:tcPr>
            <w:tcW w:w="0" w:type="auto"/>
          </w:tcPr>
          <w:p w:rsidR="005539D2" w:rsidRPr="00EE67E2" w:rsidRDefault="005539D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390 à 419 jours civils</w:t>
            </w:r>
          </w:p>
        </w:tc>
        <w:tc>
          <w:tcPr>
            <w:tcW w:w="0" w:type="auto"/>
          </w:tcPr>
          <w:p w:rsidR="005539D2" w:rsidRPr="00EE67E2" w:rsidRDefault="005539D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51</w:t>
            </w:r>
          </w:p>
        </w:tc>
      </w:tr>
      <w:tr w:rsidR="005539D2" w:rsidRPr="006E1455" w:rsidTr="005539D2">
        <w:trPr>
          <w:cantSplit/>
          <w:trHeight w:val="290"/>
          <w:tblHeader/>
        </w:trPr>
        <w:tc>
          <w:tcPr>
            <w:tcW w:w="0" w:type="auto"/>
          </w:tcPr>
          <w:p w:rsidR="005539D2" w:rsidRPr="00EE67E2" w:rsidRDefault="005539D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420 à 449 jours civils</w:t>
            </w:r>
          </w:p>
        </w:tc>
        <w:tc>
          <w:tcPr>
            <w:tcW w:w="0" w:type="auto"/>
          </w:tcPr>
          <w:p w:rsidR="005539D2" w:rsidRPr="00EE67E2" w:rsidRDefault="005539D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49</w:t>
            </w:r>
          </w:p>
        </w:tc>
      </w:tr>
      <w:tr w:rsidR="005539D2" w:rsidRPr="006E1455" w:rsidTr="005539D2">
        <w:trPr>
          <w:cantSplit/>
          <w:trHeight w:val="290"/>
          <w:tblHeader/>
        </w:trPr>
        <w:tc>
          <w:tcPr>
            <w:tcW w:w="0" w:type="auto"/>
          </w:tcPr>
          <w:p w:rsidR="005539D2" w:rsidRPr="00EE67E2" w:rsidRDefault="005539D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450 à 479 jours civils</w:t>
            </w:r>
          </w:p>
        </w:tc>
        <w:tc>
          <w:tcPr>
            <w:tcW w:w="0" w:type="auto"/>
          </w:tcPr>
          <w:p w:rsidR="005539D2" w:rsidRPr="00EE67E2" w:rsidRDefault="005539D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40</w:t>
            </w:r>
          </w:p>
        </w:tc>
      </w:tr>
      <w:tr w:rsidR="005539D2" w:rsidRPr="006E1455" w:rsidTr="005539D2">
        <w:trPr>
          <w:cantSplit/>
          <w:trHeight w:val="290"/>
          <w:tblHeader/>
        </w:trPr>
        <w:tc>
          <w:tcPr>
            <w:tcW w:w="0" w:type="auto"/>
          </w:tcPr>
          <w:p w:rsidR="005539D2" w:rsidRPr="00EE67E2" w:rsidRDefault="005539D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480 à 509 jours civils</w:t>
            </w:r>
          </w:p>
        </w:tc>
        <w:tc>
          <w:tcPr>
            <w:tcW w:w="0" w:type="auto"/>
          </w:tcPr>
          <w:p w:rsidR="005539D2" w:rsidRPr="00EE67E2" w:rsidRDefault="005539D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38</w:t>
            </w:r>
          </w:p>
        </w:tc>
      </w:tr>
      <w:tr w:rsidR="005539D2" w:rsidRPr="006E1455" w:rsidTr="005539D2">
        <w:trPr>
          <w:cantSplit/>
          <w:trHeight w:val="290"/>
          <w:tblHeader/>
        </w:trPr>
        <w:tc>
          <w:tcPr>
            <w:tcW w:w="0" w:type="auto"/>
          </w:tcPr>
          <w:p w:rsidR="005539D2" w:rsidRPr="00EE67E2" w:rsidRDefault="005539D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 xml:space="preserve">510 à 539 jours civils </w:t>
            </w:r>
          </w:p>
        </w:tc>
        <w:tc>
          <w:tcPr>
            <w:tcW w:w="0" w:type="auto"/>
          </w:tcPr>
          <w:p w:rsidR="005539D2" w:rsidRPr="00EE67E2" w:rsidRDefault="005539D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31</w:t>
            </w:r>
          </w:p>
        </w:tc>
      </w:tr>
      <w:tr w:rsidR="005539D2" w:rsidRPr="006E1455" w:rsidTr="005539D2">
        <w:trPr>
          <w:cantSplit/>
          <w:trHeight w:val="290"/>
          <w:tblHeader/>
        </w:trPr>
        <w:tc>
          <w:tcPr>
            <w:tcW w:w="0" w:type="auto"/>
          </w:tcPr>
          <w:p w:rsidR="005539D2" w:rsidRPr="00EE67E2" w:rsidRDefault="005539D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540 à 569 jours civils</w:t>
            </w:r>
          </w:p>
        </w:tc>
        <w:tc>
          <w:tcPr>
            <w:tcW w:w="0" w:type="auto"/>
          </w:tcPr>
          <w:p w:rsidR="005539D2" w:rsidRPr="00EE67E2" w:rsidRDefault="005539D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23</w:t>
            </w:r>
          </w:p>
        </w:tc>
      </w:tr>
      <w:tr w:rsidR="005539D2" w:rsidRPr="006E1455" w:rsidTr="005539D2">
        <w:trPr>
          <w:cantSplit/>
          <w:trHeight w:val="290"/>
          <w:tblHeader/>
        </w:trPr>
        <w:tc>
          <w:tcPr>
            <w:tcW w:w="0" w:type="auto"/>
          </w:tcPr>
          <w:p w:rsidR="005539D2" w:rsidRPr="00EE67E2" w:rsidRDefault="005539D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570 à 599 jours civils</w:t>
            </w:r>
          </w:p>
        </w:tc>
        <w:tc>
          <w:tcPr>
            <w:tcW w:w="0" w:type="auto"/>
          </w:tcPr>
          <w:p w:rsidR="005539D2" w:rsidRPr="00EE67E2" w:rsidRDefault="005539D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21</w:t>
            </w:r>
          </w:p>
        </w:tc>
      </w:tr>
      <w:tr w:rsidR="005539D2" w:rsidRPr="006E1455" w:rsidTr="005539D2">
        <w:trPr>
          <w:cantSplit/>
          <w:trHeight w:val="290"/>
          <w:tblHeader/>
        </w:trPr>
        <w:tc>
          <w:tcPr>
            <w:tcW w:w="0" w:type="auto"/>
          </w:tcPr>
          <w:p w:rsidR="005539D2" w:rsidRPr="00EE67E2" w:rsidRDefault="005539D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600 à 629 jours civils</w:t>
            </w:r>
          </w:p>
        </w:tc>
        <w:tc>
          <w:tcPr>
            <w:tcW w:w="0" w:type="auto"/>
          </w:tcPr>
          <w:p w:rsidR="005539D2" w:rsidRPr="00EE67E2" w:rsidRDefault="005539D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10</w:t>
            </w:r>
          </w:p>
        </w:tc>
      </w:tr>
      <w:tr w:rsidR="005539D2" w:rsidRPr="006E1455" w:rsidTr="005539D2">
        <w:trPr>
          <w:cantSplit/>
          <w:trHeight w:val="290"/>
          <w:tblHeader/>
        </w:trPr>
        <w:tc>
          <w:tcPr>
            <w:tcW w:w="0" w:type="auto"/>
          </w:tcPr>
          <w:p w:rsidR="005539D2" w:rsidRPr="00EE67E2" w:rsidRDefault="005539D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630 à 659 jours civils</w:t>
            </w:r>
          </w:p>
        </w:tc>
        <w:tc>
          <w:tcPr>
            <w:tcW w:w="0" w:type="auto"/>
          </w:tcPr>
          <w:p w:rsidR="005539D2" w:rsidRPr="00EE67E2" w:rsidRDefault="005539D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19</w:t>
            </w:r>
          </w:p>
        </w:tc>
      </w:tr>
      <w:tr w:rsidR="005539D2" w:rsidRPr="006E1455" w:rsidTr="005539D2">
        <w:trPr>
          <w:cantSplit/>
          <w:trHeight w:val="290"/>
          <w:tblHeader/>
        </w:trPr>
        <w:tc>
          <w:tcPr>
            <w:tcW w:w="0" w:type="auto"/>
          </w:tcPr>
          <w:p w:rsidR="005539D2" w:rsidRPr="00EE67E2" w:rsidRDefault="005539D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660 à 689 jours civils</w:t>
            </w:r>
          </w:p>
        </w:tc>
        <w:tc>
          <w:tcPr>
            <w:tcW w:w="0" w:type="auto"/>
          </w:tcPr>
          <w:p w:rsidR="005539D2" w:rsidRPr="00EE67E2" w:rsidRDefault="005539D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3</w:t>
            </w:r>
          </w:p>
        </w:tc>
      </w:tr>
      <w:tr w:rsidR="005539D2" w:rsidRPr="006E1455" w:rsidTr="005539D2">
        <w:trPr>
          <w:cantSplit/>
          <w:trHeight w:val="290"/>
          <w:tblHeader/>
        </w:trPr>
        <w:tc>
          <w:tcPr>
            <w:tcW w:w="0" w:type="auto"/>
          </w:tcPr>
          <w:p w:rsidR="005539D2" w:rsidRPr="00EE67E2" w:rsidRDefault="005539D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690 à 719 jours civils</w:t>
            </w:r>
          </w:p>
        </w:tc>
        <w:tc>
          <w:tcPr>
            <w:tcW w:w="0" w:type="auto"/>
          </w:tcPr>
          <w:p w:rsidR="005539D2" w:rsidRPr="00EE67E2" w:rsidRDefault="005539D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12</w:t>
            </w:r>
          </w:p>
        </w:tc>
      </w:tr>
      <w:tr w:rsidR="005539D2" w:rsidRPr="006E1455" w:rsidTr="005539D2">
        <w:trPr>
          <w:cantSplit/>
          <w:trHeight w:val="302"/>
          <w:tblHeader/>
        </w:trPr>
        <w:tc>
          <w:tcPr>
            <w:tcW w:w="0" w:type="auto"/>
          </w:tcPr>
          <w:p w:rsidR="005539D2" w:rsidRPr="00EE67E2" w:rsidRDefault="005539D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720 à 749 jours civils</w:t>
            </w:r>
          </w:p>
        </w:tc>
        <w:tc>
          <w:tcPr>
            <w:tcW w:w="0" w:type="auto"/>
          </w:tcPr>
          <w:p w:rsidR="005539D2" w:rsidRPr="00EE67E2" w:rsidRDefault="005539D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6</w:t>
            </w:r>
          </w:p>
        </w:tc>
      </w:tr>
      <w:tr w:rsidR="005539D2" w:rsidRPr="006E1455" w:rsidTr="005539D2">
        <w:trPr>
          <w:cantSplit/>
          <w:trHeight w:val="290"/>
          <w:tblHeader/>
        </w:trPr>
        <w:tc>
          <w:tcPr>
            <w:tcW w:w="0" w:type="auto"/>
          </w:tcPr>
          <w:p w:rsidR="005539D2" w:rsidRPr="00EE67E2" w:rsidRDefault="005539D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750 à 779 jours civils</w:t>
            </w:r>
          </w:p>
        </w:tc>
        <w:tc>
          <w:tcPr>
            <w:tcW w:w="0" w:type="auto"/>
          </w:tcPr>
          <w:p w:rsidR="005539D2" w:rsidRPr="00EE67E2" w:rsidRDefault="005539D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5</w:t>
            </w:r>
          </w:p>
        </w:tc>
      </w:tr>
      <w:tr w:rsidR="005539D2" w:rsidRPr="006E1455" w:rsidTr="005539D2">
        <w:trPr>
          <w:cantSplit/>
          <w:trHeight w:val="290"/>
          <w:tblHeader/>
        </w:trPr>
        <w:tc>
          <w:tcPr>
            <w:tcW w:w="0" w:type="auto"/>
          </w:tcPr>
          <w:p w:rsidR="005539D2" w:rsidRPr="00EE67E2" w:rsidRDefault="005539D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780 à 809 jours civils</w:t>
            </w:r>
          </w:p>
        </w:tc>
        <w:tc>
          <w:tcPr>
            <w:tcW w:w="0" w:type="auto"/>
          </w:tcPr>
          <w:p w:rsidR="005539D2" w:rsidRPr="00EE67E2" w:rsidRDefault="005539D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8</w:t>
            </w:r>
          </w:p>
        </w:tc>
      </w:tr>
      <w:tr w:rsidR="005539D2" w:rsidRPr="006E1455" w:rsidTr="005539D2">
        <w:trPr>
          <w:cantSplit/>
          <w:trHeight w:val="290"/>
          <w:tblHeader/>
        </w:trPr>
        <w:tc>
          <w:tcPr>
            <w:tcW w:w="0" w:type="auto"/>
          </w:tcPr>
          <w:p w:rsidR="005539D2" w:rsidRPr="00EE67E2" w:rsidRDefault="005539D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810 à 839 jours civils</w:t>
            </w:r>
          </w:p>
        </w:tc>
        <w:tc>
          <w:tcPr>
            <w:tcW w:w="0" w:type="auto"/>
          </w:tcPr>
          <w:p w:rsidR="005539D2" w:rsidRPr="00EE67E2" w:rsidRDefault="005539D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3</w:t>
            </w:r>
          </w:p>
        </w:tc>
      </w:tr>
      <w:tr w:rsidR="005539D2" w:rsidRPr="006E1455" w:rsidTr="005539D2">
        <w:trPr>
          <w:cantSplit/>
          <w:trHeight w:val="290"/>
          <w:tblHeader/>
        </w:trPr>
        <w:tc>
          <w:tcPr>
            <w:tcW w:w="0" w:type="auto"/>
          </w:tcPr>
          <w:p w:rsidR="005539D2" w:rsidRPr="00EE67E2" w:rsidRDefault="005539D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840 à 869 jours civils</w:t>
            </w:r>
          </w:p>
        </w:tc>
        <w:tc>
          <w:tcPr>
            <w:tcW w:w="0" w:type="auto"/>
          </w:tcPr>
          <w:p w:rsidR="005539D2" w:rsidRPr="00EE67E2" w:rsidRDefault="005539D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10</w:t>
            </w:r>
          </w:p>
        </w:tc>
      </w:tr>
      <w:tr w:rsidR="005539D2" w:rsidRPr="006E1455" w:rsidTr="005539D2">
        <w:trPr>
          <w:cantSplit/>
          <w:trHeight w:val="290"/>
          <w:tblHeader/>
        </w:trPr>
        <w:tc>
          <w:tcPr>
            <w:tcW w:w="0" w:type="auto"/>
          </w:tcPr>
          <w:p w:rsidR="005539D2" w:rsidRPr="00EE67E2" w:rsidRDefault="005539D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870 à 899 jours civils</w:t>
            </w:r>
          </w:p>
        </w:tc>
        <w:tc>
          <w:tcPr>
            <w:tcW w:w="0" w:type="auto"/>
          </w:tcPr>
          <w:p w:rsidR="005539D2" w:rsidRPr="00EE67E2" w:rsidRDefault="005539D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4</w:t>
            </w:r>
          </w:p>
        </w:tc>
      </w:tr>
      <w:tr w:rsidR="005539D2" w:rsidRPr="006E1455" w:rsidTr="005539D2">
        <w:trPr>
          <w:cantSplit/>
          <w:trHeight w:val="290"/>
          <w:tblHeader/>
        </w:trPr>
        <w:tc>
          <w:tcPr>
            <w:tcW w:w="0" w:type="auto"/>
          </w:tcPr>
          <w:p w:rsidR="005539D2" w:rsidRPr="00EE67E2" w:rsidRDefault="005539D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900 à 929 jours civils</w:t>
            </w:r>
          </w:p>
        </w:tc>
        <w:tc>
          <w:tcPr>
            <w:tcW w:w="0" w:type="auto"/>
          </w:tcPr>
          <w:p w:rsidR="005539D2" w:rsidRPr="00EE67E2" w:rsidRDefault="005539D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5</w:t>
            </w:r>
          </w:p>
        </w:tc>
      </w:tr>
      <w:tr w:rsidR="005539D2" w:rsidRPr="006E1455" w:rsidTr="005539D2">
        <w:trPr>
          <w:cantSplit/>
          <w:trHeight w:val="290"/>
          <w:tblHeader/>
        </w:trPr>
        <w:tc>
          <w:tcPr>
            <w:tcW w:w="0" w:type="auto"/>
          </w:tcPr>
          <w:p w:rsidR="005539D2" w:rsidRPr="00EE67E2" w:rsidRDefault="005539D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930 à 959 jours civils</w:t>
            </w:r>
          </w:p>
        </w:tc>
        <w:tc>
          <w:tcPr>
            <w:tcW w:w="0" w:type="auto"/>
          </w:tcPr>
          <w:p w:rsidR="005539D2" w:rsidRPr="00EE67E2" w:rsidRDefault="005539D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4</w:t>
            </w:r>
          </w:p>
        </w:tc>
      </w:tr>
      <w:tr w:rsidR="005539D2" w:rsidRPr="006E1455" w:rsidTr="005539D2">
        <w:trPr>
          <w:cantSplit/>
          <w:trHeight w:val="290"/>
          <w:tblHeader/>
        </w:trPr>
        <w:tc>
          <w:tcPr>
            <w:tcW w:w="0" w:type="auto"/>
          </w:tcPr>
          <w:p w:rsidR="005539D2" w:rsidRPr="00EE67E2" w:rsidRDefault="005539D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960 à 989 jours civils</w:t>
            </w:r>
          </w:p>
        </w:tc>
        <w:tc>
          <w:tcPr>
            <w:tcW w:w="0" w:type="auto"/>
          </w:tcPr>
          <w:p w:rsidR="005539D2" w:rsidRPr="00EE67E2" w:rsidRDefault="005539D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3</w:t>
            </w:r>
          </w:p>
        </w:tc>
      </w:tr>
      <w:tr w:rsidR="005539D2" w:rsidRPr="006E1455" w:rsidTr="005539D2">
        <w:trPr>
          <w:cantSplit/>
          <w:trHeight w:val="290"/>
          <w:tblHeader/>
        </w:trPr>
        <w:tc>
          <w:tcPr>
            <w:tcW w:w="0" w:type="auto"/>
          </w:tcPr>
          <w:p w:rsidR="005539D2" w:rsidRPr="00EE67E2" w:rsidRDefault="005539D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Plus de 990 jours civils</w:t>
            </w:r>
          </w:p>
        </w:tc>
        <w:tc>
          <w:tcPr>
            <w:tcW w:w="0" w:type="auto"/>
          </w:tcPr>
          <w:p w:rsidR="005539D2" w:rsidRPr="00EE67E2" w:rsidRDefault="005539D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23</w:t>
            </w:r>
          </w:p>
        </w:tc>
      </w:tr>
    </w:tbl>
    <w:p w:rsidR="005539D2" w:rsidRDefault="005539D2" w:rsidP="005539D2">
      <w:pPr>
        <w:tabs>
          <w:tab w:val="left" w:pos="4788"/>
        </w:tabs>
        <w:rPr>
          <w:rFonts w:asciiTheme="minorHAnsi" w:hAnsiTheme="minorHAnsi" w:cstheme="minorHAnsi"/>
          <w:sz w:val="22"/>
          <w:szCs w:val="22"/>
          <w:lang w:val="fr-CA"/>
        </w:rPr>
        <w:sectPr w:rsidR="005539D2" w:rsidSect="005539D2">
          <w:pgSz w:w="24480" w:h="15840" w:orient="landscape" w:code="3"/>
          <w:pgMar w:top="630" w:right="720" w:bottom="720" w:left="720" w:header="708" w:footer="283" w:gutter="0"/>
          <w:cols w:space="708"/>
          <w:titlePg/>
          <w:docGrid w:linePitch="360"/>
        </w:sectPr>
      </w:pPr>
    </w:p>
    <w:p w:rsidR="001F32CE" w:rsidRPr="001F32CE" w:rsidRDefault="001F32CE" w:rsidP="001F32CE">
      <w:pPr>
        <w:pStyle w:val="Titre1"/>
        <w:spacing w:before="120" w:after="120"/>
        <w:rPr>
          <w:sz w:val="40"/>
          <w:szCs w:val="40"/>
        </w:rPr>
      </w:pPr>
      <w:proofErr w:type="spellStart"/>
      <w:r w:rsidRPr="001F32CE">
        <w:rPr>
          <w:sz w:val="40"/>
          <w:szCs w:val="40"/>
        </w:rPr>
        <w:lastRenderedPageBreak/>
        <w:t>Durée</w:t>
      </w:r>
      <w:proofErr w:type="spellEnd"/>
      <w:r w:rsidRPr="001F32CE">
        <w:rPr>
          <w:sz w:val="40"/>
          <w:szCs w:val="40"/>
        </w:rPr>
        <w:t xml:space="preserve"> de dotation </w:t>
      </w:r>
      <w:proofErr w:type="spellStart"/>
      <w:r w:rsidRPr="001F32CE">
        <w:rPr>
          <w:sz w:val="40"/>
          <w:szCs w:val="40"/>
        </w:rPr>
        <w:t>externe</w:t>
      </w:r>
      <w:proofErr w:type="spellEnd"/>
    </w:p>
    <w:p w:rsidR="00EE67E2" w:rsidRDefault="005539D2" w:rsidP="00EE67E2">
      <w:pPr>
        <w:keepNext/>
        <w:jc w:val="center"/>
      </w:pPr>
      <w:r w:rsidRPr="00EE67E2">
        <w:rPr>
          <w:rStyle w:val="lev"/>
          <w:noProof/>
          <w:lang w:val="en-CA" w:eastAsia="en-CA"/>
        </w:rPr>
        <w:drawing>
          <wp:inline distT="0" distB="0" distL="0" distR="0" wp14:anchorId="22BBE8E8" wp14:editId="1DE2CDEC">
            <wp:extent cx="5648400" cy="3049200"/>
            <wp:effectExtent l="0" t="0" r="9525" b="18415"/>
            <wp:docPr id="21" name="Chart 21" descr="Durée de dotation externe&#10;Médiane pour la Fonction publique &#10;2018-2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5539D2" w:rsidRPr="00EE67E2" w:rsidRDefault="00EE67E2" w:rsidP="00EE67E2">
      <w:pPr>
        <w:pStyle w:val="Lgende"/>
        <w:spacing w:after="240"/>
        <w:jc w:val="center"/>
        <w:rPr>
          <w:lang w:val="fr-CA"/>
        </w:rPr>
      </w:pPr>
      <w:r w:rsidRPr="00EE67E2">
        <w:rPr>
          <w:lang w:val="fr-CA"/>
        </w:rPr>
        <w:t xml:space="preserve">Figure </w:t>
      </w:r>
      <w:r>
        <w:fldChar w:fldCharType="begin"/>
      </w:r>
      <w:r w:rsidRPr="00EE67E2">
        <w:rPr>
          <w:lang w:val="fr-CA"/>
        </w:rPr>
        <w:instrText xml:space="preserve"> SEQ Figure \* ARABIC </w:instrText>
      </w:r>
      <w:r>
        <w:fldChar w:fldCharType="separate"/>
      </w:r>
      <w:r w:rsidRPr="00EE67E2">
        <w:rPr>
          <w:noProof/>
          <w:lang w:val="fr-CA"/>
        </w:rPr>
        <w:t>13</w:t>
      </w:r>
      <w:r>
        <w:fldChar w:fldCharType="end"/>
      </w:r>
      <w:r w:rsidRPr="00EE67E2">
        <w:rPr>
          <w:lang w:val="fr-CA"/>
        </w:rPr>
        <w:t xml:space="preserve"> - Durée de dotation externe Médiane pour la fonction publique = 186 jours 2018-2019</w:t>
      </w:r>
    </w:p>
    <w:p w:rsidR="00EE67E2" w:rsidRPr="00EE67E2" w:rsidRDefault="0032113C" w:rsidP="00EE67E2">
      <w:pPr>
        <w:rPr>
          <w:rFonts w:asciiTheme="minorHAnsi" w:hAnsiTheme="minorHAnsi" w:cstheme="minorHAnsi"/>
          <w:sz w:val="22"/>
          <w:szCs w:val="22"/>
          <w:lang w:val="fr-CA"/>
        </w:rPr>
      </w:pPr>
      <w:r w:rsidRPr="0032113C">
        <w:rPr>
          <w:rStyle w:val="Lienhypertexte"/>
          <w:rFonts w:asciiTheme="minorHAnsi" w:eastAsiaTheme="minorHAnsi" w:hAnsiTheme="minorHAnsi" w:cstheme="minorHAnsi"/>
          <w:sz w:val="22"/>
          <w:szCs w:val="22"/>
          <w:lang w:val="fr-CA"/>
        </w:rPr>
        <w:t>Tableau des données sur la durée de dotation externe disponible ici.</w:t>
      </w:r>
    </w:p>
    <w:p w:rsidR="00DA4430" w:rsidRPr="000A414B" w:rsidRDefault="00DA4430" w:rsidP="004D7AAC">
      <w:pPr>
        <w:spacing w:before="240"/>
        <w:rPr>
          <w:rStyle w:val="lev"/>
          <w:rFonts w:asciiTheme="minorHAnsi" w:hAnsiTheme="minorHAnsi" w:cstheme="minorHAnsi"/>
          <w:sz w:val="22"/>
          <w:lang w:val="fr-CA"/>
        </w:rPr>
      </w:pPr>
      <w:r w:rsidRPr="000A414B">
        <w:rPr>
          <w:rStyle w:val="lev"/>
          <w:rFonts w:asciiTheme="minorHAnsi" w:hAnsiTheme="minorHAnsi" w:cstheme="minorHAnsi"/>
          <w:sz w:val="22"/>
          <w:lang w:val="fr-CA"/>
        </w:rPr>
        <w:t>Durée de dotation externe</w:t>
      </w:r>
    </w:p>
    <w:p w:rsidR="00DA4430" w:rsidRPr="00EE67E2" w:rsidRDefault="00DA4430" w:rsidP="00EE67E2">
      <w:pPr>
        <w:pStyle w:val="Paragraphedeliste"/>
        <w:spacing w:after="120"/>
        <w:contextualSpacing w:val="0"/>
        <w:rPr>
          <w:rFonts w:asciiTheme="minorHAnsi" w:hAnsiTheme="minorHAnsi" w:cstheme="minorHAnsi"/>
          <w:sz w:val="22"/>
          <w:szCs w:val="22"/>
          <w:lang w:val="fr-CA"/>
        </w:rPr>
      </w:pPr>
      <w:r w:rsidRPr="00EE67E2">
        <w:rPr>
          <w:rFonts w:asciiTheme="minorHAnsi" w:hAnsiTheme="minorHAnsi" w:cstheme="minorHAnsi"/>
          <w:sz w:val="22"/>
          <w:szCs w:val="22"/>
          <w:lang w:val="fr-CA"/>
        </w:rPr>
        <w:t>Les données sont insuffisantes pour fournir des résultats sur la durée des processus de dotation externe pour la Commission mixte internationale.</w:t>
      </w:r>
    </w:p>
    <w:p w:rsidR="00DA4430" w:rsidRPr="00EE67E2" w:rsidRDefault="00DA4430" w:rsidP="00EE67E2">
      <w:pPr>
        <w:pStyle w:val="Paragraphedeliste"/>
        <w:spacing w:after="240"/>
        <w:contextualSpacing w:val="0"/>
        <w:rPr>
          <w:rFonts w:asciiTheme="minorHAnsi" w:hAnsiTheme="minorHAnsi" w:cstheme="minorHAnsi"/>
          <w:sz w:val="22"/>
          <w:szCs w:val="22"/>
          <w:lang w:val="fr-CA" w:eastAsia="en-CA"/>
        </w:rPr>
      </w:pPr>
      <w:r w:rsidRPr="00EE67E2">
        <w:rPr>
          <w:rFonts w:asciiTheme="minorHAnsi" w:hAnsiTheme="minorHAnsi" w:cstheme="minorHAnsi"/>
          <w:sz w:val="22"/>
          <w:szCs w:val="22"/>
          <w:lang w:val="fr-CA" w:eastAsia="en-CA"/>
        </w:rPr>
        <w:t>La durée de dotation externe est calculée en tant que le nombre de jours civils entre la date d’ouverture de l’annonce et la date estimée de la première embauche externe.</w:t>
      </w:r>
    </w:p>
    <w:p w:rsidR="00EE67E2" w:rsidRDefault="00EE67E2" w:rsidP="00EE67E2">
      <w:pPr>
        <w:tabs>
          <w:tab w:val="left" w:pos="4788"/>
        </w:tabs>
        <w:rPr>
          <w:rFonts w:asciiTheme="minorHAnsi" w:hAnsiTheme="minorHAnsi" w:cstheme="minorHAnsi"/>
          <w:b/>
          <w:sz w:val="22"/>
          <w:szCs w:val="22"/>
          <w:lang w:val="fr-CA"/>
        </w:rPr>
      </w:pPr>
      <w:r w:rsidRPr="00EE67E2">
        <w:rPr>
          <w:rFonts w:asciiTheme="minorHAnsi" w:hAnsiTheme="minorHAnsi" w:cstheme="minorHAnsi"/>
          <w:b/>
          <w:sz w:val="22"/>
          <w:szCs w:val="22"/>
          <w:lang w:val="fr-CA"/>
        </w:rPr>
        <w:t>Durée de dotation externe pour l’exercice financier 2018 à 2019</w:t>
      </w:r>
    </w:p>
    <w:p w:rsidR="00EE67E2" w:rsidRPr="00EE67E2" w:rsidRDefault="00EE67E2" w:rsidP="00EE67E2">
      <w:pPr>
        <w:tabs>
          <w:tab w:val="left" w:pos="4788"/>
        </w:tabs>
        <w:rPr>
          <w:rFonts w:asciiTheme="minorHAnsi" w:hAnsiTheme="minorHAnsi" w:cstheme="minorHAnsi"/>
          <w:sz w:val="22"/>
          <w:szCs w:val="22"/>
          <w:lang w:val="fr-CA"/>
        </w:rPr>
      </w:pPr>
      <w:r w:rsidRPr="00EE67E2">
        <w:rPr>
          <w:rFonts w:asciiTheme="minorHAnsi" w:hAnsiTheme="minorHAnsi" w:cstheme="minorHAnsi"/>
          <w:sz w:val="22"/>
          <w:szCs w:val="22"/>
          <w:lang w:val="fr-CA" w:eastAsia="en-CA"/>
        </w:rPr>
        <w:t xml:space="preserve">La durée médiane de dotation externe pour la fonction publique (organisations assujetties à la </w:t>
      </w:r>
      <w:r w:rsidRPr="00EE67E2">
        <w:rPr>
          <w:rFonts w:asciiTheme="minorHAnsi" w:hAnsiTheme="minorHAnsi" w:cstheme="minorHAnsi"/>
          <w:i/>
          <w:sz w:val="22"/>
          <w:szCs w:val="22"/>
          <w:lang w:val="fr-CA" w:eastAsia="en-CA"/>
        </w:rPr>
        <w:t xml:space="preserve">Loi sur l’emploi dans la fonction publiques </w:t>
      </w:r>
      <w:r w:rsidRPr="00EE67E2">
        <w:rPr>
          <w:rFonts w:asciiTheme="minorHAnsi" w:hAnsiTheme="minorHAnsi" w:cstheme="minorHAnsi"/>
          <w:sz w:val="22"/>
          <w:szCs w:val="22"/>
          <w:lang w:val="fr-CA" w:eastAsia="en-CA"/>
        </w:rPr>
        <w:t xml:space="preserve">(LEFP)) pour l’exercice financier 2018 à 2019 est 186 jours. </w:t>
      </w:r>
      <w:r w:rsidRPr="00EE67E2">
        <w:rPr>
          <w:rFonts w:asciiTheme="minorHAnsi" w:hAnsiTheme="minorHAnsi" w:cstheme="minorHAnsi"/>
          <w:sz w:val="22"/>
          <w:szCs w:val="22"/>
          <w:lang w:val="fr-CA"/>
        </w:rPr>
        <w:t>Les données sont insuffisantes pour fournir des résultats sur la durée des processus de dotation externe pour la Commission mixte internationale.</w:t>
      </w:r>
    </w:p>
    <w:p w:rsidR="00EE67E2" w:rsidRDefault="00EE67E2" w:rsidP="000358CC">
      <w:pPr>
        <w:pStyle w:val="Titre3"/>
        <w:spacing w:after="240"/>
        <w:rPr>
          <w:lang w:val="fr-CA"/>
        </w:rPr>
        <w:sectPr w:rsidR="00EE67E2" w:rsidSect="00EE67E2">
          <w:footerReference w:type="first" r:id="rId31"/>
          <w:type w:val="continuous"/>
          <w:pgSz w:w="15840" w:h="12240" w:orient="landscape"/>
          <w:pgMar w:top="720" w:right="720" w:bottom="720" w:left="720" w:header="708" w:footer="283" w:gutter="0"/>
          <w:cols w:space="708"/>
          <w:titlePg/>
          <w:docGrid w:linePitch="360"/>
        </w:sectPr>
      </w:pPr>
    </w:p>
    <w:p w:rsidR="0032113C" w:rsidRPr="001C333D" w:rsidRDefault="0032113C" w:rsidP="0032113C">
      <w:pPr>
        <w:pStyle w:val="Titre1"/>
        <w:rPr>
          <w:sz w:val="40"/>
          <w:szCs w:val="40"/>
          <w:lang w:val="fr-CA"/>
        </w:rPr>
      </w:pPr>
      <w:r w:rsidRPr="001C333D">
        <w:rPr>
          <w:sz w:val="40"/>
          <w:szCs w:val="40"/>
          <w:lang w:val="fr-CA"/>
        </w:rPr>
        <w:lastRenderedPageBreak/>
        <w:t>Durée de dotation externe</w:t>
      </w:r>
    </w:p>
    <w:p w:rsidR="00EE67E2" w:rsidRPr="0032113C" w:rsidRDefault="00EE67E2" w:rsidP="00EE67E2">
      <w:pPr>
        <w:pStyle w:val="Lgende"/>
        <w:keepNext/>
        <w:rPr>
          <w:lang w:val="fr-CA"/>
        </w:rPr>
      </w:pPr>
      <w:r w:rsidRPr="0032113C">
        <w:rPr>
          <w:lang w:val="fr-CA"/>
        </w:rPr>
        <w:t xml:space="preserve">Table </w:t>
      </w:r>
      <w:r>
        <w:fldChar w:fldCharType="begin"/>
      </w:r>
      <w:r w:rsidRPr="0032113C">
        <w:rPr>
          <w:lang w:val="fr-CA"/>
        </w:rPr>
        <w:instrText xml:space="preserve"> SEQ Table \* ARABIC </w:instrText>
      </w:r>
      <w:r>
        <w:fldChar w:fldCharType="separate"/>
      </w:r>
      <w:r w:rsidRPr="0032113C">
        <w:rPr>
          <w:noProof/>
          <w:lang w:val="fr-CA"/>
        </w:rPr>
        <w:t>13</w:t>
      </w:r>
      <w:r>
        <w:fldChar w:fldCharType="end"/>
      </w:r>
      <w:r w:rsidRPr="0032113C">
        <w:rPr>
          <w:lang w:val="fr-CA"/>
        </w:rPr>
        <w:t xml:space="preserve"> - Durée de dotation externe</w:t>
      </w:r>
    </w:p>
    <w:tbl>
      <w:tblPr>
        <w:tblStyle w:val="Grilledutableau"/>
        <w:tblW w:w="0" w:type="auto"/>
        <w:tblLook w:val="0000" w:firstRow="0" w:lastRow="0" w:firstColumn="0" w:lastColumn="0" w:noHBand="0" w:noVBand="0"/>
        <w:tblDescription w:val="Durée de dotation externe"/>
      </w:tblPr>
      <w:tblGrid>
        <w:gridCol w:w="2353"/>
        <w:gridCol w:w="20677"/>
      </w:tblGrid>
      <w:tr w:rsidR="00EE67E2" w:rsidRPr="00D510B0" w:rsidTr="00EE67E2">
        <w:trPr>
          <w:cantSplit/>
          <w:trHeight w:val="290"/>
          <w:tblHeader/>
        </w:trPr>
        <w:tc>
          <w:tcPr>
            <w:tcW w:w="0" w:type="auto"/>
          </w:tcPr>
          <w:p w:rsidR="00EE67E2" w:rsidRPr="00EE67E2" w:rsidRDefault="00EE67E2" w:rsidP="005A1239">
            <w:pPr>
              <w:pStyle w:val="TableTitle"/>
              <w:rPr>
                <w:color w:val="auto"/>
                <w:sz w:val="22"/>
                <w:szCs w:val="22"/>
                <w:lang w:val="fr-CA"/>
              </w:rPr>
            </w:pPr>
            <w:r w:rsidRPr="00EE67E2">
              <w:rPr>
                <w:color w:val="auto"/>
                <w:sz w:val="22"/>
                <w:szCs w:val="22"/>
                <w:lang w:val="fr-CA"/>
              </w:rPr>
              <w:t>Nombre de jours civils</w:t>
            </w:r>
          </w:p>
        </w:tc>
        <w:tc>
          <w:tcPr>
            <w:tcW w:w="0" w:type="auto"/>
          </w:tcPr>
          <w:p w:rsidR="00EE67E2" w:rsidRPr="00EE67E2" w:rsidRDefault="00EE67E2" w:rsidP="005A1239">
            <w:pPr>
              <w:pStyle w:val="TableTitle"/>
              <w:rPr>
                <w:color w:val="auto"/>
                <w:sz w:val="22"/>
                <w:szCs w:val="22"/>
                <w:lang w:val="fr-CA"/>
              </w:rPr>
            </w:pPr>
            <w:r w:rsidRPr="00EE67E2">
              <w:rPr>
                <w:color w:val="auto"/>
                <w:sz w:val="22"/>
                <w:szCs w:val="22"/>
                <w:lang w:val="fr-CA"/>
              </w:rPr>
              <w:t>Le nombre de premières embauches externes dans un processus externe (durée de dotation externe) dans les organisations assujetties à la</w:t>
            </w:r>
            <w:r w:rsidRPr="00EE67E2">
              <w:rPr>
                <w:i/>
                <w:color w:val="auto"/>
                <w:sz w:val="22"/>
                <w:szCs w:val="22"/>
                <w:lang w:val="fr-CA"/>
              </w:rPr>
              <w:t xml:space="preserve"> Loi sur l’emploi dans la fonction publique, </w:t>
            </w:r>
            <w:r w:rsidRPr="00EE67E2">
              <w:rPr>
                <w:color w:val="auto"/>
                <w:sz w:val="22"/>
                <w:szCs w:val="22"/>
                <w:lang w:val="fr-CA"/>
              </w:rPr>
              <w:t>dans le nombre de jours civils spécifié</w:t>
            </w:r>
          </w:p>
        </w:tc>
      </w:tr>
      <w:tr w:rsidR="00EE67E2" w:rsidRPr="00EE67E2" w:rsidTr="00EE67E2">
        <w:trPr>
          <w:cantSplit/>
          <w:trHeight w:val="290"/>
          <w:tblHeader/>
        </w:trPr>
        <w:tc>
          <w:tcPr>
            <w:tcW w:w="0" w:type="auto"/>
          </w:tcPr>
          <w:p w:rsidR="00EE67E2" w:rsidRPr="00EE67E2" w:rsidRDefault="00EE67E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0 jours civils</w:t>
            </w:r>
          </w:p>
        </w:tc>
        <w:tc>
          <w:tcPr>
            <w:tcW w:w="0" w:type="auto"/>
          </w:tcPr>
          <w:p w:rsidR="00EE67E2" w:rsidRPr="00EE67E2" w:rsidRDefault="00EE67E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0</w:t>
            </w:r>
          </w:p>
        </w:tc>
      </w:tr>
      <w:tr w:rsidR="00EE67E2" w:rsidRPr="00EE67E2" w:rsidTr="00EE67E2">
        <w:trPr>
          <w:cantSplit/>
          <w:trHeight w:val="290"/>
          <w:tblHeader/>
        </w:trPr>
        <w:tc>
          <w:tcPr>
            <w:tcW w:w="0" w:type="auto"/>
          </w:tcPr>
          <w:p w:rsidR="00EE67E2" w:rsidRPr="00EE67E2" w:rsidRDefault="00EE67E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0 à 29 jours civils</w:t>
            </w:r>
          </w:p>
        </w:tc>
        <w:tc>
          <w:tcPr>
            <w:tcW w:w="0" w:type="auto"/>
          </w:tcPr>
          <w:p w:rsidR="00EE67E2" w:rsidRPr="00EE67E2" w:rsidRDefault="00EE67E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49</w:t>
            </w:r>
          </w:p>
        </w:tc>
      </w:tr>
      <w:tr w:rsidR="00EE67E2" w:rsidRPr="00EE67E2" w:rsidTr="00EE67E2">
        <w:trPr>
          <w:cantSplit/>
          <w:trHeight w:val="290"/>
          <w:tblHeader/>
        </w:trPr>
        <w:tc>
          <w:tcPr>
            <w:tcW w:w="0" w:type="auto"/>
          </w:tcPr>
          <w:p w:rsidR="00EE67E2" w:rsidRPr="00EE67E2" w:rsidRDefault="00EE67E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30 à 59 jours civils</w:t>
            </w:r>
          </w:p>
        </w:tc>
        <w:tc>
          <w:tcPr>
            <w:tcW w:w="0" w:type="auto"/>
          </w:tcPr>
          <w:p w:rsidR="00EE67E2" w:rsidRPr="00EE67E2" w:rsidRDefault="00EE67E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82</w:t>
            </w:r>
          </w:p>
        </w:tc>
      </w:tr>
      <w:tr w:rsidR="00EE67E2" w:rsidRPr="00EE67E2" w:rsidTr="00EE67E2">
        <w:trPr>
          <w:cantSplit/>
          <w:trHeight w:val="290"/>
          <w:tblHeader/>
        </w:trPr>
        <w:tc>
          <w:tcPr>
            <w:tcW w:w="0" w:type="auto"/>
          </w:tcPr>
          <w:p w:rsidR="00EE67E2" w:rsidRPr="00EE67E2" w:rsidRDefault="00EE67E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60 à 89 jours civils</w:t>
            </w:r>
          </w:p>
        </w:tc>
        <w:tc>
          <w:tcPr>
            <w:tcW w:w="0" w:type="auto"/>
          </w:tcPr>
          <w:p w:rsidR="00EE67E2" w:rsidRPr="00EE67E2" w:rsidRDefault="00EE67E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124</w:t>
            </w:r>
          </w:p>
        </w:tc>
      </w:tr>
      <w:tr w:rsidR="00EE67E2" w:rsidRPr="00EE67E2" w:rsidTr="00EE67E2">
        <w:trPr>
          <w:cantSplit/>
          <w:trHeight w:val="290"/>
          <w:tblHeader/>
        </w:trPr>
        <w:tc>
          <w:tcPr>
            <w:tcW w:w="0" w:type="auto"/>
          </w:tcPr>
          <w:p w:rsidR="00EE67E2" w:rsidRPr="00EE67E2" w:rsidRDefault="00EE67E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90 à 119 jours civils</w:t>
            </w:r>
          </w:p>
        </w:tc>
        <w:tc>
          <w:tcPr>
            <w:tcW w:w="0" w:type="auto"/>
          </w:tcPr>
          <w:p w:rsidR="00EE67E2" w:rsidRPr="00EE67E2" w:rsidRDefault="00EE67E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160</w:t>
            </w:r>
          </w:p>
        </w:tc>
      </w:tr>
      <w:tr w:rsidR="00EE67E2" w:rsidRPr="00EE67E2" w:rsidTr="00EE67E2">
        <w:trPr>
          <w:cantSplit/>
          <w:trHeight w:val="290"/>
          <w:tblHeader/>
        </w:trPr>
        <w:tc>
          <w:tcPr>
            <w:tcW w:w="0" w:type="auto"/>
          </w:tcPr>
          <w:p w:rsidR="00EE67E2" w:rsidRPr="00EE67E2" w:rsidRDefault="00EE67E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120 à 149 jours civils</w:t>
            </w:r>
          </w:p>
        </w:tc>
        <w:tc>
          <w:tcPr>
            <w:tcW w:w="0" w:type="auto"/>
          </w:tcPr>
          <w:p w:rsidR="00EE67E2" w:rsidRPr="00EE67E2" w:rsidRDefault="00EE67E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181</w:t>
            </w:r>
          </w:p>
        </w:tc>
      </w:tr>
      <w:tr w:rsidR="00EE67E2" w:rsidRPr="00EE67E2" w:rsidTr="00EE67E2">
        <w:trPr>
          <w:cantSplit/>
          <w:trHeight w:val="290"/>
          <w:tblHeader/>
        </w:trPr>
        <w:tc>
          <w:tcPr>
            <w:tcW w:w="0" w:type="auto"/>
          </w:tcPr>
          <w:p w:rsidR="00EE67E2" w:rsidRPr="00EE67E2" w:rsidRDefault="00EE67E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150 à 179 jours civils</w:t>
            </w:r>
          </w:p>
        </w:tc>
        <w:tc>
          <w:tcPr>
            <w:tcW w:w="0" w:type="auto"/>
          </w:tcPr>
          <w:p w:rsidR="00EE67E2" w:rsidRPr="00EE67E2" w:rsidRDefault="00EE67E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179</w:t>
            </w:r>
          </w:p>
        </w:tc>
      </w:tr>
      <w:tr w:rsidR="00EE67E2" w:rsidRPr="00EE67E2" w:rsidTr="00EE67E2">
        <w:trPr>
          <w:cantSplit/>
          <w:trHeight w:val="290"/>
          <w:tblHeader/>
        </w:trPr>
        <w:tc>
          <w:tcPr>
            <w:tcW w:w="0" w:type="auto"/>
          </w:tcPr>
          <w:p w:rsidR="00EE67E2" w:rsidRPr="00EE67E2" w:rsidRDefault="00EE67E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180 à 209 jours civils</w:t>
            </w:r>
          </w:p>
        </w:tc>
        <w:tc>
          <w:tcPr>
            <w:tcW w:w="0" w:type="auto"/>
          </w:tcPr>
          <w:p w:rsidR="00EE67E2" w:rsidRPr="00EE67E2" w:rsidRDefault="00EE67E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160</w:t>
            </w:r>
          </w:p>
        </w:tc>
      </w:tr>
      <w:tr w:rsidR="00EE67E2" w:rsidRPr="00EE67E2" w:rsidTr="00EE67E2">
        <w:trPr>
          <w:cantSplit/>
          <w:trHeight w:val="290"/>
          <w:tblHeader/>
        </w:trPr>
        <w:tc>
          <w:tcPr>
            <w:tcW w:w="0" w:type="auto"/>
          </w:tcPr>
          <w:p w:rsidR="00EE67E2" w:rsidRPr="00EE67E2" w:rsidRDefault="00EE67E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210 à 239 jours civils</w:t>
            </w:r>
          </w:p>
        </w:tc>
        <w:tc>
          <w:tcPr>
            <w:tcW w:w="0" w:type="auto"/>
          </w:tcPr>
          <w:p w:rsidR="00EE67E2" w:rsidRPr="00EE67E2" w:rsidRDefault="00EE67E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139</w:t>
            </w:r>
          </w:p>
        </w:tc>
      </w:tr>
      <w:tr w:rsidR="00EE67E2" w:rsidRPr="00EE67E2" w:rsidTr="00EE67E2">
        <w:trPr>
          <w:cantSplit/>
          <w:trHeight w:val="290"/>
          <w:tblHeader/>
        </w:trPr>
        <w:tc>
          <w:tcPr>
            <w:tcW w:w="0" w:type="auto"/>
          </w:tcPr>
          <w:p w:rsidR="00EE67E2" w:rsidRPr="00EE67E2" w:rsidRDefault="00EE67E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240 à 269 jours civils</w:t>
            </w:r>
          </w:p>
        </w:tc>
        <w:tc>
          <w:tcPr>
            <w:tcW w:w="0" w:type="auto"/>
          </w:tcPr>
          <w:p w:rsidR="00EE67E2" w:rsidRPr="00EE67E2" w:rsidRDefault="00EE67E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84</w:t>
            </w:r>
          </w:p>
        </w:tc>
      </w:tr>
      <w:tr w:rsidR="00EE67E2" w:rsidRPr="00EE67E2" w:rsidTr="00EE67E2">
        <w:trPr>
          <w:cantSplit/>
          <w:trHeight w:val="290"/>
          <w:tblHeader/>
        </w:trPr>
        <w:tc>
          <w:tcPr>
            <w:tcW w:w="0" w:type="auto"/>
          </w:tcPr>
          <w:p w:rsidR="00EE67E2" w:rsidRPr="00EE67E2" w:rsidRDefault="00EE67E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270 à 299 jours civils</w:t>
            </w:r>
          </w:p>
        </w:tc>
        <w:tc>
          <w:tcPr>
            <w:tcW w:w="0" w:type="auto"/>
          </w:tcPr>
          <w:p w:rsidR="00EE67E2" w:rsidRPr="00EE67E2" w:rsidRDefault="00EE67E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73</w:t>
            </w:r>
          </w:p>
        </w:tc>
      </w:tr>
      <w:tr w:rsidR="00EE67E2" w:rsidRPr="00EE67E2" w:rsidTr="00EE67E2">
        <w:trPr>
          <w:cantSplit/>
          <w:trHeight w:val="290"/>
          <w:tblHeader/>
        </w:trPr>
        <w:tc>
          <w:tcPr>
            <w:tcW w:w="0" w:type="auto"/>
          </w:tcPr>
          <w:p w:rsidR="00EE67E2" w:rsidRPr="00EE67E2" w:rsidRDefault="00EE67E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300 à 329 jours civils</w:t>
            </w:r>
          </w:p>
        </w:tc>
        <w:tc>
          <w:tcPr>
            <w:tcW w:w="0" w:type="auto"/>
          </w:tcPr>
          <w:p w:rsidR="00EE67E2" w:rsidRPr="00EE67E2" w:rsidRDefault="00EE67E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61</w:t>
            </w:r>
          </w:p>
        </w:tc>
      </w:tr>
      <w:tr w:rsidR="00EE67E2" w:rsidRPr="00EE67E2" w:rsidTr="00EE67E2">
        <w:trPr>
          <w:cantSplit/>
          <w:trHeight w:val="290"/>
          <w:tblHeader/>
        </w:trPr>
        <w:tc>
          <w:tcPr>
            <w:tcW w:w="0" w:type="auto"/>
          </w:tcPr>
          <w:p w:rsidR="00EE67E2" w:rsidRPr="00EE67E2" w:rsidRDefault="00EE67E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330 à 359 jours civils</w:t>
            </w:r>
          </w:p>
        </w:tc>
        <w:tc>
          <w:tcPr>
            <w:tcW w:w="0" w:type="auto"/>
          </w:tcPr>
          <w:p w:rsidR="00EE67E2" w:rsidRPr="00EE67E2" w:rsidRDefault="00EE67E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41</w:t>
            </w:r>
          </w:p>
        </w:tc>
      </w:tr>
      <w:tr w:rsidR="00EE67E2" w:rsidRPr="00EE67E2" w:rsidTr="00EE67E2">
        <w:trPr>
          <w:cantSplit/>
          <w:trHeight w:val="290"/>
          <w:tblHeader/>
        </w:trPr>
        <w:tc>
          <w:tcPr>
            <w:tcW w:w="0" w:type="auto"/>
          </w:tcPr>
          <w:p w:rsidR="00EE67E2" w:rsidRPr="00EE67E2" w:rsidRDefault="00EE67E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360 à 389 jours civils</w:t>
            </w:r>
          </w:p>
        </w:tc>
        <w:tc>
          <w:tcPr>
            <w:tcW w:w="0" w:type="auto"/>
          </w:tcPr>
          <w:p w:rsidR="00EE67E2" w:rsidRPr="00EE67E2" w:rsidRDefault="00EE67E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43</w:t>
            </w:r>
          </w:p>
        </w:tc>
      </w:tr>
      <w:tr w:rsidR="00EE67E2" w:rsidRPr="00EE67E2" w:rsidTr="00EE67E2">
        <w:trPr>
          <w:cantSplit/>
          <w:trHeight w:val="290"/>
          <w:tblHeader/>
        </w:trPr>
        <w:tc>
          <w:tcPr>
            <w:tcW w:w="0" w:type="auto"/>
          </w:tcPr>
          <w:p w:rsidR="00EE67E2" w:rsidRPr="00EE67E2" w:rsidRDefault="00EE67E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390 à 419 jours civils</w:t>
            </w:r>
          </w:p>
        </w:tc>
        <w:tc>
          <w:tcPr>
            <w:tcW w:w="0" w:type="auto"/>
          </w:tcPr>
          <w:p w:rsidR="00EE67E2" w:rsidRPr="00EE67E2" w:rsidRDefault="00EE67E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49</w:t>
            </w:r>
          </w:p>
        </w:tc>
      </w:tr>
      <w:tr w:rsidR="00EE67E2" w:rsidRPr="00EE67E2" w:rsidTr="00EE67E2">
        <w:trPr>
          <w:cantSplit/>
          <w:trHeight w:val="290"/>
          <w:tblHeader/>
        </w:trPr>
        <w:tc>
          <w:tcPr>
            <w:tcW w:w="0" w:type="auto"/>
          </w:tcPr>
          <w:p w:rsidR="00EE67E2" w:rsidRPr="00EE67E2" w:rsidRDefault="00EE67E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420 à 449 jours civils</w:t>
            </w:r>
          </w:p>
        </w:tc>
        <w:tc>
          <w:tcPr>
            <w:tcW w:w="0" w:type="auto"/>
          </w:tcPr>
          <w:p w:rsidR="00EE67E2" w:rsidRPr="00EE67E2" w:rsidRDefault="00EE67E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35</w:t>
            </w:r>
          </w:p>
        </w:tc>
      </w:tr>
      <w:tr w:rsidR="00EE67E2" w:rsidRPr="00EE67E2" w:rsidTr="00EE67E2">
        <w:trPr>
          <w:cantSplit/>
          <w:trHeight w:val="290"/>
          <w:tblHeader/>
        </w:trPr>
        <w:tc>
          <w:tcPr>
            <w:tcW w:w="0" w:type="auto"/>
          </w:tcPr>
          <w:p w:rsidR="00EE67E2" w:rsidRPr="00EE67E2" w:rsidRDefault="00EE67E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450 à 479 jours civils</w:t>
            </w:r>
          </w:p>
        </w:tc>
        <w:tc>
          <w:tcPr>
            <w:tcW w:w="0" w:type="auto"/>
          </w:tcPr>
          <w:p w:rsidR="00EE67E2" w:rsidRPr="00EE67E2" w:rsidRDefault="00EE67E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22</w:t>
            </w:r>
          </w:p>
        </w:tc>
      </w:tr>
      <w:tr w:rsidR="00EE67E2" w:rsidRPr="00EE67E2" w:rsidTr="00EE67E2">
        <w:trPr>
          <w:cantSplit/>
          <w:trHeight w:val="290"/>
          <w:tblHeader/>
        </w:trPr>
        <w:tc>
          <w:tcPr>
            <w:tcW w:w="0" w:type="auto"/>
          </w:tcPr>
          <w:p w:rsidR="00EE67E2" w:rsidRPr="00EE67E2" w:rsidRDefault="00EE67E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480 à 509 jours civils</w:t>
            </w:r>
          </w:p>
        </w:tc>
        <w:tc>
          <w:tcPr>
            <w:tcW w:w="0" w:type="auto"/>
          </w:tcPr>
          <w:p w:rsidR="00EE67E2" w:rsidRPr="00EE67E2" w:rsidRDefault="00EE67E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27</w:t>
            </w:r>
          </w:p>
        </w:tc>
      </w:tr>
      <w:tr w:rsidR="00EE67E2" w:rsidRPr="00EE67E2" w:rsidTr="00EE67E2">
        <w:trPr>
          <w:cantSplit/>
          <w:trHeight w:val="290"/>
          <w:tblHeader/>
        </w:trPr>
        <w:tc>
          <w:tcPr>
            <w:tcW w:w="0" w:type="auto"/>
          </w:tcPr>
          <w:p w:rsidR="00EE67E2" w:rsidRPr="00EE67E2" w:rsidRDefault="00EE67E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 xml:space="preserve">510 à 539 jours civils </w:t>
            </w:r>
          </w:p>
        </w:tc>
        <w:tc>
          <w:tcPr>
            <w:tcW w:w="0" w:type="auto"/>
          </w:tcPr>
          <w:p w:rsidR="00EE67E2" w:rsidRPr="00EE67E2" w:rsidRDefault="00EE67E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17</w:t>
            </w:r>
          </w:p>
        </w:tc>
      </w:tr>
      <w:tr w:rsidR="00EE67E2" w:rsidRPr="00EE67E2" w:rsidTr="00EE67E2">
        <w:trPr>
          <w:cantSplit/>
          <w:trHeight w:val="290"/>
          <w:tblHeader/>
        </w:trPr>
        <w:tc>
          <w:tcPr>
            <w:tcW w:w="0" w:type="auto"/>
          </w:tcPr>
          <w:p w:rsidR="00EE67E2" w:rsidRPr="00EE67E2" w:rsidRDefault="00EE67E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540 à 569 jours civils</w:t>
            </w:r>
          </w:p>
        </w:tc>
        <w:tc>
          <w:tcPr>
            <w:tcW w:w="0" w:type="auto"/>
          </w:tcPr>
          <w:p w:rsidR="00EE67E2" w:rsidRPr="00EE67E2" w:rsidRDefault="00EE67E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15</w:t>
            </w:r>
          </w:p>
        </w:tc>
      </w:tr>
      <w:tr w:rsidR="00EE67E2" w:rsidRPr="00EE67E2" w:rsidTr="00EE67E2">
        <w:trPr>
          <w:cantSplit/>
          <w:trHeight w:val="290"/>
          <w:tblHeader/>
        </w:trPr>
        <w:tc>
          <w:tcPr>
            <w:tcW w:w="0" w:type="auto"/>
          </w:tcPr>
          <w:p w:rsidR="00EE67E2" w:rsidRPr="00EE67E2" w:rsidRDefault="00EE67E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570 à 599 jours civils</w:t>
            </w:r>
          </w:p>
        </w:tc>
        <w:tc>
          <w:tcPr>
            <w:tcW w:w="0" w:type="auto"/>
          </w:tcPr>
          <w:p w:rsidR="00EE67E2" w:rsidRPr="00EE67E2" w:rsidRDefault="00EE67E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14</w:t>
            </w:r>
          </w:p>
        </w:tc>
      </w:tr>
      <w:tr w:rsidR="00EE67E2" w:rsidRPr="00EE67E2" w:rsidTr="00EE67E2">
        <w:trPr>
          <w:cantSplit/>
          <w:trHeight w:val="290"/>
          <w:tblHeader/>
        </w:trPr>
        <w:tc>
          <w:tcPr>
            <w:tcW w:w="0" w:type="auto"/>
          </w:tcPr>
          <w:p w:rsidR="00EE67E2" w:rsidRPr="00EE67E2" w:rsidRDefault="00EE67E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600 à 629 jours civils</w:t>
            </w:r>
          </w:p>
        </w:tc>
        <w:tc>
          <w:tcPr>
            <w:tcW w:w="0" w:type="auto"/>
          </w:tcPr>
          <w:p w:rsidR="00EE67E2" w:rsidRPr="00EE67E2" w:rsidRDefault="00EE67E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12</w:t>
            </w:r>
          </w:p>
        </w:tc>
      </w:tr>
      <w:tr w:rsidR="00EE67E2" w:rsidRPr="00EE67E2" w:rsidTr="00EE67E2">
        <w:trPr>
          <w:cantSplit/>
          <w:trHeight w:val="290"/>
          <w:tblHeader/>
        </w:trPr>
        <w:tc>
          <w:tcPr>
            <w:tcW w:w="0" w:type="auto"/>
          </w:tcPr>
          <w:p w:rsidR="00EE67E2" w:rsidRPr="00EE67E2" w:rsidRDefault="00EE67E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630 à 659 jours civils</w:t>
            </w:r>
          </w:p>
        </w:tc>
        <w:tc>
          <w:tcPr>
            <w:tcW w:w="0" w:type="auto"/>
          </w:tcPr>
          <w:p w:rsidR="00EE67E2" w:rsidRPr="00EE67E2" w:rsidRDefault="00EE67E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7</w:t>
            </w:r>
          </w:p>
        </w:tc>
      </w:tr>
      <w:tr w:rsidR="00EE67E2" w:rsidRPr="00EE67E2" w:rsidTr="00EE67E2">
        <w:trPr>
          <w:cantSplit/>
          <w:trHeight w:val="290"/>
          <w:tblHeader/>
        </w:trPr>
        <w:tc>
          <w:tcPr>
            <w:tcW w:w="0" w:type="auto"/>
          </w:tcPr>
          <w:p w:rsidR="00EE67E2" w:rsidRPr="00EE67E2" w:rsidRDefault="00EE67E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660 à 689 jours civils</w:t>
            </w:r>
          </w:p>
        </w:tc>
        <w:tc>
          <w:tcPr>
            <w:tcW w:w="0" w:type="auto"/>
          </w:tcPr>
          <w:p w:rsidR="00EE67E2" w:rsidRPr="00EE67E2" w:rsidRDefault="00EE67E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5</w:t>
            </w:r>
          </w:p>
        </w:tc>
      </w:tr>
      <w:tr w:rsidR="00EE67E2" w:rsidRPr="00EE67E2" w:rsidTr="00EE67E2">
        <w:trPr>
          <w:cantSplit/>
          <w:trHeight w:val="290"/>
          <w:tblHeader/>
        </w:trPr>
        <w:tc>
          <w:tcPr>
            <w:tcW w:w="0" w:type="auto"/>
          </w:tcPr>
          <w:p w:rsidR="00EE67E2" w:rsidRPr="00EE67E2" w:rsidRDefault="00EE67E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690 à 719 jours civils</w:t>
            </w:r>
          </w:p>
        </w:tc>
        <w:tc>
          <w:tcPr>
            <w:tcW w:w="0" w:type="auto"/>
          </w:tcPr>
          <w:p w:rsidR="00EE67E2" w:rsidRPr="00EE67E2" w:rsidRDefault="00EE67E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7</w:t>
            </w:r>
          </w:p>
        </w:tc>
      </w:tr>
      <w:tr w:rsidR="00EE67E2" w:rsidRPr="00EE67E2" w:rsidTr="00EE67E2">
        <w:trPr>
          <w:cantSplit/>
          <w:trHeight w:val="302"/>
          <w:tblHeader/>
        </w:trPr>
        <w:tc>
          <w:tcPr>
            <w:tcW w:w="0" w:type="auto"/>
          </w:tcPr>
          <w:p w:rsidR="00EE67E2" w:rsidRPr="00EE67E2" w:rsidRDefault="00EE67E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720 à 749 jours civils</w:t>
            </w:r>
          </w:p>
        </w:tc>
        <w:tc>
          <w:tcPr>
            <w:tcW w:w="0" w:type="auto"/>
          </w:tcPr>
          <w:p w:rsidR="00EE67E2" w:rsidRPr="00EE67E2" w:rsidRDefault="00EE67E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11</w:t>
            </w:r>
          </w:p>
        </w:tc>
      </w:tr>
      <w:tr w:rsidR="00EE67E2" w:rsidRPr="00EE67E2" w:rsidTr="00EE67E2">
        <w:trPr>
          <w:cantSplit/>
          <w:trHeight w:val="290"/>
          <w:tblHeader/>
        </w:trPr>
        <w:tc>
          <w:tcPr>
            <w:tcW w:w="0" w:type="auto"/>
          </w:tcPr>
          <w:p w:rsidR="00EE67E2" w:rsidRPr="00EE67E2" w:rsidRDefault="00EE67E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750 à 779 jours civils</w:t>
            </w:r>
          </w:p>
        </w:tc>
        <w:tc>
          <w:tcPr>
            <w:tcW w:w="0" w:type="auto"/>
          </w:tcPr>
          <w:p w:rsidR="00EE67E2" w:rsidRPr="00EE67E2" w:rsidRDefault="00EE67E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3</w:t>
            </w:r>
          </w:p>
        </w:tc>
      </w:tr>
      <w:tr w:rsidR="00EE67E2" w:rsidRPr="00EE67E2" w:rsidTr="00EE67E2">
        <w:trPr>
          <w:cantSplit/>
          <w:trHeight w:val="290"/>
          <w:tblHeader/>
        </w:trPr>
        <w:tc>
          <w:tcPr>
            <w:tcW w:w="0" w:type="auto"/>
          </w:tcPr>
          <w:p w:rsidR="00EE67E2" w:rsidRPr="00EE67E2" w:rsidRDefault="00EE67E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780 à 809 jours civils</w:t>
            </w:r>
          </w:p>
        </w:tc>
        <w:tc>
          <w:tcPr>
            <w:tcW w:w="0" w:type="auto"/>
          </w:tcPr>
          <w:p w:rsidR="00EE67E2" w:rsidRPr="00EE67E2" w:rsidRDefault="00EE67E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7</w:t>
            </w:r>
          </w:p>
        </w:tc>
      </w:tr>
      <w:tr w:rsidR="00EE67E2" w:rsidRPr="00EE67E2" w:rsidTr="00EE67E2">
        <w:trPr>
          <w:cantSplit/>
          <w:trHeight w:val="290"/>
          <w:tblHeader/>
        </w:trPr>
        <w:tc>
          <w:tcPr>
            <w:tcW w:w="0" w:type="auto"/>
          </w:tcPr>
          <w:p w:rsidR="00EE67E2" w:rsidRPr="00EE67E2" w:rsidRDefault="00EE67E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810 à 839 jours civils</w:t>
            </w:r>
          </w:p>
        </w:tc>
        <w:tc>
          <w:tcPr>
            <w:tcW w:w="0" w:type="auto"/>
          </w:tcPr>
          <w:p w:rsidR="00EE67E2" w:rsidRPr="00EE67E2" w:rsidRDefault="00EE67E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2</w:t>
            </w:r>
          </w:p>
        </w:tc>
      </w:tr>
      <w:tr w:rsidR="00EE67E2" w:rsidRPr="00EE67E2" w:rsidTr="00EE67E2">
        <w:trPr>
          <w:cantSplit/>
          <w:trHeight w:val="290"/>
          <w:tblHeader/>
        </w:trPr>
        <w:tc>
          <w:tcPr>
            <w:tcW w:w="0" w:type="auto"/>
          </w:tcPr>
          <w:p w:rsidR="00EE67E2" w:rsidRPr="00EE67E2" w:rsidRDefault="00EE67E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840 à 869 jours civils</w:t>
            </w:r>
          </w:p>
        </w:tc>
        <w:tc>
          <w:tcPr>
            <w:tcW w:w="0" w:type="auto"/>
          </w:tcPr>
          <w:p w:rsidR="00EE67E2" w:rsidRPr="00EE67E2" w:rsidRDefault="00EE67E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2</w:t>
            </w:r>
          </w:p>
        </w:tc>
      </w:tr>
      <w:tr w:rsidR="00EE67E2" w:rsidRPr="00EE67E2" w:rsidTr="00EE67E2">
        <w:trPr>
          <w:cantSplit/>
          <w:trHeight w:val="290"/>
          <w:tblHeader/>
        </w:trPr>
        <w:tc>
          <w:tcPr>
            <w:tcW w:w="0" w:type="auto"/>
          </w:tcPr>
          <w:p w:rsidR="00EE67E2" w:rsidRPr="00EE67E2" w:rsidRDefault="00EE67E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870 à 899 jours civils</w:t>
            </w:r>
          </w:p>
        </w:tc>
        <w:tc>
          <w:tcPr>
            <w:tcW w:w="0" w:type="auto"/>
          </w:tcPr>
          <w:p w:rsidR="00EE67E2" w:rsidRPr="00EE67E2" w:rsidRDefault="00EE67E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0</w:t>
            </w:r>
          </w:p>
        </w:tc>
      </w:tr>
      <w:tr w:rsidR="00EE67E2" w:rsidRPr="00EE67E2" w:rsidTr="00EE67E2">
        <w:trPr>
          <w:cantSplit/>
          <w:trHeight w:val="290"/>
          <w:tblHeader/>
        </w:trPr>
        <w:tc>
          <w:tcPr>
            <w:tcW w:w="0" w:type="auto"/>
          </w:tcPr>
          <w:p w:rsidR="00EE67E2" w:rsidRPr="00EE67E2" w:rsidRDefault="00EE67E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900 à 929 jours civils</w:t>
            </w:r>
          </w:p>
        </w:tc>
        <w:tc>
          <w:tcPr>
            <w:tcW w:w="0" w:type="auto"/>
          </w:tcPr>
          <w:p w:rsidR="00EE67E2" w:rsidRPr="00EE67E2" w:rsidRDefault="00EE67E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3</w:t>
            </w:r>
          </w:p>
        </w:tc>
      </w:tr>
      <w:tr w:rsidR="00EE67E2" w:rsidRPr="00EE67E2" w:rsidTr="00EE67E2">
        <w:trPr>
          <w:cantSplit/>
          <w:trHeight w:val="290"/>
          <w:tblHeader/>
        </w:trPr>
        <w:tc>
          <w:tcPr>
            <w:tcW w:w="0" w:type="auto"/>
          </w:tcPr>
          <w:p w:rsidR="00EE67E2" w:rsidRPr="00EE67E2" w:rsidRDefault="00EE67E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930 à 959 jours civils</w:t>
            </w:r>
          </w:p>
        </w:tc>
        <w:tc>
          <w:tcPr>
            <w:tcW w:w="0" w:type="auto"/>
          </w:tcPr>
          <w:p w:rsidR="00EE67E2" w:rsidRPr="00EE67E2" w:rsidRDefault="00EE67E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1</w:t>
            </w:r>
          </w:p>
        </w:tc>
      </w:tr>
      <w:tr w:rsidR="00EE67E2" w:rsidRPr="00EE67E2" w:rsidTr="00EE67E2">
        <w:trPr>
          <w:cantSplit/>
          <w:trHeight w:val="290"/>
          <w:tblHeader/>
        </w:trPr>
        <w:tc>
          <w:tcPr>
            <w:tcW w:w="0" w:type="auto"/>
          </w:tcPr>
          <w:p w:rsidR="00EE67E2" w:rsidRPr="00EE67E2" w:rsidRDefault="00EE67E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960 à 989 jours civils</w:t>
            </w:r>
          </w:p>
        </w:tc>
        <w:tc>
          <w:tcPr>
            <w:tcW w:w="0" w:type="auto"/>
          </w:tcPr>
          <w:p w:rsidR="00EE67E2" w:rsidRPr="00EE67E2" w:rsidRDefault="00EE67E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0</w:t>
            </w:r>
          </w:p>
        </w:tc>
      </w:tr>
      <w:tr w:rsidR="00EE67E2" w:rsidRPr="00EE67E2" w:rsidTr="00EE67E2">
        <w:trPr>
          <w:cantSplit/>
          <w:trHeight w:val="290"/>
          <w:tblHeader/>
        </w:trPr>
        <w:tc>
          <w:tcPr>
            <w:tcW w:w="0" w:type="auto"/>
          </w:tcPr>
          <w:p w:rsidR="00EE67E2" w:rsidRPr="00EE67E2" w:rsidRDefault="00EE67E2" w:rsidP="005A1239">
            <w:pPr>
              <w:autoSpaceDE w:val="0"/>
              <w:autoSpaceDN w:val="0"/>
              <w:adjustRightInd w:val="0"/>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Plus de 990 jours civils</w:t>
            </w:r>
          </w:p>
        </w:tc>
        <w:tc>
          <w:tcPr>
            <w:tcW w:w="0" w:type="auto"/>
          </w:tcPr>
          <w:p w:rsidR="00EE67E2" w:rsidRPr="00EE67E2" w:rsidRDefault="00EE67E2" w:rsidP="005A1239">
            <w:pPr>
              <w:autoSpaceDE w:val="0"/>
              <w:autoSpaceDN w:val="0"/>
              <w:adjustRightInd w:val="0"/>
              <w:jc w:val="center"/>
              <w:rPr>
                <w:rFonts w:asciiTheme="minorHAnsi" w:hAnsiTheme="minorHAnsi" w:cstheme="minorHAnsi"/>
                <w:color w:val="000000"/>
                <w:sz w:val="22"/>
                <w:szCs w:val="22"/>
                <w:lang w:val="fr-CA"/>
              </w:rPr>
            </w:pPr>
            <w:r w:rsidRPr="00EE67E2">
              <w:rPr>
                <w:rFonts w:asciiTheme="minorHAnsi" w:hAnsiTheme="minorHAnsi" w:cstheme="minorHAnsi"/>
                <w:color w:val="000000"/>
                <w:sz w:val="22"/>
                <w:szCs w:val="22"/>
                <w:lang w:val="fr-CA"/>
              </w:rPr>
              <w:t>0</w:t>
            </w:r>
          </w:p>
        </w:tc>
      </w:tr>
    </w:tbl>
    <w:p w:rsidR="00EE67E2" w:rsidRDefault="00EE67E2" w:rsidP="000358CC">
      <w:pPr>
        <w:pStyle w:val="Titre3"/>
        <w:spacing w:after="240"/>
        <w:rPr>
          <w:lang w:val="fr-CA"/>
        </w:rPr>
        <w:sectPr w:rsidR="00EE67E2" w:rsidSect="00EE67E2">
          <w:pgSz w:w="24480" w:h="15840" w:orient="landscape" w:code="3"/>
          <w:pgMar w:top="720" w:right="720" w:bottom="720" w:left="720" w:header="708" w:footer="283" w:gutter="0"/>
          <w:cols w:space="708"/>
          <w:titlePg/>
          <w:docGrid w:linePitch="360"/>
        </w:sectPr>
      </w:pPr>
    </w:p>
    <w:p w:rsidR="0032113C" w:rsidRPr="0032113C" w:rsidRDefault="0032113C" w:rsidP="0032113C">
      <w:pPr>
        <w:pStyle w:val="Titre1"/>
        <w:rPr>
          <w:sz w:val="40"/>
          <w:szCs w:val="40"/>
          <w:lang w:val="fr-CA"/>
        </w:rPr>
      </w:pPr>
      <w:r w:rsidRPr="0032113C">
        <w:rPr>
          <w:sz w:val="40"/>
          <w:szCs w:val="40"/>
          <w:lang w:val="fr-CA"/>
        </w:rPr>
        <w:lastRenderedPageBreak/>
        <w:t>Notes techniques</w:t>
      </w:r>
    </w:p>
    <w:p w:rsidR="00E63B79" w:rsidRPr="006E1455" w:rsidRDefault="00E63B79" w:rsidP="00BD08F6">
      <w:pPr>
        <w:pStyle w:val="Paragraphedeliste"/>
        <w:numPr>
          <w:ilvl w:val="0"/>
          <w:numId w:val="15"/>
        </w:numPr>
        <w:spacing w:before="240" w:after="0"/>
        <w:ind w:left="360"/>
        <w:rPr>
          <w:rFonts w:asciiTheme="minorHAnsi" w:hAnsiTheme="minorHAnsi" w:cstheme="minorHAnsi"/>
          <w:sz w:val="22"/>
          <w:szCs w:val="22"/>
          <w:lang w:val="fr-CA"/>
        </w:rPr>
      </w:pPr>
      <w:r w:rsidRPr="006E1455">
        <w:rPr>
          <w:rFonts w:asciiTheme="minorHAnsi" w:hAnsiTheme="minorHAnsi" w:cstheme="minorHAnsi"/>
          <w:sz w:val="22"/>
          <w:szCs w:val="22"/>
          <w:lang w:val="fr-CA"/>
        </w:rPr>
        <w:t>Le temps nécessaire à la dotation – Nominations internes (TND-NI) est le nombre médian de jours civils entre la date d’ouverture d’une annonce interne et la date du premier avis de nomination ou de proposition de nomination (PANA) du Système de ressourcement de la fonction publique pour les postes internes de durée déterminée et indéterminée. Les PANA ne sont pas requis pour toutes les activités de dotation interne. Par conséquent, cette mesure se limite aux rapports sur les nominations promotionnels internes</w:t>
      </w:r>
    </w:p>
    <w:p w:rsidR="00E63B79" w:rsidRPr="006E1455" w:rsidRDefault="00E63B79" w:rsidP="00E63B79">
      <w:pPr>
        <w:pStyle w:val="Paragraphedeliste"/>
        <w:numPr>
          <w:ilvl w:val="0"/>
          <w:numId w:val="15"/>
        </w:numPr>
        <w:spacing w:after="0"/>
        <w:ind w:left="360"/>
        <w:rPr>
          <w:rFonts w:asciiTheme="minorHAnsi" w:hAnsiTheme="minorHAnsi" w:cstheme="minorHAnsi"/>
          <w:sz w:val="22"/>
          <w:szCs w:val="22"/>
          <w:lang w:val="fr-CA"/>
        </w:rPr>
      </w:pPr>
      <w:r w:rsidRPr="006E1455">
        <w:rPr>
          <w:rFonts w:asciiTheme="minorHAnsi" w:hAnsiTheme="minorHAnsi" w:cstheme="minorHAnsi"/>
          <w:sz w:val="22"/>
          <w:szCs w:val="22"/>
          <w:lang w:val="fr-CA"/>
        </w:rPr>
        <w:t>Seules les nominations à des postes de durée déterminée et les nominations à des postes pour une période indéterminée sont incluses (les mutations, les nominations occasionnelles et les nominations intérimaires sont exclues)</w:t>
      </w:r>
    </w:p>
    <w:p w:rsidR="00E63B79" w:rsidRPr="006E1455" w:rsidRDefault="00E63B79" w:rsidP="00E63B79">
      <w:pPr>
        <w:pStyle w:val="Paragraphedeliste"/>
        <w:numPr>
          <w:ilvl w:val="0"/>
          <w:numId w:val="15"/>
        </w:numPr>
        <w:spacing w:after="0"/>
        <w:ind w:left="360"/>
        <w:rPr>
          <w:rFonts w:asciiTheme="minorHAnsi" w:hAnsiTheme="minorHAnsi" w:cstheme="minorHAnsi"/>
          <w:sz w:val="22"/>
          <w:szCs w:val="22"/>
          <w:lang w:val="fr-CA"/>
        </w:rPr>
      </w:pPr>
      <w:r w:rsidRPr="006E1455">
        <w:rPr>
          <w:rFonts w:asciiTheme="minorHAnsi" w:hAnsiTheme="minorHAnsi" w:cstheme="minorHAnsi"/>
          <w:sz w:val="22"/>
          <w:szCs w:val="22"/>
          <w:lang w:val="fr-CA"/>
        </w:rPr>
        <w:t>Le temps nécessaire à la dotation - Nominations externes (TND-NE) est le nombre médian de jours civils entre la date d'ouverture d'une annonce externe et la date de la première nomination estimative d'une personne de l'extérieur d'une organisation assujettie à la Loi sur l'emploi dans la fonction publique pour les postes de durée déterminée et pour les postes pour une période indéterminée. Seules les nominations d’une durée déterminée et les nominations pour une période indéterminée sont incluses (les mutations, les nominations occasionnelles et les nominations intérimaires sont exclues)</w:t>
      </w:r>
    </w:p>
    <w:p w:rsidR="00E63B79" w:rsidRPr="006E1455" w:rsidRDefault="00E63B79" w:rsidP="00E63B79">
      <w:pPr>
        <w:pStyle w:val="Paragraphedeliste"/>
        <w:numPr>
          <w:ilvl w:val="0"/>
          <w:numId w:val="15"/>
        </w:numPr>
        <w:spacing w:after="0"/>
        <w:ind w:left="360"/>
        <w:rPr>
          <w:rFonts w:asciiTheme="minorHAnsi" w:hAnsiTheme="minorHAnsi" w:cstheme="minorHAnsi"/>
          <w:sz w:val="22"/>
          <w:szCs w:val="22"/>
          <w:lang w:val="fr-CA"/>
        </w:rPr>
      </w:pPr>
      <w:r w:rsidRPr="006E1455">
        <w:rPr>
          <w:rFonts w:asciiTheme="minorHAnsi" w:hAnsiTheme="minorHAnsi" w:cstheme="minorHAnsi"/>
          <w:sz w:val="22"/>
          <w:szCs w:val="22"/>
          <w:lang w:val="fr-CA"/>
        </w:rPr>
        <w:t>Parce que le lien des données entre les systèmes utilise un jumelage probabiliste, des erreurs de mesure sont donc possibles</w:t>
      </w:r>
    </w:p>
    <w:p w:rsidR="00E63B79" w:rsidRPr="006E1455" w:rsidRDefault="00E63B79" w:rsidP="00E63B79">
      <w:pPr>
        <w:pStyle w:val="Paragraphedeliste"/>
        <w:numPr>
          <w:ilvl w:val="0"/>
          <w:numId w:val="15"/>
        </w:numPr>
        <w:spacing w:after="0"/>
        <w:ind w:left="360"/>
        <w:rPr>
          <w:rFonts w:asciiTheme="minorHAnsi" w:hAnsiTheme="minorHAnsi" w:cstheme="minorHAnsi"/>
          <w:sz w:val="22"/>
          <w:szCs w:val="22"/>
          <w:lang w:val="fr-CA"/>
        </w:rPr>
      </w:pPr>
      <w:r w:rsidRPr="006E1455">
        <w:rPr>
          <w:rFonts w:asciiTheme="minorHAnsi" w:hAnsiTheme="minorHAnsi" w:cstheme="minorHAnsi"/>
          <w:sz w:val="22"/>
          <w:szCs w:val="22"/>
          <w:lang w:val="fr-CA"/>
        </w:rPr>
        <w:t>Les données sur les activités d’embauche et de dotation sont tirées des renseignements du Fichier des titulaires du Secrétariat du Conseil du Trésor du Canada.  Le Fichier des titulaires est extrait du système de rémunération de Services publics et Approvisionnement Canada.  Les données constituent une estimation des activités d’embauche et de dotation des organisations.</w:t>
      </w:r>
    </w:p>
    <w:p w:rsidR="00E63B79" w:rsidRPr="006E1455" w:rsidRDefault="00E63B79" w:rsidP="00E63B79">
      <w:pPr>
        <w:pStyle w:val="Paragraphedeliste"/>
        <w:numPr>
          <w:ilvl w:val="0"/>
          <w:numId w:val="15"/>
        </w:numPr>
        <w:spacing w:after="0"/>
        <w:ind w:left="360"/>
        <w:rPr>
          <w:rFonts w:asciiTheme="minorHAnsi" w:hAnsiTheme="minorHAnsi" w:cstheme="minorHAnsi"/>
          <w:sz w:val="22"/>
          <w:szCs w:val="22"/>
          <w:lang w:val="fr-CA"/>
        </w:rPr>
      </w:pPr>
      <w:r w:rsidRPr="006E1455">
        <w:rPr>
          <w:rFonts w:asciiTheme="minorHAnsi" w:hAnsiTheme="minorHAnsi" w:cstheme="minorHAnsi"/>
          <w:sz w:val="22"/>
          <w:szCs w:val="22"/>
          <w:lang w:val="fr-CA"/>
        </w:rPr>
        <w:t>L’information du Système de gestion de l’information sur les priorités et du Système de ressourcement de la fonction publique est également utilisée pour déterminer si les processus de dotation sont annoncés ou non annoncés, et pour calculer la durée du processus de dotation.</w:t>
      </w:r>
    </w:p>
    <w:p w:rsidR="00A3677B" w:rsidRPr="00EE67E2" w:rsidRDefault="00E63B79" w:rsidP="005A1239">
      <w:pPr>
        <w:pStyle w:val="Paragraphedeliste"/>
        <w:numPr>
          <w:ilvl w:val="0"/>
          <w:numId w:val="15"/>
        </w:numPr>
        <w:spacing w:after="0"/>
        <w:ind w:left="360"/>
        <w:rPr>
          <w:rFonts w:asciiTheme="minorHAnsi" w:hAnsiTheme="minorHAnsi" w:cstheme="minorHAnsi"/>
          <w:sz w:val="22"/>
          <w:szCs w:val="22"/>
          <w:lang w:val="fr-CA"/>
        </w:rPr>
      </w:pPr>
      <w:r w:rsidRPr="00EE67E2">
        <w:rPr>
          <w:rFonts w:asciiTheme="minorHAnsi" w:hAnsiTheme="minorHAnsi" w:cstheme="minorHAnsi"/>
          <w:sz w:val="22"/>
          <w:szCs w:val="22"/>
          <w:lang w:val="fr-CA"/>
        </w:rPr>
        <w:t>Ces données ne correspondent pas nécessairement aux donnés sur les ressources humaines de chaque organisation en raison des différences de méthodologie et de</w:t>
      </w:r>
      <w:r w:rsidR="00EE67E2" w:rsidRPr="00EE67E2">
        <w:rPr>
          <w:rFonts w:asciiTheme="minorHAnsi" w:hAnsiTheme="minorHAnsi" w:cstheme="minorHAnsi"/>
          <w:sz w:val="22"/>
          <w:szCs w:val="22"/>
          <w:lang w:val="fr-CA"/>
        </w:rPr>
        <w:t>s périodes visées par l’analyse</w:t>
      </w:r>
    </w:p>
    <w:sectPr w:rsidR="00A3677B" w:rsidRPr="00EE67E2" w:rsidSect="00EE67E2">
      <w:pgSz w:w="12240" w:h="15840"/>
      <w:pgMar w:top="720" w:right="720" w:bottom="720" w:left="720" w:header="708"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33D" w:rsidRDefault="001C333D" w:rsidP="0051557E">
      <w:r>
        <w:separator/>
      </w:r>
    </w:p>
  </w:endnote>
  <w:endnote w:type="continuationSeparator" w:id="0">
    <w:p w:rsidR="001C333D" w:rsidRDefault="001C333D" w:rsidP="0051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33D" w:rsidRDefault="001C333D" w:rsidP="005D69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33D" w:rsidRPr="008A6060" w:rsidRDefault="001C333D" w:rsidP="001130DF">
    <w:pPr>
      <w:pStyle w:val="Pieddepage"/>
      <w:rPr>
        <w:lang w:val="fr-CA"/>
      </w:rPr>
    </w:pPr>
    <w:r w:rsidRPr="00F963C1">
      <w:rPr>
        <w:rFonts w:ascii="Calibri" w:eastAsia="Calibri" w:hAnsi="Calibri" w:cs="Arial"/>
        <w:sz w:val="16"/>
        <w:szCs w:val="22"/>
        <w:lang w:val="fr-CA"/>
      </w:rPr>
      <w:fldChar w:fldCharType="begin"/>
    </w:r>
    <w:r w:rsidRPr="00F963C1">
      <w:rPr>
        <w:rFonts w:ascii="Calibri" w:eastAsia="Calibri" w:hAnsi="Calibri" w:cs="Arial"/>
        <w:sz w:val="16"/>
        <w:szCs w:val="22"/>
        <w:lang w:val="en-CA"/>
      </w:rPr>
      <w:instrText xml:space="preserve"> PAGE   \* MERGEFORMAT </w:instrText>
    </w:r>
    <w:r w:rsidRPr="00F963C1">
      <w:rPr>
        <w:rFonts w:ascii="Calibri" w:eastAsia="Calibri" w:hAnsi="Calibri" w:cs="Arial"/>
        <w:sz w:val="16"/>
        <w:szCs w:val="22"/>
        <w:lang w:val="fr-CA"/>
      </w:rPr>
      <w:fldChar w:fldCharType="separate"/>
    </w:r>
    <w:r w:rsidR="00D510B0" w:rsidRPr="00D510B0">
      <w:rPr>
        <w:rFonts w:ascii="Calibri" w:eastAsia="Calibri" w:hAnsi="Calibri" w:cs="Arial"/>
        <w:b/>
        <w:bCs/>
        <w:noProof/>
        <w:sz w:val="16"/>
        <w:szCs w:val="22"/>
        <w:lang w:val="en-CA"/>
      </w:rPr>
      <w:t>6</w:t>
    </w:r>
    <w:r w:rsidRPr="00F963C1">
      <w:rPr>
        <w:rFonts w:ascii="Calibri" w:eastAsia="Calibri" w:hAnsi="Calibri" w:cs="Arial"/>
        <w:b/>
        <w:bCs/>
        <w:noProof/>
        <w:sz w:val="16"/>
        <w:szCs w:val="22"/>
        <w:lang w:val="fr-CA"/>
      </w:rPr>
      <w:fldChar w:fldCharType="end"/>
    </w:r>
    <w:r w:rsidRPr="006B2FDC">
      <w:rPr>
        <w:rFonts w:ascii="Calibri" w:eastAsia="Calibri" w:hAnsi="Calibri" w:cs="Arial"/>
        <w:b/>
        <w:bCs/>
        <w:sz w:val="16"/>
        <w:szCs w:val="22"/>
        <w:lang w:val="en-CA"/>
      </w:rPr>
      <w:t>|</w:t>
    </w:r>
    <w:r w:rsidRPr="00F963C1">
      <w:rPr>
        <w:rFonts w:ascii="Calibri" w:eastAsia="Calibri" w:hAnsi="Calibri" w:cs="Arial"/>
        <w:sz w:val="16"/>
        <w:szCs w:val="22"/>
        <w:lang w:val="en-CA"/>
      </w:rPr>
      <w:t xml:space="preserve"> </w:t>
    </w:r>
    <w:r>
      <w:rPr>
        <w:rFonts w:ascii="Calibri" w:eastAsia="Calibri" w:hAnsi="Calibri" w:cs="Arial"/>
        <w:sz w:val="16"/>
        <w:szCs w:val="22"/>
        <w:lang w:val="en-CA"/>
      </w:rPr>
      <w:tab/>
    </w:r>
    <w:r>
      <w:rPr>
        <w:rFonts w:ascii="Calibri" w:eastAsia="Calibri" w:hAnsi="Calibri" w:cs="Arial"/>
        <w:sz w:val="16"/>
        <w:szCs w:val="22"/>
        <w:lang w:val="en-CA"/>
      </w:rPr>
      <w:tab/>
    </w:r>
    <w:r w:rsidRPr="006B2FDC">
      <w:rPr>
        <w:rFonts w:ascii="Calibri" w:eastAsia="Calibri" w:hAnsi="Calibri" w:cs="Arial"/>
        <w:sz w:val="16"/>
        <w:szCs w:val="22"/>
        <w:lang w:val="en-CA"/>
      </w:rPr>
      <w:t>GCDOCS</w:t>
    </w:r>
    <w:r>
      <w:rPr>
        <w:rFonts w:ascii="Calibri" w:eastAsia="Calibri" w:hAnsi="Calibri" w:cs="Arial"/>
        <w:sz w:val="16"/>
        <w:szCs w:val="22"/>
        <w:lang w:val="en-CA"/>
      </w:rPr>
      <w:t xml:space="preserve"> 9632748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33D" w:rsidRPr="008A6060" w:rsidRDefault="001C333D" w:rsidP="001130DF">
    <w:pPr>
      <w:pStyle w:val="Pieddepage"/>
      <w:rPr>
        <w:lang w:val="fr-CA"/>
      </w:rPr>
    </w:pPr>
    <w:r w:rsidRPr="00F963C1">
      <w:rPr>
        <w:rFonts w:ascii="Calibri" w:eastAsia="Calibri" w:hAnsi="Calibri" w:cs="Arial"/>
        <w:sz w:val="16"/>
        <w:szCs w:val="22"/>
        <w:lang w:val="fr-CA"/>
      </w:rPr>
      <w:fldChar w:fldCharType="begin"/>
    </w:r>
    <w:r w:rsidRPr="00F963C1">
      <w:rPr>
        <w:rFonts w:ascii="Calibri" w:eastAsia="Calibri" w:hAnsi="Calibri" w:cs="Arial"/>
        <w:sz w:val="16"/>
        <w:szCs w:val="22"/>
        <w:lang w:val="en-CA"/>
      </w:rPr>
      <w:instrText xml:space="preserve"> PAGE   \* MERGEFORMAT </w:instrText>
    </w:r>
    <w:r w:rsidRPr="00F963C1">
      <w:rPr>
        <w:rFonts w:ascii="Calibri" w:eastAsia="Calibri" w:hAnsi="Calibri" w:cs="Arial"/>
        <w:sz w:val="16"/>
        <w:szCs w:val="22"/>
        <w:lang w:val="fr-CA"/>
      </w:rPr>
      <w:fldChar w:fldCharType="separate"/>
    </w:r>
    <w:r w:rsidR="00D510B0" w:rsidRPr="00D510B0">
      <w:rPr>
        <w:rFonts w:ascii="Calibri" w:eastAsia="Calibri" w:hAnsi="Calibri" w:cs="Arial"/>
        <w:b/>
        <w:bCs/>
        <w:noProof/>
        <w:sz w:val="16"/>
        <w:szCs w:val="22"/>
        <w:lang w:val="en-CA"/>
      </w:rPr>
      <w:t>7</w:t>
    </w:r>
    <w:r w:rsidRPr="00F963C1">
      <w:rPr>
        <w:rFonts w:ascii="Calibri" w:eastAsia="Calibri" w:hAnsi="Calibri" w:cs="Arial"/>
        <w:b/>
        <w:bCs/>
        <w:noProof/>
        <w:sz w:val="16"/>
        <w:szCs w:val="22"/>
        <w:lang w:val="fr-CA"/>
      </w:rPr>
      <w:fldChar w:fldCharType="end"/>
    </w:r>
    <w:r w:rsidRPr="006B2FDC">
      <w:rPr>
        <w:rFonts w:ascii="Calibri" w:eastAsia="Calibri" w:hAnsi="Calibri" w:cs="Arial"/>
        <w:b/>
        <w:bCs/>
        <w:sz w:val="16"/>
        <w:szCs w:val="22"/>
        <w:lang w:val="en-CA"/>
      </w:rPr>
      <w:t>|</w:t>
    </w:r>
    <w:r w:rsidRPr="00F963C1">
      <w:rPr>
        <w:rFonts w:ascii="Calibri" w:eastAsia="Calibri" w:hAnsi="Calibri" w:cs="Arial"/>
        <w:sz w:val="16"/>
        <w:szCs w:val="22"/>
        <w:lang w:val="en-CA"/>
      </w:rPr>
      <w:t xml:space="preserve"> </w:t>
    </w:r>
    <w:r>
      <w:rPr>
        <w:rFonts w:ascii="Calibri" w:eastAsia="Calibri" w:hAnsi="Calibri" w:cs="Arial"/>
        <w:sz w:val="16"/>
        <w:szCs w:val="22"/>
        <w:lang w:val="en-CA"/>
      </w:rPr>
      <w:tab/>
    </w:r>
    <w:r>
      <w:rPr>
        <w:rFonts w:ascii="Calibri" w:eastAsia="Calibri" w:hAnsi="Calibri" w:cs="Arial"/>
        <w:sz w:val="16"/>
        <w:szCs w:val="22"/>
        <w:lang w:val="en-CA"/>
      </w:rPr>
      <w:tab/>
    </w:r>
    <w:r w:rsidRPr="006B2FDC">
      <w:rPr>
        <w:rFonts w:ascii="Calibri" w:eastAsia="Calibri" w:hAnsi="Calibri" w:cs="Arial"/>
        <w:sz w:val="16"/>
        <w:szCs w:val="22"/>
        <w:lang w:val="en-CA"/>
      </w:rPr>
      <w:t>GCDOCS</w:t>
    </w:r>
    <w:r>
      <w:rPr>
        <w:rFonts w:ascii="Calibri" w:eastAsia="Calibri" w:hAnsi="Calibri" w:cs="Arial"/>
        <w:sz w:val="16"/>
        <w:szCs w:val="22"/>
        <w:lang w:val="en-CA"/>
      </w:rPr>
      <w:t xml:space="preserve"> 9632748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33D" w:rsidRPr="008A6060" w:rsidRDefault="001C333D" w:rsidP="001130DF">
    <w:pPr>
      <w:pStyle w:val="Pieddepage"/>
      <w:jc w:val="center"/>
      <w:rPr>
        <w:lang w:val="fr-CA"/>
      </w:rPr>
    </w:pPr>
    <w:r w:rsidRPr="00F963C1">
      <w:rPr>
        <w:rFonts w:ascii="Calibri" w:eastAsia="Calibri" w:hAnsi="Calibri" w:cs="Arial"/>
        <w:sz w:val="16"/>
        <w:szCs w:val="22"/>
        <w:lang w:val="fr-CA"/>
      </w:rPr>
      <w:fldChar w:fldCharType="begin"/>
    </w:r>
    <w:r w:rsidRPr="00F963C1">
      <w:rPr>
        <w:rFonts w:ascii="Calibri" w:eastAsia="Calibri" w:hAnsi="Calibri" w:cs="Arial"/>
        <w:sz w:val="16"/>
        <w:szCs w:val="22"/>
        <w:lang w:val="en-CA"/>
      </w:rPr>
      <w:instrText xml:space="preserve"> PAGE   \* MERGEFORMAT </w:instrText>
    </w:r>
    <w:r w:rsidRPr="00F963C1">
      <w:rPr>
        <w:rFonts w:ascii="Calibri" w:eastAsia="Calibri" w:hAnsi="Calibri" w:cs="Arial"/>
        <w:sz w:val="16"/>
        <w:szCs w:val="22"/>
        <w:lang w:val="fr-CA"/>
      </w:rPr>
      <w:fldChar w:fldCharType="separate"/>
    </w:r>
    <w:r w:rsidR="00D510B0" w:rsidRPr="00D510B0">
      <w:rPr>
        <w:rFonts w:ascii="Calibri" w:eastAsia="Calibri" w:hAnsi="Calibri" w:cs="Arial"/>
        <w:b/>
        <w:bCs/>
        <w:noProof/>
        <w:sz w:val="16"/>
        <w:szCs w:val="22"/>
        <w:lang w:val="en-CA"/>
      </w:rPr>
      <w:t>20</w:t>
    </w:r>
    <w:r w:rsidRPr="00F963C1">
      <w:rPr>
        <w:rFonts w:ascii="Calibri" w:eastAsia="Calibri" w:hAnsi="Calibri" w:cs="Arial"/>
        <w:b/>
        <w:bCs/>
        <w:noProof/>
        <w:sz w:val="16"/>
        <w:szCs w:val="22"/>
        <w:lang w:val="fr-CA"/>
      </w:rPr>
      <w:fldChar w:fldCharType="end"/>
    </w:r>
    <w:r w:rsidRPr="006B2FDC">
      <w:rPr>
        <w:rFonts w:ascii="Calibri" w:eastAsia="Calibri" w:hAnsi="Calibri" w:cs="Arial"/>
        <w:b/>
        <w:bCs/>
        <w:sz w:val="16"/>
        <w:szCs w:val="22"/>
        <w:lang w:val="en-CA"/>
      </w:rPr>
      <w:t>|</w:t>
    </w:r>
    <w:r w:rsidRPr="00F963C1">
      <w:rPr>
        <w:rFonts w:ascii="Calibri" w:eastAsia="Calibri" w:hAnsi="Calibri" w:cs="Arial"/>
        <w:sz w:val="16"/>
        <w:szCs w:val="22"/>
        <w:lang w:val="en-CA"/>
      </w:rPr>
      <w:t xml:space="preserve"> </w:t>
    </w:r>
    <w:r>
      <w:rPr>
        <w:rFonts w:ascii="Calibri" w:eastAsia="Calibri" w:hAnsi="Calibri" w:cs="Arial"/>
        <w:sz w:val="16"/>
        <w:szCs w:val="22"/>
        <w:lang w:val="en-CA"/>
      </w:rPr>
      <w:tab/>
    </w:r>
    <w:r>
      <w:rPr>
        <w:rFonts w:ascii="Calibri" w:eastAsia="Calibri" w:hAnsi="Calibri" w:cs="Arial"/>
        <w:sz w:val="16"/>
        <w:szCs w:val="22"/>
        <w:lang w:val="en-CA"/>
      </w:rPr>
      <w:tab/>
    </w:r>
    <w:r w:rsidRPr="006B2FDC">
      <w:rPr>
        <w:rFonts w:ascii="Calibri" w:eastAsia="Calibri" w:hAnsi="Calibri" w:cs="Arial"/>
        <w:sz w:val="16"/>
        <w:szCs w:val="22"/>
        <w:lang w:val="en-CA"/>
      </w:rPr>
      <w:t>GCDOCS</w:t>
    </w:r>
    <w:r>
      <w:rPr>
        <w:rFonts w:ascii="Calibri" w:eastAsia="Calibri" w:hAnsi="Calibri" w:cs="Arial"/>
        <w:sz w:val="16"/>
        <w:szCs w:val="22"/>
        <w:lang w:val="en-CA"/>
      </w:rPr>
      <w:t xml:space="preserve"> 9632748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33D" w:rsidRPr="00ED49DF" w:rsidRDefault="001C333D" w:rsidP="005D697B">
    <w:pPr>
      <w:pStyle w:val="Pieddepage"/>
      <w:jc w:val="center"/>
      <w:rPr>
        <w:sz w:val="20"/>
        <w:lang w:val="fr-CA"/>
      </w:rPr>
    </w:pPr>
    <w:r w:rsidRPr="0079292E">
      <w:rPr>
        <w:sz w:val="20"/>
        <w:lang w:val="fr-CA"/>
      </w:rPr>
      <w:t xml:space="preserve">Produit par la Direction des services de données et de l’analyse de la Commission de la fonction publique du Canada – Mise à jour le </w:t>
    </w:r>
    <w:r>
      <w:rPr>
        <w:sz w:val="20"/>
        <w:lang w:val="fr-CA"/>
      </w:rPr>
      <w:t>12 juillet</w:t>
    </w:r>
    <w:r w:rsidRPr="0079292E">
      <w:rPr>
        <w:sz w:val="20"/>
        <w:lang w:val="fr-CA"/>
      </w:rPr>
      <w:t xml:space="preserve"> 2019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33D" w:rsidRPr="008A6060" w:rsidRDefault="001C333D" w:rsidP="001130DF">
    <w:pPr>
      <w:pStyle w:val="Pieddepage"/>
      <w:jc w:val="center"/>
      <w:rPr>
        <w:lang w:val="fr-CA"/>
      </w:rPr>
    </w:pPr>
    <w:r w:rsidRPr="00F963C1">
      <w:rPr>
        <w:rFonts w:ascii="Calibri" w:eastAsia="Calibri" w:hAnsi="Calibri" w:cs="Arial"/>
        <w:sz w:val="16"/>
        <w:szCs w:val="22"/>
        <w:lang w:val="fr-CA"/>
      </w:rPr>
      <w:fldChar w:fldCharType="begin"/>
    </w:r>
    <w:r w:rsidRPr="00F963C1">
      <w:rPr>
        <w:rFonts w:ascii="Calibri" w:eastAsia="Calibri" w:hAnsi="Calibri" w:cs="Arial"/>
        <w:sz w:val="16"/>
        <w:szCs w:val="22"/>
        <w:lang w:val="en-CA"/>
      </w:rPr>
      <w:instrText xml:space="preserve"> PAGE   \* MERGEFORMAT </w:instrText>
    </w:r>
    <w:r w:rsidRPr="00F963C1">
      <w:rPr>
        <w:rFonts w:ascii="Calibri" w:eastAsia="Calibri" w:hAnsi="Calibri" w:cs="Arial"/>
        <w:sz w:val="16"/>
        <w:szCs w:val="22"/>
        <w:lang w:val="fr-CA"/>
      </w:rPr>
      <w:fldChar w:fldCharType="separate"/>
    </w:r>
    <w:r w:rsidR="00D510B0" w:rsidRPr="00D510B0">
      <w:rPr>
        <w:rFonts w:ascii="Calibri" w:eastAsia="Calibri" w:hAnsi="Calibri" w:cs="Arial"/>
        <w:b/>
        <w:bCs/>
        <w:noProof/>
        <w:sz w:val="16"/>
        <w:szCs w:val="22"/>
        <w:lang w:val="en-CA"/>
      </w:rPr>
      <w:t>21</w:t>
    </w:r>
    <w:r w:rsidRPr="00F963C1">
      <w:rPr>
        <w:rFonts w:ascii="Calibri" w:eastAsia="Calibri" w:hAnsi="Calibri" w:cs="Arial"/>
        <w:b/>
        <w:bCs/>
        <w:noProof/>
        <w:sz w:val="16"/>
        <w:szCs w:val="22"/>
        <w:lang w:val="fr-CA"/>
      </w:rPr>
      <w:fldChar w:fldCharType="end"/>
    </w:r>
    <w:r w:rsidRPr="006B2FDC">
      <w:rPr>
        <w:rFonts w:ascii="Calibri" w:eastAsia="Calibri" w:hAnsi="Calibri" w:cs="Arial"/>
        <w:b/>
        <w:bCs/>
        <w:sz w:val="16"/>
        <w:szCs w:val="22"/>
        <w:lang w:val="en-CA"/>
      </w:rPr>
      <w:t>|</w:t>
    </w:r>
    <w:r w:rsidRPr="00F963C1">
      <w:rPr>
        <w:rFonts w:ascii="Calibri" w:eastAsia="Calibri" w:hAnsi="Calibri" w:cs="Arial"/>
        <w:sz w:val="16"/>
        <w:szCs w:val="22"/>
        <w:lang w:val="en-CA"/>
      </w:rPr>
      <w:t xml:space="preserve"> </w:t>
    </w:r>
    <w:r>
      <w:rPr>
        <w:rFonts w:ascii="Calibri" w:eastAsia="Calibri" w:hAnsi="Calibri" w:cs="Arial"/>
        <w:sz w:val="16"/>
        <w:szCs w:val="22"/>
        <w:lang w:val="en-CA"/>
      </w:rPr>
      <w:tab/>
    </w:r>
    <w:r>
      <w:rPr>
        <w:rFonts w:ascii="Calibri" w:eastAsia="Calibri" w:hAnsi="Calibri" w:cs="Arial"/>
        <w:sz w:val="16"/>
        <w:szCs w:val="22"/>
        <w:lang w:val="en-CA"/>
      </w:rPr>
      <w:tab/>
    </w:r>
    <w:r w:rsidRPr="006B2FDC">
      <w:rPr>
        <w:rFonts w:ascii="Calibri" w:eastAsia="Calibri" w:hAnsi="Calibri" w:cs="Arial"/>
        <w:sz w:val="16"/>
        <w:szCs w:val="22"/>
        <w:lang w:val="en-CA"/>
      </w:rPr>
      <w:t>GCDOCS</w:t>
    </w:r>
    <w:r>
      <w:rPr>
        <w:rFonts w:ascii="Calibri" w:eastAsia="Calibri" w:hAnsi="Calibri" w:cs="Arial"/>
        <w:sz w:val="16"/>
        <w:szCs w:val="22"/>
        <w:lang w:val="en-CA"/>
      </w:rPr>
      <w:t xml:space="preserve"> 9632748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33D" w:rsidRPr="008A6060" w:rsidRDefault="001C333D" w:rsidP="001130DF">
    <w:pPr>
      <w:pStyle w:val="Pieddepage"/>
      <w:jc w:val="center"/>
      <w:rPr>
        <w:lang w:val="fr-CA"/>
      </w:rPr>
    </w:pPr>
    <w:r w:rsidRPr="00F963C1">
      <w:rPr>
        <w:rFonts w:ascii="Calibri" w:eastAsia="Calibri" w:hAnsi="Calibri" w:cs="Arial"/>
        <w:sz w:val="16"/>
        <w:szCs w:val="22"/>
        <w:lang w:val="fr-CA"/>
      </w:rPr>
      <w:fldChar w:fldCharType="begin"/>
    </w:r>
    <w:r w:rsidRPr="00F963C1">
      <w:rPr>
        <w:rFonts w:ascii="Calibri" w:eastAsia="Calibri" w:hAnsi="Calibri" w:cs="Arial"/>
        <w:sz w:val="16"/>
        <w:szCs w:val="22"/>
        <w:lang w:val="en-CA"/>
      </w:rPr>
      <w:instrText xml:space="preserve"> PAGE   \* MERGEFORMAT </w:instrText>
    </w:r>
    <w:r w:rsidRPr="00F963C1">
      <w:rPr>
        <w:rFonts w:ascii="Calibri" w:eastAsia="Calibri" w:hAnsi="Calibri" w:cs="Arial"/>
        <w:sz w:val="16"/>
        <w:szCs w:val="22"/>
        <w:lang w:val="fr-CA"/>
      </w:rPr>
      <w:fldChar w:fldCharType="separate"/>
    </w:r>
    <w:r w:rsidR="00D510B0" w:rsidRPr="00D510B0">
      <w:rPr>
        <w:rFonts w:ascii="Calibri" w:eastAsia="Calibri" w:hAnsi="Calibri" w:cs="Arial"/>
        <w:b/>
        <w:bCs/>
        <w:noProof/>
        <w:sz w:val="16"/>
        <w:szCs w:val="22"/>
        <w:lang w:val="en-CA"/>
      </w:rPr>
      <w:t>22</w:t>
    </w:r>
    <w:r w:rsidRPr="00F963C1">
      <w:rPr>
        <w:rFonts w:ascii="Calibri" w:eastAsia="Calibri" w:hAnsi="Calibri" w:cs="Arial"/>
        <w:b/>
        <w:bCs/>
        <w:noProof/>
        <w:sz w:val="16"/>
        <w:szCs w:val="22"/>
        <w:lang w:val="fr-CA"/>
      </w:rPr>
      <w:fldChar w:fldCharType="end"/>
    </w:r>
    <w:r w:rsidRPr="006B2FDC">
      <w:rPr>
        <w:rFonts w:ascii="Calibri" w:eastAsia="Calibri" w:hAnsi="Calibri" w:cs="Arial"/>
        <w:b/>
        <w:bCs/>
        <w:sz w:val="16"/>
        <w:szCs w:val="22"/>
        <w:lang w:val="en-CA"/>
      </w:rPr>
      <w:t>|</w:t>
    </w:r>
    <w:r w:rsidRPr="00F963C1">
      <w:rPr>
        <w:rFonts w:ascii="Calibri" w:eastAsia="Calibri" w:hAnsi="Calibri" w:cs="Arial"/>
        <w:sz w:val="16"/>
        <w:szCs w:val="22"/>
        <w:lang w:val="en-CA"/>
      </w:rPr>
      <w:t xml:space="preserve"> </w:t>
    </w:r>
    <w:r>
      <w:rPr>
        <w:rFonts w:ascii="Calibri" w:eastAsia="Calibri" w:hAnsi="Calibri" w:cs="Arial"/>
        <w:sz w:val="16"/>
        <w:szCs w:val="22"/>
        <w:lang w:val="en-CA"/>
      </w:rPr>
      <w:tab/>
    </w:r>
    <w:r>
      <w:rPr>
        <w:rFonts w:ascii="Calibri" w:eastAsia="Calibri" w:hAnsi="Calibri" w:cs="Arial"/>
        <w:sz w:val="16"/>
        <w:szCs w:val="22"/>
        <w:lang w:val="en-CA"/>
      </w:rPr>
      <w:tab/>
    </w:r>
    <w:r w:rsidRPr="006B2FDC">
      <w:rPr>
        <w:rFonts w:ascii="Calibri" w:eastAsia="Calibri" w:hAnsi="Calibri" w:cs="Arial"/>
        <w:sz w:val="16"/>
        <w:szCs w:val="22"/>
        <w:lang w:val="en-CA"/>
      </w:rPr>
      <w:t>GCDOCS</w:t>
    </w:r>
    <w:r>
      <w:rPr>
        <w:rFonts w:ascii="Calibri" w:eastAsia="Calibri" w:hAnsi="Calibri" w:cs="Arial"/>
        <w:sz w:val="16"/>
        <w:szCs w:val="22"/>
        <w:lang w:val="en-CA"/>
      </w:rPr>
      <w:t xml:space="preserve"> 9632748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33D" w:rsidRDefault="001C333D" w:rsidP="0051557E">
      <w:r>
        <w:separator/>
      </w:r>
    </w:p>
  </w:footnote>
  <w:footnote w:type="continuationSeparator" w:id="0">
    <w:p w:rsidR="001C333D" w:rsidRDefault="001C333D" w:rsidP="005155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33D" w:rsidRPr="002213F3" w:rsidRDefault="001C333D" w:rsidP="005D69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2"/>
        <w:lang w:val="fr-C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33D" w:rsidRDefault="001C333D" w:rsidP="0051557E">
    <w:pPr>
      <w:pStyle w:val="En-tte"/>
      <w:ind w:left="70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33D" w:rsidRPr="00875B76" w:rsidRDefault="001C333D" w:rsidP="005D697B">
    <w:pPr>
      <w:pStyle w:val="En-tte"/>
      <w:jc w:val="center"/>
      <w:rPr>
        <w:lang w:val="fr-C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33D" w:rsidRPr="00DC6799" w:rsidRDefault="001C333D" w:rsidP="00DC679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84C48"/>
    <w:multiLevelType w:val="hybridMultilevel"/>
    <w:tmpl w:val="6E1460B4"/>
    <w:lvl w:ilvl="0" w:tplc="10090003">
      <w:start w:val="1"/>
      <w:numFmt w:val="bullet"/>
      <w:lvlText w:val="o"/>
      <w:lvlJc w:val="left"/>
      <w:pPr>
        <w:ind w:left="2061" w:hanging="360"/>
      </w:pPr>
      <w:rPr>
        <w:rFonts w:ascii="Courier New" w:hAnsi="Courier New" w:cs="Courier New" w:hint="default"/>
        <w:color w:val="54575A" w:themeColor="text1"/>
      </w:rPr>
    </w:lvl>
    <w:lvl w:ilvl="1" w:tplc="7C82211A">
      <w:start w:val="1"/>
      <w:numFmt w:val="bullet"/>
      <w:lvlText w:val=""/>
      <w:lvlJc w:val="left"/>
      <w:pPr>
        <w:ind w:left="2781" w:hanging="360"/>
      </w:pPr>
      <w:rPr>
        <w:rFonts w:ascii="Symbol" w:hAnsi="Symbol" w:hint="default"/>
      </w:rPr>
    </w:lvl>
    <w:lvl w:ilvl="2" w:tplc="10090005" w:tentative="1">
      <w:start w:val="1"/>
      <w:numFmt w:val="bullet"/>
      <w:lvlText w:val=""/>
      <w:lvlJc w:val="left"/>
      <w:pPr>
        <w:ind w:left="3501" w:hanging="360"/>
      </w:pPr>
      <w:rPr>
        <w:rFonts w:ascii="Wingdings" w:hAnsi="Wingdings" w:hint="default"/>
      </w:rPr>
    </w:lvl>
    <w:lvl w:ilvl="3" w:tplc="10090001" w:tentative="1">
      <w:start w:val="1"/>
      <w:numFmt w:val="bullet"/>
      <w:lvlText w:val=""/>
      <w:lvlJc w:val="left"/>
      <w:pPr>
        <w:ind w:left="4221" w:hanging="360"/>
      </w:pPr>
      <w:rPr>
        <w:rFonts w:ascii="Symbol" w:hAnsi="Symbol" w:hint="default"/>
      </w:rPr>
    </w:lvl>
    <w:lvl w:ilvl="4" w:tplc="10090003" w:tentative="1">
      <w:start w:val="1"/>
      <w:numFmt w:val="bullet"/>
      <w:lvlText w:val="o"/>
      <w:lvlJc w:val="left"/>
      <w:pPr>
        <w:ind w:left="4941" w:hanging="360"/>
      </w:pPr>
      <w:rPr>
        <w:rFonts w:ascii="Courier New" w:hAnsi="Courier New" w:cs="Courier New" w:hint="default"/>
      </w:rPr>
    </w:lvl>
    <w:lvl w:ilvl="5" w:tplc="10090005" w:tentative="1">
      <w:start w:val="1"/>
      <w:numFmt w:val="bullet"/>
      <w:lvlText w:val=""/>
      <w:lvlJc w:val="left"/>
      <w:pPr>
        <w:ind w:left="5661" w:hanging="360"/>
      </w:pPr>
      <w:rPr>
        <w:rFonts w:ascii="Wingdings" w:hAnsi="Wingdings" w:hint="default"/>
      </w:rPr>
    </w:lvl>
    <w:lvl w:ilvl="6" w:tplc="10090001" w:tentative="1">
      <w:start w:val="1"/>
      <w:numFmt w:val="bullet"/>
      <w:lvlText w:val=""/>
      <w:lvlJc w:val="left"/>
      <w:pPr>
        <w:ind w:left="6381" w:hanging="360"/>
      </w:pPr>
      <w:rPr>
        <w:rFonts w:ascii="Symbol" w:hAnsi="Symbol" w:hint="default"/>
      </w:rPr>
    </w:lvl>
    <w:lvl w:ilvl="7" w:tplc="10090003" w:tentative="1">
      <w:start w:val="1"/>
      <w:numFmt w:val="bullet"/>
      <w:lvlText w:val="o"/>
      <w:lvlJc w:val="left"/>
      <w:pPr>
        <w:ind w:left="7101" w:hanging="360"/>
      </w:pPr>
      <w:rPr>
        <w:rFonts w:ascii="Courier New" w:hAnsi="Courier New" w:cs="Courier New" w:hint="default"/>
      </w:rPr>
    </w:lvl>
    <w:lvl w:ilvl="8" w:tplc="10090005" w:tentative="1">
      <w:start w:val="1"/>
      <w:numFmt w:val="bullet"/>
      <w:lvlText w:val=""/>
      <w:lvlJc w:val="left"/>
      <w:pPr>
        <w:ind w:left="7821" w:hanging="360"/>
      </w:pPr>
      <w:rPr>
        <w:rFonts w:ascii="Wingdings" w:hAnsi="Wingdings" w:hint="default"/>
      </w:rPr>
    </w:lvl>
  </w:abstractNum>
  <w:abstractNum w:abstractNumId="1" w15:restartNumberingAfterBreak="0">
    <w:nsid w:val="09663C21"/>
    <w:multiLevelType w:val="hybridMultilevel"/>
    <w:tmpl w:val="0256ED0E"/>
    <w:lvl w:ilvl="0" w:tplc="CE5C5B68">
      <w:start w:val="1"/>
      <w:numFmt w:val="bullet"/>
      <w:lvlText w:val="•"/>
      <w:lvlJc w:val="left"/>
      <w:pPr>
        <w:ind w:left="1004" w:hanging="360"/>
      </w:pPr>
      <w:rPr>
        <w:rFonts w:ascii="Arial" w:hAnsi="Aria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 w15:restartNumberingAfterBreak="0">
    <w:nsid w:val="096E0045"/>
    <w:multiLevelType w:val="hybridMultilevel"/>
    <w:tmpl w:val="2E7A6E4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4745A0D"/>
    <w:multiLevelType w:val="hybridMultilevel"/>
    <w:tmpl w:val="CFE4E61A"/>
    <w:lvl w:ilvl="0" w:tplc="4D7CDC26">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7CE7BC6"/>
    <w:multiLevelType w:val="hybridMultilevel"/>
    <w:tmpl w:val="5B30BF98"/>
    <w:lvl w:ilvl="0" w:tplc="10090001">
      <w:start w:val="1"/>
      <w:numFmt w:val="bullet"/>
      <w:lvlText w:val=""/>
      <w:lvlJc w:val="left"/>
      <w:pPr>
        <w:ind w:left="720" w:hanging="360"/>
      </w:pPr>
      <w:rPr>
        <w:rFonts w:ascii="Symbol" w:hAnsi="Symbol" w:hint="default"/>
      </w:rPr>
    </w:lvl>
    <w:lvl w:ilvl="1" w:tplc="7C82211A">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A6E2164"/>
    <w:multiLevelType w:val="hybridMultilevel"/>
    <w:tmpl w:val="80A49054"/>
    <w:lvl w:ilvl="0" w:tplc="3DE84C70">
      <w:start w:val="1"/>
      <w:numFmt w:val="bullet"/>
      <w:lvlText w:val=""/>
      <w:lvlJc w:val="left"/>
      <w:pPr>
        <w:ind w:left="720" w:hanging="360"/>
      </w:pPr>
      <w:rPr>
        <w:rFonts w:ascii="Wingdings" w:hAnsi="Wingdings" w:hint="default"/>
        <w:color w:val="auto"/>
      </w:rPr>
    </w:lvl>
    <w:lvl w:ilvl="1" w:tplc="3DE84C70">
      <w:start w:val="1"/>
      <w:numFmt w:val="bullet"/>
      <w:lvlText w:val=""/>
      <w:lvlJc w:val="left"/>
      <w:pPr>
        <w:ind w:left="1440" w:hanging="360"/>
      </w:pPr>
      <w:rPr>
        <w:rFonts w:ascii="Wingdings" w:hAnsi="Wingdings" w:hint="default"/>
        <w:color w:val="auto"/>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BE710FF"/>
    <w:multiLevelType w:val="hybridMultilevel"/>
    <w:tmpl w:val="6F5211AC"/>
    <w:lvl w:ilvl="0" w:tplc="309E786C">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C2C6BF6"/>
    <w:multiLevelType w:val="hybridMultilevel"/>
    <w:tmpl w:val="56FA14D2"/>
    <w:lvl w:ilvl="0" w:tplc="3FAE77F8">
      <w:numFmt w:val="bullet"/>
      <w:lvlText w:val="•"/>
      <w:lvlJc w:val="left"/>
      <w:pPr>
        <w:ind w:left="720" w:hanging="360"/>
      </w:pPr>
      <w:rPr>
        <w:rFonts w:ascii="Segoe UI Semilight" w:eastAsiaTheme="minorHAnsi" w:hAnsi="Segoe UI Semilight" w:cs="Segoe UI Semi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0C1F6F"/>
    <w:multiLevelType w:val="hybridMultilevel"/>
    <w:tmpl w:val="479A4FB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247966E7"/>
    <w:multiLevelType w:val="hybridMultilevel"/>
    <w:tmpl w:val="F76C962E"/>
    <w:lvl w:ilvl="0" w:tplc="CE5C5B68">
      <w:start w:val="1"/>
      <w:numFmt w:val="bullet"/>
      <w:lvlText w:val="•"/>
      <w:lvlJc w:val="left"/>
      <w:pPr>
        <w:tabs>
          <w:tab w:val="num" w:pos="720"/>
        </w:tabs>
        <w:ind w:left="720" w:hanging="360"/>
      </w:pPr>
      <w:rPr>
        <w:rFonts w:ascii="Arial" w:hAnsi="Arial" w:hint="default"/>
      </w:rPr>
    </w:lvl>
    <w:lvl w:ilvl="1" w:tplc="F7F66436">
      <w:start w:val="76"/>
      <w:numFmt w:val="bullet"/>
      <w:lvlText w:val="•"/>
      <w:lvlJc w:val="left"/>
      <w:pPr>
        <w:tabs>
          <w:tab w:val="num" w:pos="1440"/>
        </w:tabs>
        <w:ind w:left="1440" w:hanging="360"/>
      </w:pPr>
      <w:rPr>
        <w:rFonts w:ascii="Arial" w:hAnsi="Arial" w:hint="default"/>
      </w:rPr>
    </w:lvl>
    <w:lvl w:ilvl="2" w:tplc="CEF41514" w:tentative="1">
      <w:start w:val="1"/>
      <w:numFmt w:val="bullet"/>
      <w:lvlText w:val="•"/>
      <w:lvlJc w:val="left"/>
      <w:pPr>
        <w:tabs>
          <w:tab w:val="num" w:pos="2160"/>
        </w:tabs>
        <w:ind w:left="2160" w:hanging="360"/>
      </w:pPr>
      <w:rPr>
        <w:rFonts w:ascii="Arial" w:hAnsi="Arial" w:hint="default"/>
      </w:rPr>
    </w:lvl>
    <w:lvl w:ilvl="3" w:tplc="F482A62E" w:tentative="1">
      <w:start w:val="1"/>
      <w:numFmt w:val="bullet"/>
      <w:lvlText w:val="•"/>
      <w:lvlJc w:val="left"/>
      <w:pPr>
        <w:tabs>
          <w:tab w:val="num" w:pos="2880"/>
        </w:tabs>
        <w:ind w:left="2880" w:hanging="360"/>
      </w:pPr>
      <w:rPr>
        <w:rFonts w:ascii="Arial" w:hAnsi="Arial" w:hint="default"/>
      </w:rPr>
    </w:lvl>
    <w:lvl w:ilvl="4" w:tplc="9AFC614C" w:tentative="1">
      <w:start w:val="1"/>
      <w:numFmt w:val="bullet"/>
      <w:lvlText w:val="•"/>
      <w:lvlJc w:val="left"/>
      <w:pPr>
        <w:tabs>
          <w:tab w:val="num" w:pos="3600"/>
        </w:tabs>
        <w:ind w:left="3600" w:hanging="360"/>
      </w:pPr>
      <w:rPr>
        <w:rFonts w:ascii="Arial" w:hAnsi="Arial" w:hint="default"/>
      </w:rPr>
    </w:lvl>
    <w:lvl w:ilvl="5" w:tplc="2CF65ECC" w:tentative="1">
      <w:start w:val="1"/>
      <w:numFmt w:val="bullet"/>
      <w:lvlText w:val="•"/>
      <w:lvlJc w:val="left"/>
      <w:pPr>
        <w:tabs>
          <w:tab w:val="num" w:pos="4320"/>
        </w:tabs>
        <w:ind w:left="4320" w:hanging="360"/>
      </w:pPr>
      <w:rPr>
        <w:rFonts w:ascii="Arial" w:hAnsi="Arial" w:hint="default"/>
      </w:rPr>
    </w:lvl>
    <w:lvl w:ilvl="6" w:tplc="41D4D958" w:tentative="1">
      <w:start w:val="1"/>
      <w:numFmt w:val="bullet"/>
      <w:lvlText w:val="•"/>
      <w:lvlJc w:val="left"/>
      <w:pPr>
        <w:tabs>
          <w:tab w:val="num" w:pos="5040"/>
        </w:tabs>
        <w:ind w:left="5040" w:hanging="360"/>
      </w:pPr>
      <w:rPr>
        <w:rFonts w:ascii="Arial" w:hAnsi="Arial" w:hint="default"/>
      </w:rPr>
    </w:lvl>
    <w:lvl w:ilvl="7" w:tplc="C680DA1A" w:tentative="1">
      <w:start w:val="1"/>
      <w:numFmt w:val="bullet"/>
      <w:lvlText w:val="•"/>
      <w:lvlJc w:val="left"/>
      <w:pPr>
        <w:tabs>
          <w:tab w:val="num" w:pos="5760"/>
        </w:tabs>
        <w:ind w:left="5760" w:hanging="360"/>
      </w:pPr>
      <w:rPr>
        <w:rFonts w:ascii="Arial" w:hAnsi="Arial" w:hint="default"/>
      </w:rPr>
    </w:lvl>
    <w:lvl w:ilvl="8" w:tplc="BED0E66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98E5A3D"/>
    <w:multiLevelType w:val="hybridMultilevel"/>
    <w:tmpl w:val="70D89B88"/>
    <w:lvl w:ilvl="0" w:tplc="10090001">
      <w:start w:val="1"/>
      <w:numFmt w:val="bullet"/>
      <w:lvlText w:val=""/>
      <w:lvlJc w:val="left"/>
      <w:pPr>
        <w:ind w:left="360" w:hanging="360"/>
      </w:pPr>
      <w:rPr>
        <w:rFonts w:ascii="Symbol" w:hAnsi="Symbol" w:hint="default"/>
      </w:rPr>
    </w:lvl>
    <w:lvl w:ilvl="1" w:tplc="363019FC">
      <w:numFmt w:val="bullet"/>
      <w:lvlText w:val="-"/>
      <w:lvlJc w:val="left"/>
      <w:pPr>
        <w:ind w:left="1080" w:hanging="360"/>
      </w:pPr>
      <w:rPr>
        <w:rFonts w:ascii="Arial" w:eastAsia="Times New Roman" w:hAnsi="Arial"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2AAE2091"/>
    <w:multiLevelType w:val="hybridMultilevel"/>
    <w:tmpl w:val="29225EF8"/>
    <w:lvl w:ilvl="0" w:tplc="10090005">
      <w:start w:val="1"/>
      <w:numFmt w:val="bullet"/>
      <w:lvlText w:val=""/>
      <w:lvlJc w:val="left"/>
      <w:pPr>
        <w:ind w:left="720" w:hanging="360"/>
      </w:pPr>
      <w:rPr>
        <w:rFonts w:ascii="Wingdings" w:hAnsi="Wingdings" w:hint="default"/>
      </w:rPr>
    </w:lvl>
    <w:lvl w:ilvl="1" w:tplc="7C82211A">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BC84B0D"/>
    <w:multiLevelType w:val="hybridMultilevel"/>
    <w:tmpl w:val="EEFE1F2C"/>
    <w:lvl w:ilvl="0" w:tplc="4D7CDC26">
      <w:start w:val="1"/>
      <w:numFmt w:val="bullet"/>
      <w:lvlText w:val=""/>
      <w:lvlJc w:val="left"/>
      <w:pPr>
        <w:ind w:left="1083" w:hanging="360"/>
      </w:pPr>
      <w:rPr>
        <w:rFonts w:ascii="Symbol" w:hAnsi="Symbol" w:hint="default"/>
        <w:color w:val="auto"/>
      </w:rPr>
    </w:lvl>
    <w:lvl w:ilvl="1" w:tplc="10090003" w:tentative="1">
      <w:start w:val="1"/>
      <w:numFmt w:val="bullet"/>
      <w:lvlText w:val="o"/>
      <w:lvlJc w:val="left"/>
      <w:pPr>
        <w:ind w:left="1803" w:hanging="360"/>
      </w:pPr>
      <w:rPr>
        <w:rFonts w:ascii="Courier New" w:hAnsi="Courier New" w:cs="Courier New" w:hint="default"/>
      </w:rPr>
    </w:lvl>
    <w:lvl w:ilvl="2" w:tplc="10090005" w:tentative="1">
      <w:start w:val="1"/>
      <w:numFmt w:val="bullet"/>
      <w:lvlText w:val=""/>
      <w:lvlJc w:val="left"/>
      <w:pPr>
        <w:ind w:left="2523" w:hanging="360"/>
      </w:pPr>
      <w:rPr>
        <w:rFonts w:ascii="Wingdings" w:hAnsi="Wingdings" w:hint="default"/>
      </w:rPr>
    </w:lvl>
    <w:lvl w:ilvl="3" w:tplc="10090001" w:tentative="1">
      <w:start w:val="1"/>
      <w:numFmt w:val="bullet"/>
      <w:lvlText w:val=""/>
      <w:lvlJc w:val="left"/>
      <w:pPr>
        <w:ind w:left="3243" w:hanging="360"/>
      </w:pPr>
      <w:rPr>
        <w:rFonts w:ascii="Symbol" w:hAnsi="Symbol" w:hint="default"/>
      </w:rPr>
    </w:lvl>
    <w:lvl w:ilvl="4" w:tplc="10090003" w:tentative="1">
      <w:start w:val="1"/>
      <w:numFmt w:val="bullet"/>
      <w:lvlText w:val="o"/>
      <w:lvlJc w:val="left"/>
      <w:pPr>
        <w:ind w:left="3963" w:hanging="360"/>
      </w:pPr>
      <w:rPr>
        <w:rFonts w:ascii="Courier New" w:hAnsi="Courier New" w:cs="Courier New" w:hint="default"/>
      </w:rPr>
    </w:lvl>
    <w:lvl w:ilvl="5" w:tplc="10090005" w:tentative="1">
      <w:start w:val="1"/>
      <w:numFmt w:val="bullet"/>
      <w:lvlText w:val=""/>
      <w:lvlJc w:val="left"/>
      <w:pPr>
        <w:ind w:left="4683" w:hanging="360"/>
      </w:pPr>
      <w:rPr>
        <w:rFonts w:ascii="Wingdings" w:hAnsi="Wingdings" w:hint="default"/>
      </w:rPr>
    </w:lvl>
    <w:lvl w:ilvl="6" w:tplc="10090001" w:tentative="1">
      <w:start w:val="1"/>
      <w:numFmt w:val="bullet"/>
      <w:lvlText w:val=""/>
      <w:lvlJc w:val="left"/>
      <w:pPr>
        <w:ind w:left="5403" w:hanging="360"/>
      </w:pPr>
      <w:rPr>
        <w:rFonts w:ascii="Symbol" w:hAnsi="Symbol" w:hint="default"/>
      </w:rPr>
    </w:lvl>
    <w:lvl w:ilvl="7" w:tplc="10090003" w:tentative="1">
      <w:start w:val="1"/>
      <w:numFmt w:val="bullet"/>
      <w:lvlText w:val="o"/>
      <w:lvlJc w:val="left"/>
      <w:pPr>
        <w:ind w:left="6123" w:hanging="360"/>
      </w:pPr>
      <w:rPr>
        <w:rFonts w:ascii="Courier New" w:hAnsi="Courier New" w:cs="Courier New" w:hint="default"/>
      </w:rPr>
    </w:lvl>
    <w:lvl w:ilvl="8" w:tplc="10090005" w:tentative="1">
      <w:start w:val="1"/>
      <w:numFmt w:val="bullet"/>
      <w:lvlText w:val=""/>
      <w:lvlJc w:val="left"/>
      <w:pPr>
        <w:ind w:left="6843" w:hanging="360"/>
      </w:pPr>
      <w:rPr>
        <w:rFonts w:ascii="Wingdings" w:hAnsi="Wingdings" w:hint="default"/>
      </w:rPr>
    </w:lvl>
  </w:abstractNum>
  <w:abstractNum w:abstractNumId="13" w15:restartNumberingAfterBreak="0">
    <w:nsid w:val="2E040480"/>
    <w:multiLevelType w:val="hybridMultilevel"/>
    <w:tmpl w:val="878682A0"/>
    <w:lvl w:ilvl="0" w:tplc="4D7CDC2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05B4CB3"/>
    <w:multiLevelType w:val="hybridMultilevel"/>
    <w:tmpl w:val="4B3837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07A6417"/>
    <w:multiLevelType w:val="hybridMultilevel"/>
    <w:tmpl w:val="39FABF78"/>
    <w:lvl w:ilvl="0" w:tplc="2AA66DAA">
      <w:numFmt w:val="bullet"/>
      <w:lvlText w:val="-"/>
      <w:lvlJc w:val="left"/>
      <w:pPr>
        <w:ind w:left="1080" w:hanging="360"/>
      </w:pPr>
      <w:rPr>
        <w:rFonts w:ascii="Arial" w:eastAsiaTheme="minorHAnsi" w:hAnsi="Arial" w:cs="Arial" w:hint="default"/>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3112405F"/>
    <w:multiLevelType w:val="hybridMultilevel"/>
    <w:tmpl w:val="68A28780"/>
    <w:lvl w:ilvl="0" w:tplc="7C82211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6ED6957"/>
    <w:multiLevelType w:val="hybridMultilevel"/>
    <w:tmpl w:val="EDBCE650"/>
    <w:lvl w:ilvl="0" w:tplc="4D7CDC26">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90D5788"/>
    <w:multiLevelType w:val="hybridMultilevel"/>
    <w:tmpl w:val="AF2A80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C110A1D"/>
    <w:multiLevelType w:val="hybridMultilevel"/>
    <w:tmpl w:val="411C52F8"/>
    <w:lvl w:ilvl="0" w:tplc="10090001">
      <w:start w:val="1"/>
      <w:numFmt w:val="bullet"/>
      <w:lvlText w:val=""/>
      <w:lvlJc w:val="left"/>
      <w:pPr>
        <w:ind w:left="720" w:hanging="360"/>
      </w:pPr>
      <w:rPr>
        <w:rFonts w:ascii="Symbol" w:hAnsi="Symbol" w:hint="default"/>
      </w:rPr>
    </w:lvl>
    <w:lvl w:ilvl="1" w:tplc="7C82211A">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CE732C2"/>
    <w:multiLevelType w:val="hybridMultilevel"/>
    <w:tmpl w:val="D58025F2"/>
    <w:lvl w:ilvl="0" w:tplc="10090001">
      <w:start w:val="1"/>
      <w:numFmt w:val="bullet"/>
      <w:lvlText w:val=""/>
      <w:lvlJc w:val="left"/>
      <w:pPr>
        <w:ind w:left="2061" w:hanging="360"/>
      </w:pPr>
      <w:rPr>
        <w:rFonts w:ascii="Symbol" w:hAnsi="Symbol" w:hint="default"/>
        <w:color w:val="54575A" w:themeColor="text1"/>
      </w:rPr>
    </w:lvl>
    <w:lvl w:ilvl="1" w:tplc="7C82211A">
      <w:start w:val="1"/>
      <w:numFmt w:val="bullet"/>
      <w:lvlText w:val=""/>
      <w:lvlJc w:val="left"/>
      <w:pPr>
        <w:ind w:left="2781" w:hanging="360"/>
      </w:pPr>
      <w:rPr>
        <w:rFonts w:ascii="Symbol" w:hAnsi="Symbol" w:hint="default"/>
      </w:rPr>
    </w:lvl>
    <w:lvl w:ilvl="2" w:tplc="10090005" w:tentative="1">
      <w:start w:val="1"/>
      <w:numFmt w:val="bullet"/>
      <w:lvlText w:val=""/>
      <w:lvlJc w:val="left"/>
      <w:pPr>
        <w:ind w:left="3501" w:hanging="360"/>
      </w:pPr>
      <w:rPr>
        <w:rFonts w:ascii="Wingdings" w:hAnsi="Wingdings" w:hint="default"/>
      </w:rPr>
    </w:lvl>
    <w:lvl w:ilvl="3" w:tplc="10090001" w:tentative="1">
      <w:start w:val="1"/>
      <w:numFmt w:val="bullet"/>
      <w:lvlText w:val=""/>
      <w:lvlJc w:val="left"/>
      <w:pPr>
        <w:ind w:left="4221" w:hanging="360"/>
      </w:pPr>
      <w:rPr>
        <w:rFonts w:ascii="Symbol" w:hAnsi="Symbol" w:hint="default"/>
      </w:rPr>
    </w:lvl>
    <w:lvl w:ilvl="4" w:tplc="10090003" w:tentative="1">
      <w:start w:val="1"/>
      <w:numFmt w:val="bullet"/>
      <w:lvlText w:val="o"/>
      <w:lvlJc w:val="left"/>
      <w:pPr>
        <w:ind w:left="4941" w:hanging="360"/>
      </w:pPr>
      <w:rPr>
        <w:rFonts w:ascii="Courier New" w:hAnsi="Courier New" w:cs="Courier New" w:hint="default"/>
      </w:rPr>
    </w:lvl>
    <w:lvl w:ilvl="5" w:tplc="10090005" w:tentative="1">
      <w:start w:val="1"/>
      <w:numFmt w:val="bullet"/>
      <w:lvlText w:val=""/>
      <w:lvlJc w:val="left"/>
      <w:pPr>
        <w:ind w:left="5661" w:hanging="360"/>
      </w:pPr>
      <w:rPr>
        <w:rFonts w:ascii="Wingdings" w:hAnsi="Wingdings" w:hint="default"/>
      </w:rPr>
    </w:lvl>
    <w:lvl w:ilvl="6" w:tplc="10090001" w:tentative="1">
      <w:start w:val="1"/>
      <w:numFmt w:val="bullet"/>
      <w:lvlText w:val=""/>
      <w:lvlJc w:val="left"/>
      <w:pPr>
        <w:ind w:left="6381" w:hanging="360"/>
      </w:pPr>
      <w:rPr>
        <w:rFonts w:ascii="Symbol" w:hAnsi="Symbol" w:hint="default"/>
      </w:rPr>
    </w:lvl>
    <w:lvl w:ilvl="7" w:tplc="10090003" w:tentative="1">
      <w:start w:val="1"/>
      <w:numFmt w:val="bullet"/>
      <w:lvlText w:val="o"/>
      <w:lvlJc w:val="left"/>
      <w:pPr>
        <w:ind w:left="7101" w:hanging="360"/>
      </w:pPr>
      <w:rPr>
        <w:rFonts w:ascii="Courier New" w:hAnsi="Courier New" w:cs="Courier New" w:hint="default"/>
      </w:rPr>
    </w:lvl>
    <w:lvl w:ilvl="8" w:tplc="10090005" w:tentative="1">
      <w:start w:val="1"/>
      <w:numFmt w:val="bullet"/>
      <w:lvlText w:val=""/>
      <w:lvlJc w:val="left"/>
      <w:pPr>
        <w:ind w:left="7821" w:hanging="360"/>
      </w:pPr>
      <w:rPr>
        <w:rFonts w:ascii="Wingdings" w:hAnsi="Wingdings" w:hint="default"/>
      </w:rPr>
    </w:lvl>
  </w:abstractNum>
  <w:abstractNum w:abstractNumId="21" w15:restartNumberingAfterBreak="0">
    <w:nsid w:val="3DBD2DBF"/>
    <w:multiLevelType w:val="hybridMultilevel"/>
    <w:tmpl w:val="657CDC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E44718C"/>
    <w:multiLevelType w:val="hybridMultilevel"/>
    <w:tmpl w:val="DF1E189A"/>
    <w:lvl w:ilvl="0" w:tplc="E084BEB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F50FE9"/>
    <w:multiLevelType w:val="hybridMultilevel"/>
    <w:tmpl w:val="01069FF4"/>
    <w:lvl w:ilvl="0" w:tplc="CE5C5B68">
      <w:start w:val="1"/>
      <w:numFmt w:val="bullet"/>
      <w:lvlText w:val="•"/>
      <w:lvlJc w:val="left"/>
      <w:pPr>
        <w:ind w:left="1080" w:hanging="360"/>
      </w:pPr>
      <w:rPr>
        <w:rFonts w:ascii="Arial" w:hAnsi="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440C4987"/>
    <w:multiLevelType w:val="hybridMultilevel"/>
    <w:tmpl w:val="E2B6E3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71D5813"/>
    <w:multiLevelType w:val="hybridMultilevel"/>
    <w:tmpl w:val="47B8F226"/>
    <w:lvl w:ilvl="0" w:tplc="10090001">
      <w:start w:val="1"/>
      <w:numFmt w:val="bullet"/>
      <w:lvlText w:val=""/>
      <w:lvlJc w:val="left"/>
      <w:pPr>
        <w:ind w:left="720" w:hanging="360"/>
      </w:pPr>
      <w:rPr>
        <w:rFonts w:ascii="Symbol" w:hAnsi="Symbol" w:hint="default"/>
      </w:rPr>
    </w:lvl>
    <w:lvl w:ilvl="1" w:tplc="7C82211A">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7DC19D5"/>
    <w:multiLevelType w:val="hybridMultilevel"/>
    <w:tmpl w:val="0D12BF12"/>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A5C7314"/>
    <w:multiLevelType w:val="hybridMultilevel"/>
    <w:tmpl w:val="09208A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5392DC6"/>
    <w:multiLevelType w:val="hybridMultilevel"/>
    <w:tmpl w:val="2090ADEA"/>
    <w:lvl w:ilvl="0" w:tplc="4D7CDC2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03A67CB"/>
    <w:multiLevelType w:val="hybridMultilevel"/>
    <w:tmpl w:val="982AF5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0A8690C"/>
    <w:multiLevelType w:val="hybridMultilevel"/>
    <w:tmpl w:val="5EDEBE34"/>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619319B0"/>
    <w:multiLevelType w:val="hybridMultilevel"/>
    <w:tmpl w:val="5DAC22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2603743"/>
    <w:multiLevelType w:val="hybridMultilevel"/>
    <w:tmpl w:val="80F83EE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62A35D80"/>
    <w:multiLevelType w:val="hybridMultilevel"/>
    <w:tmpl w:val="184C97F4"/>
    <w:lvl w:ilvl="0" w:tplc="CF2C8502">
      <w:start w:val="14"/>
      <w:numFmt w:val="bullet"/>
      <w:lvlText w:val="-"/>
      <w:lvlJc w:val="left"/>
      <w:pPr>
        <w:ind w:left="720" w:hanging="360"/>
      </w:pPr>
      <w:rPr>
        <w:rFonts w:ascii="Arial" w:eastAsia="Times New Roman"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3656CB2"/>
    <w:multiLevelType w:val="hybridMultilevel"/>
    <w:tmpl w:val="6DFE1124"/>
    <w:lvl w:ilvl="0" w:tplc="4D7CDC2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CBA6217"/>
    <w:multiLevelType w:val="hybridMultilevel"/>
    <w:tmpl w:val="EAC4FDE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decimal"/>
      <w:lvlText w:val="%3."/>
      <w:lvlJc w:val="left"/>
      <w:pPr>
        <w:tabs>
          <w:tab w:val="num" w:pos="2160"/>
        </w:tabs>
        <w:ind w:left="2160" w:hanging="360"/>
      </w:pPr>
    </w:lvl>
    <w:lvl w:ilvl="3" w:tplc="1009000F">
      <w:start w:val="1"/>
      <w:numFmt w:val="decimal"/>
      <w:lvlText w:val="%4."/>
      <w:lvlJc w:val="left"/>
      <w:pPr>
        <w:tabs>
          <w:tab w:val="num" w:pos="2880"/>
        </w:tabs>
        <w:ind w:left="2880" w:hanging="360"/>
      </w:pPr>
    </w:lvl>
    <w:lvl w:ilvl="4" w:tplc="10090019">
      <w:start w:val="1"/>
      <w:numFmt w:val="decimal"/>
      <w:lvlText w:val="%5."/>
      <w:lvlJc w:val="left"/>
      <w:pPr>
        <w:tabs>
          <w:tab w:val="num" w:pos="3600"/>
        </w:tabs>
        <w:ind w:left="3600" w:hanging="360"/>
      </w:pPr>
    </w:lvl>
    <w:lvl w:ilvl="5" w:tplc="1009001B">
      <w:start w:val="1"/>
      <w:numFmt w:val="decimal"/>
      <w:lvlText w:val="%6."/>
      <w:lvlJc w:val="left"/>
      <w:pPr>
        <w:tabs>
          <w:tab w:val="num" w:pos="4320"/>
        </w:tabs>
        <w:ind w:left="4320" w:hanging="360"/>
      </w:pPr>
    </w:lvl>
    <w:lvl w:ilvl="6" w:tplc="1009000F">
      <w:start w:val="1"/>
      <w:numFmt w:val="decimal"/>
      <w:lvlText w:val="%7."/>
      <w:lvlJc w:val="left"/>
      <w:pPr>
        <w:tabs>
          <w:tab w:val="num" w:pos="5040"/>
        </w:tabs>
        <w:ind w:left="5040" w:hanging="360"/>
      </w:pPr>
    </w:lvl>
    <w:lvl w:ilvl="7" w:tplc="10090019">
      <w:start w:val="1"/>
      <w:numFmt w:val="decimal"/>
      <w:lvlText w:val="%8."/>
      <w:lvlJc w:val="left"/>
      <w:pPr>
        <w:tabs>
          <w:tab w:val="num" w:pos="5760"/>
        </w:tabs>
        <w:ind w:left="5760" w:hanging="360"/>
      </w:pPr>
    </w:lvl>
    <w:lvl w:ilvl="8" w:tplc="1009001B">
      <w:start w:val="1"/>
      <w:numFmt w:val="decimal"/>
      <w:lvlText w:val="%9."/>
      <w:lvlJc w:val="left"/>
      <w:pPr>
        <w:tabs>
          <w:tab w:val="num" w:pos="6480"/>
        </w:tabs>
        <w:ind w:left="6480" w:hanging="360"/>
      </w:pPr>
    </w:lvl>
  </w:abstractNum>
  <w:abstractNum w:abstractNumId="36" w15:restartNumberingAfterBreak="0">
    <w:nsid w:val="7276730E"/>
    <w:multiLevelType w:val="hybridMultilevel"/>
    <w:tmpl w:val="97562BC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15:restartNumberingAfterBreak="0">
    <w:nsid w:val="73333A32"/>
    <w:multiLevelType w:val="hybridMultilevel"/>
    <w:tmpl w:val="8776397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7C3F531A"/>
    <w:multiLevelType w:val="hybridMultilevel"/>
    <w:tmpl w:val="C9E29004"/>
    <w:lvl w:ilvl="0" w:tplc="10090001">
      <w:start w:val="1"/>
      <w:numFmt w:val="bullet"/>
      <w:lvlText w:val=""/>
      <w:lvlJc w:val="left"/>
      <w:pPr>
        <w:ind w:left="720" w:hanging="360"/>
      </w:pPr>
      <w:rPr>
        <w:rFonts w:ascii="Symbol" w:hAnsi="Symbol" w:hint="default"/>
      </w:rPr>
    </w:lvl>
    <w:lvl w:ilvl="1" w:tplc="7C82211A">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F857333"/>
    <w:multiLevelType w:val="hybridMultilevel"/>
    <w:tmpl w:val="564E671E"/>
    <w:lvl w:ilvl="0" w:tplc="2AA66DAA">
      <w:numFmt w:val="bullet"/>
      <w:lvlText w:val="-"/>
      <w:lvlJc w:val="left"/>
      <w:pPr>
        <w:ind w:left="1080" w:hanging="360"/>
      </w:pPr>
      <w:rPr>
        <w:rFonts w:ascii="Arial" w:eastAsiaTheme="minorHAns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7"/>
  </w:num>
  <w:num w:numId="2">
    <w:abstractNumId w:val="6"/>
  </w:num>
  <w:num w:numId="3">
    <w:abstractNumId w:val="22"/>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8"/>
  </w:num>
  <w:num w:numId="7">
    <w:abstractNumId w:val="33"/>
  </w:num>
  <w:num w:numId="8">
    <w:abstractNumId w:val="26"/>
  </w:num>
  <w:num w:numId="9">
    <w:abstractNumId w:val="11"/>
  </w:num>
  <w:num w:numId="10">
    <w:abstractNumId w:val="5"/>
  </w:num>
  <w:num w:numId="11">
    <w:abstractNumId w:val="0"/>
  </w:num>
  <w:num w:numId="12">
    <w:abstractNumId w:val="10"/>
  </w:num>
  <w:num w:numId="13">
    <w:abstractNumId w:val="32"/>
  </w:num>
  <w:num w:numId="14">
    <w:abstractNumId w:val="37"/>
  </w:num>
  <w:num w:numId="15">
    <w:abstractNumId w:val="14"/>
  </w:num>
  <w:num w:numId="16">
    <w:abstractNumId w:val="36"/>
  </w:num>
  <w:num w:numId="17">
    <w:abstractNumId w:val="9"/>
  </w:num>
  <w:num w:numId="18">
    <w:abstractNumId w:val="1"/>
  </w:num>
  <w:num w:numId="19">
    <w:abstractNumId w:val="35"/>
  </w:num>
  <w:num w:numId="20">
    <w:abstractNumId w:val="24"/>
  </w:num>
  <w:num w:numId="21">
    <w:abstractNumId w:val="4"/>
  </w:num>
  <w:num w:numId="22">
    <w:abstractNumId w:val="38"/>
  </w:num>
  <w:num w:numId="23">
    <w:abstractNumId w:val="29"/>
  </w:num>
  <w:num w:numId="24">
    <w:abstractNumId w:val="19"/>
  </w:num>
  <w:num w:numId="25">
    <w:abstractNumId w:val="25"/>
  </w:num>
  <w:num w:numId="26">
    <w:abstractNumId w:val="20"/>
  </w:num>
  <w:num w:numId="27">
    <w:abstractNumId w:val="27"/>
  </w:num>
  <w:num w:numId="28">
    <w:abstractNumId w:val="31"/>
  </w:num>
  <w:num w:numId="29">
    <w:abstractNumId w:val="2"/>
  </w:num>
  <w:num w:numId="30">
    <w:abstractNumId w:val="8"/>
  </w:num>
  <w:num w:numId="31">
    <w:abstractNumId w:val="30"/>
  </w:num>
  <w:num w:numId="32">
    <w:abstractNumId w:val="23"/>
  </w:num>
  <w:num w:numId="33">
    <w:abstractNumId w:val="39"/>
  </w:num>
  <w:num w:numId="34">
    <w:abstractNumId w:val="28"/>
  </w:num>
  <w:num w:numId="35">
    <w:abstractNumId w:val="15"/>
  </w:num>
  <w:num w:numId="36">
    <w:abstractNumId w:val="17"/>
  </w:num>
  <w:num w:numId="37">
    <w:abstractNumId w:val="3"/>
  </w:num>
  <w:num w:numId="38">
    <w:abstractNumId w:val="34"/>
  </w:num>
  <w:num w:numId="39">
    <w:abstractNumId w:val="13"/>
  </w:num>
  <w:num w:numId="40">
    <w:abstractNumId w:val="12"/>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attachedTemplate r:id="rId1"/>
  <w:defaultTabStop w:val="720"/>
  <w:characterSpacingControl w:val="doNotCompress"/>
  <w:hdrShapeDefaults>
    <o:shapedefaults v:ext="edit" spidmax="14337"/>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5A7"/>
    <w:rsid w:val="0000588E"/>
    <w:rsid w:val="00025393"/>
    <w:rsid w:val="00034AAA"/>
    <w:rsid w:val="000358CC"/>
    <w:rsid w:val="00063774"/>
    <w:rsid w:val="000A414B"/>
    <w:rsid w:val="001130DF"/>
    <w:rsid w:val="00121C7B"/>
    <w:rsid w:val="001468D7"/>
    <w:rsid w:val="00177A1F"/>
    <w:rsid w:val="001A35A7"/>
    <w:rsid w:val="001C333D"/>
    <w:rsid w:val="001F011C"/>
    <w:rsid w:val="001F32CE"/>
    <w:rsid w:val="00210749"/>
    <w:rsid w:val="00211848"/>
    <w:rsid w:val="00244CD0"/>
    <w:rsid w:val="00272913"/>
    <w:rsid w:val="002825D1"/>
    <w:rsid w:val="0032113C"/>
    <w:rsid w:val="00383D57"/>
    <w:rsid w:val="003D046C"/>
    <w:rsid w:val="003E68CE"/>
    <w:rsid w:val="003F0008"/>
    <w:rsid w:val="0047207E"/>
    <w:rsid w:val="00480911"/>
    <w:rsid w:val="004974CF"/>
    <w:rsid w:val="004C073E"/>
    <w:rsid w:val="004D7AAC"/>
    <w:rsid w:val="00500A83"/>
    <w:rsid w:val="00513230"/>
    <w:rsid w:val="0051557E"/>
    <w:rsid w:val="005539D2"/>
    <w:rsid w:val="0057103B"/>
    <w:rsid w:val="00572078"/>
    <w:rsid w:val="00576BFA"/>
    <w:rsid w:val="005A1239"/>
    <w:rsid w:val="005A1854"/>
    <w:rsid w:val="005A5A1C"/>
    <w:rsid w:val="005D37C1"/>
    <w:rsid w:val="005D697B"/>
    <w:rsid w:val="00605861"/>
    <w:rsid w:val="00680B1A"/>
    <w:rsid w:val="006849F4"/>
    <w:rsid w:val="006943D3"/>
    <w:rsid w:val="006C33DC"/>
    <w:rsid w:val="006E1455"/>
    <w:rsid w:val="006F2DE8"/>
    <w:rsid w:val="006F55EB"/>
    <w:rsid w:val="00707A7A"/>
    <w:rsid w:val="00720D6C"/>
    <w:rsid w:val="007265FC"/>
    <w:rsid w:val="00787149"/>
    <w:rsid w:val="007C7279"/>
    <w:rsid w:val="007D0CE8"/>
    <w:rsid w:val="007D5DC5"/>
    <w:rsid w:val="007E17D1"/>
    <w:rsid w:val="00803280"/>
    <w:rsid w:val="00820D6E"/>
    <w:rsid w:val="008325F2"/>
    <w:rsid w:val="00842BD4"/>
    <w:rsid w:val="00856798"/>
    <w:rsid w:val="00860DFD"/>
    <w:rsid w:val="00862D96"/>
    <w:rsid w:val="00870612"/>
    <w:rsid w:val="0088571F"/>
    <w:rsid w:val="00892777"/>
    <w:rsid w:val="008D31FF"/>
    <w:rsid w:val="00997D3F"/>
    <w:rsid w:val="009A413F"/>
    <w:rsid w:val="009B53A9"/>
    <w:rsid w:val="009C2A5B"/>
    <w:rsid w:val="009D076D"/>
    <w:rsid w:val="009F4D55"/>
    <w:rsid w:val="00A111BE"/>
    <w:rsid w:val="00A20840"/>
    <w:rsid w:val="00A3677B"/>
    <w:rsid w:val="00A41DA9"/>
    <w:rsid w:val="00A77330"/>
    <w:rsid w:val="00AB1382"/>
    <w:rsid w:val="00AF50AA"/>
    <w:rsid w:val="00B23D2F"/>
    <w:rsid w:val="00B96B27"/>
    <w:rsid w:val="00BB2CDF"/>
    <w:rsid w:val="00BD08F6"/>
    <w:rsid w:val="00C26713"/>
    <w:rsid w:val="00C562F1"/>
    <w:rsid w:val="00C6220B"/>
    <w:rsid w:val="00CA6622"/>
    <w:rsid w:val="00CB43C9"/>
    <w:rsid w:val="00CF47A3"/>
    <w:rsid w:val="00CF60DC"/>
    <w:rsid w:val="00D1785A"/>
    <w:rsid w:val="00D2027C"/>
    <w:rsid w:val="00D3030B"/>
    <w:rsid w:val="00D510B0"/>
    <w:rsid w:val="00D9453C"/>
    <w:rsid w:val="00D97BC1"/>
    <w:rsid w:val="00DA4430"/>
    <w:rsid w:val="00DB5D3A"/>
    <w:rsid w:val="00DC325C"/>
    <w:rsid w:val="00DC6799"/>
    <w:rsid w:val="00DE57DB"/>
    <w:rsid w:val="00E410BE"/>
    <w:rsid w:val="00E63B79"/>
    <w:rsid w:val="00ED7F0A"/>
    <w:rsid w:val="00EE67E2"/>
    <w:rsid w:val="00EF148B"/>
    <w:rsid w:val="00F131FF"/>
    <w:rsid w:val="00F17173"/>
    <w:rsid w:val="00F45E36"/>
    <w:rsid w:val="00F7639B"/>
    <w:rsid w:val="00F909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F61FD0C4-23C6-462F-86AD-0F9D165B3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5A7"/>
    <w:pPr>
      <w:spacing w:after="0" w:line="240" w:lineRule="auto"/>
    </w:pPr>
    <w:rPr>
      <w:rFonts w:ascii="Times New Roman" w:eastAsia="Times New Roman" w:hAnsi="Times New Roman" w:cs="Times New Roman"/>
      <w:sz w:val="24"/>
      <w:szCs w:val="20"/>
      <w:lang w:val="en-US"/>
    </w:rPr>
  </w:style>
  <w:style w:type="paragraph" w:styleId="Titre1">
    <w:name w:val="heading 1"/>
    <w:basedOn w:val="Normal"/>
    <w:next w:val="Normal"/>
    <w:link w:val="Titre1Car"/>
    <w:uiPriority w:val="9"/>
    <w:qFormat/>
    <w:rsid w:val="00210749"/>
    <w:pPr>
      <w:keepNext/>
      <w:spacing w:before="240"/>
      <w:outlineLvl w:val="0"/>
    </w:pPr>
    <w:rPr>
      <w:rFonts w:asciiTheme="majorHAnsi" w:eastAsiaTheme="majorEastAsia" w:hAnsiTheme="majorHAnsi" w:cstheme="majorBidi"/>
      <w:sz w:val="48"/>
      <w:szCs w:val="48"/>
    </w:rPr>
  </w:style>
  <w:style w:type="paragraph" w:styleId="Titre2">
    <w:name w:val="heading 2"/>
    <w:basedOn w:val="Normal"/>
    <w:next w:val="Normal"/>
    <w:link w:val="Titre2Car"/>
    <w:uiPriority w:val="9"/>
    <w:unhideWhenUsed/>
    <w:qFormat/>
    <w:rsid w:val="00210749"/>
    <w:pPr>
      <w:keepNext/>
      <w:spacing w:before="40"/>
      <w:outlineLvl w:val="1"/>
    </w:pPr>
    <w:rPr>
      <w:rFonts w:ascii="Segoe UI" w:eastAsiaTheme="majorEastAsia" w:hAnsi="Segoe UI" w:cs="Segoe UI"/>
      <w:b/>
      <w:color w:val="5B315E" w:themeColor="accent2"/>
      <w:sz w:val="32"/>
      <w:szCs w:val="32"/>
    </w:rPr>
  </w:style>
  <w:style w:type="paragraph" w:styleId="Titre3">
    <w:name w:val="heading 3"/>
    <w:basedOn w:val="Normal"/>
    <w:next w:val="Normal"/>
    <w:link w:val="Titre3Car"/>
    <w:uiPriority w:val="9"/>
    <w:unhideWhenUsed/>
    <w:qFormat/>
    <w:rsid w:val="00210749"/>
    <w:pPr>
      <w:keepNext/>
      <w:spacing w:before="40"/>
      <w:outlineLvl w:val="2"/>
    </w:pPr>
    <w:rPr>
      <w:rFonts w:ascii="Segoe UI Semibold" w:eastAsiaTheme="majorEastAsia" w:hAnsi="Segoe UI Semibold" w:cs="Segoe UI Semibold"/>
      <w:szCs w:val="24"/>
    </w:rPr>
  </w:style>
  <w:style w:type="paragraph" w:styleId="Titre4">
    <w:name w:val="heading 4"/>
    <w:basedOn w:val="Normal"/>
    <w:next w:val="Normal"/>
    <w:link w:val="Titre4Car"/>
    <w:uiPriority w:val="9"/>
    <w:unhideWhenUsed/>
    <w:qFormat/>
    <w:rsid w:val="00210749"/>
    <w:pPr>
      <w:keepNext/>
      <w:spacing w:before="40"/>
      <w:outlineLvl w:val="3"/>
    </w:pPr>
    <w:rPr>
      <w:rFonts w:asciiTheme="majorHAnsi" w:eastAsiaTheme="majorEastAsia" w:hAnsiTheme="majorHAnsi" w:cstheme="majorBidi"/>
      <w:iCs/>
      <w:color w:val="54575A" w:themeColor="text2"/>
    </w:rPr>
  </w:style>
  <w:style w:type="paragraph" w:styleId="Titre5">
    <w:name w:val="heading 5"/>
    <w:basedOn w:val="Normal"/>
    <w:next w:val="Normal"/>
    <w:link w:val="Titre5Car"/>
    <w:uiPriority w:val="9"/>
    <w:unhideWhenUsed/>
    <w:qFormat/>
    <w:rsid w:val="00210749"/>
    <w:pPr>
      <w:keepNext/>
      <w:spacing w:before="40"/>
      <w:outlineLvl w:val="4"/>
    </w:pPr>
    <w:rPr>
      <w:rFonts w:asciiTheme="majorHAnsi" w:eastAsiaTheme="majorEastAsia" w:hAnsiTheme="majorHAnsi" w:cstheme="majorBidi"/>
      <w:color w:val="9F0040"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10749"/>
    <w:pPr>
      <w:tabs>
        <w:tab w:val="center" w:pos="4680"/>
        <w:tab w:val="right" w:pos="9360"/>
      </w:tabs>
    </w:pPr>
  </w:style>
  <w:style w:type="character" w:customStyle="1" w:styleId="En-tteCar">
    <w:name w:val="En-tête Car"/>
    <w:basedOn w:val="Policepardfaut"/>
    <w:link w:val="En-tte"/>
    <w:uiPriority w:val="99"/>
    <w:rsid w:val="00210749"/>
    <w:rPr>
      <w:color w:val="54575A" w:themeColor="text1"/>
      <w:lang w:val="fr-CA"/>
    </w:rPr>
  </w:style>
  <w:style w:type="paragraph" w:styleId="Pieddepage">
    <w:name w:val="footer"/>
    <w:basedOn w:val="Normal"/>
    <w:link w:val="PieddepageCar"/>
    <w:uiPriority w:val="99"/>
    <w:unhideWhenUsed/>
    <w:rsid w:val="00210749"/>
    <w:pPr>
      <w:tabs>
        <w:tab w:val="center" w:pos="4680"/>
        <w:tab w:val="right" w:pos="9360"/>
      </w:tabs>
    </w:pPr>
  </w:style>
  <w:style w:type="character" w:customStyle="1" w:styleId="PieddepageCar">
    <w:name w:val="Pied de page Car"/>
    <w:basedOn w:val="Policepardfaut"/>
    <w:link w:val="Pieddepage"/>
    <w:uiPriority w:val="99"/>
    <w:rsid w:val="00210749"/>
    <w:rPr>
      <w:color w:val="54575A" w:themeColor="text1"/>
      <w:lang w:val="fr-CA"/>
    </w:rPr>
  </w:style>
  <w:style w:type="paragraph" w:styleId="Textedebulles">
    <w:name w:val="Balloon Text"/>
    <w:basedOn w:val="Normal"/>
    <w:link w:val="TextedebullesCar"/>
    <w:uiPriority w:val="99"/>
    <w:semiHidden/>
    <w:unhideWhenUsed/>
    <w:rsid w:val="00210749"/>
    <w:rPr>
      <w:rFonts w:ascii="Segoe UI" w:hAnsi="Segoe UI" w:cs="Segoe UI"/>
      <w:sz w:val="18"/>
      <w:szCs w:val="18"/>
    </w:rPr>
  </w:style>
  <w:style w:type="character" w:customStyle="1" w:styleId="TextedebullesCar">
    <w:name w:val="Texte de bulles Car"/>
    <w:basedOn w:val="Policepardfaut"/>
    <w:link w:val="Textedebulles"/>
    <w:uiPriority w:val="99"/>
    <w:semiHidden/>
    <w:rsid w:val="00210749"/>
    <w:rPr>
      <w:rFonts w:ascii="Segoe UI" w:hAnsi="Segoe UI" w:cs="Segoe UI"/>
      <w:color w:val="54575A" w:themeColor="text1"/>
      <w:sz w:val="18"/>
      <w:szCs w:val="18"/>
      <w:lang w:val="fr-CA"/>
    </w:rPr>
  </w:style>
  <w:style w:type="paragraph" w:customStyle="1" w:styleId="ColumnTitle">
    <w:name w:val="Column Title"/>
    <w:basedOn w:val="Normal"/>
    <w:qFormat/>
    <w:rsid w:val="00210749"/>
    <w:rPr>
      <w:rFonts w:ascii="Segoe UI Semibold" w:hAnsi="Segoe UI Semibold" w:cs="Segoe UI Semibold"/>
      <w:color w:val="F2F2F2" w:themeColor="background2"/>
      <w:szCs w:val="24"/>
    </w:rPr>
  </w:style>
  <w:style w:type="paragraph" w:customStyle="1" w:styleId="DataText">
    <w:name w:val="Data Text"/>
    <w:basedOn w:val="Normal"/>
    <w:qFormat/>
    <w:rsid w:val="00210749"/>
  </w:style>
  <w:style w:type="character" w:styleId="Appelnotedebasdep">
    <w:name w:val="footnote reference"/>
    <w:basedOn w:val="Policepardfaut"/>
    <w:uiPriority w:val="99"/>
    <w:semiHidden/>
    <w:unhideWhenUsed/>
    <w:rsid w:val="00210749"/>
    <w:rPr>
      <w:vertAlign w:val="superscript"/>
    </w:rPr>
  </w:style>
  <w:style w:type="paragraph" w:styleId="Notedebasdepage">
    <w:name w:val="footnote text"/>
    <w:basedOn w:val="Normal"/>
    <w:link w:val="NotedebasdepageCar"/>
    <w:uiPriority w:val="99"/>
    <w:unhideWhenUsed/>
    <w:rsid w:val="00210749"/>
    <w:rPr>
      <w:sz w:val="20"/>
    </w:rPr>
  </w:style>
  <w:style w:type="character" w:customStyle="1" w:styleId="NotedebasdepageCar">
    <w:name w:val="Note de bas de page Car"/>
    <w:basedOn w:val="Policepardfaut"/>
    <w:link w:val="Notedebasdepage"/>
    <w:uiPriority w:val="99"/>
    <w:rsid w:val="00210749"/>
    <w:rPr>
      <w:color w:val="54575A" w:themeColor="text1"/>
      <w:sz w:val="20"/>
      <w:szCs w:val="20"/>
      <w:lang w:val="fr-CA"/>
    </w:rPr>
  </w:style>
  <w:style w:type="character" w:customStyle="1" w:styleId="Titre1Car">
    <w:name w:val="Titre 1 Car"/>
    <w:basedOn w:val="Policepardfaut"/>
    <w:link w:val="Titre1"/>
    <w:uiPriority w:val="9"/>
    <w:rsid w:val="00210749"/>
    <w:rPr>
      <w:rFonts w:asciiTheme="majorHAnsi" w:eastAsiaTheme="majorEastAsia" w:hAnsiTheme="majorHAnsi" w:cstheme="majorBidi"/>
      <w:color w:val="54575A" w:themeColor="text1"/>
      <w:sz w:val="48"/>
      <w:szCs w:val="48"/>
      <w:lang w:val="fr-CA"/>
    </w:rPr>
  </w:style>
  <w:style w:type="character" w:customStyle="1" w:styleId="Titre2Car">
    <w:name w:val="Titre 2 Car"/>
    <w:basedOn w:val="Policepardfaut"/>
    <w:link w:val="Titre2"/>
    <w:uiPriority w:val="9"/>
    <w:rsid w:val="00210749"/>
    <w:rPr>
      <w:rFonts w:ascii="Segoe UI" w:eastAsiaTheme="majorEastAsia" w:hAnsi="Segoe UI" w:cs="Segoe UI"/>
      <w:b/>
      <w:color w:val="5B315E" w:themeColor="accent2"/>
      <w:sz w:val="32"/>
      <w:szCs w:val="32"/>
      <w:lang w:val="fr-CA"/>
    </w:rPr>
  </w:style>
  <w:style w:type="character" w:customStyle="1" w:styleId="Titre3Car">
    <w:name w:val="Titre 3 Car"/>
    <w:basedOn w:val="Policepardfaut"/>
    <w:link w:val="Titre3"/>
    <w:uiPriority w:val="9"/>
    <w:rsid w:val="00210749"/>
    <w:rPr>
      <w:rFonts w:ascii="Segoe UI Semibold" w:eastAsiaTheme="majorEastAsia" w:hAnsi="Segoe UI Semibold" w:cs="Segoe UI Semibold"/>
      <w:color w:val="54575A" w:themeColor="text1"/>
      <w:sz w:val="24"/>
      <w:szCs w:val="24"/>
      <w:lang w:val="fr-CA"/>
    </w:rPr>
  </w:style>
  <w:style w:type="paragraph" w:customStyle="1" w:styleId="Heading3forBox">
    <w:name w:val="Heading 3 for Box"/>
    <w:basedOn w:val="Normal"/>
    <w:qFormat/>
    <w:rsid w:val="00210749"/>
    <w:rPr>
      <w:rFonts w:ascii="Segoe UI Semibold" w:eastAsiaTheme="majorEastAsia" w:hAnsi="Segoe UI Semibold" w:cs="Segoe UI Semibold"/>
      <w:color w:val="FFFFFF" w:themeColor="background1"/>
      <w:szCs w:val="24"/>
    </w:rPr>
  </w:style>
  <w:style w:type="character" w:customStyle="1" w:styleId="Titre4Car">
    <w:name w:val="Titre 4 Car"/>
    <w:basedOn w:val="Policepardfaut"/>
    <w:link w:val="Titre4"/>
    <w:uiPriority w:val="9"/>
    <w:rsid w:val="00210749"/>
    <w:rPr>
      <w:rFonts w:asciiTheme="majorHAnsi" w:eastAsiaTheme="majorEastAsia" w:hAnsiTheme="majorHAnsi" w:cstheme="majorBidi"/>
      <w:iCs/>
      <w:color w:val="54575A" w:themeColor="text2"/>
      <w:lang w:val="fr-CA"/>
    </w:rPr>
  </w:style>
  <w:style w:type="character" w:customStyle="1" w:styleId="Titre5Car">
    <w:name w:val="Titre 5 Car"/>
    <w:basedOn w:val="Policepardfaut"/>
    <w:link w:val="Titre5"/>
    <w:uiPriority w:val="9"/>
    <w:rsid w:val="00210749"/>
    <w:rPr>
      <w:rFonts w:asciiTheme="majorHAnsi" w:eastAsiaTheme="majorEastAsia" w:hAnsiTheme="majorHAnsi" w:cstheme="majorBidi"/>
      <w:color w:val="9F0040" w:themeColor="accent1" w:themeShade="BF"/>
      <w:lang w:val="fr-CA"/>
    </w:rPr>
  </w:style>
  <w:style w:type="paragraph" w:styleId="Paragraphedeliste">
    <w:name w:val="List Paragraph"/>
    <w:aliases w:val="TBS PB List Paragraph,Table Paragraph,Dot pt,Liste 1,List Paragraph1,Recommendation,List Paragraph11,L,List Paragraph2,CV text,Table text,F5 List Paragraph,List Paragraph111,Medium Grid 1 - Accent 21,Bullet text,Bullet,table bullets"/>
    <w:basedOn w:val="Normal"/>
    <w:link w:val="ParagraphedelisteCar"/>
    <w:uiPriority w:val="34"/>
    <w:qFormat/>
    <w:rsid w:val="00210749"/>
    <w:pPr>
      <w:spacing w:after="320"/>
      <w:contextualSpacing/>
    </w:pPr>
  </w:style>
  <w:style w:type="paragraph" w:customStyle="1" w:styleId="NormalWhiteforBox">
    <w:name w:val="Normal White for Box"/>
    <w:basedOn w:val="Normal"/>
    <w:qFormat/>
    <w:rsid w:val="00210749"/>
  </w:style>
  <w:style w:type="paragraph" w:customStyle="1" w:styleId="Numberedlist">
    <w:name w:val="Numbered list"/>
    <w:basedOn w:val="Paragraphedeliste"/>
    <w:qFormat/>
    <w:rsid w:val="00210749"/>
  </w:style>
  <w:style w:type="paragraph" w:styleId="Sous-titre">
    <w:name w:val="Subtitle"/>
    <w:basedOn w:val="Normal"/>
    <w:next w:val="Normal"/>
    <w:link w:val="Sous-titreCar"/>
    <w:uiPriority w:val="11"/>
    <w:qFormat/>
    <w:rsid w:val="00210749"/>
    <w:rPr>
      <w:rFonts w:ascii="Segoe UI Light" w:hAnsi="Segoe UI Light" w:cs="Segoe UI Light"/>
      <w:sz w:val="36"/>
      <w:szCs w:val="36"/>
    </w:rPr>
  </w:style>
  <w:style w:type="character" w:customStyle="1" w:styleId="Sous-titreCar">
    <w:name w:val="Sous-titre Car"/>
    <w:basedOn w:val="Policepardfaut"/>
    <w:link w:val="Sous-titre"/>
    <w:uiPriority w:val="11"/>
    <w:rsid w:val="00210749"/>
    <w:rPr>
      <w:rFonts w:ascii="Segoe UI Light" w:hAnsi="Segoe UI Light" w:cs="Segoe UI Light"/>
      <w:color w:val="54575A" w:themeColor="text1"/>
      <w:sz w:val="36"/>
      <w:szCs w:val="36"/>
      <w:lang w:val="fr-CA"/>
    </w:rPr>
  </w:style>
  <w:style w:type="table" w:styleId="Grilledutableau">
    <w:name w:val="Table Grid"/>
    <w:basedOn w:val="TableauNormal"/>
    <w:uiPriority w:val="39"/>
    <w:rsid w:val="00210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Titre2"/>
    <w:qFormat/>
    <w:rsid w:val="00210749"/>
    <w:rPr>
      <w:rFonts w:ascii="Segoe UI Semibold" w:hAnsi="Segoe UI Semibold"/>
      <w:b w:val="0"/>
      <w:color w:val="54575A" w:themeColor="text1"/>
    </w:rPr>
  </w:style>
  <w:style w:type="paragraph" w:styleId="Titre">
    <w:name w:val="Title"/>
    <w:basedOn w:val="Normal"/>
    <w:next w:val="Normal"/>
    <w:link w:val="TitreCar"/>
    <w:autoRedefine/>
    <w:uiPriority w:val="10"/>
    <w:qFormat/>
    <w:rsid w:val="00D510B0"/>
    <w:pPr>
      <w:spacing w:before="360"/>
      <w:contextualSpacing/>
      <w:jc w:val="center"/>
    </w:pPr>
    <w:rPr>
      <w:rFonts w:ascii="Segoe UI Light" w:eastAsiaTheme="majorEastAsia" w:hAnsi="Segoe UI Light" w:cs="Segoe UI Light"/>
      <w:spacing w:val="-10"/>
      <w:kern w:val="28"/>
      <w:sz w:val="52"/>
      <w:szCs w:val="52"/>
      <w:lang w:val="fr-CA"/>
    </w:rPr>
  </w:style>
  <w:style w:type="character" w:customStyle="1" w:styleId="TitreCar">
    <w:name w:val="Titre Car"/>
    <w:basedOn w:val="Policepardfaut"/>
    <w:link w:val="Titre"/>
    <w:uiPriority w:val="10"/>
    <w:rsid w:val="00D510B0"/>
    <w:rPr>
      <w:rFonts w:ascii="Segoe UI Light" w:eastAsiaTheme="majorEastAsia" w:hAnsi="Segoe UI Light" w:cs="Segoe UI Light"/>
      <w:spacing w:val="-10"/>
      <w:kern w:val="28"/>
      <w:sz w:val="52"/>
      <w:szCs w:val="52"/>
      <w:lang w:val="fr-CA"/>
    </w:rPr>
  </w:style>
  <w:style w:type="paragraph" w:styleId="NormalWeb">
    <w:name w:val="Normal (Web)"/>
    <w:basedOn w:val="Normal"/>
    <w:uiPriority w:val="99"/>
    <w:unhideWhenUsed/>
    <w:rsid w:val="001A35A7"/>
    <w:pPr>
      <w:spacing w:before="100" w:beforeAutospacing="1" w:after="100" w:afterAutospacing="1"/>
    </w:pPr>
    <w:rPr>
      <w:rFonts w:ascii="Verdana" w:hAnsi="Verdana"/>
      <w:szCs w:val="24"/>
    </w:rPr>
  </w:style>
  <w:style w:type="paragraph" w:customStyle="1" w:styleId="Level1">
    <w:name w:val="Level 1"/>
    <w:basedOn w:val="Normal"/>
    <w:uiPriority w:val="99"/>
    <w:rsid w:val="001A35A7"/>
    <w:pPr>
      <w:widowControl w:val="0"/>
    </w:pPr>
  </w:style>
  <w:style w:type="character" w:styleId="Lienhypertexte">
    <w:name w:val="Hyperlink"/>
    <w:uiPriority w:val="99"/>
    <w:unhideWhenUsed/>
    <w:rsid w:val="001A35A7"/>
    <w:rPr>
      <w:color w:val="0563C1"/>
      <w:u w:val="single"/>
    </w:rPr>
  </w:style>
  <w:style w:type="paragraph" w:styleId="Sansinterligne">
    <w:name w:val="No Spacing"/>
    <w:uiPriority w:val="1"/>
    <w:qFormat/>
    <w:rsid w:val="001A35A7"/>
    <w:pPr>
      <w:spacing w:after="0" w:line="240" w:lineRule="auto"/>
    </w:pPr>
    <w:rPr>
      <w:rFonts w:ascii="Times New Roman" w:eastAsia="Times New Roman" w:hAnsi="Times New Roman" w:cs="Times New Roman"/>
      <w:sz w:val="24"/>
      <w:szCs w:val="20"/>
      <w:lang w:val="en-US"/>
    </w:rPr>
  </w:style>
  <w:style w:type="paragraph" w:customStyle="1" w:styleId="Style3">
    <w:name w:val="Style3"/>
    <w:basedOn w:val="Normal"/>
    <w:link w:val="Style3Char"/>
    <w:qFormat/>
    <w:rsid w:val="001A35A7"/>
    <w:pPr>
      <w:jc w:val="center"/>
    </w:pPr>
    <w:rPr>
      <w:rFonts w:ascii="Arial" w:hAnsi="Arial" w:cs="Arial"/>
      <w:b/>
      <w:color w:val="009999"/>
      <w:szCs w:val="24"/>
      <w:lang w:val="fr-CA"/>
    </w:rPr>
  </w:style>
  <w:style w:type="paragraph" w:customStyle="1" w:styleId="Style4">
    <w:name w:val="Style4"/>
    <w:basedOn w:val="Normal"/>
    <w:link w:val="Style4Char"/>
    <w:qFormat/>
    <w:rsid w:val="001A35A7"/>
    <w:pPr>
      <w:jc w:val="center"/>
    </w:pPr>
    <w:rPr>
      <w:rFonts w:ascii="Arial" w:hAnsi="Arial" w:cs="Arial"/>
      <w:color w:val="009999"/>
      <w:sz w:val="22"/>
      <w:szCs w:val="32"/>
      <w:lang w:val="fr-CA"/>
    </w:rPr>
  </w:style>
  <w:style w:type="character" w:customStyle="1" w:styleId="Style3Char">
    <w:name w:val="Style3 Char"/>
    <w:basedOn w:val="Policepardfaut"/>
    <w:link w:val="Style3"/>
    <w:rsid w:val="001A35A7"/>
    <w:rPr>
      <w:rFonts w:ascii="Arial" w:eastAsia="Times New Roman" w:hAnsi="Arial" w:cs="Arial"/>
      <w:b/>
      <w:color w:val="009999"/>
      <w:sz w:val="24"/>
      <w:szCs w:val="24"/>
      <w:lang w:val="fr-CA"/>
    </w:rPr>
  </w:style>
  <w:style w:type="paragraph" w:customStyle="1" w:styleId="Style5">
    <w:name w:val="Style5"/>
    <w:basedOn w:val="Normal"/>
    <w:link w:val="Style5Char"/>
    <w:qFormat/>
    <w:rsid w:val="001A35A7"/>
    <w:pPr>
      <w:jc w:val="right"/>
    </w:pPr>
    <w:rPr>
      <w:rFonts w:ascii="Arial" w:hAnsi="Arial" w:cs="Arial"/>
      <w:color w:val="767171"/>
      <w:sz w:val="16"/>
      <w:szCs w:val="22"/>
      <w:lang w:val="fr-CA"/>
    </w:rPr>
  </w:style>
  <w:style w:type="character" w:customStyle="1" w:styleId="Style4Char">
    <w:name w:val="Style4 Char"/>
    <w:basedOn w:val="Policepardfaut"/>
    <w:link w:val="Style4"/>
    <w:rsid w:val="001A35A7"/>
    <w:rPr>
      <w:rFonts w:ascii="Arial" w:eastAsia="Times New Roman" w:hAnsi="Arial" w:cs="Arial"/>
      <w:color w:val="009999"/>
      <w:szCs w:val="32"/>
      <w:lang w:val="fr-CA"/>
    </w:rPr>
  </w:style>
  <w:style w:type="character" w:customStyle="1" w:styleId="Style5Char">
    <w:name w:val="Style5 Char"/>
    <w:basedOn w:val="Policepardfaut"/>
    <w:link w:val="Style5"/>
    <w:rsid w:val="001A35A7"/>
    <w:rPr>
      <w:rFonts w:ascii="Arial" w:eastAsia="Times New Roman" w:hAnsi="Arial" w:cs="Arial"/>
      <w:color w:val="767171"/>
      <w:sz w:val="16"/>
      <w:lang w:val="fr-CA"/>
    </w:rPr>
  </w:style>
  <w:style w:type="character" w:customStyle="1" w:styleId="tlid-translation">
    <w:name w:val="tlid-translation"/>
    <w:basedOn w:val="Policepardfaut"/>
    <w:rsid w:val="001A35A7"/>
  </w:style>
  <w:style w:type="character" w:styleId="lev">
    <w:name w:val="Strong"/>
    <w:basedOn w:val="Policepardfaut"/>
    <w:uiPriority w:val="22"/>
    <w:qFormat/>
    <w:rsid w:val="00EF148B"/>
    <w:rPr>
      <w:b/>
      <w:bCs/>
    </w:rPr>
  </w:style>
  <w:style w:type="character" w:styleId="Lienhypertextesuivivisit">
    <w:name w:val="FollowedHyperlink"/>
    <w:basedOn w:val="Policepardfaut"/>
    <w:uiPriority w:val="99"/>
    <w:semiHidden/>
    <w:unhideWhenUsed/>
    <w:rsid w:val="00680B1A"/>
    <w:rPr>
      <w:color w:val="A5A5A5" w:themeColor="followedHyperlink"/>
      <w:u w:val="single"/>
    </w:rPr>
  </w:style>
  <w:style w:type="table" w:styleId="TableauGrille1Clair">
    <w:name w:val="Grid Table 1 Light"/>
    <w:basedOn w:val="TableauNormal"/>
    <w:uiPriority w:val="46"/>
    <w:rsid w:val="00025393"/>
    <w:pPr>
      <w:spacing w:after="0" w:line="240" w:lineRule="auto"/>
    </w:pPr>
    <w:tblPr>
      <w:tblStyleRowBandSize w:val="1"/>
      <w:tblStyleColBandSize w:val="1"/>
      <w:tblBorders>
        <w:top w:val="single" w:sz="4" w:space="0" w:color="B9BBBE" w:themeColor="text1" w:themeTint="66"/>
        <w:left w:val="single" w:sz="4" w:space="0" w:color="B9BBBE" w:themeColor="text1" w:themeTint="66"/>
        <w:bottom w:val="single" w:sz="4" w:space="0" w:color="B9BBBE" w:themeColor="text1" w:themeTint="66"/>
        <w:right w:val="single" w:sz="4" w:space="0" w:color="B9BBBE" w:themeColor="text1" w:themeTint="66"/>
        <w:insideH w:val="single" w:sz="4" w:space="0" w:color="B9BBBE" w:themeColor="text1" w:themeTint="66"/>
        <w:insideV w:val="single" w:sz="4" w:space="0" w:color="B9BBBE" w:themeColor="text1" w:themeTint="66"/>
      </w:tblBorders>
    </w:tblPr>
    <w:tblStylePr w:type="firstRow">
      <w:rPr>
        <w:b/>
        <w:bCs/>
      </w:rPr>
      <w:tblPr/>
      <w:tcPr>
        <w:tcBorders>
          <w:bottom w:val="single" w:sz="12" w:space="0" w:color="969A9D" w:themeColor="text1" w:themeTint="99"/>
        </w:tcBorders>
      </w:tcPr>
    </w:tblStylePr>
    <w:tblStylePr w:type="lastRow">
      <w:rPr>
        <w:b/>
        <w:bCs/>
      </w:rPr>
      <w:tblPr/>
      <w:tcPr>
        <w:tcBorders>
          <w:top w:val="double" w:sz="2" w:space="0" w:color="969A9D" w:themeColor="text1" w:themeTint="99"/>
        </w:tcBorders>
      </w:tcPr>
    </w:tblStylePr>
    <w:tblStylePr w:type="firstCol">
      <w:rPr>
        <w:b/>
        <w:bCs/>
      </w:rPr>
    </w:tblStylePr>
    <w:tblStylePr w:type="lastCol">
      <w:rPr>
        <w:b/>
        <w:bCs/>
      </w:rPr>
    </w:tblStylePr>
  </w:style>
  <w:style w:type="character" w:customStyle="1" w:styleId="ParagraphedelisteCar">
    <w:name w:val="Paragraphe de liste Car"/>
    <w:aliases w:val="TBS PB List Paragraph Car,Table Paragraph Car,Dot pt Car,Liste 1 Car,List Paragraph1 Car,Recommendation Car,List Paragraph11 Car,L Car,List Paragraph2 Car,CV text Car,Table text Car,F5 List Paragraph Car,List Paragraph111 Car"/>
    <w:basedOn w:val="Policepardfaut"/>
    <w:link w:val="Paragraphedeliste"/>
    <w:uiPriority w:val="34"/>
    <w:locked/>
    <w:rsid w:val="0000588E"/>
    <w:rPr>
      <w:rFonts w:ascii="Times New Roman" w:eastAsia="Times New Roman" w:hAnsi="Times New Roman" w:cs="Times New Roman"/>
      <w:sz w:val="24"/>
      <w:szCs w:val="20"/>
      <w:lang w:val="en-US"/>
    </w:rPr>
  </w:style>
  <w:style w:type="paragraph" w:styleId="Lgende">
    <w:name w:val="caption"/>
    <w:basedOn w:val="Normal"/>
    <w:next w:val="Normal"/>
    <w:uiPriority w:val="35"/>
    <w:unhideWhenUsed/>
    <w:qFormat/>
    <w:rsid w:val="005A5A1C"/>
    <w:rPr>
      <w:rFonts w:asciiTheme="minorHAnsi" w:hAnsiTheme="minorHAnsi"/>
      <w:iCs/>
      <w:sz w:val="18"/>
      <w:szCs w:val="18"/>
    </w:rPr>
  </w:style>
  <w:style w:type="character" w:styleId="Accentuation">
    <w:name w:val="Emphasis"/>
    <w:basedOn w:val="Policepardfaut"/>
    <w:uiPriority w:val="20"/>
    <w:qFormat/>
    <w:rsid w:val="00C267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94132">
      <w:bodyDiv w:val="1"/>
      <w:marLeft w:val="0"/>
      <w:marRight w:val="0"/>
      <w:marTop w:val="0"/>
      <w:marBottom w:val="0"/>
      <w:divBdr>
        <w:top w:val="none" w:sz="0" w:space="0" w:color="auto"/>
        <w:left w:val="none" w:sz="0" w:space="0" w:color="auto"/>
        <w:bottom w:val="none" w:sz="0" w:space="0" w:color="auto"/>
        <w:right w:val="none" w:sz="0" w:space="0" w:color="auto"/>
      </w:divBdr>
    </w:div>
    <w:div w:id="142162850">
      <w:bodyDiv w:val="1"/>
      <w:marLeft w:val="0"/>
      <w:marRight w:val="0"/>
      <w:marTop w:val="0"/>
      <w:marBottom w:val="0"/>
      <w:divBdr>
        <w:top w:val="none" w:sz="0" w:space="0" w:color="auto"/>
        <w:left w:val="none" w:sz="0" w:space="0" w:color="auto"/>
        <w:bottom w:val="none" w:sz="0" w:space="0" w:color="auto"/>
        <w:right w:val="none" w:sz="0" w:space="0" w:color="auto"/>
      </w:divBdr>
    </w:div>
    <w:div w:id="150757585">
      <w:bodyDiv w:val="1"/>
      <w:marLeft w:val="0"/>
      <w:marRight w:val="0"/>
      <w:marTop w:val="0"/>
      <w:marBottom w:val="0"/>
      <w:divBdr>
        <w:top w:val="none" w:sz="0" w:space="0" w:color="auto"/>
        <w:left w:val="none" w:sz="0" w:space="0" w:color="auto"/>
        <w:bottom w:val="none" w:sz="0" w:space="0" w:color="auto"/>
        <w:right w:val="none" w:sz="0" w:space="0" w:color="auto"/>
      </w:divBdr>
    </w:div>
    <w:div w:id="254437800">
      <w:bodyDiv w:val="1"/>
      <w:marLeft w:val="0"/>
      <w:marRight w:val="0"/>
      <w:marTop w:val="0"/>
      <w:marBottom w:val="0"/>
      <w:divBdr>
        <w:top w:val="none" w:sz="0" w:space="0" w:color="auto"/>
        <w:left w:val="none" w:sz="0" w:space="0" w:color="auto"/>
        <w:bottom w:val="none" w:sz="0" w:space="0" w:color="auto"/>
        <w:right w:val="none" w:sz="0" w:space="0" w:color="auto"/>
      </w:divBdr>
    </w:div>
    <w:div w:id="262079031">
      <w:bodyDiv w:val="1"/>
      <w:marLeft w:val="0"/>
      <w:marRight w:val="0"/>
      <w:marTop w:val="0"/>
      <w:marBottom w:val="0"/>
      <w:divBdr>
        <w:top w:val="none" w:sz="0" w:space="0" w:color="auto"/>
        <w:left w:val="none" w:sz="0" w:space="0" w:color="auto"/>
        <w:bottom w:val="none" w:sz="0" w:space="0" w:color="auto"/>
        <w:right w:val="none" w:sz="0" w:space="0" w:color="auto"/>
      </w:divBdr>
    </w:div>
    <w:div w:id="886648469">
      <w:bodyDiv w:val="1"/>
      <w:marLeft w:val="0"/>
      <w:marRight w:val="0"/>
      <w:marTop w:val="0"/>
      <w:marBottom w:val="0"/>
      <w:divBdr>
        <w:top w:val="none" w:sz="0" w:space="0" w:color="auto"/>
        <w:left w:val="none" w:sz="0" w:space="0" w:color="auto"/>
        <w:bottom w:val="none" w:sz="0" w:space="0" w:color="auto"/>
        <w:right w:val="none" w:sz="0" w:space="0" w:color="auto"/>
      </w:divBdr>
    </w:div>
    <w:div w:id="981737795">
      <w:bodyDiv w:val="1"/>
      <w:marLeft w:val="0"/>
      <w:marRight w:val="0"/>
      <w:marTop w:val="0"/>
      <w:marBottom w:val="0"/>
      <w:divBdr>
        <w:top w:val="none" w:sz="0" w:space="0" w:color="auto"/>
        <w:left w:val="none" w:sz="0" w:space="0" w:color="auto"/>
        <w:bottom w:val="none" w:sz="0" w:space="0" w:color="auto"/>
        <w:right w:val="none" w:sz="0" w:space="0" w:color="auto"/>
      </w:divBdr>
    </w:div>
    <w:div w:id="1199388426">
      <w:bodyDiv w:val="1"/>
      <w:marLeft w:val="0"/>
      <w:marRight w:val="0"/>
      <w:marTop w:val="0"/>
      <w:marBottom w:val="0"/>
      <w:divBdr>
        <w:top w:val="none" w:sz="0" w:space="0" w:color="auto"/>
        <w:left w:val="none" w:sz="0" w:space="0" w:color="auto"/>
        <w:bottom w:val="none" w:sz="0" w:space="0" w:color="auto"/>
        <w:right w:val="none" w:sz="0" w:space="0" w:color="auto"/>
      </w:divBdr>
    </w:div>
    <w:div w:id="1292059135">
      <w:bodyDiv w:val="1"/>
      <w:marLeft w:val="0"/>
      <w:marRight w:val="0"/>
      <w:marTop w:val="0"/>
      <w:marBottom w:val="0"/>
      <w:divBdr>
        <w:top w:val="none" w:sz="0" w:space="0" w:color="auto"/>
        <w:left w:val="none" w:sz="0" w:space="0" w:color="auto"/>
        <w:bottom w:val="none" w:sz="0" w:space="0" w:color="auto"/>
        <w:right w:val="none" w:sz="0" w:space="0" w:color="auto"/>
      </w:divBdr>
    </w:div>
    <w:div w:id="1910335939">
      <w:bodyDiv w:val="1"/>
      <w:marLeft w:val="0"/>
      <w:marRight w:val="0"/>
      <w:marTop w:val="0"/>
      <w:marBottom w:val="0"/>
      <w:divBdr>
        <w:top w:val="none" w:sz="0" w:space="0" w:color="auto"/>
        <w:left w:val="none" w:sz="0" w:space="0" w:color="auto"/>
        <w:bottom w:val="none" w:sz="0" w:space="0" w:color="auto"/>
        <w:right w:val="none" w:sz="0" w:space="0" w:color="auto"/>
      </w:divBdr>
    </w:div>
    <w:div w:id="1961642028">
      <w:bodyDiv w:val="1"/>
      <w:marLeft w:val="0"/>
      <w:marRight w:val="0"/>
      <w:marTop w:val="0"/>
      <w:marBottom w:val="0"/>
      <w:divBdr>
        <w:top w:val="none" w:sz="0" w:space="0" w:color="auto"/>
        <w:left w:val="none" w:sz="0" w:space="0" w:color="auto"/>
        <w:bottom w:val="none" w:sz="0" w:space="0" w:color="auto"/>
        <w:right w:val="none" w:sz="0" w:space="0" w:color="auto"/>
      </w:divBdr>
    </w:div>
    <w:div w:id="206039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chart" Target="charts/chart5.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chart" Target="charts/chart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header" Target="header4.xml"/><Relationship Id="rId10" Type="http://schemas.openxmlformats.org/officeDocument/2006/relationships/footer" Target="footer2.xml"/><Relationship Id="rId19" Type="http://schemas.openxmlformats.org/officeDocument/2006/relationships/chart" Target="charts/chart6.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footer" Target="footer5.xml"/><Relationship Id="rId30" Type="http://schemas.openxmlformats.org/officeDocument/2006/relationships/chart" Target="charts/chart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SC-CFP\Templates\CFP-Entete-Corpo2019.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chartUserShapes" Target="../drawings/drawing5.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chartUserShapes" Target="../drawings/drawing6.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chartUserShapes" Target="../drawings/drawing7.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2.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3.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4.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CA" sz="1200" b="1">
                <a:solidFill>
                  <a:sysClr val="windowText" lastClr="000000"/>
                </a:solidFill>
              </a:rPr>
              <a:t>Population selon la durée d'emploi au 31 mars</a:t>
            </a:r>
          </a:p>
        </c:rich>
      </c:tx>
      <c:layout>
        <c:manualLayout>
          <c:xMode val="edge"/>
          <c:yMode val="edge"/>
          <c:x val="0.23053046699685306"/>
          <c:y val="1.9750150477180772E-2"/>
        </c:manualLayout>
      </c:layout>
      <c:overlay val="1"/>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2225561684641545"/>
          <c:y val="9.350649350649351E-2"/>
          <c:w val="0.8438565211696043"/>
          <c:h val="0.6100861028735044"/>
        </c:manualLayout>
      </c:layout>
      <c:barChart>
        <c:barDir val="col"/>
        <c:grouping val="stacked"/>
        <c:varyColors val="0"/>
        <c:ser>
          <c:idx val="0"/>
          <c:order val="0"/>
          <c:tx>
            <c:strRef>
              <c:f>Sheet1!$B$1</c:f>
              <c:strCache>
                <c:ptCount val="1"/>
                <c:pt idx="0">
                  <c:v>Indéterminée</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(N=30) </c:v>
                </c:pt>
                <c:pt idx="1">
                  <c:v> 2015
(N=30) </c:v>
                </c:pt>
                <c:pt idx="2">
                  <c:v> 2016
(N=29) </c:v>
                </c:pt>
                <c:pt idx="3">
                  <c:v> 2017
(N=30) </c:v>
                </c:pt>
                <c:pt idx="4">
                  <c:v> 2018
(N=30) </c:v>
                </c:pt>
                <c:pt idx="5">
                  <c:v> 2019
(N=30) </c:v>
                </c:pt>
              </c:strCache>
            </c:strRef>
          </c:cat>
          <c:val>
            <c:numRef>
              <c:f>Sheet1!$B$2:$B$7</c:f>
              <c:numCache>
                <c:formatCode>#\ ###</c:formatCode>
                <c:ptCount val="6"/>
                <c:pt idx="0">
                  <c:v>24</c:v>
                </c:pt>
                <c:pt idx="1">
                  <c:v>24</c:v>
                </c:pt>
                <c:pt idx="2">
                  <c:v>25</c:v>
                </c:pt>
                <c:pt idx="3">
                  <c:v>24</c:v>
                </c:pt>
                <c:pt idx="4">
                  <c:v>23</c:v>
                </c:pt>
                <c:pt idx="5">
                  <c:v>24</c:v>
                </c:pt>
              </c:numCache>
            </c:numRef>
          </c:val>
        </c:ser>
        <c:ser>
          <c:idx val="1"/>
          <c:order val="1"/>
          <c:tx>
            <c:strRef>
              <c:f>Sheet1!$C$1</c:f>
              <c:strCache>
                <c:ptCount val="1"/>
                <c:pt idx="0">
                  <c:v>Déterminée</c:v>
                </c:pt>
              </c:strCache>
            </c:strRef>
          </c:tx>
          <c:spPr>
            <a:solidFill>
              <a:schemeClr val="accent2"/>
            </a:solidFill>
            <a:ln>
              <a:noFill/>
            </a:ln>
            <a:effectLst/>
          </c:spPr>
          <c:invertIfNegative val="0"/>
          <c:dLbls>
            <c:dLbl>
              <c:idx val="0"/>
              <c:layout>
                <c:manualLayout>
                  <c:x val="3.0807147258163892E-3"/>
                  <c:y val="3.2312838151548749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5.6479117521715313E-17"/>
                  <c:y val="3.4319717255559662E-3"/>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2.2304594597155499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1.7872404938552355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2.3067170755280093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(N=30) </c:v>
                </c:pt>
                <c:pt idx="1">
                  <c:v> 2015
(N=30) </c:v>
                </c:pt>
                <c:pt idx="2">
                  <c:v> 2016
(N=29) </c:v>
                </c:pt>
                <c:pt idx="3">
                  <c:v> 2017
(N=30) </c:v>
                </c:pt>
                <c:pt idx="4">
                  <c:v> 2018
(N=30) </c:v>
                </c:pt>
                <c:pt idx="5">
                  <c:v> 2019
(N=30) </c:v>
                </c:pt>
              </c:strCache>
            </c:strRef>
          </c:cat>
          <c:val>
            <c:numRef>
              <c:f>Sheet1!$C$2:$C$7</c:f>
              <c:numCache>
                <c:formatCode>#\ ###</c:formatCode>
                <c:ptCount val="6"/>
                <c:pt idx="0">
                  <c:v>1</c:v>
                </c:pt>
                <c:pt idx="1">
                  <c:v>4</c:v>
                </c:pt>
                <c:pt idx="2">
                  <c:v>1</c:v>
                </c:pt>
                <c:pt idx="3">
                  <c:v>1</c:v>
                </c:pt>
                <c:pt idx="4">
                  <c:v>1</c:v>
                </c:pt>
                <c:pt idx="5">
                  <c:v>3</c:v>
                </c:pt>
              </c:numCache>
            </c:numRef>
          </c:val>
        </c:ser>
        <c:ser>
          <c:idx val="2"/>
          <c:order val="2"/>
          <c:tx>
            <c:strRef>
              <c:f>Sheet1!$D$1</c:f>
              <c:strCache>
                <c:ptCount val="1"/>
                <c:pt idx="0">
                  <c:v>Occasionnel</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(N=30) </c:v>
                </c:pt>
                <c:pt idx="1">
                  <c:v> 2015
(N=30) </c:v>
                </c:pt>
                <c:pt idx="2">
                  <c:v> 2016
(N=29) </c:v>
                </c:pt>
                <c:pt idx="3">
                  <c:v> 2017
(N=30) </c:v>
                </c:pt>
                <c:pt idx="4">
                  <c:v> 2018
(N=30) </c:v>
                </c:pt>
                <c:pt idx="5">
                  <c:v> 2019
(N=30) </c:v>
                </c:pt>
              </c:strCache>
            </c:strRef>
          </c:cat>
          <c:val>
            <c:numRef>
              <c:f>Sheet1!$D$2:$D$7</c:f>
              <c:numCache>
                <c:formatCode>#\ ###</c:formatCode>
                <c:ptCount val="6"/>
                <c:pt idx="0">
                  <c:v>3</c:v>
                </c:pt>
                <c:pt idx="1">
                  <c:v>0</c:v>
                </c:pt>
                <c:pt idx="2">
                  <c:v>2</c:v>
                </c:pt>
                <c:pt idx="3">
                  <c:v>3</c:v>
                </c:pt>
                <c:pt idx="4">
                  <c:v>1</c:v>
                </c:pt>
                <c:pt idx="5">
                  <c:v>0</c:v>
                </c:pt>
              </c:numCache>
            </c:numRef>
          </c:val>
        </c:ser>
        <c:ser>
          <c:idx val="3"/>
          <c:order val="3"/>
          <c:tx>
            <c:strRef>
              <c:f>Sheet1!$E$1</c:f>
              <c:strCache>
                <c:ptCount val="1"/>
                <c:pt idx="0">
                  <c:v>Étudiant</c:v>
                </c:pt>
              </c:strCache>
            </c:strRef>
          </c:tx>
          <c:spPr>
            <a:solidFill>
              <a:schemeClr val="accent4"/>
            </a:solidFill>
            <a:ln>
              <a:noFill/>
            </a:ln>
            <a:effectLst/>
          </c:spPr>
          <c:invertIfNegative val="0"/>
          <c:dLbls>
            <c:dLbl>
              <c:idx val="0"/>
              <c:layout>
                <c:manualLayout>
                  <c:x val="3.0807147258163892E-3"/>
                  <c:y val="-1.2677639121824574E-2"/>
                </c:manualLayout>
              </c:layout>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5.6479117521715313E-17"/>
                  <c:y val="-1.6728540701365421E-2"/>
                </c:manualLayout>
              </c:layout>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1.2677639121824574E-2"/>
                </c:manualLayout>
              </c:layout>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1.2677639121824574E-2"/>
                </c:manualLayout>
              </c:layout>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3.0807147258163892E-3"/>
                  <c:y val="-1.710982878042774E-2"/>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 2014
(N=30) </c:v>
                </c:pt>
                <c:pt idx="1">
                  <c:v> 2015
(N=30) </c:v>
                </c:pt>
                <c:pt idx="2">
                  <c:v> 2016
(N=29) </c:v>
                </c:pt>
                <c:pt idx="3">
                  <c:v> 2017
(N=30) </c:v>
                </c:pt>
                <c:pt idx="4">
                  <c:v> 2018
(N=30) </c:v>
                </c:pt>
                <c:pt idx="5">
                  <c:v> 2019
(N=30) </c:v>
                </c:pt>
              </c:strCache>
            </c:strRef>
          </c:cat>
          <c:val>
            <c:numRef>
              <c:f>Sheet1!$E$2:$E$7</c:f>
              <c:numCache>
                <c:formatCode>#\ ###</c:formatCode>
                <c:ptCount val="6"/>
                <c:pt idx="0">
                  <c:v>2</c:v>
                </c:pt>
                <c:pt idx="1">
                  <c:v>2</c:v>
                </c:pt>
                <c:pt idx="2">
                  <c:v>1</c:v>
                </c:pt>
                <c:pt idx="3">
                  <c:v>2</c:v>
                </c:pt>
                <c:pt idx="4">
                  <c:v>5</c:v>
                </c:pt>
                <c:pt idx="5">
                  <c:v>3</c:v>
                </c:pt>
              </c:numCache>
            </c:numRef>
          </c:val>
        </c:ser>
        <c:dLbls>
          <c:dLblPos val="ctr"/>
          <c:showLegendKey val="0"/>
          <c:showVal val="1"/>
          <c:showCatName val="0"/>
          <c:showSerName val="0"/>
          <c:showPercent val="0"/>
          <c:showBubbleSize val="0"/>
        </c:dLbls>
        <c:gapWidth val="150"/>
        <c:overlap val="100"/>
        <c:axId val="365565256"/>
        <c:axId val="365566824"/>
      </c:barChart>
      <c:catAx>
        <c:axId val="365565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65566824"/>
        <c:crosses val="autoZero"/>
        <c:auto val="1"/>
        <c:lblAlgn val="ctr"/>
        <c:lblOffset val="100"/>
        <c:noMultiLvlLbl val="0"/>
      </c:catAx>
      <c:valAx>
        <c:axId val="365566824"/>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65565256"/>
        <c:crosses val="autoZero"/>
        <c:crossBetween val="between"/>
      </c:valAx>
      <c:spPr>
        <a:noFill/>
        <a:ln>
          <a:noFill/>
        </a:ln>
        <a:effectLst/>
      </c:spPr>
    </c:plotArea>
    <c:legend>
      <c:legendPos val="b"/>
      <c:layout>
        <c:manualLayout>
          <c:xMode val="edge"/>
          <c:yMode val="edge"/>
          <c:x val="0.13638008742437693"/>
          <c:y val="0.88116821760916253"/>
          <c:w val="0.77653126076430834"/>
          <c:h val="8.7662951222006347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r>
              <a:rPr lang="en-CA" sz="1200" b="1"/>
              <a:t>Embauche d'étudiants</a:t>
            </a:r>
          </a:p>
        </c:rich>
      </c:tx>
      <c:layout>
        <c:manualLayout>
          <c:xMode val="edge"/>
          <c:yMode val="edge"/>
          <c:x val="0.36913739914045313"/>
          <c:y val="3.1027000608469035E-2"/>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1946256204627399"/>
          <c:y val="0.10525709900230237"/>
          <c:w val="0.83536289996604629"/>
          <c:h val="0.58717180352455944"/>
        </c:manualLayout>
      </c:layout>
      <c:barChart>
        <c:barDir val="col"/>
        <c:grouping val="stacked"/>
        <c:varyColors val="0"/>
        <c:ser>
          <c:idx val="0"/>
          <c:order val="0"/>
          <c:tx>
            <c:strRef>
              <c:f>Sheet1!$B$1</c:f>
              <c:strCache>
                <c:ptCount val="1"/>
                <c:pt idx="0">
                  <c:v>Programme fédéral d'expérience de travail étudiant (PFETÉ)</c:v>
                </c:pt>
              </c:strCache>
            </c:strRef>
          </c:tx>
          <c:spPr>
            <a:solidFill>
              <a:schemeClr val="accent1"/>
            </a:solidFill>
            <a:ln>
              <a:noFill/>
            </a:ln>
            <a:effectLst/>
          </c:spPr>
          <c:invertIfNegative val="0"/>
          <c:dLbls>
            <c:dLbl>
              <c:idx val="0"/>
              <c:delete val="1"/>
              <c:extLs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(N=6)</c:v>
                </c:pt>
                <c:pt idx="1">
                  <c:v>2015-2016
 (N=7)</c:v>
                </c:pt>
                <c:pt idx="2">
                  <c:v>2016-2017
 (N=7)</c:v>
                </c:pt>
                <c:pt idx="3">
                  <c:v>2017-2018
 (N=10)</c:v>
                </c:pt>
                <c:pt idx="4">
                  <c:v>2018-2019
 (N=7)</c:v>
                </c:pt>
              </c:strCache>
            </c:strRef>
          </c:cat>
          <c:val>
            <c:numRef>
              <c:f>Sheet1!$B$2:$B$6</c:f>
              <c:numCache>
                <c:formatCode>General</c:formatCode>
                <c:ptCount val="5"/>
                <c:pt idx="0">
                  <c:v>0</c:v>
                </c:pt>
                <c:pt idx="1">
                  <c:v>2</c:v>
                </c:pt>
                <c:pt idx="2">
                  <c:v>5</c:v>
                </c:pt>
                <c:pt idx="3">
                  <c:v>6</c:v>
                </c:pt>
                <c:pt idx="4">
                  <c:v>2</c:v>
                </c:pt>
              </c:numCache>
            </c:numRef>
          </c:val>
        </c:ser>
        <c:ser>
          <c:idx val="1"/>
          <c:order val="1"/>
          <c:tx>
            <c:strRef>
              <c:f>Sheet1!$C$1</c:f>
              <c:strCache>
                <c:ptCount val="1"/>
                <c:pt idx="0">
                  <c:v>Programme post secondaire d'enseignement coopératif/stage (COOP)</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(N=6)</c:v>
                </c:pt>
                <c:pt idx="1">
                  <c:v>2015-2016
 (N=7)</c:v>
                </c:pt>
                <c:pt idx="2">
                  <c:v>2016-2017
 (N=7)</c:v>
                </c:pt>
                <c:pt idx="3">
                  <c:v>2017-2018
 (N=10)</c:v>
                </c:pt>
                <c:pt idx="4">
                  <c:v>2018-2019
 (N=7)</c:v>
                </c:pt>
              </c:strCache>
            </c:strRef>
          </c:cat>
          <c:val>
            <c:numRef>
              <c:f>Sheet1!$C$2:$C$6</c:f>
              <c:numCache>
                <c:formatCode>General</c:formatCode>
                <c:ptCount val="5"/>
                <c:pt idx="0">
                  <c:v>6</c:v>
                </c:pt>
                <c:pt idx="1">
                  <c:v>5</c:v>
                </c:pt>
                <c:pt idx="2">
                  <c:v>2</c:v>
                </c:pt>
                <c:pt idx="3">
                  <c:v>4</c:v>
                </c:pt>
                <c:pt idx="4">
                  <c:v>5</c:v>
                </c:pt>
              </c:numCache>
            </c:numRef>
          </c:val>
        </c:ser>
        <c:dLbls>
          <c:dLblPos val="ctr"/>
          <c:showLegendKey val="0"/>
          <c:showVal val="1"/>
          <c:showCatName val="0"/>
          <c:showSerName val="0"/>
          <c:showPercent val="0"/>
          <c:showBubbleSize val="0"/>
        </c:dLbls>
        <c:gapWidth val="150"/>
        <c:overlap val="100"/>
        <c:axId val="367794112"/>
        <c:axId val="367794504"/>
      </c:barChart>
      <c:catAx>
        <c:axId val="367794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367794504"/>
        <c:crosses val="autoZero"/>
        <c:auto val="1"/>
        <c:lblAlgn val="ctr"/>
        <c:lblOffset val="100"/>
        <c:noMultiLvlLbl val="0"/>
      </c:catAx>
      <c:valAx>
        <c:axId val="36779450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67794112"/>
        <c:crosses val="autoZero"/>
        <c:crossBetween val="between"/>
      </c:valAx>
      <c:spPr>
        <a:noFill/>
        <a:ln>
          <a:noFill/>
        </a:ln>
        <a:effectLst/>
      </c:spPr>
    </c:plotArea>
    <c:legend>
      <c:legendPos val="b"/>
      <c:layout>
        <c:manualLayout>
          <c:xMode val="edge"/>
          <c:yMode val="edge"/>
          <c:x val="4.4100955553040477E-3"/>
          <c:y val="0.80836371963571652"/>
          <c:w val="0.97885948034729742"/>
          <c:h val="0.1504210044214271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CA" sz="1100"/>
              <a:t>Activités d'embauche externe pour une période indéterminée et d'une durée déterminée : Programme de recrutement postsecondaire et embauche d'anciens étudiants</a:t>
            </a:r>
          </a:p>
        </c:rich>
      </c:tx>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7963051579878479E-2"/>
          <c:y val="0.24762178879076147"/>
          <c:w val="0.90621744112971792"/>
          <c:h val="0.48647731044063347"/>
        </c:manualLayout>
      </c:layout>
      <c:bar3DChart>
        <c:barDir val="col"/>
        <c:grouping val="clustered"/>
        <c:varyColors val="0"/>
        <c:ser>
          <c:idx val="0"/>
          <c:order val="0"/>
          <c:tx>
            <c:strRef>
              <c:f>Sheet1!$B$1</c:f>
              <c:strCache>
                <c:ptCount val="1"/>
                <c:pt idx="0">
                  <c:v>Embauche d'anciens étudiants*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0"/>
                  <c:y val="1.118985453189108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1.118985453189108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6.7525309567398852E-17"/>
                  <c:y val="1.1189854531891086E-2"/>
                </c:manualLayout>
              </c:layout>
              <c:tx>
                <c:rich>
                  <a:bodyPr/>
                  <a:lstStyle/>
                  <a:p>
                    <a:r>
                      <a:rPr lang="en-US"/>
                      <a:t>S/O</a:t>
                    </a:r>
                  </a:p>
                </c:rich>
              </c:tx>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1.118985453189101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1.491980604252138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c:v>
                </c:pt>
                <c:pt idx="1">
                  <c:v>2015-2016</c:v>
                </c:pt>
                <c:pt idx="2">
                  <c:v>2016-2017</c:v>
                </c:pt>
                <c:pt idx="3">
                  <c:v>2017-2018</c:v>
                </c:pt>
                <c:pt idx="4">
                  <c:v>2018-2019</c:v>
                </c:pt>
              </c:strCache>
            </c:strRef>
          </c:cat>
          <c:val>
            <c:numRef>
              <c:f>Sheet1!$B$2:$B$6</c:f>
              <c:numCache>
                <c:formatCode>_-* #,##0_-;\-* #,##0_-;_-* "-"??_-;_-@_-</c:formatCode>
                <c:ptCount val="5"/>
                <c:pt idx="0">
                  <c:v>1</c:v>
                </c:pt>
                <c:pt idx="1">
                  <c:v>1</c:v>
                </c:pt>
                <c:pt idx="2">
                  <c:v>0</c:v>
                </c:pt>
                <c:pt idx="3">
                  <c:v>1</c:v>
                </c:pt>
                <c:pt idx="4">
                  <c:v>1</c:v>
                </c:pt>
              </c:numCache>
            </c:numRef>
          </c:val>
        </c:ser>
        <c:dLbls>
          <c:showLegendKey val="0"/>
          <c:showVal val="1"/>
          <c:showCatName val="0"/>
          <c:showSerName val="0"/>
          <c:showPercent val="0"/>
          <c:showBubbleSize val="0"/>
        </c:dLbls>
        <c:gapWidth val="150"/>
        <c:shape val="box"/>
        <c:axId val="367795680"/>
        <c:axId val="367796072"/>
        <c:axId val="0"/>
      </c:bar3DChart>
      <c:catAx>
        <c:axId val="36779568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367796072"/>
        <c:crosses val="autoZero"/>
        <c:auto val="1"/>
        <c:lblAlgn val="ctr"/>
        <c:lblOffset val="100"/>
        <c:noMultiLvlLbl val="0"/>
      </c:catAx>
      <c:valAx>
        <c:axId val="367796072"/>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67795680"/>
        <c:crosses val="autoZero"/>
        <c:crossBetween val="between"/>
        <c:minorUnit val="1"/>
      </c:valAx>
      <c:spPr>
        <a:noFill/>
        <a:ln>
          <a:noFill/>
        </a:ln>
        <a:effectLst/>
      </c:spPr>
    </c:plotArea>
    <c:legend>
      <c:legendPos val="r"/>
      <c:layout>
        <c:manualLayout>
          <c:xMode val="edge"/>
          <c:yMode val="edge"/>
          <c:x val="3.9660387755397979E-2"/>
          <c:y val="0.79042195443585217"/>
          <c:w val="0.88258285263088621"/>
          <c:h val="9.03746253592075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CA" sz="1200"/>
              <a:t>Durée de dotation interne</a:t>
            </a:r>
          </a:p>
          <a:p>
            <a:pPr>
              <a:defRPr sz="1100"/>
            </a:pPr>
            <a:r>
              <a:rPr lang="en-CA" sz="1200"/>
              <a:t>Médiane pour la fonction publique = 176 jours</a:t>
            </a:r>
          </a:p>
          <a:p>
            <a:pPr>
              <a:defRPr sz="1100"/>
            </a:pPr>
            <a:r>
              <a:rPr lang="en-CA" sz="1200"/>
              <a:t> 2018-2019</a:t>
            </a:r>
          </a:p>
        </c:rich>
      </c:tx>
      <c:layout>
        <c:manualLayout>
          <c:xMode val="edge"/>
          <c:yMode val="edge"/>
          <c:x val="0.22475140860343554"/>
          <c:y val="3.6183406672166394E-3"/>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60475395121065"/>
          <c:y val="0.21433521840697753"/>
          <c:w val="0.85778504959607327"/>
          <c:h val="0.53656772284907683"/>
        </c:manualLayout>
      </c:layout>
      <c:barChart>
        <c:barDir val="col"/>
        <c:grouping val="stacked"/>
        <c:varyColors val="0"/>
        <c:ser>
          <c:idx val="0"/>
          <c:order val="0"/>
          <c:tx>
            <c:strRef>
              <c:f>Sheet1!$B$1</c:f>
              <c:strCache>
                <c:ptCount val="1"/>
                <c:pt idx="0">
                  <c:v>Jours civils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Sheet1!$A$2:$A$36</c:f>
              <c:strCache>
                <c:ptCount val="35"/>
                <c:pt idx="0">
                  <c:v>0</c:v>
                </c:pt>
                <c:pt idx="1">
                  <c:v>0-29</c:v>
                </c:pt>
                <c:pt idx="2">
                  <c:v>30-59</c:v>
                </c:pt>
                <c:pt idx="3">
                  <c:v>60-89</c:v>
                </c:pt>
                <c:pt idx="4">
                  <c:v>90-119</c:v>
                </c:pt>
                <c:pt idx="5">
                  <c:v>120-149</c:v>
                </c:pt>
                <c:pt idx="6">
                  <c:v>150-179</c:v>
                </c:pt>
                <c:pt idx="7">
                  <c:v>180-209</c:v>
                </c:pt>
                <c:pt idx="8">
                  <c:v>210-239</c:v>
                </c:pt>
                <c:pt idx="9">
                  <c:v>240-269</c:v>
                </c:pt>
                <c:pt idx="10">
                  <c:v>270-299</c:v>
                </c:pt>
                <c:pt idx="11">
                  <c:v>300-329</c:v>
                </c:pt>
                <c:pt idx="12">
                  <c:v>330-359</c:v>
                </c:pt>
                <c:pt idx="13">
                  <c:v>360-389</c:v>
                </c:pt>
                <c:pt idx="14">
                  <c:v>390-419</c:v>
                </c:pt>
                <c:pt idx="15">
                  <c:v>420-449</c:v>
                </c:pt>
                <c:pt idx="16">
                  <c:v>450-479</c:v>
                </c:pt>
                <c:pt idx="17">
                  <c:v>480-509</c:v>
                </c:pt>
                <c:pt idx="18">
                  <c:v>510-539</c:v>
                </c:pt>
                <c:pt idx="19">
                  <c:v>540-569</c:v>
                </c:pt>
                <c:pt idx="20">
                  <c:v>570-599</c:v>
                </c:pt>
                <c:pt idx="21">
                  <c:v>600-629</c:v>
                </c:pt>
                <c:pt idx="22">
                  <c:v>630-659</c:v>
                </c:pt>
                <c:pt idx="23">
                  <c:v>660-689</c:v>
                </c:pt>
                <c:pt idx="24">
                  <c:v>690-719</c:v>
                </c:pt>
                <c:pt idx="25">
                  <c:v>720-749</c:v>
                </c:pt>
                <c:pt idx="26">
                  <c:v>750-779</c:v>
                </c:pt>
                <c:pt idx="27">
                  <c:v>780-809</c:v>
                </c:pt>
                <c:pt idx="28">
                  <c:v>810-839</c:v>
                </c:pt>
                <c:pt idx="29">
                  <c:v>840-869</c:v>
                </c:pt>
                <c:pt idx="30">
                  <c:v>870-899</c:v>
                </c:pt>
                <c:pt idx="31">
                  <c:v>900-929</c:v>
                </c:pt>
                <c:pt idx="32">
                  <c:v>930-959</c:v>
                </c:pt>
                <c:pt idx="33">
                  <c:v>960-989</c:v>
                </c:pt>
                <c:pt idx="34">
                  <c:v>&gt;990</c:v>
                </c:pt>
              </c:strCache>
            </c:strRef>
          </c:cat>
          <c:val>
            <c:numRef>
              <c:f>Sheet1!$B$2:$B$36</c:f>
              <c:numCache>
                <c:formatCode>General</c:formatCode>
                <c:ptCount val="35"/>
                <c:pt idx="0">
                  <c:v>0</c:v>
                </c:pt>
                <c:pt idx="1">
                  <c:v>15</c:v>
                </c:pt>
                <c:pt idx="2">
                  <c:v>124</c:v>
                </c:pt>
                <c:pt idx="3">
                  <c:v>265</c:v>
                </c:pt>
                <c:pt idx="4">
                  <c:v>384</c:v>
                </c:pt>
                <c:pt idx="5">
                  <c:v>354</c:v>
                </c:pt>
                <c:pt idx="6">
                  <c:v>311</c:v>
                </c:pt>
                <c:pt idx="7">
                  <c:v>269</c:v>
                </c:pt>
                <c:pt idx="8">
                  <c:v>234</c:v>
                </c:pt>
                <c:pt idx="9">
                  <c:v>159</c:v>
                </c:pt>
                <c:pt idx="10">
                  <c:v>128</c:v>
                </c:pt>
                <c:pt idx="11">
                  <c:v>102</c:v>
                </c:pt>
                <c:pt idx="12">
                  <c:v>77</c:v>
                </c:pt>
                <c:pt idx="13">
                  <c:v>58</c:v>
                </c:pt>
                <c:pt idx="14">
                  <c:v>51</c:v>
                </c:pt>
                <c:pt idx="15">
                  <c:v>49</c:v>
                </c:pt>
                <c:pt idx="16">
                  <c:v>40</c:v>
                </c:pt>
                <c:pt idx="17">
                  <c:v>38</c:v>
                </c:pt>
                <c:pt idx="18">
                  <c:v>31</c:v>
                </c:pt>
                <c:pt idx="19">
                  <c:v>23</c:v>
                </c:pt>
                <c:pt idx="20">
                  <c:v>21</c:v>
                </c:pt>
                <c:pt idx="21">
                  <c:v>10</c:v>
                </c:pt>
                <c:pt idx="22">
                  <c:v>19</c:v>
                </c:pt>
                <c:pt idx="23">
                  <c:v>3</c:v>
                </c:pt>
                <c:pt idx="24">
                  <c:v>12</c:v>
                </c:pt>
                <c:pt idx="25">
                  <c:v>6</c:v>
                </c:pt>
                <c:pt idx="26">
                  <c:v>5</c:v>
                </c:pt>
                <c:pt idx="27">
                  <c:v>8</c:v>
                </c:pt>
                <c:pt idx="28">
                  <c:v>3</c:v>
                </c:pt>
                <c:pt idx="29">
                  <c:v>10</c:v>
                </c:pt>
                <c:pt idx="30">
                  <c:v>4</c:v>
                </c:pt>
                <c:pt idx="31">
                  <c:v>5</c:v>
                </c:pt>
                <c:pt idx="32">
                  <c:v>4</c:v>
                </c:pt>
                <c:pt idx="33">
                  <c:v>3</c:v>
                </c:pt>
                <c:pt idx="34">
                  <c:v>23</c:v>
                </c:pt>
              </c:numCache>
            </c:numRef>
          </c:val>
        </c:ser>
        <c:dLbls>
          <c:showLegendKey val="0"/>
          <c:showVal val="0"/>
          <c:showCatName val="0"/>
          <c:showSerName val="0"/>
          <c:showPercent val="0"/>
          <c:showBubbleSize val="0"/>
        </c:dLbls>
        <c:gapWidth val="150"/>
        <c:overlap val="100"/>
        <c:axId val="367796464"/>
        <c:axId val="367796856"/>
      </c:barChart>
      <c:catAx>
        <c:axId val="367796464"/>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Jours civils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67796856"/>
        <c:crosses val="autoZero"/>
        <c:auto val="1"/>
        <c:lblAlgn val="ctr"/>
        <c:lblOffset val="100"/>
        <c:noMultiLvlLbl val="0"/>
      </c:catAx>
      <c:valAx>
        <c:axId val="3677968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Fréquence</a:t>
                </a:r>
              </a:p>
            </c:rich>
          </c:tx>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677964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CA" sz="1200"/>
              <a:t>Durée de dotation externe</a:t>
            </a:r>
          </a:p>
          <a:p>
            <a:pPr>
              <a:defRPr sz="1100"/>
            </a:pPr>
            <a:r>
              <a:rPr lang="en-CA" sz="1200"/>
              <a:t>Médiane pour la fonction publique = 186 jours</a:t>
            </a:r>
          </a:p>
          <a:p>
            <a:pPr>
              <a:defRPr sz="1100"/>
            </a:pPr>
            <a:r>
              <a:rPr lang="en-CA" sz="1200"/>
              <a:t> 2018-2019</a:t>
            </a:r>
          </a:p>
        </c:rich>
      </c:tx>
      <c:layout>
        <c:manualLayout>
          <c:xMode val="edge"/>
          <c:yMode val="edge"/>
          <c:x val="0.25163059163059165"/>
          <c:y val="1.2782062036059926E-2"/>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560475395121065"/>
          <c:y val="0.21433521840697753"/>
          <c:w val="0.85778504959607327"/>
          <c:h val="0.53656772284907683"/>
        </c:manualLayout>
      </c:layout>
      <c:barChart>
        <c:barDir val="col"/>
        <c:grouping val="stacked"/>
        <c:varyColors val="0"/>
        <c:ser>
          <c:idx val="0"/>
          <c:order val="0"/>
          <c:tx>
            <c:strRef>
              <c:f>Sheet1!$B$1</c:f>
              <c:strCache>
                <c:ptCount val="1"/>
                <c:pt idx="0">
                  <c:v>Duration in Calendar Days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Sheet1!$A$2:$A$36</c:f>
              <c:strCache>
                <c:ptCount val="35"/>
                <c:pt idx="0">
                  <c:v>0</c:v>
                </c:pt>
                <c:pt idx="1">
                  <c:v>0-29</c:v>
                </c:pt>
                <c:pt idx="2">
                  <c:v>30-59</c:v>
                </c:pt>
                <c:pt idx="3">
                  <c:v>60-89</c:v>
                </c:pt>
                <c:pt idx="4">
                  <c:v>90-119</c:v>
                </c:pt>
                <c:pt idx="5">
                  <c:v>120-149</c:v>
                </c:pt>
                <c:pt idx="6">
                  <c:v>150-179</c:v>
                </c:pt>
                <c:pt idx="7">
                  <c:v>180-209</c:v>
                </c:pt>
                <c:pt idx="8">
                  <c:v>210-239</c:v>
                </c:pt>
                <c:pt idx="9">
                  <c:v>240-269</c:v>
                </c:pt>
                <c:pt idx="10">
                  <c:v>270-299</c:v>
                </c:pt>
                <c:pt idx="11">
                  <c:v>300-329</c:v>
                </c:pt>
                <c:pt idx="12">
                  <c:v>330-359</c:v>
                </c:pt>
                <c:pt idx="13">
                  <c:v>360-389</c:v>
                </c:pt>
                <c:pt idx="14">
                  <c:v>390-419</c:v>
                </c:pt>
                <c:pt idx="15">
                  <c:v>420-449</c:v>
                </c:pt>
                <c:pt idx="16">
                  <c:v>450-479</c:v>
                </c:pt>
                <c:pt idx="17">
                  <c:v>480-509</c:v>
                </c:pt>
                <c:pt idx="18">
                  <c:v>510-539</c:v>
                </c:pt>
                <c:pt idx="19">
                  <c:v>540-569</c:v>
                </c:pt>
                <c:pt idx="20">
                  <c:v>570-599</c:v>
                </c:pt>
                <c:pt idx="21">
                  <c:v>600-629</c:v>
                </c:pt>
                <c:pt idx="22">
                  <c:v>630-659</c:v>
                </c:pt>
                <c:pt idx="23">
                  <c:v>660-689</c:v>
                </c:pt>
                <c:pt idx="24">
                  <c:v>690-719</c:v>
                </c:pt>
                <c:pt idx="25">
                  <c:v>720-749</c:v>
                </c:pt>
                <c:pt idx="26">
                  <c:v>750-779</c:v>
                </c:pt>
                <c:pt idx="27">
                  <c:v>780-809</c:v>
                </c:pt>
                <c:pt idx="28">
                  <c:v>810-839</c:v>
                </c:pt>
                <c:pt idx="29">
                  <c:v>840-869</c:v>
                </c:pt>
                <c:pt idx="30">
                  <c:v>870-899</c:v>
                </c:pt>
                <c:pt idx="31">
                  <c:v>900-929</c:v>
                </c:pt>
                <c:pt idx="32">
                  <c:v>930-959</c:v>
                </c:pt>
                <c:pt idx="33">
                  <c:v>960-989</c:v>
                </c:pt>
                <c:pt idx="34">
                  <c:v>&gt;990</c:v>
                </c:pt>
              </c:strCache>
            </c:strRef>
          </c:cat>
          <c:val>
            <c:numRef>
              <c:f>Sheet1!$B$2:$B$36</c:f>
              <c:numCache>
                <c:formatCode>General</c:formatCode>
                <c:ptCount val="35"/>
                <c:pt idx="0">
                  <c:v>0</c:v>
                </c:pt>
                <c:pt idx="1">
                  <c:v>49</c:v>
                </c:pt>
                <c:pt idx="2">
                  <c:v>82</c:v>
                </c:pt>
                <c:pt idx="3">
                  <c:v>124</c:v>
                </c:pt>
                <c:pt idx="4">
                  <c:v>160</c:v>
                </c:pt>
                <c:pt idx="5">
                  <c:v>181</c:v>
                </c:pt>
                <c:pt idx="6">
                  <c:v>179</c:v>
                </c:pt>
                <c:pt idx="7">
                  <c:v>160</c:v>
                </c:pt>
                <c:pt idx="8">
                  <c:v>139</c:v>
                </c:pt>
                <c:pt idx="9">
                  <c:v>84</c:v>
                </c:pt>
                <c:pt idx="10">
                  <c:v>73</c:v>
                </c:pt>
                <c:pt idx="11">
                  <c:v>61</c:v>
                </c:pt>
                <c:pt idx="12">
                  <c:v>41</c:v>
                </c:pt>
                <c:pt idx="13">
                  <c:v>43</c:v>
                </c:pt>
                <c:pt idx="14">
                  <c:v>49</c:v>
                </c:pt>
                <c:pt idx="15">
                  <c:v>35</c:v>
                </c:pt>
                <c:pt idx="16">
                  <c:v>22</c:v>
                </c:pt>
                <c:pt idx="17">
                  <c:v>27</c:v>
                </c:pt>
                <c:pt idx="18">
                  <c:v>17</c:v>
                </c:pt>
                <c:pt idx="19">
                  <c:v>15</c:v>
                </c:pt>
                <c:pt idx="20">
                  <c:v>14</c:v>
                </c:pt>
                <c:pt idx="21">
                  <c:v>12</c:v>
                </c:pt>
                <c:pt idx="22">
                  <c:v>7</c:v>
                </c:pt>
                <c:pt idx="23">
                  <c:v>5</c:v>
                </c:pt>
                <c:pt idx="24">
                  <c:v>7</c:v>
                </c:pt>
                <c:pt idx="25">
                  <c:v>11</c:v>
                </c:pt>
                <c:pt idx="26">
                  <c:v>3</c:v>
                </c:pt>
                <c:pt idx="27">
                  <c:v>7</c:v>
                </c:pt>
                <c:pt idx="28">
                  <c:v>2</c:v>
                </c:pt>
                <c:pt idx="29">
                  <c:v>2</c:v>
                </c:pt>
                <c:pt idx="30">
                  <c:v>0</c:v>
                </c:pt>
                <c:pt idx="31">
                  <c:v>3</c:v>
                </c:pt>
                <c:pt idx="32">
                  <c:v>1</c:v>
                </c:pt>
                <c:pt idx="33">
                  <c:v>0</c:v>
                </c:pt>
                <c:pt idx="34">
                  <c:v>0</c:v>
                </c:pt>
              </c:numCache>
            </c:numRef>
          </c:val>
        </c:ser>
        <c:dLbls>
          <c:showLegendKey val="0"/>
          <c:showVal val="0"/>
          <c:showCatName val="0"/>
          <c:showSerName val="0"/>
          <c:showPercent val="0"/>
          <c:showBubbleSize val="0"/>
        </c:dLbls>
        <c:gapWidth val="150"/>
        <c:overlap val="100"/>
        <c:axId val="368924448"/>
        <c:axId val="368926408"/>
      </c:barChart>
      <c:catAx>
        <c:axId val="368924448"/>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Jours civils</a:t>
                </a:r>
              </a:p>
            </c:rich>
          </c:tx>
          <c:layout>
            <c:manualLayout>
              <c:xMode val="edge"/>
              <c:yMode val="edge"/>
              <c:x val="0.44497346922543773"/>
              <c:y val="0.9171130412822108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68926408"/>
        <c:crosses val="autoZero"/>
        <c:auto val="1"/>
        <c:lblAlgn val="ctr"/>
        <c:lblOffset val="100"/>
        <c:noMultiLvlLbl val="0"/>
      </c:catAx>
      <c:valAx>
        <c:axId val="3689264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CA"/>
                  <a:t>Fréquence</a:t>
                </a:r>
              </a:p>
            </c:rich>
          </c:tx>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689244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US" sz="1200"/>
              <a:t>Population selon le profil linguistique au 31 mars 2019 (N=30)</a:t>
            </a:r>
            <a:endParaRPr lang="en-CA" sz="1200"/>
          </a:p>
        </c:rich>
      </c:tx>
      <c:layout>
        <c:manualLayout>
          <c:xMode val="edge"/>
          <c:yMode val="edge"/>
          <c:x val="0.14725646205219109"/>
          <c:y val="3.352977616928321E-3"/>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9.1595553173654358E-3"/>
          <c:y val="0.28853377023524235"/>
          <c:w val="0.99084044468263455"/>
          <c:h val="0.58773454948566217"/>
        </c:manualLayout>
      </c:layout>
      <c:pieChart>
        <c:varyColors val="1"/>
        <c:ser>
          <c:idx val="0"/>
          <c:order val="0"/>
          <c:tx>
            <c:strRef>
              <c:f>Sheet1!$B$1</c:f>
              <c:strCache>
                <c:ptCount val="1"/>
                <c:pt idx="0">
                  <c:v>Population selon le profil linguistique au 31 mars 2018</c:v>
                </c:pt>
              </c:strCache>
            </c:strRef>
          </c:tx>
          <c:spPr>
            <a:ln w="3175">
              <a:noFill/>
            </a:ln>
            <a:effectLst/>
          </c:spPr>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3175">
                <a:noFill/>
              </a:ln>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3175">
                <a:noFill/>
              </a:ln>
              <a:effectLst/>
            </c:spPr>
          </c:dPt>
          <c:dLbls>
            <c:dLbl>
              <c:idx val="0"/>
              <c:layout>
                <c:manualLayout>
                  <c:x val="-5.4537521815008726E-2"/>
                  <c:y val="0.23027166214565495"/>
                </c:manualLayout>
              </c:layout>
              <c:showLegendKey val="0"/>
              <c:showVal val="0"/>
              <c:showCatName val="1"/>
              <c:showSerName val="0"/>
              <c:showPercent val="1"/>
              <c:showBubbleSize val="0"/>
              <c:extLst>
                <c:ext xmlns:c15="http://schemas.microsoft.com/office/drawing/2012/chart" uri="{CE6537A1-D6FC-4f65-9D91-7224C49458BB}">
                  <c15:layout>
                    <c:manualLayout>
                      <c:w val="0.43717277486910994"/>
                      <c:h val="0.16045548654244307"/>
                    </c:manualLayout>
                  </c15:layout>
                </c:ext>
              </c:extLst>
            </c:dLbl>
            <c:dLbl>
              <c:idx val="1"/>
              <c:layout>
                <c:manualLayout>
                  <c:x val="0.17452041335147242"/>
                  <c:y val="-0.18619208469298229"/>
                </c:manualLayout>
              </c:layout>
              <c:showLegendKey val="0"/>
              <c:showVal val="0"/>
              <c:showCatName val="1"/>
              <c:showSerName val="0"/>
              <c:showPercent val="1"/>
              <c:showBubbleSize val="0"/>
              <c:extLst>
                <c:ext xmlns:c15="http://schemas.microsoft.com/office/drawing/2012/chart" uri="{CE6537A1-D6FC-4f65-9D91-7224C49458BB}">
                  <c15:layout>
                    <c:manualLayout>
                      <c:w val="0.34746945898778353"/>
                      <c:h val="0.18610268825092516"/>
                    </c:manualLayout>
                  </c15:layout>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Unilingue</c:v>
                </c:pt>
                <c:pt idx="1">
                  <c:v>Bilingue</c:v>
                </c:pt>
              </c:strCache>
            </c:strRef>
          </c:cat>
          <c:val>
            <c:numRef>
              <c:f>Sheet1!$B$2:$B$3</c:f>
              <c:numCache>
                <c:formatCode>0</c:formatCode>
                <c:ptCount val="2"/>
                <c:pt idx="0">
                  <c:v>17</c:v>
                </c:pt>
                <c:pt idx="1">
                  <c:v>8</c:v>
                </c:pt>
              </c:numCache>
            </c:numRef>
          </c:val>
        </c:ser>
        <c:dLbls>
          <c:showLegendKey val="0"/>
          <c:showVal val="0"/>
          <c:showCatName val="0"/>
          <c:showSerName val="0"/>
          <c:showPercent val="0"/>
          <c:showBubbleSize val="0"/>
          <c:showLeaderLines val="1"/>
        </c:dLbls>
        <c:firstSliceAng val="268"/>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0" u="none" strike="noStrike" kern="1200" spc="0" baseline="0">
                <a:solidFill>
                  <a:sysClr val="windowText" lastClr="000000"/>
                </a:solidFill>
                <a:latin typeface="+mn-lt"/>
                <a:ea typeface="+mn-ea"/>
                <a:cs typeface="+mn-cs"/>
              </a:defRPr>
            </a:pPr>
            <a:r>
              <a:rPr lang="en-US" sz="1200" b="1"/>
              <a:t>Population selon le groupe professionnel au 31 mars 2019</a:t>
            </a:r>
          </a:p>
        </c:rich>
      </c:tx>
      <c:layout>
        <c:manualLayout>
          <c:xMode val="edge"/>
          <c:yMode val="edge"/>
          <c:x val="0.11600522001788885"/>
          <c:y val="9.9741364446232546E-3"/>
        </c:manualLayout>
      </c:layout>
      <c:overlay val="0"/>
      <c:spPr>
        <a:noFill/>
        <a:ln>
          <a:noFill/>
        </a:ln>
        <a:effectLst/>
      </c:spPr>
      <c:txPr>
        <a:bodyPr rot="0" spcFirstLastPara="1" vertOverflow="ellipsis" vert="horz" wrap="square" anchor="ctr" anchorCtr="1"/>
        <a:lstStyle/>
        <a:p>
          <a:pPr algn="ctr">
            <a:defRPr sz="12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3.2974677048050557E-2"/>
          <c:y val="0.30179943484886967"/>
          <c:w val="0.93955862026122472"/>
          <c:h val="0.62025549540682412"/>
        </c:manualLayout>
      </c:layout>
      <c:pieChart>
        <c:varyColors val="1"/>
        <c:ser>
          <c:idx val="0"/>
          <c:order val="0"/>
          <c:tx>
            <c:strRef>
              <c:f>Sheet1!$B$1</c:f>
              <c:strCache>
                <c:ptCount val="1"/>
                <c:pt idx="0">
                  <c:v>Population selon le groupe professionnel au 31 mars 2018</c:v>
                </c:pt>
              </c:strCache>
            </c:strRef>
          </c:tx>
          <c:spPr>
            <a:ln w="3175"/>
          </c:spPr>
          <c:dPt>
            <c:idx val="0"/>
            <c:bubble3D val="0"/>
            <c:spPr>
              <a:solidFill>
                <a:schemeClr val="accent2"/>
              </a:solidFill>
              <a:ln w="3175">
                <a:solidFill>
                  <a:schemeClr val="lt1"/>
                </a:solidFill>
              </a:ln>
              <a:effectLst/>
            </c:spPr>
          </c:dPt>
          <c:dPt>
            <c:idx val="1"/>
            <c:bubble3D val="0"/>
            <c:spPr>
              <a:solidFill>
                <a:schemeClr val="accent1"/>
              </a:solidFill>
              <a:ln w="3175">
                <a:solidFill>
                  <a:schemeClr val="lt1"/>
                </a:solidFill>
              </a:ln>
              <a:effectLst/>
            </c:spPr>
          </c:dPt>
          <c:dPt>
            <c:idx val="2"/>
            <c:bubble3D val="0"/>
            <c:spPr>
              <a:solidFill>
                <a:schemeClr val="bg2">
                  <a:lumMod val="75000"/>
                </a:schemeClr>
              </a:solidFill>
              <a:ln w="3175">
                <a:solidFill>
                  <a:schemeClr val="lt1"/>
                </a:solidFill>
              </a:ln>
              <a:effectLst/>
            </c:spPr>
          </c:dPt>
          <c:dPt>
            <c:idx val="3"/>
            <c:bubble3D val="0"/>
            <c:spPr>
              <a:solidFill>
                <a:schemeClr val="accent6"/>
              </a:solidFill>
              <a:ln w="3175">
                <a:solidFill>
                  <a:schemeClr val="lt1"/>
                </a:solidFill>
              </a:ln>
              <a:effectLst/>
            </c:spPr>
          </c:dPt>
          <c:dLbls>
            <c:dLbl>
              <c:idx val="0"/>
              <c:layout>
                <c:manualLayout>
                  <c:x val="0.12530213052977315"/>
                  <c:y val="-0.131154345006485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13632809865247292"/>
                  <c:y val="2.6436267451004421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3294916347747035"/>
                  <c:y val="0.18006924231747296"/>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1705897135198526"/>
                      <c:h val="0.18653716923516855"/>
                    </c:manualLayout>
                  </c15:layout>
                </c:ext>
              </c:extLst>
            </c:dLbl>
            <c:dLbl>
              <c:idx val="3"/>
              <c:layout>
                <c:manualLayout>
                  <c:x val="-8.1936978548072553E-2"/>
                  <c:y val="6.8696285227120332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0205167173252284"/>
                      <c:h val="0.13359273670557717"/>
                    </c:manualLayout>
                  </c15:layout>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dLblPos val="bestFit"/>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AS</c:v>
                </c:pt>
                <c:pt idx="1">
                  <c:v>PC</c:v>
                </c:pt>
                <c:pt idx="2">
                  <c:v>EX</c:v>
                </c:pt>
                <c:pt idx="3">
                  <c:v>Autre</c:v>
                </c:pt>
              </c:strCache>
            </c:strRef>
          </c:cat>
          <c:val>
            <c:numRef>
              <c:f>Sheet1!$B$2:$B$5</c:f>
              <c:numCache>
                <c:formatCode>General</c:formatCode>
                <c:ptCount val="4"/>
                <c:pt idx="0">
                  <c:v>8</c:v>
                </c:pt>
                <c:pt idx="1">
                  <c:v>6</c:v>
                </c:pt>
                <c:pt idx="2">
                  <c:v>3</c:v>
                </c:pt>
                <c:pt idx="3">
                  <c:v>10</c:v>
                </c:pt>
              </c:numCache>
            </c:numRef>
          </c:val>
        </c:ser>
        <c:dLbls>
          <c:dLblPos val="bestFit"/>
          <c:showLegendKey val="0"/>
          <c:showVal val="1"/>
          <c:showCatName val="0"/>
          <c:showSerName val="0"/>
          <c:showPercent val="0"/>
          <c:showBubbleSize val="0"/>
          <c:showLeaderLines val="1"/>
        </c:dLbls>
        <c:firstSliceAng val="141"/>
      </c:pieChart>
      <c:spPr>
        <a:noFill/>
        <a:ln>
          <a:noFill/>
        </a:ln>
        <a:effectLst/>
      </c:spPr>
    </c:plotArea>
    <c:plotVisOnly val="1"/>
    <c:dispBlanksAs val="gap"/>
    <c:showDLblsOverMax val="0"/>
  </c:chart>
  <c:spPr>
    <a:solidFill>
      <a:schemeClr val="bg1"/>
    </a:solidFill>
    <a:ln w="9525" cap="flat" cmpd="sng" algn="ctr">
      <a:solidFill>
        <a:sysClr val="windowText" lastClr="000000">
          <a:lumMod val="25000"/>
          <a:lumOff val="75000"/>
        </a:sysClr>
      </a:solidFill>
      <a:round/>
    </a:ln>
    <a:effectLst/>
  </c:spPr>
  <c:txPr>
    <a:bodyPr/>
    <a:lstStyle/>
    <a:p>
      <a:pPr>
        <a:defRPr>
          <a:solidFill>
            <a:sysClr val="windowText" lastClr="000000"/>
          </a:solidFill>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US" sz="1200"/>
              <a:t>Population selon la région au 31 mars 2019 (N=30)</a:t>
            </a:r>
            <a:endParaRPr lang="en-CA" sz="1200"/>
          </a:p>
        </c:rich>
      </c:tx>
      <c:layout>
        <c:manualLayout>
          <c:xMode val="edge"/>
          <c:yMode val="edge"/>
          <c:x val="0.14716378861878954"/>
          <c:y val="2.9114322232008636E-2"/>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8.3640109502441232E-2"/>
          <c:y val="0.22221760323437831"/>
          <c:w val="0.84333349635643373"/>
          <c:h val="0.70579860488143109"/>
        </c:manualLayout>
      </c:layout>
      <c:pieChart>
        <c:varyColors val="1"/>
        <c:ser>
          <c:idx val="0"/>
          <c:order val="0"/>
          <c:tx>
            <c:strRef>
              <c:f>Sheet1!$B$1</c:f>
              <c:strCache>
                <c:ptCount val="1"/>
                <c:pt idx="0">
                  <c:v>Population selon la région au 31 mars 2018</c:v>
                </c:pt>
              </c:strCache>
            </c:strRef>
          </c:tx>
          <c:spPr>
            <a:effectLst/>
          </c:spPr>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3175">
                <a:solidFill>
                  <a:schemeClr val="lt1"/>
                </a:solidFill>
              </a:ln>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dPt>
          <c:dLbls>
            <c:dLbl>
              <c:idx val="0"/>
              <c:layout>
                <c:manualLayout>
                  <c:x val="-0.12903225806451613"/>
                  <c:y val="0.22324964313671322"/>
                </c:manualLayout>
              </c:layout>
              <c:showLegendKey val="0"/>
              <c:showVal val="0"/>
              <c:showCatName val="1"/>
              <c:showSerName val="0"/>
              <c:showPercent val="1"/>
              <c:showBubbleSize val="0"/>
              <c:extLst>
                <c:ext xmlns:c15="http://schemas.microsoft.com/office/drawing/2012/chart" uri="{CE6537A1-D6FC-4f65-9D91-7224C49458BB}">
                  <c15:layout>
                    <c:manualLayout>
                      <c:w val="0.37992831541218636"/>
                      <c:h val="0.24456521739130435"/>
                    </c:manualLayout>
                  </c15:layout>
                </c:ext>
              </c:extLst>
            </c:dLbl>
            <c:dLbl>
              <c:idx val="1"/>
              <c:layout>
                <c:manualLayout>
                  <c:x val="0.2293906810035842"/>
                  <c:y val="-0.19046023852281624"/>
                </c:manualLayout>
              </c:layout>
              <c:showLegendKey val="0"/>
              <c:showVal val="0"/>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Extérieur de la RCN</c:v>
                </c:pt>
                <c:pt idx="1">
                  <c:v>RCN</c:v>
                </c:pt>
              </c:strCache>
            </c:strRef>
          </c:cat>
          <c:val>
            <c:numRef>
              <c:f>Sheet1!$B$2:$B$3</c:f>
              <c:numCache>
                <c:formatCode>0</c:formatCode>
                <c:ptCount val="2"/>
                <c:pt idx="0">
                  <c:v>9</c:v>
                </c:pt>
                <c:pt idx="1">
                  <c:v>21</c:v>
                </c:pt>
              </c:numCache>
            </c:numRef>
          </c:val>
        </c:ser>
        <c:dLbls>
          <c:showLegendKey val="0"/>
          <c:showVal val="0"/>
          <c:showCatName val="0"/>
          <c:showSerName val="0"/>
          <c:showPercent val="0"/>
          <c:showBubbleSize val="0"/>
          <c:showLeaderLines val="1"/>
        </c:dLbls>
        <c:firstSliceAng val="351"/>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r>
              <a:rPr lang="en-US" sz="1200" b="1"/>
              <a:t>Embauche externe pour une période indéterminée selon le groupe professionnel,</a:t>
            </a:r>
          </a:p>
          <a:p>
            <a:pPr>
              <a:defRPr sz="1100" b="1"/>
            </a:pPr>
            <a:r>
              <a:rPr lang="en-US" sz="1200" b="1"/>
              <a:t> 2018-2019 (N=2)</a:t>
            </a:r>
          </a:p>
        </c:rich>
      </c:tx>
      <c:layout>
        <c:manualLayout>
          <c:xMode val="edge"/>
          <c:yMode val="edge"/>
          <c:x val="0.14968643412327082"/>
          <c:y val="2.5746642393934736E-2"/>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7.7374957700524771E-2"/>
          <c:y val="0.43143182585776452"/>
          <c:w val="0.8966533531134695"/>
          <c:h val="0.48715812098290862"/>
        </c:manualLayout>
      </c:layout>
      <c:doughnutChart>
        <c:varyColors val="1"/>
        <c:ser>
          <c:idx val="0"/>
          <c:order val="0"/>
          <c:tx>
            <c:strRef>
              <c:f>Sheet1!$B$1</c:f>
              <c:strCache>
                <c:ptCount val="1"/>
                <c:pt idx="0">
                  <c:v>Embauche externe pour une période indéterminée selon le groupe professionnel</c:v>
                </c:pt>
              </c:strCache>
            </c:strRef>
          </c:tx>
          <c:dPt>
            <c:idx val="0"/>
            <c:bubble3D val="0"/>
            <c:spPr>
              <a:solidFill>
                <a:schemeClr val="accent2"/>
              </a:solidFill>
              <a:ln w="19050">
                <a:solidFill>
                  <a:schemeClr val="lt1"/>
                </a:solidFill>
              </a:ln>
              <a:effectLst/>
            </c:spPr>
          </c:dPt>
          <c:dPt>
            <c:idx val="1"/>
            <c:bubble3D val="0"/>
            <c:spPr>
              <a:solidFill>
                <a:schemeClr val="accent6">
                  <a:lumMod val="40000"/>
                  <a:lumOff val="60000"/>
                </a:schemeClr>
              </a:solidFill>
              <a:ln w="19050">
                <a:solidFill>
                  <a:schemeClr val="lt1"/>
                </a:solidFill>
              </a:ln>
              <a:effectLst/>
            </c:spPr>
          </c:dPt>
          <c:dLbls>
            <c:dLbl>
              <c:idx val="0"/>
              <c:layout>
                <c:manualLayout>
                  <c:x val="-9.6620893402817407E-3"/>
                  <c:y val="-3.283741203300744E-3"/>
                </c:manualLayout>
              </c:layout>
              <c:spPr>
                <a:noFill/>
                <a:ln>
                  <a:noFill/>
                </a:ln>
                <a:effectLst/>
              </c:spPr>
              <c:txPr>
                <a:bodyPr rot="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0.24085815360036511"/>
                      <c:h val="0.13880863317282188"/>
                    </c:manualLayout>
                  </c15:layout>
                </c:ext>
              </c:extLst>
            </c:dLbl>
            <c:dLbl>
              <c:idx val="1"/>
              <c:layout>
                <c:manualLayout>
                  <c:x val="-8.4932861653162928E-3"/>
                  <c:y val="3.5162507000249649E-3"/>
                </c:manualLayout>
              </c:layout>
              <c:spPr>
                <a:noFill/>
                <a:ln>
                  <a:no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3123446393897562"/>
                      <c:h val="0.16763557277114552"/>
                    </c:manualLayout>
                  </c15:layout>
                </c:ext>
              </c:extLst>
            </c:dLbl>
            <c:spPr>
              <a:solidFill>
                <a:sysClr val="window" lastClr="FFFFFF"/>
              </a:solidFill>
              <a:ln>
                <a:no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Sheet1!$A$2:$A$3</c:f>
              <c:strCache>
                <c:ptCount val="2"/>
                <c:pt idx="0">
                  <c:v>AS</c:v>
                </c:pt>
                <c:pt idx="1">
                  <c:v>EC</c:v>
                </c:pt>
              </c:strCache>
            </c:strRef>
          </c:cat>
          <c:val>
            <c:numRef>
              <c:f>Sheet1!$B$2:$B$3</c:f>
              <c:numCache>
                <c:formatCode>General</c:formatCode>
                <c:ptCount val="2"/>
                <c:pt idx="0">
                  <c:v>1</c:v>
                </c:pt>
                <c:pt idx="1">
                  <c:v>1</c:v>
                </c:pt>
              </c:numCache>
            </c:numRef>
          </c:val>
        </c:ser>
        <c:dLbls>
          <c:showLegendKey val="0"/>
          <c:showVal val="0"/>
          <c:showCatName val="0"/>
          <c:showSerName val="0"/>
          <c:showPercent val="0"/>
          <c:showBubbleSize val="0"/>
          <c:showLeaderLines val="0"/>
        </c:dLbls>
        <c:firstSliceAng val="120"/>
        <c:holeSize val="50"/>
      </c:doughnutChart>
      <c:spPr>
        <a:noFill/>
        <a:ln>
          <a:noFill/>
        </a:ln>
        <a:effectLst/>
      </c:spPr>
    </c:plotArea>
    <c:plotVisOnly val="1"/>
    <c:dispBlanksAs val="gap"/>
    <c:showDLblsOverMax val="0"/>
  </c:chart>
  <c:spPr>
    <a:solidFill>
      <a:schemeClr val="bg1"/>
    </a:solidFill>
    <a:ln w="9525" cap="flat" cmpd="sng" algn="ctr">
      <a:solidFill>
        <a:sysClr val="windowText" lastClr="000000">
          <a:lumMod val="25000"/>
          <a:lumOff val="75000"/>
        </a:sysClr>
      </a:solidFill>
      <a:round/>
    </a:ln>
    <a:effectLst/>
  </c:spPr>
  <c:txPr>
    <a:bodyPr/>
    <a:lstStyle/>
    <a:p>
      <a:pPr>
        <a:defRPr>
          <a:solidFill>
            <a:sysClr val="windowText" lastClr="000000"/>
          </a:solidFill>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CA" sz="1200"/>
              <a:t>Dotation selon la région</a:t>
            </a:r>
          </a:p>
        </c:rich>
      </c:tx>
      <c:layout>
        <c:manualLayout>
          <c:xMode val="edge"/>
          <c:yMode val="edge"/>
          <c:x val="0.34677731893968561"/>
          <c:y val="2.4056995999849118E-2"/>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0.10951817700419027"/>
          <c:y val="0.12158656628431981"/>
          <c:w val="0.84333349635643373"/>
          <c:h val="0.61671174519323513"/>
        </c:manualLayout>
      </c:layout>
      <c:barChart>
        <c:barDir val="col"/>
        <c:grouping val="clustered"/>
        <c:varyColors val="0"/>
        <c:ser>
          <c:idx val="0"/>
          <c:order val="0"/>
          <c:tx>
            <c:strRef>
              <c:f>Sheet1!$B$1</c:f>
              <c:strCache>
                <c:ptCount val="1"/>
                <c:pt idx="0">
                  <c:v>Région de la capitale nationale (RCN)</c:v>
                </c:pt>
              </c:strCache>
            </c:strRef>
          </c:tx>
          <c:spPr>
            <a:solidFill>
              <a:schemeClr val="accent2"/>
            </a:solidFill>
            <a:ln>
              <a:noFill/>
            </a:ln>
            <a:effectLst>
              <a:outerShdw blurRad="57150" dist="19050" dir="5400000" algn="ctr" rotWithShape="0">
                <a:srgbClr val="000000">
                  <a:alpha val="63000"/>
                </a:srgbClr>
              </a:outerShdw>
            </a:effectLst>
          </c:spPr>
          <c:invertIfNegative val="0"/>
          <c:dLbls>
            <c:dLbl>
              <c:idx val="0"/>
              <c:layout>
                <c:manualLayout>
                  <c:x val="-8.3332646246444333E-3"/>
                  <c:y val="1.049501486793772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7.0912188608003284E-3"/>
                  <c:y val="1.370567072126092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1880093935626467E-3"/>
                  <c:y val="1.399327396907320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9.0459087350923239E-3"/>
                  <c:y val="1.392150805545400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3.12543168945987E-3"/>
                  <c:y val="1.4487001871039891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c:v>
                </c:pt>
                <c:pt idx="1">
                  <c:v>2015-2016</c:v>
                </c:pt>
                <c:pt idx="2">
                  <c:v>2016-2017</c:v>
                </c:pt>
                <c:pt idx="3">
                  <c:v>2017-2018</c:v>
                </c:pt>
                <c:pt idx="4">
                  <c:v>2018-2019</c:v>
                </c:pt>
              </c:strCache>
            </c:strRef>
          </c:cat>
          <c:val>
            <c:numRef>
              <c:f>Sheet1!$B$2:$B$6</c:f>
              <c:numCache>
                <c:formatCode>0%</c:formatCode>
                <c:ptCount val="5"/>
                <c:pt idx="0">
                  <c:v>0.68</c:v>
                </c:pt>
                <c:pt idx="1">
                  <c:v>0.63</c:v>
                </c:pt>
                <c:pt idx="2">
                  <c:v>0.95</c:v>
                </c:pt>
                <c:pt idx="3">
                  <c:v>0.94</c:v>
                </c:pt>
                <c:pt idx="4">
                  <c:v>0.82</c:v>
                </c:pt>
              </c:numCache>
            </c:numRef>
          </c:val>
        </c:ser>
        <c:ser>
          <c:idx val="1"/>
          <c:order val="1"/>
          <c:tx>
            <c:strRef>
              <c:f>Sheet1!$C$1</c:f>
              <c:strCache>
                <c:ptCount val="1"/>
                <c:pt idx="0">
                  <c:v>Extérieur de la Région de la capitale nationale (RCN)</c:v>
                </c:pt>
              </c:strCache>
            </c:strRef>
          </c:tx>
          <c:spPr>
            <a:solidFill>
              <a:schemeClr val="accent1"/>
            </a:solidFill>
            <a:ln>
              <a:noFill/>
            </a:ln>
            <a:effectLst>
              <a:outerShdw blurRad="57150" dist="19050" dir="5400000" algn="ctr" rotWithShape="0">
                <a:srgbClr val="000000">
                  <a:alpha val="63000"/>
                </a:srgbClr>
              </a:outerShdw>
            </a:effectLst>
          </c:spPr>
          <c:invertIfNegative val="0"/>
          <c:dLbls>
            <c:dLbl>
              <c:idx val="0"/>
              <c:layout>
                <c:manualLayout>
                  <c:x val="1.1294147442096053E-2"/>
                  <c:y val="1.342238422013243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0800294700004537E-2"/>
                  <c:y val="1.126643904821125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8.1871345029239772E-3"/>
                  <c:y val="1.183220266046487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0964912280701754E-2"/>
                  <c:y val="1.525862034078010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4784500621632822E-2"/>
                  <c:y val="7.1404386084427474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c:v>
                </c:pt>
                <c:pt idx="1">
                  <c:v>2015-2016</c:v>
                </c:pt>
                <c:pt idx="2">
                  <c:v>2016-2017</c:v>
                </c:pt>
                <c:pt idx="3">
                  <c:v>2017-2018</c:v>
                </c:pt>
                <c:pt idx="4">
                  <c:v>2018-2019</c:v>
                </c:pt>
              </c:strCache>
            </c:strRef>
          </c:cat>
          <c:val>
            <c:numRef>
              <c:f>Sheet1!$C$2:$C$6</c:f>
              <c:numCache>
                <c:formatCode>0%</c:formatCode>
                <c:ptCount val="5"/>
                <c:pt idx="0">
                  <c:v>0.32</c:v>
                </c:pt>
                <c:pt idx="1">
                  <c:v>0.37</c:v>
                </c:pt>
                <c:pt idx="2">
                  <c:v>0.05</c:v>
                </c:pt>
                <c:pt idx="3">
                  <c:v>0.06</c:v>
                </c:pt>
                <c:pt idx="4">
                  <c:v>0.18</c:v>
                </c:pt>
              </c:numCache>
            </c:numRef>
          </c:val>
        </c:ser>
        <c:dLbls>
          <c:showLegendKey val="0"/>
          <c:showVal val="0"/>
          <c:showCatName val="0"/>
          <c:showSerName val="0"/>
          <c:showPercent val="0"/>
          <c:showBubbleSize val="0"/>
        </c:dLbls>
        <c:gapWidth val="150"/>
        <c:axId val="365564080"/>
        <c:axId val="367801168"/>
      </c:barChart>
      <c:catAx>
        <c:axId val="36556408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67801168"/>
        <c:crosses val="autoZero"/>
        <c:auto val="1"/>
        <c:lblAlgn val="ctr"/>
        <c:lblOffset val="100"/>
        <c:noMultiLvlLbl val="0"/>
      </c:catAx>
      <c:valAx>
        <c:axId val="367801168"/>
        <c:scaling>
          <c:orientation val="minMax"/>
          <c:max val="1"/>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65564080"/>
        <c:crosses val="autoZero"/>
        <c:crossBetween val="between"/>
      </c:valAx>
      <c:spPr>
        <a:noFill/>
        <a:ln>
          <a:noFill/>
        </a:ln>
        <a:effectLst/>
      </c:spPr>
    </c:plotArea>
    <c:legend>
      <c:legendPos val="b"/>
      <c:layout>
        <c:manualLayout>
          <c:xMode val="edge"/>
          <c:yMode val="edge"/>
          <c:x val="8.3406144955564754E-2"/>
          <c:y val="0.83428252297655869"/>
          <c:w val="0.8251991527374869"/>
          <c:h val="0.1090787927678305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CA" sz="1200"/>
              <a:t>Dotation selon le type de processus</a:t>
            </a:r>
          </a:p>
        </c:rich>
      </c:tx>
      <c:layout>
        <c:manualLayout>
          <c:xMode val="edge"/>
          <c:yMode val="edge"/>
          <c:x val="0.30915713950595969"/>
          <c:y val="2.4632007439395007E-2"/>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8.9229225927910855E-2"/>
          <c:y val="5.3058212678015221E-2"/>
          <c:w val="0.84333349635643373"/>
          <c:h val="0.56874193419543051"/>
        </c:manualLayout>
      </c:layout>
      <c:barChart>
        <c:barDir val="col"/>
        <c:grouping val="clustered"/>
        <c:varyColors val="0"/>
        <c:ser>
          <c:idx val="0"/>
          <c:order val="0"/>
          <c:tx>
            <c:strRef>
              <c:f>Sheet1!$B$1</c:f>
              <c:strCache>
                <c:ptCount val="1"/>
                <c:pt idx="0">
                  <c:v>Non annoncé (ne tient pas compte des types de processus inconnus)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8.3332646246444333E-3"/>
                  <c:y val="1.049501486793772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3799178244080744E-3"/>
                  <c:y val="3.4264176803151048E-3"/>
                </c:manualLayout>
              </c:layout>
              <c:tx>
                <c:rich>
                  <a:bodyPr/>
                  <a:lstStyle/>
                  <a:p>
                    <a:r>
                      <a:rPr lang="en-US"/>
                      <a:t>S/O</a:t>
                    </a:r>
                  </a:p>
                </c:rich>
              </c:tx>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4.8428632284839377E-3"/>
                  <c:y val="2.8760324781222348E-4"/>
                </c:manualLayout>
              </c:layout>
              <c:tx>
                <c:rich>
                  <a:bodyPr/>
                  <a:lstStyle/>
                  <a:p>
                    <a:r>
                      <a:rPr lang="en-US"/>
                      <a:t>S/O</a:t>
                    </a:r>
                  </a:p>
                </c:rich>
              </c:tx>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9.0459111459235131E-3"/>
                  <c:y val="1.049509037513877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4.8428632284840019E-3"/>
                  <c:y val="1.7913419551355121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c:v>
                </c:pt>
                <c:pt idx="1">
                  <c:v>2015-2016 </c:v>
                </c:pt>
                <c:pt idx="2">
                  <c:v>2016-2017</c:v>
                </c:pt>
                <c:pt idx="3">
                  <c:v>2017-2018</c:v>
                </c:pt>
                <c:pt idx="4">
                  <c:v>2018-2019</c:v>
                </c:pt>
              </c:strCache>
            </c:strRef>
          </c:cat>
          <c:val>
            <c:numRef>
              <c:f>Sheet1!$B$2:$B$6</c:f>
              <c:numCache>
                <c:formatCode>#\ ###</c:formatCode>
                <c:ptCount val="5"/>
                <c:pt idx="0">
                  <c:v>2</c:v>
                </c:pt>
                <c:pt idx="1">
                  <c:v>0</c:v>
                </c:pt>
                <c:pt idx="2">
                  <c:v>0</c:v>
                </c:pt>
                <c:pt idx="3">
                  <c:v>1</c:v>
                </c:pt>
                <c:pt idx="4">
                  <c:v>2</c:v>
                </c:pt>
              </c:numCache>
            </c:numRef>
          </c:val>
        </c:ser>
        <c:ser>
          <c:idx val="1"/>
          <c:order val="1"/>
          <c:tx>
            <c:strRef>
              <c:f>Sheet1!$C$1</c:f>
              <c:strCache>
                <c:ptCount val="1"/>
                <c:pt idx="0">
                  <c:v>Annoncé</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3.4904013961605585E-3"/>
                  <c:y val="1.684880190044772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4904013961606223E-3"/>
                  <c:y val="1.469285672852654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777548748815417E-3"/>
                  <c:y val="1.525853959526705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2797990609109102E-16"/>
                  <c:y val="1.183220266046494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6.9808027923211171E-3"/>
                  <c:y val="1.7419691649388409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c:v>
                </c:pt>
                <c:pt idx="1">
                  <c:v>2015-2016 </c:v>
                </c:pt>
                <c:pt idx="2">
                  <c:v>2016-2017</c:v>
                </c:pt>
                <c:pt idx="3">
                  <c:v>2017-2018</c:v>
                </c:pt>
                <c:pt idx="4">
                  <c:v>2018-2019</c:v>
                </c:pt>
              </c:strCache>
            </c:strRef>
          </c:cat>
          <c:val>
            <c:numRef>
              <c:f>Sheet1!$C$2:$C$6</c:f>
              <c:numCache>
                <c:formatCode>#\ ###</c:formatCode>
                <c:ptCount val="5"/>
                <c:pt idx="0">
                  <c:v>5</c:v>
                </c:pt>
                <c:pt idx="1">
                  <c:v>0</c:v>
                </c:pt>
                <c:pt idx="2">
                  <c:v>0</c:v>
                </c:pt>
                <c:pt idx="3">
                  <c:v>2</c:v>
                </c:pt>
                <c:pt idx="4">
                  <c:v>5</c:v>
                </c:pt>
              </c:numCache>
            </c:numRef>
          </c:val>
        </c:ser>
        <c:dLbls>
          <c:showLegendKey val="0"/>
          <c:showVal val="0"/>
          <c:showCatName val="0"/>
          <c:showSerName val="0"/>
          <c:showPercent val="0"/>
          <c:showBubbleSize val="0"/>
        </c:dLbls>
        <c:gapWidth val="150"/>
        <c:axId val="367799992"/>
        <c:axId val="367800384"/>
      </c:barChart>
      <c:catAx>
        <c:axId val="36779999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67800384"/>
        <c:crosses val="autoZero"/>
        <c:auto val="1"/>
        <c:lblAlgn val="ctr"/>
        <c:lblOffset val="100"/>
        <c:noMultiLvlLbl val="0"/>
      </c:catAx>
      <c:valAx>
        <c:axId val="367800384"/>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67799992"/>
        <c:crosses val="autoZero"/>
        <c:crossBetween val="between"/>
      </c:valAx>
      <c:spPr>
        <a:noFill/>
        <a:ln>
          <a:noFill/>
        </a:ln>
        <a:effectLst/>
      </c:spPr>
    </c:plotArea>
    <c:legend>
      <c:legendPos val="b"/>
      <c:layout>
        <c:manualLayout>
          <c:xMode val="edge"/>
          <c:yMode val="edge"/>
          <c:x val="1.3961605584642234E-2"/>
          <c:y val="0.67666732317897038"/>
          <c:w val="0.98603839441535779"/>
          <c:h val="7.401089169147671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CA" sz="1200"/>
              <a:t>Dotation selon le type de nomination</a:t>
            </a:r>
          </a:p>
        </c:rich>
      </c:tx>
      <c:layout>
        <c:manualLayout>
          <c:xMode val="edge"/>
          <c:yMode val="edge"/>
          <c:x val="0.30405704345978674"/>
          <c:y val="3.2946876224933454E-2"/>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40835520559928"/>
          <c:y val="0.1339700040434969"/>
          <c:w val="0.84333349635643373"/>
          <c:h val="0.55364490207954775"/>
        </c:manualLayout>
      </c:layout>
      <c:bar3DChart>
        <c:barDir val="col"/>
        <c:grouping val="clustered"/>
        <c:varyColors val="0"/>
        <c:ser>
          <c:idx val="0"/>
          <c:order val="0"/>
          <c:tx>
            <c:strRef>
              <c:f>Sheet1!$B$1</c:f>
              <c:strCache>
                <c:ptCount val="1"/>
                <c:pt idx="0">
                  <c:v>Promotions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1.5182852143482065E-2"/>
                  <c:y val="2.58878255602664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388888888888894E-2"/>
                  <c:y val="2.37028063799717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388888888888894E-2"/>
                  <c:y val="2.388532202705431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8.3333333333333332E-3"/>
                  <c:y val="1.941772663032505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8.3333333333334356E-3"/>
                  <c:y val="2.3885322027054311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2014-2015 
(N=22)</c:v>
                </c:pt>
                <c:pt idx="1">
                  <c:v>2015-2016
(N=16)</c:v>
                </c:pt>
                <c:pt idx="2">
                  <c:v>2016-2017 
(N=19)</c:v>
                </c:pt>
                <c:pt idx="3">
                  <c:v>2017-2018
(N=17)</c:v>
                </c:pt>
                <c:pt idx="4">
                  <c:v>2018-2019
(N=17)</c:v>
                </c:pt>
              </c:strCache>
            </c:strRef>
          </c:cat>
          <c:val>
            <c:numRef>
              <c:f>Sheet1!$B$3:$B$7</c:f>
              <c:numCache>
                <c:formatCode>#\ ###</c:formatCode>
                <c:ptCount val="5"/>
                <c:pt idx="0">
                  <c:v>3</c:v>
                </c:pt>
                <c:pt idx="1">
                  <c:v>0</c:v>
                </c:pt>
                <c:pt idx="2">
                  <c:v>0</c:v>
                </c:pt>
                <c:pt idx="3">
                  <c:v>1</c:v>
                </c:pt>
                <c:pt idx="4">
                  <c:v>4</c:v>
                </c:pt>
              </c:numCache>
            </c:numRef>
          </c:val>
        </c:ser>
        <c:ser>
          <c:idx val="1"/>
          <c:order val="1"/>
          <c:tx>
            <c:strRef>
              <c:f>Sheet1!$C$1</c:f>
              <c:strCache>
                <c:ptCount val="1"/>
                <c:pt idx="0">
                  <c:v>Déplacements latéraux et régressifs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8.3333333333333332E-3"/>
                  <c:y val="1.978275792449020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8.3333333333333332E-3"/>
                  <c:y val="1.941772663032505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8.3333333333334356E-3"/>
                  <c:y val="1.586270946900868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5555555555555558E-3"/>
                  <c:y val="1.586270946900864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5.5555555555556572E-3"/>
                  <c:y val="1.5497548337004499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2014-2015 
(N=22)</c:v>
                </c:pt>
                <c:pt idx="1">
                  <c:v>2015-2016
(N=16)</c:v>
                </c:pt>
                <c:pt idx="2">
                  <c:v>2016-2017 
(N=19)</c:v>
                </c:pt>
                <c:pt idx="3">
                  <c:v>2017-2018
(N=17)</c:v>
                </c:pt>
                <c:pt idx="4">
                  <c:v>2018-2019
(N=17)</c:v>
                </c:pt>
              </c:strCache>
            </c:strRef>
          </c:cat>
          <c:val>
            <c:numRef>
              <c:f>Sheet1!$C$3:$C$7</c:f>
              <c:numCache>
                <c:formatCode>#\ ###</c:formatCode>
                <c:ptCount val="5"/>
                <c:pt idx="0">
                  <c:v>1</c:v>
                </c:pt>
                <c:pt idx="1">
                  <c:v>1</c:v>
                </c:pt>
                <c:pt idx="2">
                  <c:v>4</c:v>
                </c:pt>
                <c:pt idx="3">
                  <c:v>1</c:v>
                </c:pt>
                <c:pt idx="4">
                  <c:v>1</c:v>
                </c:pt>
              </c:numCache>
            </c:numRef>
          </c:val>
        </c:ser>
        <c:ser>
          <c:idx val="2"/>
          <c:order val="2"/>
          <c:tx>
            <c:strRef>
              <c:f>Sheet1!$D$1</c:f>
              <c:strCache>
                <c:ptCount val="1"/>
                <c:pt idx="0">
                  <c:v>Nominations à la fonction publique (y compris les employés occasionnels et les étudiants)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779E-3"/>
                  <c:y val="2.01477892186553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8.2852143482059644E-4"/>
                  <c:y val="1.20050070664243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777777777777779E-3"/>
                  <c:y val="7.4750656167979004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7777777777777779E-3"/>
                  <c:y val="1.549767817484349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8.285214348205456E-4"/>
                  <c:y val="1.5680193821926088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2014-2015 
(N=22)</c:v>
                </c:pt>
                <c:pt idx="1">
                  <c:v>2015-2016
(N=16)</c:v>
                </c:pt>
                <c:pt idx="2">
                  <c:v>2016-2017 
(N=19)</c:v>
                </c:pt>
                <c:pt idx="3">
                  <c:v>2017-2018
(N=17)</c:v>
                </c:pt>
                <c:pt idx="4">
                  <c:v>2018-2019
(N=17)</c:v>
                </c:pt>
              </c:strCache>
            </c:strRef>
          </c:cat>
          <c:val>
            <c:numRef>
              <c:f>Sheet1!$D$3:$D$7</c:f>
              <c:numCache>
                <c:formatCode>#\ ###</c:formatCode>
                <c:ptCount val="5"/>
                <c:pt idx="0">
                  <c:v>17</c:v>
                </c:pt>
                <c:pt idx="1">
                  <c:v>15</c:v>
                </c:pt>
                <c:pt idx="2">
                  <c:v>15</c:v>
                </c:pt>
                <c:pt idx="3">
                  <c:v>14</c:v>
                </c:pt>
                <c:pt idx="4">
                  <c:v>12</c:v>
                </c:pt>
              </c:numCache>
            </c:numRef>
          </c:val>
        </c:ser>
        <c:ser>
          <c:idx val="3"/>
          <c:order val="3"/>
          <c:tx>
            <c:strRef>
              <c:f>Sheet1!$E$1</c:f>
              <c:strCache>
                <c:ptCount val="1"/>
                <c:pt idx="0">
                  <c:v>Nominations intérimaires (Excluant les nominations de moins de quatre mois)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7777777777777523E-3"/>
                  <c:y val="1.960024227740755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5.5555555555555558E-3"/>
                  <c:y val="2.033030486573793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77777777777676E-3"/>
                  <c:y val="2.069533615990301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3.6062992125984253E-3"/>
                  <c:y val="2.03926509186351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9.1618547681538796E-3"/>
                  <c:y val="1.9782757924490132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Sheet1!$A$3:$A$7</c:f>
              <c:strCache>
                <c:ptCount val="5"/>
                <c:pt idx="0">
                  <c:v>2014-2015 
(N=22)</c:v>
                </c:pt>
                <c:pt idx="1">
                  <c:v>2015-2016
(N=16)</c:v>
                </c:pt>
                <c:pt idx="2">
                  <c:v>2016-2017 
(N=19)</c:v>
                </c:pt>
                <c:pt idx="3">
                  <c:v>2017-2018
(N=17)</c:v>
                </c:pt>
                <c:pt idx="4">
                  <c:v>2018-2019
(N=17)</c:v>
                </c:pt>
              </c:strCache>
            </c:strRef>
          </c:cat>
          <c:val>
            <c:numRef>
              <c:f>Sheet1!$E$3:$E$7</c:f>
              <c:numCache>
                <c:formatCode>#\ ###</c:formatCode>
                <c:ptCount val="5"/>
                <c:pt idx="0">
                  <c:v>1</c:v>
                </c:pt>
                <c:pt idx="1">
                  <c:v>0</c:v>
                </c:pt>
                <c:pt idx="2">
                  <c:v>0</c:v>
                </c:pt>
                <c:pt idx="3">
                  <c:v>1</c:v>
                </c:pt>
                <c:pt idx="4">
                  <c:v>0</c:v>
                </c:pt>
              </c:numCache>
            </c:numRef>
          </c:val>
        </c:ser>
        <c:dLbls>
          <c:showLegendKey val="0"/>
          <c:showVal val="0"/>
          <c:showCatName val="0"/>
          <c:showSerName val="0"/>
          <c:showPercent val="0"/>
          <c:showBubbleSize val="0"/>
        </c:dLbls>
        <c:gapWidth val="150"/>
        <c:shape val="box"/>
        <c:axId val="367798032"/>
        <c:axId val="367798816"/>
        <c:axId val="0"/>
      </c:bar3DChart>
      <c:catAx>
        <c:axId val="36779803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en-US"/>
          </a:p>
        </c:txPr>
        <c:crossAx val="367798816"/>
        <c:crosses val="autoZero"/>
        <c:auto val="0"/>
        <c:lblAlgn val="ctr"/>
        <c:lblOffset val="100"/>
        <c:noMultiLvlLbl val="0"/>
      </c:catAx>
      <c:valAx>
        <c:axId val="367798816"/>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67798032"/>
        <c:crosses val="autoZero"/>
        <c:crossBetween val="between"/>
      </c:valAx>
      <c:spPr>
        <a:noFill/>
        <a:ln>
          <a:noFill/>
        </a:ln>
        <a:effectLst/>
      </c:spPr>
    </c:plotArea>
    <c:legend>
      <c:legendPos val="r"/>
      <c:layout>
        <c:manualLayout>
          <c:xMode val="edge"/>
          <c:yMode val="edge"/>
          <c:x val="0"/>
          <c:y val="0.80998182919442763"/>
          <c:w val="1"/>
          <c:h val="0.1900181708055723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CA" sz="1200"/>
              <a:t>Dotation selon la durée d'emploi</a:t>
            </a:r>
          </a:p>
        </c:rich>
      </c:tx>
      <c:layout>
        <c:manualLayout>
          <c:xMode val="edge"/>
          <c:yMode val="edge"/>
          <c:x val="0.31466549817866363"/>
          <c:y val="2.4994792751510102E-2"/>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title>
    <c:autoTitleDeleted val="0"/>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40835520559928"/>
          <c:y val="0.11964914928764894"/>
          <c:w val="0.86277799650043729"/>
          <c:h val="0.59112072652260317"/>
        </c:manualLayout>
      </c:layout>
      <c:bar3DChart>
        <c:barDir val="col"/>
        <c:grouping val="clustered"/>
        <c:varyColors val="0"/>
        <c:ser>
          <c:idx val="0"/>
          <c:order val="0"/>
          <c:tx>
            <c:strRef>
              <c:f>Sheet1!$B$1</c:f>
              <c:strCache>
                <c:ptCount val="1"/>
                <c:pt idx="0">
                  <c:v>Indéterminée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5.5555555555555558E-3"/>
                  <c:y val="2.37028063799717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1.960015680125441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777777777778798E-3"/>
                  <c:y val="1.960015680125433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7777777777778798E-3"/>
                  <c:y val="1.978275792449019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7777777777777779E-3"/>
                  <c:y val="1.9600242277407632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(N=22)</c:v>
                </c:pt>
                <c:pt idx="1">
                  <c:v>2015-2016
 (N=16)</c:v>
                </c:pt>
                <c:pt idx="2">
                  <c:v>2016-2017
 (N=19)</c:v>
                </c:pt>
                <c:pt idx="3">
                  <c:v>2017-2018
 (N=17)</c:v>
                </c:pt>
                <c:pt idx="4">
                  <c:v>2018-2019
 (N=17)</c:v>
                </c:pt>
              </c:strCache>
            </c:strRef>
          </c:cat>
          <c:val>
            <c:numRef>
              <c:f>Sheet1!$B$2:$B$6</c:f>
              <c:numCache>
                <c:formatCode>#\ ###</c:formatCode>
                <c:ptCount val="5"/>
                <c:pt idx="0">
                  <c:v>6</c:v>
                </c:pt>
                <c:pt idx="1">
                  <c:v>1</c:v>
                </c:pt>
                <c:pt idx="2">
                  <c:v>4</c:v>
                </c:pt>
                <c:pt idx="3">
                  <c:v>3</c:v>
                </c:pt>
                <c:pt idx="4">
                  <c:v>7</c:v>
                </c:pt>
              </c:numCache>
            </c:numRef>
          </c:val>
        </c:ser>
        <c:ser>
          <c:idx val="1"/>
          <c:order val="1"/>
          <c:tx>
            <c:strRef>
              <c:f>Sheet1!$C$1</c:f>
              <c:strCache>
                <c:ptCount val="1"/>
                <c:pt idx="0">
                  <c:v>Déterminée</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5.5555555555555558E-3"/>
                  <c:y val="2.352041458076526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8.3333333333333835E-3"/>
                  <c:y val="2.425035332121946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777777777777779E-3"/>
                  <c:y val="7.2925499697152488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7777777777777779E-3"/>
                  <c:y val="1.139511407227942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7777777777778798E-3"/>
                  <c:y val="1.9443032879675984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(N=22)</c:v>
                </c:pt>
                <c:pt idx="1">
                  <c:v>2015-2016
 (N=16)</c:v>
                </c:pt>
                <c:pt idx="2">
                  <c:v>2016-2017
 (N=19)</c:v>
                </c:pt>
                <c:pt idx="3">
                  <c:v>2017-2018
 (N=17)</c:v>
                </c:pt>
                <c:pt idx="4">
                  <c:v>2018-2019
 (N=17)</c:v>
                </c:pt>
              </c:strCache>
            </c:strRef>
          </c:cat>
          <c:val>
            <c:numRef>
              <c:f>Sheet1!$C$2:$C$6</c:f>
              <c:numCache>
                <c:formatCode>#\ ###</c:formatCode>
                <c:ptCount val="5"/>
                <c:pt idx="0">
                  <c:v>4</c:v>
                </c:pt>
                <c:pt idx="1">
                  <c:v>2</c:v>
                </c:pt>
                <c:pt idx="2">
                  <c:v>2</c:v>
                </c:pt>
                <c:pt idx="3">
                  <c:v>2</c:v>
                </c:pt>
                <c:pt idx="4">
                  <c:v>2</c:v>
                </c:pt>
              </c:numCache>
            </c:numRef>
          </c:val>
        </c:ser>
        <c:ser>
          <c:idx val="2"/>
          <c:order val="2"/>
          <c:tx>
            <c:strRef>
              <c:f>Sheet1!$D$1</c:f>
              <c:strCache>
                <c:ptCount val="1"/>
                <c:pt idx="0">
                  <c:v>Occasionnel</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8.3333333333333592E-3"/>
                  <c:y val="2.443286896830203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5.5555555555555558E-3"/>
                  <c:y val="2.370280637997165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7777777777777779E-3"/>
                  <c:y val="2.370288378489426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7777777777777779E-3"/>
                  <c:y val="1.518318197445766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5.5555555555555558E-3"/>
                  <c:y val="2.3885322027054311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(N=22)</c:v>
                </c:pt>
                <c:pt idx="1">
                  <c:v>2015-2016
 (N=16)</c:v>
                </c:pt>
                <c:pt idx="2">
                  <c:v>2016-2017
 (N=19)</c:v>
                </c:pt>
                <c:pt idx="3">
                  <c:v>2017-2018
 (N=17)</c:v>
                </c:pt>
                <c:pt idx="4">
                  <c:v>2018-2019
 (N=17)</c:v>
                </c:pt>
              </c:strCache>
            </c:strRef>
          </c:cat>
          <c:val>
            <c:numRef>
              <c:f>Sheet1!$D$2:$D$6</c:f>
              <c:numCache>
                <c:formatCode>#\ ###</c:formatCode>
                <c:ptCount val="5"/>
                <c:pt idx="0">
                  <c:v>6</c:v>
                </c:pt>
                <c:pt idx="1">
                  <c:v>6</c:v>
                </c:pt>
                <c:pt idx="2">
                  <c:v>6</c:v>
                </c:pt>
                <c:pt idx="3">
                  <c:v>2</c:v>
                </c:pt>
                <c:pt idx="4">
                  <c:v>1</c:v>
                </c:pt>
              </c:numCache>
            </c:numRef>
          </c:val>
        </c:ser>
        <c:ser>
          <c:idx val="3"/>
          <c:order val="3"/>
          <c:tx>
            <c:strRef>
              <c:f>Sheet1!$E$1</c:f>
              <c:strCache>
                <c:ptCount val="1"/>
                <c:pt idx="0">
                  <c:v>Étudiant</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0"/>
                  <c:y val="2.4250353321219463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2.352029073288915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5.5555555555554534E-3"/>
                  <c:y val="2.3520290732889082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7777777777777779E-3"/>
                  <c:y val="2.406783767413688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5.5555555555555558E-3"/>
                  <c:y val="1.9600242277407632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2014-2015
 (N=22)</c:v>
                </c:pt>
                <c:pt idx="1">
                  <c:v>2015-2016
 (N=16)</c:v>
                </c:pt>
                <c:pt idx="2">
                  <c:v>2016-2017
 (N=19)</c:v>
                </c:pt>
                <c:pt idx="3">
                  <c:v>2017-2018
 (N=17)</c:v>
                </c:pt>
                <c:pt idx="4">
                  <c:v>2018-2019
 (N=17)</c:v>
                </c:pt>
              </c:strCache>
            </c:strRef>
          </c:cat>
          <c:val>
            <c:numRef>
              <c:f>Sheet1!$E$2:$E$6</c:f>
              <c:numCache>
                <c:formatCode>#\ ###</c:formatCode>
                <c:ptCount val="5"/>
                <c:pt idx="0">
                  <c:v>6</c:v>
                </c:pt>
                <c:pt idx="1">
                  <c:v>7</c:v>
                </c:pt>
                <c:pt idx="2">
                  <c:v>7</c:v>
                </c:pt>
                <c:pt idx="3">
                  <c:v>10</c:v>
                </c:pt>
                <c:pt idx="4">
                  <c:v>7</c:v>
                </c:pt>
              </c:numCache>
            </c:numRef>
          </c:val>
        </c:ser>
        <c:dLbls>
          <c:showLegendKey val="0"/>
          <c:showVal val="1"/>
          <c:showCatName val="0"/>
          <c:showSerName val="0"/>
          <c:showPercent val="0"/>
          <c:showBubbleSize val="0"/>
        </c:dLbls>
        <c:gapWidth val="150"/>
        <c:shape val="box"/>
        <c:axId val="367797640"/>
        <c:axId val="367795288"/>
        <c:axId val="0"/>
      </c:bar3DChart>
      <c:catAx>
        <c:axId val="36779764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67795288"/>
        <c:crosses val="autoZero"/>
        <c:auto val="1"/>
        <c:lblAlgn val="ctr"/>
        <c:lblOffset val="100"/>
        <c:noMultiLvlLbl val="0"/>
      </c:catAx>
      <c:valAx>
        <c:axId val="367795288"/>
        <c:scaling>
          <c:orientation val="minMax"/>
        </c:scaling>
        <c:delete val="0"/>
        <c:axPos val="l"/>
        <c:numFmt formatCode="#\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67797640"/>
        <c:crosses val="autoZero"/>
        <c:crossBetween val="between"/>
      </c:valAx>
      <c:spPr>
        <a:noFill/>
        <a:ln>
          <a:noFill/>
        </a:ln>
        <a:effectLst/>
      </c:spPr>
    </c:plotArea>
    <c:legend>
      <c:legendPos val="r"/>
      <c:layout>
        <c:manualLayout>
          <c:xMode val="edge"/>
          <c:yMode val="edge"/>
          <c:x val="0.1"/>
          <c:y val="0.84398433272763984"/>
          <c:w val="0.81944444444444442"/>
          <c:h val="9.037462535920758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rawings/drawing1.xml><?xml version="1.0" encoding="utf-8"?>
<c:userShapes xmlns:c="http://schemas.openxmlformats.org/drawingml/2006/chart">
  <cdr:relSizeAnchor xmlns:cdr="http://schemas.openxmlformats.org/drawingml/2006/chartDrawing">
    <cdr:from>
      <cdr:x>0.00725</cdr:x>
      <cdr:y>0.92924</cdr:y>
    </cdr:from>
    <cdr:to>
      <cdr:x>0.97183</cdr:x>
      <cdr:y>0.99965</cdr:y>
    </cdr:to>
    <cdr:sp macro="" textlink="">
      <cdr:nvSpPr>
        <cdr:cNvPr id="2" name="Text Box 1"/>
        <cdr:cNvSpPr txBox="1"/>
      </cdr:nvSpPr>
      <cdr:spPr>
        <a:xfrm xmlns:a="http://schemas.openxmlformats.org/drawingml/2006/main">
          <a:off x="25192" y="3444240"/>
          <a:ext cx="3351645" cy="2609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lnSpc>
              <a:spcPts val="900"/>
            </a:lnSpc>
          </a:pPr>
          <a:r>
            <a:rPr lang="en-CA" sz="850" baseline="0"/>
            <a:t>inconnus= 5</a:t>
          </a:r>
          <a:endParaRPr lang="en-CA" sz="850"/>
        </a:p>
      </cdr:txBody>
    </cdr:sp>
  </cdr:relSizeAnchor>
</c:userShapes>
</file>

<file path=word/drawings/drawing2.xml><?xml version="1.0" encoding="utf-8"?>
<c:userShapes xmlns:c="http://schemas.openxmlformats.org/drawingml/2006/chart">
  <cdr:relSizeAnchor xmlns:cdr="http://schemas.openxmlformats.org/drawingml/2006/chartDrawing">
    <cdr:from>
      <cdr:x>0.00725</cdr:x>
      <cdr:y>0.92924</cdr:y>
    </cdr:from>
    <cdr:to>
      <cdr:x>0.97183</cdr:x>
      <cdr:y>0.99965</cdr:y>
    </cdr:to>
    <cdr:sp macro="" textlink="">
      <cdr:nvSpPr>
        <cdr:cNvPr id="2" name="Text Box 1"/>
        <cdr:cNvSpPr txBox="1"/>
      </cdr:nvSpPr>
      <cdr:spPr>
        <a:xfrm xmlns:a="http://schemas.openxmlformats.org/drawingml/2006/main">
          <a:off x="25192" y="3444240"/>
          <a:ext cx="3351645" cy="2609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lnSpc>
              <a:spcPts val="900"/>
            </a:lnSpc>
          </a:pPr>
          <a:r>
            <a:rPr lang="en-CA" sz="850" baseline="0"/>
            <a:t>inconnus= 0</a:t>
          </a:r>
        </a:p>
        <a:p xmlns:a="http://schemas.openxmlformats.org/drawingml/2006/main">
          <a:pPr algn="ctr">
            <a:lnSpc>
              <a:spcPts val="900"/>
            </a:lnSpc>
          </a:pPr>
          <a:endParaRPr lang="en-CA" sz="850"/>
        </a:p>
      </cdr:txBody>
    </cdr:sp>
  </cdr:relSizeAnchor>
</c:userShapes>
</file>

<file path=word/drawings/drawing3.xml><?xml version="1.0" encoding="utf-8"?>
<c:userShapes xmlns:c="http://schemas.openxmlformats.org/drawingml/2006/chart">
  <cdr:relSizeAnchor xmlns:cdr="http://schemas.openxmlformats.org/drawingml/2006/chartDrawing">
    <cdr:from>
      <cdr:x>0.00725</cdr:x>
      <cdr:y>0.92924</cdr:y>
    </cdr:from>
    <cdr:to>
      <cdr:x>0.97183</cdr:x>
      <cdr:y>0.99965</cdr:y>
    </cdr:to>
    <cdr:sp macro="" textlink="">
      <cdr:nvSpPr>
        <cdr:cNvPr id="2" name="Text Box 1"/>
        <cdr:cNvSpPr txBox="1"/>
      </cdr:nvSpPr>
      <cdr:spPr>
        <a:xfrm xmlns:a="http://schemas.openxmlformats.org/drawingml/2006/main">
          <a:off x="25192" y="3444240"/>
          <a:ext cx="3351645" cy="2609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nSpc>
              <a:spcPts val="900"/>
            </a:lnSpc>
          </a:pPr>
          <a:r>
            <a:rPr lang="en-CA" sz="850"/>
            <a:t>-</a:t>
          </a:r>
          <a:r>
            <a:rPr lang="en-CA" sz="850" baseline="0"/>
            <a:t>Distribution régionale exclus les inconnus</a:t>
          </a:r>
          <a:endParaRPr lang="en-CA" sz="850"/>
        </a:p>
      </cdr:txBody>
    </cdr:sp>
  </cdr:relSizeAnchor>
</c:userShapes>
</file>

<file path=word/drawings/drawing4.xml><?xml version="1.0" encoding="utf-8"?>
<c:userShapes xmlns:c="http://schemas.openxmlformats.org/drawingml/2006/chart">
  <cdr:relSizeAnchor xmlns:cdr="http://schemas.openxmlformats.org/drawingml/2006/chartDrawing">
    <cdr:from>
      <cdr:x>0.00725</cdr:x>
      <cdr:y>0.75809</cdr:y>
    </cdr:from>
    <cdr:to>
      <cdr:x>0.97183</cdr:x>
      <cdr:y>0.99965</cdr:y>
    </cdr:to>
    <cdr:sp macro="" textlink="">
      <cdr:nvSpPr>
        <cdr:cNvPr id="2" name="Text Box 1"/>
        <cdr:cNvSpPr txBox="1"/>
      </cdr:nvSpPr>
      <cdr:spPr>
        <a:xfrm xmlns:a="http://schemas.openxmlformats.org/drawingml/2006/main">
          <a:off x="26379" y="2809874"/>
          <a:ext cx="3509673" cy="89532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nSpc>
              <a:spcPts val="900"/>
            </a:lnSpc>
          </a:pPr>
          <a:r>
            <a:rPr lang="en-CA" sz="850"/>
            <a:t>-</a:t>
          </a:r>
          <a:r>
            <a:rPr lang="en-CA" sz="850" baseline="0"/>
            <a:t>Comprend les nominations pour une période indéterminée et pour une période déterminée</a:t>
          </a:r>
        </a:p>
        <a:p xmlns:a="http://schemas.openxmlformats.org/drawingml/2006/main">
          <a:pPr>
            <a:lnSpc>
              <a:spcPts val="900"/>
            </a:lnSpc>
          </a:pPr>
          <a:r>
            <a:rPr lang="en-CA" sz="850" baseline="0"/>
            <a:t>-Exclut les déplacements latéraux et régressifs, les mutations et les nominations intérimaires de moins de quatre mois</a:t>
          </a:r>
        </a:p>
        <a:p xmlns:a="http://schemas.openxmlformats.org/drawingml/2006/main">
          <a:pPr>
            <a:lnSpc>
              <a:spcPts val="900"/>
            </a:lnSpc>
          </a:pPr>
          <a:r>
            <a:rPr lang="en-CA" sz="850" baseline="0"/>
            <a:t>-Inclut seulement les nominations où le type de processus est connu (75</a:t>
          </a:r>
          <a:r>
            <a:rPr lang="en-CA" sz="850" baseline="0">
              <a:solidFill>
                <a:sysClr val="windowText" lastClr="000000"/>
              </a:solidFill>
            </a:rPr>
            <a:t>% à 88</a:t>
          </a:r>
          <a:r>
            <a:rPr lang="en-CA" sz="850" baseline="0"/>
            <a:t>% des nominations). *Les chiffres pour 2015-2016 et 2016-2017 ne sont pas disponibles puisque le type de processus de dotation est inconnu.</a:t>
          </a:r>
          <a:endParaRPr lang="en-CA" sz="850"/>
        </a:p>
      </cdr:txBody>
    </cdr:sp>
  </cdr:relSizeAnchor>
</c:userShapes>
</file>

<file path=word/drawings/drawing5.xml><?xml version="1.0" encoding="utf-8"?>
<c:userShapes xmlns:c="http://schemas.openxmlformats.org/drawingml/2006/chart">
  <cdr:relSizeAnchor xmlns:cdr="http://schemas.openxmlformats.org/drawingml/2006/chartDrawing">
    <cdr:from>
      <cdr:x>0.012</cdr:x>
      <cdr:y>0.88959</cdr:y>
    </cdr:from>
    <cdr:to>
      <cdr:x>0.99721</cdr:x>
      <cdr:y>1</cdr:y>
    </cdr:to>
    <cdr:sp macro="" textlink="">
      <cdr:nvSpPr>
        <cdr:cNvPr id="2" name="Text Box 1" descr="*Aux fins du rapport, les anciens étudiants incluent les participants au programme (COOP et PFETE) nommés dans le cadre d'un processus non annoncé.&#10;&#10;"/>
        <cdr:cNvSpPr txBox="1"/>
      </cdr:nvSpPr>
      <cdr:spPr>
        <a:xfrm xmlns:a="http://schemas.openxmlformats.org/drawingml/2006/main">
          <a:off x="41377" y="3028950"/>
          <a:ext cx="3397053" cy="375919"/>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pPr marL="0" marR="0" lvl="0" indent="0" defTabSz="914400" eaLnBrk="1" fontAlgn="auto" latinLnBrk="0" hangingPunct="1">
            <a:lnSpc>
              <a:spcPct val="100000"/>
            </a:lnSpc>
            <a:spcBef>
              <a:spcPts val="0"/>
            </a:spcBef>
            <a:spcAft>
              <a:spcPts val="0"/>
            </a:spcAft>
            <a:buClrTx/>
            <a:buSzTx/>
            <a:buFontTx/>
            <a:buNone/>
            <a:tabLst/>
            <a:defRPr/>
          </a:pPr>
          <a:r>
            <a:rPr lang="en-CA" sz="800"/>
            <a:t>*Embauches avec expérience acquise dans les programmes fédéraux de recrutement étudiant dans les 10 dernières années</a:t>
          </a:r>
        </a:p>
      </cdr:txBody>
    </cdr:sp>
  </cdr:relSizeAnchor>
</c:userShapes>
</file>

<file path=word/drawings/drawing6.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0.26529</cdr:x>
      <cdr:y>0.19986</cdr:y>
    </cdr:from>
    <cdr:to>
      <cdr:x>0.26668</cdr:x>
      <cdr:y>0.74988</cdr:y>
    </cdr:to>
    <cdr:cxnSp macro="">
      <cdr:nvCxnSpPr>
        <cdr:cNvPr id="5" name="Straight Connector 4" descr="Median line fof the specified organization's internal time to staff graphic"/>
        <cdr:cNvCxnSpPr/>
      </cdr:nvCxnSpPr>
      <cdr:spPr>
        <a:xfrm xmlns:a="http://schemas.openxmlformats.org/drawingml/2006/main" flipV="1">
          <a:off x="1167400" y="536834"/>
          <a:ext cx="6117" cy="1477381"/>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drawings/drawing7.xml><?xml version="1.0" encoding="utf-8"?>
<c:userShapes xmlns:c="http://schemas.openxmlformats.org/drawingml/2006/chart">
  <cdr:relSizeAnchor xmlns:cdr="http://schemas.openxmlformats.org/drawingml/2006/chartDrawing">
    <cdr:from>
      <cdr:x>0.10431</cdr:x>
      <cdr:y>0.78143</cdr:y>
    </cdr:from>
    <cdr:to>
      <cdr:x>0.96444</cdr:x>
      <cdr:y>1</cdr:y>
    </cdr:to>
    <cdr:sp macro="" textlink="">
      <cdr:nvSpPr>
        <cdr:cNvPr id="3" name="Text Box 2" descr="Calendar Days Axis titles for organization specific external time to staff graphic"/>
        <cdr:cNvSpPr txBox="1"/>
      </cdr:nvSpPr>
      <cdr:spPr>
        <a:xfrm xmlns:a="http://schemas.openxmlformats.org/drawingml/2006/main">
          <a:off x="474918" y="2531661"/>
          <a:ext cx="3916129" cy="70810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CA" sz="900"/>
        </a:p>
      </cdr:txBody>
    </cdr:sp>
  </cdr:relSizeAnchor>
  <cdr:relSizeAnchor xmlns:cdr="http://schemas.openxmlformats.org/drawingml/2006/chartDrawing">
    <cdr:from>
      <cdr:x>0.28693</cdr:x>
      <cdr:y>0.19986</cdr:y>
    </cdr:from>
    <cdr:to>
      <cdr:x>0.28832</cdr:x>
      <cdr:y>0.74988</cdr:y>
    </cdr:to>
    <cdr:cxnSp macro="">
      <cdr:nvCxnSpPr>
        <cdr:cNvPr id="5" name="Straight Connector 4" descr="Median line fof the specified organization's internal time to staff graphic"/>
        <cdr:cNvCxnSpPr/>
      </cdr:nvCxnSpPr>
      <cdr:spPr>
        <a:xfrm xmlns:a="http://schemas.openxmlformats.org/drawingml/2006/main" flipV="1">
          <a:off x="1262650" y="553968"/>
          <a:ext cx="6117" cy="1524532"/>
        </a:xfrm>
        <a:prstGeom xmlns:a="http://schemas.openxmlformats.org/drawingml/2006/main" prst="line">
          <a:avLst/>
        </a:prstGeom>
        <a:ln xmlns:a="http://schemas.openxmlformats.org/drawingml/2006/main">
          <a:solidFill>
            <a:srgbClr val="FF0000"/>
          </a:solidFill>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theme/theme1.xml><?xml version="1.0" encoding="utf-8"?>
<a:theme xmlns:a="http://schemas.openxmlformats.org/drawingml/2006/main" name="CFP-PSC-Theme2019-fromWord">
  <a:themeElements>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0099A8"/>
      </a:hlink>
      <a:folHlink>
        <a:srgbClr val="A5A5A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A7AC7-4281-4651-B6D5-B4860277B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CFP-Entete-Corpo2019.dotx</Template>
  <TotalTime>1504</TotalTime>
  <Pages>24</Pages>
  <Words>3774</Words>
  <Characters>21516</Characters>
  <Application>Microsoft Office Word</Application>
  <DocSecurity>0</DocSecurity>
  <Lines>179</Lines>
  <Paragraphs>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CFP-PSC</Company>
  <LinksUpToDate>false</LinksUpToDate>
  <CharactersWithSpaces>25240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Lefebvre</dc:creator>
  <cp:keywords/>
  <dc:description/>
  <cp:lastModifiedBy>Nancy Ladouceur</cp:lastModifiedBy>
  <cp:revision>92</cp:revision>
  <dcterms:created xsi:type="dcterms:W3CDTF">2020-02-11T15:51:00Z</dcterms:created>
  <dcterms:modified xsi:type="dcterms:W3CDTF">2020-12-17T17:42:00Z</dcterms:modified>
</cp:coreProperties>
</file>